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D16" w:rsidRPr="00D07A0D" w:rsidRDefault="00D04D16" w:rsidP="00D07A0D">
      <w:pPr>
        <w:rPr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3078EE2C" wp14:editId="2A55E1D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D04D16" w:rsidRPr="00C84483" w:rsidRDefault="00D04D16" w:rsidP="00D04D16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88596A">
        <w:rPr>
          <w:szCs w:val="24"/>
        </w:rPr>
        <w:t>12. maj 2023</w:t>
      </w:r>
    </w:p>
    <w:p w:rsidR="00D04D16" w:rsidRPr="0088596A" w:rsidRDefault="00D04D16" w:rsidP="00D04D16">
      <w:pPr>
        <w:pStyle w:val="Titel"/>
        <w:jc w:val="left"/>
        <w:rPr>
          <w:b w:val="0"/>
          <w:szCs w:val="24"/>
        </w:rPr>
      </w:pPr>
    </w:p>
    <w:p w:rsidR="004525AF" w:rsidRPr="0088596A" w:rsidRDefault="004525AF" w:rsidP="004525AF">
      <w:pPr>
        <w:rPr>
          <w:sz w:val="24"/>
          <w:szCs w:val="24"/>
        </w:rPr>
      </w:pPr>
    </w:p>
    <w:p w:rsidR="0088596A" w:rsidRPr="0088596A" w:rsidRDefault="0088596A" w:rsidP="004525AF">
      <w:pPr>
        <w:rPr>
          <w:sz w:val="24"/>
          <w:szCs w:val="24"/>
        </w:rPr>
      </w:pPr>
    </w:p>
    <w:p w:rsidR="00D04D16" w:rsidRPr="00C84483" w:rsidRDefault="00D04D16" w:rsidP="00D04D1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D04D16" w:rsidRPr="00C84483" w:rsidRDefault="00D04D16" w:rsidP="00D04D16">
      <w:pPr>
        <w:jc w:val="center"/>
        <w:rPr>
          <w:b/>
          <w:sz w:val="24"/>
          <w:szCs w:val="24"/>
        </w:rPr>
      </w:pPr>
    </w:p>
    <w:p w:rsidR="00D04D16" w:rsidRDefault="00D04D16" w:rsidP="00D04D1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D04D16" w:rsidRPr="00C84483" w:rsidRDefault="00D04D16" w:rsidP="00D04D16">
      <w:pPr>
        <w:jc w:val="center"/>
        <w:rPr>
          <w:b/>
          <w:sz w:val="24"/>
          <w:szCs w:val="24"/>
        </w:rPr>
      </w:pPr>
    </w:p>
    <w:p w:rsidR="00D04D16" w:rsidRPr="00C84483" w:rsidRDefault="00D04D16" w:rsidP="00D04D1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Delazo</w:t>
      </w:r>
      <w:proofErr w:type="spellEnd"/>
      <w:r>
        <w:rPr>
          <w:b/>
          <w:sz w:val="24"/>
          <w:szCs w:val="24"/>
        </w:rPr>
        <w:t>, øjendråber, opløsning</w:t>
      </w:r>
    </w:p>
    <w:p w:rsidR="00D04D16" w:rsidRPr="00C84483" w:rsidRDefault="00D04D16" w:rsidP="00D04D16">
      <w:pPr>
        <w:jc w:val="both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30033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Delazo</w:t>
      </w:r>
      <w:proofErr w:type="spellEnd"/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D04D16" w:rsidRPr="007E3DF0" w:rsidRDefault="00D04D16" w:rsidP="00D04D16">
      <w:pPr>
        <w:ind w:left="851"/>
        <w:rPr>
          <w:sz w:val="24"/>
          <w:szCs w:val="24"/>
        </w:rPr>
      </w:pPr>
      <w:r w:rsidRPr="007E3DF0">
        <w:rPr>
          <w:sz w:val="24"/>
          <w:szCs w:val="24"/>
        </w:rPr>
        <w:t xml:space="preserve">Hver ml indeholder 20 mg </w:t>
      </w:r>
      <w:proofErr w:type="spellStart"/>
      <w:r w:rsidRPr="007E3DF0">
        <w:rPr>
          <w:sz w:val="24"/>
          <w:szCs w:val="24"/>
        </w:rPr>
        <w:t>dorzolamid</w:t>
      </w:r>
      <w:proofErr w:type="spellEnd"/>
      <w:r w:rsidRPr="007E3DF0">
        <w:rPr>
          <w:sz w:val="24"/>
          <w:szCs w:val="24"/>
        </w:rPr>
        <w:t xml:space="preserve"> (som </w:t>
      </w:r>
      <w:proofErr w:type="spellStart"/>
      <w:r w:rsidRPr="007E3DF0">
        <w:rPr>
          <w:sz w:val="24"/>
          <w:szCs w:val="24"/>
        </w:rPr>
        <w:t>dorzolamidhydrochlorid</w:t>
      </w:r>
      <w:proofErr w:type="spellEnd"/>
      <w:r w:rsidRPr="007E3DF0">
        <w:rPr>
          <w:sz w:val="24"/>
          <w:szCs w:val="24"/>
        </w:rPr>
        <w:t>)</w:t>
      </w:r>
      <w:r w:rsidR="00E25383">
        <w:rPr>
          <w:sz w:val="24"/>
          <w:szCs w:val="24"/>
        </w:rPr>
        <w:t>.</w:t>
      </w:r>
    </w:p>
    <w:p w:rsidR="00D04D16" w:rsidRPr="007E3DF0" w:rsidRDefault="00D04D16" w:rsidP="00D04D16">
      <w:pPr>
        <w:ind w:left="851"/>
        <w:rPr>
          <w:sz w:val="24"/>
          <w:szCs w:val="24"/>
        </w:rPr>
      </w:pPr>
    </w:p>
    <w:p w:rsidR="00D04D16" w:rsidRPr="007E3DF0" w:rsidRDefault="00D04D16" w:rsidP="00D04D16">
      <w:pPr>
        <w:ind w:left="851"/>
        <w:rPr>
          <w:sz w:val="24"/>
          <w:szCs w:val="24"/>
        </w:rPr>
      </w:pPr>
      <w:r w:rsidRPr="007E3DF0">
        <w:rPr>
          <w:sz w:val="24"/>
          <w:szCs w:val="24"/>
        </w:rPr>
        <w:t>Alle hjælpestoffer er anført under pkt. 6.1.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D04D16" w:rsidRDefault="00D04D16" w:rsidP="00D04D16">
      <w:pPr>
        <w:ind w:left="851"/>
        <w:rPr>
          <w:sz w:val="24"/>
          <w:szCs w:val="24"/>
        </w:rPr>
      </w:pPr>
      <w:r>
        <w:rPr>
          <w:sz w:val="24"/>
          <w:szCs w:val="24"/>
        </w:rPr>
        <w:t>Øjendråber, opløsning</w:t>
      </w:r>
    </w:p>
    <w:p w:rsidR="00D04D16" w:rsidRPr="007E3DF0" w:rsidRDefault="00D04D16" w:rsidP="00D04D16">
      <w:pPr>
        <w:ind w:left="851"/>
        <w:rPr>
          <w:sz w:val="24"/>
          <w:szCs w:val="24"/>
        </w:rPr>
      </w:pPr>
      <w:r w:rsidRPr="007E3DF0">
        <w:rPr>
          <w:sz w:val="24"/>
          <w:szCs w:val="24"/>
        </w:rPr>
        <w:t>Klar, farveløs, let viskøs, vandig opløsning med et pH</w:t>
      </w:r>
      <w:r>
        <w:rPr>
          <w:sz w:val="24"/>
          <w:szCs w:val="24"/>
        </w:rPr>
        <w:t>-</w:t>
      </w:r>
      <w:r w:rsidRPr="007E3DF0">
        <w:rPr>
          <w:sz w:val="24"/>
          <w:szCs w:val="24"/>
        </w:rPr>
        <w:t xml:space="preserve">niveau mellem 5,0 og 6,0. </w:t>
      </w:r>
    </w:p>
    <w:p w:rsidR="00D04D16" w:rsidRPr="007E3DF0" w:rsidRDefault="00D04D16" w:rsidP="00D04D16">
      <w:pPr>
        <w:ind w:left="851"/>
        <w:rPr>
          <w:sz w:val="24"/>
          <w:szCs w:val="24"/>
        </w:rPr>
      </w:pPr>
      <w:proofErr w:type="spellStart"/>
      <w:r w:rsidRPr="007E3DF0">
        <w:rPr>
          <w:sz w:val="24"/>
          <w:szCs w:val="24"/>
        </w:rPr>
        <w:t>Osmolalitet</w:t>
      </w:r>
      <w:proofErr w:type="spellEnd"/>
      <w:r w:rsidRPr="007E3DF0">
        <w:rPr>
          <w:sz w:val="24"/>
          <w:szCs w:val="24"/>
        </w:rPr>
        <w:t>: 2</w:t>
      </w:r>
      <w:r w:rsidR="00EB218C">
        <w:rPr>
          <w:sz w:val="24"/>
          <w:szCs w:val="24"/>
        </w:rPr>
        <w:t>70</w:t>
      </w:r>
      <w:r w:rsidRPr="007E3DF0">
        <w:rPr>
          <w:sz w:val="24"/>
          <w:szCs w:val="24"/>
        </w:rPr>
        <w:t>-3</w:t>
      </w:r>
      <w:r w:rsidR="00EB218C">
        <w:rPr>
          <w:sz w:val="24"/>
          <w:szCs w:val="24"/>
        </w:rPr>
        <w:t>10</w:t>
      </w:r>
      <w:r w:rsidRPr="007E3DF0">
        <w:rPr>
          <w:sz w:val="24"/>
          <w:szCs w:val="24"/>
        </w:rPr>
        <w:t xml:space="preserve"> </w:t>
      </w:r>
      <w:proofErr w:type="spellStart"/>
      <w:r w:rsidRPr="007E3DF0">
        <w:rPr>
          <w:sz w:val="24"/>
          <w:szCs w:val="24"/>
        </w:rPr>
        <w:t>mOsm</w:t>
      </w:r>
      <w:proofErr w:type="spellEnd"/>
      <w:r w:rsidRPr="007E3DF0">
        <w:rPr>
          <w:sz w:val="24"/>
          <w:szCs w:val="24"/>
        </w:rPr>
        <w:t>/Kg.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D04D16" w:rsidRPr="00C84483" w:rsidRDefault="00D04D16" w:rsidP="00D04D16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1C0FE7" w:rsidRDefault="001C0FE7" w:rsidP="00D04D16">
      <w:pPr>
        <w:ind w:left="851"/>
        <w:rPr>
          <w:i/>
          <w:sz w:val="24"/>
          <w:szCs w:val="24"/>
        </w:rPr>
      </w:pPr>
    </w:p>
    <w:p w:rsidR="00D04D16" w:rsidRPr="001C0FE7" w:rsidRDefault="00D04D16" w:rsidP="00D04D16">
      <w:pPr>
        <w:ind w:left="851"/>
        <w:rPr>
          <w:sz w:val="24"/>
          <w:szCs w:val="24"/>
        </w:rPr>
      </w:pPr>
      <w:proofErr w:type="spellStart"/>
      <w:r w:rsidRPr="001C0FE7">
        <w:rPr>
          <w:sz w:val="24"/>
          <w:szCs w:val="24"/>
        </w:rPr>
        <w:t>Delazo</w:t>
      </w:r>
      <w:proofErr w:type="spellEnd"/>
      <w:r w:rsidRPr="001C0FE7">
        <w:rPr>
          <w:sz w:val="24"/>
          <w:szCs w:val="24"/>
        </w:rPr>
        <w:t xml:space="preserve"> er indiceret som</w:t>
      </w:r>
    </w:p>
    <w:p w:rsidR="00D04D16" w:rsidRDefault="00D04D16" w:rsidP="00D04D16">
      <w:pPr>
        <w:numPr>
          <w:ilvl w:val="0"/>
          <w:numId w:val="6"/>
        </w:numPr>
        <w:tabs>
          <w:tab w:val="clear" w:pos="1247"/>
          <w:tab w:val="num" w:pos="1134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>kombinationsbehandling med β-</w:t>
      </w:r>
      <w:proofErr w:type="spellStart"/>
      <w:r>
        <w:rPr>
          <w:sz w:val="24"/>
          <w:szCs w:val="24"/>
        </w:rPr>
        <w:t>blokkere</w:t>
      </w:r>
      <w:proofErr w:type="spellEnd"/>
    </w:p>
    <w:p w:rsidR="00D04D16" w:rsidRDefault="00D04D16" w:rsidP="00D04D16">
      <w:pPr>
        <w:numPr>
          <w:ilvl w:val="0"/>
          <w:numId w:val="6"/>
        </w:numPr>
        <w:tabs>
          <w:tab w:val="clear" w:pos="1247"/>
          <w:tab w:val="num" w:pos="1134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>monoterapi hos patienter, som ikke reagerer på β-</w:t>
      </w:r>
      <w:proofErr w:type="spellStart"/>
      <w:r>
        <w:rPr>
          <w:sz w:val="24"/>
          <w:szCs w:val="24"/>
        </w:rPr>
        <w:t>blokkere</w:t>
      </w:r>
      <w:proofErr w:type="spellEnd"/>
      <w:r>
        <w:rPr>
          <w:sz w:val="24"/>
          <w:szCs w:val="24"/>
        </w:rPr>
        <w:t>, eller hos patienter, hvor β-</w:t>
      </w:r>
      <w:proofErr w:type="spellStart"/>
      <w:r>
        <w:rPr>
          <w:sz w:val="24"/>
          <w:szCs w:val="24"/>
        </w:rPr>
        <w:t>blokkere</w:t>
      </w:r>
      <w:proofErr w:type="spellEnd"/>
      <w:r>
        <w:rPr>
          <w:sz w:val="24"/>
          <w:szCs w:val="24"/>
        </w:rPr>
        <w:t xml:space="preserve"> er kontraindiceret</w:t>
      </w:r>
    </w:p>
    <w:p w:rsidR="00D04D16" w:rsidRDefault="00D04D16" w:rsidP="00D04D16">
      <w:pPr>
        <w:tabs>
          <w:tab w:val="num" w:pos="1134"/>
        </w:tabs>
        <w:ind w:left="1134" w:hanging="283"/>
        <w:rPr>
          <w:sz w:val="24"/>
          <w:szCs w:val="24"/>
        </w:rPr>
      </w:pPr>
    </w:p>
    <w:p w:rsidR="00D04D16" w:rsidRDefault="00D04D16" w:rsidP="00D04D1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Til behandling af forhøjet, </w:t>
      </w:r>
      <w:proofErr w:type="spellStart"/>
      <w:r>
        <w:rPr>
          <w:sz w:val="24"/>
          <w:szCs w:val="24"/>
        </w:rPr>
        <w:t>intraokulært</w:t>
      </w:r>
      <w:proofErr w:type="spellEnd"/>
      <w:r>
        <w:rPr>
          <w:sz w:val="24"/>
          <w:szCs w:val="24"/>
        </w:rPr>
        <w:t xml:space="preserve"> tryk hos patienter med</w:t>
      </w:r>
    </w:p>
    <w:p w:rsidR="00D04D16" w:rsidRDefault="00D04D16" w:rsidP="00D04D16">
      <w:pPr>
        <w:pStyle w:val="Listeafsnit"/>
        <w:numPr>
          <w:ilvl w:val="1"/>
          <w:numId w:val="9"/>
        </w:numPr>
        <w:tabs>
          <w:tab w:val="clear" w:pos="1440"/>
          <w:tab w:val="num" w:pos="1134"/>
        </w:tabs>
        <w:ind w:left="1134" w:hanging="283"/>
        <w:rPr>
          <w:sz w:val="24"/>
          <w:szCs w:val="24"/>
        </w:rPr>
      </w:pPr>
      <w:proofErr w:type="spellStart"/>
      <w:r>
        <w:rPr>
          <w:sz w:val="24"/>
          <w:szCs w:val="24"/>
        </w:rPr>
        <w:t>okulær</w:t>
      </w:r>
      <w:proofErr w:type="spellEnd"/>
      <w:r>
        <w:rPr>
          <w:sz w:val="24"/>
          <w:szCs w:val="24"/>
        </w:rPr>
        <w:t xml:space="preserve"> hypertension,</w:t>
      </w:r>
    </w:p>
    <w:p w:rsidR="00D04D16" w:rsidRDefault="00D04D16" w:rsidP="00D04D16">
      <w:pPr>
        <w:pStyle w:val="Listeafsnit"/>
        <w:numPr>
          <w:ilvl w:val="1"/>
          <w:numId w:val="9"/>
        </w:numPr>
        <w:tabs>
          <w:tab w:val="clear" w:pos="1440"/>
          <w:tab w:val="num" w:pos="1134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åbenvinklet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>,</w:t>
      </w:r>
    </w:p>
    <w:p w:rsidR="00D04D16" w:rsidRDefault="00D04D16" w:rsidP="00D04D16">
      <w:pPr>
        <w:pStyle w:val="Listeafsnit"/>
        <w:numPr>
          <w:ilvl w:val="1"/>
          <w:numId w:val="9"/>
        </w:numPr>
        <w:tabs>
          <w:tab w:val="clear" w:pos="1440"/>
          <w:tab w:val="num" w:pos="1134"/>
        </w:tabs>
        <w:ind w:left="1134" w:hanging="283"/>
        <w:rPr>
          <w:sz w:val="24"/>
          <w:szCs w:val="24"/>
        </w:rPr>
      </w:pPr>
      <w:proofErr w:type="spellStart"/>
      <w:r>
        <w:rPr>
          <w:sz w:val="24"/>
          <w:szCs w:val="24"/>
        </w:rPr>
        <w:t>pseudoexfoliativt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>.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88596A" w:rsidRPr="00C84483" w:rsidRDefault="0088596A" w:rsidP="00885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D04D16" w:rsidRDefault="00D04D16" w:rsidP="00D04D16">
      <w:pPr>
        <w:ind w:left="851"/>
        <w:rPr>
          <w:sz w:val="24"/>
          <w:szCs w:val="24"/>
          <w:u w:val="single"/>
        </w:rPr>
      </w:pPr>
    </w:p>
    <w:p w:rsidR="00D04D16" w:rsidRPr="00CD6DCB" w:rsidRDefault="00D04D16" w:rsidP="00D04D16">
      <w:pPr>
        <w:ind w:left="851"/>
        <w:rPr>
          <w:b/>
          <w:sz w:val="24"/>
          <w:szCs w:val="24"/>
        </w:rPr>
      </w:pPr>
      <w:r w:rsidRPr="00CD6DCB">
        <w:rPr>
          <w:b/>
          <w:sz w:val="24"/>
          <w:szCs w:val="24"/>
        </w:rPr>
        <w:t>Dosering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Som monoterapi er dosis 1 dråbe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konjunktivalsækken</w:t>
      </w:r>
      <w:proofErr w:type="spellEnd"/>
      <w:r>
        <w:rPr>
          <w:sz w:val="24"/>
          <w:szCs w:val="24"/>
        </w:rPr>
        <w:t xml:space="preserve"> i de(t) afficerede øje (øjne) 3 gange daglig.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kombination med oftalmologisk β-blokker er dosis 1 dråbe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konjunktival</w:t>
      </w:r>
      <w:r>
        <w:rPr>
          <w:sz w:val="24"/>
          <w:szCs w:val="24"/>
        </w:rPr>
        <w:softHyphen/>
        <w:t>sækken</w:t>
      </w:r>
      <w:proofErr w:type="spellEnd"/>
      <w:r>
        <w:rPr>
          <w:sz w:val="24"/>
          <w:szCs w:val="24"/>
        </w:rPr>
        <w:t xml:space="preserve"> i de(t) afficerede øje (øjne) 2 gange daglig.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Skal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erstatte en anden oftalmologisk </w:t>
      </w:r>
      <w:proofErr w:type="spellStart"/>
      <w:r>
        <w:rPr>
          <w:sz w:val="24"/>
          <w:szCs w:val="24"/>
        </w:rPr>
        <w:t>antiglaukombehandling</w:t>
      </w:r>
      <w:proofErr w:type="spellEnd"/>
      <w:r>
        <w:rPr>
          <w:sz w:val="24"/>
          <w:szCs w:val="24"/>
        </w:rPr>
        <w:t xml:space="preserve">, seponeres denne anden behandling efter sædvanlig dosering den ene dag, og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behandling startes den efterfølgende dag.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mere end et </w:t>
      </w:r>
      <w:proofErr w:type="spellStart"/>
      <w:r>
        <w:rPr>
          <w:sz w:val="24"/>
          <w:szCs w:val="24"/>
        </w:rPr>
        <w:t>topikalt</w:t>
      </w:r>
      <w:proofErr w:type="spellEnd"/>
      <w:r>
        <w:rPr>
          <w:sz w:val="24"/>
          <w:szCs w:val="24"/>
        </w:rPr>
        <w:t xml:space="preserve"> oftalmologisk middel bruges, bør lægemidlerne administreres med mindst 10 minutters mellemrum.</w:t>
      </w:r>
    </w:p>
    <w:p w:rsidR="00D04D16" w:rsidRDefault="00D04D16" w:rsidP="0088596A">
      <w:pPr>
        <w:ind w:left="851"/>
        <w:rPr>
          <w:sz w:val="24"/>
          <w:szCs w:val="24"/>
          <w:u w:val="single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>Patienter bør instrueres i at vaske hænder før brug og undgå berøring af øjet eller øjenomgivelserne med spidsen af dispenseringsbeholderen, da dette kan forårsage øjenskader.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bør også instrueres i, at øjendråber, hvis de håndteres forkert, kan blive kontamineret af almindelige bakterier, som er kendt for at forårsage øjeninfektioner. Brug af kontaminerede opløsninger kan resultere i alvorlige skader på øjet og efterfølgende synstab. 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Delazo</w:t>
      </w:r>
      <w:proofErr w:type="spellEnd"/>
      <w:r>
        <w:rPr>
          <w:sz w:val="24"/>
          <w:szCs w:val="24"/>
        </w:rPr>
        <w:t xml:space="preserve"> øjendråber, opløsning er en steril opløsning, som ikke indeholder konserverings</w:t>
      </w:r>
      <w:r w:rsidR="00E21437">
        <w:rPr>
          <w:sz w:val="24"/>
          <w:szCs w:val="24"/>
        </w:rPr>
        <w:softHyphen/>
      </w:r>
      <w:r>
        <w:rPr>
          <w:sz w:val="24"/>
          <w:szCs w:val="24"/>
        </w:rPr>
        <w:t xml:space="preserve">middel. Opløsningen fra </w:t>
      </w:r>
      <w:proofErr w:type="spellStart"/>
      <w:r>
        <w:rPr>
          <w:sz w:val="24"/>
          <w:szCs w:val="24"/>
        </w:rPr>
        <w:t>multi</w:t>
      </w:r>
      <w:proofErr w:type="spellEnd"/>
      <w:r>
        <w:rPr>
          <w:sz w:val="24"/>
          <w:szCs w:val="24"/>
        </w:rPr>
        <w:t>-</w:t>
      </w:r>
      <w:r w:rsidR="00E21437">
        <w:rPr>
          <w:sz w:val="24"/>
          <w:szCs w:val="24"/>
        </w:rPr>
        <w:t>dosisbeholderen</w:t>
      </w:r>
      <w:r>
        <w:rPr>
          <w:sz w:val="24"/>
          <w:szCs w:val="24"/>
        </w:rPr>
        <w:t xml:space="preserve"> kan anvendes i op til 28 dage efter første åbning til administration i de(t) angrebne øjne/øje.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Pædiatrisk population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begrænsede kliniske data for pædiatriske patienter ved administration af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(med konserveringsmiddel) tre gange daglig. (For information om dosering til børn se pkt. 5.1).</w:t>
      </w:r>
    </w:p>
    <w:p w:rsidR="00D04D16" w:rsidRPr="0088596A" w:rsidRDefault="00D04D16" w:rsidP="00D04D16">
      <w:pPr>
        <w:ind w:left="851" w:hanging="851"/>
        <w:rPr>
          <w:sz w:val="24"/>
          <w:szCs w:val="24"/>
        </w:rPr>
      </w:pPr>
    </w:p>
    <w:p w:rsidR="00D04D16" w:rsidRPr="00CF4BB9" w:rsidRDefault="00D04D16" w:rsidP="00D04D16">
      <w:pPr>
        <w:ind w:left="851"/>
        <w:rPr>
          <w:b/>
          <w:sz w:val="24"/>
          <w:szCs w:val="24"/>
        </w:rPr>
      </w:pPr>
      <w:r w:rsidRPr="00CF4BB9">
        <w:rPr>
          <w:b/>
          <w:sz w:val="24"/>
          <w:szCs w:val="24"/>
        </w:rPr>
        <w:t>Indgivelses</w:t>
      </w:r>
      <w:r>
        <w:rPr>
          <w:b/>
          <w:sz w:val="24"/>
          <w:szCs w:val="24"/>
        </w:rPr>
        <w:t>måde</w:t>
      </w:r>
    </w:p>
    <w:p w:rsidR="00D04D16" w:rsidRPr="00CF4BB9" w:rsidRDefault="00D04D16" w:rsidP="00D04D16">
      <w:pPr>
        <w:ind w:left="851" w:hanging="851"/>
        <w:rPr>
          <w:sz w:val="24"/>
          <w:szCs w:val="24"/>
        </w:rPr>
      </w:pPr>
    </w:p>
    <w:p w:rsidR="00D04D16" w:rsidRDefault="00D04D16" w:rsidP="00D04D16">
      <w:pPr>
        <w:ind w:left="851"/>
        <w:rPr>
          <w:sz w:val="24"/>
          <w:szCs w:val="24"/>
          <w:u w:val="single"/>
        </w:rPr>
      </w:pPr>
      <w:r w:rsidRPr="001C0FE7">
        <w:rPr>
          <w:sz w:val="24"/>
          <w:szCs w:val="24"/>
          <w:u w:val="single"/>
        </w:rPr>
        <w:t xml:space="preserve">Før </w:t>
      </w:r>
      <w:proofErr w:type="spellStart"/>
      <w:r w:rsidRPr="001C0FE7">
        <w:rPr>
          <w:sz w:val="24"/>
          <w:szCs w:val="24"/>
          <w:u w:val="single"/>
        </w:rPr>
        <w:t>inddrypning</w:t>
      </w:r>
      <w:proofErr w:type="spellEnd"/>
      <w:r w:rsidRPr="001C0FE7">
        <w:rPr>
          <w:sz w:val="24"/>
          <w:szCs w:val="24"/>
          <w:u w:val="single"/>
        </w:rPr>
        <w:t xml:space="preserve"> af øjendråber</w:t>
      </w:r>
    </w:p>
    <w:p w:rsidR="00741ACA" w:rsidRPr="001C0FE7" w:rsidRDefault="00741ACA" w:rsidP="00D04D16">
      <w:pPr>
        <w:ind w:left="851"/>
        <w:rPr>
          <w:sz w:val="24"/>
          <w:szCs w:val="24"/>
          <w:u w:val="single"/>
        </w:rPr>
      </w:pPr>
    </w:p>
    <w:p w:rsidR="00D04D16" w:rsidRDefault="00D04D16" w:rsidP="00D04D16">
      <w:pPr>
        <w:pStyle w:val="Listeafsnit"/>
        <w:numPr>
          <w:ilvl w:val="0"/>
          <w:numId w:val="7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Patienterne skal informeres om at vaske hænder, før flasken åbnes. </w:t>
      </w:r>
    </w:p>
    <w:p w:rsidR="00D04D16" w:rsidRDefault="00D04D16" w:rsidP="00D04D16">
      <w:pPr>
        <w:pStyle w:val="Listeafsnit"/>
        <w:numPr>
          <w:ilvl w:val="0"/>
          <w:numId w:val="7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Patienterne skal informeres om, at de ikke må anvende lægemidlet, hvis forseglingen foran på flasken er brudt før første anvendelse. </w:t>
      </w:r>
    </w:p>
    <w:p w:rsidR="00D04D16" w:rsidRDefault="00D04D16" w:rsidP="00D04D16">
      <w:pPr>
        <w:pStyle w:val="Listeafsnit"/>
        <w:numPr>
          <w:ilvl w:val="0"/>
          <w:numId w:val="7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Når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bruges for første gang, før </w:t>
      </w:r>
      <w:proofErr w:type="spellStart"/>
      <w:r>
        <w:rPr>
          <w:sz w:val="24"/>
          <w:szCs w:val="24"/>
        </w:rPr>
        <w:t>inddrypning</w:t>
      </w:r>
      <w:proofErr w:type="spellEnd"/>
      <w:r>
        <w:rPr>
          <w:sz w:val="24"/>
          <w:szCs w:val="24"/>
        </w:rPr>
        <w:t xml:space="preserve"> i øjet, bør patienten øve sig i at bruge doseringsflasken ved at klemme den langsomt for at administrere en dråbe i luften, væk fra øjet. </w:t>
      </w:r>
    </w:p>
    <w:p w:rsidR="00D04D16" w:rsidRDefault="00D04D16" w:rsidP="00D04D16">
      <w:pPr>
        <w:pStyle w:val="Listeafsnit"/>
        <w:numPr>
          <w:ilvl w:val="0"/>
          <w:numId w:val="7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>Når patienten føler sig sikker på at kunne administ</w:t>
      </w:r>
      <w:r w:rsidR="008A39C7">
        <w:rPr>
          <w:sz w:val="24"/>
          <w:szCs w:val="24"/>
        </w:rPr>
        <w:t>r</w:t>
      </w:r>
      <w:r>
        <w:rPr>
          <w:sz w:val="24"/>
          <w:szCs w:val="24"/>
        </w:rPr>
        <w:t xml:space="preserve">ere en dråbe ad gangen, skal patienten indtage en position, der er mest behagelig for </w:t>
      </w:r>
      <w:proofErr w:type="spellStart"/>
      <w:r>
        <w:rPr>
          <w:sz w:val="24"/>
          <w:szCs w:val="24"/>
        </w:rPr>
        <w:t>inddrypning</w:t>
      </w:r>
      <w:proofErr w:type="spellEnd"/>
      <w:r>
        <w:rPr>
          <w:sz w:val="24"/>
          <w:szCs w:val="24"/>
        </w:rPr>
        <w:t xml:space="preserve"> af dråberne (patienten kan sidde ned, ligge på ryggen, eller stå foran et spejl).</w:t>
      </w:r>
    </w:p>
    <w:p w:rsidR="00D04D16" w:rsidRDefault="00D04D16" w:rsidP="00D04D16">
      <w:pPr>
        <w:pStyle w:val="Listeafsnit"/>
        <w:ind w:left="851" w:hanging="851"/>
        <w:rPr>
          <w:sz w:val="24"/>
          <w:szCs w:val="24"/>
        </w:rPr>
      </w:pPr>
    </w:p>
    <w:p w:rsidR="00D04D16" w:rsidRDefault="00D04D16" w:rsidP="00D04D16">
      <w:pPr>
        <w:ind w:left="851"/>
        <w:rPr>
          <w:sz w:val="24"/>
          <w:szCs w:val="24"/>
          <w:u w:val="single"/>
        </w:rPr>
      </w:pPr>
      <w:proofErr w:type="spellStart"/>
      <w:r w:rsidRPr="001C0FE7">
        <w:rPr>
          <w:sz w:val="24"/>
          <w:szCs w:val="24"/>
          <w:u w:val="single"/>
        </w:rPr>
        <w:t>Inddrypning</w:t>
      </w:r>
      <w:proofErr w:type="spellEnd"/>
    </w:p>
    <w:p w:rsidR="00741ACA" w:rsidRPr="001C0FE7" w:rsidRDefault="00741ACA" w:rsidP="00D04D16">
      <w:pPr>
        <w:ind w:left="851"/>
        <w:rPr>
          <w:sz w:val="24"/>
          <w:szCs w:val="24"/>
          <w:u w:val="single"/>
        </w:rPr>
      </w:pPr>
    </w:p>
    <w:p w:rsidR="00D04D16" w:rsidRDefault="00D04D16" w:rsidP="00250ECC">
      <w:pPr>
        <w:numPr>
          <w:ilvl w:val="0"/>
          <w:numId w:val="10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Flasken bør holdes direkte under hætten, og hætten skal drejes for at åbne flasken. For at undgå kontaminering af opløsningen må spidsen af flasken ikke røre ved noget.</w:t>
      </w:r>
    </w:p>
    <w:p w:rsidR="00D04D16" w:rsidRDefault="00D04D16" w:rsidP="00250ECC">
      <w:pPr>
        <w:tabs>
          <w:tab w:val="num" w:pos="1134"/>
        </w:tabs>
        <w:ind w:left="1276" w:hanging="425"/>
        <w:rPr>
          <w:sz w:val="24"/>
          <w:szCs w:val="24"/>
        </w:rPr>
      </w:pPr>
    </w:p>
    <w:p w:rsidR="00D04D16" w:rsidRPr="00250ECC" w:rsidRDefault="00D04D16" w:rsidP="00250ECC">
      <w:pPr>
        <w:pStyle w:val="Listeafsnit"/>
        <w:tabs>
          <w:tab w:val="num" w:pos="1134"/>
        </w:tabs>
        <w:ind w:left="1276"/>
        <w:rPr>
          <w:sz w:val="24"/>
          <w:szCs w:val="24"/>
        </w:rPr>
      </w:pPr>
      <w:r>
        <w:rPr>
          <w:noProof/>
          <w:lang w:eastAsia="da-DK"/>
        </w:rPr>
        <w:lastRenderedPageBreak/>
        <w:drawing>
          <wp:inline distT="0" distB="0" distL="0" distR="0" wp14:anchorId="3BC565AC" wp14:editId="1EDA414B">
            <wp:extent cx="1280160" cy="115062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16" w:rsidRDefault="00D04D16" w:rsidP="00250ECC">
      <w:pPr>
        <w:tabs>
          <w:tab w:val="num" w:pos="1134"/>
        </w:tabs>
        <w:ind w:left="1276" w:hanging="425"/>
        <w:rPr>
          <w:sz w:val="24"/>
          <w:szCs w:val="24"/>
        </w:rPr>
      </w:pPr>
    </w:p>
    <w:p w:rsidR="00D04D16" w:rsidRPr="00741ACA" w:rsidRDefault="00D04D16" w:rsidP="00250ECC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741ACA">
        <w:rPr>
          <w:sz w:val="24"/>
          <w:szCs w:val="24"/>
        </w:rPr>
        <w:t xml:space="preserve">Patienten skal bøje hovedet bagover og holde flasken over øjet. </w:t>
      </w:r>
    </w:p>
    <w:p w:rsidR="00D04D16" w:rsidRPr="00741ACA" w:rsidRDefault="00D04D16" w:rsidP="00250ECC">
      <w:pPr>
        <w:ind w:left="1276" w:hanging="425"/>
        <w:rPr>
          <w:sz w:val="24"/>
          <w:szCs w:val="24"/>
        </w:rPr>
      </w:pPr>
    </w:p>
    <w:p w:rsidR="00D04D16" w:rsidRPr="00741ACA" w:rsidRDefault="00D04D16" w:rsidP="00250ECC">
      <w:pPr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741ACA">
        <w:rPr>
          <w:sz w:val="24"/>
          <w:szCs w:val="24"/>
        </w:rPr>
        <w:t xml:space="preserve">Patienten skal forsigtigt trække ned i det nederste øjenlåg og kigge op. Flasken skal klemmes forsigtigt på midten, så en dråbe kan falde ned i patientens øje. Bemærk, at der kan være nogle få sekunders forsinkelse fra man klemmer flasken, til dråben kommer ud. Flasken må ikke klemmes for hårdt. </w:t>
      </w:r>
    </w:p>
    <w:p w:rsidR="00250ECC" w:rsidRPr="00741ACA" w:rsidRDefault="00250ECC" w:rsidP="000F6C3A">
      <w:pPr>
        <w:tabs>
          <w:tab w:val="num" w:pos="1134"/>
        </w:tabs>
        <w:ind w:left="1276"/>
        <w:rPr>
          <w:sz w:val="24"/>
          <w:szCs w:val="24"/>
        </w:rPr>
      </w:pPr>
    </w:p>
    <w:p w:rsidR="00D04D16" w:rsidRPr="00741ACA" w:rsidRDefault="00D04D16" w:rsidP="000F6C3A">
      <w:pPr>
        <w:tabs>
          <w:tab w:val="num" w:pos="1134"/>
        </w:tabs>
        <w:ind w:left="1276"/>
        <w:rPr>
          <w:sz w:val="24"/>
          <w:szCs w:val="24"/>
        </w:rPr>
      </w:pPr>
      <w:r w:rsidRPr="00741ACA">
        <w:rPr>
          <w:sz w:val="24"/>
          <w:szCs w:val="24"/>
        </w:rPr>
        <w:t>Patienterne skal opfordres til at søge råd hos deres læge, apoteket eller sygeplejersken, hvis de ikke er sikker på, hvordan de skal administrere deres medicin.</w:t>
      </w:r>
    </w:p>
    <w:p w:rsidR="00D04D16" w:rsidRPr="000F6C3A" w:rsidRDefault="00D04D16" w:rsidP="000F6C3A">
      <w:pPr>
        <w:tabs>
          <w:tab w:val="num" w:pos="1134"/>
        </w:tabs>
        <w:ind w:left="1276"/>
        <w:rPr>
          <w:sz w:val="24"/>
          <w:szCs w:val="24"/>
        </w:rPr>
      </w:pPr>
      <w:r>
        <w:rPr>
          <w:noProof/>
          <w:lang w:eastAsia="da-DK"/>
        </w:rPr>
        <w:drawing>
          <wp:inline distT="0" distB="0" distL="0" distR="0" wp14:anchorId="36078A80" wp14:editId="5A592970">
            <wp:extent cx="1318260" cy="1249680"/>
            <wp:effectExtent l="0" t="0" r="0" b="762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16" w:rsidRDefault="00D04D16" w:rsidP="00250ECC">
      <w:pPr>
        <w:tabs>
          <w:tab w:val="num" w:pos="1134"/>
        </w:tabs>
        <w:ind w:left="1276" w:hanging="425"/>
        <w:rPr>
          <w:sz w:val="24"/>
          <w:szCs w:val="24"/>
        </w:rPr>
      </w:pPr>
    </w:p>
    <w:p w:rsidR="00D04D16" w:rsidRDefault="00741ACA" w:rsidP="00250ECC">
      <w:pPr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7E3DF0">
        <w:rPr>
          <w:sz w:val="24"/>
          <w:szCs w:val="24"/>
        </w:rPr>
        <w:t>Patienten skal blinke med øjet nogle få gange, så dråben spredes i øjet.</w:t>
      </w:r>
      <w:r w:rsidRPr="00126962">
        <w:rPr>
          <w:sz w:val="24"/>
          <w:szCs w:val="24"/>
        </w:rPr>
        <w:t xml:space="preserve"> </w:t>
      </w:r>
      <w:r w:rsidRPr="0056673B">
        <w:rPr>
          <w:bCs/>
          <w:iCs/>
          <w:sz w:val="24"/>
          <w:szCs w:val="24"/>
        </w:rPr>
        <w:t xml:space="preserve">Når der anvendes </w:t>
      </w:r>
      <w:proofErr w:type="spellStart"/>
      <w:r w:rsidRPr="0056673B">
        <w:rPr>
          <w:bCs/>
          <w:iCs/>
          <w:sz w:val="24"/>
          <w:szCs w:val="24"/>
        </w:rPr>
        <w:t>nasolacrimal</w:t>
      </w:r>
      <w:proofErr w:type="spellEnd"/>
      <w:r w:rsidRPr="0056673B">
        <w:rPr>
          <w:bCs/>
          <w:iCs/>
          <w:sz w:val="24"/>
          <w:szCs w:val="24"/>
        </w:rPr>
        <w:t xml:space="preserve"> </w:t>
      </w:r>
      <w:proofErr w:type="spellStart"/>
      <w:r w:rsidRPr="0056673B">
        <w:rPr>
          <w:bCs/>
          <w:iCs/>
          <w:sz w:val="24"/>
          <w:szCs w:val="24"/>
        </w:rPr>
        <w:t>okklusion</w:t>
      </w:r>
      <w:proofErr w:type="spellEnd"/>
      <w:r w:rsidRPr="0056673B">
        <w:rPr>
          <w:bCs/>
          <w:iCs/>
          <w:sz w:val="24"/>
          <w:szCs w:val="24"/>
        </w:rPr>
        <w:t>, eller når øjenlågene lukkes i 2 minutter, reduceres den systemiske absorption. Dette kan resultere i et fald i systemiske bivirkninger og en stigning i lokal aktivitet.</w:t>
      </w:r>
    </w:p>
    <w:p w:rsidR="00D04D16" w:rsidRPr="000F6C3A" w:rsidRDefault="00D04D16" w:rsidP="000F6C3A">
      <w:pPr>
        <w:tabs>
          <w:tab w:val="num" w:pos="1134"/>
        </w:tabs>
        <w:ind w:left="1276"/>
        <w:rPr>
          <w:sz w:val="24"/>
          <w:szCs w:val="24"/>
        </w:rPr>
      </w:pPr>
      <w:r>
        <w:rPr>
          <w:noProof/>
          <w:lang w:eastAsia="da-DK"/>
        </w:rPr>
        <w:drawing>
          <wp:inline distT="0" distB="0" distL="0" distR="0" wp14:anchorId="29979ED5" wp14:editId="38B50F7F">
            <wp:extent cx="1295400" cy="118872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16" w:rsidRDefault="00D04D16" w:rsidP="000F6C3A">
      <w:pPr>
        <w:ind w:left="1276"/>
        <w:rPr>
          <w:sz w:val="24"/>
          <w:szCs w:val="24"/>
        </w:rPr>
      </w:pPr>
    </w:p>
    <w:p w:rsidR="00D04D16" w:rsidRPr="000F6C3A" w:rsidRDefault="00D04D16" w:rsidP="000F6C3A">
      <w:pPr>
        <w:numPr>
          <w:ilvl w:val="0"/>
          <w:numId w:val="10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Vejledningens punkt 2-4 skal gentages for administration i det andet øje, om nødvendigt. Patienten skal tydeligt informeres om, hvis kun det ene øje kræver behandling, og i så fald hvilket øje, det drejer sig om.</w:t>
      </w:r>
    </w:p>
    <w:p w:rsidR="00D04D16" w:rsidRDefault="00D04D16" w:rsidP="00250ECC">
      <w:pPr>
        <w:tabs>
          <w:tab w:val="num" w:pos="1134"/>
        </w:tabs>
        <w:ind w:left="1276" w:hanging="425"/>
        <w:rPr>
          <w:sz w:val="24"/>
          <w:szCs w:val="24"/>
        </w:rPr>
      </w:pPr>
    </w:p>
    <w:p w:rsidR="00D04D16" w:rsidRDefault="00D04D16" w:rsidP="00250ECC">
      <w:pPr>
        <w:numPr>
          <w:ilvl w:val="0"/>
          <w:numId w:val="10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Efter brug og før hætten sættes på, skal flasken rystes én gang i en nedadgående retning, uden at røre dråbespidsen, for at fjerne enhver resterende væske på spidsen. Dette er nødvendigt for at sikre administration af efterfølgende dråber.</w:t>
      </w:r>
    </w:p>
    <w:p w:rsidR="00D04D16" w:rsidRPr="000F6C3A" w:rsidRDefault="00D04D16" w:rsidP="000F6C3A">
      <w:pPr>
        <w:ind w:left="1276"/>
        <w:rPr>
          <w:sz w:val="24"/>
          <w:szCs w:val="24"/>
        </w:rPr>
      </w:pPr>
      <w:r>
        <w:rPr>
          <w:noProof/>
          <w:lang w:eastAsia="da-DK"/>
        </w:rPr>
        <w:lastRenderedPageBreak/>
        <w:drawing>
          <wp:inline distT="0" distB="0" distL="0" distR="0" wp14:anchorId="152044DE" wp14:editId="11FEC84D">
            <wp:extent cx="1356360" cy="154686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16" w:rsidRPr="00922E67" w:rsidRDefault="00D04D16" w:rsidP="000F6C3A">
      <w:pPr>
        <w:pStyle w:val="Listeafsnit"/>
        <w:ind w:left="1276"/>
        <w:rPr>
          <w:sz w:val="24"/>
          <w:szCs w:val="24"/>
        </w:rPr>
      </w:pPr>
    </w:p>
    <w:p w:rsidR="00D04D16" w:rsidRDefault="00D04D16" w:rsidP="00250ECC">
      <w:pPr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922E67">
        <w:rPr>
          <w:color w:val="222222"/>
          <w:sz w:val="24"/>
          <w:szCs w:val="24"/>
        </w:rPr>
        <w:t>Ved slutningen af den 28</w:t>
      </w:r>
      <w:r>
        <w:rPr>
          <w:color w:val="222222"/>
          <w:sz w:val="24"/>
          <w:szCs w:val="24"/>
        </w:rPr>
        <w:t>. dag efter</w:t>
      </w:r>
      <w:r w:rsidRPr="00922E67">
        <w:rPr>
          <w:color w:val="222222"/>
          <w:sz w:val="24"/>
          <w:szCs w:val="24"/>
        </w:rPr>
        <w:t xml:space="preserve"> anbrud af lægemidlet</w:t>
      </w:r>
      <w:r w:rsidRPr="00922E67">
        <w:rPr>
          <w:sz w:val="24"/>
          <w:szCs w:val="24"/>
        </w:rPr>
        <w:t xml:space="preserve"> vil der være noget </w:t>
      </w:r>
      <w:proofErr w:type="spellStart"/>
      <w:r w:rsidRPr="00922E67">
        <w:rPr>
          <w:sz w:val="24"/>
          <w:szCs w:val="24"/>
        </w:rPr>
        <w:t>Delazo</w:t>
      </w:r>
      <w:proofErr w:type="spellEnd"/>
      <w:r w:rsidRPr="00922E67">
        <w:rPr>
          <w:sz w:val="24"/>
          <w:szCs w:val="24"/>
        </w:rPr>
        <w:t xml:space="preserve"> tilbage i flasken. Patienten bør ikke forsøge at bruge den overskydende medicin, som er tilbage i</w:t>
      </w:r>
      <w:r>
        <w:rPr>
          <w:sz w:val="24"/>
          <w:szCs w:val="24"/>
        </w:rPr>
        <w:t xml:space="preserve"> flasken efter at behandlingen er afsluttet. Patienten må ikke bruge øjendråberne i mere end 28 dage efter første åbning af flasken.</w:t>
      </w:r>
    </w:p>
    <w:p w:rsidR="00D04D16" w:rsidRDefault="00D04D16" w:rsidP="00D04D16">
      <w:pPr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D04D16" w:rsidRPr="0088596A" w:rsidRDefault="00D04D16" w:rsidP="0088596A">
      <w:pPr>
        <w:ind w:left="851"/>
        <w:rPr>
          <w:sz w:val="24"/>
          <w:szCs w:val="24"/>
        </w:rPr>
      </w:pPr>
      <w:r w:rsidRPr="0088596A">
        <w:rPr>
          <w:sz w:val="24"/>
          <w:szCs w:val="24"/>
        </w:rPr>
        <w:t>Overfølsomhed over for det aktive stof eller over for et eller flere af hjælpestofferne, an</w:t>
      </w:r>
      <w:r w:rsidRPr="0088596A">
        <w:rPr>
          <w:color w:val="222222"/>
          <w:sz w:val="24"/>
          <w:szCs w:val="24"/>
        </w:rPr>
        <w:t xml:space="preserve">ført i </w:t>
      </w:r>
      <w:r w:rsidRPr="0088596A">
        <w:rPr>
          <w:sz w:val="24"/>
          <w:szCs w:val="24"/>
        </w:rPr>
        <w:t xml:space="preserve">pkt. </w:t>
      </w:r>
      <w:r w:rsidRPr="0088596A">
        <w:rPr>
          <w:color w:val="222222"/>
          <w:sz w:val="24"/>
          <w:szCs w:val="24"/>
        </w:rPr>
        <w:t>6.1.</w:t>
      </w:r>
    </w:p>
    <w:p w:rsidR="00D04D16" w:rsidRPr="0088596A" w:rsidRDefault="00D04D16" w:rsidP="0088596A">
      <w:pPr>
        <w:ind w:left="851"/>
        <w:rPr>
          <w:sz w:val="24"/>
          <w:szCs w:val="24"/>
        </w:rPr>
      </w:pPr>
    </w:p>
    <w:p w:rsidR="00D04D16" w:rsidRPr="0088596A" w:rsidRDefault="00D04D16" w:rsidP="0088596A">
      <w:pPr>
        <w:ind w:left="851"/>
        <w:rPr>
          <w:sz w:val="24"/>
          <w:szCs w:val="24"/>
        </w:rPr>
      </w:pPr>
      <w:proofErr w:type="spellStart"/>
      <w:r w:rsidRPr="0088596A">
        <w:rPr>
          <w:sz w:val="24"/>
          <w:szCs w:val="24"/>
        </w:rPr>
        <w:t>Dorzolamid</w:t>
      </w:r>
      <w:proofErr w:type="spellEnd"/>
      <w:r w:rsidRPr="0088596A">
        <w:rPr>
          <w:sz w:val="24"/>
          <w:szCs w:val="24"/>
        </w:rPr>
        <w:t xml:space="preserve"> er ikke undersøgt hos patienter med svært nedsat nyrefunktion (</w:t>
      </w:r>
      <w:proofErr w:type="spellStart"/>
      <w:r w:rsidRPr="0088596A">
        <w:rPr>
          <w:sz w:val="24"/>
          <w:szCs w:val="24"/>
        </w:rPr>
        <w:t>CrCl</w:t>
      </w:r>
      <w:proofErr w:type="spellEnd"/>
      <w:r w:rsidRPr="0088596A">
        <w:rPr>
          <w:sz w:val="24"/>
          <w:szCs w:val="24"/>
        </w:rPr>
        <w:t xml:space="preserve"> &lt;</w:t>
      </w:r>
      <w:r w:rsidR="008A39C7">
        <w:rPr>
          <w:sz w:val="24"/>
          <w:szCs w:val="24"/>
        </w:rPr>
        <w:t> </w:t>
      </w:r>
      <w:r w:rsidRPr="0088596A">
        <w:rPr>
          <w:sz w:val="24"/>
          <w:szCs w:val="24"/>
        </w:rPr>
        <w:t>30</w:t>
      </w:r>
      <w:r w:rsidR="008A39C7">
        <w:rPr>
          <w:sz w:val="24"/>
          <w:szCs w:val="24"/>
        </w:rPr>
        <w:t> </w:t>
      </w:r>
      <w:r w:rsidRPr="0088596A">
        <w:rPr>
          <w:sz w:val="24"/>
          <w:szCs w:val="24"/>
        </w:rPr>
        <w:t xml:space="preserve">ml/min) eller hos patienter med </w:t>
      </w:r>
      <w:proofErr w:type="spellStart"/>
      <w:r w:rsidRPr="0088596A">
        <w:rPr>
          <w:sz w:val="24"/>
          <w:szCs w:val="24"/>
        </w:rPr>
        <w:t>hyperkloræmisk</w:t>
      </w:r>
      <w:proofErr w:type="spellEnd"/>
      <w:r w:rsidRPr="0088596A">
        <w:rPr>
          <w:sz w:val="24"/>
          <w:szCs w:val="24"/>
        </w:rPr>
        <w:t xml:space="preserve"> </w:t>
      </w:r>
      <w:proofErr w:type="spellStart"/>
      <w:r w:rsidRPr="0088596A">
        <w:rPr>
          <w:sz w:val="24"/>
          <w:szCs w:val="24"/>
        </w:rPr>
        <w:t>acidose</w:t>
      </w:r>
      <w:proofErr w:type="spellEnd"/>
      <w:r w:rsidRPr="0088596A">
        <w:rPr>
          <w:sz w:val="24"/>
          <w:szCs w:val="24"/>
        </w:rPr>
        <w:t xml:space="preserve">. Da </w:t>
      </w:r>
      <w:proofErr w:type="spellStart"/>
      <w:r w:rsidRPr="0088596A">
        <w:rPr>
          <w:sz w:val="24"/>
          <w:szCs w:val="24"/>
        </w:rPr>
        <w:t>dorzolamid</w:t>
      </w:r>
      <w:proofErr w:type="spellEnd"/>
      <w:r w:rsidRPr="0088596A">
        <w:rPr>
          <w:sz w:val="24"/>
          <w:szCs w:val="24"/>
        </w:rPr>
        <w:t xml:space="preserve"> og dets metabolitter hovedsageligt udskilles gennem nyrerne, er </w:t>
      </w:r>
      <w:proofErr w:type="spellStart"/>
      <w:r w:rsidRPr="0088596A">
        <w:rPr>
          <w:sz w:val="24"/>
          <w:szCs w:val="24"/>
        </w:rPr>
        <w:t>dorzolamid</w:t>
      </w:r>
      <w:proofErr w:type="spellEnd"/>
      <w:r w:rsidRPr="0088596A">
        <w:rPr>
          <w:sz w:val="24"/>
          <w:szCs w:val="24"/>
        </w:rPr>
        <w:t xml:space="preserve"> kontraindiceret til sådanne patienter.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D04D16" w:rsidRDefault="00D04D16" w:rsidP="0088596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er ikke undersøgt hos patienter med nedsat leverfunktion og bør derfor anvendes med forsigtighed til sådanne patienter.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af patienter med akut </w:t>
      </w:r>
      <w:proofErr w:type="spellStart"/>
      <w:r>
        <w:rPr>
          <w:sz w:val="24"/>
          <w:szCs w:val="24"/>
        </w:rPr>
        <w:t>lukketvinklet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kræver terapeutisk intervention ud over et </w:t>
      </w:r>
      <w:proofErr w:type="spellStart"/>
      <w:r>
        <w:rPr>
          <w:sz w:val="24"/>
          <w:szCs w:val="24"/>
        </w:rPr>
        <w:t>okulært</w:t>
      </w:r>
      <w:proofErr w:type="spellEnd"/>
      <w:r>
        <w:rPr>
          <w:sz w:val="24"/>
          <w:szCs w:val="24"/>
        </w:rPr>
        <w:t xml:space="preserve"> hypotensionsmiddel.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er ikke undersøgt hos patienter med akut </w:t>
      </w:r>
      <w:proofErr w:type="spellStart"/>
      <w:r>
        <w:rPr>
          <w:sz w:val="24"/>
          <w:szCs w:val="24"/>
        </w:rPr>
        <w:t>lukketvinklet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>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indeholder en sulfonamid-gruppe, der også findes i sulfonamider, og som selv ved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administration, absorberes systemisk. Efter lokalbehandling kan der derfor opstå bivirkninger, som kan tilskrives sulfonamider, herunder Stevens-Johnson syndrom og toksisk </w:t>
      </w:r>
      <w:proofErr w:type="spellStart"/>
      <w:r>
        <w:rPr>
          <w:sz w:val="24"/>
          <w:szCs w:val="24"/>
        </w:rPr>
        <w:t>epidermal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nekrolyse</w:t>
      </w:r>
      <w:proofErr w:type="spellEnd"/>
      <w:r>
        <w:rPr>
          <w:sz w:val="24"/>
          <w:szCs w:val="24"/>
        </w:rPr>
        <w:t>. Hvis der er tegn på alvorlige reaktioner, eller der opstår overfølsomhed, skal brugen af dette lægemiddel seponeres.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med orale </w:t>
      </w:r>
      <w:proofErr w:type="spellStart"/>
      <w:r>
        <w:rPr>
          <w:sz w:val="24"/>
          <w:szCs w:val="24"/>
        </w:rPr>
        <w:t>carboanhydrasehæmmere</w:t>
      </w:r>
      <w:proofErr w:type="spellEnd"/>
      <w:r>
        <w:rPr>
          <w:sz w:val="24"/>
          <w:szCs w:val="24"/>
        </w:rPr>
        <w:t xml:space="preserve"> har været associeret med </w:t>
      </w:r>
      <w:proofErr w:type="spellStart"/>
      <w:r>
        <w:rPr>
          <w:sz w:val="24"/>
          <w:szCs w:val="24"/>
        </w:rPr>
        <w:t>urolithiasis</w:t>
      </w:r>
      <w:proofErr w:type="spellEnd"/>
      <w:r>
        <w:rPr>
          <w:sz w:val="24"/>
          <w:szCs w:val="24"/>
        </w:rPr>
        <w:t xml:space="preserve"> som følge af syre- baseforstyrrelser, specielt hos patienter med nyresten i anamnesen. Selvom der ikke er set syre- baseforstyrrelser med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, er der, sjældent, rapporteret tilfælde af </w:t>
      </w:r>
      <w:proofErr w:type="spellStart"/>
      <w:r>
        <w:rPr>
          <w:sz w:val="24"/>
          <w:szCs w:val="24"/>
        </w:rPr>
        <w:t>urolithiasis</w:t>
      </w:r>
      <w:proofErr w:type="spellEnd"/>
      <w:r>
        <w:rPr>
          <w:sz w:val="24"/>
          <w:szCs w:val="24"/>
        </w:rPr>
        <w:t xml:space="preserve">. Da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er en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carboanhydrasehæmmer</w:t>
      </w:r>
      <w:proofErr w:type="spellEnd"/>
      <w:r>
        <w:rPr>
          <w:sz w:val="24"/>
          <w:szCs w:val="24"/>
        </w:rPr>
        <w:t xml:space="preserve">, som absorberes systemisk, kan patienter med nyresten i anamnesen have øget risiko for </w:t>
      </w:r>
      <w:proofErr w:type="spellStart"/>
      <w:r>
        <w:rPr>
          <w:sz w:val="24"/>
          <w:szCs w:val="24"/>
        </w:rPr>
        <w:t>urolithiasis</w:t>
      </w:r>
      <w:proofErr w:type="spellEnd"/>
      <w:r>
        <w:rPr>
          <w:sz w:val="24"/>
          <w:szCs w:val="24"/>
        </w:rPr>
        <w:t xml:space="preserve"> under </w:t>
      </w:r>
      <w:proofErr w:type="spellStart"/>
      <w:r>
        <w:rPr>
          <w:sz w:val="24"/>
          <w:szCs w:val="24"/>
        </w:rPr>
        <w:t>dorzolamidbehandling</w:t>
      </w:r>
      <w:proofErr w:type="spellEnd"/>
      <w:r>
        <w:rPr>
          <w:sz w:val="24"/>
          <w:szCs w:val="24"/>
        </w:rPr>
        <w:t>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allergiske reaktioner (f.eks. </w:t>
      </w:r>
      <w:proofErr w:type="spellStart"/>
      <w:r>
        <w:rPr>
          <w:sz w:val="24"/>
          <w:szCs w:val="24"/>
        </w:rPr>
        <w:t>konjunktivitis</w:t>
      </w:r>
      <w:proofErr w:type="spellEnd"/>
      <w:r>
        <w:rPr>
          <w:sz w:val="24"/>
          <w:szCs w:val="24"/>
        </w:rPr>
        <w:t xml:space="preserve"> og øjenlågsreaktioner) observeres, bør det overvejes at seponere behandlingen med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>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 i behandling med oral </w:t>
      </w:r>
      <w:proofErr w:type="spellStart"/>
      <w:r>
        <w:rPr>
          <w:sz w:val="24"/>
          <w:szCs w:val="24"/>
        </w:rPr>
        <w:t>carboanhydrasehæmmer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er der potentiale for en </w:t>
      </w:r>
      <w:proofErr w:type="gramStart"/>
      <w:r>
        <w:rPr>
          <w:sz w:val="24"/>
          <w:szCs w:val="24"/>
        </w:rPr>
        <w:t>additiv effekt</w:t>
      </w:r>
      <w:proofErr w:type="gramEnd"/>
      <w:r>
        <w:rPr>
          <w:sz w:val="24"/>
          <w:szCs w:val="24"/>
        </w:rPr>
        <w:t xml:space="preserve"> på de kendte systemiske virkninger af </w:t>
      </w:r>
      <w:proofErr w:type="spellStart"/>
      <w:r>
        <w:rPr>
          <w:sz w:val="24"/>
          <w:szCs w:val="24"/>
        </w:rPr>
        <w:t>carboanhydrase</w:t>
      </w:r>
      <w:r>
        <w:rPr>
          <w:sz w:val="24"/>
          <w:szCs w:val="24"/>
        </w:rPr>
        <w:softHyphen/>
      </w:r>
      <w:r>
        <w:rPr>
          <w:sz w:val="24"/>
          <w:szCs w:val="24"/>
        </w:rPr>
        <w:lastRenderedPageBreak/>
        <w:t>hæmning</w:t>
      </w:r>
      <w:proofErr w:type="spellEnd"/>
      <w:r>
        <w:rPr>
          <w:sz w:val="24"/>
          <w:szCs w:val="24"/>
        </w:rPr>
        <w:t xml:space="preserve">. Samtidigt brug af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og orale </w:t>
      </w:r>
      <w:proofErr w:type="spellStart"/>
      <w:r>
        <w:rPr>
          <w:sz w:val="24"/>
          <w:szCs w:val="24"/>
        </w:rPr>
        <w:t>carboanhydrasehæmmere</w:t>
      </w:r>
      <w:proofErr w:type="spellEnd"/>
      <w:r>
        <w:rPr>
          <w:sz w:val="24"/>
          <w:szCs w:val="24"/>
        </w:rPr>
        <w:t xml:space="preserve"> kan ikke anbefales.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behandling med </w:t>
      </w:r>
      <w:proofErr w:type="spellStart"/>
      <w:r>
        <w:rPr>
          <w:sz w:val="24"/>
          <w:szCs w:val="24"/>
        </w:rPr>
        <w:t>multi</w:t>
      </w:r>
      <w:proofErr w:type="spellEnd"/>
      <w:r>
        <w:rPr>
          <w:sz w:val="24"/>
          <w:szCs w:val="24"/>
        </w:rPr>
        <w:t xml:space="preserve">-dosering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(med konserveringsmiddel) er der rapporteret om kornealt ødem og irreversibel </w:t>
      </w:r>
      <w:proofErr w:type="spellStart"/>
      <w:r>
        <w:rPr>
          <w:sz w:val="24"/>
          <w:szCs w:val="24"/>
        </w:rPr>
        <w:t>korneal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dekompensation</w:t>
      </w:r>
      <w:proofErr w:type="spellEnd"/>
      <w:r>
        <w:rPr>
          <w:sz w:val="24"/>
          <w:szCs w:val="24"/>
        </w:rPr>
        <w:t xml:space="preserve"> hos patienter med allerede eksisterende, kronisk </w:t>
      </w:r>
      <w:proofErr w:type="spellStart"/>
      <w:r>
        <w:rPr>
          <w:sz w:val="24"/>
          <w:szCs w:val="24"/>
        </w:rPr>
        <w:t>korneadefekt</w:t>
      </w:r>
      <w:proofErr w:type="spellEnd"/>
      <w:r>
        <w:rPr>
          <w:sz w:val="24"/>
          <w:szCs w:val="24"/>
        </w:rPr>
        <w:t xml:space="preserve"> og/eller </w:t>
      </w:r>
      <w:proofErr w:type="spellStart"/>
      <w:r>
        <w:rPr>
          <w:sz w:val="24"/>
          <w:szCs w:val="24"/>
        </w:rPr>
        <w:t>intraokulær</w:t>
      </w:r>
      <w:proofErr w:type="spellEnd"/>
      <w:r>
        <w:rPr>
          <w:sz w:val="24"/>
          <w:szCs w:val="24"/>
        </w:rPr>
        <w:t xml:space="preserve"> operation i anamnesen under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bør anvendes med forsigtighed hos sådanne patienter.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rapporteret </w:t>
      </w:r>
      <w:proofErr w:type="spellStart"/>
      <w:r>
        <w:rPr>
          <w:sz w:val="24"/>
          <w:szCs w:val="24"/>
        </w:rPr>
        <w:t>choroidalløsning</w:t>
      </w:r>
      <w:proofErr w:type="spellEnd"/>
      <w:r>
        <w:rPr>
          <w:sz w:val="24"/>
          <w:szCs w:val="24"/>
        </w:rPr>
        <w:t xml:space="preserve"> og samtidig </w:t>
      </w:r>
      <w:proofErr w:type="spellStart"/>
      <w:r>
        <w:rPr>
          <w:sz w:val="24"/>
          <w:szCs w:val="24"/>
        </w:rPr>
        <w:t>okulær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hypotoni</w:t>
      </w:r>
      <w:proofErr w:type="spellEnd"/>
      <w:r>
        <w:rPr>
          <w:sz w:val="24"/>
          <w:szCs w:val="24"/>
        </w:rPr>
        <w:t xml:space="preserve"> efter </w:t>
      </w:r>
      <w:proofErr w:type="spellStart"/>
      <w:r>
        <w:rPr>
          <w:sz w:val="24"/>
          <w:szCs w:val="24"/>
        </w:rPr>
        <w:t>trabekulektomi</w:t>
      </w:r>
      <w:proofErr w:type="spellEnd"/>
      <w:r>
        <w:rPr>
          <w:sz w:val="24"/>
          <w:szCs w:val="24"/>
        </w:rPr>
        <w:t xml:space="preserve"> i forbindelse med kammervæskehæmmende behandling.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>Patienter med kontaktallergi over for sølv i anamnesen bør ikke bruge dette lægemiddel, da de dispenserede dråber kan indeholde spor af sølv, fra beholderlukket.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b/>
          <w:sz w:val="24"/>
          <w:szCs w:val="24"/>
        </w:rPr>
      </w:pPr>
      <w:r>
        <w:rPr>
          <w:sz w:val="24"/>
          <w:szCs w:val="24"/>
        </w:rPr>
        <w:t>Dette lægemiddel er ikke undersøgt hos patienter med kontaktlinser.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Pædiatrisk population</w:t>
      </w:r>
    </w:p>
    <w:p w:rsidR="00D04D16" w:rsidRDefault="00D04D16" w:rsidP="0088596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er ikke undersøgt hos patienter under 36 ugers </w:t>
      </w:r>
      <w:proofErr w:type="spellStart"/>
      <w:r>
        <w:rPr>
          <w:sz w:val="24"/>
          <w:szCs w:val="24"/>
        </w:rPr>
        <w:t>gestationsalder</w:t>
      </w:r>
      <w:proofErr w:type="spellEnd"/>
      <w:r>
        <w:rPr>
          <w:sz w:val="24"/>
          <w:szCs w:val="24"/>
        </w:rPr>
        <w:t xml:space="preserve"> og under 1 uge gamle. Patienter med signifikant </w:t>
      </w:r>
      <w:proofErr w:type="spellStart"/>
      <w:r>
        <w:rPr>
          <w:sz w:val="24"/>
          <w:szCs w:val="24"/>
        </w:rPr>
        <w:t>renal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tubulær</w:t>
      </w:r>
      <w:proofErr w:type="spellEnd"/>
      <w:r>
        <w:rPr>
          <w:sz w:val="24"/>
          <w:szCs w:val="24"/>
        </w:rPr>
        <w:t xml:space="preserve"> umodenhed bør kun få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efter grundig overvejelse af fordel/risiko forholdet på grund af den mulige risiko for metabolisk </w:t>
      </w:r>
      <w:proofErr w:type="spellStart"/>
      <w:r>
        <w:rPr>
          <w:sz w:val="24"/>
          <w:szCs w:val="24"/>
        </w:rPr>
        <w:t>acidose</w:t>
      </w:r>
      <w:proofErr w:type="spellEnd"/>
      <w:r>
        <w:rPr>
          <w:sz w:val="24"/>
          <w:szCs w:val="24"/>
        </w:rPr>
        <w:t>.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udført specifikke interaktionsundersøgelser med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>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kliniske undersøgelser har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været brugt samtidigt med følgende lægemidler uden tegn på interaktion: 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 øjendråber, </w:t>
      </w:r>
      <w:proofErr w:type="spellStart"/>
      <w:r>
        <w:rPr>
          <w:sz w:val="24"/>
          <w:szCs w:val="24"/>
        </w:rPr>
        <w:t>betaxolol</w:t>
      </w:r>
      <w:proofErr w:type="spellEnd"/>
      <w:r>
        <w:rPr>
          <w:sz w:val="24"/>
          <w:szCs w:val="24"/>
        </w:rPr>
        <w:t xml:space="preserve"> øjendråber og systemiske lægemidler inklusive ACE-</w:t>
      </w:r>
      <w:proofErr w:type="spellStart"/>
      <w:r>
        <w:rPr>
          <w:sz w:val="24"/>
          <w:szCs w:val="24"/>
        </w:rPr>
        <w:t>hæmmere</w:t>
      </w:r>
      <w:proofErr w:type="spellEnd"/>
      <w:r>
        <w:rPr>
          <w:sz w:val="24"/>
          <w:szCs w:val="24"/>
        </w:rPr>
        <w:t xml:space="preserve">, calciumantagonister, </w:t>
      </w:r>
      <w:proofErr w:type="spellStart"/>
      <w:r>
        <w:rPr>
          <w:sz w:val="24"/>
          <w:szCs w:val="24"/>
        </w:rPr>
        <w:t>diuretika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nonsteroide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anti-inflammatorika</w:t>
      </w:r>
      <w:proofErr w:type="spellEnd"/>
      <w:r>
        <w:rPr>
          <w:sz w:val="24"/>
          <w:szCs w:val="24"/>
        </w:rPr>
        <w:t xml:space="preserve">, herunder acetylsalicylsyre, samt hormoner (for eksempel østrogen, insulin, </w:t>
      </w:r>
      <w:proofErr w:type="spellStart"/>
      <w:r>
        <w:rPr>
          <w:sz w:val="24"/>
          <w:szCs w:val="24"/>
        </w:rPr>
        <w:t>thyroxin</w:t>
      </w:r>
      <w:proofErr w:type="spellEnd"/>
      <w:r>
        <w:rPr>
          <w:sz w:val="24"/>
          <w:szCs w:val="24"/>
        </w:rPr>
        <w:t>).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Forbindelse mellem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miotika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adrenerge</w:t>
      </w:r>
      <w:proofErr w:type="spellEnd"/>
      <w:r>
        <w:rPr>
          <w:sz w:val="24"/>
          <w:szCs w:val="24"/>
        </w:rPr>
        <w:t xml:space="preserve"> agonister er ikke fuldt evalueret under </w:t>
      </w:r>
      <w:proofErr w:type="spellStart"/>
      <w:r>
        <w:rPr>
          <w:sz w:val="24"/>
          <w:szCs w:val="24"/>
        </w:rPr>
        <w:t>glaukombehandling</w:t>
      </w:r>
      <w:proofErr w:type="spellEnd"/>
      <w:r>
        <w:rPr>
          <w:sz w:val="24"/>
          <w:szCs w:val="24"/>
        </w:rPr>
        <w:t>.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C6081C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D04D16" w:rsidRDefault="00D04D16" w:rsidP="003615B0">
      <w:pPr>
        <w:ind w:left="851"/>
        <w:rPr>
          <w:i/>
          <w:sz w:val="24"/>
          <w:szCs w:val="24"/>
          <w:u w:val="single"/>
        </w:rPr>
      </w:pPr>
    </w:p>
    <w:p w:rsidR="00D04D16" w:rsidRPr="006D1214" w:rsidRDefault="00D04D16" w:rsidP="003615B0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Graviditet</w:t>
      </w:r>
    </w:p>
    <w:p w:rsidR="00D04D16" w:rsidRDefault="00D04D16" w:rsidP="003615B0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bør ikke bruges under </w:t>
      </w:r>
      <w:r w:rsidR="003615B0" w:rsidRPr="007E3DF0">
        <w:rPr>
          <w:sz w:val="24"/>
          <w:szCs w:val="24"/>
        </w:rPr>
        <w:t xml:space="preserve">graviditet. </w:t>
      </w:r>
      <w:r w:rsidR="003615B0" w:rsidRPr="00F144E3">
        <w:rPr>
          <w:sz w:val="24"/>
          <w:szCs w:val="24"/>
        </w:rPr>
        <w:t xml:space="preserve">Der er ingen eller utilstrækkelige data fra anvendelse af </w:t>
      </w:r>
      <w:proofErr w:type="spellStart"/>
      <w:r w:rsidR="003615B0" w:rsidRPr="00F144E3">
        <w:rPr>
          <w:sz w:val="24"/>
          <w:szCs w:val="24"/>
        </w:rPr>
        <w:t>dorzolamid</w:t>
      </w:r>
      <w:proofErr w:type="spellEnd"/>
      <w:r w:rsidR="003615B0" w:rsidRPr="00F144E3">
        <w:rPr>
          <w:sz w:val="24"/>
          <w:szCs w:val="24"/>
        </w:rPr>
        <w:t xml:space="preserve"> til gravide kvinder</w:t>
      </w:r>
      <w:r w:rsidR="003615B0" w:rsidRPr="007E3DF0">
        <w:rPr>
          <w:sz w:val="24"/>
          <w:szCs w:val="24"/>
        </w:rPr>
        <w:t>. Hos</w:t>
      </w:r>
      <w:r w:rsidR="003615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kaniner havde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teratogenetisk</w:t>
      </w:r>
      <w:proofErr w:type="spellEnd"/>
      <w:r>
        <w:rPr>
          <w:sz w:val="24"/>
          <w:szCs w:val="24"/>
        </w:rPr>
        <w:t xml:space="preserve"> virkning ved </w:t>
      </w:r>
      <w:proofErr w:type="spellStart"/>
      <w:r>
        <w:rPr>
          <w:sz w:val="24"/>
          <w:szCs w:val="24"/>
        </w:rPr>
        <w:t>maternelt</w:t>
      </w:r>
      <w:proofErr w:type="spellEnd"/>
      <w:r>
        <w:rPr>
          <w:sz w:val="24"/>
          <w:szCs w:val="24"/>
        </w:rPr>
        <w:t xml:space="preserve"> toksiske doser (se pkt. 5.3).</w:t>
      </w:r>
    </w:p>
    <w:p w:rsidR="00D04D16" w:rsidRDefault="00D04D16" w:rsidP="003615B0">
      <w:pPr>
        <w:ind w:left="851"/>
        <w:rPr>
          <w:sz w:val="24"/>
          <w:szCs w:val="24"/>
        </w:rPr>
      </w:pPr>
    </w:p>
    <w:p w:rsidR="00D04D16" w:rsidRPr="006D1214" w:rsidRDefault="00D04D16" w:rsidP="003615B0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Amning</w:t>
      </w:r>
    </w:p>
    <w:p w:rsidR="003615B0" w:rsidRPr="003615B0" w:rsidRDefault="003615B0" w:rsidP="003615B0">
      <w:pPr>
        <w:tabs>
          <w:tab w:val="left" w:pos="851"/>
        </w:tabs>
        <w:ind w:left="851"/>
        <w:rPr>
          <w:sz w:val="24"/>
          <w:szCs w:val="24"/>
        </w:rPr>
      </w:pPr>
      <w:r w:rsidRPr="003615B0">
        <w:rPr>
          <w:sz w:val="24"/>
          <w:szCs w:val="24"/>
        </w:rPr>
        <w:t xml:space="preserve">Det er ukendt, om </w:t>
      </w:r>
      <w:proofErr w:type="spellStart"/>
      <w:r w:rsidRPr="003615B0">
        <w:rPr>
          <w:sz w:val="24"/>
          <w:szCs w:val="24"/>
        </w:rPr>
        <w:t>dorzolamid</w:t>
      </w:r>
      <w:proofErr w:type="spellEnd"/>
      <w:r w:rsidRPr="003615B0">
        <w:rPr>
          <w:sz w:val="24"/>
          <w:szCs w:val="24"/>
        </w:rPr>
        <w:t xml:space="preserve">/metabolitter udskilles i human mælk. De tilgængelige </w:t>
      </w:r>
      <w:proofErr w:type="spellStart"/>
      <w:r w:rsidRPr="003615B0">
        <w:rPr>
          <w:sz w:val="24"/>
          <w:szCs w:val="24"/>
        </w:rPr>
        <w:t>farmakodynamiske</w:t>
      </w:r>
      <w:proofErr w:type="spellEnd"/>
      <w:r w:rsidRPr="003615B0">
        <w:rPr>
          <w:sz w:val="24"/>
          <w:szCs w:val="24"/>
        </w:rPr>
        <w:t xml:space="preserve">/toksikologiske data fra dyrestudier viser, at </w:t>
      </w:r>
      <w:proofErr w:type="spellStart"/>
      <w:r w:rsidRPr="003615B0">
        <w:rPr>
          <w:sz w:val="24"/>
          <w:szCs w:val="24"/>
        </w:rPr>
        <w:t>dorzolamid</w:t>
      </w:r>
      <w:proofErr w:type="spellEnd"/>
      <w:r w:rsidRPr="003615B0">
        <w:rPr>
          <w:sz w:val="24"/>
          <w:szCs w:val="24"/>
        </w:rPr>
        <w:t xml:space="preserve">/metabolitter udskilles i mælk. Det skal besluttes, om amning skal ophøre eller behandling med </w:t>
      </w:r>
      <w:proofErr w:type="spellStart"/>
      <w:r w:rsidRPr="003615B0">
        <w:rPr>
          <w:sz w:val="24"/>
          <w:szCs w:val="24"/>
        </w:rPr>
        <w:t>Delazo</w:t>
      </w:r>
      <w:proofErr w:type="spellEnd"/>
      <w:r w:rsidRPr="003615B0">
        <w:rPr>
          <w:sz w:val="24"/>
          <w:szCs w:val="24"/>
        </w:rPr>
        <w:t xml:space="preserve"> seponeres, idet der tages højde for fordelene ved amning for barnet i forhold til de terapeutiske fordele for moderen. En risiko for nyfødte/spædbørn kan ikke udelukkes.  </w:t>
      </w:r>
    </w:p>
    <w:p w:rsidR="003615B0" w:rsidRPr="003615B0" w:rsidRDefault="003615B0" w:rsidP="003615B0">
      <w:pPr>
        <w:tabs>
          <w:tab w:val="left" w:pos="851"/>
        </w:tabs>
        <w:ind w:left="851"/>
        <w:rPr>
          <w:sz w:val="24"/>
          <w:szCs w:val="24"/>
        </w:rPr>
      </w:pPr>
    </w:p>
    <w:p w:rsidR="003615B0" w:rsidRPr="003615B0" w:rsidRDefault="003615B0" w:rsidP="003615B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615B0">
        <w:rPr>
          <w:sz w:val="24"/>
          <w:szCs w:val="24"/>
          <w:u w:val="single"/>
        </w:rPr>
        <w:t>Fertilitet</w:t>
      </w:r>
    </w:p>
    <w:p w:rsidR="003615B0" w:rsidRPr="003615B0" w:rsidRDefault="003615B0" w:rsidP="003615B0">
      <w:pPr>
        <w:tabs>
          <w:tab w:val="left" w:pos="851"/>
        </w:tabs>
        <w:ind w:left="851"/>
        <w:rPr>
          <w:sz w:val="24"/>
          <w:szCs w:val="24"/>
        </w:rPr>
      </w:pPr>
      <w:r w:rsidRPr="003615B0">
        <w:rPr>
          <w:sz w:val="24"/>
          <w:szCs w:val="24"/>
        </w:rPr>
        <w:t xml:space="preserve">Data fra dyr tyder ikke på, at behandling med </w:t>
      </w:r>
      <w:proofErr w:type="spellStart"/>
      <w:r w:rsidRPr="003615B0">
        <w:rPr>
          <w:sz w:val="24"/>
          <w:szCs w:val="24"/>
        </w:rPr>
        <w:t>dorzolamid</w:t>
      </w:r>
      <w:proofErr w:type="spellEnd"/>
      <w:r w:rsidRPr="003615B0">
        <w:rPr>
          <w:sz w:val="24"/>
          <w:szCs w:val="24"/>
        </w:rPr>
        <w:t xml:space="preserve"> påvirker fertiliteten hos mænd og kvinder. Humane data mangler.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 w:rsidR="005C36E1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>Der er ikke foretaget undersøgelser af virkningen på evnen til at føre motorkøretøj eller betjene maskiner.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>Mulige bivirkninger, så som svimmelhed og synsforstyrrelser, kan påvirke evnen til at køre bil eller betjene maskiner.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D04D16" w:rsidRPr="005F3D99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>I en multidosis, dobbelt-blind, kontrolleret, crossover, multicenterundersøgelse over to perioder med aktiv behandling (</w:t>
      </w:r>
      <w:proofErr w:type="spellStart"/>
      <w:r w:rsidR="006229E1">
        <w:rPr>
          <w:sz w:val="24"/>
          <w:szCs w:val="24"/>
        </w:rPr>
        <w:t>d</w:t>
      </w:r>
      <w:r>
        <w:rPr>
          <w:sz w:val="24"/>
          <w:szCs w:val="24"/>
        </w:rPr>
        <w:t>orzolamid</w:t>
      </w:r>
      <w:proofErr w:type="spellEnd"/>
      <w:r>
        <w:rPr>
          <w:sz w:val="24"/>
          <w:szCs w:val="24"/>
        </w:rPr>
        <w:t xml:space="preserve"> multidosis), var sikkerhedsprofilen for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uden</w:t>
      </w:r>
      <w:r w:rsidR="00A47676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onserveringsmiddel lig med sikkerhedsprofilen for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multidosis.</w:t>
      </w:r>
    </w:p>
    <w:p w:rsidR="00D04D16" w:rsidRPr="005F3D99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(med konserveringsmiddel) er undersøgt hos mere end 1400 patienter i kontrollerede og ikke-kontrollerede kliniske undersøgelser. I langtidsundersøgelser med 1108 patienter behandlet med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multi</w:t>
      </w:r>
      <w:proofErr w:type="spellEnd"/>
      <w:r>
        <w:rPr>
          <w:sz w:val="24"/>
          <w:szCs w:val="24"/>
        </w:rPr>
        <w:t xml:space="preserve">-dosis som monoterapi eller i kombination med β-blokker øjendråber, var den hyppigste årsag til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(ca. 3 %), af behandlingen med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bivirkninger fra øjet, primært </w:t>
      </w:r>
      <w:proofErr w:type="spellStart"/>
      <w:r>
        <w:rPr>
          <w:sz w:val="24"/>
          <w:szCs w:val="24"/>
        </w:rPr>
        <w:t>konjunktivitis</w:t>
      </w:r>
      <w:proofErr w:type="spellEnd"/>
      <w:r>
        <w:rPr>
          <w:sz w:val="24"/>
          <w:szCs w:val="24"/>
        </w:rPr>
        <w:t xml:space="preserve"> og øjenlågsreaktioner. 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>Følgende bivirkninger er rapporteret, enten i kliniske undersøgelser eller efter markedsføring: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Pr="005A3BB9" w:rsidRDefault="00D04D16" w:rsidP="0088596A">
      <w:pPr>
        <w:ind w:left="851"/>
        <w:rPr>
          <w:sz w:val="24"/>
          <w:szCs w:val="24"/>
          <w:u w:val="single"/>
        </w:rPr>
      </w:pPr>
      <w:r w:rsidRPr="005A3BB9">
        <w:rPr>
          <w:sz w:val="24"/>
          <w:szCs w:val="24"/>
          <w:u w:val="single"/>
        </w:rPr>
        <w:t>Frekvensen af bivirkningerne listet nedenfor, defineres på følgende måde</w:t>
      </w:r>
    </w:p>
    <w:p w:rsidR="00D04D16" w:rsidRPr="005A3BB9" w:rsidRDefault="00D04D16" w:rsidP="0088596A">
      <w:pPr>
        <w:ind w:left="851"/>
        <w:rPr>
          <w:sz w:val="24"/>
          <w:szCs w:val="24"/>
        </w:rPr>
      </w:pPr>
      <w:r w:rsidRPr="005A3BB9">
        <w:rPr>
          <w:sz w:val="24"/>
          <w:szCs w:val="24"/>
        </w:rPr>
        <w:t>Meget almindelig (≥1/10), Almindelig (≥1/100 til &lt;1/10), Ikke almindelig (≥1/1.000 til &lt;1/100) Sjælden (≥1/10.000 til &lt;1/1.000), Ikke kendt (kan ikke estimeres ud fra forhåndenværende data)]</w:t>
      </w:r>
    </w:p>
    <w:p w:rsidR="00D04D16" w:rsidRDefault="00D04D16" w:rsidP="00D04D16">
      <w:pPr>
        <w:ind w:left="851" w:hanging="851"/>
        <w:rPr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146"/>
        <w:gridCol w:w="2182"/>
        <w:gridCol w:w="1240"/>
        <w:gridCol w:w="1862"/>
        <w:gridCol w:w="1596"/>
      </w:tblGrid>
      <w:tr w:rsidR="00D00063" w:rsidRPr="00956FFE" w:rsidTr="0088596A">
        <w:trPr>
          <w:trHeight w:val="239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b/>
                <w:bCs/>
                <w:i/>
                <w:iCs/>
                <w:sz w:val="20"/>
              </w:rPr>
              <w:t>Meget almindelig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b/>
                <w:bCs/>
                <w:i/>
                <w:iCs/>
                <w:sz w:val="20"/>
              </w:rPr>
              <w:t>Almindelig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b/>
                <w:bCs/>
                <w:i/>
                <w:iCs/>
                <w:sz w:val="20"/>
              </w:rPr>
              <w:t>Ikke almindelig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b/>
                <w:bCs/>
                <w:i/>
                <w:iCs/>
                <w:sz w:val="20"/>
              </w:rPr>
              <w:t>Sjælden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b/>
                <w:bCs/>
                <w:i/>
                <w:iCs/>
                <w:sz w:val="20"/>
              </w:rPr>
              <w:t>Ikke kendt</w:t>
            </w:r>
          </w:p>
        </w:tc>
      </w:tr>
      <w:tr w:rsidR="00D00063" w:rsidRPr="00956FFE" w:rsidTr="0088596A">
        <w:trPr>
          <w:trHeight w:val="369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b/>
                <w:bCs/>
                <w:i/>
                <w:iCs/>
                <w:sz w:val="20"/>
              </w:rPr>
              <w:t>Nervesystemet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sz w:val="20"/>
              </w:rPr>
              <w:t>Hovedpine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sz w:val="20"/>
              </w:rPr>
              <w:t>Svimmelhed</w:t>
            </w:r>
            <w:r w:rsidR="00D00063" w:rsidRPr="00956FFE">
              <w:rPr>
                <w:sz w:val="20"/>
              </w:rPr>
              <w:t xml:space="preserve">, </w:t>
            </w:r>
            <w:proofErr w:type="spellStart"/>
            <w:r w:rsidR="00D00063" w:rsidRPr="00956FFE">
              <w:rPr>
                <w:sz w:val="20"/>
              </w:rPr>
              <w:t>p</w:t>
            </w:r>
            <w:r w:rsidRPr="00956FFE">
              <w:rPr>
                <w:sz w:val="20"/>
              </w:rPr>
              <w:t>aræstesier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sz w:val="20"/>
              </w:rPr>
            </w:pPr>
          </w:p>
        </w:tc>
      </w:tr>
      <w:tr w:rsidR="00D00063" w:rsidRPr="00956FFE" w:rsidTr="0088596A">
        <w:trPr>
          <w:trHeight w:val="1648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b/>
                <w:bCs/>
                <w:i/>
                <w:iCs/>
                <w:sz w:val="20"/>
              </w:rPr>
              <w:t>Øjne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proofErr w:type="spellStart"/>
            <w:r w:rsidRPr="00956FFE">
              <w:rPr>
                <w:sz w:val="20"/>
              </w:rPr>
              <w:t>Brænden</w:t>
            </w:r>
            <w:proofErr w:type="spellEnd"/>
            <w:r w:rsidRPr="00956FFE">
              <w:rPr>
                <w:sz w:val="20"/>
              </w:rPr>
              <w:t xml:space="preserve"> og svien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D00063">
            <w:pPr>
              <w:spacing w:line="254" w:lineRule="auto"/>
              <w:ind w:left="29"/>
              <w:rPr>
                <w:bCs/>
                <w:iCs/>
                <w:sz w:val="20"/>
              </w:rPr>
            </w:pPr>
            <w:proofErr w:type="spellStart"/>
            <w:r w:rsidRPr="00956FFE">
              <w:rPr>
                <w:sz w:val="20"/>
              </w:rPr>
              <w:t>Keratitis</w:t>
            </w:r>
            <w:proofErr w:type="spellEnd"/>
            <w:r w:rsidRPr="00956FFE">
              <w:rPr>
                <w:sz w:val="20"/>
              </w:rPr>
              <w:t xml:space="preserve"> </w:t>
            </w:r>
            <w:proofErr w:type="spellStart"/>
            <w:r w:rsidRPr="00956FFE">
              <w:rPr>
                <w:sz w:val="20"/>
              </w:rPr>
              <w:t>punctata</w:t>
            </w:r>
            <w:proofErr w:type="spellEnd"/>
            <w:r w:rsidRPr="00956FFE">
              <w:rPr>
                <w:sz w:val="20"/>
              </w:rPr>
              <w:t xml:space="preserve"> </w:t>
            </w:r>
            <w:proofErr w:type="spellStart"/>
            <w:r w:rsidRPr="00956FFE">
              <w:rPr>
                <w:sz w:val="20"/>
              </w:rPr>
              <w:t>superficialis</w:t>
            </w:r>
            <w:proofErr w:type="spellEnd"/>
            <w:r w:rsidRPr="00956FFE">
              <w:rPr>
                <w:sz w:val="20"/>
              </w:rPr>
              <w:t xml:space="preserve">, </w:t>
            </w:r>
            <w:r w:rsidR="00D00063" w:rsidRPr="00956FFE">
              <w:rPr>
                <w:sz w:val="20"/>
              </w:rPr>
              <w:t>t</w:t>
            </w:r>
            <w:r w:rsidRPr="00956FFE">
              <w:rPr>
                <w:sz w:val="20"/>
              </w:rPr>
              <w:t>åreflåd,</w:t>
            </w:r>
            <w:r w:rsidR="00D00063" w:rsidRPr="00956FFE">
              <w:rPr>
                <w:sz w:val="20"/>
              </w:rPr>
              <w:t xml:space="preserve"> </w:t>
            </w:r>
            <w:proofErr w:type="spellStart"/>
            <w:r w:rsidR="00D00063" w:rsidRPr="00956FFE">
              <w:rPr>
                <w:sz w:val="20"/>
              </w:rPr>
              <w:t>c</w:t>
            </w:r>
            <w:r w:rsidRPr="00956FFE">
              <w:rPr>
                <w:sz w:val="20"/>
              </w:rPr>
              <w:t>onjunctivitis</w:t>
            </w:r>
            <w:proofErr w:type="spellEnd"/>
            <w:r w:rsidRPr="00956FFE">
              <w:rPr>
                <w:sz w:val="20"/>
              </w:rPr>
              <w:t>,</w:t>
            </w:r>
            <w:r w:rsidR="00D00063" w:rsidRPr="00956FFE">
              <w:rPr>
                <w:sz w:val="20"/>
              </w:rPr>
              <w:t xml:space="preserve"> ø</w:t>
            </w:r>
            <w:r w:rsidRPr="00956FFE">
              <w:rPr>
                <w:sz w:val="20"/>
              </w:rPr>
              <w:t>jenlågs</w:t>
            </w:r>
            <w:r w:rsidR="00036081" w:rsidRPr="00956FFE">
              <w:rPr>
                <w:sz w:val="20"/>
              </w:rPr>
              <w:t>i</w:t>
            </w:r>
            <w:r w:rsidRPr="00956FFE">
              <w:rPr>
                <w:sz w:val="20"/>
              </w:rPr>
              <w:t>nflammation,</w:t>
            </w:r>
            <w:r w:rsidR="00D00063" w:rsidRPr="00956FFE">
              <w:rPr>
                <w:sz w:val="20"/>
              </w:rPr>
              <w:t xml:space="preserve"> k</w:t>
            </w:r>
            <w:r w:rsidRPr="00956FFE">
              <w:rPr>
                <w:sz w:val="20"/>
              </w:rPr>
              <w:t>løe i øjnene,</w:t>
            </w:r>
            <w:r w:rsidR="00D00063" w:rsidRPr="00956FFE">
              <w:rPr>
                <w:sz w:val="20"/>
              </w:rPr>
              <w:t xml:space="preserve"> ø</w:t>
            </w:r>
            <w:r w:rsidRPr="00956FFE">
              <w:rPr>
                <w:bCs/>
                <w:iCs/>
                <w:sz w:val="20"/>
              </w:rPr>
              <w:t>jenlågsirrita</w:t>
            </w:r>
            <w:r w:rsidR="00627FA0" w:rsidRPr="00956FFE">
              <w:rPr>
                <w:bCs/>
                <w:iCs/>
                <w:sz w:val="20"/>
              </w:rPr>
              <w:t>t</w:t>
            </w:r>
            <w:r w:rsidRPr="00956FFE">
              <w:rPr>
                <w:bCs/>
                <w:iCs/>
                <w:sz w:val="20"/>
              </w:rPr>
              <w:t>ion,</w:t>
            </w:r>
            <w:r w:rsidR="00D00063" w:rsidRPr="00956FFE">
              <w:rPr>
                <w:bCs/>
                <w:iCs/>
                <w:sz w:val="20"/>
              </w:rPr>
              <w:t xml:space="preserve"> s</w:t>
            </w:r>
            <w:r w:rsidRPr="00956FFE">
              <w:rPr>
                <w:bCs/>
                <w:iCs/>
                <w:sz w:val="20"/>
              </w:rPr>
              <w:t>løret syn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proofErr w:type="spellStart"/>
            <w:r w:rsidRPr="00956FFE">
              <w:rPr>
                <w:sz w:val="20"/>
              </w:rPr>
              <w:t>Iridocyclitis</w:t>
            </w:r>
            <w:proofErr w:type="spellEnd"/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C91A8A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sz w:val="20"/>
              </w:rPr>
              <w:t>Irritation inklusive røde øjne,</w:t>
            </w:r>
            <w:r w:rsidR="00D00063" w:rsidRPr="00956FFE">
              <w:rPr>
                <w:sz w:val="20"/>
              </w:rPr>
              <w:t xml:space="preserve"> s</w:t>
            </w:r>
            <w:r w:rsidRPr="00956FFE">
              <w:rPr>
                <w:sz w:val="20"/>
              </w:rPr>
              <w:t>merter,</w:t>
            </w:r>
            <w:r w:rsidR="00D00063" w:rsidRPr="00956FFE">
              <w:rPr>
                <w:sz w:val="20"/>
              </w:rPr>
              <w:t xml:space="preserve"> s</w:t>
            </w:r>
            <w:r w:rsidRPr="00956FFE">
              <w:rPr>
                <w:sz w:val="20"/>
              </w:rPr>
              <w:t xml:space="preserve">korpedannelse på øjenlågene, forbigående </w:t>
            </w:r>
            <w:proofErr w:type="spellStart"/>
            <w:r w:rsidRPr="00956FFE">
              <w:rPr>
                <w:sz w:val="20"/>
              </w:rPr>
              <w:t>myopia</w:t>
            </w:r>
            <w:proofErr w:type="spellEnd"/>
            <w:r w:rsidRPr="00956FFE">
              <w:rPr>
                <w:sz w:val="20"/>
              </w:rPr>
              <w:t xml:space="preserve"> (som forsvandt ved </w:t>
            </w:r>
            <w:proofErr w:type="spellStart"/>
            <w:r w:rsidRPr="00956FFE">
              <w:rPr>
                <w:sz w:val="20"/>
              </w:rPr>
              <w:t>seponering</w:t>
            </w:r>
            <w:proofErr w:type="spellEnd"/>
            <w:r w:rsidRPr="00956FFE">
              <w:rPr>
                <w:sz w:val="20"/>
              </w:rPr>
              <w:t xml:space="preserve"> af behandling),</w:t>
            </w:r>
            <w:r w:rsidR="00C91A8A" w:rsidRPr="00956FFE">
              <w:rPr>
                <w:sz w:val="20"/>
              </w:rPr>
              <w:t xml:space="preserve"> k</w:t>
            </w:r>
            <w:r w:rsidRPr="00956FFE">
              <w:rPr>
                <w:sz w:val="20"/>
              </w:rPr>
              <w:t>ornealt ødem,</w:t>
            </w:r>
            <w:r w:rsidR="00C91A8A" w:rsidRPr="00956FFE">
              <w:rPr>
                <w:sz w:val="20"/>
              </w:rPr>
              <w:t xml:space="preserve"> </w:t>
            </w:r>
            <w:proofErr w:type="spellStart"/>
            <w:r w:rsidR="00C91A8A" w:rsidRPr="00956FFE">
              <w:rPr>
                <w:sz w:val="20"/>
              </w:rPr>
              <w:t>o</w:t>
            </w:r>
            <w:r w:rsidRPr="00956FFE">
              <w:rPr>
                <w:sz w:val="20"/>
              </w:rPr>
              <w:t>kulær</w:t>
            </w:r>
            <w:proofErr w:type="spellEnd"/>
            <w:r w:rsidRPr="00956FFE">
              <w:rPr>
                <w:sz w:val="20"/>
              </w:rPr>
              <w:t xml:space="preserve"> </w:t>
            </w:r>
            <w:proofErr w:type="spellStart"/>
            <w:r w:rsidRPr="00956FFE">
              <w:rPr>
                <w:sz w:val="20"/>
              </w:rPr>
              <w:t>hypotoni</w:t>
            </w:r>
            <w:proofErr w:type="spellEnd"/>
            <w:r w:rsidRPr="00956FFE">
              <w:rPr>
                <w:sz w:val="20"/>
              </w:rPr>
              <w:t>,</w:t>
            </w:r>
            <w:r w:rsidR="00C91A8A" w:rsidRPr="00956FFE">
              <w:rPr>
                <w:sz w:val="20"/>
              </w:rPr>
              <w:t xml:space="preserve"> </w:t>
            </w:r>
            <w:proofErr w:type="spellStart"/>
            <w:r w:rsidR="00C91A8A" w:rsidRPr="00956FFE">
              <w:rPr>
                <w:sz w:val="20"/>
              </w:rPr>
              <w:t>c</w:t>
            </w:r>
            <w:r w:rsidRPr="00956FFE">
              <w:rPr>
                <w:sz w:val="20"/>
              </w:rPr>
              <w:t>horoidalløsning</w:t>
            </w:r>
            <w:proofErr w:type="spellEnd"/>
            <w:r w:rsidRPr="00956FFE">
              <w:rPr>
                <w:sz w:val="20"/>
              </w:rPr>
              <w:t xml:space="preserve"> efter filtrerings</w:t>
            </w:r>
            <w:r w:rsidR="00C91A8A" w:rsidRPr="00956FFE">
              <w:rPr>
                <w:sz w:val="20"/>
              </w:rPr>
              <w:softHyphen/>
            </w:r>
            <w:r w:rsidRPr="00956FFE">
              <w:rPr>
                <w:sz w:val="20"/>
              </w:rPr>
              <w:t xml:space="preserve">operation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0063" w:rsidP="003B4BCE">
            <w:pPr>
              <w:spacing w:line="254" w:lineRule="auto"/>
              <w:ind w:left="29"/>
              <w:rPr>
                <w:sz w:val="20"/>
              </w:rPr>
            </w:pPr>
            <w:r w:rsidRPr="00956FFE">
              <w:rPr>
                <w:sz w:val="20"/>
              </w:rPr>
              <w:t>F</w:t>
            </w:r>
            <w:r w:rsidR="00D04D16" w:rsidRPr="00956FFE">
              <w:rPr>
                <w:sz w:val="20"/>
              </w:rPr>
              <w:t>ølelse af fremmedlegeme i øjet</w:t>
            </w:r>
          </w:p>
        </w:tc>
      </w:tr>
      <w:tr w:rsidR="00D00063" w:rsidRPr="0088596A" w:rsidTr="0088596A">
        <w:trPr>
          <w:trHeight w:val="658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A0" w:rsidRPr="0088596A" w:rsidRDefault="00627FA0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88596A">
              <w:rPr>
                <w:b/>
                <w:bCs/>
                <w:i/>
                <w:iCs/>
                <w:sz w:val="20"/>
              </w:rPr>
              <w:t>Hjerte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A0" w:rsidRPr="0088596A" w:rsidRDefault="00627FA0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A0" w:rsidRPr="0088596A" w:rsidRDefault="00627FA0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A0" w:rsidRPr="0088596A" w:rsidRDefault="00627FA0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A0" w:rsidRPr="0088596A" w:rsidRDefault="00627FA0" w:rsidP="003B4BCE">
            <w:pPr>
              <w:spacing w:line="254" w:lineRule="auto"/>
              <w:ind w:left="29"/>
              <w:rPr>
                <w:sz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A0" w:rsidRPr="0088596A" w:rsidRDefault="00AE019C" w:rsidP="0088596A">
            <w:pPr>
              <w:spacing w:line="256" w:lineRule="auto"/>
              <w:ind w:left="29"/>
              <w:rPr>
                <w:color w:val="222222"/>
                <w:sz w:val="20"/>
              </w:rPr>
            </w:pPr>
            <w:proofErr w:type="spellStart"/>
            <w:r w:rsidRPr="0088596A">
              <w:rPr>
                <w:sz w:val="20"/>
              </w:rPr>
              <w:t>Palpitationer</w:t>
            </w:r>
            <w:proofErr w:type="spellEnd"/>
            <w:r w:rsidRPr="0088596A">
              <w:rPr>
                <w:sz w:val="20"/>
              </w:rPr>
              <w:t xml:space="preserve">, </w:t>
            </w:r>
            <w:proofErr w:type="spellStart"/>
            <w:r w:rsidRPr="0088596A">
              <w:rPr>
                <w:sz w:val="20"/>
              </w:rPr>
              <w:t>takykardi</w:t>
            </w:r>
            <w:proofErr w:type="spellEnd"/>
          </w:p>
        </w:tc>
      </w:tr>
      <w:tr w:rsidR="00AE019C" w:rsidRPr="0088596A" w:rsidTr="0088596A">
        <w:trPr>
          <w:trHeight w:val="658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9C" w:rsidRPr="0088596A" w:rsidRDefault="00AE019C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proofErr w:type="spellStart"/>
            <w:r w:rsidRPr="0088596A">
              <w:rPr>
                <w:b/>
                <w:bCs/>
                <w:i/>
                <w:sz w:val="20"/>
                <w:lang w:eastAsia="el-GR"/>
              </w:rPr>
              <w:t>Vaskulære</w:t>
            </w:r>
            <w:proofErr w:type="spellEnd"/>
            <w:r w:rsidRPr="0088596A">
              <w:rPr>
                <w:b/>
                <w:bCs/>
                <w:i/>
                <w:sz w:val="20"/>
                <w:lang w:eastAsia="el-GR"/>
              </w:rPr>
              <w:t xml:space="preserve"> sygdomme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9C" w:rsidRPr="0088596A" w:rsidRDefault="00AE019C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9C" w:rsidRPr="0088596A" w:rsidRDefault="00AE019C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9C" w:rsidRPr="0088596A" w:rsidRDefault="00AE019C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9C" w:rsidRPr="0088596A" w:rsidRDefault="00AE019C" w:rsidP="003B4BCE">
            <w:pPr>
              <w:spacing w:line="254" w:lineRule="auto"/>
              <w:ind w:left="29"/>
              <w:rPr>
                <w:sz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9C" w:rsidRPr="0088596A" w:rsidRDefault="00AE019C" w:rsidP="003B4BCE">
            <w:pPr>
              <w:spacing w:line="254" w:lineRule="auto"/>
              <w:ind w:left="29"/>
              <w:rPr>
                <w:sz w:val="20"/>
              </w:rPr>
            </w:pPr>
            <w:r w:rsidRPr="0088596A">
              <w:rPr>
                <w:sz w:val="20"/>
              </w:rPr>
              <w:t>Hypertension</w:t>
            </w:r>
          </w:p>
        </w:tc>
      </w:tr>
      <w:tr w:rsidR="00D00063" w:rsidRPr="00956FFE" w:rsidTr="0088596A">
        <w:trPr>
          <w:trHeight w:val="658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b/>
                <w:bCs/>
                <w:i/>
                <w:iCs/>
                <w:sz w:val="20"/>
              </w:rPr>
              <w:t xml:space="preserve">Luftveje, thorax og </w:t>
            </w:r>
            <w:proofErr w:type="spellStart"/>
            <w:r w:rsidRPr="00956FFE">
              <w:rPr>
                <w:b/>
                <w:bCs/>
                <w:i/>
                <w:iCs/>
                <w:sz w:val="20"/>
              </w:rPr>
              <w:t>mediastinum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proofErr w:type="spellStart"/>
            <w:r w:rsidRPr="00956FFE">
              <w:rPr>
                <w:sz w:val="20"/>
              </w:rPr>
              <w:t>Epistaxis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C91A8A" w:rsidP="003B4BCE">
            <w:pPr>
              <w:spacing w:line="254" w:lineRule="auto"/>
              <w:ind w:left="29"/>
              <w:rPr>
                <w:sz w:val="20"/>
              </w:rPr>
            </w:pPr>
            <w:r w:rsidRPr="00956FFE">
              <w:rPr>
                <w:color w:val="222222"/>
                <w:sz w:val="20"/>
              </w:rPr>
              <w:t>D</w:t>
            </w:r>
            <w:r w:rsidR="00D04D16" w:rsidRPr="00956FFE">
              <w:rPr>
                <w:color w:val="222222"/>
                <w:sz w:val="20"/>
              </w:rPr>
              <w:t>yspnø</w:t>
            </w:r>
          </w:p>
        </w:tc>
      </w:tr>
      <w:tr w:rsidR="00D00063" w:rsidRPr="00956FFE" w:rsidTr="0088596A">
        <w:trPr>
          <w:trHeight w:val="369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b/>
                <w:bCs/>
                <w:i/>
                <w:iCs/>
                <w:sz w:val="20"/>
              </w:rPr>
              <w:lastRenderedPageBreak/>
              <w:t>Mave-tarm</w:t>
            </w:r>
            <w:r w:rsidR="00C91A8A" w:rsidRPr="00956FFE">
              <w:rPr>
                <w:b/>
                <w:bCs/>
                <w:i/>
                <w:iCs/>
                <w:sz w:val="20"/>
              </w:rPr>
              <w:t>-</w:t>
            </w:r>
            <w:r w:rsidRPr="00956FFE">
              <w:rPr>
                <w:b/>
                <w:bCs/>
                <w:i/>
                <w:iCs/>
                <w:sz w:val="20"/>
              </w:rPr>
              <w:t>kanalen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C91A8A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sz w:val="20"/>
              </w:rPr>
              <w:t>Kvalme,</w:t>
            </w:r>
            <w:r w:rsidR="00C91A8A" w:rsidRPr="00956FFE">
              <w:rPr>
                <w:sz w:val="20"/>
              </w:rPr>
              <w:t xml:space="preserve"> b</w:t>
            </w:r>
            <w:r w:rsidRPr="00956FFE">
              <w:rPr>
                <w:sz w:val="20"/>
              </w:rPr>
              <w:t>itter smag i munden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C91A8A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sz w:val="20"/>
              </w:rPr>
              <w:t>Halsirritation,</w:t>
            </w:r>
            <w:r w:rsidR="00C91A8A" w:rsidRPr="00956FFE">
              <w:rPr>
                <w:sz w:val="20"/>
              </w:rPr>
              <w:t xml:space="preserve"> m</w:t>
            </w:r>
            <w:r w:rsidRPr="00956FFE">
              <w:rPr>
                <w:sz w:val="20"/>
              </w:rPr>
              <w:t>undtørhed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sz w:val="20"/>
              </w:rPr>
            </w:pPr>
          </w:p>
        </w:tc>
      </w:tr>
      <w:tr w:rsidR="00D00063" w:rsidRPr="00956FFE" w:rsidTr="0088596A">
        <w:trPr>
          <w:trHeight w:val="658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b/>
                <w:bCs/>
                <w:i/>
                <w:iCs/>
                <w:sz w:val="20"/>
              </w:rPr>
              <w:t>Hud og subkutane væv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C91A8A">
            <w:pPr>
              <w:keepNext/>
              <w:keepLines/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proofErr w:type="spellStart"/>
            <w:r w:rsidRPr="00956FFE">
              <w:rPr>
                <w:sz w:val="20"/>
              </w:rPr>
              <w:t>Kontaktdermatitis</w:t>
            </w:r>
            <w:proofErr w:type="spellEnd"/>
            <w:r w:rsidRPr="00956FFE">
              <w:rPr>
                <w:sz w:val="20"/>
              </w:rPr>
              <w:t>,</w:t>
            </w:r>
            <w:r w:rsidR="00C91A8A" w:rsidRPr="00956FFE">
              <w:rPr>
                <w:sz w:val="20"/>
              </w:rPr>
              <w:t xml:space="preserve"> </w:t>
            </w:r>
            <w:proofErr w:type="spellStart"/>
            <w:r w:rsidRPr="00956FFE">
              <w:rPr>
                <w:sz w:val="20"/>
              </w:rPr>
              <w:t>Stevens-Johnson's</w:t>
            </w:r>
            <w:proofErr w:type="spellEnd"/>
            <w:r w:rsidRPr="00956FFE">
              <w:rPr>
                <w:sz w:val="20"/>
              </w:rPr>
              <w:t xml:space="preserve"> syndrom,</w:t>
            </w:r>
            <w:r w:rsidR="00C91A8A" w:rsidRPr="00956FFE">
              <w:rPr>
                <w:sz w:val="20"/>
              </w:rPr>
              <w:t xml:space="preserve"> t</w:t>
            </w:r>
            <w:r w:rsidRPr="00956FFE">
              <w:rPr>
                <w:sz w:val="20"/>
              </w:rPr>
              <w:t xml:space="preserve">oksisk </w:t>
            </w:r>
            <w:proofErr w:type="spellStart"/>
            <w:r w:rsidRPr="00956FFE">
              <w:rPr>
                <w:sz w:val="20"/>
              </w:rPr>
              <w:t>epidermal</w:t>
            </w:r>
            <w:proofErr w:type="spellEnd"/>
            <w:r w:rsidR="00C91A8A" w:rsidRPr="00956FFE">
              <w:rPr>
                <w:sz w:val="20"/>
              </w:rPr>
              <w:t xml:space="preserve"> </w:t>
            </w:r>
            <w:proofErr w:type="spellStart"/>
            <w:r w:rsidRPr="00956FFE">
              <w:rPr>
                <w:sz w:val="20"/>
              </w:rPr>
              <w:t>nekrolyse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keepNext/>
              <w:keepLines/>
              <w:spacing w:line="254" w:lineRule="auto"/>
              <w:ind w:left="29"/>
              <w:rPr>
                <w:sz w:val="20"/>
              </w:rPr>
            </w:pPr>
          </w:p>
        </w:tc>
      </w:tr>
      <w:tr w:rsidR="00D00063" w:rsidRPr="00956FFE" w:rsidTr="0088596A">
        <w:trPr>
          <w:trHeight w:val="513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sz w:val="20"/>
              </w:rPr>
            </w:pPr>
            <w:r w:rsidRPr="00956FFE">
              <w:rPr>
                <w:b/>
                <w:bCs/>
                <w:i/>
                <w:iCs/>
                <w:sz w:val="20"/>
              </w:rPr>
              <w:t>Nyrer og urinveje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proofErr w:type="spellStart"/>
            <w:r w:rsidRPr="00956FFE">
              <w:rPr>
                <w:sz w:val="20"/>
              </w:rPr>
              <w:t>Urolithiasis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sz w:val="20"/>
              </w:rPr>
            </w:pPr>
          </w:p>
        </w:tc>
      </w:tr>
      <w:tr w:rsidR="00D00063" w:rsidRPr="00956FFE" w:rsidTr="0088596A">
        <w:trPr>
          <w:trHeight w:val="1502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ED3D35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b/>
                <w:bCs/>
                <w:i/>
                <w:iCs/>
                <w:sz w:val="20"/>
              </w:rPr>
              <w:t>Almene symp</w:t>
            </w:r>
            <w:r w:rsidR="00ED3D35" w:rsidRPr="00956FFE">
              <w:rPr>
                <w:b/>
                <w:bCs/>
                <w:i/>
                <w:iCs/>
                <w:sz w:val="20"/>
              </w:rPr>
              <w:t>t</w:t>
            </w:r>
            <w:r w:rsidRPr="00956FFE">
              <w:rPr>
                <w:b/>
                <w:bCs/>
                <w:i/>
                <w:iCs/>
                <w:sz w:val="20"/>
              </w:rPr>
              <w:t>omer og reaktioner på administrations</w:t>
            </w:r>
            <w:r w:rsidR="00ED3D35" w:rsidRPr="00956FFE">
              <w:rPr>
                <w:b/>
                <w:bCs/>
                <w:i/>
                <w:iCs/>
                <w:sz w:val="20"/>
              </w:rPr>
              <w:softHyphen/>
            </w:r>
            <w:r w:rsidRPr="00956FFE">
              <w:rPr>
                <w:b/>
                <w:bCs/>
                <w:i/>
                <w:iCs/>
                <w:sz w:val="20"/>
              </w:rPr>
              <w:t>stedet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sz w:val="20"/>
              </w:rPr>
              <w:t>Asteni/træthed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Pr="00956FFE" w:rsidRDefault="00D04D16" w:rsidP="003B4BCE">
            <w:pPr>
              <w:spacing w:line="254" w:lineRule="auto"/>
              <w:ind w:left="29"/>
              <w:rPr>
                <w:b/>
                <w:bCs/>
                <w:i/>
                <w:iCs/>
                <w:sz w:val="20"/>
              </w:rPr>
            </w:pPr>
            <w:r w:rsidRPr="00956FFE">
              <w:rPr>
                <w:sz w:val="20"/>
              </w:rPr>
              <w:t>Hypersensitivitet: Tegn og symptomer på lokale reaktioner (</w:t>
            </w:r>
            <w:proofErr w:type="spellStart"/>
            <w:r w:rsidRPr="00956FFE">
              <w:rPr>
                <w:sz w:val="20"/>
              </w:rPr>
              <w:t>palpebrale</w:t>
            </w:r>
            <w:proofErr w:type="spellEnd"/>
            <w:r w:rsidRPr="00956FFE">
              <w:rPr>
                <w:sz w:val="20"/>
              </w:rPr>
              <w:t xml:space="preserve"> reaktioner), systemiske allergiske reaktioner inklusive </w:t>
            </w:r>
            <w:proofErr w:type="spellStart"/>
            <w:r w:rsidRPr="00956FFE">
              <w:rPr>
                <w:sz w:val="20"/>
              </w:rPr>
              <w:t>angiødem</w:t>
            </w:r>
            <w:proofErr w:type="spellEnd"/>
            <w:r w:rsidRPr="00956FFE">
              <w:rPr>
                <w:sz w:val="20"/>
              </w:rPr>
              <w:t xml:space="preserve">, </w:t>
            </w:r>
            <w:proofErr w:type="spellStart"/>
            <w:r w:rsidRPr="00956FFE">
              <w:rPr>
                <w:sz w:val="20"/>
              </w:rPr>
              <w:t>urticaria</w:t>
            </w:r>
            <w:proofErr w:type="spellEnd"/>
            <w:r w:rsidRPr="00956FFE">
              <w:rPr>
                <w:sz w:val="20"/>
              </w:rPr>
              <w:t xml:space="preserve"> og </w:t>
            </w:r>
            <w:proofErr w:type="spellStart"/>
            <w:r w:rsidRPr="00956FFE">
              <w:rPr>
                <w:sz w:val="20"/>
              </w:rPr>
              <w:t>pruritus</w:t>
            </w:r>
            <w:proofErr w:type="spellEnd"/>
            <w:r w:rsidRPr="00956FFE">
              <w:rPr>
                <w:sz w:val="20"/>
              </w:rPr>
              <w:t xml:space="preserve">, udslæt, åndenød, sjældent </w:t>
            </w:r>
            <w:proofErr w:type="spellStart"/>
            <w:r w:rsidRPr="00956FFE">
              <w:rPr>
                <w:sz w:val="20"/>
              </w:rPr>
              <w:t>bronkospasme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Pr="00956FFE" w:rsidRDefault="00D04D16" w:rsidP="003B4BCE">
            <w:pPr>
              <w:spacing w:line="254" w:lineRule="auto"/>
              <w:ind w:left="29"/>
              <w:rPr>
                <w:sz w:val="20"/>
              </w:rPr>
            </w:pPr>
          </w:p>
        </w:tc>
      </w:tr>
    </w:tbl>
    <w:p w:rsidR="00BC5132" w:rsidRDefault="00BC5132" w:rsidP="00D04D16">
      <w:pPr>
        <w:ind w:left="851" w:hanging="851"/>
        <w:rPr>
          <w:sz w:val="24"/>
          <w:szCs w:val="24"/>
        </w:rPr>
      </w:pPr>
    </w:p>
    <w:p w:rsidR="00D04D16" w:rsidRDefault="00BC5132" w:rsidP="00D04D16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Undersøgelser</w:t>
      </w:r>
    </w:p>
    <w:p w:rsidR="00D04D16" w:rsidRDefault="00D04D16" w:rsidP="00D04D1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var ikke associeret med elektrolytforstyrrelser af klinisk betydning.</w:t>
      </w:r>
    </w:p>
    <w:p w:rsidR="00D04D16" w:rsidRPr="00BC5132" w:rsidRDefault="00D04D16" w:rsidP="00D04D16">
      <w:pPr>
        <w:ind w:left="851" w:hanging="851"/>
        <w:rPr>
          <w:sz w:val="24"/>
          <w:szCs w:val="24"/>
        </w:rPr>
      </w:pPr>
    </w:p>
    <w:p w:rsidR="00D04D16" w:rsidRPr="00E76FF0" w:rsidRDefault="00D04D16" w:rsidP="00D04D16">
      <w:pPr>
        <w:ind w:left="851"/>
        <w:rPr>
          <w:sz w:val="24"/>
          <w:szCs w:val="24"/>
          <w:u w:val="single"/>
        </w:rPr>
      </w:pPr>
      <w:r w:rsidRPr="00E76FF0">
        <w:rPr>
          <w:sz w:val="24"/>
          <w:szCs w:val="24"/>
          <w:u w:val="single"/>
        </w:rPr>
        <w:t>Pædiatrisk population</w:t>
      </w:r>
    </w:p>
    <w:p w:rsidR="00D04D16" w:rsidRDefault="00D04D16" w:rsidP="00D04D16">
      <w:pPr>
        <w:ind w:left="851"/>
        <w:rPr>
          <w:sz w:val="24"/>
          <w:szCs w:val="24"/>
        </w:rPr>
      </w:pPr>
      <w:r>
        <w:rPr>
          <w:sz w:val="24"/>
          <w:szCs w:val="24"/>
        </w:rPr>
        <w:t>Se pkt. 5.1</w:t>
      </w:r>
      <w:r w:rsidR="00E76FF0">
        <w:rPr>
          <w:sz w:val="24"/>
          <w:szCs w:val="24"/>
        </w:rPr>
        <w:t>.</w:t>
      </w:r>
    </w:p>
    <w:p w:rsidR="00D04D16" w:rsidRDefault="00D04D16" w:rsidP="00D04D16">
      <w:pPr>
        <w:ind w:left="851" w:hanging="851"/>
        <w:rPr>
          <w:sz w:val="24"/>
          <w:szCs w:val="24"/>
        </w:rPr>
      </w:pPr>
    </w:p>
    <w:p w:rsidR="00D04D16" w:rsidRDefault="00D04D16" w:rsidP="00D04D16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D04D16" w:rsidRDefault="00D04D16" w:rsidP="00D04D16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E76FF0">
        <w:rPr>
          <w:sz w:val="24"/>
          <w:szCs w:val="24"/>
        </w:rPr>
        <w:t xml:space="preserve">Sundhedspersoner </w:t>
      </w:r>
      <w:r>
        <w:rPr>
          <w:sz w:val="24"/>
          <w:szCs w:val="24"/>
        </w:rPr>
        <w:t>anmodes om at indberette alle formodede bivirkninger via:</w:t>
      </w:r>
    </w:p>
    <w:p w:rsidR="00D04D16" w:rsidRDefault="00D04D16" w:rsidP="00D04D16">
      <w:pPr>
        <w:tabs>
          <w:tab w:val="left" w:pos="2440"/>
        </w:tabs>
        <w:ind w:left="851"/>
        <w:rPr>
          <w:sz w:val="24"/>
          <w:szCs w:val="24"/>
        </w:rPr>
      </w:pPr>
    </w:p>
    <w:p w:rsidR="00D04D16" w:rsidRDefault="00D04D16" w:rsidP="00D04D16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D04D16" w:rsidRDefault="00D04D16" w:rsidP="00D04D16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D04D16" w:rsidRDefault="00D04D16" w:rsidP="00D04D16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D04D16" w:rsidRPr="000A6440" w:rsidRDefault="00D04D16" w:rsidP="00D04D16">
      <w:pPr>
        <w:ind w:left="851"/>
        <w:rPr>
          <w:sz w:val="24"/>
          <w:szCs w:val="24"/>
        </w:rPr>
      </w:pPr>
      <w:r w:rsidRPr="000A6440">
        <w:rPr>
          <w:sz w:val="24"/>
          <w:szCs w:val="24"/>
        </w:rPr>
        <w:t xml:space="preserve">Websted: </w:t>
      </w:r>
      <w:r w:rsidRPr="00E76FF0">
        <w:rPr>
          <w:sz w:val="24"/>
          <w:szCs w:val="24"/>
        </w:rPr>
        <w:t>www.meldenbivirkning.dk</w:t>
      </w:r>
    </w:p>
    <w:p w:rsidR="00D04D16" w:rsidRPr="000A6440" w:rsidRDefault="00D04D16" w:rsidP="00D04D16">
      <w:pPr>
        <w:pStyle w:val="Sidehoved"/>
        <w:tabs>
          <w:tab w:val="left" w:pos="851"/>
        </w:tabs>
        <w:ind w:left="851"/>
        <w:rPr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findes kun begrænsede data fra mennesker med hensyn til overdosering af </w:t>
      </w:r>
      <w:proofErr w:type="spellStart"/>
      <w:r>
        <w:rPr>
          <w:sz w:val="24"/>
          <w:szCs w:val="24"/>
        </w:rPr>
        <w:t>dorzolamidhydrochlorid</w:t>
      </w:r>
      <w:proofErr w:type="spellEnd"/>
      <w:r>
        <w:rPr>
          <w:sz w:val="24"/>
          <w:szCs w:val="24"/>
        </w:rPr>
        <w:t xml:space="preserve"> ved uheld eller ved forsætlig indtagelse. 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Symptomer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Følgende er rapporteret ved oral indtagelse: </w:t>
      </w:r>
      <w:proofErr w:type="spellStart"/>
      <w:r>
        <w:rPr>
          <w:sz w:val="24"/>
          <w:szCs w:val="24"/>
        </w:rPr>
        <w:t>Somnolens</w:t>
      </w:r>
      <w:proofErr w:type="spellEnd"/>
      <w:r>
        <w:rPr>
          <w:sz w:val="24"/>
          <w:szCs w:val="24"/>
        </w:rPr>
        <w:t>.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anvendelse er følgende rapporteret: Kvalme, svimmelhed, hovedpine, træthed, abnorme drømme og </w:t>
      </w:r>
      <w:proofErr w:type="spellStart"/>
      <w:r>
        <w:rPr>
          <w:sz w:val="24"/>
          <w:szCs w:val="24"/>
        </w:rPr>
        <w:t>dysfagi</w:t>
      </w:r>
      <w:proofErr w:type="spellEnd"/>
      <w:r>
        <w:rPr>
          <w:sz w:val="24"/>
          <w:szCs w:val="24"/>
        </w:rPr>
        <w:t>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Behandling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bør være symptomatisk og støttende. Elektrolytforstyrrelser, udvikling af </w:t>
      </w:r>
      <w:proofErr w:type="spellStart"/>
      <w:r>
        <w:rPr>
          <w:sz w:val="24"/>
          <w:szCs w:val="24"/>
        </w:rPr>
        <w:t>acidotisk</w:t>
      </w:r>
      <w:proofErr w:type="spellEnd"/>
      <w:r>
        <w:rPr>
          <w:sz w:val="24"/>
          <w:szCs w:val="24"/>
        </w:rPr>
        <w:t xml:space="preserve"> tilstand og mulige centralnervesystemspåvirkninger kan forekomme. Serumelektrolytniveau (især kalium) og blod-pH-niveau bør monitoreres.</w:t>
      </w:r>
    </w:p>
    <w:p w:rsidR="008A39C7" w:rsidRDefault="008A39C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A451B4" w:rsidRPr="00C84483" w:rsidRDefault="002D4F32" w:rsidP="0088596A">
      <w:pPr>
        <w:ind w:left="851"/>
        <w:rPr>
          <w:sz w:val="24"/>
          <w:szCs w:val="24"/>
        </w:rPr>
      </w:pPr>
      <w:bookmarkStart w:id="0" w:name="_Hlk121315549"/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</w:t>
      </w:r>
      <w:bookmarkEnd w:id="0"/>
      <w:r>
        <w:rPr>
          <w:sz w:val="24"/>
          <w:szCs w:val="24"/>
        </w:rPr>
        <w:t>:</w:t>
      </w:r>
      <w:r w:rsidR="00A451B4" w:rsidRPr="007E3DF0">
        <w:rPr>
          <w:sz w:val="24"/>
          <w:szCs w:val="24"/>
        </w:rPr>
        <w:t xml:space="preserve"> </w:t>
      </w:r>
      <w:proofErr w:type="spellStart"/>
      <w:r w:rsidR="00A451B4" w:rsidRPr="007E3DF0">
        <w:rPr>
          <w:sz w:val="24"/>
          <w:szCs w:val="24"/>
        </w:rPr>
        <w:t>Carbo</w:t>
      </w:r>
      <w:r w:rsidR="00A451B4">
        <w:rPr>
          <w:sz w:val="24"/>
          <w:szCs w:val="24"/>
        </w:rPr>
        <w:t>-</w:t>
      </w:r>
      <w:r w:rsidR="00A451B4" w:rsidRPr="007E3DF0">
        <w:rPr>
          <w:sz w:val="24"/>
          <w:szCs w:val="24"/>
        </w:rPr>
        <w:t>anhydrase</w:t>
      </w:r>
      <w:r w:rsidR="00A451B4">
        <w:rPr>
          <w:sz w:val="24"/>
          <w:szCs w:val="24"/>
        </w:rPr>
        <w:t>inhibitorer</w:t>
      </w:r>
      <w:proofErr w:type="spellEnd"/>
      <w:r>
        <w:rPr>
          <w:sz w:val="24"/>
          <w:szCs w:val="24"/>
        </w:rPr>
        <w:t xml:space="preserve">, </w:t>
      </w:r>
      <w:r w:rsidRPr="007E3DF0">
        <w:rPr>
          <w:sz w:val="24"/>
          <w:szCs w:val="24"/>
        </w:rPr>
        <w:t>ATC-kode: S01EC03.</w:t>
      </w:r>
    </w:p>
    <w:p w:rsidR="00D04D16" w:rsidRDefault="00D04D16" w:rsidP="0088596A">
      <w:pPr>
        <w:ind w:left="851"/>
        <w:rPr>
          <w:sz w:val="24"/>
          <w:szCs w:val="24"/>
          <w:u w:val="single"/>
        </w:rPr>
      </w:pPr>
    </w:p>
    <w:p w:rsidR="00D04D16" w:rsidRPr="00784D14" w:rsidRDefault="00D04D16" w:rsidP="0088596A">
      <w:pPr>
        <w:ind w:left="851"/>
        <w:rPr>
          <w:b/>
          <w:sz w:val="24"/>
          <w:szCs w:val="24"/>
        </w:rPr>
      </w:pPr>
      <w:r w:rsidRPr="00784D14">
        <w:rPr>
          <w:b/>
          <w:sz w:val="24"/>
          <w:szCs w:val="24"/>
        </w:rPr>
        <w:t>Virkningsmekanisme</w:t>
      </w:r>
    </w:p>
    <w:p w:rsidR="00D04D16" w:rsidRDefault="00D04D16" w:rsidP="0088596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Carboanhydrase</w:t>
      </w:r>
      <w:proofErr w:type="spellEnd"/>
      <w:r>
        <w:rPr>
          <w:sz w:val="24"/>
          <w:szCs w:val="24"/>
        </w:rPr>
        <w:t xml:space="preserve"> (CA) er et enzym, der findes i mange væv i kroppen, herunder i øjet. Hos mennesker findes </w:t>
      </w:r>
      <w:proofErr w:type="spellStart"/>
      <w:r>
        <w:rPr>
          <w:sz w:val="24"/>
          <w:szCs w:val="24"/>
        </w:rPr>
        <w:t>carboanhydrase</w:t>
      </w:r>
      <w:proofErr w:type="spellEnd"/>
      <w:r>
        <w:rPr>
          <w:sz w:val="24"/>
          <w:szCs w:val="24"/>
        </w:rPr>
        <w:t xml:space="preserve"> som en række </w:t>
      </w:r>
      <w:proofErr w:type="spellStart"/>
      <w:r>
        <w:rPr>
          <w:sz w:val="24"/>
          <w:szCs w:val="24"/>
        </w:rPr>
        <w:t>isoenzymer</w:t>
      </w:r>
      <w:proofErr w:type="spellEnd"/>
      <w:r>
        <w:rPr>
          <w:sz w:val="24"/>
          <w:szCs w:val="24"/>
        </w:rPr>
        <w:t xml:space="preserve">; det mest aktive, </w:t>
      </w:r>
      <w:proofErr w:type="spellStart"/>
      <w:r>
        <w:rPr>
          <w:sz w:val="24"/>
          <w:szCs w:val="24"/>
        </w:rPr>
        <w:t>carboanhydrase</w:t>
      </w:r>
      <w:proofErr w:type="spellEnd"/>
      <w:r>
        <w:rPr>
          <w:sz w:val="24"/>
          <w:szCs w:val="24"/>
        </w:rPr>
        <w:t xml:space="preserve"> II (CA-II), findes primært i røde blodceller (RBC), men også i andre væv. Hæmning af </w:t>
      </w:r>
      <w:proofErr w:type="spellStart"/>
      <w:r>
        <w:rPr>
          <w:sz w:val="24"/>
          <w:szCs w:val="24"/>
        </w:rPr>
        <w:t>carboanhydrase</w:t>
      </w:r>
      <w:proofErr w:type="spellEnd"/>
      <w:r>
        <w:rPr>
          <w:sz w:val="24"/>
          <w:szCs w:val="24"/>
        </w:rPr>
        <w:t xml:space="preserve"> i øjets </w:t>
      </w:r>
      <w:proofErr w:type="spellStart"/>
      <w:r>
        <w:rPr>
          <w:sz w:val="24"/>
          <w:szCs w:val="24"/>
        </w:rPr>
        <w:t>ciliære</w:t>
      </w:r>
      <w:proofErr w:type="spellEnd"/>
      <w:r>
        <w:rPr>
          <w:sz w:val="24"/>
          <w:szCs w:val="24"/>
        </w:rPr>
        <w:t xml:space="preserve"> processer nedsætter kammervæskesekretionen. Resultatet er en reduktion af det </w:t>
      </w:r>
      <w:proofErr w:type="spellStart"/>
      <w:r>
        <w:rPr>
          <w:sz w:val="24"/>
          <w:szCs w:val="24"/>
        </w:rPr>
        <w:t>intraokulære</w:t>
      </w:r>
      <w:proofErr w:type="spellEnd"/>
      <w:r>
        <w:rPr>
          <w:sz w:val="24"/>
          <w:szCs w:val="24"/>
        </w:rPr>
        <w:t xml:space="preserve"> tryk (IOP).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Delazo</w:t>
      </w:r>
      <w:proofErr w:type="spellEnd"/>
      <w:r>
        <w:rPr>
          <w:sz w:val="24"/>
          <w:szCs w:val="24"/>
        </w:rPr>
        <w:t xml:space="preserve"> øjendråber indeholder </w:t>
      </w:r>
      <w:proofErr w:type="spellStart"/>
      <w:r>
        <w:rPr>
          <w:sz w:val="24"/>
          <w:szCs w:val="24"/>
        </w:rPr>
        <w:t>dorzolamidhydrochlorid</w:t>
      </w:r>
      <w:proofErr w:type="spellEnd"/>
      <w:r>
        <w:rPr>
          <w:sz w:val="24"/>
          <w:szCs w:val="24"/>
        </w:rPr>
        <w:t xml:space="preserve">, en potent hæmmer af human </w:t>
      </w:r>
      <w:proofErr w:type="spellStart"/>
      <w:r>
        <w:rPr>
          <w:sz w:val="24"/>
          <w:szCs w:val="24"/>
        </w:rPr>
        <w:t>carboanhydrase</w:t>
      </w:r>
      <w:proofErr w:type="spellEnd"/>
      <w:r>
        <w:rPr>
          <w:sz w:val="24"/>
          <w:szCs w:val="24"/>
        </w:rPr>
        <w:t xml:space="preserve"> II. Efter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administration i øjet reducerer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forhøjet </w:t>
      </w:r>
      <w:proofErr w:type="spellStart"/>
      <w:r>
        <w:rPr>
          <w:sz w:val="24"/>
          <w:szCs w:val="24"/>
        </w:rPr>
        <w:t>intraokulært</w:t>
      </w:r>
      <w:proofErr w:type="spellEnd"/>
      <w:r>
        <w:rPr>
          <w:sz w:val="24"/>
          <w:szCs w:val="24"/>
        </w:rPr>
        <w:t xml:space="preserve"> tryk, uanset om det er associeret med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eller ej. Forhøjet </w:t>
      </w:r>
      <w:proofErr w:type="spellStart"/>
      <w:r>
        <w:rPr>
          <w:sz w:val="24"/>
          <w:szCs w:val="24"/>
        </w:rPr>
        <w:t>intraokulært</w:t>
      </w:r>
      <w:proofErr w:type="spellEnd"/>
      <w:r>
        <w:rPr>
          <w:sz w:val="24"/>
          <w:szCs w:val="24"/>
        </w:rPr>
        <w:t xml:space="preserve"> tryk er en væsentlig risikofaktor for patogenesen af synsnerveødelæggelse og tab af synsfelt.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giver ikke konstriktion af pupillerne og reducerer det </w:t>
      </w:r>
      <w:proofErr w:type="spellStart"/>
      <w:r>
        <w:rPr>
          <w:sz w:val="24"/>
          <w:szCs w:val="24"/>
        </w:rPr>
        <w:t>intraokulære</w:t>
      </w:r>
      <w:proofErr w:type="spellEnd"/>
      <w:r>
        <w:rPr>
          <w:sz w:val="24"/>
          <w:szCs w:val="24"/>
        </w:rPr>
        <w:t xml:space="preserve"> tryk uden bivirkninger så som natteblindhed og </w:t>
      </w:r>
      <w:proofErr w:type="spellStart"/>
      <w:r>
        <w:rPr>
          <w:sz w:val="24"/>
          <w:szCs w:val="24"/>
        </w:rPr>
        <w:t>akkomodationsspasmer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har minimal eller ingen effekt på pulsfrekvensen eller blodtrykket.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Topikalt</w:t>
      </w:r>
      <w:proofErr w:type="spellEnd"/>
      <w:r>
        <w:rPr>
          <w:sz w:val="24"/>
          <w:szCs w:val="24"/>
        </w:rPr>
        <w:t xml:space="preserve"> anvendte </w:t>
      </w:r>
      <w:proofErr w:type="spellStart"/>
      <w:r>
        <w:rPr>
          <w:sz w:val="24"/>
          <w:szCs w:val="24"/>
        </w:rPr>
        <w:t>adrenerge</w:t>
      </w:r>
      <w:proofErr w:type="spellEnd"/>
      <w:r>
        <w:rPr>
          <w:sz w:val="24"/>
          <w:szCs w:val="24"/>
        </w:rPr>
        <w:t xml:space="preserve"> β-</w:t>
      </w:r>
      <w:proofErr w:type="spellStart"/>
      <w:r>
        <w:rPr>
          <w:sz w:val="24"/>
          <w:szCs w:val="24"/>
        </w:rPr>
        <w:t>blokkere</w:t>
      </w:r>
      <w:proofErr w:type="spellEnd"/>
      <w:r>
        <w:rPr>
          <w:sz w:val="24"/>
          <w:szCs w:val="24"/>
        </w:rPr>
        <w:t xml:space="preserve"> reducerer også IOP ved at hæmme kammer</w:t>
      </w:r>
      <w:r>
        <w:rPr>
          <w:sz w:val="24"/>
          <w:szCs w:val="24"/>
        </w:rPr>
        <w:softHyphen/>
        <w:t xml:space="preserve">væskesekretionen, men med en anden virkningsmekanisme. Undersøgelser har vist, at når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adderes til en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β-blokker, observeres der yderligere reduktion i IOP. Dette fund er konsistent med den rapporterede </w:t>
      </w:r>
      <w:proofErr w:type="spellStart"/>
      <w:r>
        <w:rPr>
          <w:sz w:val="24"/>
          <w:szCs w:val="24"/>
        </w:rPr>
        <w:t>additive</w:t>
      </w:r>
      <w:proofErr w:type="spellEnd"/>
      <w:r>
        <w:rPr>
          <w:sz w:val="24"/>
          <w:szCs w:val="24"/>
        </w:rPr>
        <w:t xml:space="preserve"> effekt af β-</w:t>
      </w:r>
      <w:proofErr w:type="spellStart"/>
      <w:r>
        <w:rPr>
          <w:sz w:val="24"/>
          <w:szCs w:val="24"/>
        </w:rPr>
        <w:t>blokkere</w:t>
      </w:r>
      <w:proofErr w:type="spellEnd"/>
      <w:r>
        <w:rPr>
          <w:sz w:val="24"/>
          <w:szCs w:val="24"/>
        </w:rPr>
        <w:t xml:space="preserve"> og orale </w:t>
      </w:r>
      <w:proofErr w:type="spellStart"/>
      <w:r>
        <w:rPr>
          <w:sz w:val="24"/>
          <w:szCs w:val="24"/>
        </w:rPr>
        <w:t>carboanhydrase-hæmmere</w:t>
      </w:r>
      <w:proofErr w:type="spellEnd"/>
      <w:r>
        <w:rPr>
          <w:sz w:val="24"/>
          <w:szCs w:val="24"/>
        </w:rPr>
        <w:t>.</w:t>
      </w:r>
    </w:p>
    <w:p w:rsidR="00D04D16" w:rsidRPr="007D73C7" w:rsidRDefault="00D04D16" w:rsidP="0088596A">
      <w:pPr>
        <w:ind w:left="851"/>
        <w:rPr>
          <w:sz w:val="24"/>
          <w:szCs w:val="24"/>
        </w:rPr>
      </w:pPr>
    </w:p>
    <w:p w:rsidR="00BC5132" w:rsidRPr="00BC5132" w:rsidRDefault="00BC5132" w:rsidP="0088596A">
      <w:pPr>
        <w:ind w:left="851"/>
        <w:rPr>
          <w:b/>
          <w:sz w:val="24"/>
          <w:szCs w:val="24"/>
        </w:rPr>
      </w:pPr>
      <w:r w:rsidRPr="00BC5132">
        <w:rPr>
          <w:b/>
          <w:sz w:val="24"/>
          <w:szCs w:val="24"/>
        </w:rPr>
        <w:t>Klinisk virkning og sikkerhed</w:t>
      </w:r>
    </w:p>
    <w:p w:rsidR="00D04D16" w:rsidRDefault="00D04D16" w:rsidP="0088596A">
      <w:pPr>
        <w:ind w:left="851"/>
        <w:rPr>
          <w:sz w:val="24"/>
          <w:szCs w:val="24"/>
          <w:u w:val="single"/>
        </w:rPr>
      </w:pPr>
    </w:p>
    <w:p w:rsidR="00D04D16" w:rsidRPr="00BC5132" w:rsidRDefault="00D04D16" w:rsidP="0088596A">
      <w:pPr>
        <w:ind w:left="851"/>
        <w:rPr>
          <w:sz w:val="24"/>
          <w:szCs w:val="24"/>
          <w:u w:val="single"/>
        </w:rPr>
      </w:pPr>
      <w:r w:rsidRPr="00BC5132">
        <w:rPr>
          <w:sz w:val="24"/>
          <w:szCs w:val="24"/>
          <w:u w:val="single"/>
        </w:rPr>
        <w:t>Voksne patienter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 med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okulær</w:t>
      </w:r>
      <w:proofErr w:type="spellEnd"/>
      <w:r>
        <w:rPr>
          <w:sz w:val="24"/>
          <w:szCs w:val="24"/>
        </w:rPr>
        <w:t xml:space="preserve"> hypertension er virkningen af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, administreret 3 gange daglig som monoterapi (baseline IOP ≥ 23 </w:t>
      </w:r>
      <w:proofErr w:type="spellStart"/>
      <w:r>
        <w:rPr>
          <w:sz w:val="24"/>
          <w:szCs w:val="24"/>
        </w:rPr>
        <w:t>mmHg</w:t>
      </w:r>
      <w:proofErr w:type="spellEnd"/>
      <w:r>
        <w:rPr>
          <w:sz w:val="24"/>
          <w:szCs w:val="24"/>
        </w:rPr>
        <w:t>) eller 2 gange daglig som tillægsbehandling til oftalmologiske beta-</w:t>
      </w:r>
      <w:proofErr w:type="spellStart"/>
      <w:r>
        <w:rPr>
          <w:sz w:val="24"/>
          <w:szCs w:val="24"/>
        </w:rPr>
        <w:t>blokkere</w:t>
      </w:r>
      <w:proofErr w:type="spellEnd"/>
      <w:r>
        <w:rPr>
          <w:sz w:val="24"/>
          <w:szCs w:val="24"/>
        </w:rPr>
        <w:t xml:space="preserve"> (baseline IOP ≥ 22 mm Hg), demonstreret i store kliniske undersøgelser af varighed på op til 1 år. </w:t>
      </w:r>
      <w:proofErr w:type="spellStart"/>
      <w:r>
        <w:rPr>
          <w:sz w:val="24"/>
          <w:szCs w:val="24"/>
        </w:rPr>
        <w:t>Dorzolamids</w:t>
      </w:r>
      <w:proofErr w:type="spellEnd"/>
      <w:r>
        <w:rPr>
          <w:sz w:val="24"/>
          <w:szCs w:val="24"/>
        </w:rPr>
        <w:t xml:space="preserve"> IOP-sænkende virkning som monoterapi og som tillægsbehandling er demonstreret gennem hele dagen, og denne effekt blev bibeholdt ved langtidsbehandling. Effekten ved langtidsmonoterapi var den samme som ved </w:t>
      </w:r>
      <w:proofErr w:type="spellStart"/>
      <w:r>
        <w:rPr>
          <w:sz w:val="24"/>
          <w:szCs w:val="24"/>
        </w:rPr>
        <w:t>betaxolol</w:t>
      </w:r>
      <w:proofErr w:type="spellEnd"/>
      <w:r>
        <w:rPr>
          <w:sz w:val="24"/>
          <w:szCs w:val="24"/>
        </w:rPr>
        <w:t xml:space="preserve"> og lidt mindre end ved 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>. Som tillægsbehandling til oftalmologiske beta-</w:t>
      </w:r>
      <w:proofErr w:type="spellStart"/>
      <w:r>
        <w:rPr>
          <w:sz w:val="24"/>
          <w:szCs w:val="24"/>
        </w:rPr>
        <w:t>blokkere</w:t>
      </w:r>
      <w:proofErr w:type="spellEnd"/>
      <w:r>
        <w:rPr>
          <w:sz w:val="24"/>
          <w:szCs w:val="24"/>
        </w:rPr>
        <w:t xml:space="preserve"> til demonstrerede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yderligere </w:t>
      </w:r>
      <w:r w:rsidR="007D73C7">
        <w:rPr>
          <w:sz w:val="24"/>
          <w:szCs w:val="24"/>
        </w:rPr>
        <w:t>IOP-reduktion</w:t>
      </w:r>
      <w:r>
        <w:rPr>
          <w:sz w:val="24"/>
          <w:szCs w:val="24"/>
        </w:rPr>
        <w:t xml:space="preserve"> svarende til </w:t>
      </w:r>
      <w:proofErr w:type="spellStart"/>
      <w:r>
        <w:rPr>
          <w:sz w:val="24"/>
          <w:szCs w:val="24"/>
        </w:rPr>
        <w:t>pilocarpin</w:t>
      </w:r>
      <w:proofErr w:type="spellEnd"/>
      <w:r>
        <w:rPr>
          <w:sz w:val="24"/>
          <w:szCs w:val="24"/>
        </w:rPr>
        <w:t xml:space="preserve"> 2 % 4 gange daglig.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en multidosis, dobbeltblindt, kontrolleret, crossover multicenter undersøgelse med aktiv behandling over to perioder i 152 patienter med forhøjet baseline </w:t>
      </w:r>
      <w:proofErr w:type="spellStart"/>
      <w:r>
        <w:rPr>
          <w:sz w:val="24"/>
          <w:szCs w:val="24"/>
        </w:rPr>
        <w:t>intraokulært</w:t>
      </w:r>
      <w:proofErr w:type="spellEnd"/>
      <w:r>
        <w:rPr>
          <w:sz w:val="24"/>
          <w:szCs w:val="24"/>
        </w:rPr>
        <w:t xml:space="preserve"> tryk (baseline IOP ≥22 </w:t>
      </w:r>
      <w:proofErr w:type="spellStart"/>
      <w:r>
        <w:rPr>
          <w:sz w:val="24"/>
          <w:szCs w:val="24"/>
        </w:rPr>
        <w:t>mmHg</w:t>
      </w:r>
      <w:proofErr w:type="spellEnd"/>
      <w:r>
        <w:rPr>
          <w:sz w:val="24"/>
          <w:szCs w:val="24"/>
        </w:rPr>
        <w:t xml:space="preserve">) i et eller begge øjne, havde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uden</w:t>
      </w:r>
      <w:r w:rsidR="00A476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konserverings-middel</w:t>
      </w:r>
      <w:proofErr w:type="spellEnd"/>
      <w:r>
        <w:rPr>
          <w:sz w:val="24"/>
          <w:szCs w:val="24"/>
        </w:rPr>
        <w:t xml:space="preserve"> en IOP-sænkende effekt svarende til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multidosis. Sikkerhedsprofilen for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uden</w:t>
      </w:r>
      <w:r w:rsidR="00E52D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konserveringsmiddel er lig med sikkerhedsprofilen for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multidosis.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Pr="00BC5132" w:rsidRDefault="00D04D16" w:rsidP="0088596A">
      <w:pPr>
        <w:ind w:left="851"/>
        <w:rPr>
          <w:sz w:val="24"/>
          <w:szCs w:val="24"/>
          <w:u w:val="single"/>
        </w:rPr>
      </w:pPr>
      <w:r w:rsidRPr="00BC5132">
        <w:rPr>
          <w:sz w:val="24"/>
          <w:szCs w:val="24"/>
          <w:u w:val="single"/>
        </w:rPr>
        <w:t>Pædiatrisk population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3-måneders, dobbeltblind, kontrolleret, multicenterundersøgelse med aktiv behandling foretaget med 184 pædiatriske patienter (122 for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) i alderen 1 uge til &lt;6 år, der havde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eller forhøjet IOP (baseline IOP ≥ 22 </w:t>
      </w:r>
      <w:proofErr w:type="spellStart"/>
      <w:r>
        <w:rPr>
          <w:sz w:val="24"/>
          <w:szCs w:val="24"/>
        </w:rPr>
        <w:t>mmHg</w:t>
      </w:r>
      <w:proofErr w:type="spellEnd"/>
      <w:r>
        <w:rPr>
          <w:sz w:val="24"/>
          <w:szCs w:val="24"/>
        </w:rPr>
        <w:t xml:space="preserve">), vurderedes sikkerheden af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, når det blev administreret </w:t>
      </w:r>
      <w:proofErr w:type="spellStart"/>
      <w:r>
        <w:rPr>
          <w:sz w:val="24"/>
          <w:szCs w:val="24"/>
        </w:rPr>
        <w:t>topikalt</w:t>
      </w:r>
      <w:proofErr w:type="spellEnd"/>
      <w:r>
        <w:rPr>
          <w:sz w:val="24"/>
          <w:szCs w:val="24"/>
        </w:rPr>
        <w:t xml:space="preserve"> 3 gange daglig. Ca. halvdelen af patienterne i begge behandlingsgrupper var diagnosticeret med kongenit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; andre almindelige ætiologier var </w:t>
      </w:r>
      <w:proofErr w:type="spellStart"/>
      <w:r>
        <w:rPr>
          <w:sz w:val="24"/>
          <w:szCs w:val="24"/>
        </w:rPr>
        <w:t>Sturge</w:t>
      </w:r>
      <w:proofErr w:type="spellEnd"/>
      <w:r>
        <w:rPr>
          <w:sz w:val="24"/>
          <w:szCs w:val="24"/>
        </w:rPr>
        <w:t xml:space="preserve">-Webers syndrom, </w:t>
      </w:r>
      <w:proofErr w:type="spellStart"/>
      <w:r>
        <w:rPr>
          <w:sz w:val="24"/>
          <w:szCs w:val="24"/>
        </w:rPr>
        <w:t>iridokorneal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mesenkymal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dysgenese</w:t>
      </w:r>
      <w:proofErr w:type="spellEnd"/>
      <w:r>
        <w:rPr>
          <w:sz w:val="24"/>
          <w:szCs w:val="24"/>
        </w:rPr>
        <w:t xml:space="preserve">, patienter med </w:t>
      </w:r>
      <w:proofErr w:type="spellStart"/>
      <w:r>
        <w:rPr>
          <w:sz w:val="24"/>
          <w:szCs w:val="24"/>
        </w:rPr>
        <w:t>afaki</w:t>
      </w:r>
      <w:proofErr w:type="spellEnd"/>
      <w:r>
        <w:rPr>
          <w:sz w:val="24"/>
          <w:szCs w:val="24"/>
        </w:rPr>
        <w:t>. Fordelingen i henhold til alder og behandling i monoterapifasen var følgende:</w:t>
      </w:r>
    </w:p>
    <w:p w:rsidR="00D04D16" w:rsidRDefault="00D04D16" w:rsidP="00D04D16">
      <w:pPr>
        <w:ind w:left="851" w:hanging="851"/>
        <w:rPr>
          <w:sz w:val="24"/>
          <w:szCs w:val="24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2903"/>
        <w:gridCol w:w="2904"/>
      </w:tblGrid>
      <w:tr w:rsidR="00D04D16" w:rsidTr="003B4BCE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6" w:rsidRDefault="00D04D16" w:rsidP="003B4BCE">
            <w:pPr>
              <w:spacing w:line="254" w:lineRule="auto"/>
              <w:ind w:left="-38"/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Default="00D04D16" w:rsidP="003B4BCE">
            <w:pPr>
              <w:spacing w:line="254" w:lineRule="auto"/>
              <w:ind w:left="-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Dorzolamid</w:t>
            </w:r>
            <w:proofErr w:type="spellEnd"/>
            <w:r>
              <w:rPr>
                <w:sz w:val="24"/>
                <w:szCs w:val="24"/>
              </w:rPr>
              <w:t xml:space="preserve"> 2 %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Default="00D04D16" w:rsidP="003B4BCE">
            <w:pPr>
              <w:spacing w:line="254" w:lineRule="auto"/>
              <w:ind w:left="-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Timolol</w:t>
            </w:r>
            <w:proofErr w:type="spellEnd"/>
          </w:p>
        </w:tc>
      </w:tr>
      <w:tr w:rsidR="00D04D16" w:rsidTr="003B4BCE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Default="00D04D16" w:rsidP="003B4BCE">
            <w:pPr>
              <w:spacing w:line="254" w:lineRule="auto"/>
              <w:ind w:lef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Alderskohorte &lt;2 år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Default="00D04D16" w:rsidP="003B4BCE">
            <w:pPr>
              <w:spacing w:line="254" w:lineRule="auto"/>
              <w:ind w:lef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= 56</w:t>
            </w:r>
          </w:p>
          <w:p w:rsidR="00D04D16" w:rsidRDefault="00D04D16" w:rsidP="003B4BCE">
            <w:pPr>
              <w:spacing w:line="254" w:lineRule="auto"/>
              <w:ind w:lef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Aldersgruppe: 1 – 23 måneder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Default="00D04D16" w:rsidP="003B4BCE">
            <w:pPr>
              <w:spacing w:line="254" w:lineRule="auto"/>
              <w:ind w:left="-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Timolol</w:t>
            </w:r>
            <w:proofErr w:type="spellEnd"/>
            <w:r>
              <w:rPr>
                <w:sz w:val="24"/>
                <w:szCs w:val="24"/>
              </w:rPr>
              <w:t xml:space="preserve"> GS 0,25 % N = 27</w:t>
            </w:r>
          </w:p>
          <w:p w:rsidR="00D04D16" w:rsidRDefault="00D04D16" w:rsidP="003B4BCE">
            <w:pPr>
              <w:spacing w:line="254" w:lineRule="auto"/>
              <w:ind w:lef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Aldersgruppe: 0,25 – 22 måneder</w:t>
            </w:r>
          </w:p>
        </w:tc>
      </w:tr>
      <w:tr w:rsidR="00D04D16" w:rsidTr="003B4BCE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Default="00D04D16" w:rsidP="003B4BCE">
            <w:pPr>
              <w:spacing w:line="254" w:lineRule="auto"/>
              <w:ind w:lef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Alderskohorte ≥2 – &lt;6 år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Default="00D04D16" w:rsidP="003B4BCE">
            <w:pPr>
              <w:spacing w:line="254" w:lineRule="auto"/>
              <w:ind w:lef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= 66</w:t>
            </w:r>
          </w:p>
          <w:p w:rsidR="00D04D16" w:rsidRDefault="00D04D16" w:rsidP="003B4BCE">
            <w:pPr>
              <w:spacing w:line="254" w:lineRule="auto"/>
              <w:ind w:lef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Aldersgruppe: 2- 6 år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6" w:rsidRDefault="00D04D16" w:rsidP="003B4BCE">
            <w:pPr>
              <w:spacing w:line="254" w:lineRule="auto"/>
              <w:ind w:left="-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Timolol</w:t>
            </w:r>
            <w:proofErr w:type="spellEnd"/>
            <w:r>
              <w:rPr>
                <w:sz w:val="24"/>
                <w:szCs w:val="24"/>
              </w:rPr>
              <w:t xml:space="preserve"> 0,50 % N = 35</w:t>
            </w:r>
          </w:p>
          <w:p w:rsidR="00D04D16" w:rsidRDefault="00D04D16" w:rsidP="003B4BCE">
            <w:pPr>
              <w:spacing w:line="254" w:lineRule="auto"/>
              <w:ind w:lef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Aldersgruppe: 2 – 6 år</w:t>
            </w:r>
          </w:p>
        </w:tc>
      </w:tr>
    </w:tbl>
    <w:p w:rsidR="00D04D16" w:rsidRDefault="00D04D16" w:rsidP="00D04D16">
      <w:pPr>
        <w:ind w:left="851" w:hanging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>På tværs af begge alderskohorter fik ca. 70 patienter behandling i mindst 61 dage, og ca. 50 patienter fik behandling i 81-100 dage.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IOP var utilstrækkeligt kontrolleret på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 GS monoterapi ændredes til open-label behandling i henhold til følgende: 30 patienter &lt;2 år blev skiftet til samtidig behandling med 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 GS 0,25 % daglig og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2 % 3 gange daglig; 30 patienter ≥ 2 år blev skiftet til 2 %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/0,5 % 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 fast kombination 2 gange daglig. 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Samlet set gav denne undersøgelse ingen yderligere anledning til betænkeligheder angående sikkerheden hos pædiatriske patienter: ca. 26 % (20 % i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monoterapi) af de pædiatriske patienter oplevede lægemiddelrelaterede bivirkninger, hvoraf størstedelen var lokale, ikke-alvorlige </w:t>
      </w:r>
      <w:proofErr w:type="spellStart"/>
      <w:r>
        <w:rPr>
          <w:sz w:val="24"/>
          <w:szCs w:val="24"/>
        </w:rPr>
        <w:t>okulære</w:t>
      </w:r>
      <w:proofErr w:type="spellEnd"/>
      <w:r>
        <w:rPr>
          <w:sz w:val="24"/>
          <w:szCs w:val="24"/>
        </w:rPr>
        <w:t xml:space="preserve"> virkninger så som </w:t>
      </w:r>
      <w:proofErr w:type="spellStart"/>
      <w:r>
        <w:rPr>
          <w:sz w:val="24"/>
          <w:szCs w:val="24"/>
        </w:rPr>
        <w:t>okulær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brænden</w:t>
      </w:r>
      <w:proofErr w:type="spellEnd"/>
      <w:r>
        <w:rPr>
          <w:sz w:val="24"/>
          <w:szCs w:val="24"/>
        </w:rPr>
        <w:t xml:space="preserve"> og svien, </w:t>
      </w:r>
      <w:proofErr w:type="spellStart"/>
      <w:r>
        <w:rPr>
          <w:sz w:val="24"/>
          <w:szCs w:val="24"/>
        </w:rPr>
        <w:t>konjunktival</w:t>
      </w:r>
      <w:proofErr w:type="spellEnd"/>
      <w:r>
        <w:rPr>
          <w:sz w:val="24"/>
          <w:szCs w:val="24"/>
        </w:rPr>
        <w:t xml:space="preserve"> injektion og øjensmerter. En lille procentdel, &lt;4 %, fik kornealt ødem eller tåget syn. Lokale reaktioner forekom lige så hyppigt som med kontrolpræparatet. Efter markedsføring er der rapporteret om metabolisk </w:t>
      </w:r>
      <w:proofErr w:type="spellStart"/>
      <w:r>
        <w:rPr>
          <w:sz w:val="24"/>
          <w:szCs w:val="24"/>
        </w:rPr>
        <w:t>acidose</w:t>
      </w:r>
      <w:proofErr w:type="spellEnd"/>
      <w:r>
        <w:rPr>
          <w:sz w:val="24"/>
          <w:szCs w:val="24"/>
        </w:rPr>
        <w:t xml:space="preserve"> hos de meget unge, især dem med </w:t>
      </w:r>
      <w:proofErr w:type="spellStart"/>
      <w:r>
        <w:rPr>
          <w:sz w:val="24"/>
          <w:szCs w:val="24"/>
        </w:rPr>
        <w:t>renal</w:t>
      </w:r>
      <w:proofErr w:type="spellEnd"/>
      <w:r>
        <w:rPr>
          <w:sz w:val="24"/>
          <w:szCs w:val="24"/>
        </w:rPr>
        <w:t xml:space="preserve"> umodenhed/dysfunktion.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Effektresultater hos pædiatriske patienter antyder, at den gennemsnitlige </w:t>
      </w:r>
      <w:r w:rsidR="007D73C7">
        <w:rPr>
          <w:sz w:val="24"/>
          <w:szCs w:val="24"/>
        </w:rPr>
        <w:t>IOP-reduktion</w:t>
      </w:r>
      <w:r>
        <w:rPr>
          <w:sz w:val="24"/>
          <w:szCs w:val="24"/>
        </w:rPr>
        <w:t xml:space="preserve">, der blev observeret i </w:t>
      </w:r>
      <w:proofErr w:type="spellStart"/>
      <w:r>
        <w:rPr>
          <w:sz w:val="24"/>
          <w:szCs w:val="24"/>
        </w:rPr>
        <w:t>dorzolamidgruppen</w:t>
      </w:r>
      <w:proofErr w:type="spellEnd"/>
      <w:r>
        <w:rPr>
          <w:sz w:val="24"/>
          <w:szCs w:val="24"/>
        </w:rPr>
        <w:t xml:space="preserve">, var sammenligneligt med den gennemsnitlige </w:t>
      </w:r>
      <w:r w:rsidR="007D73C7">
        <w:rPr>
          <w:sz w:val="24"/>
          <w:szCs w:val="24"/>
        </w:rPr>
        <w:t>IOP-reduktion</w:t>
      </w:r>
      <w:r>
        <w:rPr>
          <w:sz w:val="24"/>
          <w:szCs w:val="24"/>
        </w:rPr>
        <w:t xml:space="preserve">, der blev observeret i </w:t>
      </w:r>
      <w:proofErr w:type="spellStart"/>
      <w:r>
        <w:rPr>
          <w:sz w:val="24"/>
          <w:szCs w:val="24"/>
        </w:rPr>
        <w:t>timololgruppen</w:t>
      </w:r>
      <w:proofErr w:type="spellEnd"/>
      <w:r>
        <w:rPr>
          <w:sz w:val="24"/>
          <w:szCs w:val="24"/>
        </w:rPr>
        <w:t xml:space="preserve">, selvom der blev observeret en lille numerisk fordel for 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>. Effektundersøgelser over længere tid (&gt;12 uger) er ikke tilgængelige.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D04D16" w:rsidRDefault="00D04D16" w:rsidP="00D04D1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Til forskel fra orale </w:t>
      </w:r>
      <w:proofErr w:type="spellStart"/>
      <w:r>
        <w:rPr>
          <w:sz w:val="24"/>
          <w:szCs w:val="24"/>
        </w:rPr>
        <w:t>carboanhydrasehæmmere</w:t>
      </w:r>
      <w:proofErr w:type="spellEnd"/>
      <w:r>
        <w:rPr>
          <w:sz w:val="24"/>
          <w:szCs w:val="24"/>
        </w:rPr>
        <w:t xml:space="preserve"> tillader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administration af </w:t>
      </w:r>
      <w:proofErr w:type="spellStart"/>
      <w:r>
        <w:rPr>
          <w:sz w:val="24"/>
          <w:szCs w:val="24"/>
        </w:rPr>
        <w:t>dorzolamid</w:t>
      </w:r>
      <w:r>
        <w:rPr>
          <w:sz w:val="24"/>
          <w:szCs w:val="24"/>
        </w:rPr>
        <w:softHyphen/>
        <w:t>hydrochlorid</w:t>
      </w:r>
      <w:proofErr w:type="spellEnd"/>
      <w:r>
        <w:rPr>
          <w:sz w:val="24"/>
          <w:szCs w:val="24"/>
        </w:rPr>
        <w:t xml:space="preserve"> lægemiddelstoffet at udøve dets virkning direkte i øjet ved betydeligt lavere dosis og derfor med ringere systemisk påvirkning. I kliniske undersøgelser med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resulterede dette i en reduktion i IOP uden syre-baseforstyrrelser eller ændringer i elektrolytkarakteristika som det ses for orale </w:t>
      </w:r>
      <w:proofErr w:type="spellStart"/>
      <w:r>
        <w:rPr>
          <w:sz w:val="24"/>
          <w:szCs w:val="24"/>
        </w:rPr>
        <w:t>carboanhydrasehæmmere</w:t>
      </w:r>
      <w:proofErr w:type="spellEnd"/>
      <w:r>
        <w:rPr>
          <w:sz w:val="24"/>
          <w:szCs w:val="24"/>
        </w:rPr>
        <w:t>.</w:t>
      </w:r>
    </w:p>
    <w:p w:rsidR="00D04D16" w:rsidRDefault="00D04D16" w:rsidP="00D04D16">
      <w:pPr>
        <w:ind w:left="851" w:hanging="851"/>
        <w:rPr>
          <w:sz w:val="24"/>
          <w:szCs w:val="24"/>
        </w:rPr>
      </w:pPr>
    </w:p>
    <w:p w:rsidR="00D04D16" w:rsidRDefault="00D04D16" w:rsidP="00D04D16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Administreret </w:t>
      </w:r>
      <w:proofErr w:type="spellStart"/>
      <w:r>
        <w:rPr>
          <w:sz w:val="24"/>
          <w:szCs w:val="24"/>
        </w:rPr>
        <w:t>topikalt</w:t>
      </w:r>
      <w:proofErr w:type="spellEnd"/>
      <w:r>
        <w:rPr>
          <w:sz w:val="24"/>
          <w:szCs w:val="24"/>
        </w:rPr>
        <w:t xml:space="preserve">, optages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i det systemiske kredsløb. For at kunne vurdere omfanget af systemisk </w:t>
      </w:r>
      <w:proofErr w:type="spellStart"/>
      <w:r>
        <w:rPr>
          <w:sz w:val="24"/>
          <w:szCs w:val="24"/>
        </w:rPr>
        <w:t>carboanhydrasehæmning</w:t>
      </w:r>
      <w:proofErr w:type="spellEnd"/>
      <w:r>
        <w:rPr>
          <w:sz w:val="24"/>
          <w:szCs w:val="24"/>
        </w:rPr>
        <w:t xml:space="preserve"> efter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administration, blev det aktive stof- og metabolitkoncentrationer i de røde blodceller (RBC) og plasma og </w:t>
      </w:r>
      <w:proofErr w:type="spellStart"/>
      <w:r>
        <w:rPr>
          <w:sz w:val="24"/>
          <w:szCs w:val="24"/>
        </w:rPr>
        <w:t>carboanhydrase</w:t>
      </w:r>
      <w:proofErr w:type="spellEnd"/>
      <w:r>
        <w:rPr>
          <w:sz w:val="24"/>
          <w:szCs w:val="24"/>
        </w:rPr>
        <w:t xml:space="preserve">-hæmning i RBC målt.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akkumuleres i RBC ved kronisk </w:t>
      </w:r>
      <w:r>
        <w:rPr>
          <w:sz w:val="24"/>
          <w:szCs w:val="24"/>
        </w:rPr>
        <w:lastRenderedPageBreak/>
        <w:t>dosering som et resultat af selektiv binding til CA-II, mens ekstremt lave koncentrationer af frit aktivt stof opretholdes i plasma. Det aktive moderstof danner en enkelt N-</w:t>
      </w:r>
      <w:proofErr w:type="spellStart"/>
      <w:r>
        <w:rPr>
          <w:sz w:val="24"/>
          <w:szCs w:val="24"/>
        </w:rPr>
        <w:t>desethyl</w:t>
      </w:r>
      <w:proofErr w:type="spellEnd"/>
      <w:r>
        <w:rPr>
          <w:sz w:val="24"/>
          <w:szCs w:val="24"/>
        </w:rPr>
        <w:t xml:space="preserve"> metabolit, som hæmmer CA-II mindre potent end det aktive moderstof, men også hæmmer et mindre aktivt </w:t>
      </w:r>
      <w:proofErr w:type="spellStart"/>
      <w:r>
        <w:rPr>
          <w:sz w:val="24"/>
          <w:szCs w:val="24"/>
        </w:rPr>
        <w:t>isoenzym</w:t>
      </w:r>
      <w:proofErr w:type="spellEnd"/>
      <w:r>
        <w:rPr>
          <w:sz w:val="24"/>
          <w:szCs w:val="24"/>
        </w:rPr>
        <w:t xml:space="preserve"> (CA-I). Metabolitten akkumuleres også i RBC hvor den primært bindes til CA-I.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bindes moderat til plasmaproteiner (ca. 33 %).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udskilles primært uforandret i urinen. Metabolitten udskilles også i urinen. Efter endt dosering udvaskes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af RBC non-lineært, hvilket resulterer i et hurtigt fald i den aktive stofkoncentration initialt, fulgt af en mere langsom eliminationsfase med en halveringstid på omkring fire måneder.</w:t>
      </w:r>
    </w:p>
    <w:p w:rsidR="00D04D16" w:rsidRDefault="00D04D16" w:rsidP="00D04D16">
      <w:pPr>
        <w:ind w:left="851" w:hanging="851"/>
        <w:rPr>
          <w:sz w:val="24"/>
          <w:szCs w:val="24"/>
        </w:rPr>
      </w:pPr>
    </w:p>
    <w:p w:rsidR="00D04D16" w:rsidRDefault="00D04D16" w:rsidP="00D04D16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Når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blev givet oralt for at simulere den maksimale systemiske påvirkning efter lang tids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administration i øjet, blev </w:t>
      </w:r>
      <w:proofErr w:type="spellStart"/>
      <w:r>
        <w:rPr>
          <w:sz w:val="24"/>
          <w:szCs w:val="24"/>
        </w:rPr>
        <w:t>steady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nået inden for 13 uger. Ved </w:t>
      </w:r>
      <w:proofErr w:type="spellStart"/>
      <w:r>
        <w:rPr>
          <w:sz w:val="24"/>
          <w:szCs w:val="24"/>
        </w:rPr>
        <w:t>steady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var der næsten intet frit aktivt stof eller metabolit i plasma. </w:t>
      </w:r>
      <w:r w:rsidR="007D73C7">
        <w:rPr>
          <w:sz w:val="24"/>
          <w:szCs w:val="24"/>
        </w:rPr>
        <w:t>CA-hæmning</w:t>
      </w:r>
      <w:r>
        <w:rPr>
          <w:sz w:val="24"/>
          <w:szCs w:val="24"/>
        </w:rPr>
        <w:t xml:space="preserve"> i RBC var mindre end det, som antages at være nødvendigt for at opnå en farmakologisk effekt på nyrefunktionen eller vejrtrækningen. Tilsvarende </w:t>
      </w:r>
      <w:proofErr w:type="spellStart"/>
      <w:r>
        <w:rPr>
          <w:sz w:val="24"/>
          <w:szCs w:val="24"/>
        </w:rPr>
        <w:t>farmakokinetiske</w:t>
      </w:r>
      <w:proofErr w:type="spellEnd"/>
      <w:r>
        <w:rPr>
          <w:sz w:val="24"/>
          <w:szCs w:val="24"/>
        </w:rPr>
        <w:t xml:space="preserve"> resultater blev observeret efter kronisk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administration af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. </w:t>
      </w:r>
    </w:p>
    <w:p w:rsidR="00D04D16" w:rsidRDefault="00D04D16" w:rsidP="00D04D16">
      <w:pPr>
        <w:ind w:left="851" w:hanging="851"/>
        <w:rPr>
          <w:sz w:val="24"/>
          <w:szCs w:val="24"/>
        </w:rPr>
      </w:pPr>
    </w:p>
    <w:p w:rsidR="00D04D16" w:rsidRDefault="00D04D16" w:rsidP="00D04D16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Imidlertid havde nogle ældre patienter med nedsat nyrefunktion (anslået CrCl30-60 ml/min) højere metabolitkoncentrationer i RBC, men ingen betydningsfuld forskel i </w:t>
      </w:r>
      <w:proofErr w:type="spellStart"/>
      <w:r>
        <w:rPr>
          <w:sz w:val="24"/>
          <w:szCs w:val="24"/>
        </w:rPr>
        <w:t>carboanhydrasehæmning</w:t>
      </w:r>
      <w:proofErr w:type="spellEnd"/>
      <w:r>
        <w:rPr>
          <w:sz w:val="24"/>
          <w:szCs w:val="24"/>
        </w:rPr>
        <w:t>, og ingen klinisk signifikante systemiske bivirkninger kunne direkte henføres til dette fund.</w:t>
      </w:r>
    </w:p>
    <w:p w:rsidR="00D04D16" w:rsidRDefault="00D04D16" w:rsidP="00D04D16">
      <w:pPr>
        <w:ind w:left="851" w:hanging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057620">
        <w:rPr>
          <w:b/>
          <w:sz w:val="24"/>
          <w:szCs w:val="24"/>
        </w:rPr>
        <w:t>Non-k</w:t>
      </w:r>
      <w:r w:rsidRPr="00C84483">
        <w:rPr>
          <w:b/>
          <w:sz w:val="24"/>
          <w:szCs w:val="24"/>
        </w:rPr>
        <w:t>liniske sikkerhedsdata</w:t>
      </w:r>
    </w:p>
    <w:p w:rsidR="00D04D16" w:rsidRDefault="00D04D16" w:rsidP="00D04D1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 primære fund i dyreforsøg med </w:t>
      </w:r>
      <w:proofErr w:type="spellStart"/>
      <w:r>
        <w:rPr>
          <w:sz w:val="24"/>
          <w:szCs w:val="24"/>
        </w:rPr>
        <w:t>dorzolamidhydrochlorid</w:t>
      </w:r>
      <w:proofErr w:type="spellEnd"/>
      <w:r>
        <w:rPr>
          <w:sz w:val="24"/>
          <w:szCs w:val="24"/>
        </w:rPr>
        <w:t xml:space="preserve"> givet oralt var relateret til den farmakologiske effekt af systemisk </w:t>
      </w:r>
      <w:proofErr w:type="spellStart"/>
      <w:r>
        <w:rPr>
          <w:sz w:val="24"/>
          <w:szCs w:val="24"/>
        </w:rPr>
        <w:t>carboanhydrasehæmning</w:t>
      </w:r>
      <w:proofErr w:type="spellEnd"/>
      <w:r>
        <w:rPr>
          <w:sz w:val="24"/>
          <w:szCs w:val="24"/>
        </w:rPr>
        <w:t xml:space="preserve">. Nogle af fundene var artsspecifikke og/eller et resultat af metabolisk </w:t>
      </w:r>
      <w:proofErr w:type="spellStart"/>
      <w:r>
        <w:rPr>
          <w:sz w:val="24"/>
          <w:szCs w:val="24"/>
        </w:rPr>
        <w:t>acidose</w:t>
      </w:r>
      <w:proofErr w:type="spellEnd"/>
      <w:r>
        <w:rPr>
          <w:sz w:val="24"/>
          <w:szCs w:val="24"/>
        </w:rPr>
        <w:t xml:space="preserve">. Hos kaniner som fik </w:t>
      </w:r>
      <w:proofErr w:type="spellStart"/>
      <w:r>
        <w:rPr>
          <w:sz w:val="24"/>
          <w:szCs w:val="24"/>
        </w:rPr>
        <w:t>maternotoksiske</w:t>
      </w:r>
      <w:proofErr w:type="spellEnd"/>
      <w:r>
        <w:rPr>
          <w:sz w:val="24"/>
          <w:szCs w:val="24"/>
        </w:rPr>
        <w:t xml:space="preserve"> doser af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 xml:space="preserve"> forbundet med metabolisk </w:t>
      </w:r>
      <w:proofErr w:type="spellStart"/>
      <w:r>
        <w:rPr>
          <w:sz w:val="24"/>
          <w:szCs w:val="24"/>
        </w:rPr>
        <w:t>acidose</w:t>
      </w:r>
      <w:proofErr w:type="spellEnd"/>
      <w:r>
        <w:rPr>
          <w:sz w:val="24"/>
          <w:szCs w:val="24"/>
        </w:rPr>
        <w:t>, observeredes misdannelser af hvirvellegemerne.</w:t>
      </w:r>
      <w:r w:rsidR="000E1611">
        <w:rPr>
          <w:sz w:val="24"/>
          <w:szCs w:val="24"/>
        </w:rPr>
        <w:t xml:space="preserve"> </w:t>
      </w:r>
      <w:r w:rsidR="000E1611" w:rsidRPr="004879AD">
        <w:rPr>
          <w:sz w:val="24"/>
          <w:szCs w:val="24"/>
        </w:rPr>
        <w:t xml:space="preserve">Hos diegivende rotter blev der observeret nedsat vægtforøgelse hos afkommet. Der blev ikke observeret nogen skadelig påvirkning af fertiliteten hos han- og hunrotter, der fik </w:t>
      </w:r>
      <w:proofErr w:type="spellStart"/>
      <w:r w:rsidR="000E1611" w:rsidRPr="004879AD">
        <w:rPr>
          <w:sz w:val="24"/>
          <w:szCs w:val="24"/>
        </w:rPr>
        <w:t>dorzolamid</w:t>
      </w:r>
      <w:proofErr w:type="spellEnd"/>
      <w:r w:rsidR="000E1611" w:rsidRPr="004879AD">
        <w:rPr>
          <w:sz w:val="24"/>
          <w:szCs w:val="24"/>
        </w:rPr>
        <w:t xml:space="preserve"> før og under parring</w:t>
      </w:r>
      <w:r w:rsidR="000E1611">
        <w:rPr>
          <w:sz w:val="24"/>
          <w:szCs w:val="24"/>
        </w:rPr>
        <w:t>.</w:t>
      </w:r>
    </w:p>
    <w:p w:rsidR="00D04D16" w:rsidRDefault="00D04D16" w:rsidP="00D04D16">
      <w:pPr>
        <w:ind w:left="851" w:hanging="851"/>
        <w:rPr>
          <w:sz w:val="24"/>
          <w:szCs w:val="24"/>
        </w:rPr>
      </w:pPr>
    </w:p>
    <w:p w:rsidR="00D04D16" w:rsidRDefault="00D04D16" w:rsidP="00D04D16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I kliniske undersøgelser udviklede patienter ikke tegn på metabolisk </w:t>
      </w:r>
      <w:proofErr w:type="spellStart"/>
      <w:r>
        <w:rPr>
          <w:sz w:val="24"/>
          <w:szCs w:val="24"/>
        </w:rPr>
        <w:t>acidose</w:t>
      </w:r>
      <w:proofErr w:type="spellEnd"/>
      <w:r>
        <w:rPr>
          <w:sz w:val="24"/>
          <w:szCs w:val="24"/>
        </w:rPr>
        <w:t xml:space="preserve"> eller serum elektrolytforandringer, som er tegn på systemisk CA-hæmning. Det forventes derfor ikke, at virkningerne konstateret i dyreforsøg vil blive observeret hos patienter, som modtager terapeutiske doser af </w:t>
      </w:r>
      <w:proofErr w:type="spellStart"/>
      <w:r>
        <w:rPr>
          <w:sz w:val="24"/>
          <w:szCs w:val="24"/>
        </w:rPr>
        <w:t>dorzolamid</w:t>
      </w:r>
      <w:proofErr w:type="spellEnd"/>
      <w:r>
        <w:rPr>
          <w:sz w:val="24"/>
          <w:szCs w:val="24"/>
        </w:rPr>
        <w:t>.</w:t>
      </w:r>
    </w:p>
    <w:p w:rsidR="00D04D16" w:rsidRDefault="00D04D16" w:rsidP="00D04D16">
      <w:pPr>
        <w:ind w:left="851" w:hanging="851"/>
        <w:rPr>
          <w:sz w:val="24"/>
          <w:szCs w:val="24"/>
        </w:rPr>
      </w:pPr>
    </w:p>
    <w:p w:rsidR="00D04D16" w:rsidRDefault="00D04D16" w:rsidP="00D04D16">
      <w:pPr>
        <w:ind w:left="851" w:hanging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D04D16" w:rsidRPr="00BA09F1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D04D16" w:rsidRDefault="00D04D16" w:rsidP="00D04D1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Hydroxyethylcellulose</w:t>
      </w:r>
      <w:proofErr w:type="spellEnd"/>
    </w:p>
    <w:p w:rsidR="00D04D16" w:rsidRDefault="00D04D16" w:rsidP="00D04D16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Mannitol</w:t>
      </w:r>
      <w:proofErr w:type="spellEnd"/>
      <w:r>
        <w:rPr>
          <w:sz w:val="24"/>
          <w:szCs w:val="24"/>
        </w:rPr>
        <w:t xml:space="preserve"> (E421)</w:t>
      </w:r>
    </w:p>
    <w:p w:rsidR="00D04D16" w:rsidRDefault="00D04D16" w:rsidP="00D04D16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Natriumcitratdihydrat</w:t>
      </w:r>
      <w:proofErr w:type="spellEnd"/>
      <w:r>
        <w:rPr>
          <w:sz w:val="24"/>
          <w:szCs w:val="24"/>
        </w:rPr>
        <w:t xml:space="preserve"> (E331)</w:t>
      </w:r>
    </w:p>
    <w:p w:rsidR="00D04D16" w:rsidRDefault="00D04D16" w:rsidP="00D04D16">
      <w:pPr>
        <w:ind w:left="851"/>
        <w:rPr>
          <w:sz w:val="24"/>
          <w:szCs w:val="24"/>
        </w:rPr>
      </w:pPr>
      <w:r>
        <w:rPr>
          <w:sz w:val="24"/>
          <w:szCs w:val="24"/>
        </w:rPr>
        <w:t>Natriumhydroxid (E524) til justering af pH</w:t>
      </w:r>
    </w:p>
    <w:p w:rsidR="00D04D16" w:rsidRDefault="00D04D16" w:rsidP="00D04D16">
      <w:pPr>
        <w:ind w:left="851"/>
        <w:rPr>
          <w:sz w:val="24"/>
          <w:szCs w:val="24"/>
        </w:rPr>
      </w:pPr>
      <w:r>
        <w:rPr>
          <w:sz w:val="24"/>
          <w:szCs w:val="24"/>
        </w:rPr>
        <w:t>Vand til injektionsvæsker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D04D16" w:rsidRDefault="00D04D16" w:rsidP="00D04D16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Ikke relevant.</w:t>
      </w:r>
    </w:p>
    <w:p w:rsidR="008A39C7" w:rsidRDefault="008A39C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  <w:bookmarkStart w:id="1" w:name="_GoBack"/>
      <w:bookmarkEnd w:id="1"/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044B8B" w:rsidRDefault="00044B8B" w:rsidP="00B72FCB">
      <w:pPr>
        <w:ind w:left="851"/>
        <w:rPr>
          <w:sz w:val="24"/>
          <w:szCs w:val="24"/>
        </w:rPr>
      </w:pPr>
    </w:p>
    <w:p w:rsidR="00B72FCB" w:rsidRPr="00B72FCB" w:rsidRDefault="00B72FCB" w:rsidP="00B72FCB">
      <w:pPr>
        <w:ind w:left="851"/>
        <w:rPr>
          <w:sz w:val="24"/>
          <w:szCs w:val="24"/>
          <w:u w:val="single"/>
        </w:rPr>
      </w:pPr>
      <w:r w:rsidRPr="00B72FCB">
        <w:rPr>
          <w:sz w:val="24"/>
          <w:szCs w:val="24"/>
          <w:u w:val="single"/>
        </w:rPr>
        <w:lastRenderedPageBreak/>
        <w:t>Uåbnet</w:t>
      </w:r>
    </w:p>
    <w:p w:rsidR="00D04D16" w:rsidRDefault="00D04D16" w:rsidP="00B72FCB">
      <w:pPr>
        <w:ind w:left="851"/>
        <w:rPr>
          <w:sz w:val="24"/>
          <w:szCs w:val="24"/>
        </w:rPr>
      </w:pPr>
      <w:r>
        <w:rPr>
          <w:sz w:val="24"/>
          <w:szCs w:val="24"/>
        </w:rPr>
        <w:t>3 år.</w:t>
      </w:r>
    </w:p>
    <w:p w:rsidR="00D04D16" w:rsidRDefault="00D04D16" w:rsidP="00B72FCB">
      <w:pPr>
        <w:ind w:left="851"/>
        <w:rPr>
          <w:sz w:val="24"/>
          <w:szCs w:val="24"/>
        </w:rPr>
      </w:pPr>
    </w:p>
    <w:p w:rsidR="00D04D16" w:rsidRDefault="00D04D16" w:rsidP="00B72FCB">
      <w:pPr>
        <w:ind w:left="851"/>
        <w:rPr>
          <w:sz w:val="24"/>
          <w:szCs w:val="24"/>
          <w:u w:val="single"/>
        </w:rPr>
      </w:pPr>
      <w:r w:rsidRPr="00405BF7">
        <w:rPr>
          <w:sz w:val="24"/>
          <w:szCs w:val="24"/>
          <w:u w:val="single"/>
        </w:rPr>
        <w:t>Efter anbrud</w:t>
      </w:r>
    </w:p>
    <w:p w:rsidR="00D04D16" w:rsidRDefault="00D04D16" w:rsidP="00B72FCB">
      <w:pPr>
        <w:ind w:left="851"/>
        <w:rPr>
          <w:sz w:val="24"/>
          <w:szCs w:val="24"/>
        </w:rPr>
      </w:pPr>
      <w:r>
        <w:rPr>
          <w:sz w:val="24"/>
          <w:szCs w:val="24"/>
        </w:rPr>
        <w:t>28 dage.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D04D16" w:rsidRDefault="00B72FCB" w:rsidP="00D04D16">
      <w:pPr>
        <w:ind w:left="851"/>
        <w:rPr>
          <w:sz w:val="24"/>
          <w:szCs w:val="24"/>
        </w:rPr>
      </w:pPr>
      <w:r>
        <w:rPr>
          <w:sz w:val="24"/>
          <w:szCs w:val="24"/>
        </w:rPr>
        <w:t>Opbevares ved temperaturer under 30 ℃.</w:t>
      </w:r>
    </w:p>
    <w:p w:rsidR="00D04D16" w:rsidRDefault="00D04D16" w:rsidP="00D04D16">
      <w:pPr>
        <w:ind w:left="851"/>
        <w:rPr>
          <w:sz w:val="24"/>
          <w:szCs w:val="24"/>
        </w:rPr>
      </w:pPr>
    </w:p>
    <w:p w:rsidR="00D04D16" w:rsidRDefault="00D04D16" w:rsidP="00D04D16">
      <w:pPr>
        <w:ind w:left="851"/>
        <w:rPr>
          <w:sz w:val="24"/>
          <w:szCs w:val="24"/>
        </w:rPr>
      </w:pPr>
      <w:r>
        <w:rPr>
          <w:sz w:val="24"/>
          <w:szCs w:val="24"/>
        </w:rPr>
        <w:t>For opbevarings</w:t>
      </w:r>
      <w:r>
        <w:rPr>
          <w:sz w:val="24"/>
          <w:szCs w:val="24"/>
        </w:rPr>
        <w:softHyphen/>
        <w:t>betingelser efter anbrud, se pkt. 6.3.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Hvid, uigennemsigtig 11 ml LDPE-flaske og hvid </w:t>
      </w:r>
      <w:proofErr w:type="spellStart"/>
      <w:r>
        <w:rPr>
          <w:sz w:val="24"/>
          <w:szCs w:val="24"/>
        </w:rPr>
        <w:t>Novelia</w:t>
      </w:r>
      <w:proofErr w:type="spellEnd"/>
      <w:r>
        <w:rPr>
          <w:sz w:val="24"/>
          <w:szCs w:val="24"/>
        </w:rPr>
        <w:t>-dyse (HDPE og silikone) med en hvid HDPE-hætte, i karton.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Pr="00D21488" w:rsidRDefault="00D04D16" w:rsidP="0088596A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Pakningsstørrelser</w:t>
      </w: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>1×5 ml</w:t>
      </w:r>
      <w:r w:rsidR="00FC24D3">
        <w:rPr>
          <w:sz w:val="24"/>
          <w:szCs w:val="24"/>
        </w:rPr>
        <w:t xml:space="preserve">, </w:t>
      </w:r>
      <w:r>
        <w:rPr>
          <w:sz w:val="24"/>
          <w:szCs w:val="24"/>
        </w:rPr>
        <w:t>3×5 ml</w:t>
      </w:r>
      <w:r w:rsidR="00FC24D3">
        <w:rPr>
          <w:sz w:val="24"/>
          <w:szCs w:val="24"/>
        </w:rPr>
        <w:t xml:space="preserve"> og 4×5 ml.</w:t>
      </w:r>
    </w:p>
    <w:p w:rsidR="00D04D16" w:rsidRDefault="00D04D16" w:rsidP="0088596A">
      <w:pPr>
        <w:ind w:left="851"/>
        <w:rPr>
          <w:sz w:val="24"/>
          <w:szCs w:val="24"/>
        </w:rPr>
      </w:pPr>
    </w:p>
    <w:p w:rsidR="00D04D16" w:rsidRDefault="00D04D16" w:rsidP="0088596A">
      <w:pPr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FC24D3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D04D16" w:rsidRDefault="00D04D16" w:rsidP="00D04D16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Ingen særlige forholdsregler. </w:t>
      </w:r>
    </w:p>
    <w:p w:rsidR="00D04D16" w:rsidRPr="00C84483" w:rsidRDefault="00D04D16" w:rsidP="00D04D16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D04D16" w:rsidRPr="00935F10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35F10">
        <w:rPr>
          <w:sz w:val="24"/>
          <w:szCs w:val="24"/>
        </w:rPr>
        <w:t>Ph</w:t>
      </w:r>
      <w:r>
        <w:rPr>
          <w:sz w:val="24"/>
          <w:szCs w:val="24"/>
        </w:rPr>
        <w:t>armathen</w:t>
      </w:r>
      <w:proofErr w:type="spellEnd"/>
      <w:r>
        <w:rPr>
          <w:sz w:val="24"/>
          <w:szCs w:val="24"/>
        </w:rPr>
        <w:t xml:space="preserve"> S.A.</w:t>
      </w:r>
    </w:p>
    <w:p w:rsidR="00D04D16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6, </w:t>
      </w:r>
      <w:proofErr w:type="spellStart"/>
      <w:r>
        <w:rPr>
          <w:sz w:val="24"/>
          <w:szCs w:val="24"/>
        </w:rPr>
        <w:t>Dervenakion</w:t>
      </w:r>
      <w:proofErr w:type="spellEnd"/>
      <w:r>
        <w:rPr>
          <w:sz w:val="24"/>
          <w:szCs w:val="24"/>
        </w:rPr>
        <w:t xml:space="preserve"> str.</w:t>
      </w:r>
    </w:p>
    <w:p w:rsidR="00D04D16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153 51 </w:t>
      </w:r>
      <w:proofErr w:type="spellStart"/>
      <w:r w:rsidRPr="00935F10">
        <w:rPr>
          <w:sz w:val="24"/>
          <w:szCs w:val="24"/>
        </w:rPr>
        <w:t>Pallini</w:t>
      </w:r>
      <w:proofErr w:type="spellEnd"/>
      <w:r w:rsidRPr="00935F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935F10">
        <w:rPr>
          <w:sz w:val="24"/>
          <w:szCs w:val="24"/>
        </w:rPr>
        <w:t>Attiki</w:t>
      </w:r>
      <w:proofErr w:type="spellEnd"/>
    </w:p>
    <w:p w:rsidR="00D04D16" w:rsidRDefault="00D04D16" w:rsidP="007D73C7">
      <w:pPr>
        <w:tabs>
          <w:tab w:val="left" w:pos="851"/>
        </w:tabs>
        <w:ind w:left="851"/>
        <w:rPr>
          <w:sz w:val="24"/>
          <w:szCs w:val="24"/>
        </w:rPr>
      </w:pPr>
      <w:r w:rsidRPr="00935F10">
        <w:rPr>
          <w:sz w:val="24"/>
          <w:szCs w:val="24"/>
        </w:rPr>
        <w:t>Gr</w:t>
      </w:r>
      <w:r w:rsidR="007D73C7">
        <w:rPr>
          <w:sz w:val="24"/>
          <w:szCs w:val="24"/>
        </w:rPr>
        <w:t>ækenland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842248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56875</w:t>
      </w:r>
    </w:p>
    <w:p w:rsidR="00D04D16" w:rsidRPr="00C84483" w:rsidRDefault="00D04D16" w:rsidP="00D04D16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16. februar 2017</w:t>
      </w:r>
    </w:p>
    <w:p w:rsidR="00D04D16" w:rsidRPr="00C84483" w:rsidRDefault="00D04D16" w:rsidP="00D04D16">
      <w:pPr>
        <w:tabs>
          <w:tab w:val="left" w:pos="851"/>
        </w:tabs>
        <w:ind w:left="851"/>
        <w:rPr>
          <w:sz w:val="24"/>
          <w:szCs w:val="24"/>
        </w:rPr>
      </w:pPr>
    </w:p>
    <w:p w:rsidR="00D04D16" w:rsidRPr="00C84483" w:rsidRDefault="00D04D16" w:rsidP="00D04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D04D16" w:rsidRDefault="0088596A" w:rsidP="007D73C7">
      <w:pPr>
        <w:tabs>
          <w:tab w:val="left" w:pos="851"/>
        </w:tabs>
        <w:ind w:left="851"/>
      </w:pPr>
      <w:r>
        <w:rPr>
          <w:sz w:val="24"/>
          <w:szCs w:val="24"/>
        </w:rPr>
        <w:t>12. maj 2023</w:t>
      </w:r>
    </w:p>
    <w:sectPr w:rsidR="009260DE" w:rsidRPr="00D04D16" w:rsidSect="000259B9">
      <w:footerReference w:type="default" r:id="rId12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16" w:rsidRDefault="00D04D16">
      <w:r>
        <w:separator/>
      </w:r>
    </w:p>
  </w:endnote>
  <w:endnote w:type="continuationSeparator" w:id="0">
    <w:p w:rsidR="00D04D16" w:rsidRDefault="00D0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9D2B3F">
      <w:rPr>
        <w:i/>
        <w:noProof/>
        <w:sz w:val="18"/>
        <w:szCs w:val="18"/>
      </w:rPr>
      <w:t>Delazo, øjendråber, opløsning 20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16" w:rsidRDefault="00D04D16">
      <w:r>
        <w:separator/>
      </w:r>
    </w:p>
  </w:footnote>
  <w:footnote w:type="continuationSeparator" w:id="0">
    <w:p w:rsidR="00D04D16" w:rsidRDefault="00D0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FDC6333"/>
    <w:multiLevelType w:val="hybridMultilevel"/>
    <w:tmpl w:val="21620572"/>
    <w:lvl w:ilvl="0" w:tplc="B42CA324">
      <w:start w:val="8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23BC2E46"/>
    <w:multiLevelType w:val="hybridMultilevel"/>
    <w:tmpl w:val="857EC02A"/>
    <w:lvl w:ilvl="0" w:tplc="8D6867AA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26648"/>
    <w:multiLevelType w:val="hybridMultilevel"/>
    <w:tmpl w:val="267CEE70"/>
    <w:lvl w:ilvl="0" w:tplc="8D6867AA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A4F01F4"/>
    <w:multiLevelType w:val="hybridMultilevel"/>
    <w:tmpl w:val="557600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63894F82"/>
    <w:multiLevelType w:val="singleLevel"/>
    <w:tmpl w:val="60562B8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453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16"/>
    <w:rsid w:val="000259B9"/>
    <w:rsid w:val="00033BB2"/>
    <w:rsid w:val="00036081"/>
    <w:rsid w:val="00041491"/>
    <w:rsid w:val="00044B8B"/>
    <w:rsid w:val="00050D16"/>
    <w:rsid w:val="00057620"/>
    <w:rsid w:val="00074F2A"/>
    <w:rsid w:val="00081C21"/>
    <w:rsid w:val="000A0671"/>
    <w:rsid w:val="000A1CA8"/>
    <w:rsid w:val="000A466B"/>
    <w:rsid w:val="000A6440"/>
    <w:rsid w:val="000B058C"/>
    <w:rsid w:val="000E1611"/>
    <w:rsid w:val="000E4EE6"/>
    <w:rsid w:val="000F6C3A"/>
    <w:rsid w:val="001454E2"/>
    <w:rsid w:val="001C0FE7"/>
    <w:rsid w:val="00206CE8"/>
    <w:rsid w:val="0021526C"/>
    <w:rsid w:val="00250ECC"/>
    <w:rsid w:val="00257E47"/>
    <w:rsid w:val="00283A2B"/>
    <w:rsid w:val="00290936"/>
    <w:rsid w:val="002B30AD"/>
    <w:rsid w:val="002C2C01"/>
    <w:rsid w:val="002D4F32"/>
    <w:rsid w:val="003615B0"/>
    <w:rsid w:val="003A29AE"/>
    <w:rsid w:val="003A32D7"/>
    <w:rsid w:val="003B4074"/>
    <w:rsid w:val="003C769A"/>
    <w:rsid w:val="003F1838"/>
    <w:rsid w:val="004525AF"/>
    <w:rsid w:val="0045746C"/>
    <w:rsid w:val="00472E23"/>
    <w:rsid w:val="004778D6"/>
    <w:rsid w:val="00487D2B"/>
    <w:rsid w:val="0049104B"/>
    <w:rsid w:val="004E3857"/>
    <w:rsid w:val="004E3B12"/>
    <w:rsid w:val="00532310"/>
    <w:rsid w:val="00560E30"/>
    <w:rsid w:val="00560ECC"/>
    <w:rsid w:val="00565F0F"/>
    <w:rsid w:val="00594A86"/>
    <w:rsid w:val="00596D86"/>
    <w:rsid w:val="005A3BB9"/>
    <w:rsid w:val="005C36E1"/>
    <w:rsid w:val="005F3D99"/>
    <w:rsid w:val="006229E1"/>
    <w:rsid w:val="00627FA0"/>
    <w:rsid w:val="00637F5A"/>
    <w:rsid w:val="006560B1"/>
    <w:rsid w:val="006756DD"/>
    <w:rsid w:val="00737275"/>
    <w:rsid w:val="00740EEC"/>
    <w:rsid w:val="00741ACA"/>
    <w:rsid w:val="00741F3F"/>
    <w:rsid w:val="0078011A"/>
    <w:rsid w:val="00782AF4"/>
    <w:rsid w:val="00790EE7"/>
    <w:rsid w:val="007A6992"/>
    <w:rsid w:val="007B6649"/>
    <w:rsid w:val="007D73C7"/>
    <w:rsid w:val="0081546F"/>
    <w:rsid w:val="0082576E"/>
    <w:rsid w:val="00842248"/>
    <w:rsid w:val="0088596A"/>
    <w:rsid w:val="008A39C7"/>
    <w:rsid w:val="00907F75"/>
    <w:rsid w:val="009260DE"/>
    <w:rsid w:val="0093258A"/>
    <w:rsid w:val="00956FFE"/>
    <w:rsid w:val="009B0BD1"/>
    <w:rsid w:val="009C7BA3"/>
    <w:rsid w:val="009D1F5A"/>
    <w:rsid w:val="009D2B3F"/>
    <w:rsid w:val="009E0982"/>
    <w:rsid w:val="009F345A"/>
    <w:rsid w:val="00A21C65"/>
    <w:rsid w:val="00A451B4"/>
    <w:rsid w:val="00A47676"/>
    <w:rsid w:val="00AE019C"/>
    <w:rsid w:val="00B003BF"/>
    <w:rsid w:val="00B373D7"/>
    <w:rsid w:val="00B72FCB"/>
    <w:rsid w:val="00BC5132"/>
    <w:rsid w:val="00C36276"/>
    <w:rsid w:val="00C42586"/>
    <w:rsid w:val="00C6081C"/>
    <w:rsid w:val="00C60CCD"/>
    <w:rsid w:val="00C84483"/>
    <w:rsid w:val="00C91A8A"/>
    <w:rsid w:val="00C95551"/>
    <w:rsid w:val="00CB20D7"/>
    <w:rsid w:val="00CB441C"/>
    <w:rsid w:val="00CE76E0"/>
    <w:rsid w:val="00D00063"/>
    <w:rsid w:val="00D020B0"/>
    <w:rsid w:val="00D04D16"/>
    <w:rsid w:val="00D07A0D"/>
    <w:rsid w:val="00D11748"/>
    <w:rsid w:val="00D366CF"/>
    <w:rsid w:val="00E108AA"/>
    <w:rsid w:val="00E21437"/>
    <w:rsid w:val="00E25383"/>
    <w:rsid w:val="00E31812"/>
    <w:rsid w:val="00E3749A"/>
    <w:rsid w:val="00E52DBF"/>
    <w:rsid w:val="00E7437F"/>
    <w:rsid w:val="00E76FF0"/>
    <w:rsid w:val="00E84BE7"/>
    <w:rsid w:val="00E865B8"/>
    <w:rsid w:val="00EB218C"/>
    <w:rsid w:val="00EC0B9B"/>
    <w:rsid w:val="00ED3D35"/>
    <w:rsid w:val="00ED5E9F"/>
    <w:rsid w:val="00F07A60"/>
    <w:rsid w:val="00F66D4F"/>
    <w:rsid w:val="00FB6D01"/>
    <w:rsid w:val="00FC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FC473"/>
  <w15:chartTrackingRefBased/>
  <w15:docId w15:val="{71519120-ABAA-4B8E-9CBF-B46A47E0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D04D16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04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11</TotalTime>
  <Pages>11</Pages>
  <Words>2947</Words>
  <Characters>19314</Characters>
  <Application>Microsoft Office Word</Application>
  <DocSecurity>0</DocSecurity>
  <Lines>160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2022122990, var. 11, pkt. 4.2 og 4.8</dc:description>
  <cp:lastModifiedBy>Gitte Jørgensen</cp:lastModifiedBy>
  <cp:revision>7</cp:revision>
  <cp:lastPrinted>2012-08-22T08:53:00Z</cp:lastPrinted>
  <dcterms:created xsi:type="dcterms:W3CDTF">2023-05-12T08:41:00Z</dcterms:created>
  <dcterms:modified xsi:type="dcterms:W3CDTF">2023-05-12T08:54:00Z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