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9D59"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4A6CE39" wp14:editId="5E4228C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90445EA" w14:textId="7B7FFCC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F1270">
        <w:rPr>
          <w:szCs w:val="24"/>
        </w:rPr>
        <w:t>17</w:t>
      </w:r>
      <w:r w:rsidR="007A46DE">
        <w:rPr>
          <w:szCs w:val="24"/>
        </w:rPr>
        <w:t xml:space="preserve">. </w:t>
      </w:r>
      <w:r w:rsidR="007F1270">
        <w:rPr>
          <w:szCs w:val="24"/>
        </w:rPr>
        <w:t>juni</w:t>
      </w:r>
      <w:r w:rsidR="007A46DE">
        <w:rPr>
          <w:szCs w:val="24"/>
        </w:rPr>
        <w:t xml:space="preserve"> 202</w:t>
      </w:r>
      <w:r w:rsidR="007F1270">
        <w:rPr>
          <w:szCs w:val="24"/>
        </w:rPr>
        <w:t>4</w:t>
      </w:r>
    </w:p>
    <w:p w14:paraId="13FB0E2A" w14:textId="77777777" w:rsidR="009260DE" w:rsidRPr="00C84483" w:rsidRDefault="009260DE" w:rsidP="009260DE">
      <w:pPr>
        <w:pStyle w:val="Titel"/>
        <w:tabs>
          <w:tab w:val="left" w:pos="8222"/>
        </w:tabs>
        <w:jc w:val="left"/>
        <w:rPr>
          <w:b w:val="0"/>
          <w:szCs w:val="24"/>
        </w:rPr>
      </w:pPr>
    </w:p>
    <w:p w14:paraId="215B27EB" w14:textId="77777777" w:rsidR="009260DE" w:rsidRPr="00C84483" w:rsidRDefault="009260DE" w:rsidP="009260DE">
      <w:pPr>
        <w:pStyle w:val="Titel"/>
        <w:jc w:val="left"/>
        <w:rPr>
          <w:b w:val="0"/>
          <w:szCs w:val="24"/>
        </w:rPr>
      </w:pPr>
    </w:p>
    <w:p w14:paraId="2F54847F" w14:textId="77777777" w:rsidR="009260DE" w:rsidRPr="00C84483" w:rsidRDefault="009260DE" w:rsidP="009260DE">
      <w:pPr>
        <w:jc w:val="center"/>
        <w:rPr>
          <w:b/>
          <w:sz w:val="24"/>
          <w:szCs w:val="24"/>
        </w:rPr>
      </w:pPr>
      <w:r w:rsidRPr="00C84483">
        <w:rPr>
          <w:b/>
          <w:sz w:val="24"/>
          <w:szCs w:val="24"/>
        </w:rPr>
        <w:t>PRODUKTRESUMÉ</w:t>
      </w:r>
    </w:p>
    <w:p w14:paraId="586BB72E" w14:textId="77777777" w:rsidR="009260DE" w:rsidRPr="00C84483" w:rsidRDefault="009260DE" w:rsidP="009260DE">
      <w:pPr>
        <w:jc w:val="center"/>
        <w:rPr>
          <w:b/>
          <w:sz w:val="24"/>
          <w:szCs w:val="24"/>
        </w:rPr>
      </w:pPr>
    </w:p>
    <w:p w14:paraId="375F3EA5" w14:textId="77777777" w:rsidR="009260DE" w:rsidRDefault="009260DE" w:rsidP="009260DE">
      <w:pPr>
        <w:jc w:val="center"/>
        <w:rPr>
          <w:b/>
          <w:sz w:val="24"/>
          <w:szCs w:val="24"/>
        </w:rPr>
      </w:pPr>
      <w:r w:rsidRPr="00C84483">
        <w:rPr>
          <w:b/>
          <w:sz w:val="24"/>
          <w:szCs w:val="24"/>
        </w:rPr>
        <w:t>for</w:t>
      </w:r>
    </w:p>
    <w:p w14:paraId="5BF31F19" w14:textId="77777777" w:rsidR="000B058C" w:rsidRPr="00C84483" w:rsidRDefault="000B058C" w:rsidP="009260DE">
      <w:pPr>
        <w:jc w:val="center"/>
        <w:rPr>
          <w:b/>
          <w:sz w:val="24"/>
          <w:szCs w:val="24"/>
        </w:rPr>
      </w:pPr>
    </w:p>
    <w:p w14:paraId="18FCF626" w14:textId="77777777" w:rsidR="009260DE" w:rsidRPr="00C84483" w:rsidRDefault="00625DCE" w:rsidP="009260DE">
      <w:pPr>
        <w:jc w:val="center"/>
        <w:rPr>
          <w:b/>
          <w:sz w:val="24"/>
          <w:szCs w:val="24"/>
        </w:rPr>
      </w:pPr>
      <w:proofErr w:type="spellStart"/>
      <w:r>
        <w:rPr>
          <w:b/>
          <w:sz w:val="24"/>
          <w:szCs w:val="24"/>
        </w:rPr>
        <w:t>Desfluran</w:t>
      </w:r>
      <w:proofErr w:type="spellEnd"/>
      <w:r>
        <w:rPr>
          <w:b/>
          <w:sz w:val="24"/>
          <w:szCs w:val="24"/>
        </w:rPr>
        <w:t xml:space="preserve"> "</w:t>
      </w:r>
      <w:proofErr w:type="spellStart"/>
      <w:r>
        <w:rPr>
          <w:b/>
          <w:sz w:val="24"/>
          <w:szCs w:val="24"/>
        </w:rPr>
        <w:t>Piramal</w:t>
      </w:r>
      <w:proofErr w:type="spellEnd"/>
      <w:r>
        <w:rPr>
          <w:b/>
          <w:sz w:val="24"/>
          <w:szCs w:val="24"/>
        </w:rPr>
        <w:t>", væske til inhalationsdamp</w:t>
      </w:r>
    </w:p>
    <w:p w14:paraId="3B7BD125" w14:textId="77777777" w:rsidR="009260DE" w:rsidRPr="00C84483" w:rsidRDefault="009260DE" w:rsidP="009260DE">
      <w:pPr>
        <w:jc w:val="both"/>
        <w:rPr>
          <w:sz w:val="24"/>
          <w:szCs w:val="24"/>
        </w:rPr>
      </w:pPr>
    </w:p>
    <w:p w14:paraId="18133AE8" w14:textId="77777777" w:rsidR="009260DE" w:rsidRPr="00C84483" w:rsidRDefault="009260DE" w:rsidP="009260DE">
      <w:pPr>
        <w:jc w:val="both"/>
        <w:rPr>
          <w:sz w:val="24"/>
          <w:szCs w:val="24"/>
        </w:rPr>
      </w:pPr>
    </w:p>
    <w:p w14:paraId="34C78E2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6A64184" w14:textId="43247521" w:rsidR="009260DE" w:rsidRPr="00C84483" w:rsidRDefault="002456B5" w:rsidP="009260DE">
      <w:pPr>
        <w:tabs>
          <w:tab w:val="left" w:pos="851"/>
        </w:tabs>
        <w:ind w:left="851"/>
        <w:rPr>
          <w:sz w:val="24"/>
          <w:szCs w:val="24"/>
        </w:rPr>
      </w:pPr>
      <w:r>
        <w:rPr>
          <w:sz w:val="24"/>
          <w:szCs w:val="24"/>
        </w:rPr>
        <w:t>33402</w:t>
      </w:r>
    </w:p>
    <w:p w14:paraId="132C57BF" w14:textId="77777777" w:rsidR="009260DE" w:rsidRPr="00C84483" w:rsidRDefault="009260DE" w:rsidP="009260DE">
      <w:pPr>
        <w:tabs>
          <w:tab w:val="left" w:pos="851"/>
        </w:tabs>
        <w:ind w:left="851"/>
        <w:rPr>
          <w:sz w:val="24"/>
          <w:szCs w:val="24"/>
        </w:rPr>
      </w:pPr>
    </w:p>
    <w:p w14:paraId="272EF85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FFA76DA" w14:textId="20F42150" w:rsidR="009260DE" w:rsidRPr="00C84483" w:rsidRDefault="00EF1D81" w:rsidP="009260DE">
      <w:pPr>
        <w:tabs>
          <w:tab w:val="left" w:pos="851"/>
        </w:tabs>
        <w:ind w:left="851"/>
        <w:rPr>
          <w:sz w:val="24"/>
          <w:szCs w:val="24"/>
        </w:rPr>
      </w:pPr>
      <w:proofErr w:type="spellStart"/>
      <w:r>
        <w:rPr>
          <w:sz w:val="24"/>
          <w:szCs w:val="24"/>
        </w:rPr>
        <w:t>Desfluran</w:t>
      </w:r>
      <w:proofErr w:type="spellEnd"/>
      <w:r>
        <w:rPr>
          <w:sz w:val="24"/>
          <w:szCs w:val="24"/>
        </w:rPr>
        <w:t xml:space="preserve"> "</w:t>
      </w:r>
      <w:proofErr w:type="spellStart"/>
      <w:r>
        <w:rPr>
          <w:sz w:val="24"/>
          <w:szCs w:val="24"/>
        </w:rPr>
        <w:t>Piramal</w:t>
      </w:r>
      <w:proofErr w:type="spellEnd"/>
      <w:r>
        <w:rPr>
          <w:sz w:val="24"/>
          <w:szCs w:val="24"/>
        </w:rPr>
        <w:t>"</w:t>
      </w:r>
    </w:p>
    <w:p w14:paraId="56AE6116" w14:textId="77777777" w:rsidR="009260DE" w:rsidRPr="00C84483" w:rsidRDefault="009260DE" w:rsidP="009260DE">
      <w:pPr>
        <w:tabs>
          <w:tab w:val="left" w:pos="851"/>
        </w:tabs>
        <w:ind w:left="851"/>
        <w:rPr>
          <w:sz w:val="24"/>
          <w:szCs w:val="24"/>
        </w:rPr>
      </w:pPr>
    </w:p>
    <w:p w14:paraId="7ACF654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FC0438C" w14:textId="77777777" w:rsidR="00EF1D81" w:rsidRPr="002456B5" w:rsidRDefault="00EF1D81" w:rsidP="00EF1D81">
      <w:pPr>
        <w:tabs>
          <w:tab w:val="left" w:pos="851"/>
        </w:tabs>
        <w:ind w:left="851"/>
        <w:rPr>
          <w:sz w:val="24"/>
          <w:szCs w:val="24"/>
        </w:rPr>
      </w:pPr>
      <w:proofErr w:type="spellStart"/>
      <w:r w:rsidRPr="00EF1D81">
        <w:rPr>
          <w:sz w:val="24"/>
          <w:szCs w:val="24"/>
        </w:rPr>
        <w:t>Desfluran</w:t>
      </w:r>
      <w:proofErr w:type="spellEnd"/>
      <w:r w:rsidRPr="00EF1D81">
        <w:rPr>
          <w:sz w:val="24"/>
          <w:szCs w:val="24"/>
        </w:rPr>
        <w:t xml:space="preserve"> 100 % (v/v)</w:t>
      </w:r>
    </w:p>
    <w:p w14:paraId="7B9F0D93" w14:textId="77777777" w:rsidR="009260DE" w:rsidRPr="00C84483" w:rsidRDefault="009260DE" w:rsidP="009260DE">
      <w:pPr>
        <w:tabs>
          <w:tab w:val="left" w:pos="851"/>
        </w:tabs>
        <w:ind w:left="851"/>
        <w:rPr>
          <w:sz w:val="24"/>
          <w:szCs w:val="24"/>
        </w:rPr>
      </w:pPr>
    </w:p>
    <w:p w14:paraId="1FD8C85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7EA7C64" w14:textId="38106BA4" w:rsidR="009260DE" w:rsidRDefault="00D14BFC" w:rsidP="009260DE">
      <w:pPr>
        <w:tabs>
          <w:tab w:val="left" w:pos="851"/>
        </w:tabs>
        <w:ind w:left="851"/>
        <w:rPr>
          <w:sz w:val="24"/>
          <w:szCs w:val="24"/>
        </w:rPr>
      </w:pPr>
      <w:r>
        <w:rPr>
          <w:sz w:val="24"/>
          <w:szCs w:val="24"/>
        </w:rPr>
        <w:t>Væske til inhalationsdamp</w:t>
      </w:r>
    </w:p>
    <w:p w14:paraId="68FE3E8E" w14:textId="7CB2AE77" w:rsidR="00D14BFC" w:rsidRDefault="00D14BFC" w:rsidP="009260DE">
      <w:pPr>
        <w:tabs>
          <w:tab w:val="left" w:pos="851"/>
        </w:tabs>
        <w:ind w:left="851"/>
        <w:rPr>
          <w:sz w:val="24"/>
          <w:szCs w:val="24"/>
        </w:rPr>
      </w:pPr>
    </w:p>
    <w:p w14:paraId="0A99E6C1" w14:textId="4D361F34" w:rsidR="00D14BFC" w:rsidRPr="00D14BFC" w:rsidRDefault="00D14BFC" w:rsidP="00D14BFC">
      <w:pPr>
        <w:tabs>
          <w:tab w:val="left" w:pos="851"/>
        </w:tabs>
        <w:ind w:left="851"/>
        <w:rPr>
          <w:sz w:val="24"/>
          <w:szCs w:val="24"/>
        </w:rPr>
      </w:pPr>
      <w:r w:rsidRPr="002456B5">
        <w:rPr>
          <w:sz w:val="24"/>
          <w:szCs w:val="24"/>
        </w:rPr>
        <w:t>Klar, farveløs inhalationsdampvæske</w:t>
      </w:r>
      <w:r>
        <w:rPr>
          <w:sz w:val="24"/>
          <w:szCs w:val="24"/>
        </w:rPr>
        <w:t>.</w:t>
      </w:r>
    </w:p>
    <w:p w14:paraId="6DDC061C" w14:textId="77777777" w:rsidR="00D14BFC" w:rsidRPr="00C84483" w:rsidRDefault="00D14BFC" w:rsidP="009260DE">
      <w:pPr>
        <w:tabs>
          <w:tab w:val="left" w:pos="851"/>
        </w:tabs>
        <w:ind w:left="851"/>
        <w:rPr>
          <w:sz w:val="24"/>
          <w:szCs w:val="24"/>
        </w:rPr>
      </w:pPr>
    </w:p>
    <w:p w14:paraId="79B30EAC" w14:textId="77777777" w:rsidR="009260DE" w:rsidRPr="00C84483" w:rsidRDefault="009260DE" w:rsidP="009260DE">
      <w:pPr>
        <w:tabs>
          <w:tab w:val="left" w:pos="851"/>
        </w:tabs>
        <w:ind w:left="851"/>
        <w:rPr>
          <w:sz w:val="24"/>
          <w:szCs w:val="24"/>
        </w:rPr>
      </w:pPr>
    </w:p>
    <w:p w14:paraId="6546D08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8BB72A2" w14:textId="77777777" w:rsidR="009260DE" w:rsidRPr="00C84483" w:rsidRDefault="009260DE" w:rsidP="009260DE">
      <w:pPr>
        <w:tabs>
          <w:tab w:val="left" w:pos="851"/>
        </w:tabs>
        <w:ind w:left="851"/>
        <w:rPr>
          <w:b/>
          <w:sz w:val="24"/>
          <w:szCs w:val="24"/>
        </w:rPr>
      </w:pPr>
    </w:p>
    <w:p w14:paraId="7A29A0A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815C0C4" w14:textId="16AD1B89" w:rsidR="001D577B" w:rsidRPr="001D577B" w:rsidRDefault="001D577B" w:rsidP="001D577B">
      <w:pPr>
        <w:tabs>
          <w:tab w:val="left" w:pos="851"/>
        </w:tabs>
        <w:ind w:left="851"/>
        <w:rPr>
          <w:sz w:val="24"/>
          <w:szCs w:val="24"/>
        </w:rPr>
      </w:pPr>
      <w:proofErr w:type="spellStart"/>
      <w:r w:rsidRPr="001D577B">
        <w:rPr>
          <w:sz w:val="24"/>
          <w:szCs w:val="24"/>
        </w:rPr>
        <w:t>Desfluran</w:t>
      </w:r>
      <w:proofErr w:type="spellEnd"/>
      <w:r w:rsidRPr="001D577B">
        <w:rPr>
          <w:sz w:val="24"/>
          <w:szCs w:val="24"/>
        </w:rPr>
        <w:t xml:space="preserve"> er indiceret som inhalationsmiddel til induktion </w:t>
      </w:r>
      <w:r w:rsidR="007F1270" w:rsidRPr="001D577B">
        <w:rPr>
          <w:sz w:val="24"/>
          <w:szCs w:val="24"/>
        </w:rPr>
        <w:t>og</w:t>
      </w:r>
      <w:r w:rsidR="007F1270">
        <w:rPr>
          <w:sz w:val="24"/>
          <w:szCs w:val="24"/>
        </w:rPr>
        <w:t>/eller</w:t>
      </w:r>
      <w:r w:rsidRPr="001D577B">
        <w:rPr>
          <w:sz w:val="24"/>
          <w:szCs w:val="24"/>
        </w:rPr>
        <w:t xml:space="preserve"> vedligeholdelse af generel anæstesi ved indlæggelse og ambulant kirurgi hos voksne og til vedligeholdelse af anæstesi hos spædbørn og børn.</w:t>
      </w:r>
    </w:p>
    <w:p w14:paraId="117D50E4" w14:textId="77777777" w:rsidR="009260DE" w:rsidRPr="00C84483" w:rsidRDefault="009260DE" w:rsidP="009260DE">
      <w:pPr>
        <w:tabs>
          <w:tab w:val="left" w:pos="851"/>
        </w:tabs>
        <w:ind w:left="851"/>
        <w:rPr>
          <w:sz w:val="24"/>
          <w:szCs w:val="24"/>
        </w:rPr>
      </w:pPr>
    </w:p>
    <w:p w14:paraId="0F94E45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5FEB682"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bør kun administreres af sundhedspersonale, der er uddannet i administration af generel anæstesi ved hjælp af en fordamper, der er specielt designet og kalibreret til brug med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w:t>
      </w:r>
    </w:p>
    <w:p w14:paraId="77AC899E"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31285DEC" w14:textId="7AF12AF3"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Udstyr til opretholdelse af frie luftveje, kunstig ventilation, </w:t>
      </w:r>
      <w:r w:rsidRPr="001D577B">
        <w:rPr>
          <w:spacing w:val="-3"/>
          <w:sz w:val="24"/>
          <w:szCs w:val="24"/>
          <w:lang w:val="da-DK"/>
        </w:rPr>
        <w:t>oxygentilførsel</w:t>
      </w:r>
      <w:r w:rsidR="00E86AC0">
        <w:rPr>
          <w:spacing w:val="-3"/>
          <w:sz w:val="24"/>
          <w:szCs w:val="24"/>
          <w:lang w:val="da-DK"/>
        </w:rPr>
        <w:t xml:space="preserve"> </w:t>
      </w:r>
      <w:r w:rsidRPr="001D577B">
        <w:rPr>
          <w:rFonts w:asciiTheme="majorBidi" w:eastAsia="Times New Roman" w:hAnsiTheme="majorBidi" w:cstheme="majorBidi"/>
          <w:snapToGrid w:val="0"/>
          <w:sz w:val="24"/>
          <w:szCs w:val="24"/>
          <w:lang w:val="da-DK"/>
        </w:rPr>
        <w:t>og genoplivning skal være umiddelbart tilgængeligt.</w:t>
      </w:r>
    </w:p>
    <w:p w14:paraId="74A7F362"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6A30EFD5" w14:textId="77777777" w:rsidR="001D577B" w:rsidRPr="001D577B" w:rsidRDefault="001D577B" w:rsidP="00B6210E">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Parametre som EKG, blodtryk, iltmætning og pCO2 ved udånding skal monitoreres under anæstesi (se pkt. 4.4).</w:t>
      </w:r>
    </w:p>
    <w:p w14:paraId="726DBAAF" w14:textId="77777777" w:rsidR="001D577B" w:rsidRPr="001D577B" w:rsidRDefault="001D577B" w:rsidP="00B6210E">
      <w:pPr>
        <w:pStyle w:val="Brdtekst"/>
        <w:kinsoku w:val="0"/>
        <w:overflowPunct w:val="0"/>
        <w:snapToGrid w:val="0"/>
        <w:ind w:left="851"/>
        <w:rPr>
          <w:rFonts w:asciiTheme="majorBidi" w:hAnsiTheme="majorBidi" w:cstheme="majorBidi"/>
          <w:snapToGrid w:val="0"/>
          <w:sz w:val="24"/>
          <w:szCs w:val="24"/>
          <w:lang w:val="da-DK"/>
        </w:rPr>
      </w:pPr>
    </w:p>
    <w:p w14:paraId="769FB286" w14:textId="77777777" w:rsidR="001D577B" w:rsidRPr="00B6210E" w:rsidRDefault="001D577B" w:rsidP="00B6210E">
      <w:pPr>
        <w:pStyle w:val="Brdtekst"/>
        <w:kinsoku w:val="0"/>
        <w:overflowPunct w:val="0"/>
        <w:snapToGrid w:val="0"/>
        <w:ind w:left="851"/>
        <w:rPr>
          <w:rFonts w:asciiTheme="majorBidi" w:hAnsiTheme="majorBidi" w:cstheme="majorBidi"/>
          <w:b/>
          <w:snapToGrid w:val="0"/>
          <w:sz w:val="24"/>
          <w:szCs w:val="24"/>
          <w:lang w:val="da-DK"/>
        </w:rPr>
      </w:pPr>
      <w:r w:rsidRPr="00B6210E">
        <w:rPr>
          <w:rFonts w:asciiTheme="majorBidi" w:eastAsia="Times New Roman" w:hAnsiTheme="majorBidi" w:cstheme="majorBidi"/>
          <w:b/>
          <w:snapToGrid w:val="0"/>
          <w:sz w:val="24"/>
          <w:szCs w:val="24"/>
          <w:lang w:val="da-DK"/>
        </w:rPr>
        <w:t>Dosering</w:t>
      </w:r>
    </w:p>
    <w:p w14:paraId="348AD1C9" w14:textId="77777777" w:rsidR="001D577B" w:rsidRPr="001D577B" w:rsidRDefault="001D577B" w:rsidP="00B6210E">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Administrationen af generel anæstesi skal individualiseres baseret på patientens respons. Det bestemmes afhængigt af den ønskede effekt under hensyntagen til patientens alder og </w:t>
      </w:r>
      <w:r w:rsidRPr="001D577B">
        <w:rPr>
          <w:rFonts w:asciiTheme="majorBidi" w:eastAsia="Times New Roman" w:hAnsiTheme="majorBidi" w:cstheme="majorBidi"/>
          <w:snapToGrid w:val="0"/>
          <w:sz w:val="24"/>
          <w:szCs w:val="24"/>
          <w:lang w:val="da-DK"/>
        </w:rPr>
        <w:lastRenderedPageBreak/>
        <w:t>kliniske status.</w:t>
      </w:r>
    </w:p>
    <w:p w14:paraId="4C9ECDCE" w14:textId="77777777" w:rsidR="001D577B" w:rsidRPr="001D577B" w:rsidRDefault="001D577B" w:rsidP="00B6210E">
      <w:pPr>
        <w:pStyle w:val="Brdtekst"/>
        <w:kinsoku w:val="0"/>
        <w:overflowPunct w:val="0"/>
        <w:snapToGrid w:val="0"/>
        <w:ind w:left="851"/>
        <w:rPr>
          <w:rFonts w:asciiTheme="majorBidi" w:hAnsiTheme="majorBidi" w:cstheme="majorBidi"/>
          <w:snapToGrid w:val="0"/>
          <w:sz w:val="24"/>
          <w:szCs w:val="24"/>
          <w:lang w:val="da-DK"/>
        </w:rPr>
      </w:pPr>
    </w:p>
    <w:p w14:paraId="034A441D" w14:textId="77777777" w:rsidR="001D577B" w:rsidRPr="001D577B" w:rsidRDefault="001D577B" w:rsidP="00B6210E">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MAC- (mindste alveolære koncentration, hvor 50 % af patienterne ikke udviser respons på et standardiseret kirurgisk snit) værdier for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falder med stigende patientalder. Dosis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skal justeres i overensstemmelse hermed.</w:t>
      </w:r>
    </w:p>
    <w:p w14:paraId="5323ABB4" w14:textId="77777777" w:rsidR="001D577B" w:rsidRPr="001D577B" w:rsidRDefault="001D577B" w:rsidP="00B6210E">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Den procentvise koncentration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svarende til 1 MAC er blevet bestemt inden for bæregassen som angivet i tabel 1 nedenfor.</w:t>
      </w:r>
    </w:p>
    <w:p w14:paraId="1A7F07D0" w14:textId="77777777" w:rsidR="001D577B" w:rsidRDefault="001D577B" w:rsidP="001D577B">
      <w:pPr>
        <w:pStyle w:val="Brdtekst"/>
        <w:kinsoku w:val="0"/>
        <w:overflowPunct w:val="0"/>
        <w:snapToGrid w:val="0"/>
        <w:rPr>
          <w:rFonts w:asciiTheme="majorBidi" w:hAnsiTheme="majorBidi" w:cstheme="majorBidi"/>
          <w:snapToGrid w:val="0"/>
          <w:lang w:val="da-DK"/>
        </w:rPr>
      </w:pPr>
    </w:p>
    <w:tbl>
      <w:tblPr>
        <w:tblW w:w="5000" w:type="pct"/>
        <w:tblCellMar>
          <w:top w:w="85" w:type="dxa"/>
          <w:left w:w="85" w:type="dxa"/>
          <w:bottom w:w="85" w:type="dxa"/>
          <w:right w:w="85" w:type="dxa"/>
        </w:tblCellMar>
        <w:tblLook w:val="04A0" w:firstRow="1" w:lastRow="0" w:firstColumn="1" w:lastColumn="0" w:noHBand="0" w:noVBand="1"/>
      </w:tblPr>
      <w:tblGrid>
        <w:gridCol w:w="1275"/>
        <w:gridCol w:w="1180"/>
        <w:gridCol w:w="3121"/>
        <w:gridCol w:w="2024"/>
        <w:gridCol w:w="2028"/>
      </w:tblGrid>
      <w:tr w:rsidR="001D577B" w14:paraId="66D24595" w14:textId="77777777" w:rsidTr="001D577B">
        <w:tc>
          <w:tcPr>
            <w:tcW w:w="5000" w:type="pct"/>
            <w:gridSpan w:val="5"/>
            <w:tcBorders>
              <w:top w:val="single" w:sz="4" w:space="0" w:color="000000"/>
              <w:left w:val="single" w:sz="4" w:space="0" w:color="000000"/>
              <w:bottom w:val="single" w:sz="4" w:space="0" w:color="000000"/>
              <w:right w:val="single" w:sz="4" w:space="0" w:color="000000"/>
            </w:tcBorders>
            <w:hideMark/>
          </w:tcPr>
          <w:p w14:paraId="165B84DE"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b/>
                <w:bCs/>
                <w:snapToGrid w:val="0"/>
                <w:color w:val="FF0000"/>
                <w:sz w:val="22"/>
                <w:szCs w:val="22"/>
                <w:lang w:val="da-DK"/>
              </w:rPr>
            </w:pPr>
            <w:r>
              <w:rPr>
                <w:rFonts w:asciiTheme="majorBidi" w:eastAsia="Times New Roman" w:hAnsiTheme="majorBidi" w:cstheme="majorBidi"/>
                <w:b/>
                <w:bCs/>
                <w:snapToGrid w:val="0"/>
                <w:sz w:val="22"/>
                <w:szCs w:val="22"/>
                <w:lang w:val="da-DK"/>
              </w:rPr>
              <w:t>Tabel 1</w:t>
            </w:r>
            <w:r>
              <w:rPr>
                <w:rFonts w:asciiTheme="majorBidi" w:eastAsia="Times New Roman" w:hAnsiTheme="majorBidi" w:cstheme="majorBidi"/>
                <w:b/>
                <w:bCs/>
                <w:snapToGrid w:val="0"/>
                <w:color w:val="FF0000"/>
                <w:sz w:val="22"/>
                <w:szCs w:val="22"/>
                <w:lang w:val="da-DK"/>
              </w:rPr>
              <w:t>.</w:t>
            </w:r>
          </w:p>
          <w:p w14:paraId="5004E501"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b/>
                <w:bCs/>
                <w:snapToGrid w:val="0"/>
                <w:sz w:val="22"/>
                <w:szCs w:val="22"/>
                <w:lang w:val="da-DK"/>
              </w:rPr>
              <w:t xml:space="preserve">Procentvis koncentration af </w:t>
            </w:r>
            <w:proofErr w:type="spellStart"/>
            <w:r>
              <w:rPr>
                <w:rFonts w:asciiTheme="majorBidi" w:eastAsia="Times New Roman" w:hAnsiTheme="majorBidi" w:cstheme="majorBidi"/>
                <w:b/>
                <w:bCs/>
                <w:snapToGrid w:val="0"/>
                <w:sz w:val="22"/>
                <w:szCs w:val="22"/>
                <w:lang w:val="da-DK"/>
              </w:rPr>
              <w:t>desfluran</w:t>
            </w:r>
            <w:proofErr w:type="spellEnd"/>
            <w:r>
              <w:rPr>
                <w:rFonts w:asciiTheme="majorBidi" w:eastAsia="Times New Roman" w:hAnsiTheme="majorBidi" w:cstheme="majorBidi"/>
                <w:b/>
                <w:bCs/>
                <w:snapToGrid w:val="0"/>
                <w:sz w:val="22"/>
                <w:szCs w:val="22"/>
                <w:lang w:val="da-DK"/>
              </w:rPr>
              <w:t xml:space="preserve"> svarende til 1 MAC i henhold til patientens alder og inhalationsblanding (middelværdi ± SD)</w:t>
            </w:r>
          </w:p>
        </w:tc>
      </w:tr>
      <w:tr w:rsidR="001D577B" w14:paraId="5002E645" w14:textId="77777777" w:rsidTr="001D577B">
        <w:tc>
          <w:tcPr>
            <w:tcW w:w="662" w:type="pct"/>
            <w:tcBorders>
              <w:top w:val="single" w:sz="4" w:space="0" w:color="000000"/>
              <w:left w:val="single" w:sz="4" w:space="0" w:color="000000"/>
              <w:bottom w:val="single" w:sz="4" w:space="0" w:color="000000"/>
              <w:right w:val="single" w:sz="4" w:space="0" w:color="000000"/>
            </w:tcBorders>
          </w:tcPr>
          <w:p w14:paraId="2BC44663"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lang w:val="da-DK"/>
              </w:rPr>
            </w:pPr>
          </w:p>
          <w:p w14:paraId="23CD14F7" w14:textId="77777777" w:rsidR="001D577B" w:rsidRDefault="001D577B">
            <w:pPr>
              <w:pStyle w:val="TableParagraph"/>
              <w:keepNext/>
              <w:keepLines/>
              <w:kinsoku w:val="0"/>
              <w:overflowPunct w:val="0"/>
              <w:snapToGrid w:val="0"/>
              <w:spacing w:line="256" w:lineRule="auto"/>
              <w:ind w:left="0"/>
              <w:jc w:val="center"/>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Alder</w:t>
            </w:r>
          </w:p>
        </w:tc>
        <w:tc>
          <w:tcPr>
            <w:tcW w:w="613" w:type="pct"/>
            <w:tcBorders>
              <w:top w:val="single" w:sz="4" w:space="0" w:color="000000"/>
              <w:left w:val="single" w:sz="4" w:space="0" w:color="000000"/>
              <w:bottom w:val="single" w:sz="4" w:space="0" w:color="000000"/>
              <w:right w:val="single" w:sz="4" w:space="0" w:color="000000"/>
            </w:tcBorders>
            <w:hideMark/>
          </w:tcPr>
          <w:p w14:paraId="0DAA08C6" w14:textId="77777777" w:rsidR="001D577B" w:rsidRDefault="001D577B">
            <w:pPr>
              <w:pStyle w:val="TableParagraph"/>
              <w:keepNext/>
              <w:keepLines/>
              <w:kinsoku w:val="0"/>
              <w:overflowPunct w:val="0"/>
              <w:snapToGrid w:val="0"/>
              <w:spacing w:line="256" w:lineRule="auto"/>
              <w:ind w:left="0"/>
              <w:jc w:val="center"/>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N*</w:t>
            </w:r>
          </w:p>
        </w:tc>
        <w:tc>
          <w:tcPr>
            <w:tcW w:w="1621" w:type="pct"/>
            <w:tcBorders>
              <w:top w:val="single" w:sz="4" w:space="0" w:color="000000"/>
              <w:left w:val="single" w:sz="4" w:space="0" w:color="000000"/>
              <w:bottom w:val="single" w:sz="4" w:space="0" w:color="000000"/>
              <w:right w:val="single" w:sz="4" w:space="0" w:color="000000"/>
            </w:tcBorders>
          </w:tcPr>
          <w:p w14:paraId="4F1F3A8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p>
          <w:p w14:paraId="7C14C8B2" w14:textId="77777777" w:rsidR="001D577B" w:rsidRDefault="001D577B">
            <w:pPr>
              <w:pStyle w:val="TableParagraph"/>
              <w:keepNext/>
              <w:keepLines/>
              <w:kinsoku w:val="0"/>
              <w:overflowPunct w:val="0"/>
              <w:snapToGrid w:val="0"/>
              <w:spacing w:line="256" w:lineRule="auto"/>
              <w:ind w:left="0"/>
              <w:jc w:val="center"/>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100 % ilt</w:t>
            </w:r>
          </w:p>
        </w:tc>
        <w:tc>
          <w:tcPr>
            <w:tcW w:w="1051" w:type="pct"/>
            <w:tcBorders>
              <w:top w:val="single" w:sz="4" w:space="0" w:color="000000"/>
              <w:left w:val="single" w:sz="4" w:space="0" w:color="000000"/>
              <w:bottom w:val="single" w:sz="4" w:space="0" w:color="000000"/>
              <w:right w:val="single" w:sz="4" w:space="0" w:color="000000"/>
            </w:tcBorders>
            <w:hideMark/>
          </w:tcPr>
          <w:p w14:paraId="44644056" w14:textId="77777777" w:rsidR="001D577B" w:rsidRDefault="001D577B">
            <w:pPr>
              <w:pStyle w:val="TableParagraph"/>
              <w:keepNext/>
              <w:keepLines/>
              <w:kinsoku w:val="0"/>
              <w:overflowPunct w:val="0"/>
              <w:snapToGrid w:val="0"/>
              <w:spacing w:line="256" w:lineRule="auto"/>
              <w:ind w:left="0"/>
              <w:jc w:val="center"/>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N*</w:t>
            </w:r>
          </w:p>
        </w:tc>
        <w:tc>
          <w:tcPr>
            <w:tcW w:w="1053" w:type="pct"/>
            <w:tcBorders>
              <w:top w:val="single" w:sz="4" w:space="0" w:color="000000"/>
              <w:left w:val="single" w:sz="4" w:space="0" w:color="000000"/>
              <w:bottom w:val="single" w:sz="4" w:space="0" w:color="000000"/>
              <w:right w:val="single" w:sz="4" w:space="0" w:color="000000"/>
            </w:tcBorders>
            <w:hideMark/>
          </w:tcPr>
          <w:p w14:paraId="5504FDD4" w14:textId="77777777" w:rsidR="001D577B" w:rsidRDefault="001D577B">
            <w:pPr>
              <w:pStyle w:val="TableParagraph"/>
              <w:keepNext/>
              <w:keepLines/>
              <w:kinsoku w:val="0"/>
              <w:overflowPunct w:val="0"/>
              <w:snapToGrid w:val="0"/>
              <w:spacing w:line="256" w:lineRule="auto"/>
              <w:ind w:left="0"/>
              <w:jc w:val="center"/>
              <w:rPr>
                <w:rFonts w:asciiTheme="majorBidi" w:hAnsiTheme="majorBidi" w:cstheme="majorBidi"/>
                <w:b/>
                <w:bCs/>
                <w:snapToGrid w:val="0"/>
                <w:sz w:val="22"/>
                <w:szCs w:val="22"/>
              </w:rPr>
            </w:pPr>
            <w:r>
              <w:rPr>
                <w:rFonts w:asciiTheme="majorBidi" w:eastAsia="Times New Roman" w:hAnsiTheme="majorBidi" w:cstheme="majorBidi"/>
                <w:b/>
                <w:bCs/>
                <w:snapToGrid w:val="0"/>
                <w:sz w:val="22"/>
                <w:szCs w:val="22"/>
                <w:lang w:val="da-DK"/>
              </w:rPr>
              <w:t xml:space="preserve">60 % </w:t>
            </w:r>
            <w:proofErr w:type="spellStart"/>
            <w:r>
              <w:rPr>
                <w:rFonts w:asciiTheme="majorBidi" w:eastAsia="Times New Roman" w:hAnsiTheme="majorBidi" w:cstheme="majorBidi"/>
                <w:b/>
                <w:bCs/>
                <w:snapToGrid w:val="0"/>
                <w:sz w:val="22"/>
                <w:szCs w:val="22"/>
                <w:lang w:val="da-DK"/>
              </w:rPr>
              <w:t>dinitrogenoxid</w:t>
            </w:r>
            <w:proofErr w:type="spellEnd"/>
            <w:r>
              <w:rPr>
                <w:rFonts w:asciiTheme="majorBidi" w:eastAsia="Times New Roman" w:hAnsiTheme="majorBidi" w:cstheme="majorBidi"/>
                <w:b/>
                <w:bCs/>
                <w:snapToGrid w:val="0"/>
                <w:sz w:val="22"/>
                <w:szCs w:val="22"/>
                <w:lang w:val="da-DK"/>
              </w:rPr>
              <w:t>/</w:t>
            </w:r>
          </w:p>
          <w:p w14:paraId="3B8A9F02" w14:textId="77777777" w:rsidR="001D577B" w:rsidRDefault="001D577B">
            <w:pPr>
              <w:pStyle w:val="TableParagraph"/>
              <w:keepNext/>
              <w:keepLines/>
              <w:kinsoku w:val="0"/>
              <w:overflowPunct w:val="0"/>
              <w:snapToGrid w:val="0"/>
              <w:spacing w:line="256" w:lineRule="auto"/>
              <w:ind w:left="0"/>
              <w:jc w:val="center"/>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40 % ilt</w:t>
            </w:r>
          </w:p>
        </w:tc>
      </w:tr>
      <w:tr w:rsidR="001D577B" w14:paraId="16A5A09D"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1A48B70A"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2 uger</w:t>
            </w:r>
          </w:p>
        </w:tc>
        <w:tc>
          <w:tcPr>
            <w:tcW w:w="613" w:type="pct"/>
            <w:tcBorders>
              <w:top w:val="single" w:sz="4" w:space="0" w:color="000000"/>
              <w:left w:val="single" w:sz="4" w:space="0" w:color="000000"/>
              <w:bottom w:val="single" w:sz="4" w:space="0" w:color="000000"/>
              <w:right w:val="single" w:sz="4" w:space="0" w:color="000000"/>
            </w:tcBorders>
            <w:hideMark/>
          </w:tcPr>
          <w:p w14:paraId="72A2C988"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6</w:t>
            </w:r>
          </w:p>
        </w:tc>
        <w:tc>
          <w:tcPr>
            <w:tcW w:w="1621" w:type="pct"/>
            <w:tcBorders>
              <w:top w:val="single" w:sz="4" w:space="0" w:color="000000"/>
              <w:left w:val="single" w:sz="4" w:space="0" w:color="000000"/>
              <w:bottom w:val="single" w:sz="4" w:space="0" w:color="000000"/>
              <w:right w:val="single" w:sz="4" w:space="0" w:color="000000"/>
            </w:tcBorders>
            <w:hideMark/>
          </w:tcPr>
          <w:p w14:paraId="6A1A4A82"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9,2 ± 0,0</w:t>
            </w:r>
          </w:p>
        </w:tc>
        <w:tc>
          <w:tcPr>
            <w:tcW w:w="1051" w:type="pct"/>
            <w:tcBorders>
              <w:top w:val="single" w:sz="4" w:space="0" w:color="000000"/>
              <w:left w:val="single" w:sz="4" w:space="0" w:color="000000"/>
              <w:bottom w:val="single" w:sz="4" w:space="0" w:color="000000"/>
              <w:right w:val="single" w:sz="4" w:space="0" w:color="000000"/>
            </w:tcBorders>
            <w:hideMark/>
          </w:tcPr>
          <w:p w14:paraId="0DA950D8"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c>
          <w:tcPr>
            <w:tcW w:w="1053" w:type="pct"/>
            <w:tcBorders>
              <w:top w:val="single" w:sz="4" w:space="0" w:color="000000"/>
              <w:left w:val="single" w:sz="4" w:space="0" w:color="000000"/>
              <w:bottom w:val="single" w:sz="4" w:space="0" w:color="000000"/>
              <w:right w:val="single" w:sz="4" w:space="0" w:color="000000"/>
            </w:tcBorders>
            <w:hideMark/>
          </w:tcPr>
          <w:p w14:paraId="338F2C5C"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r>
      <w:tr w:rsidR="001D577B" w14:paraId="3FF6D8C6"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6B0F5CAE"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10 uger</w:t>
            </w:r>
          </w:p>
        </w:tc>
        <w:tc>
          <w:tcPr>
            <w:tcW w:w="613" w:type="pct"/>
            <w:tcBorders>
              <w:top w:val="single" w:sz="4" w:space="0" w:color="000000"/>
              <w:left w:val="single" w:sz="4" w:space="0" w:color="000000"/>
              <w:bottom w:val="single" w:sz="4" w:space="0" w:color="000000"/>
              <w:right w:val="single" w:sz="4" w:space="0" w:color="000000"/>
            </w:tcBorders>
            <w:hideMark/>
          </w:tcPr>
          <w:p w14:paraId="47638183"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5</w:t>
            </w:r>
          </w:p>
        </w:tc>
        <w:tc>
          <w:tcPr>
            <w:tcW w:w="1621" w:type="pct"/>
            <w:tcBorders>
              <w:top w:val="single" w:sz="4" w:space="0" w:color="000000"/>
              <w:left w:val="single" w:sz="4" w:space="0" w:color="000000"/>
              <w:bottom w:val="single" w:sz="4" w:space="0" w:color="000000"/>
              <w:right w:val="single" w:sz="4" w:space="0" w:color="000000"/>
            </w:tcBorders>
            <w:hideMark/>
          </w:tcPr>
          <w:p w14:paraId="4F6C53A2"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9,4 ± 0,4</w:t>
            </w:r>
          </w:p>
        </w:tc>
        <w:tc>
          <w:tcPr>
            <w:tcW w:w="1051" w:type="pct"/>
            <w:tcBorders>
              <w:top w:val="single" w:sz="4" w:space="0" w:color="000000"/>
              <w:left w:val="single" w:sz="4" w:space="0" w:color="000000"/>
              <w:bottom w:val="single" w:sz="4" w:space="0" w:color="000000"/>
              <w:right w:val="single" w:sz="4" w:space="0" w:color="000000"/>
            </w:tcBorders>
            <w:hideMark/>
          </w:tcPr>
          <w:p w14:paraId="09D14DEA"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c>
          <w:tcPr>
            <w:tcW w:w="1053" w:type="pct"/>
            <w:tcBorders>
              <w:top w:val="single" w:sz="4" w:space="0" w:color="000000"/>
              <w:left w:val="single" w:sz="4" w:space="0" w:color="000000"/>
              <w:bottom w:val="single" w:sz="4" w:space="0" w:color="000000"/>
              <w:right w:val="single" w:sz="4" w:space="0" w:color="000000"/>
            </w:tcBorders>
            <w:hideMark/>
          </w:tcPr>
          <w:p w14:paraId="3DA6B83D"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r>
      <w:tr w:rsidR="001D577B" w14:paraId="7766545D"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7BE6EAE2"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9 måneder</w:t>
            </w:r>
          </w:p>
        </w:tc>
        <w:tc>
          <w:tcPr>
            <w:tcW w:w="613" w:type="pct"/>
            <w:tcBorders>
              <w:top w:val="single" w:sz="4" w:space="0" w:color="000000"/>
              <w:left w:val="single" w:sz="4" w:space="0" w:color="000000"/>
              <w:bottom w:val="single" w:sz="4" w:space="0" w:color="000000"/>
              <w:right w:val="single" w:sz="4" w:space="0" w:color="000000"/>
            </w:tcBorders>
            <w:hideMark/>
          </w:tcPr>
          <w:p w14:paraId="64CDE0D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w:t>
            </w:r>
          </w:p>
        </w:tc>
        <w:tc>
          <w:tcPr>
            <w:tcW w:w="1621" w:type="pct"/>
            <w:tcBorders>
              <w:top w:val="single" w:sz="4" w:space="0" w:color="000000"/>
              <w:left w:val="single" w:sz="4" w:space="0" w:color="000000"/>
              <w:bottom w:val="single" w:sz="4" w:space="0" w:color="000000"/>
              <w:right w:val="single" w:sz="4" w:space="0" w:color="000000"/>
            </w:tcBorders>
            <w:hideMark/>
          </w:tcPr>
          <w:p w14:paraId="49370141"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10,0 ± 0,7</w:t>
            </w:r>
          </w:p>
        </w:tc>
        <w:tc>
          <w:tcPr>
            <w:tcW w:w="1051" w:type="pct"/>
            <w:tcBorders>
              <w:top w:val="single" w:sz="4" w:space="0" w:color="000000"/>
              <w:left w:val="single" w:sz="4" w:space="0" w:color="000000"/>
              <w:bottom w:val="single" w:sz="4" w:space="0" w:color="000000"/>
              <w:right w:val="single" w:sz="4" w:space="0" w:color="000000"/>
            </w:tcBorders>
            <w:hideMark/>
          </w:tcPr>
          <w:p w14:paraId="5E37E517"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5</w:t>
            </w:r>
          </w:p>
        </w:tc>
        <w:tc>
          <w:tcPr>
            <w:tcW w:w="1053" w:type="pct"/>
            <w:tcBorders>
              <w:top w:val="single" w:sz="4" w:space="0" w:color="000000"/>
              <w:left w:val="single" w:sz="4" w:space="0" w:color="000000"/>
              <w:bottom w:val="single" w:sz="4" w:space="0" w:color="000000"/>
              <w:right w:val="single" w:sz="4" w:space="0" w:color="000000"/>
            </w:tcBorders>
            <w:hideMark/>
          </w:tcPr>
          <w:p w14:paraId="215C925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7,5 ± 0,8</w:t>
            </w:r>
          </w:p>
        </w:tc>
      </w:tr>
      <w:tr w:rsidR="001D577B" w14:paraId="720E3430"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2BBF684D"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2 år</w:t>
            </w:r>
          </w:p>
        </w:tc>
        <w:tc>
          <w:tcPr>
            <w:tcW w:w="613" w:type="pct"/>
            <w:tcBorders>
              <w:top w:val="single" w:sz="4" w:space="0" w:color="000000"/>
              <w:left w:val="single" w:sz="4" w:space="0" w:color="000000"/>
              <w:bottom w:val="single" w:sz="4" w:space="0" w:color="000000"/>
              <w:right w:val="single" w:sz="4" w:space="0" w:color="000000"/>
            </w:tcBorders>
            <w:hideMark/>
          </w:tcPr>
          <w:p w14:paraId="691116D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3</w:t>
            </w:r>
          </w:p>
        </w:tc>
        <w:tc>
          <w:tcPr>
            <w:tcW w:w="1621" w:type="pct"/>
            <w:tcBorders>
              <w:top w:val="single" w:sz="4" w:space="0" w:color="000000"/>
              <w:left w:val="single" w:sz="4" w:space="0" w:color="000000"/>
              <w:bottom w:val="single" w:sz="4" w:space="0" w:color="000000"/>
              <w:right w:val="single" w:sz="4" w:space="0" w:color="000000"/>
            </w:tcBorders>
            <w:hideMark/>
          </w:tcPr>
          <w:p w14:paraId="4FA5C072"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9,1 ± 0,6</w:t>
            </w:r>
          </w:p>
        </w:tc>
        <w:tc>
          <w:tcPr>
            <w:tcW w:w="1051" w:type="pct"/>
            <w:tcBorders>
              <w:top w:val="single" w:sz="4" w:space="0" w:color="000000"/>
              <w:left w:val="single" w:sz="4" w:space="0" w:color="000000"/>
              <w:bottom w:val="single" w:sz="4" w:space="0" w:color="000000"/>
              <w:right w:val="single" w:sz="4" w:space="0" w:color="000000"/>
            </w:tcBorders>
            <w:hideMark/>
          </w:tcPr>
          <w:p w14:paraId="24D4B1CD"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c>
          <w:tcPr>
            <w:tcW w:w="1053" w:type="pct"/>
            <w:tcBorders>
              <w:top w:val="single" w:sz="4" w:space="0" w:color="000000"/>
              <w:left w:val="single" w:sz="4" w:space="0" w:color="000000"/>
              <w:bottom w:val="single" w:sz="4" w:space="0" w:color="000000"/>
              <w:right w:val="single" w:sz="4" w:space="0" w:color="000000"/>
            </w:tcBorders>
            <w:hideMark/>
          </w:tcPr>
          <w:p w14:paraId="0EB5DDE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r>
      <w:tr w:rsidR="001D577B" w14:paraId="21DD082B"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25F516C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3 år</w:t>
            </w:r>
          </w:p>
        </w:tc>
        <w:tc>
          <w:tcPr>
            <w:tcW w:w="613" w:type="pct"/>
            <w:tcBorders>
              <w:top w:val="single" w:sz="4" w:space="0" w:color="000000"/>
              <w:left w:val="single" w:sz="4" w:space="0" w:color="000000"/>
              <w:bottom w:val="single" w:sz="4" w:space="0" w:color="000000"/>
              <w:right w:val="single" w:sz="4" w:space="0" w:color="000000"/>
            </w:tcBorders>
            <w:hideMark/>
          </w:tcPr>
          <w:p w14:paraId="46772476"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c>
          <w:tcPr>
            <w:tcW w:w="1621" w:type="pct"/>
            <w:tcBorders>
              <w:top w:val="single" w:sz="4" w:space="0" w:color="000000"/>
              <w:left w:val="single" w:sz="4" w:space="0" w:color="000000"/>
              <w:bottom w:val="single" w:sz="4" w:space="0" w:color="000000"/>
              <w:right w:val="single" w:sz="4" w:space="0" w:color="000000"/>
            </w:tcBorders>
            <w:hideMark/>
          </w:tcPr>
          <w:p w14:paraId="63BE92BD"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c>
          <w:tcPr>
            <w:tcW w:w="1051" w:type="pct"/>
            <w:tcBorders>
              <w:top w:val="single" w:sz="4" w:space="0" w:color="000000"/>
              <w:left w:val="single" w:sz="4" w:space="0" w:color="000000"/>
              <w:bottom w:val="single" w:sz="4" w:space="0" w:color="000000"/>
              <w:right w:val="single" w:sz="4" w:space="0" w:color="000000"/>
            </w:tcBorders>
            <w:hideMark/>
          </w:tcPr>
          <w:p w14:paraId="21104EA1"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5</w:t>
            </w:r>
          </w:p>
        </w:tc>
        <w:tc>
          <w:tcPr>
            <w:tcW w:w="1053" w:type="pct"/>
            <w:tcBorders>
              <w:top w:val="single" w:sz="4" w:space="0" w:color="000000"/>
              <w:left w:val="single" w:sz="4" w:space="0" w:color="000000"/>
              <w:bottom w:val="single" w:sz="4" w:space="0" w:color="000000"/>
              <w:right w:val="single" w:sz="4" w:space="0" w:color="000000"/>
            </w:tcBorders>
            <w:hideMark/>
          </w:tcPr>
          <w:p w14:paraId="09A53488"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6,4 ± 0,4</w:t>
            </w:r>
          </w:p>
        </w:tc>
      </w:tr>
      <w:tr w:rsidR="001D577B" w14:paraId="7E94F5B1"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378F2D6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 år</w:t>
            </w:r>
          </w:p>
        </w:tc>
        <w:tc>
          <w:tcPr>
            <w:tcW w:w="613" w:type="pct"/>
            <w:tcBorders>
              <w:top w:val="single" w:sz="4" w:space="0" w:color="000000"/>
              <w:left w:val="single" w:sz="4" w:space="0" w:color="000000"/>
              <w:bottom w:val="single" w:sz="4" w:space="0" w:color="000000"/>
              <w:right w:val="single" w:sz="4" w:space="0" w:color="000000"/>
            </w:tcBorders>
            <w:hideMark/>
          </w:tcPr>
          <w:p w14:paraId="0ACD3205"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w:t>
            </w:r>
          </w:p>
        </w:tc>
        <w:tc>
          <w:tcPr>
            <w:tcW w:w="1621" w:type="pct"/>
            <w:tcBorders>
              <w:top w:val="single" w:sz="4" w:space="0" w:color="000000"/>
              <w:left w:val="single" w:sz="4" w:space="0" w:color="000000"/>
              <w:bottom w:val="single" w:sz="4" w:space="0" w:color="000000"/>
              <w:right w:val="single" w:sz="4" w:space="0" w:color="000000"/>
            </w:tcBorders>
            <w:hideMark/>
          </w:tcPr>
          <w:p w14:paraId="7D049160"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8,6 ± 0,6</w:t>
            </w:r>
          </w:p>
        </w:tc>
        <w:tc>
          <w:tcPr>
            <w:tcW w:w="1051" w:type="pct"/>
            <w:tcBorders>
              <w:top w:val="single" w:sz="4" w:space="0" w:color="000000"/>
              <w:left w:val="single" w:sz="4" w:space="0" w:color="000000"/>
              <w:bottom w:val="single" w:sz="4" w:space="0" w:color="000000"/>
              <w:right w:val="single" w:sz="4" w:space="0" w:color="000000"/>
            </w:tcBorders>
            <w:hideMark/>
          </w:tcPr>
          <w:p w14:paraId="334A0C7B"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c>
          <w:tcPr>
            <w:tcW w:w="1053" w:type="pct"/>
            <w:tcBorders>
              <w:top w:val="single" w:sz="4" w:space="0" w:color="000000"/>
              <w:left w:val="single" w:sz="4" w:space="0" w:color="000000"/>
              <w:bottom w:val="single" w:sz="4" w:space="0" w:color="000000"/>
              <w:right w:val="single" w:sz="4" w:space="0" w:color="000000"/>
            </w:tcBorders>
            <w:hideMark/>
          </w:tcPr>
          <w:p w14:paraId="3ACDA738"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r>
      <w:tr w:rsidR="001D577B" w14:paraId="70692EFF"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33A28C26"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7 år</w:t>
            </w:r>
          </w:p>
        </w:tc>
        <w:tc>
          <w:tcPr>
            <w:tcW w:w="613" w:type="pct"/>
            <w:tcBorders>
              <w:top w:val="single" w:sz="4" w:space="0" w:color="000000"/>
              <w:left w:val="single" w:sz="4" w:space="0" w:color="000000"/>
              <w:bottom w:val="single" w:sz="4" w:space="0" w:color="000000"/>
              <w:right w:val="single" w:sz="4" w:space="0" w:color="000000"/>
            </w:tcBorders>
            <w:hideMark/>
          </w:tcPr>
          <w:p w14:paraId="7DE76997"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5</w:t>
            </w:r>
          </w:p>
        </w:tc>
        <w:tc>
          <w:tcPr>
            <w:tcW w:w="1621" w:type="pct"/>
            <w:tcBorders>
              <w:top w:val="single" w:sz="4" w:space="0" w:color="000000"/>
              <w:left w:val="single" w:sz="4" w:space="0" w:color="000000"/>
              <w:bottom w:val="single" w:sz="4" w:space="0" w:color="000000"/>
              <w:right w:val="single" w:sz="4" w:space="0" w:color="000000"/>
            </w:tcBorders>
            <w:hideMark/>
          </w:tcPr>
          <w:p w14:paraId="31CAB341"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8,1 ± 0,6</w:t>
            </w:r>
          </w:p>
        </w:tc>
        <w:tc>
          <w:tcPr>
            <w:tcW w:w="1051" w:type="pct"/>
            <w:tcBorders>
              <w:top w:val="single" w:sz="4" w:space="0" w:color="000000"/>
              <w:left w:val="single" w:sz="4" w:space="0" w:color="000000"/>
              <w:bottom w:val="single" w:sz="4" w:space="0" w:color="000000"/>
              <w:right w:val="single" w:sz="4" w:space="0" w:color="000000"/>
            </w:tcBorders>
            <w:hideMark/>
          </w:tcPr>
          <w:p w14:paraId="484B7F95"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c>
          <w:tcPr>
            <w:tcW w:w="1053" w:type="pct"/>
            <w:tcBorders>
              <w:top w:val="single" w:sz="4" w:space="0" w:color="000000"/>
              <w:left w:val="single" w:sz="4" w:space="0" w:color="000000"/>
              <w:bottom w:val="single" w:sz="4" w:space="0" w:color="000000"/>
              <w:right w:val="single" w:sz="4" w:space="0" w:color="000000"/>
            </w:tcBorders>
            <w:hideMark/>
          </w:tcPr>
          <w:p w14:paraId="136A4F19"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hAnsiTheme="majorBidi" w:cstheme="majorBidi"/>
                <w:snapToGrid w:val="0"/>
                <w:sz w:val="22"/>
                <w:szCs w:val="22"/>
              </w:rPr>
              <w:t>-</w:t>
            </w:r>
          </w:p>
        </w:tc>
      </w:tr>
      <w:tr w:rsidR="001D577B" w14:paraId="2020568C"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0E3CE054"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25 år</w:t>
            </w:r>
          </w:p>
        </w:tc>
        <w:tc>
          <w:tcPr>
            <w:tcW w:w="613" w:type="pct"/>
            <w:tcBorders>
              <w:top w:val="single" w:sz="4" w:space="0" w:color="000000"/>
              <w:left w:val="single" w:sz="4" w:space="0" w:color="000000"/>
              <w:bottom w:val="single" w:sz="4" w:space="0" w:color="000000"/>
              <w:right w:val="single" w:sz="4" w:space="0" w:color="000000"/>
            </w:tcBorders>
            <w:hideMark/>
          </w:tcPr>
          <w:p w14:paraId="5076BB60"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w:t>
            </w:r>
          </w:p>
        </w:tc>
        <w:tc>
          <w:tcPr>
            <w:tcW w:w="1621" w:type="pct"/>
            <w:tcBorders>
              <w:top w:val="single" w:sz="4" w:space="0" w:color="000000"/>
              <w:left w:val="single" w:sz="4" w:space="0" w:color="000000"/>
              <w:bottom w:val="single" w:sz="4" w:space="0" w:color="000000"/>
              <w:right w:val="single" w:sz="4" w:space="0" w:color="000000"/>
            </w:tcBorders>
            <w:hideMark/>
          </w:tcPr>
          <w:p w14:paraId="75FF28F0"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7,3 ± 0,0</w:t>
            </w:r>
          </w:p>
        </w:tc>
        <w:tc>
          <w:tcPr>
            <w:tcW w:w="1051" w:type="pct"/>
            <w:tcBorders>
              <w:top w:val="single" w:sz="4" w:space="0" w:color="000000"/>
              <w:left w:val="single" w:sz="4" w:space="0" w:color="000000"/>
              <w:bottom w:val="single" w:sz="4" w:space="0" w:color="000000"/>
              <w:right w:val="single" w:sz="4" w:space="0" w:color="000000"/>
            </w:tcBorders>
            <w:hideMark/>
          </w:tcPr>
          <w:p w14:paraId="58D281F0"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w:t>
            </w:r>
          </w:p>
        </w:tc>
        <w:tc>
          <w:tcPr>
            <w:tcW w:w="1053" w:type="pct"/>
            <w:tcBorders>
              <w:top w:val="single" w:sz="4" w:space="0" w:color="000000"/>
              <w:left w:val="single" w:sz="4" w:space="0" w:color="000000"/>
              <w:bottom w:val="single" w:sz="4" w:space="0" w:color="000000"/>
              <w:right w:val="single" w:sz="4" w:space="0" w:color="000000"/>
            </w:tcBorders>
            <w:hideMark/>
          </w:tcPr>
          <w:p w14:paraId="1ECFACAE"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4,0 ± 0,3</w:t>
            </w:r>
          </w:p>
        </w:tc>
      </w:tr>
      <w:tr w:rsidR="001D577B" w14:paraId="5313745D"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13A4E957"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45 år</w:t>
            </w:r>
          </w:p>
        </w:tc>
        <w:tc>
          <w:tcPr>
            <w:tcW w:w="613" w:type="pct"/>
            <w:tcBorders>
              <w:top w:val="single" w:sz="4" w:space="0" w:color="000000"/>
              <w:left w:val="single" w:sz="4" w:space="0" w:color="000000"/>
              <w:bottom w:val="single" w:sz="4" w:space="0" w:color="000000"/>
              <w:right w:val="single" w:sz="4" w:space="0" w:color="000000"/>
            </w:tcBorders>
            <w:hideMark/>
          </w:tcPr>
          <w:p w14:paraId="38987616"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4</w:t>
            </w:r>
          </w:p>
        </w:tc>
        <w:tc>
          <w:tcPr>
            <w:tcW w:w="1621" w:type="pct"/>
            <w:tcBorders>
              <w:top w:val="single" w:sz="4" w:space="0" w:color="000000"/>
              <w:left w:val="single" w:sz="4" w:space="0" w:color="000000"/>
              <w:bottom w:val="single" w:sz="4" w:space="0" w:color="000000"/>
              <w:right w:val="single" w:sz="4" w:space="0" w:color="000000"/>
            </w:tcBorders>
            <w:hideMark/>
          </w:tcPr>
          <w:p w14:paraId="4BF70EC5"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6,0 ± 0,3</w:t>
            </w:r>
          </w:p>
        </w:tc>
        <w:tc>
          <w:tcPr>
            <w:tcW w:w="1051" w:type="pct"/>
            <w:tcBorders>
              <w:top w:val="single" w:sz="4" w:space="0" w:color="000000"/>
              <w:left w:val="single" w:sz="4" w:space="0" w:color="000000"/>
              <w:bottom w:val="single" w:sz="4" w:space="0" w:color="000000"/>
              <w:right w:val="single" w:sz="4" w:space="0" w:color="000000"/>
            </w:tcBorders>
            <w:hideMark/>
          </w:tcPr>
          <w:p w14:paraId="5FFE812B"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6</w:t>
            </w:r>
          </w:p>
        </w:tc>
        <w:tc>
          <w:tcPr>
            <w:tcW w:w="1053" w:type="pct"/>
            <w:tcBorders>
              <w:top w:val="single" w:sz="4" w:space="0" w:color="000000"/>
              <w:left w:val="single" w:sz="4" w:space="0" w:color="000000"/>
              <w:bottom w:val="single" w:sz="4" w:space="0" w:color="000000"/>
              <w:right w:val="single" w:sz="4" w:space="0" w:color="000000"/>
            </w:tcBorders>
            <w:hideMark/>
          </w:tcPr>
          <w:p w14:paraId="41AE3426"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2,8 ± 0,6</w:t>
            </w:r>
          </w:p>
        </w:tc>
      </w:tr>
      <w:tr w:rsidR="001D577B" w14:paraId="5A434917" w14:textId="77777777" w:rsidTr="001D577B">
        <w:tc>
          <w:tcPr>
            <w:tcW w:w="662" w:type="pct"/>
            <w:tcBorders>
              <w:top w:val="single" w:sz="4" w:space="0" w:color="000000"/>
              <w:left w:val="single" w:sz="4" w:space="0" w:color="000000"/>
              <w:bottom w:val="single" w:sz="4" w:space="0" w:color="000000"/>
              <w:right w:val="single" w:sz="4" w:space="0" w:color="000000"/>
            </w:tcBorders>
            <w:hideMark/>
          </w:tcPr>
          <w:p w14:paraId="2C63F678"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70 år</w:t>
            </w:r>
          </w:p>
        </w:tc>
        <w:tc>
          <w:tcPr>
            <w:tcW w:w="613" w:type="pct"/>
            <w:tcBorders>
              <w:top w:val="single" w:sz="4" w:space="0" w:color="000000"/>
              <w:left w:val="single" w:sz="4" w:space="0" w:color="000000"/>
              <w:bottom w:val="single" w:sz="4" w:space="0" w:color="000000"/>
              <w:right w:val="single" w:sz="4" w:space="0" w:color="000000"/>
            </w:tcBorders>
            <w:hideMark/>
          </w:tcPr>
          <w:p w14:paraId="11F3158A"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6</w:t>
            </w:r>
          </w:p>
        </w:tc>
        <w:tc>
          <w:tcPr>
            <w:tcW w:w="1621" w:type="pct"/>
            <w:tcBorders>
              <w:top w:val="single" w:sz="4" w:space="0" w:color="000000"/>
              <w:left w:val="single" w:sz="4" w:space="0" w:color="000000"/>
              <w:bottom w:val="single" w:sz="4" w:space="0" w:color="000000"/>
              <w:right w:val="single" w:sz="4" w:space="0" w:color="000000"/>
            </w:tcBorders>
            <w:hideMark/>
          </w:tcPr>
          <w:p w14:paraId="358E0E99"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5,2 ± 0,6</w:t>
            </w:r>
          </w:p>
        </w:tc>
        <w:tc>
          <w:tcPr>
            <w:tcW w:w="1051" w:type="pct"/>
            <w:tcBorders>
              <w:top w:val="single" w:sz="4" w:space="0" w:color="000000"/>
              <w:left w:val="single" w:sz="4" w:space="0" w:color="000000"/>
              <w:bottom w:val="single" w:sz="4" w:space="0" w:color="000000"/>
              <w:right w:val="single" w:sz="4" w:space="0" w:color="000000"/>
            </w:tcBorders>
            <w:hideMark/>
          </w:tcPr>
          <w:p w14:paraId="25D2D7A7"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6</w:t>
            </w:r>
          </w:p>
        </w:tc>
        <w:tc>
          <w:tcPr>
            <w:tcW w:w="1053" w:type="pct"/>
            <w:tcBorders>
              <w:top w:val="single" w:sz="4" w:space="0" w:color="000000"/>
              <w:left w:val="single" w:sz="4" w:space="0" w:color="000000"/>
              <w:bottom w:val="single" w:sz="4" w:space="0" w:color="000000"/>
              <w:right w:val="single" w:sz="4" w:space="0" w:color="000000"/>
            </w:tcBorders>
            <w:hideMark/>
          </w:tcPr>
          <w:p w14:paraId="24A7F3DE" w14:textId="77777777" w:rsidR="001D577B" w:rsidRDefault="001D577B">
            <w:pPr>
              <w:pStyle w:val="TableParagraph"/>
              <w:keepNext/>
              <w:keepLines/>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1,7</w:t>
            </w:r>
          </w:p>
        </w:tc>
      </w:tr>
    </w:tbl>
    <w:p w14:paraId="6257CF18" w14:textId="77777777" w:rsidR="001D577B" w:rsidRDefault="001D577B" w:rsidP="001D577B">
      <w:pPr>
        <w:pStyle w:val="Brdtekst"/>
        <w:kinsoku w:val="0"/>
        <w:overflowPunct w:val="0"/>
        <w:snapToGrid w:val="0"/>
        <w:rPr>
          <w:rFonts w:asciiTheme="majorBidi" w:hAnsiTheme="majorBidi" w:cstheme="majorBidi"/>
          <w:snapToGrid w:val="0"/>
        </w:rPr>
      </w:pPr>
    </w:p>
    <w:p w14:paraId="5DB0C075" w14:textId="77777777" w:rsidR="001D577B" w:rsidRDefault="001D577B" w:rsidP="001D577B">
      <w:pPr>
        <w:pStyle w:val="Brdtekst"/>
        <w:kinsoku w:val="0"/>
        <w:overflowPunct w:val="0"/>
        <w:snapToGrid w:val="0"/>
        <w:rPr>
          <w:rFonts w:asciiTheme="majorBidi" w:eastAsia="Times New Roman" w:hAnsiTheme="majorBidi" w:cstheme="majorBidi"/>
          <w:snapToGrid w:val="0"/>
          <w:lang w:val="da-DK"/>
        </w:rPr>
      </w:pPr>
      <w:r>
        <w:rPr>
          <w:rFonts w:asciiTheme="majorBidi" w:eastAsia="Times New Roman" w:hAnsiTheme="majorBidi" w:cstheme="majorBidi"/>
          <w:snapToGrid w:val="0"/>
          <w:lang w:val="da-DK"/>
        </w:rPr>
        <w:t>N* = antal overkrydsningspar (ved hjælp af op og ned-metoden for kvantitativ respons)</w:t>
      </w:r>
    </w:p>
    <w:p w14:paraId="60D42231" w14:textId="77777777" w:rsidR="001D577B" w:rsidRDefault="001D577B" w:rsidP="001D577B">
      <w:pPr>
        <w:pStyle w:val="Brdtekst"/>
        <w:kinsoku w:val="0"/>
        <w:overflowPunct w:val="0"/>
        <w:snapToGrid w:val="0"/>
        <w:rPr>
          <w:rFonts w:asciiTheme="majorBidi" w:eastAsia="Times New Roman" w:hAnsiTheme="majorBidi" w:cstheme="majorBidi"/>
          <w:snapToGrid w:val="0"/>
          <w:lang w:val="da-DK"/>
        </w:rPr>
      </w:pPr>
    </w:p>
    <w:p w14:paraId="45309BE6"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u w:val="single"/>
          <w:lang w:val="da-DK"/>
        </w:rPr>
      </w:pPr>
      <w:r w:rsidRPr="001D577B">
        <w:rPr>
          <w:rFonts w:asciiTheme="majorBidi" w:eastAsia="Times New Roman" w:hAnsiTheme="majorBidi" w:cstheme="majorBidi"/>
          <w:snapToGrid w:val="0"/>
          <w:sz w:val="24"/>
          <w:szCs w:val="24"/>
          <w:u w:val="single"/>
          <w:lang w:val="da-DK"/>
        </w:rPr>
        <w:t>Præmedicinering</w:t>
      </w:r>
    </w:p>
    <w:p w14:paraId="5D1606E9"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r w:rsidRPr="001D577B">
        <w:rPr>
          <w:rFonts w:asciiTheme="majorBidi" w:eastAsia="Times New Roman" w:hAnsiTheme="majorBidi" w:cstheme="majorBidi"/>
          <w:snapToGrid w:val="0"/>
          <w:sz w:val="24"/>
          <w:szCs w:val="24"/>
          <w:lang w:val="da-DK"/>
        </w:rPr>
        <w:t xml:space="preserve">Præmedicinering skal besluttes efter overvejelse af den enkelte patients individuelle behov. Brugen af </w:t>
      </w:r>
      <w:proofErr w:type="spellStart"/>
      <w:r w:rsidRPr="001D577B">
        <w:rPr>
          <w:rFonts w:asciiTheme="majorBidi" w:eastAsia="Times New Roman" w:hAnsiTheme="majorBidi" w:cstheme="majorBidi"/>
          <w:snapToGrid w:val="0"/>
          <w:sz w:val="24"/>
          <w:szCs w:val="24"/>
          <w:lang w:val="da-DK"/>
        </w:rPr>
        <w:t>antikolinerge</w:t>
      </w:r>
      <w:proofErr w:type="spellEnd"/>
      <w:r w:rsidRPr="001D577B">
        <w:rPr>
          <w:rFonts w:asciiTheme="majorBidi" w:eastAsia="Times New Roman" w:hAnsiTheme="majorBidi" w:cstheme="majorBidi"/>
          <w:snapToGrid w:val="0"/>
          <w:sz w:val="24"/>
          <w:szCs w:val="24"/>
          <w:lang w:val="da-DK"/>
        </w:rPr>
        <w:t xml:space="preserve"> lægemidler er et spørgsmål om valg for anæstesilægen.</w:t>
      </w:r>
    </w:p>
    <w:p w14:paraId="311411F4"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p>
    <w:p w14:paraId="6A019A66"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kan kombineres med andre stoffer, der almindeligvis anvendes i anæstesi, fortrinsvis intravenøse opioider, benzodiazepiner og </w:t>
      </w:r>
      <w:proofErr w:type="spellStart"/>
      <w:r w:rsidRPr="001D577B">
        <w:rPr>
          <w:rFonts w:asciiTheme="majorBidi" w:eastAsia="Times New Roman" w:hAnsiTheme="majorBidi" w:cstheme="majorBidi"/>
          <w:snapToGrid w:val="0"/>
          <w:sz w:val="24"/>
          <w:szCs w:val="24"/>
          <w:lang w:val="da-DK"/>
        </w:rPr>
        <w:t>hypnotika</w:t>
      </w:r>
      <w:proofErr w:type="spellEnd"/>
      <w:r w:rsidRPr="001D577B">
        <w:rPr>
          <w:rFonts w:asciiTheme="majorBidi" w:eastAsia="Times New Roman" w:hAnsiTheme="majorBidi" w:cstheme="majorBidi"/>
          <w:snapToGrid w:val="0"/>
          <w:sz w:val="24"/>
          <w:szCs w:val="24"/>
          <w:lang w:val="da-DK"/>
        </w:rPr>
        <w:t xml:space="preserve">. Opioider eller benzodiazepiner reducerer den mængde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der kræves for at fremkalde anæstesi.</w:t>
      </w:r>
    </w:p>
    <w:p w14:paraId="5A8D364F"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76696D2E"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Behovet for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mindskes også ved samtidig brug af lattergas (N2O).</w:t>
      </w:r>
    </w:p>
    <w:p w14:paraId="458E80E9"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06F44696"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reducerer den anbefalede dosis af </w:t>
      </w:r>
      <w:proofErr w:type="spellStart"/>
      <w:r w:rsidRPr="001D577B">
        <w:rPr>
          <w:rFonts w:asciiTheme="majorBidi" w:eastAsia="Times New Roman" w:hAnsiTheme="majorBidi" w:cstheme="majorBidi"/>
          <w:snapToGrid w:val="0"/>
          <w:sz w:val="24"/>
          <w:szCs w:val="24"/>
          <w:lang w:val="da-DK"/>
        </w:rPr>
        <w:t>neuromuskulære</w:t>
      </w:r>
      <w:proofErr w:type="spellEnd"/>
      <w:r w:rsidRPr="001D577B">
        <w:rPr>
          <w:rFonts w:asciiTheme="majorBidi" w:eastAsia="Times New Roman" w:hAnsiTheme="majorBidi" w:cstheme="majorBidi"/>
          <w:snapToGrid w:val="0"/>
          <w:sz w:val="24"/>
          <w:szCs w:val="24"/>
          <w:lang w:val="da-DK"/>
        </w:rPr>
        <w:t xml:space="preserve"> </w:t>
      </w:r>
      <w:proofErr w:type="spellStart"/>
      <w:r w:rsidRPr="001D577B">
        <w:rPr>
          <w:rFonts w:asciiTheme="majorBidi" w:eastAsia="Times New Roman" w:hAnsiTheme="majorBidi" w:cstheme="majorBidi"/>
          <w:snapToGrid w:val="0"/>
          <w:sz w:val="24"/>
          <w:szCs w:val="24"/>
          <w:lang w:val="da-DK"/>
        </w:rPr>
        <w:t>hæmmere</w:t>
      </w:r>
      <w:proofErr w:type="spellEnd"/>
      <w:r w:rsidRPr="001D577B">
        <w:rPr>
          <w:rFonts w:asciiTheme="majorBidi" w:eastAsia="Times New Roman" w:hAnsiTheme="majorBidi" w:cstheme="majorBidi"/>
          <w:snapToGrid w:val="0"/>
          <w:sz w:val="24"/>
          <w:szCs w:val="24"/>
          <w:lang w:val="da-DK"/>
        </w:rPr>
        <w:t>. (Se også pkt. 4.5) Hvis der er behov for øget afslapning, kan der gives yderligere doser af muskelafslappende midler.</w:t>
      </w:r>
    </w:p>
    <w:p w14:paraId="64449718"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p>
    <w:p w14:paraId="3665732C"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r w:rsidRPr="001D577B">
        <w:rPr>
          <w:rFonts w:asciiTheme="majorBidi" w:eastAsia="Times New Roman" w:hAnsiTheme="majorBidi" w:cstheme="majorBidi"/>
          <w:snapToGrid w:val="0"/>
          <w:sz w:val="24"/>
          <w:szCs w:val="24"/>
          <w:u w:val="single" w:color="000000"/>
          <w:lang w:val="da-DK"/>
        </w:rPr>
        <w:t>Induktion af anæstesi hos voksne</w:t>
      </w:r>
    </w:p>
    <w:p w14:paraId="6D0037B2"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r w:rsidRPr="001D577B">
        <w:rPr>
          <w:rFonts w:asciiTheme="majorBidi" w:eastAsia="Times New Roman" w:hAnsiTheme="majorBidi" w:cstheme="majorBidi"/>
          <w:snapToGrid w:val="0"/>
          <w:sz w:val="24"/>
          <w:szCs w:val="24"/>
          <w:lang w:val="da-DK"/>
        </w:rPr>
        <w:t xml:space="preserve">I betragtning af den dårlige tolerance af at indånde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i vågen tilstand, skal forholdet mellem fordele og risici</w:t>
      </w:r>
      <w:r w:rsidRPr="001D577B">
        <w:rPr>
          <w:rFonts w:asciiTheme="majorBidi" w:hAnsiTheme="majorBidi" w:cstheme="majorBidi"/>
          <w:snapToGrid w:val="0"/>
          <w:sz w:val="24"/>
          <w:szCs w:val="24"/>
          <w:lang w:val="nl-NL"/>
        </w:rPr>
        <w:t xml:space="preserve"> </w:t>
      </w:r>
      <w:r w:rsidRPr="001D577B">
        <w:rPr>
          <w:rFonts w:asciiTheme="majorBidi" w:eastAsia="Times New Roman" w:hAnsiTheme="majorBidi" w:cstheme="majorBidi"/>
          <w:snapToGrid w:val="0"/>
          <w:sz w:val="24"/>
          <w:szCs w:val="24"/>
          <w:lang w:val="da-DK"/>
        </w:rPr>
        <w:t>ved en sådan procedure analyseres fra tilfælde til tilfælde.</w:t>
      </w:r>
    </w:p>
    <w:p w14:paraId="3C65AA44"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p>
    <w:p w14:paraId="2341BD42"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Hos voksne anbefales en startkoncentration på 3 %, øget i trin på 0,5-1,0 % for hvert 2. til 3. åndedrag. Inspirerede koncentrationer på 4-11 %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giver normalt kirurgisk anæstesi i løbet af 2-4 minutter.</w:t>
      </w:r>
    </w:p>
    <w:p w14:paraId="2C065C8D"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0B196352"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Højere koncentrationer op til 15 % kan anvendes. Sådanne koncentrationer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vil fortynde iltkoncentrationen proportionalt, og ilttilførslen skal være 30 % eller derover.</w:t>
      </w:r>
    </w:p>
    <w:p w14:paraId="6803E8F3"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Under induktion hos voksne var den samlede forekomst af </w:t>
      </w:r>
      <w:proofErr w:type="spellStart"/>
      <w:r w:rsidRPr="001D577B">
        <w:rPr>
          <w:rFonts w:asciiTheme="majorBidi" w:eastAsia="Times New Roman" w:hAnsiTheme="majorBidi" w:cstheme="majorBidi"/>
          <w:snapToGrid w:val="0"/>
          <w:sz w:val="24"/>
          <w:szCs w:val="24"/>
          <w:lang w:val="da-DK"/>
        </w:rPr>
        <w:t>oxyhæmoglobindesaturering</w:t>
      </w:r>
      <w:proofErr w:type="spellEnd"/>
      <w:r w:rsidRPr="001D577B">
        <w:rPr>
          <w:rFonts w:asciiTheme="majorBidi" w:eastAsia="Times New Roman" w:hAnsiTheme="majorBidi" w:cstheme="majorBidi"/>
          <w:snapToGrid w:val="0"/>
          <w:sz w:val="24"/>
          <w:szCs w:val="24"/>
          <w:lang w:val="da-DK"/>
        </w:rPr>
        <w:t xml:space="preserve"> (SpO2 &lt; 90 %) 6 %. Høje koncentrationer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kan fremkalde bivirkninger i de øvre luftveje. Efter induktion hos voksne med et intravenøst lægemiddel, såsom </w:t>
      </w:r>
      <w:proofErr w:type="spellStart"/>
      <w:r w:rsidRPr="001D577B">
        <w:rPr>
          <w:rFonts w:asciiTheme="majorBidi" w:eastAsia="Times New Roman" w:hAnsiTheme="majorBidi" w:cstheme="majorBidi"/>
          <w:snapToGrid w:val="0"/>
          <w:sz w:val="24"/>
          <w:szCs w:val="24"/>
          <w:lang w:val="da-DK"/>
        </w:rPr>
        <w:t>thiopental</w:t>
      </w:r>
      <w:proofErr w:type="spellEnd"/>
      <w:r w:rsidRPr="001D577B">
        <w:rPr>
          <w:rFonts w:asciiTheme="majorBidi" w:eastAsia="Times New Roman" w:hAnsiTheme="majorBidi" w:cstheme="majorBidi"/>
          <w:snapToGrid w:val="0"/>
          <w:sz w:val="24"/>
          <w:szCs w:val="24"/>
          <w:lang w:val="da-DK"/>
        </w:rPr>
        <w:t xml:space="preserve"> eller </w:t>
      </w:r>
      <w:proofErr w:type="spellStart"/>
      <w:r w:rsidRPr="001D577B">
        <w:rPr>
          <w:rFonts w:asciiTheme="majorBidi" w:eastAsia="Times New Roman" w:hAnsiTheme="majorBidi" w:cstheme="majorBidi"/>
          <w:snapToGrid w:val="0"/>
          <w:sz w:val="24"/>
          <w:szCs w:val="24"/>
          <w:lang w:val="da-DK"/>
        </w:rPr>
        <w:t>propofol</w:t>
      </w:r>
      <w:proofErr w:type="spellEnd"/>
      <w:r w:rsidRPr="001D577B">
        <w:rPr>
          <w:rFonts w:asciiTheme="majorBidi" w:eastAsia="Times New Roman" w:hAnsiTheme="majorBidi" w:cstheme="majorBidi"/>
          <w:snapToGrid w:val="0"/>
          <w:sz w:val="24"/>
          <w:szCs w:val="24"/>
          <w:lang w:val="da-DK"/>
        </w:rPr>
        <w:t xml:space="preserve">, kan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startes ved ca. 3,0 % (0,5 MAC) - 6,0 % (1 MAC), uanset om bæregassen er O2 eller N2O/O2.</w:t>
      </w:r>
    </w:p>
    <w:p w14:paraId="790C99E6"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737914C6"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r w:rsidRPr="001D577B">
        <w:rPr>
          <w:rFonts w:asciiTheme="majorBidi" w:eastAsia="Times New Roman" w:hAnsiTheme="majorBidi" w:cstheme="majorBidi"/>
          <w:snapToGrid w:val="0"/>
          <w:sz w:val="24"/>
          <w:szCs w:val="24"/>
          <w:lang w:val="da-DK"/>
        </w:rPr>
        <w:t xml:space="preserve">Kontinuerlig, kortvarig </w:t>
      </w:r>
      <w:proofErr w:type="spellStart"/>
      <w:r w:rsidRPr="001D577B">
        <w:rPr>
          <w:rFonts w:asciiTheme="majorBidi" w:eastAsia="Times New Roman" w:hAnsiTheme="majorBidi" w:cstheme="majorBidi"/>
          <w:snapToGrid w:val="0"/>
          <w:sz w:val="24"/>
          <w:szCs w:val="24"/>
          <w:lang w:val="da-DK"/>
        </w:rPr>
        <w:t>opstemthed</w:t>
      </w:r>
      <w:proofErr w:type="spellEnd"/>
      <w:r w:rsidRPr="001D577B">
        <w:rPr>
          <w:rFonts w:asciiTheme="majorBidi" w:eastAsia="Times New Roman" w:hAnsiTheme="majorBidi" w:cstheme="majorBidi"/>
          <w:snapToGrid w:val="0"/>
          <w:sz w:val="24"/>
          <w:szCs w:val="24"/>
          <w:lang w:val="da-DK"/>
        </w:rPr>
        <w:t xml:space="preserve"> kan forekomme under induktion af anæstesi med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w:t>
      </w:r>
    </w:p>
    <w:p w14:paraId="071ED277"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p>
    <w:p w14:paraId="447CCD50"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u w:val="single" w:color="000000"/>
          <w:lang w:val="da-DK"/>
        </w:rPr>
      </w:pPr>
      <w:r w:rsidRPr="001D577B">
        <w:rPr>
          <w:rFonts w:asciiTheme="majorBidi" w:eastAsia="Times New Roman" w:hAnsiTheme="majorBidi" w:cstheme="majorBidi"/>
          <w:snapToGrid w:val="0"/>
          <w:sz w:val="24"/>
          <w:szCs w:val="24"/>
          <w:u w:val="single" w:color="000000"/>
          <w:lang w:val="da-DK"/>
        </w:rPr>
        <w:t>Induktion af anæstesi hos børn</w:t>
      </w:r>
    </w:p>
    <w:p w14:paraId="02DD44BE"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bør ikke anvendes til induktion af generel anæstesi hos børn på grund af den hyppige forekomst af hoste, tilbageholdt åndedræt, apnø, </w:t>
      </w:r>
      <w:proofErr w:type="spellStart"/>
      <w:r w:rsidRPr="001D577B">
        <w:rPr>
          <w:rFonts w:asciiTheme="majorBidi" w:eastAsia="Times New Roman" w:hAnsiTheme="majorBidi" w:cstheme="majorBidi"/>
          <w:snapToGrid w:val="0"/>
          <w:sz w:val="24"/>
          <w:szCs w:val="24"/>
          <w:lang w:val="da-DK"/>
        </w:rPr>
        <w:t>laryngospasme</w:t>
      </w:r>
      <w:proofErr w:type="spellEnd"/>
      <w:r w:rsidRPr="001D577B">
        <w:rPr>
          <w:rFonts w:asciiTheme="majorBidi" w:eastAsia="Times New Roman" w:hAnsiTheme="majorBidi" w:cstheme="majorBidi"/>
          <w:snapToGrid w:val="0"/>
          <w:sz w:val="24"/>
          <w:szCs w:val="24"/>
          <w:lang w:val="da-DK"/>
        </w:rPr>
        <w:t xml:space="preserve"> og øget spytsekretion (se pkt. 4.3 og 4.4).</w:t>
      </w:r>
    </w:p>
    <w:p w14:paraId="7DA2D5DB"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6AF33289"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u w:val="single" w:color="000000"/>
          <w:lang w:val="da-DK"/>
        </w:rPr>
      </w:pPr>
      <w:r w:rsidRPr="001D577B">
        <w:rPr>
          <w:rFonts w:asciiTheme="majorBidi" w:eastAsia="Times New Roman" w:hAnsiTheme="majorBidi" w:cstheme="majorBidi"/>
          <w:snapToGrid w:val="0"/>
          <w:sz w:val="24"/>
          <w:szCs w:val="24"/>
          <w:u w:val="single" w:color="000000"/>
          <w:lang w:val="da-DK"/>
        </w:rPr>
        <w:t>Vedligeholdelse af anæstesi hos voksne</w:t>
      </w:r>
    </w:p>
    <w:p w14:paraId="0EE6ABFB"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Desflurankoncentration</w:t>
      </w:r>
      <w:proofErr w:type="spellEnd"/>
      <w:r w:rsidRPr="001D577B">
        <w:rPr>
          <w:rFonts w:asciiTheme="majorBidi" w:eastAsia="Times New Roman" w:hAnsiTheme="majorBidi" w:cstheme="majorBidi"/>
          <w:snapToGrid w:val="0"/>
          <w:sz w:val="24"/>
          <w:szCs w:val="24"/>
          <w:lang w:val="da-DK"/>
        </w:rPr>
        <w:t xml:space="preserve"> på 2,5-8,5 % kan være nødvendigt, når det administreres med ilt eller iltberiget luft. Hos voksne kan kirurgiske anæstesiniveauer opretholdes ved en reduceret koncentration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(2-6 %), når lattergas anvendes samtidigt.</w:t>
      </w:r>
    </w:p>
    <w:p w14:paraId="4260798D"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0A23E700"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r w:rsidRPr="001D577B">
        <w:rPr>
          <w:rFonts w:asciiTheme="majorBidi" w:eastAsia="Times New Roman" w:hAnsiTheme="majorBidi" w:cstheme="majorBidi"/>
          <w:snapToGrid w:val="0"/>
          <w:sz w:val="24"/>
          <w:szCs w:val="24"/>
          <w:lang w:val="da-DK"/>
        </w:rPr>
        <w:t>Hvis der anvendes høje koncentrationer med lattergas, er det vigtigt at sikre, at den inhalerede gasblanding indeholder mindst 25 % ilt.</w:t>
      </w:r>
    </w:p>
    <w:p w14:paraId="1E619723"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p>
    <w:p w14:paraId="20EFCCAB"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r w:rsidRPr="001D577B">
        <w:rPr>
          <w:rFonts w:asciiTheme="majorBidi" w:eastAsia="Times New Roman" w:hAnsiTheme="majorBidi" w:cstheme="majorBidi"/>
          <w:snapToGrid w:val="0"/>
          <w:sz w:val="24"/>
          <w:szCs w:val="24"/>
          <w:lang w:val="da-DK"/>
        </w:rPr>
        <w:t xml:space="preserve">Lavere doser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er nødvendige ved brug af opioider, benzodiazepiner eller andre beroligende midler (se pkt. 4.5).</w:t>
      </w:r>
    </w:p>
    <w:p w14:paraId="2A8B8361"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p>
    <w:p w14:paraId="453BF01D"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u w:val="single"/>
          <w:lang w:val="da-DK"/>
        </w:rPr>
      </w:pPr>
      <w:r w:rsidRPr="001D577B">
        <w:rPr>
          <w:rFonts w:asciiTheme="majorBidi" w:eastAsia="Times New Roman" w:hAnsiTheme="majorBidi" w:cstheme="majorBidi"/>
          <w:snapToGrid w:val="0"/>
          <w:sz w:val="24"/>
          <w:szCs w:val="24"/>
          <w:u w:val="single"/>
          <w:lang w:val="da-DK"/>
        </w:rPr>
        <w:t>Blodtryk og hjertefrekvens under vedligeholdelse</w:t>
      </w:r>
    </w:p>
    <w:p w14:paraId="27775424"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Blodtryk og hjertefrekvens skal overvåges nøje under vedligeholdelsen som en del af evalueringen af anæstesidybden (se pkt. 4.4).</w:t>
      </w:r>
    </w:p>
    <w:p w14:paraId="27E3A71F"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638F1305"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u w:val="single" w:color="000000"/>
          <w:lang w:val="da-DK"/>
        </w:rPr>
      </w:pPr>
      <w:r w:rsidRPr="001D577B">
        <w:rPr>
          <w:rFonts w:asciiTheme="majorBidi" w:eastAsia="Times New Roman" w:hAnsiTheme="majorBidi" w:cstheme="majorBidi"/>
          <w:snapToGrid w:val="0"/>
          <w:sz w:val="24"/>
          <w:szCs w:val="24"/>
          <w:u w:val="single" w:color="000000"/>
          <w:lang w:val="da-DK"/>
        </w:rPr>
        <w:t>Vedligeholdelse af anæstesi hos børn</w:t>
      </w:r>
    </w:p>
    <w:p w14:paraId="02D9A0F4"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er indiceret til vedligeholdelse af anæstesi hos spædbørn og børn. Kirurgiske anæstesiniveauer kan opretholdes hos børn med end-</w:t>
      </w:r>
      <w:proofErr w:type="spellStart"/>
      <w:r w:rsidRPr="001D577B">
        <w:rPr>
          <w:rFonts w:asciiTheme="majorBidi" w:eastAsia="Times New Roman" w:hAnsiTheme="majorBidi" w:cstheme="majorBidi"/>
          <w:snapToGrid w:val="0"/>
          <w:sz w:val="24"/>
          <w:szCs w:val="24"/>
          <w:lang w:val="da-DK"/>
        </w:rPr>
        <w:t>tidal</w:t>
      </w:r>
      <w:proofErr w:type="spellEnd"/>
      <w:r w:rsidRPr="001D577B">
        <w:rPr>
          <w:rFonts w:asciiTheme="majorBidi" w:eastAsia="Times New Roman" w:hAnsiTheme="majorBidi" w:cstheme="majorBidi"/>
          <w:snapToGrid w:val="0"/>
          <w:sz w:val="24"/>
          <w:szCs w:val="24"/>
          <w:lang w:val="da-DK"/>
        </w:rPr>
        <w:t xml:space="preserve">-koncentrationer på 5,2 til 10 %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med eller uden samtidig brug af lattergas. Selvom der er blevet givet end-</w:t>
      </w:r>
      <w:proofErr w:type="spellStart"/>
      <w:r w:rsidRPr="001D577B">
        <w:rPr>
          <w:rFonts w:asciiTheme="majorBidi" w:eastAsia="Times New Roman" w:hAnsiTheme="majorBidi" w:cstheme="majorBidi"/>
          <w:snapToGrid w:val="0"/>
          <w:sz w:val="24"/>
          <w:szCs w:val="24"/>
          <w:lang w:val="da-DK"/>
        </w:rPr>
        <w:t>tidal</w:t>
      </w:r>
      <w:proofErr w:type="spellEnd"/>
      <w:r w:rsidRPr="001D577B">
        <w:rPr>
          <w:rFonts w:asciiTheme="majorBidi" w:eastAsia="Times New Roman" w:hAnsiTheme="majorBidi" w:cstheme="majorBidi"/>
          <w:snapToGrid w:val="0"/>
          <w:sz w:val="24"/>
          <w:szCs w:val="24"/>
          <w:lang w:val="da-DK"/>
        </w:rPr>
        <w:t xml:space="preserve">-koncentrationer på op til 18%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i korte perioder, er det vigtigt at sikre, at den indåndede blanding indeholder mindst 25 % oxygen, hvis der bruges høje koncentrationer med lattergas.</w:t>
      </w:r>
    </w:p>
    <w:p w14:paraId="720066F6"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147ADFA9" w14:textId="39842F5E"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bør ikke anvendes til vedligeholdelse af anæstesi hos ikke-</w:t>
      </w:r>
      <w:proofErr w:type="spellStart"/>
      <w:r w:rsidRPr="001D577B">
        <w:rPr>
          <w:rFonts w:asciiTheme="majorBidi" w:eastAsia="Times New Roman" w:hAnsiTheme="majorBidi" w:cstheme="majorBidi"/>
          <w:snapToGrid w:val="0"/>
          <w:sz w:val="24"/>
          <w:szCs w:val="24"/>
          <w:lang w:val="da-DK"/>
        </w:rPr>
        <w:t>intuberede</w:t>
      </w:r>
      <w:proofErr w:type="spellEnd"/>
      <w:r w:rsidRPr="001D577B">
        <w:rPr>
          <w:rFonts w:asciiTheme="majorBidi" w:eastAsia="Times New Roman" w:hAnsiTheme="majorBidi" w:cstheme="majorBidi"/>
          <w:snapToGrid w:val="0"/>
          <w:sz w:val="24"/>
          <w:szCs w:val="24"/>
          <w:lang w:val="da-DK"/>
        </w:rPr>
        <w:t xml:space="preserve"> børn under 6 år på grund af en øget forekomst af respiratoriske bivirkninger (se pkt. 4.3 og 4.4).</w:t>
      </w:r>
      <w:r w:rsidR="00E86AC0">
        <w:rPr>
          <w:rFonts w:asciiTheme="majorBidi" w:eastAsia="Times New Roman" w:hAnsiTheme="majorBidi" w:cstheme="majorBidi"/>
          <w:snapToGrid w:val="0"/>
          <w:sz w:val="24"/>
          <w:szCs w:val="24"/>
          <w:lang w:val="da-DK"/>
        </w:rPr>
        <w:t xml:space="preserve"> </w:t>
      </w:r>
    </w:p>
    <w:p w14:paraId="48E31D5A"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4BE9E00F"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u w:val="single" w:color="000000"/>
          <w:lang w:val="da-DK"/>
        </w:rPr>
      </w:pPr>
      <w:r w:rsidRPr="001D577B">
        <w:rPr>
          <w:rFonts w:asciiTheme="majorBidi" w:eastAsia="Times New Roman" w:hAnsiTheme="majorBidi" w:cstheme="majorBidi"/>
          <w:snapToGrid w:val="0"/>
          <w:sz w:val="24"/>
          <w:szCs w:val="24"/>
          <w:u w:val="single" w:color="000000"/>
          <w:lang w:val="da-DK"/>
        </w:rPr>
        <w:t>Anvendelse i tandkirurgi</w:t>
      </w:r>
    </w:p>
    <w:p w14:paraId="66457B89" w14:textId="77777777" w:rsidR="001D577B" w:rsidRPr="001D577B" w:rsidRDefault="001D577B" w:rsidP="001D577B">
      <w:pPr>
        <w:pStyle w:val="Brdtekst"/>
        <w:kinsoku w:val="0"/>
        <w:overflowPunct w:val="0"/>
        <w:snapToGrid w:val="0"/>
        <w:ind w:left="851"/>
        <w:rPr>
          <w:rFonts w:asciiTheme="majorBidi" w:eastAsia="Times New Roman"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Administration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til dental anvendelse skal begrænses til hospitaler og ambulant/ambulatorisk/ambulant kirurgi (se pkt. 4.3).</w:t>
      </w:r>
    </w:p>
    <w:p w14:paraId="12A119AE"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4962D2B2" w14:textId="77777777" w:rsidR="001D577B" w:rsidRPr="00B6210E" w:rsidRDefault="001D577B" w:rsidP="001D577B">
      <w:pPr>
        <w:pStyle w:val="Brdtekst"/>
        <w:kinsoku w:val="0"/>
        <w:overflowPunct w:val="0"/>
        <w:snapToGrid w:val="0"/>
        <w:ind w:left="851"/>
        <w:rPr>
          <w:rFonts w:asciiTheme="majorBidi" w:hAnsiTheme="majorBidi" w:cstheme="majorBidi"/>
          <w:iCs/>
          <w:snapToGrid w:val="0"/>
          <w:sz w:val="24"/>
          <w:szCs w:val="24"/>
          <w:u w:val="single"/>
          <w:lang w:val="da-DK"/>
        </w:rPr>
      </w:pPr>
      <w:r w:rsidRPr="00B6210E">
        <w:rPr>
          <w:rFonts w:asciiTheme="majorBidi" w:eastAsia="Times New Roman" w:hAnsiTheme="majorBidi" w:cstheme="majorBidi"/>
          <w:iCs/>
          <w:snapToGrid w:val="0"/>
          <w:sz w:val="24"/>
          <w:szCs w:val="24"/>
          <w:u w:val="single"/>
          <w:lang w:val="da-DK"/>
        </w:rPr>
        <w:lastRenderedPageBreak/>
        <w:t>Særlige populationer</w:t>
      </w:r>
    </w:p>
    <w:p w14:paraId="6F39D020" w14:textId="77777777" w:rsidR="001D577B" w:rsidRPr="001D577B" w:rsidRDefault="001D577B" w:rsidP="001D577B">
      <w:pPr>
        <w:pStyle w:val="Brdtekst"/>
        <w:kinsoku w:val="0"/>
        <w:overflowPunct w:val="0"/>
        <w:snapToGrid w:val="0"/>
        <w:ind w:left="851"/>
        <w:rPr>
          <w:rFonts w:asciiTheme="majorBidi" w:hAnsiTheme="majorBidi" w:cstheme="majorBidi"/>
          <w:i/>
          <w:iCs/>
          <w:snapToGrid w:val="0"/>
          <w:sz w:val="24"/>
          <w:szCs w:val="24"/>
          <w:lang w:val="da-DK"/>
        </w:rPr>
      </w:pPr>
    </w:p>
    <w:p w14:paraId="17F2572F" w14:textId="77777777" w:rsidR="001D577B" w:rsidRPr="00B6210E" w:rsidRDefault="001D577B" w:rsidP="001D577B">
      <w:pPr>
        <w:pStyle w:val="Brdtekst"/>
        <w:kinsoku w:val="0"/>
        <w:overflowPunct w:val="0"/>
        <w:snapToGrid w:val="0"/>
        <w:ind w:left="851"/>
        <w:rPr>
          <w:rFonts w:asciiTheme="majorBidi" w:eastAsia="Times New Roman" w:hAnsiTheme="majorBidi" w:cstheme="majorBidi"/>
          <w:i/>
          <w:snapToGrid w:val="0"/>
          <w:sz w:val="24"/>
          <w:szCs w:val="24"/>
          <w:u w:color="000000"/>
          <w:lang w:val="da-DK"/>
        </w:rPr>
      </w:pPr>
      <w:r w:rsidRPr="00B6210E">
        <w:rPr>
          <w:rFonts w:asciiTheme="majorBidi" w:eastAsia="Times New Roman" w:hAnsiTheme="majorBidi" w:cstheme="majorBidi"/>
          <w:i/>
          <w:snapToGrid w:val="0"/>
          <w:sz w:val="24"/>
          <w:szCs w:val="24"/>
          <w:u w:color="000000"/>
          <w:lang w:val="da-DK"/>
        </w:rPr>
        <w:t>Patienter med nedsat nyre- eller leverfunktion</w:t>
      </w:r>
    </w:p>
    <w:p w14:paraId="47076DC8"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r w:rsidRPr="001D577B">
        <w:rPr>
          <w:rFonts w:asciiTheme="majorBidi" w:eastAsia="Times New Roman" w:hAnsiTheme="majorBidi" w:cstheme="majorBidi"/>
          <w:snapToGrid w:val="0"/>
          <w:sz w:val="24"/>
          <w:szCs w:val="24"/>
          <w:lang w:val="da-DK"/>
        </w:rPr>
        <w:t xml:space="preserve">Koncentrationer på 1-4 %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sammen med lattergas eller ilt er blevet administreret med succes hos patienter med kronisk nedsat nyre- eller leverfunktion og under nyretransplantationskirurgi. På grund af lav metabolisme er dosisjustering hos patienter med nedsat nyre- og leverfunktion ikke nødvendig.</w:t>
      </w:r>
    </w:p>
    <w:p w14:paraId="030B64FB"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nl-NL"/>
        </w:rPr>
      </w:pPr>
    </w:p>
    <w:p w14:paraId="2A9B2E30" w14:textId="77777777" w:rsidR="007F1270" w:rsidRPr="00B6210E" w:rsidRDefault="007F1270" w:rsidP="007F1270">
      <w:pPr>
        <w:pStyle w:val="Brdtekst"/>
        <w:kinsoku w:val="0"/>
        <w:overflowPunct w:val="0"/>
        <w:snapToGrid w:val="0"/>
        <w:ind w:left="851"/>
        <w:rPr>
          <w:rFonts w:asciiTheme="majorBidi" w:eastAsia="Times New Roman" w:hAnsiTheme="majorBidi" w:cstheme="majorBidi"/>
          <w:i/>
          <w:snapToGrid w:val="0"/>
          <w:sz w:val="24"/>
          <w:szCs w:val="24"/>
          <w:u w:color="000000"/>
          <w:lang w:val="da-DK"/>
        </w:rPr>
      </w:pPr>
      <w:r w:rsidRPr="00B6210E">
        <w:rPr>
          <w:rFonts w:asciiTheme="majorBidi" w:eastAsia="Times New Roman" w:hAnsiTheme="majorBidi" w:cstheme="majorBidi"/>
          <w:i/>
          <w:snapToGrid w:val="0"/>
          <w:sz w:val="24"/>
          <w:szCs w:val="24"/>
          <w:u w:color="000000"/>
          <w:lang w:val="da-DK"/>
        </w:rPr>
        <w:t>Brug hos neurokirurgiske patienter</w:t>
      </w:r>
    </w:p>
    <w:p w14:paraId="5CFBBA1A"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skal indgives ved 0,8 MAC eller mindre og i forbindelse med en barbituratinduktion og hyperventilation (</w:t>
      </w:r>
      <w:proofErr w:type="spellStart"/>
      <w:r w:rsidRPr="001D577B">
        <w:rPr>
          <w:rFonts w:asciiTheme="majorBidi" w:eastAsia="Times New Roman" w:hAnsiTheme="majorBidi" w:cstheme="majorBidi"/>
          <w:snapToGrid w:val="0"/>
          <w:sz w:val="24"/>
          <w:szCs w:val="24"/>
          <w:lang w:val="da-DK"/>
        </w:rPr>
        <w:t>hypokapni</w:t>
      </w:r>
      <w:proofErr w:type="spellEnd"/>
      <w:r w:rsidRPr="001D577B">
        <w:rPr>
          <w:rFonts w:asciiTheme="majorBidi" w:eastAsia="Times New Roman" w:hAnsiTheme="majorBidi" w:cstheme="majorBidi"/>
          <w:snapToGrid w:val="0"/>
          <w:sz w:val="24"/>
          <w:szCs w:val="24"/>
          <w:lang w:val="da-DK"/>
        </w:rPr>
        <w:t xml:space="preserve">) indtil cerebral dekompression hos patienter med kendt eller mistænkt stigning i cerebrospinalvæsketrykket (CSFP). Der skal udvises passende opmærksomhed for at opretholde det cerebrale </w:t>
      </w:r>
      <w:proofErr w:type="spellStart"/>
      <w:r w:rsidRPr="001D577B">
        <w:rPr>
          <w:rFonts w:asciiTheme="majorBidi" w:eastAsia="Times New Roman" w:hAnsiTheme="majorBidi" w:cstheme="majorBidi"/>
          <w:snapToGrid w:val="0"/>
          <w:sz w:val="24"/>
          <w:szCs w:val="24"/>
          <w:lang w:val="da-DK"/>
        </w:rPr>
        <w:t>perfusionstryk</w:t>
      </w:r>
      <w:proofErr w:type="spellEnd"/>
      <w:r w:rsidRPr="001D577B">
        <w:rPr>
          <w:rFonts w:asciiTheme="majorBidi" w:eastAsia="Times New Roman" w:hAnsiTheme="majorBidi" w:cstheme="majorBidi"/>
          <w:snapToGrid w:val="0"/>
          <w:sz w:val="24"/>
          <w:szCs w:val="24"/>
          <w:lang w:val="da-DK"/>
        </w:rPr>
        <w:t>. (se punkt 4.4).</w:t>
      </w:r>
    </w:p>
    <w:p w14:paraId="401F6271"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0F107194" w14:textId="2101365B" w:rsidR="001D577B" w:rsidRPr="00B6210E" w:rsidRDefault="001D577B" w:rsidP="001D577B">
      <w:pPr>
        <w:pStyle w:val="Brdtekst"/>
        <w:kinsoku w:val="0"/>
        <w:overflowPunct w:val="0"/>
        <w:snapToGrid w:val="0"/>
        <w:ind w:left="851"/>
        <w:rPr>
          <w:rFonts w:asciiTheme="majorBidi" w:eastAsia="Times New Roman" w:hAnsiTheme="majorBidi" w:cstheme="majorBidi"/>
          <w:i/>
          <w:snapToGrid w:val="0"/>
          <w:sz w:val="24"/>
          <w:szCs w:val="24"/>
          <w:u w:color="000000"/>
          <w:lang w:val="da-DK"/>
        </w:rPr>
      </w:pPr>
      <w:r w:rsidRPr="00B6210E">
        <w:rPr>
          <w:rFonts w:asciiTheme="majorBidi" w:eastAsia="Times New Roman" w:hAnsiTheme="majorBidi" w:cstheme="majorBidi"/>
          <w:i/>
          <w:snapToGrid w:val="0"/>
          <w:sz w:val="24"/>
          <w:szCs w:val="24"/>
          <w:u w:color="000000"/>
          <w:lang w:val="da-DK"/>
        </w:rPr>
        <w:t xml:space="preserve">Brug af </w:t>
      </w:r>
      <w:proofErr w:type="spellStart"/>
      <w:r w:rsidRPr="00B6210E">
        <w:rPr>
          <w:rFonts w:asciiTheme="majorBidi" w:eastAsia="Times New Roman" w:hAnsiTheme="majorBidi" w:cstheme="majorBidi"/>
          <w:i/>
          <w:snapToGrid w:val="0"/>
          <w:sz w:val="24"/>
          <w:szCs w:val="24"/>
          <w:u w:color="000000"/>
          <w:lang w:val="da-DK"/>
        </w:rPr>
        <w:t>desfluran</w:t>
      </w:r>
      <w:proofErr w:type="spellEnd"/>
      <w:r w:rsidRPr="00B6210E">
        <w:rPr>
          <w:rFonts w:asciiTheme="majorBidi" w:eastAsia="Times New Roman" w:hAnsiTheme="majorBidi" w:cstheme="majorBidi"/>
          <w:i/>
          <w:snapToGrid w:val="0"/>
          <w:sz w:val="24"/>
          <w:szCs w:val="24"/>
          <w:u w:color="000000"/>
          <w:lang w:val="da-DK"/>
        </w:rPr>
        <w:t xml:space="preserve"> hos </w:t>
      </w:r>
      <w:proofErr w:type="spellStart"/>
      <w:r w:rsidRPr="00B6210E">
        <w:rPr>
          <w:rFonts w:asciiTheme="majorBidi" w:eastAsia="Times New Roman" w:hAnsiTheme="majorBidi" w:cstheme="majorBidi"/>
          <w:i/>
          <w:snapToGrid w:val="0"/>
          <w:sz w:val="24"/>
          <w:szCs w:val="24"/>
          <w:u w:color="000000"/>
          <w:lang w:val="da-DK"/>
        </w:rPr>
        <w:t>hypovolaæmiske</w:t>
      </w:r>
      <w:proofErr w:type="spellEnd"/>
      <w:r w:rsidR="007F1270">
        <w:rPr>
          <w:rFonts w:asciiTheme="majorBidi" w:eastAsia="Times New Roman" w:hAnsiTheme="majorBidi" w:cstheme="majorBidi"/>
          <w:i/>
          <w:snapToGrid w:val="0"/>
          <w:sz w:val="24"/>
          <w:szCs w:val="24"/>
          <w:u w:color="000000"/>
          <w:lang w:val="da-DK"/>
        </w:rPr>
        <w:t>,</w:t>
      </w:r>
      <w:r w:rsidR="007F1270" w:rsidRPr="007F1270">
        <w:rPr>
          <w:rFonts w:asciiTheme="majorBidi" w:eastAsia="Times New Roman" w:hAnsiTheme="majorBidi" w:cstheme="majorBidi"/>
          <w:i/>
          <w:snapToGrid w:val="0"/>
          <w:sz w:val="24"/>
          <w:szCs w:val="24"/>
          <w:u w:color="000000"/>
          <w:lang w:val="da-DK"/>
        </w:rPr>
        <w:t xml:space="preserve"> </w:t>
      </w:r>
      <w:proofErr w:type="spellStart"/>
      <w:r w:rsidR="007F1270" w:rsidRPr="00B6210E">
        <w:rPr>
          <w:rFonts w:asciiTheme="majorBidi" w:eastAsia="Times New Roman" w:hAnsiTheme="majorBidi" w:cstheme="majorBidi"/>
          <w:i/>
          <w:snapToGrid w:val="0"/>
          <w:sz w:val="24"/>
          <w:szCs w:val="24"/>
          <w:u w:color="000000"/>
          <w:lang w:val="da-DK"/>
        </w:rPr>
        <w:t>hypotensive</w:t>
      </w:r>
      <w:proofErr w:type="spellEnd"/>
      <w:r w:rsidR="007F1270" w:rsidRPr="00B6210E">
        <w:rPr>
          <w:rFonts w:asciiTheme="majorBidi" w:eastAsia="Times New Roman" w:hAnsiTheme="majorBidi" w:cstheme="majorBidi"/>
          <w:i/>
          <w:snapToGrid w:val="0"/>
          <w:sz w:val="24"/>
          <w:szCs w:val="24"/>
          <w:u w:color="000000"/>
          <w:lang w:val="da-DK"/>
        </w:rPr>
        <w:t xml:space="preserve"> og svækkede og </w:t>
      </w:r>
      <w:r w:rsidR="007F1270" w:rsidRPr="005C1CEF">
        <w:rPr>
          <w:rFonts w:asciiTheme="majorBidi" w:hAnsiTheme="majorBidi" w:cstheme="majorBidi"/>
          <w:snapToGrid w:val="0"/>
          <w:u w:val="single"/>
          <w:lang w:val="nl-NL"/>
        </w:rPr>
        <w:t xml:space="preserve">ældre </w:t>
      </w:r>
      <w:r w:rsidR="007F1270" w:rsidRPr="00B6210E">
        <w:rPr>
          <w:rFonts w:asciiTheme="majorBidi" w:eastAsia="Times New Roman" w:hAnsiTheme="majorBidi" w:cstheme="majorBidi"/>
          <w:i/>
          <w:snapToGrid w:val="0"/>
          <w:sz w:val="24"/>
          <w:szCs w:val="24"/>
          <w:u w:color="000000"/>
          <w:lang w:val="da-DK"/>
        </w:rPr>
        <w:t>patienter</w:t>
      </w:r>
    </w:p>
    <w:p w14:paraId="04E1FD28"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r w:rsidRPr="001D577B">
        <w:rPr>
          <w:rFonts w:asciiTheme="majorBidi" w:eastAsia="Times New Roman" w:hAnsiTheme="majorBidi" w:cstheme="majorBidi"/>
          <w:snapToGrid w:val="0"/>
          <w:sz w:val="24"/>
          <w:szCs w:val="24"/>
          <w:lang w:val="da-DK"/>
        </w:rPr>
        <w:t xml:space="preserve">Som med andre potente </w:t>
      </w:r>
      <w:proofErr w:type="spellStart"/>
      <w:r w:rsidRPr="001D577B">
        <w:rPr>
          <w:rFonts w:asciiTheme="majorBidi" w:eastAsia="Times New Roman" w:hAnsiTheme="majorBidi" w:cstheme="majorBidi"/>
          <w:snapToGrid w:val="0"/>
          <w:sz w:val="24"/>
          <w:szCs w:val="24"/>
          <w:lang w:val="da-DK"/>
        </w:rPr>
        <w:t>inhalationsanæstetika</w:t>
      </w:r>
      <w:proofErr w:type="spellEnd"/>
      <w:r w:rsidRPr="001D577B">
        <w:rPr>
          <w:rFonts w:asciiTheme="majorBidi" w:eastAsia="Times New Roman" w:hAnsiTheme="majorBidi" w:cstheme="majorBidi"/>
          <w:snapToGrid w:val="0"/>
          <w:sz w:val="24"/>
          <w:szCs w:val="24"/>
          <w:lang w:val="da-DK"/>
        </w:rPr>
        <w:t xml:space="preserve"> anbefales en lavere koncentration af </w:t>
      </w: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til brug hos disse patienter.</w:t>
      </w:r>
    </w:p>
    <w:p w14:paraId="6CB99875"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
    <w:p w14:paraId="271AB1CC" w14:textId="77777777" w:rsidR="001D577B" w:rsidRPr="00B6210E" w:rsidRDefault="001D577B" w:rsidP="001D577B">
      <w:pPr>
        <w:pStyle w:val="Brdtekst"/>
        <w:kinsoku w:val="0"/>
        <w:overflowPunct w:val="0"/>
        <w:snapToGrid w:val="0"/>
        <w:ind w:left="851"/>
        <w:rPr>
          <w:rFonts w:asciiTheme="majorBidi" w:hAnsiTheme="majorBidi" w:cstheme="majorBidi"/>
          <w:b/>
          <w:snapToGrid w:val="0"/>
          <w:sz w:val="24"/>
          <w:szCs w:val="24"/>
          <w:lang w:val="da-DK"/>
        </w:rPr>
      </w:pPr>
      <w:r w:rsidRPr="00B6210E">
        <w:rPr>
          <w:rFonts w:asciiTheme="majorBidi" w:eastAsia="Times New Roman" w:hAnsiTheme="majorBidi" w:cstheme="majorBidi"/>
          <w:b/>
          <w:snapToGrid w:val="0"/>
          <w:sz w:val="24"/>
          <w:szCs w:val="24"/>
          <w:u w:color="000000"/>
          <w:lang w:val="da-DK"/>
        </w:rPr>
        <w:t>Administration</w:t>
      </w:r>
    </w:p>
    <w:p w14:paraId="616A2BBE" w14:textId="77777777" w:rsidR="001D577B" w:rsidRPr="001D577B" w:rsidRDefault="001D577B" w:rsidP="001D577B">
      <w:pPr>
        <w:pStyle w:val="Brdtekst"/>
        <w:kinsoku w:val="0"/>
        <w:overflowPunct w:val="0"/>
        <w:snapToGrid w:val="0"/>
        <w:ind w:left="851"/>
        <w:rPr>
          <w:rFonts w:asciiTheme="majorBidi" w:hAnsiTheme="majorBidi" w:cstheme="majorBidi"/>
          <w:snapToGrid w:val="0"/>
          <w:sz w:val="24"/>
          <w:szCs w:val="24"/>
          <w:lang w:val="da-DK"/>
        </w:rPr>
      </w:pPr>
      <w:proofErr w:type="spellStart"/>
      <w:r w:rsidRPr="001D577B">
        <w:rPr>
          <w:rFonts w:asciiTheme="majorBidi" w:eastAsia="Times New Roman" w:hAnsiTheme="majorBidi" w:cstheme="majorBidi"/>
          <w:snapToGrid w:val="0"/>
          <w:sz w:val="24"/>
          <w:szCs w:val="24"/>
          <w:lang w:val="da-DK"/>
        </w:rPr>
        <w:t>Desfluran</w:t>
      </w:r>
      <w:proofErr w:type="spellEnd"/>
      <w:r w:rsidRPr="001D577B">
        <w:rPr>
          <w:rFonts w:asciiTheme="majorBidi" w:eastAsia="Times New Roman" w:hAnsiTheme="majorBidi" w:cstheme="majorBidi"/>
          <w:snapToGrid w:val="0"/>
          <w:sz w:val="24"/>
          <w:szCs w:val="24"/>
          <w:lang w:val="da-DK"/>
        </w:rPr>
        <w:t xml:space="preserve"> indgives ved inhalation.</w:t>
      </w:r>
    </w:p>
    <w:p w14:paraId="0D503AA9" w14:textId="77777777" w:rsidR="009260DE" w:rsidRPr="001D577B" w:rsidRDefault="009260DE" w:rsidP="001D577B">
      <w:pPr>
        <w:tabs>
          <w:tab w:val="left" w:pos="851"/>
        </w:tabs>
        <w:ind w:left="851"/>
        <w:rPr>
          <w:sz w:val="24"/>
          <w:szCs w:val="24"/>
        </w:rPr>
      </w:pPr>
    </w:p>
    <w:p w14:paraId="59E7282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05DED36" w14:textId="77777777" w:rsidR="00F132B9" w:rsidRPr="007A46DE" w:rsidRDefault="00F132B9" w:rsidP="00F132B9">
      <w:pPr>
        <w:tabs>
          <w:tab w:val="left" w:pos="851"/>
        </w:tabs>
        <w:ind w:left="851"/>
        <w:rPr>
          <w:sz w:val="24"/>
          <w:szCs w:val="24"/>
        </w:rPr>
      </w:pPr>
      <w:proofErr w:type="spellStart"/>
      <w:r w:rsidRPr="00F132B9">
        <w:rPr>
          <w:sz w:val="24"/>
          <w:szCs w:val="24"/>
        </w:rPr>
        <w:t>Desfluran</w:t>
      </w:r>
      <w:proofErr w:type="spellEnd"/>
      <w:r w:rsidRPr="00F132B9">
        <w:rPr>
          <w:sz w:val="24"/>
          <w:szCs w:val="24"/>
        </w:rPr>
        <w:t xml:space="preserve"> må ikke anvendes:</w:t>
      </w:r>
    </w:p>
    <w:p w14:paraId="0E620930" w14:textId="77777777" w:rsidR="00F132B9" w:rsidRPr="00F132B9" w:rsidRDefault="00F132B9" w:rsidP="00F132B9">
      <w:pPr>
        <w:numPr>
          <w:ilvl w:val="0"/>
          <w:numId w:val="6"/>
        </w:numPr>
        <w:tabs>
          <w:tab w:val="left" w:pos="851"/>
        </w:tabs>
        <w:ind w:left="1134" w:hanging="283"/>
        <w:rPr>
          <w:sz w:val="24"/>
          <w:szCs w:val="24"/>
        </w:rPr>
      </w:pPr>
      <w:r w:rsidRPr="00F132B9">
        <w:rPr>
          <w:sz w:val="24"/>
          <w:szCs w:val="24"/>
        </w:rPr>
        <w:t>Hos patienter, for hvem generel anæstesi er kontraindiceret.</w:t>
      </w:r>
    </w:p>
    <w:p w14:paraId="62071E5F" w14:textId="77777777" w:rsidR="00F132B9" w:rsidRPr="00F132B9" w:rsidRDefault="00F132B9" w:rsidP="00F132B9">
      <w:pPr>
        <w:numPr>
          <w:ilvl w:val="0"/>
          <w:numId w:val="6"/>
        </w:numPr>
        <w:tabs>
          <w:tab w:val="left" w:pos="851"/>
        </w:tabs>
        <w:ind w:left="1134" w:hanging="283"/>
        <w:rPr>
          <w:sz w:val="24"/>
          <w:szCs w:val="24"/>
          <w:lang w:val="nl-NL"/>
        </w:rPr>
      </w:pPr>
      <w:r w:rsidRPr="00F132B9">
        <w:rPr>
          <w:sz w:val="24"/>
          <w:szCs w:val="24"/>
        </w:rPr>
        <w:t xml:space="preserve">Hos patienter med kendt overfølsomhed over for </w:t>
      </w:r>
      <w:proofErr w:type="spellStart"/>
      <w:r w:rsidRPr="00F132B9">
        <w:rPr>
          <w:sz w:val="24"/>
          <w:szCs w:val="24"/>
        </w:rPr>
        <w:t>halogenerede</w:t>
      </w:r>
      <w:proofErr w:type="spellEnd"/>
      <w:r w:rsidRPr="00F132B9">
        <w:rPr>
          <w:sz w:val="24"/>
          <w:szCs w:val="24"/>
        </w:rPr>
        <w:t xml:space="preserve"> </w:t>
      </w:r>
      <w:proofErr w:type="spellStart"/>
      <w:r w:rsidRPr="00F132B9">
        <w:rPr>
          <w:sz w:val="24"/>
          <w:szCs w:val="24"/>
        </w:rPr>
        <w:t>anæstetika</w:t>
      </w:r>
      <w:proofErr w:type="spellEnd"/>
      <w:r w:rsidRPr="00F132B9">
        <w:rPr>
          <w:sz w:val="24"/>
          <w:szCs w:val="24"/>
        </w:rPr>
        <w:t xml:space="preserve">, andre </w:t>
      </w:r>
      <w:proofErr w:type="spellStart"/>
      <w:r w:rsidRPr="00F132B9">
        <w:rPr>
          <w:sz w:val="24"/>
          <w:szCs w:val="24"/>
        </w:rPr>
        <w:t>halogenerede</w:t>
      </w:r>
      <w:proofErr w:type="spellEnd"/>
      <w:r w:rsidRPr="00F132B9">
        <w:rPr>
          <w:sz w:val="24"/>
          <w:szCs w:val="24"/>
        </w:rPr>
        <w:t xml:space="preserve"> kulbrinteforbindelser.</w:t>
      </w:r>
    </w:p>
    <w:p w14:paraId="46251B99" w14:textId="77777777" w:rsidR="00F132B9" w:rsidRPr="00F132B9" w:rsidRDefault="00F132B9" w:rsidP="00F132B9">
      <w:pPr>
        <w:numPr>
          <w:ilvl w:val="0"/>
          <w:numId w:val="6"/>
        </w:numPr>
        <w:tabs>
          <w:tab w:val="left" w:pos="851"/>
        </w:tabs>
        <w:ind w:left="1134" w:hanging="283"/>
        <w:rPr>
          <w:sz w:val="24"/>
          <w:szCs w:val="24"/>
          <w:lang w:val="nl-NL"/>
        </w:rPr>
      </w:pPr>
      <w:r w:rsidRPr="00F132B9">
        <w:rPr>
          <w:sz w:val="24"/>
          <w:szCs w:val="24"/>
        </w:rPr>
        <w:t xml:space="preserve">Hos patienter med kendt eller mistænkt tilbøjelighed til malign </w:t>
      </w:r>
      <w:proofErr w:type="spellStart"/>
      <w:r w:rsidRPr="00F132B9">
        <w:rPr>
          <w:sz w:val="24"/>
          <w:szCs w:val="24"/>
        </w:rPr>
        <w:t>hypertermi</w:t>
      </w:r>
      <w:proofErr w:type="spellEnd"/>
      <w:r w:rsidRPr="00F132B9">
        <w:rPr>
          <w:sz w:val="24"/>
          <w:szCs w:val="24"/>
        </w:rPr>
        <w:t xml:space="preserve"> (MH) eller med en tilsvarende arvelig disposition for MH.</w:t>
      </w:r>
    </w:p>
    <w:p w14:paraId="18A08471" w14:textId="77777777" w:rsidR="00F132B9" w:rsidRPr="00F132B9" w:rsidRDefault="00F132B9" w:rsidP="00F132B9">
      <w:pPr>
        <w:numPr>
          <w:ilvl w:val="0"/>
          <w:numId w:val="6"/>
        </w:numPr>
        <w:tabs>
          <w:tab w:val="left" w:pos="851"/>
        </w:tabs>
        <w:ind w:left="1134" w:hanging="283"/>
        <w:rPr>
          <w:sz w:val="24"/>
          <w:szCs w:val="24"/>
          <w:lang w:val="nl-NL"/>
        </w:rPr>
      </w:pPr>
      <w:r w:rsidRPr="00F132B9">
        <w:rPr>
          <w:sz w:val="24"/>
          <w:szCs w:val="24"/>
        </w:rPr>
        <w:t xml:space="preserve">Til induktion af anæstesi hos børn på grund af den betydelige risiko for hoste, tilbageholdt åndedræt, apnø, </w:t>
      </w:r>
      <w:proofErr w:type="spellStart"/>
      <w:r w:rsidRPr="00F132B9">
        <w:rPr>
          <w:sz w:val="24"/>
          <w:szCs w:val="24"/>
        </w:rPr>
        <w:t>laryngospasme</w:t>
      </w:r>
      <w:proofErr w:type="spellEnd"/>
      <w:r w:rsidRPr="00F132B9">
        <w:rPr>
          <w:sz w:val="24"/>
          <w:szCs w:val="24"/>
        </w:rPr>
        <w:t xml:space="preserve"> og øget spytsekretion.</w:t>
      </w:r>
    </w:p>
    <w:p w14:paraId="61059DF1" w14:textId="77777777" w:rsidR="00F132B9" w:rsidRPr="00F132B9" w:rsidRDefault="00F132B9" w:rsidP="00F132B9">
      <w:pPr>
        <w:numPr>
          <w:ilvl w:val="0"/>
          <w:numId w:val="6"/>
        </w:numPr>
        <w:tabs>
          <w:tab w:val="left" w:pos="851"/>
        </w:tabs>
        <w:ind w:left="1134" w:hanging="283"/>
        <w:rPr>
          <w:sz w:val="24"/>
          <w:szCs w:val="24"/>
          <w:lang w:val="nl-NL"/>
        </w:rPr>
      </w:pPr>
      <w:r w:rsidRPr="00F132B9">
        <w:rPr>
          <w:sz w:val="24"/>
          <w:szCs w:val="24"/>
        </w:rPr>
        <w:t>Til vedligeholdelse af anæstesi hos ikke-</w:t>
      </w:r>
      <w:proofErr w:type="spellStart"/>
      <w:r w:rsidRPr="00F132B9">
        <w:rPr>
          <w:sz w:val="24"/>
          <w:szCs w:val="24"/>
        </w:rPr>
        <w:t>intuberede</w:t>
      </w:r>
      <w:proofErr w:type="spellEnd"/>
      <w:r w:rsidRPr="00F132B9">
        <w:rPr>
          <w:sz w:val="24"/>
          <w:szCs w:val="24"/>
        </w:rPr>
        <w:t xml:space="preserve"> børn under 6 år på grund af øget forekomst af respiratoriske bivirkninger.</w:t>
      </w:r>
    </w:p>
    <w:p w14:paraId="2F891DEA" w14:textId="77777777" w:rsidR="00F132B9" w:rsidRPr="00F132B9" w:rsidRDefault="00F132B9" w:rsidP="00F132B9">
      <w:pPr>
        <w:numPr>
          <w:ilvl w:val="0"/>
          <w:numId w:val="6"/>
        </w:numPr>
        <w:tabs>
          <w:tab w:val="left" w:pos="851"/>
        </w:tabs>
        <w:ind w:left="1134" w:hanging="283"/>
        <w:rPr>
          <w:sz w:val="24"/>
          <w:szCs w:val="24"/>
          <w:lang w:val="nl-NL"/>
        </w:rPr>
      </w:pPr>
      <w:r w:rsidRPr="00F132B9">
        <w:rPr>
          <w:sz w:val="24"/>
          <w:szCs w:val="24"/>
        </w:rPr>
        <w:t>Som det eneste anæstesimiddel hos patienter med risiko for koronararteriesygdom eller hos patienter, hvor stigning i hjertefrekvens eller blodtryk er uønsket.</w:t>
      </w:r>
    </w:p>
    <w:p w14:paraId="3A4D5B0C" w14:textId="77777777" w:rsidR="00F132B9" w:rsidRPr="00F132B9" w:rsidRDefault="00F132B9" w:rsidP="00F132B9">
      <w:pPr>
        <w:numPr>
          <w:ilvl w:val="0"/>
          <w:numId w:val="6"/>
        </w:numPr>
        <w:tabs>
          <w:tab w:val="left" w:pos="851"/>
        </w:tabs>
        <w:ind w:left="1134" w:hanging="283"/>
        <w:rPr>
          <w:sz w:val="24"/>
          <w:szCs w:val="24"/>
          <w:lang w:val="nl-NL"/>
        </w:rPr>
      </w:pPr>
      <w:r w:rsidRPr="00F132B9">
        <w:rPr>
          <w:sz w:val="24"/>
          <w:szCs w:val="24"/>
        </w:rPr>
        <w:t>Hos patienter med tidligere bekræftet hepatitis eller uforklarlig moderat til svær leverdysfunktion (f.eks. gulsot, uforklarlig feber eller leukocytose/</w:t>
      </w:r>
      <w:proofErr w:type="spellStart"/>
      <w:r w:rsidRPr="00F132B9">
        <w:rPr>
          <w:sz w:val="24"/>
          <w:szCs w:val="24"/>
        </w:rPr>
        <w:t>eosinofili</w:t>
      </w:r>
      <w:proofErr w:type="spellEnd"/>
      <w:r w:rsidRPr="00F132B9">
        <w:rPr>
          <w:sz w:val="24"/>
          <w:szCs w:val="24"/>
        </w:rPr>
        <w:t xml:space="preserve">) efter en tidligere indgift af </w:t>
      </w:r>
      <w:proofErr w:type="spellStart"/>
      <w:r w:rsidRPr="00F132B9">
        <w:rPr>
          <w:sz w:val="24"/>
          <w:szCs w:val="24"/>
        </w:rPr>
        <w:t>halogenerede</w:t>
      </w:r>
      <w:proofErr w:type="spellEnd"/>
      <w:r w:rsidRPr="00F132B9">
        <w:rPr>
          <w:sz w:val="24"/>
          <w:szCs w:val="24"/>
        </w:rPr>
        <w:t xml:space="preserve"> </w:t>
      </w:r>
      <w:proofErr w:type="spellStart"/>
      <w:r w:rsidRPr="00F132B9">
        <w:rPr>
          <w:sz w:val="24"/>
          <w:szCs w:val="24"/>
        </w:rPr>
        <w:t>anæstetika</w:t>
      </w:r>
      <w:proofErr w:type="spellEnd"/>
      <w:r w:rsidRPr="00F132B9">
        <w:rPr>
          <w:sz w:val="24"/>
          <w:szCs w:val="24"/>
        </w:rPr>
        <w:t>.</w:t>
      </w:r>
    </w:p>
    <w:p w14:paraId="44AAA850" w14:textId="77777777" w:rsidR="00F132B9" w:rsidRPr="00F132B9" w:rsidRDefault="00F132B9" w:rsidP="00F132B9">
      <w:pPr>
        <w:numPr>
          <w:ilvl w:val="0"/>
          <w:numId w:val="6"/>
        </w:numPr>
        <w:tabs>
          <w:tab w:val="left" w:pos="851"/>
        </w:tabs>
        <w:ind w:left="1134" w:hanging="283"/>
        <w:rPr>
          <w:sz w:val="24"/>
          <w:szCs w:val="24"/>
          <w:lang w:val="nl-NL"/>
        </w:rPr>
      </w:pPr>
      <w:r w:rsidRPr="00F132B9">
        <w:rPr>
          <w:sz w:val="24"/>
          <w:szCs w:val="24"/>
        </w:rPr>
        <w:t>Hos patienter, der gennemgår tandbehandlinger uden for et hospital eller en dagkirurgisk afdeling.</w:t>
      </w:r>
    </w:p>
    <w:p w14:paraId="532118A8" w14:textId="77777777" w:rsidR="009260DE" w:rsidRPr="00F132B9" w:rsidRDefault="009260DE" w:rsidP="009260DE">
      <w:pPr>
        <w:tabs>
          <w:tab w:val="left" w:pos="851"/>
        </w:tabs>
        <w:ind w:left="851"/>
        <w:rPr>
          <w:sz w:val="24"/>
          <w:szCs w:val="24"/>
          <w:lang w:val="nl-NL"/>
        </w:rPr>
      </w:pPr>
    </w:p>
    <w:p w14:paraId="37BBD95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2007719" w14:textId="77777777"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bør anvendes med forsigtighed hos patienter uden </w:t>
      </w:r>
      <w:proofErr w:type="spellStart"/>
      <w:r w:rsidRPr="0064499F">
        <w:rPr>
          <w:sz w:val="24"/>
          <w:szCs w:val="24"/>
        </w:rPr>
        <w:t>intuberede</w:t>
      </w:r>
      <w:proofErr w:type="spellEnd"/>
      <w:r w:rsidRPr="0064499F">
        <w:rPr>
          <w:sz w:val="24"/>
          <w:szCs w:val="24"/>
        </w:rPr>
        <w:t xml:space="preserve"> luftveje. </w:t>
      </w:r>
    </w:p>
    <w:p w14:paraId="76E5E048" w14:textId="77777777" w:rsidR="0064499F" w:rsidRPr="0064499F" w:rsidRDefault="0064499F" w:rsidP="0064499F">
      <w:pPr>
        <w:tabs>
          <w:tab w:val="left" w:pos="851"/>
        </w:tabs>
        <w:ind w:left="851"/>
        <w:rPr>
          <w:sz w:val="24"/>
          <w:szCs w:val="24"/>
        </w:rPr>
      </w:pPr>
    </w:p>
    <w:p w14:paraId="6BDA2111" w14:textId="77777777" w:rsidR="0064499F" w:rsidRPr="0064499F" w:rsidRDefault="0064499F" w:rsidP="0064499F">
      <w:pPr>
        <w:tabs>
          <w:tab w:val="left" w:pos="851"/>
        </w:tabs>
        <w:ind w:left="851"/>
        <w:rPr>
          <w:sz w:val="24"/>
          <w:szCs w:val="24"/>
          <w:lang w:val="nl-NL"/>
        </w:rPr>
      </w:pPr>
      <w:r w:rsidRPr="0064499F">
        <w:rPr>
          <w:sz w:val="24"/>
          <w:szCs w:val="24"/>
          <w:u w:val="single"/>
        </w:rPr>
        <w:t xml:space="preserve">Malign </w:t>
      </w:r>
      <w:proofErr w:type="spellStart"/>
      <w:r w:rsidRPr="0064499F">
        <w:rPr>
          <w:sz w:val="24"/>
          <w:szCs w:val="24"/>
          <w:u w:val="single"/>
        </w:rPr>
        <w:t>hypertermi</w:t>
      </w:r>
      <w:proofErr w:type="spellEnd"/>
      <w:r w:rsidRPr="0064499F">
        <w:rPr>
          <w:sz w:val="24"/>
          <w:szCs w:val="24"/>
          <w:u w:val="single"/>
        </w:rPr>
        <w:t xml:space="preserve"> (MH)</w:t>
      </w:r>
    </w:p>
    <w:p w14:paraId="2A336D35" w14:textId="77777777" w:rsidR="0064499F" w:rsidRPr="0064499F" w:rsidRDefault="0064499F" w:rsidP="0064499F">
      <w:pPr>
        <w:tabs>
          <w:tab w:val="left" w:pos="851"/>
        </w:tabs>
        <w:ind w:left="851"/>
        <w:rPr>
          <w:sz w:val="24"/>
          <w:szCs w:val="24"/>
        </w:rPr>
      </w:pPr>
      <w:r w:rsidRPr="0064499F">
        <w:rPr>
          <w:sz w:val="24"/>
          <w:szCs w:val="24"/>
        </w:rPr>
        <w:t xml:space="preserve">Hos disponible personer (anamnese med malign </w:t>
      </w:r>
      <w:proofErr w:type="spellStart"/>
      <w:r w:rsidRPr="0064499F">
        <w:rPr>
          <w:sz w:val="24"/>
          <w:szCs w:val="24"/>
        </w:rPr>
        <w:t>hypertermi</w:t>
      </w:r>
      <w:proofErr w:type="spellEnd"/>
      <w:r w:rsidRPr="0064499F">
        <w:rPr>
          <w:sz w:val="24"/>
          <w:szCs w:val="24"/>
        </w:rPr>
        <w:t xml:space="preserve">, </w:t>
      </w:r>
      <w:proofErr w:type="spellStart"/>
      <w:r w:rsidRPr="0064499F">
        <w:rPr>
          <w:sz w:val="24"/>
          <w:szCs w:val="24"/>
        </w:rPr>
        <w:t>myopatier</w:t>
      </w:r>
      <w:proofErr w:type="spellEnd"/>
      <w:r w:rsidRPr="0064499F">
        <w:rPr>
          <w:sz w:val="24"/>
          <w:szCs w:val="24"/>
        </w:rPr>
        <w:t xml:space="preserve"> såsom muskeldystrofier, Kings syndrom, </w:t>
      </w:r>
      <w:proofErr w:type="spellStart"/>
      <w:r w:rsidRPr="0064499F">
        <w:rPr>
          <w:sz w:val="24"/>
          <w:szCs w:val="24"/>
        </w:rPr>
        <w:t>myotonisk</w:t>
      </w:r>
      <w:proofErr w:type="spellEnd"/>
      <w:r w:rsidRPr="0064499F">
        <w:rPr>
          <w:sz w:val="24"/>
          <w:szCs w:val="24"/>
        </w:rPr>
        <w:t xml:space="preserve"> dystrofi, central core </w:t>
      </w:r>
      <w:proofErr w:type="spellStart"/>
      <w:r w:rsidRPr="0064499F">
        <w:rPr>
          <w:sz w:val="24"/>
          <w:szCs w:val="24"/>
        </w:rPr>
        <w:t>myopati</w:t>
      </w:r>
      <w:proofErr w:type="spellEnd"/>
      <w:r w:rsidRPr="0064499F">
        <w:rPr>
          <w:sz w:val="24"/>
          <w:szCs w:val="24"/>
        </w:rPr>
        <w:t xml:space="preserve">) kan potente </w:t>
      </w:r>
      <w:proofErr w:type="spellStart"/>
      <w:r w:rsidRPr="0064499F">
        <w:rPr>
          <w:sz w:val="24"/>
          <w:szCs w:val="24"/>
        </w:rPr>
        <w:t>inhalationsanæstetika</w:t>
      </w:r>
      <w:proofErr w:type="spellEnd"/>
      <w:r w:rsidRPr="0064499F">
        <w:rPr>
          <w:sz w:val="24"/>
          <w:szCs w:val="24"/>
        </w:rPr>
        <w:t xml:space="preserve"> udløse en </w:t>
      </w:r>
      <w:proofErr w:type="spellStart"/>
      <w:r w:rsidRPr="0064499F">
        <w:rPr>
          <w:sz w:val="24"/>
          <w:szCs w:val="24"/>
        </w:rPr>
        <w:t>hypermetabolisk</w:t>
      </w:r>
      <w:proofErr w:type="spellEnd"/>
      <w:r w:rsidRPr="0064499F">
        <w:rPr>
          <w:sz w:val="24"/>
          <w:szCs w:val="24"/>
        </w:rPr>
        <w:t xml:space="preserve"> tilstand i skeletmuskulaturen, som fører til et højt iltforbrug og det kliniske syndrom, der kaldes malign </w:t>
      </w:r>
      <w:proofErr w:type="spellStart"/>
      <w:r w:rsidRPr="0064499F">
        <w:rPr>
          <w:sz w:val="24"/>
          <w:szCs w:val="24"/>
        </w:rPr>
        <w:t>hypertermi</w:t>
      </w:r>
      <w:proofErr w:type="spellEnd"/>
      <w:r w:rsidRPr="0064499F">
        <w:rPr>
          <w:sz w:val="24"/>
          <w:szCs w:val="24"/>
        </w:rPr>
        <w:t xml:space="preserve">. </w:t>
      </w:r>
      <w:proofErr w:type="spellStart"/>
      <w:r w:rsidRPr="0064499F">
        <w:rPr>
          <w:sz w:val="24"/>
          <w:szCs w:val="24"/>
        </w:rPr>
        <w:t>Desfluran</w:t>
      </w:r>
      <w:proofErr w:type="spellEnd"/>
      <w:r w:rsidRPr="0064499F">
        <w:rPr>
          <w:sz w:val="24"/>
          <w:szCs w:val="24"/>
        </w:rPr>
        <w:t xml:space="preserve"> har vist sig at være en potentiel udløser af malign </w:t>
      </w:r>
      <w:proofErr w:type="spellStart"/>
      <w:r w:rsidRPr="0064499F">
        <w:rPr>
          <w:sz w:val="24"/>
          <w:szCs w:val="24"/>
        </w:rPr>
        <w:t>hypertermi</w:t>
      </w:r>
      <w:proofErr w:type="spellEnd"/>
      <w:r w:rsidRPr="0064499F">
        <w:rPr>
          <w:sz w:val="24"/>
          <w:szCs w:val="24"/>
        </w:rPr>
        <w:t xml:space="preserve">. Det kliniske syndrom signaleres af </w:t>
      </w:r>
      <w:proofErr w:type="spellStart"/>
      <w:r w:rsidRPr="0064499F">
        <w:rPr>
          <w:sz w:val="24"/>
          <w:szCs w:val="24"/>
        </w:rPr>
        <w:t>hyperkapni</w:t>
      </w:r>
      <w:proofErr w:type="spellEnd"/>
      <w:r w:rsidRPr="0064499F">
        <w:rPr>
          <w:sz w:val="24"/>
          <w:szCs w:val="24"/>
        </w:rPr>
        <w:t xml:space="preserve"> og kan omfatte muskelstivhed, </w:t>
      </w:r>
      <w:proofErr w:type="spellStart"/>
      <w:r w:rsidRPr="0064499F">
        <w:rPr>
          <w:sz w:val="24"/>
          <w:szCs w:val="24"/>
        </w:rPr>
        <w:t>takykardi</w:t>
      </w:r>
      <w:proofErr w:type="spellEnd"/>
      <w:r w:rsidRPr="0064499F">
        <w:rPr>
          <w:sz w:val="24"/>
          <w:szCs w:val="24"/>
        </w:rPr>
        <w:t xml:space="preserve">, </w:t>
      </w:r>
      <w:proofErr w:type="spellStart"/>
      <w:r w:rsidRPr="0064499F">
        <w:rPr>
          <w:sz w:val="24"/>
          <w:szCs w:val="24"/>
        </w:rPr>
        <w:t>takypnø</w:t>
      </w:r>
      <w:proofErr w:type="spellEnd"/>
      <w:r w:rsidRPr="0064499F">
        <w:rPr>
          <w:sz w:val="24"/>
          <w:szCs w:val="24"/>
        </w:rPr>
        <w:t xml:space="preserve">, cyanose, </w:t>
      </w:r>
      <w:proofErr w:type="spellStart"/>
      <w:r w:rsidRPr="0064499F">
        <w:rPr>
          <w:sz w:val="24"/>
          <w:szCs w:val="24"/>
        </w:rPr>
        <w:t>arytmi</w:t>
      </w:r>
      <w:proofErr w:type="spellEnd"/>
      <w:r w:rsidRPr="0064499F">
        <w:rPr>
          <w:sz w:val="24"/>
          <w:szCs w:val="24"/>
        </w:rPr>
        <w:t xml:space="preserve"> og/eller </w:t>
      </w:r>
      <w:r w:rsidRPr="0064499F">
        <w:rPr>
          <w:sz w:val="24"/>
          <w:szCs w:val="24"/>
        </w:rPr>
        <w:lastRenderedPageBreak/>
        <w:t xml:space="preserve">ustabilt blodtryk. Nogle af disse uspecifikke tegn kan også forekomme under let anæstesi: akut </w:t>
      </w:r>
      <w:proofErr w:type="spellStart"/>
      <w:r w:rsidRPr="0064499F">
        <w:rPr>
          <w:sz w:val="24"/>
          <w:szCs w:val="24"/>
        </w:rPr>
        <w:t>hypoxi</w:t>
      </w:r>
      <w:proofErr w:type="spellEnd"/>
      <w:r w:rsidRPr="0064499F">
        <w:rPr>
          <w:sz w:val="24"/>
          <w:szCs w:val="24"/>
        </w:rPr>
        <w:t xml:space="preserve">, </w:t>
      </w:r>
      <w:proofErr w:type="spellStart"/>
      <w:r w:rsidRPr="0064499F">
        <w:rPr>
          <w:sz w:val="24"/>
          <w:szCs w:val="24"/>
        </w:rPr>
        <w:t>hyperkapni</w:t>
      </w:r>
      <w:proofErr w:type="spellEnd"/>
      <w:r w:rsidRPr="0064499F">
        <w:rPr>
          <w:sz w:val="24"/>
          <w:szCs w:val="24"/>
        </w:rPr>
        <w:t xml:space="preserve"> og </w:t>
      </w:r>
      <w:proofErr w:type="spellStart"/>
      <w:r w:rsidRPr="0064499F">
        <w:rPr>
          <w:sz w:val="24"/>
          <w:szCs w:val="24"/>
        </w:rPr>
        <w:t>hypovolæmi</w:t>
      </w:r>
      <w:proofErr w:type="spellEnd"/>
      <w:r w:rsidRPr="0064499F">
        <w:rPr>
          <w:sz w:val="24"/>
          <w:szCs w:val="24"/>
        </w:rPr>
        <w:t xml:space="preserve">. Behandling af malign </w:t>
      </w:r>
      <w:proofErr w:type="spellStart"/>
      <w:r w:rsidRPr="0064499F">
        <w:rPr>
          <w:sz w:val="24"/>
          <w:szCs w:val="24"/>
        </w:rPr>
        <w:t>hypertermi</w:t>
      </w:r>
      <w:proofErr w:type="spellEnd"/>
      <w:r w:rsidRPr="0064499F">
        <w:rPr>
          <w:sz w:val="24"/>
          <w:szCs w:val="24"/>
        </w:rPr>
        <w:t xml:space="preserve"> omfatter </w:t>
      </w:r>
      <w:proofErr w:type="spellStart"/>
      <w:r w:rsidRPr="0064499F">
        <w:rPr>
          <w:sz w:val="24"/>
          <w:szCs w:val="24"/>
        </w:rPr>
        <w:t>seponering</w:t>
      </w:r>
      <w:proofErr w:type="spellEnd"/>
      <w:r w:rsidRPr="0064499F">
        <w:rPr>
          <w:sz w:val="24"/>
          <w:szCs w:val="24"/>
        </w:rPr>
        <w:t xml:space="preserve"> af udløsende lægemidler, administration af intravenøs </w:t>
      </w:r>
      <w:proofErr w:type="spellStart"/>
      <w:r w:rsidRPr="0064499F">
        <w:rPr>
          <w:sz w:val="24"/>
          <w:szCs w:val="24"/>
        </w:rPr>
        <w:t>dantrolennatrium</w:t>
      </w:r>
      <w:proofErr w:type="spellEnd"/>
      <w:r w:rsidRPr="0064499F">
        <w:rPr>
          <w:sz w:val="24"/>
          <w:szCs w:val="24"/>
        </w:rPr>
        <w:t xml:space="preserve"> og anvendelse af understøttende behandling. Nyresvigt kan forekomme senere, og urinstrømmen skal overvåges og opretholdes, hvis det er muligt.</w:t>
      </w:r>
    </w:p>
    <w:p w14:paraId="11F1509D" w14:textId="77777777" w:rsidR="0064499F" w:rsidRPr="0064499F" w:rsidRDefault="0064499F" w:rsidP="0064499F">
      <w:pPr>
        <w:tabs>
          <w:tab w:val="left" w:pos="851"/>
        </w:tabs>
        <w:ind w:left="851"/>
        <w:rPr>
          <w:sz w:val="24"/>
          <w:szCs w:val="24"/>
        </w:rPr>
      </w:pPr>
    </w:p>
    <w:p w14:paraId="71AE6003" w14:textId="42ACA432"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bør ikke anvendes til personer, med kendt følsomhed over for MH. Der er rapporteret om tilfælde af MH med dødelig udgang ved brug</w:t>
      </w:r>
      <w:r w:rsidR="00E86AC0">
        <w:rPr>
          <w:sz w:val="24"/>
          <w:szCs w:val="24"/>
        </w:rPr>
        <w:t xml:space="preserve"> </w:t>
      </w:r>
      <w:proofErr w:type="spellStart"/>
      <w:r w:rsidRPr="0064499F">
        <w:rPr>
          <w:sz w:val="24"/>
          <w:szCs w:val="24"/>
        </w:rPr>
        <w:t>desfluran</w:t>
      </w:r>
      <w:proofErr w:type="spellEnd"/>
      <w:r w:rsidRPr="0064499F">
        <w:rPr>
          <w:sz w:val="24"/>
          <w:szCs w:val="24"/>
        </w:rPr>
        <w:t>.</w:t>
      </w:r>
    </w:p>
    <w:p w14:paraId="49A65025" w14:textId="77777777" w:rsidR="0064499F" w:rsidRPr="0064499F" w:rsidRDefault="0064499F" w:rsidP="0064499F">
      <w:pPr>
        <w:tabs>
          <w:tab w:val="left" w:pos="851"/>
        </w:tabs>
        <w:ind w:left="851"/>
        <w:rPr>
          <w:sz w:val="24"/>
          <w:szCs w:val="24"/>
        </w:rPr>
      </w:pPr>
    </w:p>
    <w:p w14:paraId="0C5D7B6E" w14:textId="77777777" w:rsidR="0064499F" w:rsidRPr="0064499F" w:rsidRDefault="0064499F" w:rsidP="0064499F">
      <w:pPr>
        <w:tabs>
          <w:tab w:val="left" w:pos="851"/>
        </w:tabs>
        <w:ind w:left="851"/>
        <w:rPr>
          <w:sz w:val="24"/>
          <w:szCs w:val="24"/>
          <w:u w:val="single"/>
        </w:rPr>
      </w:pPr>
      <w:r w:rsidRPr="0064499F">
        <w:rPr>
          <w:sz w:val="24"/>
          <w:szCs w:val="24"/>
          <w:u w:val="single"/>
        </w:rPr>
        <w:t xml:space="preserve">Perioperativ </w:t>
      </w:r>
      <w:proofErr w:type="spellStart"/>
      <w:r w:rsidRPr="0064499F">
        <w:rPr>
          <w:sz w:val="24"/>
          <w:szCs w:val="24"/>
          <w:u w:val="single"/>
        </w:rPr>
        <w:t>hyperkaliæmi</w:t>
      </w:r>
      <w:proofErr w:type="spellEnd"/>
    </w:p>
    <w:p w14:paraId="7954D238" w14:textId="77777777" w:rsidR="0064499F" w:rsidRPr="0064499F" w:rsidRDefault="0064499F" w:rsidP="0064499F">
      <w:pPr>
        <w:tabs>
          <w:tab w:val="left" w:pos="851"/>
        </w:tabs>
        <w:ind w:left="851"/>
        <w:rPr>
          <w:sz w:val="24"/>
          <w:szCs w:val="24"/>
        </w:rPr>
      </w:pPr>
      <w:r w:rsidRPr="0064499F">
        <w:rPr>
          <w:sz w:val="24"/>
          <w:szCs w:val="24"/>
        </w:rPr>
        <w:t xml:space="preserve">Brug af </w:t>
      </w:r>
      <w:proofErr w:type="spellStart"/>
      <w:r w:rsidRPr="0064499F">
        <w:rPr>
          <w:sz w:val="24"/>
          <w:szCs w:val="24"/>
        </w:rPr>
        <w:t>inhalationsanæstetika</w:t>
      </w:r>
      <w:proofErr w:type="spellEnd"/>
      <w:r w:rsidRPr="0064499F">
        <w:rPr>
          <w:sz w:val="24"/>
          <w:szCs w:val="24"/>
        </w:rPr>
        <w:t xml:space="preserve"> har i sjældne tilfælde været forbundet med stigninger i serum-kalium, der har resulteret i </w:t>
      </w:r>
      <w:proofErr w:type="spellStart"/>
      <w:r w:rsidRPr="0064499F">
        <w:rPr>
          <w:sz w:val="24"/>
          <w:szCs w:val="24"/>
        </w:rPr>
        <w:t>hjertearytmi</w:t>
      </w:r>
      <w:proofErr w:type="spellEnd"/>
      <w:r w:rsidRPr="0064499F">
        <w:rPr>
          <w:sz w:val="24"/>
          <w:szCs w:val="24"/>
        </w:rPr>
        <w:t xml:space="preserve"> hos patienter i den postoperative periode, i nogle tilfælde med dødelig udgang. Patienter med latent, såvel som åbenbar </w:t>
      </w:r>
      <w:proofErr w:type="spellStart"/>
      <w:r w:rsidRPr="0064499F">
        <w:rPr>
          <w:sz w:val="24"/>
          <w:szCs w:val="24"/>
        </w:rPr>
        <w:t>neuromuskulær</w:t>
      </w:r>
      <w:proofErr w:type="spellEnd"/>
      <w:r w:rsidRPr="0064499F">
        <w:rPr>
          <w:sz w:val="24"/>
          <w:szCs w:val="24"/>
        </w:rPr>
        <w:t xml:space="preserve"> sygdom, specielt </w:t>
      </w:r>
      <w:proofErr w:type="spellStart"/>
      <w:r w:rsidRPr="0064499F">
        <w:rPr>
          <w:sz w:val="24"/>
          <w:szCs w:val="24"/>
        </w:rPr>
        <w:t>Duchennes</w:t>
      </w:r>
      <w:proofErr w:type="spellEnd"/>
      <w:r w:rsidRPr="0064499F">
        <w:rPr>
          <w:sz w:val="24"/>
          <w:szCs w:val="24"/>
        </w:rPr>
        <w:t xml:space="preserve"> muskeldystrofi, synes at være de mest </w:t>
      </w:r>
      <w:proofErr w:type="gramStart"/>
      <w:r w:rsidRPr="0064499F">
        <w:rPr>
          <w:sz w:val="24"/>
          <w:szCs w:val="24"/>
        </w:rPr>
        <w:t>sårbare..</w:t>
      </w:r>
      <w:proofErr w:type="gramEnd"/>
      <w:r w:rsidRPr="0064499F">
        <w:rPr>
          <w:sz w:val="24"/>
          <w:szCs w:val="24"/>
        </w:rPr>
        <w:t xml:space="preserve"> Brug af </w:t>
      </w:r>
      <w:proofErr w:type="spellStart"/>
      <w:r w:rsidRPr="0064499F">
        <w:rPr>
          <w:sz w:val="24"/>
          <w:szCs w:val="24"/>
        </w:rPr>
        <w:t>suxamethonium</w:t>
      </w:r>
      <w:proofErr w:type="spellEnd"/>
      <w:r w:rsidRPr="0064499F">
        <w:rPr>
          <w:sz w:val="24"/>
          <w:szCs w:val="24"/>
        </w:rPr>
        <w:t xml:space="preserve"> (</w:t>
      </w:r>
      <w:proofErr w:type="spellStart"/>
      <w:r w:rsidRPr="0064499F">
        <w:rPr>
          <w:sz w:val="24"/>
          <w:szCs w:val="24"/>
        </w:rPr>
        <w:t>succinylcholin</w:t>
      </w:r>
      <w:proofErr w:type="spellEnd"/>
      <w:r w:rsidRPr="0064499F">
        <w:rPr>
          <w:sz w:val="24"/>
          <w:szCs w:val="24"/>
        </w:rPr>
        <w:t xml:space="preserve">) er blevet forbundet med de fleste, men ikke alle, af disse tilfælde. Disse patienter viste tegn på muskelskade med øget koncentration af </w:t>
      </w:r>
      <w:proofErr w:type="spellStart"/>
      <w:r w:rsidRPr="0064499F">
        <w:rPr>
          <w:sz w:val="24"/>
          <w:szCs w:val="24"/>
        </w:rPr>
        <w:t>serumkreatininkinase</w:t>
      </w:r>
      <w:proofErr w:type="spellEnd"/>
      <w:r w:rsidRPr="0064499F">
        <w:rPr>
          <w:sz w:val="24"/>
          <w:szCs w:val="24"/>
        </w:rPr>
        <w:t xml:space="preserve"> og </w:t>
      </w:r>
      <w:proofErr w:type="spellStart"/>
      <w:r w:rsidRPr="0064499F">
        <w:rPr>
          <w:sz w:val="24"/>
          <w:szCs w:val="24"/>
        </w:rPr>
        <w:t>myoglobinuri</w:t>
      </w:r>
      <w:proofErr w:type="spellEnd"/>
      <w:r w:rsidRPr="0064499F">
        <w:rPr>
          <w:sz w:val="24"/>
          <w:szCs w:val="24"/>
        </w:rPr>
        <w:t xml:space="preserve">. På trods af </w:t>
      </w:r>
      <w:proofErr w:type="spellStart"/>
      <w:r w:rsidRPr="0064499F">
        <w:rPr>
          <w:sz w:val="24"/>
          <w:szCs w:val="24"/>
        </w:rPr>
        <w:t>similariteten</w:t>
      </w:r>
      <w:proofErr w:type="spellEnd"/>
      <w:r w:rsidRPr="0064499F">
        <w:rPr>
          <w:sz w:val="24"/>
          <w:szCs w:val="24"/>
        </w:rPr>
        <w:t xml:space="preserve"> med malign </w:t>
      </w:r>
      <w:proofErr w:type="spellStart"/>
      <w:r w:rsidRPr="0064499F">
        <w:rPr>
          <w:sz w:val="24"/>
          <w:szCs w:val="24"/>
        </w:rPr>
        <w:t>hypertermi</w:t>
      </w:r>
      <w:proofErr w:type="spellEnd"/>
      <w:r w:rsidRPr="0064499F">
        <w:rPr>
          <w:sz w:val="24"/>
          <w:szCs w:val="24"/>
        </w:rPr>
        <w:t xml:space="preserve"> udviste ingen af disse patienter tegn eller symptomer på muskelstivhed eller </w:t>
      </w:r>
      <w:proofErr w:type="spellStart"/>
      <w:r w:rsidRPr="0064499F">
        <w:rPr>
          <w:sz w:val="24"/>
          <w:szCs w:val="24"/>
        </w:rPr>
        <w:t>hypermetabolisk</w:t>
      </w:r>
      <w:proofErr w:type="spellEnd"/>
      <w:r w:rsidRPr="0064499F">
        <w:rPr>
          <w:sz w:val="24"/>
          <w:szCs w:val="24"/>
        </w:rPr>
        <w:t xml:space="preserve"> tilstand.</w:t>
      </w:r>
    </w:p>
    <w:p w14:paraId="4611B570" w14:textId="77777777" w:rsidR="0064499F" w:rsidRPr="0064499F" w:rsidRDefault="0064499F" w:rsidP="0064499F">
      <w:pPr>
        <w:tabs>
          <w:tab w:val="left" w:pos="851"/>
        </w:tabs>
        <w:ind w:left="851"/>
        <w:rPr>
          <w:sz w:val="24"/>
          <w:szCs w:val="24"/>
        </w:rPr>
      </w:pPr>
    </w:p>
    <w:p w14:paraId="306A76B6" w14:textId="77777777" w:rsidR="0064499F" w:rsidRPr="0064499F" w:rsidRDefault="0064499F" w:rsidP="0064499F">
      <w:pPr>
        <w:tabs>
          <w:tab w:val="left" w:pos="851"/>
        </w:tabs>
        <w:ind w:left="851"/>
        <w:rPr>
          <w:sz w:val="24"/>
          <w:szCs w:val="24"/>
        </w:rPr>
      </w:pPr>
      <w:r w:rsidRPr="0064499F">
        <w:rPr>
          <w:sz w:val="24"/>
          <w:szCs w:val="24"/>
        </w:rPr>
        <w:t xml:space="preserve">Der anbefales tidligt og aggressivt indgreb i behandlingen af </w:t>
      </w:r>
      <w:proofErr w:type="spellStart"/>
      <w:r w:rsidRPr="0064499F">
        <w:rPr>
          <w:sz w:val="24"/>
          <w:szCs w:val="24"/>
        </w:rPr>
        <w:t>hyperkaliæmi</w:t>
      </w:r>
      <w:proofErr w:type="spellEnd"/>
      <w:r w:rsidRPr="0064499F">
        <w:rPr>
          <w:sz w:val="24"/>
          <w:szCs w:val="24"/>
        </w:rPr>
        <w:t xml:space="preserve"> og resistent </w:t>
      </w:r>
      <w:proofErr w:type="spellStart"/>
      <w:r w:rsidRPr="0064499F">
        <w:rPr>
          <w:sz w:val="24"/>
          <w:szCs w:val="24"/>
        </w:rPr>
        <w:t>arytmi</w:t>
      </w:r>
      <w:proofErr w:type="spellEnd"/>
      <w:r w:rsidRPr="0064499F">
        <w:rPr>
          <w:sz w:val="24"/>
          <w:szCs w:val="24"/>
        </w:rPr>
        <w:t xml:space="preserve">, samt en efterfølgende vurdering af latent </w:t>
      </w:r>
      <w:proofErr w:type="spellStart"/>
      <w:r w:rsidRPr="0064499F">
        <w:rPr>
          <w:sz w:val="24"/>
          <w:szCs w:val="24"/>
        </w:rPr>
        <w:t>neuromuskulær</w:t>
      </w:r>
      <w:proofErr w:type="spellEnd"/>
      <w:r w:rsidRPr="0064499F">
        <w:rPr>
          <w:sz w:val="24"/>
          <w:szCs w:val="24"/>
        </w:rPr>
        <w:t xml:space="preserve"> sygdom.</w:t>
      </w:r>
    </w:p>
    <w:p w14:paraId="7F58E29B" w14:textId="77777777" w:rsidR="0064499F" w:rsidRPr="0064499F" w:rsidRDefault="0064499F" w:rsidP="0064499F">
      <w:pPr>
        <w:tabs>
          <w:tab w:val="left" w:pos="851"/>
        </w:tabs>
        <w:ind w:left="851"/>
        <w:rPr>
          <w:sz w:val="24"/>
          <w:szCs w:val="24"/>
          <w:lang w:val="nl-NL"/>
        </w:rPr>
      </w:pPr>
    </w:p>
    <w:p w14:paraId="0FFA40E2" w14:textId="77777777" w:rsidR="0064499F" w:rsidRPr="0064499F" w:rsidRDefault="0064499F" w:rsidP="0064499F">
      <w:pPr>
        <w:tabs>
          <w:tab w:val="left" w:pos="851"/>
        </w:tabs>
        <w:ind w:left="851"/>
        <w:rPr>
          <w:sz w:val="24"/>
          <w:szCs w:val="24"/>
          <w:u w:val="single"/>
        </w:rPr>
      </w:pPr>
      <w:r w:rsidRPr="0064499F">
        <w:rPr>
          <w:sz w:val="24"/>
          <w:szCs w:val="24"/>
          <w:u w:val="single"/>
        </w:rPr>
        <w:t>Obstetrik</w:t>
      </w:r>
    </w:p>
    <w:p w14:paraId="0E97D939" w14:textId="77777777" w:rsidR="0064499F" w:rsidRPr="0064499F" w:rsidRDefault="0064499F" w:rsidP="0064499F">
      <w:pPr>
        <w:tabs>
          <w:tab w:val="left" w:pos="851"/>
        </w:tabs>
        <w:ind w:left="851"/>
        <w:rPr>
          <w:sz w:val="24"/>
          <w:szCs w:val="24"/>
        </w:rPr>
      </w:pPr>
      <w:r w:rsidRPr="0064499F">
        <w:rPr>
          <w:sz w:val="24"/>
          <w:szCs w:val="24"/>
        </w:rPr>
        <w:t xml:space="preserve">På grund af det begrænsede antal undersøgte patienter er sikkerheden ved </w:t>
      </w:r>
      <w:proofErr w:type="spellStart"/>
      <w:r w:rsidRPr="0064499F">
        <w:rPr>
          <w:sz w:val="24"/>
          <w:szCs w:val="24"/>
        </w:rPr>
        <w:t>desfluran</w:t>
      </w:r>
      <w:proofErr w:type="spellEnd"/>
      <w:r w:rsidRPr="0064499F">
        <w:rPr>
          <w:sz w:val="24"/>
          <w:szCs w:val="24"/>
        </w:rPr>
        <w:t xml:space="preserve"> ikke blevet fastslået til brug i obstetriske procedurer. </w:t>
      </w:r>
      <w:proofErr w:type="spellStart"/>
      <w:r w:rsidRPr="0064499F">
        <w:rPr>
          <w:sz w:val="24"/>
          <w:szCs w:val="24"/>
        </w:rPr>
        <w:t>Desfluran</w:t>
      </w:r>
      <w:proofErr w:type="spellEnd"/>
      <w:r w:rsidRPr="0064499F">
        <w:rPr>
          <w:sz w:val="24"/>
          <w:szCs w:val="24"/>
        </w:rPr>
        <w:t xml:space="preserve"> virker afslappende på livmoderen og reducerer blodgennemstrømningen mellem livmoderen og placenta. (se punkt 4.6)</w:t>
      </w:r>
    </w:p>
    <w:p w14:paraId="72751F3E" w14:textId="77777777" w:rsidR="0064499F" w:rsidRPr="0064499F" w:rsidRDefault="0064499F" w:rsidP="0064499F">
      <w:pPr>
        <w:tabs>
          <w:tab w:val="left" w:pos="851"/>
        </w:tabs>
        <w:ind w:left="851"/>
        <w:rPr>
          <w:sz w:val="24"/>
          <w:szCs w:val="24"/>
        </w:rPr>
      </w:pPr>
    </w:p>
    <w:p w14:paraId="123C8EED" w14:textId="77777777" w:rsidR="0064499F" w:rsidRPr="0064499F" w:rsidRDefault="0064499F" w:rsidP="0064499F">
      <w:pPr>
        <w:tabs>
          <w:tab w:val="left" w:pos="851"/>
        </w:tabs>
        <w:ind w:left="851"/>
        <w:rPr>
          <w:sz w:val="24"/>
          <w:szCs w:val="24"/>
        </w:rPr>
      </w:pPr>
      <w:r w:rsidRPr="0064499F">
        <w:rPr>
          <w:sz w:val="24"/>
          <w:szCs w:val="24"/>
          <w:u w:val="single"/>
        </w:rPr>
        <w:t>Glukoseforhøjelse</w:t>
      </w:r>
    </w:p>
    <w:p w14:paraId="2031A409" w14:textId="77777777"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har været forbundet med en vis forhøjelse af glukose intraoperativt. </w:t>
      </w:r>
    </w:p>
    <w:p w14:paraId="2B6EBD5F" w14:textId="77777777" w:rsidR="0064499F" w:rsidRPr="0064499F" w:rsidRDefault="0064499F" w:rsidP="0064499F">
      <w:pPr>
        <w:tabs>
          <w:tab w:val="left" w:pos="851"/>
        </w:tabs>
        <w:ind w:left="851"/>
        <w:rPr>
          <w:sz w:val="24"/>
          <w:szCs w:val="24"/>
          <w:u w:val="single"/>
        </w:rPr>
      </w:pPr>
    </w:p>
    <w:p w14:paraId="52639FA8" w14:textId="77777777" w:rsidR="0064499F" w:rsidRPr="0064499F" w:rsidRDefault="0064499F" w:rsidP="0064499F">
      <w:pPr>
        <w:tabs>
          <w:tab w:val="left" w:pos="851"/>
        </w:tabs>
        <w:ind w:left="851"/>
        <w:rPr>
          <w:sz w:val="24"/>
          <w:szCs w:val="24"/>
        </w:rPr>
      </w:pPr>
      <w:r w:rsidRPr="0064499F">
        <w:rPr>
          <w:sz w:val="24"/>
          <w:szCs w:val="24"/>
          <w:u w:val="single"/>
        </w:rPr>
        <w:t>Virkninger på leveren</w:t>
      </w:r>
    </w:p>
    <w:p w14:paraId="7A3844C9" w14:textId="77777777" w:rsidR="0064499F" w:rsidRPr="0064499F" w:rsidRDefault="0064499F" w:rsidP="0064499F">
      <w:pPr>
        <w:tabs>
          <w:tab w:val="left" w:pos="851"/>
        </w:tabs>
        <w:ind w:left="851"/>
        <w:rPr>
          <w:sz w:val="24"/>
          <w:szCs w:val="24"/>
        </w:rPr>
      </w:pPr>
      <w:r w:rsidRPr="0064499F">
        <w:rPr>
          <w:sz w:val="24"/>
          <w:szCs w:val="24"/>
        </w:rPr>
        <w:t xml:space="preserve">Ved brug af </w:t>
      </w:r>
      <w:proofErr w:type="spellStart"/>
      <w:r w:rsidRPr="0064499F">
        <w:rPr>
          <w:sz w:val="24"/>
          <w:szCs w:val="24"/>
        </w:rPr>
        <w:t>halogenerede</w:t>
      </w:r>
      <w:proofErr w:type="spellEnd"/>
      <w:r w:rsidRPr="0064499F">
        <w:rPr>
          <w:sz w:val="24"/>
          <w:szCs w:val="24"/>
        </w:rPr>
        <w:t xml:space="preserve"> </w:t>
      </w:r>
      <w:proofErr w:type="spellStart"/>
      <w:r w:rsidRPr="0064499F">
        <w:rPr>
          <w:sz w:val="24"/>
          <w:szCs w:val="24"/>
        </w:rPr>
        <w:t>anæstetika</w:t>
      </w:r>
      <w:proofErr w:type="spellEnd"/>
      <w:r w:rsidRPr="0064499F">
        <w:rPr>
          <w:sz w:val="24"/>
          <w:szCs w:val="24"/>
        </w:rPr>
        <w:t xml:space="preserve"> er der rapporteret om forstyrrelse af leverfunktionen, </w:t>
      </w:r>
      <w:proofErr w:type="spellStart"/>
      <w:r w:rsidRPr="0064499F">
        <w:rPr>
          <w:sz w:val="24"/>
          <w:szCs w:val="24"/>
        </w:rPr>
        <w:t>ikterus</w:t>
      </w:r>
      <w:proofErr w:type="spellEnd"/>
      <w:r w:rsidRPr="0064499F">
        <w:rPr>
          <w:sz w:val="24"/>
          <w:szCs w:val="24"/>
        </w:rPr>
        <w:t xml:space="preserve"> og dødelig levernekrose: Sådanne reaktioner synes at indikere overfølsomhed. </w:t>
      </w:r>
      <w:proofErr w:type="spellStart"/>
      <w:r w:rsidRPr="0064499F">
        <w:rPr>
          <w:sz w:val="24"/>
          <w:szCs w:val="24"/>
        </w:rPr>
        <w:t>Desfluran</w:t>
      </w:r>
      <w:proofErr w:type="spellEnd"/>
      <w:r w:rsidRPr="0064499F">
        <w:rPr>
          <w:sz w:val="24"/>
          <w:szCs w:val="24"/>
        </w:rPr>
        <w:t xml:space="preserve"> kan forårsage sensitiv hepatitis hos patienter, der er blevet sensibiliseret ved tidligere eksponering for </w:t>
      </w:r>
      <w:proofErr w:type="spellStart"/>
      <w:r w:rsidRPr="0064499F">
        <w:rPr>
          <w:sz w:val="24"/>
          <w:szCs w:val="24"/>
        </w:rPr>
        <w:t>halogenerede</w:t>
      </w:r>
      <w:proofErr w:type="spellEnd"/>
      <w:r w:rsidRPr="0064499F">
        <w:rPr>
          <w:sz w:val="24"/>
          <w:szCs w:val="24"/>
        </w:rPr>
        <w:t xml:space="preserve"> </w:t>
      </w:r>
      <w:proofErr w:type="spellStart"/>
      <w:r w:rsidRPr="0064499F">
        <w:rPr>
          <w:sz w:val="24"/>
          <w:szCs w:val="24"/>
        </w:rPr>
        <w:t>anæstetika</w:t>
      </w:r>
      <w:proofErr w:type="spellEnd"/>
      <w:r w:rsidRPr="0064499F">
        <w:rPr>
          <w:sz w:val="24"/>
          <w:szCs w:val="24"/>
        </w:rPr>
        <w:t>.</w:t>
      </w:r>
    </w:p>
    <w:p w14:paraId="5BB3C296" w14:textId="77777777" w:rsidR="0064499F" w:rsidRPr="0064499F" w:rsidRDefault="0064499F" w:rsidP="0064499F">
      <w:pPr>
        <w:tabs>
          <w:tab w:val="left" w:pos="851"/>
        </w:tabs>
        <w:ind w:left="851"/>
        <w:rPr>
          <w:sz w:val="24"/>
          <w:szCs w:val="24"/>
        </w:rPr>
      </w:pPr>
      <w:r w:rsidRPr="0064499F">
        <w:rPr>
          <w:sz w:val="24"/>
          <w:szCs w:val="24"/>
        </w:rPr>
        <w:t xml:space="preserve">Cirrose, viral hepatitis eller anden eksisterende leversygdom kan være en grund til at vælge et andet </w:t>
      </w:r>
      <w:proofErr w:type="spellStart"/>
      <w:r w:rsidRPr="0064499F">
        <w:rPr>
          <w:sz w:val="24"/>
          <w:szCs w:val="24"/>
        </w:rPr>
        <w:t>anæstetikum</w:t>
      </w:r>
      <w:proofErr w:type="spellEnd"/>
      <w:r w:rsidRPr="0064499F">
        <w:rPr>
          <w:sz w:val="24"/>
          <w:szCs w:val="24"/>
        </w:rPr>
        <w:t xml:space="preserve"> end et </w:t>
      </w:r>
      <w:proofErr w:type="spellStart"/>
      <w:r w:rsidRPr="0064499F">
        <w:rPr>
          <w:sz w:val="24"/>
          <w:szCs w:val="24"/>
        </w:rPr>
        <w:t>halogeneret</w:t>
      </w:r>
      <w:proofErr w:type="spellEnd"/>
      <w:r w:rsidRPr="0064499F">
        <w:rPr>
          <w:sz w:val="24"/>
          <w:szCs w:val="24"/>
        </w:rPr>
        <w:t xml:space="preserve"> </w:t>
      </w:r>
      <w:proofErr w:type="spellStart"/>
      <w:r w:rsidRPr="0064499F">
        <w:rPr>
          <w:sz w:val="24"/>
          <w:szCs w:val="24"/>
        </w:rPr>
        <w:t>anæstetikum</w:t>
      </w:r>
      <w:proofErr w:type="spellEnd"/>
      <w:r w:rsidRPr="0064499F">
        <w:rPr>
          <w:sz w:val="24"/>
          <w:szCs w:val="24"/>
        </w:rPr>
        <w:t>.</w:t>
      </w:r>
    </w:p>
    <w:p w14:paraId="1A3CE02B" w14:textId="77777777" w:rsidR="0064499F" w:rsidRPr="0064499F" w:rsidRDefault="0064499F" w:rsidP="0064499F">
      <w:pPr>
        <w:tabs>
          <w:tab w:val="left" w:pos="851"/>
        </w:tabs>
        <w:ind w:left="851"/>
        <w:rPr>
          <w:sz w:val="24"/>
          <w:szCs w:val="24"/>
        </w:rPr>
      </w:pPr>
    </w:p>
    <w:p w14:paraId="2C7085C6" w14:textId="77777777" w:rsidR="0064499F" w:rsidRPr="0064499F" w:rsidRDefault="0064499F" w:rsidP="0064499F">
      <w:pPr>
        <w:tabs>
          <w:tab w:val="left" w:pos="851"/>
        </w:tabs>
        <w:ind w:left="851"/>
        <w:rPr>
          <w:sz w:val="24"/>
          <w:szCs w:val="24"/>
        </w:rPr>
      </w:pPr>
      <w:r w:rsidRPr="0064499F">
        <w:rPr>
          <w:sz w:val="24"/>
          <w:szCs w:val="24"/>
          <w:u w:val="single"/>
        </w:rPr>
        <w:t>Forhøjet tryk i cerebrospinalvæsken (CSFP)</w:t>
      </w:r>
    </w:p>
    <w:p w14:paraId="77913B84" w14:textId="77777777"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kan give en dosisafhængig stigning i cerebrospinalvæsketrykket (CSFP), når det administreres til patienter med pladsoptagende læsioner. Hos sådanne patienter bør </w:t>
      </w:r>
      <w:proofErr w:type="spellStart"/>
      <w:r w:rsidRPr="0064499F">
        <w:rPr>
          <w:sz w:val="24"/>
          <w:szCs w:val="24"/>
        </w:rPr>
        <w:t>desfluran</w:t>
      </w:r>
      <w:proofErr w:type="spellEnd"/>
      <w:r w:rsidRPr="0064499F">
        <w:rPr>
          <w:sz w:val="24"/>
          <w:szCs w:val="24"/>
        </w:rPr>
        <w:t xml:space="preserve"> administreres ved 0,8 MAC eller mindre, og i forbindelse med en barbiturat-induktion og hyperventilation indtil cerebral dekompression. Der skal udvises passende opmærksomhed for at opretholde det cerebrale </w:t>
      </w:r>
      <w:proofErr w:type="spellStart"/>
      <w:r w:rsidRPr="0064499F">
        <w:rPr>
          <w:sz w:val="24"/>
          <w:szCs w:val="24"/>
        </w:rPr>
        <w:t>perfusionstryk</w:t>
      </w:r>
      <w:proofErr w:type="spellEnd"/>
      <w:r w:rsidRPr="0064499F">
        <w:rPr>
          <w:sz w:val="24"/>
          <w:szCs w:val="24"/>
        </w:rPr>
        <w:t>.</w:t>
      </w:r>
    </w:p>
    <w:p w14:paraId="19A52F11" w14:textId="77777777" w:rsidR="0064499F" w:rsidRPr="0064499F" w:rsidRDefault="0064499F" w:rsidP="0064499F">
      <w:pPr>
        <w:tabs>
          <w:tab w:val="left" w:pos="851"/>
        </w:tabs>
        <w:ind w:left="851"/>
        <w:rPr>
          <w:sz w:val="24"/>
          <w:szCs w:val="24"/>
        </w:rPr>
      </w:pPr>
    </w:p>
    <w:p w14:paraId="710B593E" w14:textId="77777777" w:rsidR="0064499F" w:rsidRPr="0064499F" w:rsidRDefault="0064499F" w:rsidP="0064499F">
      <w:pPr>
        <w:tabs>
          <w:tab w:val="left" w:pos="851"/>
        </w:tabs>
        <w:ind w:left="851"/>
        <w:rPr>
          <w:sz w:val="24"/>
          <w:szCs w:val="24"/>
        </w:rPr>
      </w:pPr>
      <w:r w:rsidRPr="0064499F">
        <w:rPr>
          <w:sz w:val="24"/>
          <w:szCs w:val="24"/>
        </w:rPr>
        <w:t xml:space="preserve">I tilfælde af truende </w:t>
      </w:r>
      <w:proofErr w:type="spellStart"/>
      <w:r w:rsidRPr="0064499F">
        <w:rPr>
          <w:sz w:val="24"/>
          <w:szCs w:val="24"/>
        </w:rPr>
        <w:t>intrakraniel</w:t>
      </w:r>
      <w:proofErr w:type="spellEnd"/>
      <w:r w:rsidRPr="0064499F">
        <w:rPr>
          <w:sz w:val="24"/>
          <w:szCs w:val="24"/>
        </w:rPr>
        <w:t xml:space="preserve"> hypertension anbefales det ikke at bruge </w:t>
      </w:r>
      <w:proofErr w:type="spellStart"/>
      <w:r w:rsidRPr="0064499F">
        <w:rPr>
          <w:sz w:val="24"/>
          <w:szCs w:val="24"/>
        </w:rPr>
        <w:t>desfluran</w:t>
      </w:r>
      <w:proofErr w:type="spellEnd"/>
      <w:r w:rsidRPr="0064499F">
        <w:rPr>
          <w:sz w:val="24"/>
          <w:szCs w:val="24"/>
        </w:rPr>
        <w:t>.</w:t>
      </w:r>
    </w:p>
    <w:p w14:paraId="5B6B96F5" w14:textId="0DF21DD4" w:rsidR="0064499F" w:rsidRDefault="0064499F">
      <w:pPr>
        <w:rPr>
          <w:sz w:val="24"/>
          <w:szCs w:val="24"/>
        </w:rPr>
      </w:pPr>
      <w:r>
        <w:rPr>
          <w:sz w:val="24"/>
          <w:szCs w:val="24"/>
        </w:rPr>
        <w:br w:type="page"/>
      </w:r>
    </w:p>
    <w:p w14:paraId="1C6EFEA6" w14:textId="77777777" w:rsidR="0064499F" w:rsidRPr="0064499F" w:rsidRDefault="0064499F" w:rsidP="0064499F">
      <w:pPr>
        <w:tabs>
          <w:tab w:val="left" w:pos="851"/>
        </w:tabs>
        <w:ind w:left="851"/>
        <w:rPr>
          <w:sz w:val="24"/>
          <w:szCs w:val="24"/>
        </w:rPr>
      </w:pPr>
    </w:p>
    <w:p w14:paraId="498B2386" w14:textId="77777777" w:rsidR="0064499F" w:rsidRPr="0064499F" w:rsidRDefault="0064499F" w:rsidP="0064499F">
      <w:pPr>
        <w:tabs>
          <w:tab w:val="left" w:pos="851"/>
        </w:tabs>
        <w:ind w:left="851"/>
        <w:rPr>
          <w:sz w:val="24"/>
          <w:szCs w:val="24"/>
          <w:u w:val="single"/>
        </w:rPr>
      </w:pPr>
      <w:proofErr w:type="spellStart"/>
      <w:r w:rsidRPr="0064499F">
        <w:rPr>
          <w:sz w:val="24"/>
          <w:szCs w:val="24"/>
          <w:u w:val="single"/>
        </w:rPr>
        <w:t>Kardiovaskulær</w:t>
      </w:r>
      <w:proofErr w:type="spellEnd"/>
      <w:r w:rsidRPr="0064499F">
        <w:rPr>
          <w:sz w:val="24"/>
          <w:szCs w:val="24"/>
          <w:u w:val="single"/>
        </w:rPr>
        <w:t xml:space="preserve"> sygdom</w:t>
      </w:r>
    </w:p>
    <w:p w14:paraId="6D0AD64A" w14:textId="77777777" w:rsidR="0064499F" w:rsidRPr="0064499F" w:rsidRDefault="0064499F" w:rsidP="0064499F">
      <w:pPr>
        <w:tabs>
          <w:tab w:val="left" w:pos="851"/>
        </w:tabs>
        <w:ind w:left="851"/>
        <w:rPr>
          <w:sz w:val="24"/>
          <w:szCs w:val="24"/>
        </w:rPr>
      </w:pPr>
      <w:r w:rsidRPr="0064499F">
        <w:rPr>
          <w:sz w:val="24"/>
          <w:szCs w:val="24"/>
        </w:rPr>
        <w:t xml:space="preserve">Hos patienter med </w:t>
      </w:r>
      <w:proofErr w:type="spellStart"/>
      <w:r w:rsidRPr="0064499F">
        <w:rPr>
          <w:sz w:val="24"/>
          <w:szCs w:val="24"/>
        </w:rPr>
        <w:t>koronar</w:t>
      </w:r>
      <w:proofErr w:type="spellEnd"/>
      <w:r w:rsidRPr="0064499F">
        <w:rPr>
          <w:sz w:val="24"/>
          <w:szCs w:val="24"/>
        </w:rPr>
        <w:t xml:space="preserve"> hjertesygdom er det vigtigt at opretholde </w:t>
      </w:r>
      <w:proofErr w:type="spellStart"/>
      <w:r w:rsidRPr="0064499F">
        <w:rPr>
          <w:sz w:val="24"/>
          <w:szCs w:val="24"/>
        </w:rPr>
        <w:t>hæmodynamisk</w:t>
      </w:r>
      <w:proofErr w:type="spellEnd"/>
      <w:r w:rsidRPr="0064499F">
        <w:rPr>
          <w:sz w:val="24"/>
          <w:szCs w:val="24"/>
        </w:rPr>
        <w:t xml:space="preserve"> stabilitet for at forhindre </w:t>
      </w:r>
      <w:proofErr w:type="spellStart"/>
      <w:r w:rsidRPr="0064499F">
        <w:rPr>
          <w:sz w:val="24"/>
          <w:szCs w:val="24"/>
        </w:rPr>
        <w:t>myokardieiskæmi</w:t>
      </w:r>
      <w:proofErr w:type="spellEnd"/>
      <w:r w:rsidRPr="0064499F">
        <w:rPr>
          <w:sz w:val="24"/>
          <w:szCs w:val="24"/>
        </w:rPr>
        <w:t xml:space="preserve">. Efter en hurtig stigning i </w:t>
      </w:r>
      <w:proofErr w:type="spellStart"/>
      <w:r w:rsidRPr="0064499F">
        <w:rPr>
          <w:sz w:val="24"/>
          <w:szCs w:val="24"/>
        </w:rPr>
        <w:t>desflurankoncentrationen</w:t>
      </w:r>
      <w:proofErr w:type="spellEnd"/>
      <w:r w:rsidRPr="0064499F">
        <w:rPr>
          <w:sz w:val="24"/>
          <w:szCs w:val="24"/>
        </w:rPr>
        <w:t xml:space="preserve"> er der set markant stigning i pulsfrekvens, middel arterielt tryk og adrenalin- og </w:t>
      </w:r>
      <w:proofErr w:type="spellStart"/>
      <w:r w:rsidRPr="0064499F">
        <w:rPr>
          <w:sz w:val="24"/>
          <w:szCs w:val="24"/>
        </w:rPr>
        <w:t>noradrenalinniveauer</w:t>
      </w:r>
      <w:proofErr w:type="spellEnd"/>
      <w:r w:rsidRPr="0064499F">
        <w:rPr>
          <w:sz w:val="24"/>
          <w:szCs w:val="24"/>
        </w:rPr>
        <w:t xml:space="preserve">. </w:t>
      </w:r>
      <w:proofErr w:type="spellStart"/>
      <w:r w:rsidRPr="0064499F">
        <w:rPr>
          <w:sz w:val="24"/>
          <w:szCs w:val="24"/>
        </w:rPr>
        <w:t>Desfluran</w:t>
      </w:r>
      <w:proofErr w:type="spellEnd"/>
      <w:r w:rsidRPr="0064499F">
        <w:rPr>
          <w:sz w:val="24"/>
          <w:szCs w:val="24"/>
        </w:rPr>
        <w:t xml:space="preserve"> bør ikke anvendes som det eneste middel til anæstesi hos patienter med risiko for </w:t>
      </w:r>
      <w:proofErr w:type="spellStart"/>
      <w:r w:rsidRPr="0064499F">
        <w:rPr>
          <w:sz w:val="24"/>
          <w:szCs w:val="24"/>
        </w:rPr>
        <w:t>koronar</w:t>
      </w:r>
      <w:proofErr w:type="spellEnd"/>
      <w:r w:rsidRPr="0064499F">
        <w:rPr>
          <w:sz w:val="24"/>
          <w:szCs w:val="24"/>
        </w:rPr>
        <w:t xml:space="preserve"> hjertesygdom eller til patienter, hvor en øget hjertefrekvens eller forhøjet blodtryk ikke er ønskelig. Det kan bruges sammen med andre lægemidler, fortrinsvis intravenøse opioider og </w:t>
      </w:r>
      <w:proofErr w:type="spellStart"/>
      <w:r w:rsidRPr="0064499F">
        <w:rPr>
          <w:sz w:val="24"/>
          <w:szCs w:val="24"/>
        </w:rPr>
        <w:t>hypnotika</w:t>
      </w:r>
      <w:proofErr w:type="spellEnd"/>
      <w:r w:rsidRPr="0064499F">
        <w:rPr>
          <w:sz w:val="24"/>
          <w:szCs w:val="24"/>
        </w:rPr>
        <w:t>.</w:t>
      </w:r>
    </w:p>
    <w:p w14:paraId="53CBBDDB" w14:textId="77777777" w:rsidR="0064499F" w:rsidRPr="0064499F" w:rsidRDefault="0064499F" w:rsidP="0064499F">
      <w:pPr>
        <w:tabs>
          <w:tab w:val="left" w:pos="851"/>
        </w:tabs>
        <w:ind w:left="851"/>
        <w:rPr>
          <w:sz w:val="24"/>
          <w:szCs w:val="24"/>
        </w:rPr>
      </w:pPr>
    </w:p>
    <w:p w14:paraId="4A3F66D4" w14:textId="77777777" w:rsidR="0064499F" w:rsidRPr="0064499F" w:rsidRDefault="0064499F" w:rsidP="0064499F">
      <w:pPr>
        <w:tabs>
          <w:tab w:val="left" w:pos="851"/>
        </w:tabs>
        <w:ind w:left="851"/>
        <w:rPr>
          <w:sz w:val="24"/>
          <w:szCs w:val="24"/>
        </w:rPr>
      </w:pPr>
      <w:r w:rsidRPr="0064499F">
        <w:rPr>
          <w:sz w:val="24"/>
          <w:szCs w:val="24"/>
        </w:rPr>
        <w:t>Under vedligeholdelse af anæstesi er stigninger i hjertefrekvens og blodtryk, der opstår efter hurtige trinvisestigninger i end-</w:t>
      </w:r>
      <w:proofErr w:type="spellStart"/>
      <w:r w:rsidRPr="0064499F">
        <w:rPr>
          <w:sz w:val="24"/>
          <w:szCs w:val="24"/>
        </w:rPr>
        <w:t>tidal</w:t>
      </w:r>
      <w:proofErr w:type="spellEnd"/>
      <w:r w:rsidRPr="0064499F">
        <w:rPr>
          <w:sz w:val="24"/>
          <w:szCs w:val="24"/>
        </w:rPr>
        <w:t xml:space="preserve">-koncentration af </w:t>
      </w:r>
      <w:proofErr w:type="spellStart"/>
      <w:r w:rsidRPr="0064499F">
        <w:rPr>
          <w:sz w:val="24"/>
          <w:szCs w:val="24"/>
        </w:rPr>
        <w:t>desfluran</w:t>
      </w:r>
      <w:proofErr w:type="spellEnd"/>
      <w:r w:rsidRPr="0064499F">
        <w:rPr>
          <w:sz w:val="24"/>
          <w:szCs w:val="24"/>
        </w:rPr>
        <w:t xml:space="preserve">, ikke nødvendigvis udtryk for utilstrækkelig anæstesi. De ændringer, der skyldes sympatisk aktivering, går i sig selv i løbet af ca. 4 minutter. Stigninger i hjertefrekvens og blodtryk, der forekommer før eller uden en hurtig stigning i </w:t>
      </w:r>
      <w:proofErr w:type="spellStart"/>
      <w:r w:rsidRPr="0064499F">
        <w:rPr>
          <w:sz w:val="24"/>
          <w:szCs w:val="24"/>
        </w:rPr>
        <w:t>desflurankoncentrationen</w:t>
      </w:r>
      <w:proofErr w:type="spellEnd"/>
      <w:r w:rsidRPr="0064499F">
        <w:rPr>
          <w:sz w:val="24"/>
          <w:szCs w:val="24"/>
        </w:rPr>
        <w:t>, kan tolkes som let anæstesi.</w:t>
      </w:r>
    </w:p>
    <w:p w14:paraId="7D58BEE9" w14:textId="77777777" w:rsidR="0064499F" w:rsidRPr="0064499F" w:rsidRDefault="0064499F" w:rsidP="0064499F">
      <w:pPr>
        <w:tabs>
          <w:tab w:val="left" w:pos="851"/>
        </w:tabs>
        <w:ind w:left="851"/>
        <w:rPr>
          <w:sz w:val="24"/>
          <w:szCs w:val="24"/>
        </w:rPr>
      </w:pPr>
    </w:p>
    <w:p w14:paraId="50A0E010" w14:textId="77777777" w:rsidR="0064499F" w:rsidRPr="0064499F" w:rsidRDefault="0064499F" w:rsidP="0064499F">
      <w:pPr>
        <w:tabs>
          <w:tab w:val="left" w:pos="851"/>
        </w:tabs>
        <w:ind w:left="851"/>
        <w:rPr>
          <w:sz w:val="24"/>
          <w:szCs w:val="24"/>
        </w:rPr>
      </w:pPr>
      <w:r w:rsidRPr="0064499F">
        <w:rPr>
          <w:sz w:val="24"/>
          <w:szCs w:val="24"/>
        </w:rPr>
        <w:t>Hypotension og respirationsdepression øges i takt med, at anæstesien bliver dybere.</w:t>
      </w:r>
    </w:p>
    <w:p w14:paraId="46C0A38C" w14:textId="77777777" w:rsidR="0064499F" w:rsidRPr="0064499F" w:rsidRDefault="0064499F" w:rsidP="0064499F">
      <w:pPr>
        <w:tabs>
          <w:tab w:val="left" w:pos="851"/>
        </w:tabs>
        <w:ind w:left="851"/>
        <w:rPr>
          <w:sz w:val="24"/>
          <w:szCs w:val="24"/>
        </w:rPr>
      </w:pPr>
    </w:p>
    <w:p w14:paraId="674F149D" w14:textId="77777777" w:rsidR="0064499F" w:rsidRPr="0064499F" w:rsidRDefault="0064499F" w:rsidP="0064499F">
      <w:pPr>
        <w:tabs>
          <w:tab w:val="left" w:pos="851"/>
        </w:tabs>
        <w:ind w:left="851"/>
        <w:rPr>
          <w:sz w:val="24"/>
          <w:szCs w:val="24"/>
        </w:rPr>
      </w:pPr>
      <w:r w:rsidRPr="0064499F">
        <w:rPr>
          <w:sz w:val="24"/>
          <w:szCs w:val="24"/>
        </w:rPr>
        <w:t xml:space="preserve">Der blev observeret </w:t>
      </w:r>
      <w:proofErr w:type="spellStart"/>
      <w:r w:rsidRPr="0064499F">
        <w:rPr>
          <w:sz w:val="24"/>
          <w:szCs w:val="24"/>
        </w:rPr>
        <w:t>arytmi</w:t>
      </w:r>
      <w:proofErr w:type="spellEnd"/>
      <w:r w:rsidRPr="0064499F">
        <w:rPr>
          <w:sz w:val="24"/>
          <w:szCs w:val="24"/>
        </w:rPr>
        <w:t xml:space="preserve"> i forbindelse med brugen af </w:t>
      </w:r>
      <w:proofErr w:type="spellStart"/>
      <w:r w:rsidRPr="0064499F">
        <w:rPr>
          <w:sz w:val="24"/>
          <w:szCs w:val="24"/>
        </w:rPr>
        <w:t>desfluran</w:t>
      </w:r>
      <w:proofErr w:type="spellEnd"/>
      <w:r w:rsidRPr="0064499F">
        <w:rPr>
          <w:sz w:val="24"/>
          <w:szCs w:val="24"/>
        </w:rPr>
        <w:t xml:space="preserve">. Alle patienter, der bedøves med </w:t>
      </w:r>
      <w:proofErr w:type="spellStart"/>
      <w:r w:rsidRPr="0064499F">
        <w:rPr>
          <w:sz w:val="24"/>
          <w:szCs w:val="24"/>
        </w:rPr>
        <w:t>desfluran</w:t>
      </w:r>
      <w:proofErr w:type="spellEnd"/>
      <w:r w:rsidRPr="0064499F">
        <w:rPr>
          <w:sz w:val="24"/>
          <w:szCs w:val="24"/>
        </w:rPr>
        <w:t>, skal overvåges konstant. Parametre som EKG, blodtryk, iltmætning og pCO2 ved udånding skal overvåges i et miljø, hvor der er et komplet sæt genoplivningsudstyr til rådighed, og personalet er uddannet i genoplivningsteknikker.</w:t>
      </w:r>
    </w:p>
    <w:p w14:paraId="5FD6B44F" w14:textId="77777777" w:rsidR="0064499F" w:rsidRPr="0064499F" w:rsidRDefault="0064499F" w:rsidP="0064499F">
      <w:pPr>
        <w:tabs>
          <w:tab w:val="left" w:pos="851"/>
        </w:tabs>
        <w:ind w:left="851"/>
        <w:rPr>
          <w:sz w:val="24"/>
          <w:szCs w:val="24"/>
        </w:rPr>
      </w:pPr>
    </w:p>
    <w:p w14:paraId="4AD01C68" w14:textId="77777777" w:rsidR="0064499F" w:rsidRPr="0064499F" w:rsidRDefault="0064499F" w:rsidP="0064499F">
      <w:pPr>
        <w:tabs>
          <w:tab w:val="left" w:pos="851"/>
        </w:tabs>
        <w:ind w:left="851"/>
        <w:rPr>
          <w:sz w:val="24"/>
          <w:szCs w:val="24"/>
        </w:rPr>
      </w:pPr>
      <w:r w:rsidRPr="0064499F">
        <w:rPr>
          <w:sz w:val="24"/>
          <w:szCs w:val="24"/>
          <w:u w:val="single"/>
        </w:rPr>
        <w:t>Anvendelse sammen med kuldioxid (CO</w:t>
      </w:r>
      <w:r w:rsidRPr="0064499F">
        <w:rPr>
          <w:sz w:val="24"/>
          <w:szCs w:val="24"/>
          <w:u w:val="single"/>
          <w:vertAlign w:val="subscript"/>
        </w:rPr>
        <w:t>2</w:t>
      </w:r>
      <w:r w:rsidRPr="0064499F">
        <w:rPr>
          <w:sz w:val="24"/>
          <w:szCs w:val="24"/>
          <w:u w:val="single"/>
        </w:rPr>
        <w:t>)</w:t>
      </w:r>
    </w:p>
    <w:p w14:paraId="7235FDBE" w14:textId="77777777"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kan reagere med tørre kuldioxid (</w:t>
      </w:r>
      <w:proofErr w:type="gramStart"/>
      <w:r w:rsidRPr="0064499F">
        <w:rPr>
          <w:sz w:val="24"/>
          <w:szCs w:val="24"/>
        </w:rPr>
        <w:t>CO2)-</w:t>
      </w:r>
      <w:proofErr w:type="gramEnd"/>
      <w:r w:rsidRPr="0064499F">
        <w:rPr>
          <w:sz w:val="24"/>
          <w:szCs w:val="24"/>
        </w:rPr>
        <w:t xml:space="preserve">absorbere og danne kulilte, som kan resultere i forhøjede niveauer af </w:t>
      </w:r>
      <w:proofErr w:type="spellStart"/>
      <w:r w:rsidRPr="0064499F">
        <w:rPr>
          <w:sz w:val="24"/>
          <w:szCs w:val="24"/>
        </w:rPr>
        <w:t>carboxyhæmoglobin</w:t>
      </w:r>
      <w:proofErr w:type="spellEnd"/>
      <w:r w:rsidRPr="0064499F">
        <w:rPr>
          <w:sz w:val="24"/>
          <w:szCs w:val="24"/>
        </w:rPr>
        <w:t xml:space="preserve"> hos nogle patienter. Der er eksempler på, at bariumhydroxidkalk og sodakalk tørrer ud, når friske gasser ledes gennem CO2-beholderen ved høje flowhastigheder over mange timer eller dage. Dannelsen af CO er ikke klinisk signifikant, når </w:t>
      </w:r>
      <w:proofErr w:type="spellStart"/>
      <w:r w:rsidRPr="0064499F">
        <w:rPr>
          <w:sz w:val="24"/>
          <w:szCs w:val="24"/>
        </w:rPr>
        <w:t>absorberend</w:t>
      </w:r>
      <w:proofErr w:type="spellEnd"/>
      <w:r w:rsidRPr="0064499F">
        <w:rPr>
          <w:sz w:val="24"/>
          <w:szCs w:val="24"/>
        </w:rPr>
        <w:t xml:space="preserve"> er hydreret. Følg nøje producentens brugsanvisning for CO2-absorbere. Når </w:t>
      </w:r>
      <w:proofErr w:type="spellStart"/>
      <w:r w:rsidRPr="0064499F">
        <w:rPr>
          <w:sz w:val="24"/>
          <w:szCs w:val="24"/>
        </w:rPr>
        <w:t>anæstetisten</w:t>
      </w:r>
      <w:proofErr w:type="spellEnd"/>
      <w:r w:rsidRPr="0064499F">
        <w:rPr>
          <w:sz w:val="24"/>
          <w:szCs w:val="24"/>
        </w:rPr>
        <w:t xml:space="preserve"> mistænker, at en CO</w:t>
      </w:r>
      <w:r w:rsidRPr="0064499F">
        <w:rPr>
          <w:sz w:val="24"/>
          <w:szCs w:val="24"/>
          <w:vertAlign w:val="subscript"/>
        </w:rPr>
        <w:t>2</w:t>
      </w:r>
      <w:r w:rsidRPr="0064499F">
        <w:rPr>
          <w:sz w:val="24"/>
          <w:szCs w:val="24"/>
        </w:rPr>
        <w:t xml:space="preserve"> </w:t>
      </w:r>
      <w:proofErr w:type="spellStart"/>
      <w:r w:rsidRPr="0064499F">
        <w:rPr>
          <w:sz w:val="24"/>
          <w:szCs w:val="24"/>
        </w:rPr>
        <w:t>absorbent</w:t>
      </w:r>
      <w:proofErr w:type="spellEnd"/>
      <w:r w:rsidRPr="0064499F">
        <w:rPr>
          <w:sz w:val="24"/>
          <w:szCs w:val="24"/>
        </w:rPr>
        <w:t xml:space="preserve"> kan være tør, skal den udskiftes før administration af </w:t>
      </w:r>
      <w:proofErr w:type="spellStart"/>
      <w:r w:rsidRPr="0064499F">
        <w:rPr>
          <w:sz w:val="24"/>
          <w:szCs w:val="24"/>
        </w:rPr>
        <w:t>desfluran</w:t>
      </w:r>
      <w:proofErr w:type="spellEnd"/>
      <w:r w:rsidRPr="0064499F">
        <w:rPr>
          <w:sz w:val="24"/>
          <w:szCs w:val="24"/>
        </w:rPr>
        <w:t xml:space="preserve"> </w:t>
      </w:r>
    </w:p>
    <w:p w14:paraId="1C545797" w14:textId="77777777" w:rsidR="0064499F" w:rsidRPr="0064499F" w:rsidRDefault="0064499F" w:rsidP="0064499F">
      <w:pPr>
        <w:tabs>
          <w:tab w:val="left" w:pos="851"/>
        </w:tabs>
        <w:ind w:left="851"/>
        <w:rPr>
          <w:sz w:val="24"/>
          <w:szCs w:val="24"/>
          <w:u w:val="single"/>
        </w:rPr>
      </w:pPr>
      <w:r w:rsidRPr="0064499F">
        <w:rPr>
          <w:sz w:val="24"/>
          <w:szCs w:val="24"/>
          <w:u w:val="single"/>
        </w:rPr>
        <w:t>Postanæstetiske smerter</w:t>
      </w:r>
    </w:p>
    <w:p w14:paraId="6AB0EF2E" w14:textId="77777777" w:rsidR="0064499F" w:rsidRPr="0064499F" w:rsidRDefault="0064499F" w:rsidP="0064499F">
      <w:pPr>
        <w:tabs>
          <w:tab w:val="left" w:pos="851"/>
        </w:tabs>
        <w:ind w:left="851"/>
        <w:rPr>
          <w:sz w:val="24"/>
          <w:szCs w:val="24"/>
        </w:rPr>
      </w:pPr>
      <w:r w:rsidRPr="0064499F">
        <w:rPr>
          <w:sz w:val="24"/>
          <w:szCs w:val="24"/>
        </w:rPr>
        <w:t xml:space="preserve">Hurtig opvågning med </w:t>
      </w:r>
      <w:proofErr w:type="spellStart"/>
      <w:r w:rsidRPr="0064499F">
        <w:rPr>
          <w:sz w:val="24"/>
          <w:szCs w:val="24"/>
        </w:rPr>
        <w:t>desfluran</w:t>
      </w:r>
      <w:proofErr w:type="spellEnd"/>
      <w:r w:rsidRPr="0064499F">
        <w:rPr>
          <w:sz w:val="24"/>
          <w:szCs w:val="24"/>
        </w:rPr>
        <w:t xml:space="preserve"> bør tages i betragtning i tilfælde, hvor man forventer smerter efter anæstesien. Det er vigtigt at sørge for, at patienten har fået en passende analgesi ved afslutningen af indgrebet eller tidligt i opholdet på postanæstesiafdelingen.</w:t>
      </w:r>
    </w:p>
    <w:p w14:paraId="20D4A1D0" w14:textId="77777777" w:rsidR="0064499F" w:rsidRPr="0064499F" w:rsidRDefault="0064499F" w:rsidP="0064499F">
      <w:pPr>
        <w:tabs>
          <w:tab w:val="left" w:pos="851"/>
        </w:tabs>
        <w:ind w:left="851"/>
        <w:rPr>
          <w:sz w:val="24"/>
          <w:szCs w:val="24"/>
        </w:rPr>
      </w:pPr>
    </w:p>
    <w:p w14:paraId="185063D5" w14:textId="77777777" w:rsidR="0064499F" w:rsidRPr="0064499F" w:rsidRDefault="0064499F" w:rsidP="0064499F">
      <w:pPr>
        <w:tabs>
          <w:tab w:val="left" w:pos="851"/>
        </w:tabs>
        <w:ind w:left="851"/>
        <w:rPr>
          <w:sz w:val="24"/>
          <w:szCs w:val="24"/>
          <w:lang w:val="nl-NL"/>
        </w:rPr>
      </w:pPr>
      <w:r w:rsidRPr="0064499F">
        <w:rPr>
          <w:sz w:val="24"/>
          <w:szCs w:val="24"/>
          <w:u w:val="single"/>
        </w:rPr>
        <w:t>Generelle forholdsregler</w:t>
      </w:r>
    </w:p>
    <w:p w14:paraId="6AF1375A" w14:textId="77777777" w:rsidR="0064499F" w:rsidRPr="0064499F" w:rsidRDefault="0064499F" w:rsidP="0064499F">
      <w:pPr>
        <w:tabs>
          <w:tab w:val="left" w:pos="851"/>
        </w:tabs>
        <w:ind w:left="851"/>
        <w:rPr>
          <w:sz w:val="24"/>
          <w:szCs w:val="24"/>
        </w:rPr>
      </w:pPr>
      <w:r w:rsidRPr="0064499F">
        <w:rPr>
          <w:sz w:val="24"/>
          <w:szCs w:val="24"/>
        </w:rPr>
        <w:t>Gentagen anæstesi inden for en kort periode bør foretages med forsigtighed.</w:t>
      </w:r>
    </w:p>
    <w:p w14:paraId="42E56CE2" w14:textId="77777777" w:rsidR="0064499F" w:rsidRPr="0064499F" w:rsidRDefault="0064499F" w:rsidP="0064499F">
      <w:pPr>
        <w:tabs>
          <w:tab w:val="left" w:pos="851"/>
        </w:tabs>
        <w:ind w:left="851"/>
        <w:rPr>
          <w:sz w:val="24"/>
          <w:szCs w:val="24"/>
        </w:rPr>
      </w:pPr>
      <w:r w:rsidRPr="0064499F">
        <w:rPr>
          <w:sz w:val="24"/>
          <w:szCs w:val="24"/>
        </w:rPr>
        <w:t xml:space="preserve">Virkningerne af </w:t>
      </w:r>
      <w:proofErr w:type="spellStart"/>
      <w:r w:rsidRPr="0064499F">
        <w:rPr>
          <w:sz w:val="24"/>
          <w:szCs w:val="24"/>
        </w:rPr>
        <w:t>desfluran</w:t>
      </w:r>
      <w:proofErr w:type="spellEnd"/>
      <w:r w:rsidRPr="0064499F">
        <w:rPr>
          <w:sz w:val="24"/>
          <w:szCs w:val="24"/>
        </w:rPr>
        <w:t xml:space="preserve"> hos patienter med </w:t>
      </w:r>
      <w:proofErr w:type="spellStart"/>
      <w:r w:rsidRPr="0064499F">
        <w:rPr>
          <w:sz w:val="24"/>
          <w:szCs w:val="24"/>
        </w:rPr>
        <w:t>hypovolæmi</w:t>
      </w:r>
      <w:proofErr w:type="spellEnd"/>
      <w:r w:rsidRPr="0064499F">
        <w:rPr>
          <w:sz w:val="24"/>
          <w:szCs w:val="24"/>
        </w:rPr>
        <w:t>, hypotension eller dårlig almentilstand er ikke blevet grundigt undersøgt. Hos disse patienter anbefales det at reducere koncentrationerne.</w:t>
      </w:r>
    </w:p>
    <w:p w14:paraId="768EF73C" w14:textId="77777777"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bør ikke gives til patienter, der er tilbøjelige til </w:t>
      </w:r>
      <w:proofErr w:type="spellStart"/>
      <w:r w:rsidRPr="0064499F">
        <w:rPr>
          <w:sz w:val="24"/>
          <w:szCs w:val="24"/>
        </w:rPr>
        <w:t>bronkokonstriktion</w:t>
      </w:r>
      <w:proofErr w:type="spellEnd"/>
      <w:r w:rsidRPr="0064499F">
        <w:rPr>
          <w:sz w:val="24"/>
          <w:szCs w:val="24"/>
        </w:rPr>
        <w:t xml:space="preserve">, på grund af risikoen for </w:t>
      </w:r>
      <w:proofErr w:type="spellStart"/>
      <w:r w:rsidRPr="0064499F">
        <w:rPr>
          <w:sz w:val="24"/>
          <w:szCs w:val="24"/>
        </w:rPr>
        <w:t>bronkospasmer</w:t>
      </w:r>
      <w:proofErr w:type="spellEnd"/>
      <w:r w:rsidRPr="0064499F">
        <w:rPr>
          <w:sz w:val="24"/>
          <w:szCs w:val="24"/>
        </w:rPr>
        <w:t>.</w:t>
      </w:r>
    </w:p>
    <w:p w14:paraId="65AFB088" w14:textId="77777777" w:rsidR="0064499F" w:rsidRPr="0064499F" w:rsidRDefault="0064499F" w:rsidP="0064499F">
      <w:pPr>
        <w:tabs>
          <w:tab w:val="left" w:pos="851"/>
        </w:tabs>
        <w:ind w:left="851"/>
        <w:rPr>
          <w:sz w:val="24"/>
          <w:szCs w:val="24"/>
        </w:rPr>
      </w:pPr>
      <w:r w:rsidRPr="0064499F">
        <w:rPr>
          <w:sz w:val="24"/>
          <w:szCs w:val="24"/>
        </w:rPr>
        <w:t xml:space="preserve">En kontinuerlig </w:t>
      </w:r>
      <w:proofErr w:type="spellStart"/>
      <w:r w:rsidRPr="0064499F">
        <w:rPr>
          <w:sz w:val="24"/>
          <w:szCs w:val="24"/>
        </w:rPr>
        <w:t>excitering</w:t>
      </w:r>
      <w:proofErr w:type="spellEnd"/>
      <w:r w:rsidRPr="0064499F">
        <w:rPr>
          <w:sz w:val="24"/>
          <w:szCs w:val="24"/>
        </w:rPr>
        <w:t xml:space="preserve"> af kort varighed kan forekomme under induktion af anæstesi.</w:t>
      </w:r>
    </w:p>
    <w:p w14:paraId="20143570" w14:textId="77777777" w:rsidR="0064499F" w:rsidRPr="0064499F" w:rsidRDefault="0064499F" w:rsidP="0064499F">
      <w:pPr>
        <w:tabs>
          <w:tab w:val="left" w:pos="851"/>
        </w:tabs>
        <w:ind w:left="851"/>
        <w:rPr>
          <w:sz w:val="24"/>
          <w:szCs w:val="24"/>
        </w:rPr>
      </w:pPr>
    </w:p>
    <w:p w14:paraId="4252CFF8" w14:textId="77777777" w:rsidR="0064499F" w:rsidRPr="0064499F" w:rsidRDefault="0064499F" w:rsidP="0064499F">
      <w:pPr>
        <w:tabs>
          <w:tab w:val="left" w:pos="851"/>
        </w:tabs>
        <w:ind w:left="851"/>
        <w:rPr>
          <w:sz w:val="24"/>
          <w:szCs w:val="24"/>
          <w:u w:val="single"/>
        </w:rPr>
      </w:pPr>
      <w:r w:rsidRPr="0064499F">
        <w:rPr>
          <w:sz w:val="24"/>
          <w:szCs w:val="24"/>
          <w:u w:val="single"/>
        </w:rPr>
        <w:t>Operationer i mellemøret</w:t>
      </w:r>
    </w:p>
    <w:p w14:paraId="11D2E769" w14:textId="77777777"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samt andre, flygtige </w:t>
      </w:r>
      <w:proofErr w:type="spellStart"/>
      <w:r w:rsidRPr="0064499F">
        <w:rPr>
          <w:sz w:val="24"/>
          <w:szCs w:val="24"/>
        </w:rPr>
        <w:t>anæstetika</w:t>
      </w:r>
      <w:proofErr w:type="spellEnd"/>
      <w:r w:rsidRPr="0064499F">
        <w:rPr>
          <w:sz w:val="24"/>
          <w:szCs w:val="24"/>
        </w:rPr>
        <w:t xml:space="preserve"> øger trykket i mellemøret, især hos børn, og det anbefales derfor, at trykket i mellemøret overvåges under anæstesi med </w:t>
      </w:r>
      <w:proofErr w:type="spellStart"/>
      <w:r w:rsidRPr="0064499F">
        <w:rPr>
          <w:sz w:val="24"/>
          <w:szCs w:val="24"/>
        </w:rPr>
        <w:t>desfluran</w:t>
      </w:r>
      <w:proofErr w:type="spellEnd"/>
      <w:r w:rsidRPr="0064499F">
        <w:rPr>
          <w:sz w:val="24"/>
          <w:szCs w:val="24"/>
        </w:rPr>
        <w:t>.</w:t>
      </w:r>
    </w:p>
    <w:p w14:paraId="63046050" w14:textId="692BD55C" w:rsidR="0064499F" w:rsidRDefault="0064499F">
      <w:pPr>
        <w:rPr>
          <w:sz w:val="24"/>
          <w:szCs w:val="24"/>
        </w:rPr>
      </w:pPr>
      <w:r>
        <w:rPr>
          <w:sz w:val="24"/>
          <w:szCs w:val="24"/>
        </w:rPr>
        <w:br w:type="page"/>
      </w:r>
    </w:p>
    <w:p w14:paraId="51A506F5" w14:textId="77777777" w:rsidR="0064499F" w:rsidRPr="0064499F" w:rsidRDefault="0064499F" w:rsidP="0064499F">
      <w:pPr>
        <w:tabs>
          <w:tab w:val="left" w:pos="851"/>
        </w:tabs>
        <w:ind w:left="851"/>
        <w:rPr>
          <w:sz w:val="24"/>
          <w:szCs w:val="24"/>
        </w:rPr>
      </w:pPr>
    </w:p>
    <w:p w14:paraId="39EFCD9B" w14:textId="77777777" w:rsidR="0064499F" w:rsidRPr="0064499F" w:rsidRDefault="0064499F" w:rsidP="0064499F">
      <w:pPr>
        <w:tabs>
          <w:tab w:val="left" w:pos="851"/>
        </w:tabs>
        <w:ind w:left="851"/>
        <w:rPr>
          <w:sz w:val="24"/>
          <w:szCs w:val="24"/>
        </w:rPr>
      </w:pPr>
      <w:r w:rsidRPr="0064499F">
        <w:rPr>
          <w:sz w:val="24"/>
          <w:szCs w:val="24"/>
          <w:u w:val="single"/>
        </w:rPr>
        <w:t>Pædiatrisk population</w:t>
      </w:r>
    </w:p>
    <w:p w14:paraId="4BC4081E" w14:textId="77777777" w:rsidR="0064499F" w:rsidRPr="0064499F" w:rsidRDefault="0064499F" w:rsidP="0064499F">
      <w:pPr>
        <w:tabs>
          <w:tab w:val="left" w:pos="851"/>
        </w:tabs>
        <w:ind w:left="851"/>
        <w:rPr>
          <w:sz w:val="24"/>
          <w:szCs w:val="24"/>
        </w:rPr>
      </w:pPr>
      <w:proofErr w:type="spellStart"/>
      <w:r w:rsidRPr="0064499F">
        <w:rPr>
          <w:sz w:val="24"/>
          <w:szCs w:val="24"/>
        </w:rPr>
        <w:t>Desfluran</w:t>
      </w:r>
      <w:proofErr w:type="spellEnd"/>
      <w:r w:rsidRPr="0064499F">
        <w:rPr>
          <w:sz w:val="24"/>
          <w:szCs w:val="24"/>
        </w:rPr>
        <w:t xml:space="preserve"> er ikke indiceret til induktion af inhalationsanæstesi hos børn og spædbørn på grund af den hyppige forekomst af hoste, tilbageholdt åndedræt, apnø, </w:t>
      </w:r>
      <w:proofErr w:type="spellStart"/>
      <w:r w:rsidRPr="0064499F">
        <w:rPr>
          <w:sz w:val="24"/>
          <w:szCs w:val="24"/>
        </w:rPr>
        <w:t>laryngospasmer</w:t>
      </w:r>
      <w:proofErr w:type="spellEnd"/>
      <w:r w:rsidRPr="0064499F">
        <w:rPr>
          <w:sz w:val="24"/>
          <w:szCs w:val="24"/>
        </w:rPr>
        <w:t xml:space="preserve"> og øget sekretion.</w:t>
      </w:r>
    </w:p>
    <w:p w14:paraId="3A78338D" w14:textId="77777777" w:rsidR="0064499F" w:rsidRPr="0064499F" w:rsidRDefault="0064499F" w:rsidP="0064499F">
      <w:pPr>
        <w:tabs>
          <w:tab w:val="left" w:pos="851"/>
        </w:tabs>
        <w:ind w:left="851"/>
        <w:rPr>
          <w:sz w:val="24"/>
          <w:szCs w:val="24"/>
        </w:rPr>
      </w:pPr>
    </w:p>
    <w:p w14:paraId="305E7B18" w14:textId="77777777" w:rsidR="0064499F" w:rsidRPr="0064499F" w:rsidRDefault="0064499F" w:rsidP="0064499F">
      <w:pPr>
        <w:tabs>
          <w:tab w:val="left" w:pos="851"/>
        </w:tabs>
        <w:ind w:left="851"/>
        <w:rPr>
          <w:sz w:val="24"/>
          <w:szCs w:val="24"/>
        </w:rPr>
      </w:pPr>
      <w:r w:rsidRPr="0064499F">
        <w:rPr>
          <w:sz w:val="24"/>
          <w:szCs w:val="24"/>
        </w:rPr>
        <w:t xml:space="preserve">Der skal udvises forsigtighed, når </w:t>
      </w:r>
      <w:proofErr w:type="spellStart"/>
      <w:r w:rsidRPr="0064499F">
        <w:rPr>
          <w:sz w:val="24"/>
          <w:szCs w:val="24"/>
        </w:rPr>
        <w:t>desfluran</w:t>
      </w:r>
      <w:proofErr w:type="spellEnd"/>
      <w:r w:rsidRPr="0064499F">
        <w:rPr>
          <w:sz w:val="24"/>
          <w:szCs w:val="24"/>
        </w:rPr>
        <w:t xml:space="preserve"> anvendes til vedligeholdelse af anæstesi med </w:t>
      </w:r>
      <w:proofErr w:type="spellStart"/>
      <w:r w:rsidRPr="0064499F">
        <w:rPr>
          <w:sz w:val="24"/>
          <w:szCs w:val="24"/>
        </w:rPr>
        <w:t>larynxmaske</w:t>
      </w:r>
      <w:proofErr w:type="spellEnd"/>
      <w:r w:rsidRPr="0064499F">
        <w:rPr>
          <w:sz w:val="24"/>
          <w:szCs w:val="24"/>
        </w:rPr>
        <w:t xml:space="preserve"> (LMA) eller ansigtsmaske hos børn i alderen 6 år eller yngre på grund af øget risiko for uønskede respiratoriske hændelser, f.eks. hoste og </w:t>
      </w:r>
      <w:proofErr w:type="spellStart"/>
      <w:r w:rsidRPr="0064499F">
        <w:rPr>
          <w:sz w:val="24"/>
          <w:szCs w:val="24"/>
        </w:rPr>
        <w:t>laryngospasme</w:t>
      </w:r>
      <w:proofErr w:type="spellEnd"/>
      <w:r w:rsidRPr="0064499F">
        <w:rPr>
          <w:sz w:val="24"/>
          <w:szCs w:val="24"/>
        </w:rPr>
        <w:t>, især ved fjernelse af LMA efter dyb anæstesi.</w:t>
      </w:r>
    </w:p>
    <w:p w14:paraId="33A51D83" w14:textId="77777777" w:rsidR="0064499F" w:rsidRPr="0064499F" w:rsidRDefault="0064499F" w:rsidP="0064499F">
      <w:pPr>
        <w:tabs>
          <w:tab w:val="left" w:pos="851"/>
        </w:tabs>
        <w:ind w:left="851"/>
        <w:rPr>
          <w:sz w:val="24"/>
          <w:szCs w:val="24"/>
        </w:rPr>
      </w:pPr>
    </w:p>
    <w:p w14:paraId="606A039A" w14:textId="77777777" w:rsidR="0064499F" w:rsidRPr="0064499F" w:rsidRDefault="0064499F" w:rsidP="0064499F">
      <w:pPr>
        <w:tabs>
          <w:tab w:val="left" w:pos="851"/>
        </w:tabs>
        <w:ind w:left="851"/>
        <w:rPr>
          <w:sz w:val="24"/>
          <w:szCs w:val="24"/>
          <w:lang w:val="nl-NL"/>
        </w:rPr>
      </w:pPr>
      <w:proofErr w:type="spellStart"/>
      <w:r w:rsidRPr="0064499F">
        <w:rPr>
          <w:sz w:val="24"/>
          <w:szCs w:val="24"/>
        </w:rPr>
        <w:t>Desfluran</w:t>
      </w:r>
      <w:proofErr w:type="spellEnd"/>
      <w:r w:rsidRPr="0064499F">
        <w:rPr>
          <w:sz w:val="24"/>
          <w:szCs w:val="24"/>
        </w:rPr>
        <w:t xml:space="preserve"> er ikke indiceret til vedligeholdelse af anæstesi hos ikke-</w:t>
      </w:r>
      <w:proofErr w:type="spellStart"/>
      <w:r w:rsidRPr="0064499F">
        <w:rPr>
          <w:sz w:val="24"/>
          <w:szCs w:val="24"/>
        </w:rPr>
        <w:t>intuberede</w:t>
      </w:r>
      <w:proofErr w:type="spellEnd"/>
      <w:r w:rsidRPr="0064499F">
        <w:rPr>
          <w:sz w:val="24"/>
          <w:szCs w:val="24"/>
        </w:rPr>
        <w:t xml:space="preserve"> børn</w:t>
      </w:r>
    </w:p>
    <w:p w14:paraId="5E19230E" w14:textId="77777777" w:rsidR="0064499F" w:rsidRPr="0064499F" w:rsidRDefault="0064499F" w:rsidP="0064499F">
      <w:pPr>
        <w:tabs>
          <w:tab w:val="left" w:pos="851"/>
        </w:tabs>
        <w:ind w:left="851"/>
        <w:rPr>
          <w:sz w:val="24"/>
          <w:szCs w:val="24"/>
          <w:lang w:val="nl-NL"/>
        </w:rPr>
      </w:pPr>
    </w:p>
    <w:p w14:paraId="0562B073" w14:textId="77777777" w:rsidR="0064499F" w:rsidRPr="0064499F" w:rsidRDefault="0064499F" w:rsidP="0064499F">
      <w:pPr>
        <w:tabs>
          <w:tab w:val="left" w:pos="851"/>
        </w:tabs>
        <w:ind w:left="851"/>
        <w:rPr>
          <w:sz w:val="24"/>
          <w:szCs w:val="24"/>
          <w:lang w:val="nl-NL"/>
        </w:rPr>
      </w:pPr>
      <w:proofErr w:type="spellStart"/>
      <w:r w:rsidRPr="0064499F">
        <w:rPr>
          <w:sz w:val="24"/>
          <w:szCs w:val="24"/>
        </w:rPr>
        <w:t>Desfluran</w:t>
      </w:r>
      <w:proofErr w:type="spellEnd"/>
      <w:r w:rsidRPr="0064499F">
        <w:rPr>
          <w:sz w:val="24"/>
          <w:szCs w:val="24"/>
        </w:rPr>
        <w:t xml:space="preserve"> bør anvendes med forsigtighed hos børn med astma eller en nylig infektion i de øvre luftveje, da der kan være risiko for </w:t>
      </w:r>
      <w:proofErr w:type="spellStart"/>
      <w:r w:rsidRPr="0064499F">
        <w:rPr>
          <w:sz w:val="24"/>
          <w:szCs w:val="24"/>
        </w:rPr>
        <w:t>bronkokonstriktion</w:t>
      </w:r>
      <w:proofErr w:type="spellEnd"/>
      <w:r w:rsidRPr="0064499F">
        <w:rPr>
          <w:sz w:val="24"/>
          <w:szCs w:val="24"/>
        </w:rPr>
        <w:t xml:space="preserve"> og øget luftvejsmodstand.</w:t>
      </w:r>
    </w:p>
    <w:p w14:paraId="3617CF85" w14:textId="77777777" w:rsidR="0064499F" w:rsidRPr="0064499F" w:rsidRDefault="0064499F" w:rsidP="0064499F">
      <w:pPr>
        <w:tabs>
          <w:tab w:val="left" w:pos="851"/>
        </w:tabs>
        <w:ind w:left="851"/>
        <w:rPr>
          <w:sz w:val="24"/>
          <w:szCs w:val="24"/>
          <w:lang w:val="nl-NL"/>
        </w:rPr>
      </w:pPr>
    </w:p>
    <w:p w14:paraId="4A80ED71" w14:textId="77777777" w:rsidR="0064499F" w:rsidRPr="0064499F" w:rsidRDefault="0064499F" w:rsidP="0064499F">
      <w:pPr>
        <w:tabs>
          <w:tab w:val="left" w:pos="851"/>
        </w:tabs>
        <w:ind w:left="851"/>
        <w:rPr>
          <w:sz w:val="24"/>
          <w:szCs w:val="24"/>
          <w:lang w:val="nl-NL"/>
        </w:rPr>
      </w:pPr>
      <w:r w:rsidRPr="0064499F">
        <w:rPr>
          <w:sz w:val="24"/>
          <w:szCs w:val="24"/>
        </w:rPr>
        <w:t>Når børn kommer sig efter anæstesi, kan der opstå en kort periode med uro, som forhindrer samarbejde.</w:t>
      </w:r>
    </w:p>
    <w:p w14:paraId="4F21F6DE" w14:textId="77777777" w:rsidR="0064499F" w:rsidRPr="0064499F" w:rsidRDefault="0064499F" w:rsidP="0064499F">
      <w:pPr>
        <w:tabs>
          <w:tab w:val="left" w:pos="851"/>
        </w:tabs>
        <w:ind w:left="851"/>
        <w:rPr>
          <w:sz w:val="24"/>
          <w:szCs w:val="24"/>
          <w:lang w:val="nl-NL"/>
        </w:rPr>
      </w:pPr>
    </w:p>
    <w:p w14:paraId="65089549" w14:textId="77777777" w:rsidR="0064499F" w:rsidRPr="00D96F42" w:rsidRDefault="0064499F" w:rsidP="0064499F">
      <w:pPr>
        <w:tabs>
          <w:tab w:val="left" w:pos="851"/>
        </w:tabs>
        <w:ind w:left="851"/>
        <w:rPr>
          <w:sz w:val="24"/>
          <w:szCs w:val="24"/>
          <w:u w:val="single"/>
          <w:lang w:val="nl-NL"/>
        </w:rPr>
      </w:pPr>
      <w:r w:rsidRPr="00D96F42">
        <w:rPr>
          <w:sz w:val="24"/>
          <w:szCs w:val="24"/>
          <w:u w:val="single"/>
        </w:rPr>
        <w:t>Forlænget QT-interval</w:t>
      </w:r>
    </w:p>
    <w:p w14:paraId="54B47DD4" w14:textId="77777777" w:rsidR="0064499F" w:rsidRPr="0064499F" w:rsidRDefault="0064499F" w:rsidP="0064499F">
      <w:pPr>
        <w:tabs>
          <w:tab w:val="left" w:pos="851"/>
        </w:tabs>
        <w:ind w:left="851"/>
        <w:rPr>
          <w:sz w:val="24"/>
          <w:szCs w:val="24"/>
        </w:rPr>
      </w:pPr>
      <w:r w:rsidRPr="0064499F">
        <w:rPr>
          <w:sz w:val="24"/>
          <w:szCs w:val="24"/>
        </w:rPr>
        <w:t xml:space="preserve">Der har været rapporter om tilfælde af forlængelse af QT-intervallet, meget sjældent forbundet med </w:t>
      </w:r>
      <w:proofErr w:type="spellStart"/>
      <w:r w:rsidRPr="0064499F">
        <w:rPr>
          <w:sz w:val="24"/>
          <w:szCs w:val="24"/>
        </w:rPr>
        <w:t>Torsade</w:t>
      </w:r>
      <w:proofErr w:type="spellEnd"/>
      <w:r w:rsidRPr="0064499F">
        <w:rPr>
          <w:sz w:val="24"/>
          <w:szCs w:val="24"/>
        </w:rPr>
        <w:t xml:space="preserve"> de Pointes (se pkt. 4.8). Der skal udvises forsigtighed, når </w:t>
      </w:r>
      <w:proofErr w:type="spellStart"/>
      <w:r w:rsidRPr="0064499F">
        <w:rPr>
          <w:sz w:val="24"/>
          <w:szCs w:val="24"/>
        </w:rPr>
        <w:t>desfluran</w:t>
      </w:r>
      <w:proofErr w:type="spellEnd"/>
      <w:r w:rsidRPr="0064499F">
        <w:rPr>
          <w:sz w:val="24"/>
          <w:szCs w:val="24"/>
        </w:rPr>
        <w:t xml:space="preserve"> administreres til følsomme patienter.</w:t>
      </w:r>
    </w:p>
    <w:p w14:paraId="06A1105F" w14:textId="77777777" w:rsidR="009260DE" w:rsidRPr="00C84483" w:rsidRDefault="009260DE" w:rsidP="009260DE">
      <w:pPr>
        <w:tabs>
          <w:tab w:val="left" w:pos="851"/>
        </w:tabs>
        <w:ind w:left="851"/>
        <w:rPr>
          <w:sz w:val="24"/>
          <w:szCs w:val="24"/>
        </w:rPr>
      </w:pPr>
    </w:p>
    <w:p w14:paraId="6BFDC58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E1F23A3" w14:textId="77777777" w:rsidR="00143CD9" w:rsidRPr="00143CD9" w:rsidRDefault="00143CD9" w:rsidP="00143CD9">
      <w:pPr>
        <w:tabs>
          <w:tab w:val="left" w:pos="851"/>
        </w:tabs>
        <w:ind w:left="851"/>
        <w:rPr>
          <w:sz w:val="24"/>
          <w:szCs w:val="24"/>
        </w:rPr>
      </w:pPr>
      <w:r w:rsidRPr="00143CD9">
        <w:rPr>
          <w:sz w:val="24"/>
          <w:szCs w:val="24"/>
        </w:rPr>
        <w:t xml:space="preserve">Samtidig brug af lattergas nedsætter MAC for </w:t>
      </w:r>
      <w:proofErr w:type="spellStart"/>
      <w:r w:rsidRPr="00143CD9">
        <w:rPr>
          <w:sz w:val="24"/>
          <w:szCs w:val="24"/>
        </w:rPr>
        <w:t>desfluran</w:t>
      </w:r>
      <w:proofErr w:type="spellEnd"/>
      <w:r w:rsidRPr="00143CD9">
        <w:rPr>
          <w:sz w:val="24"/>
          <w:szCs w:val="24"/>
        </w:rPr>
        <w:t xml:space="preserve"> (se tabel 1). </w:t>
      </w:r>
    </w:p>
    <w:p w14:paraId="1BA6F810" w14:textId="77777777" w:rsidR="00143CD9" w:rsidRPr="00143CD9" w:rsidRDefault="00143CD9" w:rsidP="00143CD9">
      <w:pPr>
        <w:tabs>
          <w:tab w:val="left" w:pos="851"/>
        </w:tabs>
        <w:ind w:left="851"/>
        <w:rPr>
          <w:sz w:val="24"/>
          <w:szCs w:val="24"/>
          <w:u w:val="single"/>
        </w:rPr>
      </w:pPr>
    </w:p>
    <w:p w14:paraId="6F873B1A" w14:textId="77777777" w:rsidR="00143CD9" w:rsidRPr="00143CD9" w:rsidRDefault="00143CD9" w:rsidP="00143CD9">
      <w:pPr>
        <w:tabs>
          <w:tab w:val="left" w:pos="851"/>
        </w:tabs>
        <w:ind w:left="851"/>
        <w:rPr>
          <w:sz w:val="24"/>
          <w:szCs w:val="24"/>
        </w:rPr>
      </w:pPr>
      <w:proofErr w:type="spellStart"/>
      <w:r w:rsidRPr="00143CD9">
        <w:rPr>
          <w:sz w:val="24"/>
          <w:szCs w:val="24"/>
          <w:u w:val="single"/>
        </w:rPr>
        <w:t>Depolariserende</w:t>
      </w:r>
      <w:proofErr w:type="spellEnd"/>
      <w:r w:rsidRPr="00143CD9">
        <w:rPr>
          <w:sz w:val="24"/>
          <w:szCs w:val="24"/>
          <w:u w:val="single"/>
        </w:rPr>
        <w:t xml:space="preserve"> og ikke-</w:t>
      </w:r>
      <w:proofErr w:type="spellStart"/>
      <w:r w:rsidRPr="00143CD9">
        <w:rPr>
          <w:sz w:val="24"/>
          <w:szCs w:val="24"/>
          <w:u w:val="single"/>
        </w:rPr>
        <w:t>depolariserende</w:t>
      </w:r>
      <w:proofErr w:type="spellEnd"/>
      <w:r w:rsidRPr="00143CD9">
        <w:rPr>
          <w:sz w:val="24"/>
          <w:szCs w:val="24"/>
          <w:u w:val="single"/>
        </w:rPr>
        <w:t xml:space="preserve"> </w:t>
      </w:r>
      <w:proofErr w:type="spellStart"/>
      <w:r w:rsidRPr="00143CD9">
        <w:rPr>
          <w:sz w:val="24"/>
          <w:szCs w:val="24"/>
          <w:u w:val="single"/>
        </w:rPr>
        <w:t>muskelrelaksantia</w:t>
      </w:r>
      <w:proofErr w:type="spellEnd"/>
    </w:p>
    <w:p w14:paraId="5C9C11BA" w14:textId="77777777" w:rsidR="00143CD9" w:rsidRPr="00143CD9" w:rsidRDefault="00143CD9" w:rsidP="00143CD9">
      <w:pPr>
        <w:tabs>
          <w:tab w:val="left" w:pos="851"/>
        </w:tabs>
        <w:ind w:left="851"/>
        <w:rPr>
          <w:sz w:val="24"/>
          <w:szCs w:val="24"/>
        </w:rPr>
      </w:pPr>
      <w:r w:rsidRPr="00143CD9">
        <w:rPr>
          <w:sz w:val="24"/>
          <w:szCs w:val="24"/>
        </w:rPr>
        <w:t xml:space="preserve">Almindeligt anvendte muskelafslappende midler forstærkes af </w:t>
      </w:r>
      <w:proofErr w:type="spellStart"/>
      <w:r w:rsidRPr="00143CD9">
        <w:rPr>
          <w:sz w:val="24"/>
          <w:szCs w:val="24"/>
        </w:rPr>
        <w:t>desfluran</w:t>
      </w:r>
      <w:proofErr w:type="spellEnd"/>
      <w:r w:rsidRPr="00143CD9">
        <w:rPr>
          <w:sz w:val="24"/>
          <w:szCs w:val="24"/>
        </w:rPr>
        <w:t>.</w:t>
      </w:r>
    </w:p>
    <w:p w14:paraId="6A60EC7A" w14:textId="77777777" w:rsidR="00143CD9" w:rsidRPr="00143CD9" w:rsidRDefault="00143CD9" w:rsidP="00143CD9">
      <w:pPr>
        <w:tabs>
          <w:tab w:val="left" w:pos="851"/>
        </w:tabs>
        <w:ind w:left="851"/>
        <w:rPr>
          <w:sz w:val="24"/>
          <w:szCs w:val="24"/>
        </w:rPr>
      </w:pPr>
      <w:r w:rsidRPr="00143CD9">
        <w:rPr>
          <w:sz w:val="24"/>
          <w:szCs w:val="24"/>
        </w:rPr>
        <w:t xml:space="preserve">Anæstesikoncentrationer af </w:t>
      </w:r>
      <w:proofErr w:type="spellStart"/>
      <w:r w:rsidRPr="00143CD9">
        <w:rPr>
          <w:sz w:val="24"/>
          <w:szCs w:val="24"/>
        </w:rPr>
        <w:t>desfluran</w:t>
      </w:r>
      <w:proofErr w:type="spellEnd"/>
      <w:r w:rsidRPr="00143CD9">
        <w:rPr>
          <w:sz w:val="24"/>
          <w:szCs w:val="24"/>
        </w:rPr>
        <w:t xml:space="preserve"> ved ligevægt reducerer ED95 for </w:t>
      </w:r>
      <w:proofErr w:type="spellStart"/>
      <w:r w:rsidRPr="00143CD9">
        <w:rPr>
          <w:sz w:val="24"/>
          <w:szCs w:val="24"/>
        </w:rPr>
        <w:t>suxamethonium</w:t>
      </w:r>
      <w:proofErr w:type="spellEnd"/>
      <w:r w:rsidRPr="00143CD9">
        <w:rPr>
          <w:sz w:val="24"/>
          <w:szCs w:val="24"/>
        </w:rPr>
        <w:t xml:space="preserve"> med ca. 30 % og ED95 for </w:t>
      </w:r>
      <w:proofErr w:type="spellStart"/>
      <w:r w:rsidRPr="00143CD9">
        <w:rPr>
          <w:sz w:val="24"/>
          <w:szCs w:val="24"/>
        </w:rPr>
        <w:t>atracurium</w:t>
      </w:r>
      <w:proofErr w:type="spellEnd"/>
      <w:r w:rsidRPr="00143CD9">
        <w:rPr>
          <w:sz w:val="24"/>
          <w:szCs w:val="24"/>
        </w:rPr>
        <w:t xml:space="preserve"> og </w:t>
      </w:r>
      <w:proofErr w:type="spellStart"/>
      <w:r w:rsidRPr="00143CD9">
        <w:rPr>
          <w:sz w:val="24"/>
          <w:szCs w:val="24"/>
        </w:rPr>
        <w:t>pancuronium</w:t>
      </w:r>
      <w:proofErr w:type="spellEnd"/>
      <w:r w:rsidRPr="00143CD9">
        <w:rPr>
          <w:sz w:val="24"/>
          <w:szCs w:val="24"/>
        </w:rPr>
        <w:t xml:space="preserve"> med ca. 50 % sammenlignet med N</w:t>
      </w:r>
      <w:r w:rsidRPr="00143CD9">
        <w:rPr>
          <w:sz w:val="24"/>
          <w:szCs w:val="24"/>
          <w:vertAlign w:val="subscript"/>
        </w:rPr>
        <w:t>2</w:t>
      </w:r>
      <w:r w:rsidRPr="00143CD9">
        <w:rPr>
          <w:sz w:val="24"/>
          <w:szCs w:val="24"/>
        </w:rPr>
        <w:t>O/opioid-</w:t>
      </w:r>
      <w:proofErr w:type="spellStart"/>
      <w:r w:rsidRPr="00143CD9">
        <w:rPr>
          <w:sz w:val="24"/>
          <w:szCs w:val="24"/>
        </w:rPr>
        <w:t>anæstetika</w:t>
      </w:r>
      <w:proofErr w:type="spellEnd"/>
      <w:r w:rsidRPr="00143CD9">
        <w:rPr>
          <w:sz w:val="24"/>
          <w:szCs w:val="24"/>
        </w:rPr>
        <w:t>.</w:t>
      </w:r>
    </w:p>
    <w:p w14:paraId="235CF158" w14:textId="77777777" w:rsidR="00143CD9" w:rsidRPr="00143CD9" w:rsidRDefault="00143CD9" w:rsidP="00143CD9">
      <w:pPr>
        <w:tabs>
          <w:tab w:val="left" w:pos="851"/>
        </w:tabs>
        <w:ind w:left="851"/>
        <w:rPr>
          <w:sz w:val="24"/>
          <w:szCs w:val="24"/>
        </w:rPr>
      </w:pPr>
    </w:p>
    <w:p w14:paraId="3FA37B76" w14:textId="77777777" w:rsidR="00143CD9" w:rsidRPr="00143CD9" w:rsidRDefault="00143CD9" w:rsidP="00143CD9">
      <w:pPr>
        <w:tabs>
          <w:tab w:val="left" w:pos="851"/>
        </w:tabs>
        <w:ind w:left="851"/>
        <w:rPr>
          <w:sz w:val="24"/>
          <w:szCs w:val="24"/>
        </w:rPr>
      </w:pPr>
      <w:r w:rsidRPr="00143CD9">
        <w:rPr>
          <w:sz w:val="24"/>
          <w:szCs w:val="24"/>
        </w:rPr>
        <w:t xml:space="preserve">Tabel 2 viser de doser </w:t>
      </w:r>
      <w:proofErr w:type="spellStart"/>
      <w:r w:rsidRPr="00143CD9">
        <w:rPr>
          <w:sz w:val="24"/>
          <w:szCs w:val="24"/>
        </w:rPr>
        <w:t>pancuronium</w:t>
      </w:r>
      <w:proofErr w:type="spellEnd"/>
      <w:r w:rsidRPr="00143CD9">
        <w:rPr>
          <w:sz w:val="24"/>
          <w:szCs w:val="24"/>
        </w:rPr>
        <w:t xml:space="preserve">, </w:t>
      </w:r>
      <w:proofErr w:type="spellStart"/>
      <w:r w:rsidRPr="00143CD9">
        <w:rPr>
          <w:sz w:val="24"/>
          <w:szCs w:val="24"/>
        </w:rPr>
        <w:t>atracurium</w:t>
      </w:r>
      <w:proofErr w:type="spellEnd"/>
      <w:r w:rsidRPr="00143CD9">
        <w:rPr>
          <w:sz w:val="24"/>
          <w:szCs w:val="24"/>
        </w:rPr>
        <w:t xml:space="preserve">, </w:t>
      </w:r>
      <w:proofErr w:type="spellStart"/>
      <w:r w:rsidRPr="00143CD9">
        <w:rPr>
          <w:sz w:val="24"/>
          <w:szCs w:val="24"/>
        </w:rPr>
        <w:t>suxamethonium</w:t>
      </w:r>
      <w:proofErr w:type="spellEnd"/>
      <w:r w:rsidRPr="00143CD9">
        <w:rPr>
          <w:sz w:val="24"/>
          <w:szCs w:val="24"/>
        </w:rPr>
        <w:t xml:space="preserve"> og </w:t>
      </w:r>
      <w:proofErr w:type="spellStart"/>
      <w:r w:rsidRPr="00143CD9">
        <w:rPr>
          <w:sz w:val="24"/>
          <w:szCs w:val="24"/>
        </w:rPr>
        <w:t>vecuronium</w:t>
      </w:r>
      <w:proofErr w:type="spellEnd"/>
      <w:r w:rsidRPr="00143CD9">
        <w:rPr>
          <w:sz w:val="24"/>
          <w:szCs w:val="24"/>
        </w:rPr>
        <w:t xml:space="preserve">, der kræves for at opnå en 95 % depression (ED95) af </w:t>
      </w:r>
      <w:proofErr w:type="spellStart"/>
      <w:r w:rsidRPr="00143CD9">
        <w:rPr>
          <w:sz w:val="24"/>
          <w:szCs w:val="24"/>
        </w:rPr>
        <w:t>neuromuskulær</w:t>
      </w:r>
      <w:proofErr w:type="spellEnd"/>
      <w:r w:rsidRPr="00143CD9">
        <w:rPr>
          <w:sz w:val="24"/>
          <w:szCs w:val="24"/>
        </w:rPr>
        <w:t xml:space="preserve"> transmission i henhold til forskellige koncentrationer af </w:t>
      </w:r>
      <w:proofErr w:type="spellStart"/>
      <w:r w:rsidRPr="00143CD9">
        <w:rPr>
          <w:sz w:val="24"/>
          <w:szCs w:val="24"/>
        </w:rPr>
        <w:t>desfluran</w:t>
      </w:r>
      <w:proofErr w:type="spellEnd"/>
      <w:r w:rsidRPr="00143CD9">
        <w:rPr>
          <w:sz w:val="24"/>
          <w:szCs w:val="24"/>
        </w:rPr>
        <w:t xml:space="preserve"> (disse doser er identiske med dem, der kræves for </w:t>
      </w:r>
      <w:proofErr w:type="spellStart"/>
      <w:r w:rsidRPr="00143CD9">
        <w:rPr>
          <w:sz w:val="24"/>
          <w:szCs w:val="24"/>
        </w:rPr>
        <w:t>isofluran</w:t>
      </w:r>
      <w:proofErr w:type="spellEnd"/>
      <w:r w:rsidRPr="00143CD9">
        <w:rPr>
          <w:sz w:val="24"/>
          <w:szCs w:val="24"/>
        </w:rPr>
        <w:t xml:space="preserve">). ED95 for </w:t>
      </w:r>
      <w:proofErr w:type="spellStart"/>
      <w:r w:rsidRPr="00143CD9">
        <w:rPr>
          <w:sz w:val="24"/>
          <w:szCs w:val="24"/>
        </w:rPr>
        <w:t>vecuronium</w:t>
      </w:r>
      <w:proofErr w:type="spellEnd"/>
      <w:r w:rsidRPr="00143CD9">
        <w:rPr>
          <w:sz w:val="24"/>
          <w:szCs w:val="24"/>
        </w:rPr>
        <w:t xml:space="preserve"> er lavere end 14 % med </w:t>
      </w:r>
      <w:proofErr w:type="spellStart"/>
      <w:r w:rsidRPr="00143CD9">
        <w:rPr>
          <w:sz w:val="24"/>
          <w:szCs w:val="24"/>
        </w:rPr>
        <w:t>desfluran</w:t>
      </w:r>
      <w:proofErr w:type="spellEnd"/>
      <w:r w:rsidRPr="00143CD9">
        <w:rPr>
          <w:sz w:val="24"/>
          <w:szCs w:val="24"/>
        </w:rPr>
        <w:t xml:space="preserve"> end </w:t>
      </w:r>
      <w:proofErr w:type="spellStart"/>
      <w:r w:rsidRPr="00143CD9">
        <w:rPr>
          <w:sz w:val="24"/>
          <w:szCs w:val="24"/>
        </w:rPr>
        <w:t>isofluran</w:t>
      </w:r>
      <w:proofErr w:type="spellEnd"/>
      <w:r w:rsidRPr="00143CD9">
        <w:rPr>
          <w:sz w:val="24"/>
          <w:szCs w:val="24"/>
        </w:rPr>
        <w:t xml:space="preserve">. Desuden er restitutionen fra </w:t>
      </w:r>
      <w:proofErr w:type="spellStart"/>
      <w:r w:rsidRPr="00143CD9">
        <w:rPr>
          <w:sz w:val="24"/>
          <w:szCs w:val="24"/>
        </w:rPr>
        <w:t>neuromuskulær</w:t>
      </w:r>
      <w:proofErr w:type="spellEnd"/>
      <w:r w:rsidRPr="00143CD9">
        <w:rPr>
          <w:sz w:val="24"/>
          <w:szCs w:val="24"/>
        </w:rPr>
        <w:t xml:space="preserve"> blokade længere med </w:t>
      </w:r>
      <w:proofErr w:type="spellStart"/>
      <w:r w:rsidRPr="00143CD9">
        <w:rPr>
          <w:sz w:val="24"/>
          <w:szCs w:val="24"/>
        </w:rPr>
        <w:t>desfluran</w:t>
      </w:r>
      <w:proofErr w:type="spellEnd"/>
      <w:r w:rsidRPr="00143CD9">
        <w:rPr>
          <w:sz w:val="24"/>
          <w:szCs w:val="24"/>
        </w:rPr>
        <w:t xml:space="preserve"> end med </w:t>
      </w:r>
      <w:proofErr w:type="spellStart"/>
      <w:r w:rsidRPr="00143CD9">
        <w:rPr>
          <w:sz w:val="24"/>
          <w:szCs w:val="24"/>
        </w:rPr>
        <w:t>isofluran</w:t>
      </w:r>
      <w:proofErr w:type="spellEnd"/>
      <w:r w:rsidRPr="00143CD9">
        <w:rPr>
          <w:sz w:val="24"/>
          <w:szCs w:val="24"/>
        </w:rPr>
        <w:t>.</w:t>
      </w:r>
    </w:p>
    <w:p w14:paraId="7DC42412" w14:textId="77777777" w:rsidR="00143CD9" w:rsidRPr="00143CD9" w:rsidRDefault="00143CD9" w:rsidP="00143CD9">
      <w:pPr>
        <w:tabs>
          <w:tab w:val="left" w:pos="851"/>
        </w:tabs>
        <w:ind w:left="851"/>
        <w:rPr>
          <w:sz w:val="24"/>
          <w:szCs w:val="24"/>
        </w:rPr>
      </w:pPr>
    </w:p>
    <w:p w14:paraId="68A8CE4F" w14:textId="77777777" w:rsidR="00143CD9" w:rsidRPr="00143CD9" w:rsidRDefault="00143CD9" w:rsidP="00143CD9">
      <w:pPr>
        <w:tabs>
          <w:tab w:val="left" w:pos="851"/>
        </w:tabs>
        <w:ind w:left="851"/>
        <w:rPr>
          <w:b/>
          <w:bCs/>
          <w:sz w:val="24"/>
          <w:szCs w:val="24"/>
        </w:rPr>
      </w:pPr>
      <w:r w:rsidRPr="00143CD9">
        <w:rPr>
          <w:b/>
          <w:bCs/>
          <w:sz w:val="24"/>
          <w:szCs w:val="24"/>
        </w:rPr>
        <w:t xml:space="preserve">Tabel 2. Dosis af </w:t>
      </w:r>
      <w:proofErr w:type="spellStart"/>
      <w:r w:rsidRPr="00143CD9">
        <w:rPr>
          <w:b/>
          <w:bCs/>
          <w:sz w:val="24"/>
          <w:szCs w:val="24"/>
        </w:rPr>
        <w:t>myorelaxant</w:t>
      </w:r>
      <w:proofErr w:type="spellEnd"/>
      <w:r w:rsidRPr="00143CD9">
        <w:rPr>
          <w:b/>
          <w:bCs/>
          <w:sz w:val="24"/>
          <w:szCs w:val="24"/>
        </w:rPr>
        <w:t xml:space="preserve"> (mg/kg), der inducerer 95 % depression af </w:t>
      </w:r>
      <w:proofErr w:type="spellStart"/>
      <w:r w:rsidRPr="00143CD9">
        <w:rPr>
          <w:b/>
          <w:bCs/>
          <w:sz w:val="24"/>
          <w:szCs w:val="24"/>
        </w:rPr>
        <w:t>neuromuskulær</w:t>
      </w:r>
      <w:proofErr w:type="spellEnd"/>
      <w:r w:rsidRPr="00143CD9">
        <w:rPr>
          <w:b/>
          <w:bCs/>
          <w:sz w:val="24"/>
          <w:szCs w:val="24"/>
        </w:rPr>
        <w:t xml:space="preserve"> transmission.</w:t>
      </w:r>
    </w:p>
    <w:p w14:paraId="2EFF8BA2" w14:textId="77777777" w:rsidR="00143CD9" w:rsidRPr="00143CD9" w:rsidRDefault="00143CD9" w:rsidP="00143CD9">
      <w:pPr>
        <w:tabs>
          <w:tab w:val="left" w:pos="851"/>
        </w:tabs>
        <w:ind w:left="851"/>
        <w:rPr>
          <w:b/>
          <w:bCs/>
          <w:sz w:val="24"/>
          <w:szCs w:val="24"/>
        </w:rPr>
      </w:pPr>
    </w:p>
    <w:tbl>
      <w:tblPr>
        <w:tblW w:w="5265" w:type="pct"/>
        <w:tblCellMar>
          <w:top w:w="57" w:type="dxa"/>
          <w:left w:w="57" w:type="dxa"/>
          <w:bottom w:w="57" w:type="dxa"/>
          <w:right w:w="57" w:type="dxa"/>
        </w:tblCellMar>
        <w:tblLook w:val="04A0" w:firstRow="1" w:lastRow="0" w:firstColumn="1" w:lastColumn="0" w:noHBand="0" w:noVBand="1"/>
      </w:tblPr>
      <w:tblGrid>
        <w:gridCol w:w="1555"/>
        <w:gridCol w:w="2149"/>
        <w:gridCol w:w="1997"/>
        <w:gridCol w:w="2393"/>
        <w:gridCol w:w="2044"/>
      </w:tblGrid>
      <w:tr w:rsidR="00B03402" w:rsidRPr="00883673" w14:paraId="6F4C5639" w14:textId="77777777" w:rsidTr="00B03402">
        <w:tc>
          <w:tcPr>
            <w:tcW w:w="767" w:type="pct"/>
            <w:tcBorders>
              <w:top w:val="single" w:sz="4" w:space="0" w:color="000000"/>
              <w:left w:val="single" w:sz="4" w:space="0" w:color="000000"/>
              <w:bottom w:val="single" w:sz="4" w:space="0" w:color="000000"/>
              <w:right w:val="single" w:sz="4" w:space="0" w:color="000000"/>
            </w:tcBorders>
            <w:hideMark/>
          </w:tcPr>
          <w:p w14:paraId="1C9CA503" w14:textId="77777777" w:rsidR="00143CD9" w:rsidRPr="00883673" w:rsidRDefault="00143CD9" w:rsidP="00883673">
            <w:pPr>
              <w:ind w:left="82"/>
              <w:rPr>
                <w:sz w:val="22"/>
                <w:szCs w:val="22"/>
                <w:lang w:val="en-IN"/>
              </w:rPr>
            </w:pPr>
            <w:r w:rsidRPr="00883673">
              <w:rPr>
                <w:b/>
                <w:bCs/>
                <w:sz w:val="22"/>
                <w:szCs w:val="22"/>
              </w:rPr>
              <w:t>MAC-</w:t>
            </w:r>
            <w:proofErr w:type="spellStart"/>
            <w:r w:rsidRPr="00883673">
              <w:rPr>
                <w:b/>
                <w:bCs/>
                <w:sz w:val="22"/>
                <w:szCs w:val="22"/>
              </w:rPr>
              <w:t>desfluran</w:t>
            </w:r>
            <w:proofErr w:type="spellEnd"/>
          </w:p>
        </w:tc>
        <w:tc>
          <w:tcPr>
            <w:tcW w:w="1060" w:type="pct"/>
            <w:tcBorders>
              <w:top w:val="single" w:sz="4" w:space="0" w:color="000000"/>
              <w:left w:val="single" w:sz="4" w:space="0" w:color="000000"/>
              <w:bottom w:val="single" w:sz="4" w:space="0" w:color="000000"/>
              <w:right w:val="single" w:sz="4" w:space="0" w:color="000000"/>
            </w:tcBorders>
            <w:hideMark/>
          </w:tcPr>
          <w:p w14:paraId="407331CA" w14:textId="77777777" w:rsidR="00143CD9" w:rsidRPr="00883673" w:rsidRDefault="00143CD9" w:rsidP="00883673">
            <w:pPr>
              <w:rPr>
                <w:sz w:val="22"/>
                <w:szCs w:val="22"/>
                <w:lang w:val="en-IN"/>
              </w:rPr>
            </w:pPr>
            <w:proofErr w:type="spellStart"/>
            <w:r w:rsidRPr="00883673">
              <w:rPr>
                <w:b/>
                <w:bCs/>
                <w:sz w:val="22"/>
                <w:szCs w:val="22"/>
              </w:rPr>
              <w:t>Pancuronium</w:t>
            </w:r>
            <w:proofErr w:type="spellEnd"/>
          </w:p>
        </w:tc>
        <w:tc>
          <w:tcPr>
            <w:tcW w:w="985" w:type="pct"/>
            <w:tcBorders>
              <w:top w:val="single" w:sz="4" w:space="0" w:color="000000"/>
              <w:left w:val="single" w:sz="4" w:space="0" w:color="000000"/>
              <w:bottom w:val="single" w:sz="4" w:space="0" w:color="000000"/>
              <w:right w:val="single" w:sz="4" w:space="0" w:color="000000"/>
            </w:tcBorders>
            <w:hideMark/>
          </w:tcPr>
          <w:p w14:paraId="1E49FA16" w14:textId="77777777" w:rsidR="00143CD9" w:rsidRPr="00883673" w:rsidRDefault="00143CD9" w:rsidP="00B03402">
            <w:pPr>
              <w:rPr>
                <w:sz w:val="22"/>
                <w:szCs w:val="22"/>
                <w:lang w:val="en-IN"/>
              </w:rPr>
            </w:pPr>
            <w:proofErr w:type="spellStart"/>
            <w:r w:rsidRPr="00883673">
              <w:rPr>
                <w:b/>
                <w:bCs/>
                <w:sz w:val="22"/>
                <w:szCs w:val="22"/>
              </w:rPr>
              <w:t>Atracurium</w:t>
            </w:r>
            <w:proofErr w:type="spellEnd"/>
          </w:p>
        </w:tc>
        <w:tc>
          <w:tcPr>
            <w:tcW w:w="1180" w:type="pct"/>
            <w:tcBorders>
              <w:top w:val="single" w:sz="4" w:space="0" w:color="000000"/>
              <w:left w:val="single" w:sz="4" w:space="0" w:color="000000"/>
              <w:bottom w:val="single" w:sz="4" w:space="0" w:color="000000"/>
              <w:right w:val="single" w:sz="4" w:space="0" w:color="000000"/>
            </w:tcBorders>
            <w:hideMark/>
          </w:tcPr>
          <w:p w14:paraId="170BE075" w14:textId="77777777" w:rsidR="00143CD9" w:rsidRPr="00883673" w:rsidRDefault="00143CD9" w:rsidP="00B03402">
            <w:pPr>
              <w:rPr>
                <w:sz w:val="22"/>
                <w:szCs w:val="22"/>
                <w:lang w:val="en-IN"/>
              </w:rPr>
            </w:pPr>
            <w:proofErr w:type="spellStart"/>
            <w:r w:rsidRPr="00883673">
              <w:rPr>
                <w:b/>
                <w:bCs/>
                <w:sz w:val="22"/>
                <w:szCs w:val="22"/>
              </w:rPr>
              <w:t>Suxamethonium</w:t>
            </w:r>
            <w:proofErr w:type="spellEnd"/>
          </w:p>
        </w:tc>
        <w:tc>
          <w:tcPr>
            <w:tcW w:w="1008" w:type="pct"/>
            <w:tcBorders>
              <w:top w:val="single" w:sz="4" w:space="0" w:color="000000"/>
              <w:left w:val="single" w:sz="4" w:space="0" w:color="000000"/>
              <w:bottom w:val="single" w:sz="4" w:space="0" w:color="000000"/>
              <w:right w:val="single" w:sz="4" w:space="0" w:color="000000"/>
            </w:tcBorders>
            <w:hideMark/>
          </w:tcPr>
          <w:p w14:paraId="3DAEA067" w14:textId="77777777" w:rsidR="00143CD9" w:rsidRPr="00883673" w:rsidRDefault="00143CD9" w:rsidP="00B03402">
            <w:pPr>
              <w:ind w:left="15"/>
              <w:rPr>
                <w:sz w:val="22"/>
                <w:szCs w:val="22"/>
                <w:lang w:val="en-IN"/>
              </w:rPr>
            </w:pPr>
            <w:proofErr w:type="spellStart"/>
            <w:r w:rsidRPr="00883673">
              <w:rPr>
                <w:b/>
                <w:bCs/>
                <w:sz w:val="22"/>
                <w:szCs w:val="22"/>
              </w:rPr>
              <w:t>Vecuronium</w:t>
            </w:r>
            <w:proofErr w:type="spellEnd"/>
          </w:p>
        </w:tc>
      </w:tr>
      <w:tr w:rsidR="00B03402" w:rsidRPr="00883673" w14:paraId="49229B6D" w14:textId="77777777" w:rsidTr="00B03402">
        <w:tc>
          <w:tcPr>
            <w:tcW w:w="767" w:type="pct"/>
            <w:tcBorders>
              <w:top w:val="single" w:sz="4" w:space="0" w:color="000000"/>
              <w:left w:val="single" w:sz="4" w:space="0" w:color="000000"/>
              <w:bottom w:val="single" w:sz="4" w:space="0" w:color="000000"/>
              <w:right w:val="single" w:sz="4" w:space="0" w:color="000000"/>
            </w:tcBorders>
            <w:hideMark/>
          </w:tcPr>
          <w:p w14:paraId="5E94BB7F" w14:textId="77777777" w:rsidR="00143CD9" w:rsidRPr="00883673" w:rsidRDefault="00143CD9" w:rsidP="00883673">
            <w:pPr>
              <w:ind w:left="82"/>
              <w:rPr>
                <w:sz w:val="22"/>
                <w:szCs w:val="22"/>
                <w:lang w:val="en-IN"/>
              </w:rPr>
            </w:pPr>
            <w:r w:rsidRPr="00883673">
              <w:rPr>
                <w:sz w:val="22"/>
                <w:szCs w:val="22"/>
              </w:rPr>
              <w:t>0,65. MAC</w:t>
            </w:r>
          </w:p>
          <w:p w14:paraId="0AE9DB78" w14:textId="77777777" w:rsidR="00143CD9" w:rsidRPr="00883673" w:rsidRDefault="00143CD9" w:rsidP="00883673">
            <w:pPr>
              <w:ind w:left="82"/>
              <w:rPr>
                <w:sz w:val="22"/>
                <w:szCs w:val="22"/>
                <w:lang w:val="en-IN"/>
              </w:rPr>
            </w:pPr>
            <w:r w:rsidRPr="00883673">
              <w:rPr>
                <w:sz w:val="22"/>
                <w:szCs w:val="22"/>
              </w:rPr>
              <w:t>/60 % N2O/O2</w:t>
            </w:r>
          </w:p>
        </w:tc>
        <w:tc>
          <w:tcPr>
            <w:tcW w:w="1060" w:type="pct"/>
            <w:tcBorders>
              <w:top w:val="single" w:sz="4" w:space="0" w:color="000000"/>
              <w:left w:val="single" w:sz="4" w:space="0" w:color="000000"/>
              <w:bottom w:val="single" w:sz="4" w:space="0" w:color="000000"/>
              <w:right w:val="single" w:sz="4" w:space="0" w:color="000000"/>
            </w:tcBorders>
            <w:hideMark/>
          </w:tcPr>
          <w:p w14:paraId="48954663" w14:textId="77777777" w:rsidR="00143CD9" w:rsidRPr="00883673" w:rsidRDefault="00143CD9" w:rsidP="00883673">
            <w:pPr>
              <w:rPr>
                <w:sz w:val="22"/>
                <w:szCs w:val="22"/>
                <w:lang w:val="en-IN"/>
              </w:rPr>
            </w:pPr>
            <w:r w:rsidRPr="00883673">
              <w:rPr>
                <w:sz w:val="22"/>
                <w:szCs w:val="22"/>
              </w:rPr>
              <w:t>0,026</w:t>
            </w:r>
          </w:p>
        </w:tc>
        <w:tc>
          <w:tcPr>
            <w:tcW w:w="985" w:type="pct"/>
            <w:tcBorders>
              <w:top w:val="single" w:sz="4" w:space="0" w:color="000000"/>
              <w:left w:val="single" w:sz="4" w:space="0" w:color="000000"/>
              <w:bottom w:val="single" w:sz="4" w:space="0" w:color="000000"/>
              <w:right w:val="single" w:sz="4" w:space="0" w:color="000000"/>
            </w:tcBorders>
            <w:hideMark/>
          </w:tcPr>
          <w:p w14:paraId="21BA1BDC" w14:textId="77777777" w:rsidR="00143CD9" w:rsidRPr="00883673" w:rsidRDefault="00143CD9" w:rsidP="00B03402">
            <w:pPr>
              <w:rPr>
                <w:sz w:val="22"/>
                <w:szCs w:val="22"/>
                <w:lang w:val="en-IN"/>
              </w:rPr>
            </w:pPr>
            <w:r w:rsidRPr="00883673">
              <w:rPr>
                <w:sz w:val="22"/>
                <w:szCs w:val="22"/>
              </w:rPr>
              <w:t>0,133</w:t>
            </w:r>
          </w:p>
        </w:tc>
        <w:tc>
          <w:tcPr>
            <w:tcW w:w="1180" w:type="pct"/>
            <w:tcBorders>
              <w:top w:val="single" w:sz="4" w:space="0" w:color="000000"/>
              <w:left w:val="single" w:sz="4" w:space="0" w:color="000000"/>
              <w:bottom w:val="single" w:sz="4" w:space="0" w:color="000000"/>
              <w:right w:val="single" w:sz="4" w:space="0" w:color="000000"/>
            </w:tcBorders>
            <w:hideMark/>
          </w:tcPr>
          <w:p w14:paraId="7BCB7CDE" w14:textId="77777777" w:rsidR="00143CD9" w:rsidRPr="00883673" w:rsidRDefault="00143CD9" w:rsidP="00B03402">
            <w:pPr>
              <w:rPr>
                <w:sz w:val="22"/>
                <w:szCs w:val="22"/>
                <w:lang w:val="en-IN"/>
              </w:rPr>
            </w:pPr>
            <w:r w:rsidRPr="00883673">
              <w:rPr>
                <w:sz w:val="22"/>
                <w:szCs w:val="22"/>
              </w:rPr>
              <w:t>* IF</w:t>
            </w:r>
          </w:p>
        </w:tc>
        <w:tc>
          <w:tcPr>
            <w:tcW w:w="1008" w:type="pct"/>
            <w:tcBorders>
              <w:top w:val="single" w:sz="4" w:space="0" w:color="000000"/>
              <w:left w:val="single" w:sz="4" w:space="0" w:color="000000"/>
              <w:bottom w:val="single" w:sz="4" w:space="0" w:color="000000"/>
              <w:right w:val="single" w:sz="4" w:space="0" w:color="000000"/>
            </w:tcBorders>
            <w:hideMark/>
          </w:tcPr>
          <w:p w14:paraId="48824875" w14:textId="77777777" w:rsidR="00143CD9" w:rsidRPr="00883673" w:rsidRDefault="00143CD9" w:rsidP="00B03402">
            <w:pPr>
              <w:ind w:left="15"/>
              <w:rPr>
                <w:sz w:val="22"/>
                <w:szCs w:val="22"/>
                <w:lang w:val="en-IN"/>
              </w:rPr>
            </w:pPr>
            <w:r w:rsidRPr="00883673">
              <w:rPr>
                <w:sz w:val="22"/>
                <w:szCs w:val="22"/>
              </w:rPr>
              <w:t>* IF</w:t>
            </w:r>
          </w:p>
        </w:tc>
      </w:tr>
      <w:tr w:rsidR="00B03402" w:rsidRPr="00883673" w14:paraId="7ECD2E0D" w14:textId="77777777" w:rsidTr="00B03402">
        <w:tc>
          <w:tcPr>
            <w:tcW w:w="767" w:type="pct"/>
            <w:tcBorders>
              <w:top w:val="single" w:sz="4" w:space="0" w:color="000000"/>
              <w:left w:val="single" w:sz="4" w:space="0" w:color="000000"/>
              <w:bottom w:val="single" w:sz="4" w:space="0" w:color="000000"/>
              <w:right w:val="single" w:sz="4" w:space="0" w:color="000000"/>
            </w:tcBorders>
            <w:hideMark/>
          </w:tcPr>
          <w:p w14:paraId="4FB18627" w14:textId="77777777" w:rsidR="00143CD9" w:rsidRPr="00883673" w:rsidRDefault="00143CD9" w:rsidP="00883673">
            <w:pPr>
              <w:ind w:left="82"/>
              <w:rPr>
                <w:sz w:val="22"/>
                <w:szCs w:val="22"/>
                <w:lang w:val="en-IN"/>
              </w:rPr>
            </w:pPr>
            <w:r w:rsidRPr="00883673">
              <w:rPr>
                <w:sz w:val="22"/>
                <w:szCs w:val="22"/>
              </w:rPr>
              <w:t>1,25. MAC/60 % N2O/O2</w:t>
            </w:r>
          </w:p>
        </w:tc>
        <w:tc>
          <w:tcPr>
            <w:tcW w:w="1060" w:type="pct"/>
            <w:tcBorders>
              <w:top w:val="single" w:sz="4" w:space="0" w:color="000000"/>
              <w:left w:val="single" w:sz="4" w:space="0" w:color="000000"/>
              <w:bottom w:val="single" w:sz="4" w:space="0" w:color="000000"/>
              <w:right w:val="single" w:sz="4" w:space="0" w:color="000000"/>
            </w:tcBorders>
            <w:hideMark/>
          </w:tcPr>
          <w:p w14:paraId="68747309" w14:textId="77777777" w:rsidR="00143CD9" w:rsidRPr="00883673" w:rsidRDefault="00143CD9" w:rsidP="00883673">
            <w:pPr>
              <w:rPr>
                <w:sz w:val="22"/>
                <w:szCs w:val="22"/>
                <w:lang w:val="en-IN"/>
              </w:rPr>
            </w:pPr>
            <w:r w:rsidRPr="00883673">
              <w:rPr>
                <w:sz w:val="22"/>
                <w:szCs w:val="22"/>
              </w:rPr>
              <w:t>0,018</w:t>
            </w:r>
          </w:p>
        </w:tc>
        <w:tc>
          <w:tcPr>
            <w:tcW w:w="985" w:type="pct"/>
            <w:tcBorders>
              <w:top w:val="single" w:sz="4" w:space="0" w:color="000000"/>
              <w:left w:val="single" w:sz="4" w:space="0" w:color="000000"/>
              <w:bottom w:val="single" w:sz="4" w:space="0" w:color="000000"/>
              <w:right w:val="single" w:sz="4" w:space="0" w:color="000000"/>
            </w:tcBorders>
            <w:hideMark/>
          </w:tcPr>
          <w:p w14:paraId="566E1D8C" w14:textId="77777777" w:rsidR="00143CD9" w:rsidRPr="00883673" w:rsidRDefault="00143CD9" w:rsidP="00B03402">
            <w:pPr>
              <w:rPr>
                <w:sz w:val="22"/>
                <w:szCs w:val="22"/>
                <w:lang w:val="en-IN"/>
              </w:rPr>
            </w:pPr>
            <w:r w:rsidRPr="00883673">
              <w:rPr>
                <w:sz w:val="22"/>
                <w:szCs w:val="22"/>
              </w:rPr>
              <w:t>0,119</w:t>
            </w:r>
          </w:p>
        </w:tc>
        <w:tc>
          <w:tcPr>
            <w:tcW w:w="1180" w:type="pct"/>
            <w:tcBorders>
              <w:top w:val="single" w:sz="4" w:space="0" w:color="000000"/>
              <w:left w:val="single" w:sz="4" w:space="0" w:color="000000"/>
              <w:bottom w:val="single" w:sz="4" w:space="0" w:color="000000"/>
              <w:right w:val="single" w:sz="4" w:space="0" w:color="000000"/>
            </w:tcBorders>
            <w:hideMark/>
          </w:tcPr>
          <w:p w14:paraId="597078AC" w14:textId="77777777" w:rsidR="00143CD9" w:rsidRPr="00883673" w:rsidRDefault="00143CD9" w:rsidP="00B03402">
            <w:pPr>
              <w:rPr>
                <w:sz w:val="22"/>
                <w:szCs w:val="22"/>
                <w:lang w:val="en-IN"/>
              </w:rPr>
            </w:pPr>
            <w:r w:rsidRPr="00883673">
              <w:rPr>
                <w:sz w:val="22"/>
                <w:szCs w:val="22"/>
              </w:rPr>
              <w:t>* IF</w:t>
            </w:r>
          </w:p>
        </w:tc>
        <w:tc>
          <w:tcPr>
            <w:tcW w:w="1008" w:type="pct"/>
            <w:tcBorders>
              <w:top w:val="single" w:sz="4" w:space="0" w:color="000000"/>
              <w:left w:val="single" w:sz="4" w:space="0" w:color="000000"/>
              <w:bottom w:val="single" w:sz="4" w:space="0" w:color="000000"/>
              <w:right w:val="single" w:sz="4" w:space="0" w:color="000000"/>
            </w:tcBorders>
            <w:hideMark/>
          </w:tcPr>
          <w:p w14:paraId="4AD23F24" w14:textId="77777777" w:rsidR="00143CD9" w:rsidRPr="00883673" w:rsidRDefault="00143CD9" w:rsidP="00B03402">
            <w:pPr>
              <w:ind w:left="15"/>
              <w:rPr>
                <w:sz w:val="22"/>
                <w:szCs w:val="22"/>
                <w:lang w:val="en-IN"/>
              </w:rPr>
            </w:pPr>
            <w:r w:rsidRPr="00883673">
              <w:rPr>
                <w:sz w:val="22"/>
                <w:szCs w:val="22"/>
              </w:rPr>
              <w:t>* IF</w:t>
            </w:r>
          </w:p>
        </w:tc>
      </w:tr>
      <w:tr w:rsidR="00B03402" w:rsidRPr="00883673" w14:paraId="7FA2E137" w14:textId="77777777" w:rsidTr="00B03402">
        <w:tc>
          <w:tcPr>
            <w:tcW w:w="767" w:type="pct"/>
            <w:tcBorders>
              <w:top w:val="single" w:sz="4" w:space="0" w:color="000000"/>
              <w:left w:val="single" w:sz="4" w:space="0" w:color="000000"/>
              <w:bottom w:val="single" w:sz="4" w:space="0" w:color="000000"/>
              <w:right w:val="single" w:sz="4" w:space="0" w:color="000000"/>
            </w:tcBorders>
            <w:hideMark/>
          </w:tcPr>
          <w:p w14:paraId="206CB118" w14:textId="77777777" w:rsidR="00143CD9" w:rsidRPr="00883673" w:rsidRDefault="00143CD9" w:rsidP="00883673">
            <w:pPr>
              <w:ind w:left="82"/>
              <w:rPr>
                <w:sz w:val="22"/>
                <w:szCs w:val="22"/>
                <w:lang w:val="en-IN"/>
              </w:rPr>
            </w:pPr>
            <w:r w:rsidRPr="00883673">
              <w:rPr>
                <w:sz w:val="22"/>
                <w:szCs w:val="22"/>
              </w:rPr>
              <w:t>1,25. MAC/O2</w:t>
            </w:r>
          </w:p>
        </w:tc>
        <w:tc>
          <w:tcPr>
            <w:tcW w:w="1060" w:type="pct"/>
            <w:tcBorders>
              <w:top w:val="single" w:sz="4" w:space="0" w:color="000000"/>
              <w:left w:val="single" w:sz="4" w:space="0" w:color="000000"/>
              <w:bottom w:val="single" w:sz="4" w:space="0" w:color="000000"/>
              <w:right w:val="single" w:sz="4" w:space="0" w:color="000000"/>
            </w:tcBorders>
            <w:hideMark/>
          </w:tcPr>
          <w:p w14:paraId="04D2AFAD" w14:textId="77777777" w:rsidR="00143CD9" w:rsidRPr="00883673" w:rsidRDefault="00143CD9" w:rsidP="00883673">
            <w:pPr>
              <w:rPr>
                <w:sz w:val="22"/>
                <w:szCs w:val="22"/>
                <w:lang w:val="en-IN"/>
              </w:rPr>
            </w:pPr>
            <w:r w:rsidRPr="00883673">
              <w:rPr>
                <w:sz w:val="22"/>
                <w:szCs w:val="22"/>
              </w:rPr>
              <w:t>0,022</w:t>
            </w:r>
          </w:p>
        </w:tc>
        <w:tc>
          <w:tcPr>
            <w:tcW w:w="985" w:type="pct"/>
            <w:tcBorders>
              <w:top w:val="single" w:sz="4" w:space="0" w:color="000000"/>
              <w:left w:val="single" w:sz="4" w:space="0" w:color="000000"/>
              <w:bottom w:val="single" w:sz="4" w:space="0" w:color="000000"/>
              <w:right w:val="single" w:sz="4" w:space="0" w:color="000000"/>
            </w:tcBorders>
            <w:hideMark/>
          </w:tcPr>
          <w:p w14:paraId="21AA3E0A" w14:textId="77777777" w:rsidR="00143CD9" w:rsidRPr="00883673" w:rsidRDefault="00143CD9" w:rsidP="00B03402">
            <w:pPr>
              <w:rPr>
                <w:sz w:val="22"/>
                <w:szCs w:val="22"/>
                <w:lang w:val="en-IN"/>
              </w:rPr>
            </w:pPr>
            <w:r w:rsidRPr="00883673">
              <w:rPr>
                <w:sz w:val="22"/>
                <w:szCs w:val="22"/>
              </w:rPr>
              <w:t>0,120</w:t>
            </w:r>
          </w:p>
        </w:tc>
        <w:tc>
          <w:tcPr>
            <w:tcW w:w="1180" w:type="pct"/>
            <w:tcBorders>
              <w:top w:val="single" w:sz="4" w:space="0" w:color="000000"/>
              <w:left w:val="single" w:sz="4" w:space="0" w:color="000000"/>
              <w:bottom w:val="single" w:sz="4" w:space="0" w:color="000000"/>
              <w:right w:val="single" w:sz="4" w:space="0" w:color="000000"/>
            </w:tcBorders>
            <w:hideMark/>
          </w:tcPr>
          <w:p w14:paraId="1B1AD655" w14:textId="77777777" w:rsidR="00143CD9" w:rsidRPr="00883673" w:rsidRDefault="00143CD9" w:rsidP="00B03402">
            <w:pPr>
              <w:rPr>
                <w:sz w:val="22"/>
                <w:szCs w:val="22"/>
                <w:lang w:val="en-IN"/>
              </w:rPr>
            </w:pPr>
            <w:r w:rsidRPr="00883673">
              <w:rPr>
                <w:sz w:val="22"/>
                <w:szCs w:val="22"/>
              </w:rPr>
              <w:t>0,360</w:t>
            </w:r>
          </w:p>
        </w:tc>
        <w:tc>
          <w:tcPr>
            <w:tcW w:w="1008" w:type="pct"/>
            <w:tcBorders>
              <w:top w:val="single" w:sz="4" w:space="0" w:color="000000"/>
              <w:left w:val="single" w:sz="4" w:space="0" w:color="000000"/>
              <w:bottom w:val="single" w:sz="4" w:space="0" w:color="000000"/>
              <w:right w:val="single" w:sz="4" w:space="0" w:color="000000"/>
            </w:tcBorders>
            <w:hideMark/>
          </w:tcPr>
          <w:p w14:paraId="6F9D4667" w14:textId="77777777" w:rsidR="00143CD9" w:rsidRPr="00883673" w:rsidRDefault="00143CD9" w:rsidP="00B03402">
            <w:pPr>
              <w:ind w:left="15"/>
              <w:rPr>
                <w:sz w:val="22"/>
                <w:szCs w:val="22"/>
                <w:lang w:val="en-IN"/>
              </w:rPr>
            </w:pPr>
            <w:r w:rsidRPr="00883673">
              <w:rPr>
                <w:sz w:val="22"/>
                <w:szCs w:val="22"/>
              </w:rPr>
              <w:t>0,019</w:t>
            </w:r>
          </w:p>
        </w:tc>
      </w:tr>
    </w:tbl>
    <w:p w14:paraId="26A6E84D" w14:textId="77777777" w:rsidR="00143CD9" w:rsidRPr="00B03402" w:rsidRDefault="00143CD9" w:rsidP="00143CD9">
      <w:pPr>
        <w:tabs>
          <w:tab w:val="left" w:pos="851"/>
        </w:tabs>
        <w:ind w:left="851"/>
        <w:rPr>
          <w:sz w:val="20"/>
          <w:lang w:val="en-IN"/>
        </w:rPr>
      </w:pPr>
      <w:r w:rsidRPr="00B03402">
        <w:rPr>
          <w:sz w:val="20"/>
        </w:rPr>
        <w:t>* IF = ikke fastlagt</w:t>
      </w:r>
    </w:p>
    <w:p w14:paraId="6C2AAC69" w14:textId="77777777" w:rsidR="00143CD9" w:rsidRPr="00143CD9" w:rsidRDefault="00143CD9" w:rsidP="00143CD9">
      <w:pPr>
        <w:tabs>
          <w:tab w:val="left" w:pos="851"/>
        </w:tabs>
        <w:ind w:left="851"/>
        <w:rPr>
          <w:sz w:val="24"/>
          <w:szCs w:val="24"/>
          <w:lang w:val="en-IN"/>
        </w:rPr>
      </w:pPr>
    </w:p>
    <w:p w14:paraId="3C251B33" w14:textId="77777777" w:rsidR="00143CD9" w:rsidRPr="00143CD9" w:rsidRDefault="00143CD9" w:rsidP="00143CD9">
      <w:pPr>
        <w:tabs>
          <w:tab w:val="left" w:pos="851"/>
        </w:tabs>
        <w:ind w:left="851"/>
        <w:rPr>
          <w:sz w:val="24"/>
          <w:szCs w:val="24"/>
        </w:rPr>
      </w:pPr>
      <w:r w:rsidRPr="00143CD9">
        <w:rPr>
          <w:sz w:val="24"/>
          <w:szCs w:val="24"/>
        </w:rPr>
        <w:t xml:space="preserve">Den </w:t>
      </w:r>
      <w:proofErr w:type="spellStart"/>
      <w:r w:rsidRPr="00143CD9">
        <w:rPr>
          <w:sz w:val="24"/>
          <w:szCs w:val="24"/>
        </w:rPr>
        <w:t>hypotensive</w:t>
      </w:r>
      <w:proofErr w:type="spellEnd"/>
      <w:r w:rsidRPr="00143CD9">
        <w:rPr>
          <w:sz w:val="24"/>
          <w:szCs w:val="24"/>
        </w:rPr>
        <w:t xml:space="preserve"> virkning kan forstærkes, når </w:t>
      </w:r>
      <w:proofErr w:type="spellStart"/>
      <w:r w:rsidRPr="00143CD9">
        <w:rPr>
          <w:sz w:val="24"/>
          <w:szCs w:val="24"/>
        </w:rPr>
        <w:t>desfluran</w:t>
      </w:r>
      <w:proofErr w:type="spellEnd"/>
      <w:r w:rsidRPr="00143CD9">
        <w:rPr>
          <w:sz w:val="24"/>
          <w:szCs w:val="24"/>
        </w:rPr>
        <w:t xml:space="preserve"> administreres samtidig med </w:t>
      </w:r>
      <w:proofErr w:type="spellStart"/>
      <w:r w:rsidRPr="00143CD9">
        <w:rPr>
          <w:sz w:val="24"/>
          <w:szCs w:val="24"/>
        </w:rPr>
        <w:t>ACEI'er</w:t>
      </w:r>
      <w:proofErr w:type="spellEnd"/>
      <w:r w:rsidRPr="00143CD9">
        <w:rPr>
          <w:sz w:val="24"/>
          <w:szCs w:val="24"/>
        </w:rPr>
        <w:t xml:space="preserve">, tricykliske </w:t>
      </w:r>
      <w:proofErr w:type="spellStart"/>
      <w:r w:rsidRPr="00143CD9">
        <w:rPr>
          <w:sz w:val="24"/>
          <w:szCs w:val="24"/>
        </w:rPr>
        <w:t>antidepressiva</w:t>
      </w:r>
      <w:proofErr w:type="spellEnd"/>
      <w:r w:rsidRPr="00143CD9">
        <w:rPr>
          <w:sz w:val="24"/>
          <w:szCs w:val="24"/>
        </w:rPr>
        <w:t xml:space="preserve">, </w:t>
      </w:r>
      <w:proofErr w:type="spellStart"/>
      <w:r w:rsidRPr="00143CD9">
        <w:rPr>
          <w:sz w:val="24"/>
          <w:szCs w:val="24"/>
        </w:rPr>
        <w:t>MAOI'er</w:t>
      </w:r>
      <w:proofErr w:type="spellEnd"/>
      <w:r w:rsidRPr="00143CD9">
        <w:rPr>
          <w:sz w:val="24"/>
          <w:szCs w:val="24"/>
        </w:rPr>
        <w:t xml:space="preserve">, </w:t>
      </w:r>
      <w:proofErr w:type="spellStart"/>
      <w:r w:rsidRPr="00143CD9">
        <w:rPr>
          <w:sz w:val="24"/>
          <w:szCs w:val="24"/>
        </w:rPr>
        <w:t>antihypertensiva</w:t>
      </w:r>
      <w:proofErr w:type="spellEnd"/>
      <w:r w:rsidRPr="00143CD9">
        <w:rPr>
          <w:sz w:val="24"/>
          <w:szCs w:val="24"/>
        </w:rPr>
        <w:t xml:space="preserve"> eller betablokkere.</w:t>
      </w:r>
    </w:p>
    <w:p w14:paraId="76915275" w14:textId="77777777" w:rsidR="00143CD9" w:rsidRPr="00143CD9" w:rsidRDefault="00143CD9" w:rsidP="00143CD9">
      <w:pPr>
        <w:tabs>
          <w:tab w:val="left" w:pos="851"/>
        </w:tabs>
        <w:ind w:left="851"/>
        <w:rPr>
          <w:sz w:val="24"/>
          <w:szCs w:val="24"/>
        </w:rPr>
      </w:pPr>
    </w:p>
    <w:p w14:paraId="40155807" w14:textId="77777777" w:rsidR="00143CD9" w:rsidRPr="00143CD9" w:rsidRDefault="00143CD9" w:rsidP="00143CD9">
      <w:pPr>
        <w:tabs>
          <w:tab w:val="left" w:pos="851"/>
        </w:tabs>
        <w:ind w:left="851"/>
        <w:rPr>
          <w:sz w:val="24"/>
          <w:szCs w:val="24"/>
        </w:rPr>
      </w:pPr>
      <w:proofErr w:type="spellStart"/>
      <w:r w:rsidRPr="00143CD9">
        <w:rPr>
          <w:sz w:val="24"/>
          <w:szCs w:val="24"/>
        </w:rPr>
        <w:t>Relaxometri</w:t>
      </w:r>
      <w:proofErr w:type="spellEnd"/>
      <w:r w:rsidRPr="00143CD9">
        <w:rPr>
          <w:sz w:val="24"/>
          <w:szCs w:val="24"/>
        </w:rPr>
        <w:t xml:space="preserve"> anbefales til den nøjagtige dosering.</w:t>
      </w:r>
    </w:p>
    <w:p w14:paraId="0DDED266" w14:textId="77777777" w:rsidR="00143CD9" w:rsidRPr="00143CD9" w:rsidRDefault="00143CD9" w:rsidP="00143CD9">
      <w:pPr>
        <w:tabs>
          <w:tab w:val="left" w:pos="851"/>
        </w:tabs>
        <w:ind w:left="851"/>
        <w:rPr>
          <w:sz w:val="24"/>
          <w:szCs w:val="24"/>
          <w:u w:val="single"/>
        </w:rPr>
      </w:pPr>
    </w:p>
    <w:p w14:paraId="383A3BF7" w14:textId="77777777" w:rsidR="00143CD9" w:rsidRPr="00143CD9" w:rsidRDefault="00143CD9" w:rsidP="00143CD9">
      <w:pPr>
        <w:tabs>
          <w:tab w:val="left" w:pos="851"/>
        </w:tabs>
        <w:ind w:left="851"/>
        <w:rPr>
          <w:sz w:val="24"/>
          <w:szCs w:val="24"/>
        </w:rPr>
      </w:pPr>
      <w:r w:rsidRPr="00143CD9">
        <w:rPr>
          <w:sz w:val="24"/>
          <w:szCs w:val="24"/>
          <w:u w:val="single"/>
        </w:rPr>
        <w:t xml:space="preserve">Præ-anæstetiske lægemidler </w:t>
      </w:r>
    </w:p>
    <w:p w14:paraId="0C580313" w14:textId="77777777" w:rsidR="00143CD9" w:rsidRPr="00143CD9" w:rsidRDefault="00143CD9" w:rsidP="00143CD9">
      <w:pPr>
        <w:tabs>
          <w:tab w:val="left" w:pos="851"/>
        </w:tabs>
        <w:ind w:left="851"/>
        <w:rPr>
          <w:sz w:val="24"/>
          <w:szCs w:val="24"/>
          <w:lang w:val="nl-NL"/>
        </w:rPr>
      </w:pPr>
      <w:r w:rsidRPr="00143CD9">
        <w:rPr>
          <w:sz w:val="24"/>
          <w:szCs w:val="24"/>
        </w:rPr>
        <w:t xml:space="preserve">Der er ikke rapporteret om klinisk signifikante bivirkninger i forbindelse med udbredt brug af præ-anæstetiske lægemidler r eller lægemidler anvendt under anæstesi (intravenøs anæstesi og lokalanæstesi) under kliniske forsøg. Effekten af </w:t>
      </w:r>
      <w:proofErr w:type="spellStart"/>
      <w:r w:rsidRPr="00143CD9">
        <w:rPr>
          <w:sz w:val="24"/>
          <w:szCs w:val="24"/>
        </w:rPr>
        <w:t>desfluran</w:t>
      </w:r>
      <w:proofErr w:type="spellEnd"/>
      <w:r w:rsidRPr="00143CD9">
        <w:rPr>
          <w:sz w:val="24"/>
          <w:szCs w:val="24"/>
        </w:rPr>
        <w:t xml:space="preserve"> på tilgængeligheden af andre lægemidler er ikke blevet fastlagt.</w:t>
      </w:r>
    </w:p>
    <w:p w14:paraId="277AAFAB" w14:textId="77777777" w:rsidR="00143CD9" w:rsidRPr="00143CD9" w:rsidRDefault="00143CD9" w:rsidP="00143CD9">
      <w:pPr>
        <w:tabs>
          <w:tab w:val="left" w:pos="851"/>
        </w:tabs>
        <w:ind w:left="851"/>
        <w:rPr>
          <w:sz w:val="24"/>
          <w:szCs w:val="24"/>
          <w:lang w:val="nl-NL"/>
        </w:rPr>
      </w:pPr>
    </w:p>
    <w:p w14:paraId="28B1FCB4" w14:textId="77777777" w:rsidR="00143CD9" w:rsidRPr="00143CD9" w:rsidRDefault="00143CD9" w:rsidP="00143CD9">
      <w:pPr>
        <w:tabs>
          <w:tab w:val="left" w:pos="851"/>
        </w:tabs>
        <w:ind w:left="851"/>
        <w:rPr>
          <w:sz w:val="24"/>
          <w:szCs w:val="24"/>
          <w:lang w:val="nl-NL"/>
        </w:rPr>
      </w:pPr>
      <w:r w:rsidRPr="00143CD9">
        <w:rPr>
          <w:sz w:val="24"/>
          <w:szCs w:val="24"/>
        </w:rPr>
        <w:t xml:space="preserve">Opvågningen påvirkes af samtidige </w:t>
      </w:r>
      <w:proofErr w:type="spellStart"/>
      <w:r w:rsidRPr="00143CD9">
        <w:rPr>
          <w:sz w:val="24"/>
          <w:szCs w:val="24"/>
        </w:rPr>
        <w:t>anæstetika</w:t>
      </w:r>
      <w:proofErr w:type="spellEnd"/>
      <w:r w:rsidRPr="00143CD9">
        <w:rPr>
          <w:sz w:val="24"/>
          <w:szCs w:val="24"/>
        </w:rPr>
        <w:t xml:space="preserve"> med beroligende-hypnotisk virkning, såsom benzodiazepiner, opioider osv. </w:t>
      </w:r>
    </w:p>
    <w:p w14:paraId="4F38471A" w14:textId="77777777" w:rsidR="00143CD9" w:rsidRPr="00143CD9" w:rsidRDefault="00143CD9" w:rsidP="00143CD9">
      <w:pPr>
        <w:tabs>
          <w:tab w:val="left" w:pos="851"/>
        </w:tabs>
        <w:ind w:left="851"/>
        <w:rPr>
          <w:sz w:val="24"/>
          <w:szCs w:val="24"/>
          <w:lang w:val="nl-NL"/>
        </w:rPr>
      </w:pPr>
    </w:p>
    <w:p w14:paraId="3D0C95C0" w14:textId="77777777" w:rsidR="00143CD9" w:rsidRPr="00143CD9" w:rsidRDefault="00143CD9" w:rsidP="00143CD9">
      <w:pPr>
        <w:tabs>
          <w:tab w:val="left" w:pos="851"/>
        </w:tabs>
        <w:ind w:left="851"/>
        <w:rPr>
          <w:sz w:val="24"/>
          <w:szCs w:val="24"/>
          <w:lang w:val="nl-NL"/>
        </w:rPr>
      </w:pPr>
      <w:r w:rsidRPr="00143CD9">
        <w:rPr>
          <w:sz w:val="24"/>
          <w:szCs w:val="24"/>
          <w:u w:val="single"/>
        </w:rPr>
        <w:t>Opiater og benzodiazepiner</w:t>
      </w:r>
    </w:p>
    <w:p w14:paraId="26D9B068" w14:textId="77777777" w:rsidR="00143CD9" w:rsidRPr="00143CD9" w:rsidRDefault="00143CD9" w:rsidP="00143CD9">
      <w:pPr>
        <w:tabs>
          <w:tab w:val="left" w:pos="851"/>
        </w:tabs>
        <w:ind w:left="851"/>
        <w:rPr>
          <w:sz w:val="24"/>
          <w:szCs w:val="24"/>
        </w:rPr>
      </w:pPr>
      <w:r w:rsidRPr="00143CD9">
        <w:rPr>
          <w:sz w:val="24"/>
          <w:szCs w:val="24"/>
        </w:rPr>
        <w:t xml:space="preserve">Patienter, der blev bedøvet med forskellige koncentrationer af </w:t>
      </w:r>
      <w:proofErr w:type="spellStart"/>
      <w:r w:rsidRPr="00143CD9">
        <w:rPr>
          <w:sz w:val="24"/>
          <w:szCs w:val="24"/>
        </w:rPr>
        <w:t>desfluran</w:t>
      </w:r>
      <w:proofErr w:type="spellEnd"/>
      <w:r w:rsidRPr="00143CD9">
        <w:rPr>
          <w:sz w:val="24"/>
          <w:szCs w:val="24"/>
        </w:rPr>
        <w:t xml:space="preserve"> og fik stigende doser af fentanyl eller </w:t>
      </w:r>
      <w:proofErr w:type="spellStart"/>
      <w:r w:rsidRPr="00143CD9">
        <w:rPr>
          <w:sz w:val="24"/>
          <w:szCs w:val="24"/>
        </w:rPr>
        <w:t>midazolam</w:t>
      </w:r>
      <w:proofErr w:type="spellEnd"/>
      <w:r w:rsidRPr="00143CD9">
        <w:rPr>
          <w:sz w:val="24"/>
          <w:szCs w:val="24"/>
        </w:rPr>
        <w:t xml:space="preserve">, viste en reduktion i anæstesibehovet eller MAC. (se tabel 3). Det forventes, at der vil være en lignende indflydelse på MAC med andre </w:t>
      </w:r>
      <w:proofErr w:type="spellStart"/>
      <w:r w:rsidRPr="00143CD9">
        <w:rPr>
          <w:sz w:val="24"/>
          <w:szCs w:val="24"/>
        </w:rPr>
        <w:t>opioide</w:t>
      </w:r>
      <w:proofErr w:type="spellEnd"/>
      <w:r w:rsidRPr="00143CD9">
        <w:rPr>
          <w:sz w:val="24"/>
          <w:szCs w:val="24"/>
        </w:rPr>
        <w:t xml:space="preserve"> og beroligende lægemidler.</w:t>
      </w:r>
    </w:p>
    <w:p w14:paraId="08514E77" w14:textId="77777777" w:rsidR="00143CD9" w:rsidRPr="00143CD9" w:rsidRDefault="00143CD9" w:rsidP="00143CD9">
      <w:pPr>
        <w:tabs>
          <w:tab w:val="left" w:pos="851"/>
        </w:tabs>
        <w:ind w:left="851"/>
        <w:rPr>
          <w:sz w:val="24"/>
          <w:szCs w:val="24"/>
        </w:rPr>
      </w:pPr>
    </w:p>
    <w:p w14:paraId="323BE60D" w14:textId="77777777" w:rsidR="00143CD9" w:rsidRPr="00143CD9" w:rsidRDefault="00143CD9" w:rsidP="00143CD9">
      <w:pPr>
        <w:tabs>
          <w:tab w:val="left" w:pos="851"/>
        </w:tabs>
        <w:ind w:left="851"/>
        <w:rPr>
          <w:b/>
          <w:bCs/>
          <w:sz w:val="24"/>
          <w:szCs w:val="24"/>
        </w:rPr>
      </w:pPr>
      <w:r w:rsidRPr="00143CD9">
        <w:rPr>
          <w:b/>
          <w:bCs/>
          <w:sz w:val="24"/>
          <w:szCs w:val="24"/>
        </w:rPr>
        <w:t xml:space="preserve">Tabel 3. Virkning af fentanyl eller </w:t>
      </w:r>
      <w:proofErr w:type="spellStart"/>
      <w:r w:rsidRPr="00143CD9">
        <w:rPr>
          <w:b/>
          <w:bCs/>
          <w:sz w:val="24"/>
          <w:szCs w:val="24"/>
        </w:rPr>
        <w:t>midazolam</w:t>
      </w:r>
      <w:proofErr w:type="spellEnd"/>
      <w:r w:rsidRPr="00143CD9">
        <w:rPr>
          <w:b/>
          <w:bCs/>
          <w:sz w:val="24"/>
          <w:szCs w:val="24"/>
        </w:rPr>
        <w:t xml:space="preserve"> på </w:t>
      </w:r>
      <w:proofErr w:type="spellStart"/>
      <w:r w:rsidRPr="00143CD9">
        <w:rPr>
          <w:b/>
          <w:bCs/>
          <w:sz w:val="24"/>
          <w:szCs w:val="24"/>
        </w:rPr>
        <w:t>desfluran</w:t>
      </w:r>
      <w:proofErr w:type="spellEnd"/>
      <w:r w:rsidRPr="00143CD9">
        <w:rPr>
          <w:b/>
          <w:bCs/>
          <w:sz w:val="24"/>
          <w:szCs w:val="24"/>
        </w:rPr>
        <w:t xml:space="preserve"> MAC</w:t>
      </w:r>
    </w:p>
    <w:tbl>
      <w:tblPr>
        <w:tblW w:w="4490" w:type="pct"/>
        <w:tblInd w:w="988" w:type="dxa"/>
        <w:tblCellMar>
          <w:top w:w="57" w:type="dxa"/>
          <w:left w:w="57" w:type="dxa"/>
          <w:bottom w:w="57" w:type="dxa"/>
          <w:right w:w="57" w:type="dxa"/>
        </w:tblCellMar>
        <w:tblLook w:val="04A0" w:firstRow="1" w:lastRow="0" w:firstColumn="1" w:lastColumn="0" w:noHBand="0" w:noVBand="1"/>
      </w:tblPr>
      <w:tblGrid>
        <w:gridCol w:w="2867"/>
        <w:gridCol w:w="2867"/>
        <w:gridCol w:w="2912"/>
      </w:tblGrid>
      <w:tr w:rsidR="00143CD9" w:rsidRPr="00B03402" w14:paraId="6C8265A0" w14:textId="77777777" w:rsidTr="005A7EC1">
        <w:tc>
          <w:tcPr>
            <w:tcW w:w="1658" w:type="pct"/>
            <w:tcBorders>
              <w:top w:val="single" w:sz="4" w:space="0" w:color="000000"/>
              <w:left w:val="single" w:sz="4" w:space="0" w:color="000000"/>
              <w:bottom w:val="single" w:sz="4" w:space="0" w:color="000000"/>
              <w:right w:val="single" w:sz="4" w:space="0" w:color="000000"/>
            </w:tcBorders>
          </w:tcPr>
          <w:p w14:paraId="3EF54AC1" w14:textId="77777777" w:rsidR="00143CD9" w:rsidRPr="00B03402" w:rsidRDefault="00143CD9" w:rsidP="00B03402">
            <w:pPr>
              <w:rPr>
                <w:sz w:val="22"/>
                <w:szCs w:val="22"/>
              </w:rPr>
            </w:pPr>
          </w:p>
        </w:tc>
        <w:tc>
          <w:tcPr>
            <w:tcW w:w="1658" w:type="pct"/>
            <w:tcBorders>
              <w:top w:val="single" w:sz="4" w:space="0" w:color="000000"/>
              <w:left w:val="single" w:sz="4" w:space="0" w:color="000000"/>
              <w:bottom w:val="single" w:sz="4" w:space="0" w:color="000000"/>
              <w:right w:val="single" w:sz="4" w:space="0" w:color="000000"/>
            </w:tcBorders>
            <w:hideMark/>
          </w:tcPr>
          <w:p w14:paraId="63419345" w14:textId="77777777" w:rsidR="00143CD9" w:rsidRPr="00B03402" w:rsidRDefault="00143CD9" w:rsidP="00B03402">
            <w:pPr>
              <w:rPr>
                <w:sz w:val="22"/>
                <w:szCs w:val="22"/>
              </w:rPr>
            </w:pPr>
            <w:r w:rsidRPr="00B03402">
              <w:rPr>
                <w:b/>
                <w:bCs/>
                <w:sz w:val="22"/>
                <w:szCs w:val="22"/>
              </w:rPr>
              <w:t xml:space="preserve">Koncentration* (%) af </w:t>
            </w:r>
            <w:proofErr w:type="spellStart"/>
            <w:r w:rsidRPr="00B03402">
              <w:rPr>
                <w:b/>
                <w:bCs/>
                <w:sz w:val="22"/>
                <w:szCs w:val="22"/>
              </w:rPr>
              <w:t>desfluran</w:t>
            </w:r>
            <w:proofErr w:type="spellEnd"/>
            <w:r w:rsidRPr="00B03402">
              <w:rPr>
                <w:b/>
                <w:bCs/>
                <w:sz w:val="22"/>
                <w:szCs w:val="22"/>
              </w:rPr>
              <w:t xml:space="preserve"> i O</w:t>
            </w:r>
            <w:r w:rsidRPr="00B03402">
              <w:rPr>
                <w:b/>
                <w:bCs/>
                <w:sz w:val="22"/>
                <w:szCs w:val="22"/>
                <w:vertAlign w:val="subscript"/>
              </w:rPr>
              <w:t>2</w:t>
            </w:r>
          </w:p>
        </w:tc>
        <w:tc>
          <w:tcPr>
            <w:tcW w:w="1684" w:type="pct"/>
            <w:tcBorders>
              <w:top w:val="single" w:sz="4" w:space="0" w:color="000000"/>
              <w:left w:val="single" w:sz="4" w:space="0" w:color="000000"/>
              <w:bottom w:val="single" w:sz="4" w:space="0" w:color="000000"/>
              <w:right w:val="single" w:sz="4" w:space="0" w:color="000000"/>
            </w:tcBorders>
            <w:hideMark/>
          </w:tcPr>
          <w:p w14:paraId="65BBB101" w14:textId="77777777" w:rsidR="00143CD9" w:rsidRPr="00B03402" w:rsidRDefault="00143CD9" w:rsidP="005A7EC1">
            <w:pPr>
              <w:ind w:left="24"/>
              <w:rPr>
                <w:sz w:val="22"/>
                <w:szCs w:val="22"/>
                <w:lang w:val="en-IN"/>
              </w:rPr>
            </w:pPr>
            <w:r w:rsidRPr="00B03402">
              <w:rPr>
                <w:b/>
                <w:bCs/>
                <w:sz w:val="22"/>
                <w:szCs w:val="22"/>
              </w:rPr>
              <w:t>% reduktion i koncentration</w:t>
            </w:r>
          </w:p>
        </w:tc>
      </w:tr>
      <w:tr w:rsidR="00143CD9" w:rsidRPr="00B03402" w14:paraId="35178472" w14:textId="77777777" w:rsidTr="005A7EC1">
        <w:tc>
          <w:tcPr>
            <w:tcW w:w="1658" w:type="pct"/>
            <w:tcBorders>
              <w:top w:val="single" w:sz="4" w:space="0" w:color="000000"/>
              <w:left w:val="single" w:sz="4" w:space="0" w:color="000000"/>
              <w:bottom w:val="single" w:sz="4" w:space="0" w:color="000000"/>
              <w:right w:val="single" w:sz="4" w:space="0" w:color="000000"/>
            </w:tcBorders>
            <w:hideMark/>
          </w:tcPr>
          <w:p w14:paraId="6181AB67" w14:textId="77777777" w:rsidR="00143CD9" w:rsidRPr="00B03402" w:rsidRDefault="00143CD9" w:rsidP="00B03402">
            <w:pPr>
              <w:rPr>
                <w:sz w:val="22"/>
                <w:szCs w:val="22"/>
                <w:lang w:val="en-IN"/>
              </w:rPr>
            </w:pPr>
            <w:r w:rsidRPr="00B03402">
              <w:rPr>
                <w:sz w:val="22"/>
                <w:szCs w:val="22"/>
              </w:rPr>
              <w:t>Ingen fentanyl</w:t>
            </w:r>
          </w:p>
        </w:tc>
        <w:tc>
          <w:tcPr>
            <w:tcW w:w="1658" w:type="pct"/>
            <w:tcBorders>
              <w:top w:val="single" w:sz="4" w:space="0" w:color="000000"/>
              <w:left w:val="single" w:sz="4" w:space="0" w:color="000000"/>
              <w:bottom w:val="single" w:sz="4" w:space="0" w:color="000000"/>
              <w:right w:val="single" w:sz="4" w:space="0" w:color="000000"/>
            </w:tcBorders>
            <w:hideMark/>
          </w:tcPr>
          <w:p w14:paraId="4699670F" w14:textId="77777777" w:rsidR="00143CD9" w:rsidRPr="00B03402" w:rsidRDefault="00143CD9" w:rsidP="00B03402">
            <w:pPr>
              <w:rPr>
                <w:sz w:val="22"/>
                <w:szCs w:val="22"/>
                <w:lang w:val="en-IN"/>
              </w:rPr>
            </w:pPr>
            <w:r w:rsidRPr="00B03402">
              <w:rPr>
                <w:sz w:val="22"/>
                <w:szCs w:val="22"/>
              </w:rPr>
              <w:t>6,33-6,35</w:t>
            </w:r>
          </w:p>
        </w:tc>
        <w:tc>
          <w:tcPr>
            <w:tcW w:w="1684" w:type="pct"/>
            <w:tcBorders>
              <w:top w:val="single" w:sz="4" w:space="0" w:color="000000"/>
              <w:left w:val="single" w:sz="4" w:space="0" w:color="000000"/>
              <w:bottom w:val="single" w:sz="4" w:space="0" w:color="000000"/>
              <w:right w:val="single" w:sz="4" w:space="0" w:color="000000"/>
            </w:tcBorders>
            <w:hideMark/>
          </w:tcPr>
          <w:p w14:paraId="06137FB9" w14:textId="77777777" w:rsidR="00143CD9" w:rsidRPr="00B03402" w:rsidRDefault="00143CD9" w:rsidP="005A7EC1">
            <w:pPr>
              <w:ind w:left="24"/>
              <w:rPr>
                <w:sz w:val="22"/>
                <w:szCs w:val="22"/>
                <w:lang w:val="en-IN"/>
              </w:rPr>
            </w:pPr>
            <w:r w:rsidRPr="00B03402">
              <w:rPr>
                <w:sz w:val="22"/>
                <w:szCs w:val="22"/>
                <w:lang w:val="en-IN"/>
              </w:rPr>
              <w:t>-</w:t>
            </w:r>
          </w:p>
        </w:tc>
      </w:tr>
      <w:tr w:rsidR="00143CD9" w:rsidRPr="00B03402" w14:paraId="4681D45F" w14:textId="77777777" w:rsidTr="005A7EC1">
        <w:tc>
          <w:tcPr>
            <w:tcW w:w="1658" w:type="pct"/>
            <w:tcBorders>
              <w:top w:val="single" w:sz="4" w:space="0" w:color="000000"/>
              <w:left w:val="single" w:sz="4" w:space="0" w:color="000000"/>
              <w:bottom w:val="single" w:sz="4" w:space="0" w:color="000000"/>
              <w:right w:val="single" w:sz="4" w:space="0" w:color="000000"/>
            </w:tcBorders>
            <w:hideMark/>
          </w:tcPr>
          <w:p w14:paraId="6240D1A5" w14:textId="77777777" w:rsidR="00143CD9" w:rsidRPr="00B03402" w:rsidRDefault="00143CD9" w:rsidP="00B03402">
            <w:pPr>
              <w:rPr>
                <w:sz w:val="22"/>
                <w:szCs w:val="22"/>
                <w:lang w:val="en-IN"/>
              </w:rPr>
            </w:pPr>
            <w:r w:rsidRPr="00B03402">
              <w:rPr>
                <w:sz w:val="22"/>
                <w:szCs w:val="22"/>
              </w:rPr>
              <w:t xml:space="preserve">Fentanyl (3 </w:t>
            </w:r>
            <w:proofErr w:type="spellStart"/>
            <w:r w:rsidRPr="00B03402">
              <w:rPr>
                <w:sz w:val="22"/>
                <w:szCs w:val="22"/>
              </w:rPr>
              <w:t>μg</w:t>
            </w:r>
            <w:proofErr w:type="spellEnd"/>
            <w:r w:rsidRPr="00B03402">
              <w:rPr>
                <w:sz w:val="22"/>
                <w:szCs w:val="22"/>
              </w:rPr>
              <w:t>/kg)</w:t>
            </w:r>
          </w:p>
        </w:tc>
        <w:tc>
          <w:tcPr>
            <w:tcW w:w="1658" w:type="pct"/>
            <w:tcBorders>
              <w:top w:val="single" w:sz="4" w:space="0" w:color="000000"/>
              <w:left w:val="single" w:sz="4" w:space="0" w:color="000000"/>
              <w:bottom w:val="single" w:sz="4" w:space="0" w:color="000000"/>
              <w:right w:val="single" w:sz="4" w:space="0" w:color="000000"/>
            </w:tcBorders>
            <w:hideMark/>
          </w:tcPr>
          <w:p w14:paraId="6BB784AD" w14:textId="77777777" w:rsidR="00143CD9" w:rsidRPr="00B03402" w:rsidRDefault="00143CD9" w:rsidP="00B03402">
            <w:pPr>
              <w:rPr>
                <w:sz w:val="22"/>
                <w:szCs w:val="22"/>
                <w:lang w:val="en-IN"/>
              </w:rPr>
            </w:pPr>
            <w:r w:rsidRPr="00B03402">
              <w:rPr>
                <w:sz w:val="22"/>
                <w:szCs w:val="22"/>
              </w:rPr>
              <w:t>3,12-3,46</w:t>
            </w:r>
          </w:p>
        </w:tc>
        <w:tc>
          <w:tcPr>
            <w:tcW w:w="1684" w:type="pct"/>
            <w:tcBorders>
              <w:top w:val="single" w:sz="4" w:space="0" w:color="000000"/>
              <w:left w:val="single" w:sz="4" w:space="0" w:color="000000"/>
              <w:bottom w:val="single" w:sz="4" w:space="0" w:color="000000"/>
              <w:right w:val="single" w:sz="4" w:space="0" w:color="000000"/>
            </w:tcBorders>
            <w:hideMark/>
          </w:tcPr>
          <w:p w14:paraId="7A69C39A" w14:textId="77777777" w:rsidR="00143CD9" w:rsidRPr="00B03402" w:rsidRDefault="00143CD9" w:rsidP="005A7EC1">
            <w:pPr>
              <w:ind w:left="24"/>
              <w:rPr>
                <w:sz w:val="22"/>
                <w:szCs w:val="22"/>
                <w:lang w:val="en-IN"/>
              </w:rPr>
            </w:pPr>
            <w:r w:rsidRPr="00B03402">
              <w:rPr>
                <w:sz w:val="22"/>
                <w:szCs w:val="22"/>
              </w:rPr>
              <w:t>46-51</w:t>
            </w:r>
          </w:p>
        </w:tc>
      </w:tr>
      <w:tr w:rsidR="00143CD9" w:rsidRPr="00B03402" w14:paraId="2213E27E" w14:textId="77777777" w:rsidTr="005A7EC1">
        <w:tc>
          <w:tcPr>
            <w:tcW w:w="1658" w:type="pct"/>
            <w:tcBorders>
              <w:top w:val="single" w:sz="4" w:space="0" w:color="000000"/>
              <w:left w:val="single" w:sz="4" w:space="0" w:color="000000"/>
              <w:bottom w:val="single" w:sz="4" w:space="0" w:color="000000"/>
              <w:right w:val="single" w:sz="4" w:space="0" w:color="000000"/>
            </w:tcBorders>
            <w:hideMark/>
          </w:tcPr>
          <w:p w14:paraId="7DBD09DD" w14:textId="77777777" w:rsidR="00143CD9" w:rsidRPr="00B03402" w:rsidRDefault="00143CD9" w:rsidP="00B03402">
            <w:pPr>
              <w:rPr>
                <w:sz w:val="22"/>
                <w:szCs w:val="22"/>
                <w:lang w:val="en-IN"/>
              </w:rPr>
            </w:pPr>
            <w:r w:rsidRPr="00B03402">
              <w:rPr>
                <w:sz w:val="22"/>
                <w:szCs w:val="22"/>
              </w:rPr>
              <w:t xml:space="preserve">Fentanyl (6 </w:t>
            </w:r>
            <w:proofErr w:type="spellStart"/>
            <w:r w:rsidRPr="00B03402">
              <w:rPr>
                <w:sz w:val="22"/>
                <w:szCs w:val="22"/>
              </w:rPr>
              <w:t>μg</w:t>
            </w:r>
            <w:proofErr w:type="spellEnd"/>
            <w:r w:rsidRPr="00B03402">
              <w:rPr>
                <w:sz w:val="22"/>
                <w:szCs w:val="22"/>
              </w:rPr>
              <w:t>/kg)</w:t>
            </w:r>
          </w:p>
        </w:tc>
        <w:tc>
          <w:tcPr>
            <w:tcW w:w="1658" w:type="pct"/>
            <w:tcBorders>
              <w:top w:val="single" w:sz="4" w:space="0" w:color="000000"/>
              <w:left w:val="single" w:sz="4" w:space="0" w:color="000000"/>
              <w:bottom w:val="single" w:sz="4" w:space="0" w:color="000000"/>
              <w:right w:val="single" w:sz="4" w:space="0" w:color="000000"/>
            </w:tcBorders>
            <w:hideMark/>
          </w:tcPr>
          <w:p w14:paraId="58305CD1" w14:textId="77777777" w:rsidR="00143CD9" w:rsidRPr="00B03402" w:rsidRDefault="00143CD9" w:rsidP="00B03402">
            <w:pPr>
              <w:rPr>
                <w:sz w:val="22"/>
                <w:szCs w:val="22"/>
                <w:lang w:val="en-IN"/>
              </w:rPr>
            </w:pPr>
            <w:r w:rsidRPr="00B03402">
              <w:rPr>
                <w:sz w:val="22"/>
                <w:szCs w:val="22"/>
              </w:rPr>
              <w:t>2,25-2,97</w:t>
            </w:r>
          </w:p>
        </w:tc>
        <w:tc>
          <w:tcPr>
            <w:tcW w:w="1684" w:type="pct"/>
            <w:tcBorders>
              <w:top w:val="single" w:sz="4" w:space="0" w:color="000000"/>
              <w:left w:val="single" w:sz="4" w:space="0" w:color="000000"/>
              <w:bottom w:val="single" w:sz="4" w:space="0" w:color="000000"/>
              <w:right w:val="single" w:sz="4" w:space="0" w:color="000000"/>
            </w:tcBorders>
            <w:hideMark/>
          </w:tcPr>
          <w:p w14:paraId="5265AFBE" w14:textId="77777777" w:rsidR="00143CD9" w:rsidRPr="00B03402" w:rsidRDefault="00143CD9" w:rsidP="005A7EC1">
            <w:pPr>
              <w:ind w:left="24"/>
              <w:rPr>
                <w:sz w:val="22"/>
                <w:szCs w:val="22"/>
                <w:lang w:val="en-IN"/>
              </w:rPr>
            </w:pPr>
            <w:r w:rsidRPr="00B03402">
              <w:rPr>
                <w:sz w:val="22"/>
                <w:szCs w:val="22"/>
              </w:rPr>
              <w:t>53-64</w:t>
            </w:r>
          </w:p>
        </w:tc>
      </w:tr>
      <w:tr w:rsidR="00143CD9" w:rsidRPr="00B03402" w14:paraId="2BE90785" w14:textId="77777777" w:rsidTr="005A7EC1">
        <w:tc>
          <w:tcPr>
            <w:tcW w:w="1658" w:type="pct"/>
            <w:tcBorders>
              <w:top w:val="single" w:sz="4" w:space="0" w:color="000000"/>
              <w:left w:val="single" w:sz="4" w:space="0" w:color="000000"/>
              <w:bottom w:val="single" w:sz="4" w:space="0" w:color="000000"/>
              <w:right w:val="single" w:sz="4" w:space="0" w:color="000000"/>
            </w:tcBorders>
            <w:hideMark/>
          </w:tcPr>
          <w:p w14:paraId="6FE4C6C6" w14:textId="77777777" w:rsidR="00143CD9" w:rsidRPr="00B03402" w:rsidRDefault="00143CD9" w:rsidP="00B03402">
            <w:pPr>
              <w:rPr>
                <w:sz w:val="22"/>
                <w:szCs w:val="22"/>
                <w:lang w:val="en-IN"/>
              </w:rPr>
            </w:pPr>
            <w:r w:rsidRPr="00B03402">
              <w:rPr>
                <w:sz w:val="22"/>
                <w:szCs w:val="22"/>
              </w:rPr>
              <w:t xml:space="preserve">Ingen </w:t>
            </w:r>
            <w:proofErr w:type="spellStart"/>
            <w:r w:rsidRPr="00B03402">
              <w:rPr>
                <w:sz w:val="22"/>
                <w:szCs w:val="22"/>
              </w:rPr>
              <w:t>midazolam</w:t>
            </w:r>
            <w:proofErr w:type="spellEnd"/>
          </w:p>
        </w:tc>
        <w:tc>
          <w:tcPr>
            <w:tcW w:w="1658" w:type="pct"/>
            <w:tcBorders>
              <w:top w:val="single" w:sz="4" w:space="0" w:color="000000"/>
              <w:left w:val="single" w:sz="4" w:space="0" w:color="000000"/>
              <w:bottom w:val="single" w:sz="4" w:space="0" w:color="000000"/>
              <w:right w:val="single" w:sz="4" w:space="0" w:color="000000"/>
            </w:tcBorders>
            <w:hideMark/>
          </w:tcPr>
          <w:p w14:paraId="36AA9350" w14:textId="77777777" w:rsidR="00143CD9" w:rsidRPr="00B03402" w:rsidRDefault="00143CD9" w:rsidP="00B03402">
            <w:pPr>
              <w:rPr>
                <w:sz w:val="22"/>
                <w:szCs w:val="22"/>
                <w:lang w:val="en-IN"/>
              </w:rPr>
            </w:pPr>
            <w:r w:rsidRPr="00B03402">
              <w:rPr>
                <w:sz w:val="22"/>
                <w:szCs w:val="22"/>
              </w:rPr>
              <w:t>5,85-6,86</w:t>
            </w:r>
          </w:p>
        </w:tc>
        <w:tc>
          <w:tcPr>
            <w:tcW w:w="1684" w:type="pct"/>
            <w:tcBorders>
              <w:top w:val="single" w:sz="4" w:space="0" w:color="000000"/>
              <w:left w:val="single" w:sz="4" w:space="0" w:color="000000"/>
              <w:bottom w:val="single" w:sz="4" w:space="0" w:color="000000"/>
              <w:right w:val="single" w:sz="4" w:space="0" w:color="000000"/>
            </w:tcBorders>
            <w:hideMark/>
          </w:tcPr>
          <w:p w14:paraId="48E247CB" w14:textId="77777777" w:rsidR="00143CD9" w:rsidRPr="00B03402" w:rsidRDefault="00143CD9" w:rsidP="005A7EC1">
            <w:pPr>
              <w:ind w:left="24"/>
              <w:rPr>
                <w:sz w:val="22"/>
                <w:szCs w:val="22"/>
                <w:lang w:val="en-IN"/>
              </w:rPr>
            </w:pPr>
            <w:r w:rsidRPr="00B03402">
              <w:rPr>
                <w:sz w:val="22"/>
                <w:szCs w:val="22"/>
                <w:lang w:val="en-IN"/>
              </w:rPr>
              <w:t>-</w:t>
            </w:r>
          </w:p>
        </w:tc>
      </w:tr>
      <w:tr w:rsidR="00143CD9" w:rsidRPr="00B03402" w14:paraId="0B016784" w14:textId="77777777" w:rsidTr="005A7EC1">
        <w:tc>
          <w:tcPr>
            <w:tcW w:w="1658" w:type="pct"/>
            <w:tcBorders>
              <w:top w:val="single" w:sz="4" w:space="0" w:color="000000"/>
              <w:left w:val="single" w:sz="4" w:space="0" w:color="000000"/>
              <w:bottom w:val="single" w:sz="4" w:space="0" w:color="000000"/>
              <w:right w:val="single" w:sz="4" w:space="0" w:color="000000"/>
            </w:tcBorders>
            <w:hideMark/>
          </w:tcPr>
          <w:p w14:paraId="25D24BD0" w14:textId="77777777" w:rsidR="00143CD9" w:rsidRPr="00B03402" w:rsidRDefault="00143CD9" w:rsidP="00B03402">
            <w:pPr>
              <w:rPr>
                <w:sz w:val="22"/>
                <w:szCs w:val="22"/>
                <w:lang w:val="en-IN"/>
              </w:rPr>
            </w:pPr>
            <w:proofErr w:type="spellStart"/>
            <w:r w:rsidRPr="00B03402">
              <w:rPr>
                <w:sz w:val="22"/>
                <w:szCs w:val="22"/>
              </w:rPr>
              <w:t>Midazolam</w:t>
            </w:r>
            <w:proofErr w:type="spellEnd"/>
            <w:r w:rsidRPr="00B03402">
              <w:rPr>
                <w:sz w:val="22"/>
                <w:szCs w:val="22"/>
              </w:rPr>
              <w:t xml:space="preserve"> (25 </w:t>
            </w:r>
            <w:proofErr w:type="spellStart"/>
            <w:r w:rsidRPr="00B03402">
              <w:rPr>
                <w:sz w:val="22"/>
                <w:szCs w:val="22"/>
              </w:rPr>
              <w:t>μg</w:t>
            </w:r>
            <w:proofErr w:type="spellEnd"/>
            <w:r w:rsidRPr="00B03402">
              <w:rPr>
                <w:sz w:val="22"/>
                <w:szCs w:val="22"/>
              </w:rPr>
              <w:t>/kg)</w:t>
            </w:r>
          </w:p>
        </w:tc>
        <w:tc>
          <w:tcPr>
            <w:tcW w:w="1658" w:type="pct"/>
            <w:tcBorders>
              <w:top w:val="single" w:sz="4" w:space="0" w:color="000000"/>
              <w:left w:val="single" w:sz="4" w:space="0" w:color="000000"/>
              <w:bottom w:val="single" w:sz="4" w:space="0" w:color="000000"/>
              <w:right w:val="single" w:sz="4" w:space="0" w:color="000000"/>
            </w:tcBorders>
            <w:hideMark/>
          </w:tcPr>
          <w:p w14:paraId="0FB343E1" w14:textId="77777777" w:rsidR="00143CD9" w:rsidRPr="00B03402" w:rsidRDefault="00143CD9" w:rsidP="00B03402">
            <w:pPr>
              <w:rPr>
                <w:sz w:val="22"/>
                <w:szCs w:val="22"/>
                <w:lang w:val="en-IN"/>
              </w:rPr>
            </w:pPr>
            <w:r w:rsidRPr="00B03402">
              <w:rPr>
                <w:sz w:val="22"/>
                <w:szCs w:val="22"/>
              </w:rPr>
              <w:t>4,93</w:t>
            </w:r>
          </w:p>
        </w:tc>
        <w:tc>
          <w:tcPr>
            <w:tcW w:w="1684" w:type="pct"/>
            <w:tcBorders>
              <w:top w:val="single" w:sz="4" w:space="0" w:color="000000"/>
              <w:left w:val="single" w:sz="4" w:space="0" w:color="000000"/>
              <w:bottom w:val="single" w:sz="4" w:space="0" w:color="000000"/>
              <w:right w:val="single" w:sz="4" w:space="0" w:color="000000"/>
            </w:tcBorders>
            <w:hideMark/>
          </w:tcPr>
          <w:p w14:paraId="6B3FD5FE" w14:textId="77777777" w:rsidR="00143CD9" w:rsidRPr="00B03402" w:rsidRDefault="00143CD9" w:rsidP="005A7EC1">
            <w:pPr>
              <w:ind w:left="24"/>
              <w:rPr>
                <w:sz w:val="22"/>
                <w:szCs w:val="22"/>
                <w:lang w:val="en-IN"/>
              </w:rPr>
            </w:pPr>
            <w:r w:rsidRPr="00B03402">
              <w:rPr>
                <w:sz w:val="22"/>
                <w:szCs w:val="22"/>
              </w:rPr>
              <w:t>15,7</w:t>
            </w:r>
          </w:p>
        </w:tc>
      </w:tr>
      <w:tr w:rsidR="00143CD9" w:rsidRPr="00B03402" w14:paraId="2272C5A1" w14:textId="77777777" w:rsidTr="005A7EC1">
        <w:tc>
          <w:tcPr>
            <w:tcW w:w="1658" w:type="pct"/>
            <w:tcBorders>
              <w:top w:val="single" w:sz="4" w:space="0" w:color="000000"/>
              <w:left w:val="single" w:sz="4" w:space="0" w:color="000000"/>
              <w:bottom w:val="single" w:sz="4" w:space="0" w:color="000000"/>
              <w:right w:val="single" w:sz="4" w:space="0" w:color="000000"/>
            </w:tcBorders>
            <w:hideMark/>
          </w:tcPr>
          <w:p w14:paraId="4FECD857" w14:textId="77777777" w:rsidR="00143CD9" w:rsidRPr="00B03402" w:rsidRDefault="00143CD9" w:rsidP="00B03402">
            <w:pPr>
              <w:rPr>
                <w:sz w:val="22"/>
                <w:szCs w:val="22"/>
                <w:lang w:val="en-IN"/>
              </w:rPr>
            </w:pPr>
            <w:proofErr w:type="spellStart"/>
            <w:r w:rsidRPr="00B03402">
              <w:rPr>
                <w:sz w:val="22"/>
                <w:szCs w:val="22"/>
              </w:rPr>
              <w:t>Midazolam</w:t>
            </w:r>
            <w:proofErr w:type="spellEnd"/>
            <w:r w:rsidRPr="00B03402">
              <w:rPr>
                <w:sz w:val="22"/>
                <w:szCs w:val="22"/>
              </w:rPr>
              <w:t xml:space="preserve"> (50 </w:t>
            </w:r>
            <w:proofErr w:type="spellStart"/>
            <w:r w:rsidRPr="00B03402">
              <w:rPr>
                <w:sz w:val="22"/>
                <w:szCs w:val="22"/>
              </w:rPr>
              <w:t>μg</w:t>
            </w:r>
            <w:proofErr w:type="spellEnd"/>
            <w:r w:rsidRPr="00B03402">
              <w:rPr>
                <w:sz w:val="22"/>
                <w:szCs w:val="22"/>
              </w:rPr>
              <w:t>/kg)</w:t>
            </w:r>
          </w:p>
        </w:tc>
        <w:tc>
          <w:tcPr>
            <w:tcW w:w="1658" w:type="pct"/>
            <w:tcBorders>
              <w:top w:val="single" w:sz="4" w:space="0" w:color="000000"/>
              <w:left w:val="single" w:sz="4" w:space="0" w:color="000000"/>
              <w:bottom w:val="single" w:sz="4" w:space="0" w:color="000000"/>
              <w:right w:val="single" w:sz="4" w:space="0" w:color="000000"/>
            </w:tcBorders>
            <w:hideMark/>
          </w:tcPr>
          <w:p w14:paraId="4C3473F2" w14:textId="77777777" w:rsidR="00143CD9" w:rsidRPr="00B03402" w:rsidRDefault="00143CD9" w:rsidP="00B03402">
            <w:pPr>
              <w:rPr>
                <w:sz w:val="22"/>
                <w:szCs w:val="22"/>
                <w:lang w:val="en-IN"/>
              </w:rPr>
            </w:pPr>
            <w:r w:rsidRPr="00B03402">
              <w:rPr>
                <w:sz w:val="22"/>
                <w:szCs w:val="22"/>
              </w:rPr>
              <w:t>4,88</w:t>
            </w:r>
          </w:p>
        </w:tc>
        <w:tc>
          <w:tcPr>
            <w:tcW w:w="1684" w:type="pct"/>
            <w:tcBorders>
              <w:top w:val="single" w:sz="4" w:space="0" w:color="000000"/>
              <w:left w:val="single" w:sz="4" w:space="0" w:color="000000"/>
              <w:bottom w:val="single" w:sz="4" w:space="0" w:color="000000"/>
              <w:right w:val="single" w:sz="4" w:space="0" w:color="000000"/>
            </w:tcBorders>
            <w:hideMark/>
          </w:tcPr>
          <w:p w14:paraId="1350EBCD" w14:textId="77777777" w:rsidR="00143CD9" w:rsidRPr="00B03402" w:rsidRDefault="00143CD9" w:rsidP="005A7EC1">
            <w:pPr>
              <w:ind w:left="24"/>
              <w:rPr>
                <w:sz w:val="22"/>
                <w:szCs w:val="22"/>
                <w:lang w:val="en-IN"/>
              </w:rPr>
            </w:pPr>
            <w:r w:rsidRPr="00B03402">
              <w:rPr>
                <w:sz w:val="22"/>
                <w:szCs w:val="22"/>
              </w:rPr>
              <w:t>16.6</w:t>
            </w:r>
          </w:p>
        </w:tc>
      </w:tr>
    </w:tbl>
    <w:p w14:paraId="28148722" w14:textId="77777777" w:rsidR="00143CD9" w:rsidRPr="005A7EC1" w:rsidRDefault="00143CD9" w:rsidP="00143CD9">
      <w:pPr>
        <w:tabs>
          <w:tab w:val="left" w:pos="851"/>
        </w:tabs>
        <w:ind w:left="851"/>
        <w:rPr>
          <w:sz w:val="20"/>
        </w:rPr>
      </w:pPr>
      <w:r w:rsidRPr="005A7EC1">
        <w:rPr>
          <w:sz w:val="20"/>
        </w:rPr>
        <w:t>*Patienter i alderen 18-65 år</w:t>
      </w:r>
    </w:p>
    <w:p w14:paraId="3690EE6E" w14:textId="77777777" w:rsidR="00143CD9" w:rsidRPr="005A7EC1" w:rsidRDefault="00143CD9" w:rsidP="00143CD9">
      <w:pPr>
        <w:tabs>
          <w:tab w:val="left" w:pos="851"/>
        </w:tabs>
        <w:ind w:left="851"/>
        <w:rPr>
          <w:sz w:val="24"/>
          <w:szCs w:val="24"/>
        </w:rPr>
      </w:pPr>
    </w:p>
    <w:p w14:paraId="7117CBF2" w14:textId="77777777" w:rsidR="00143CD9" w:rsidRPr="005A7EC1" w:rsidRDefault="00143CD9" w:rsidP="00143CD9">
      <w:pPr>
        <w:tabs>
          <w:tab w:val="left" w:pos="851"/>
        </w:tabs>
        <w:ind w:left="851"/>
        <w:rPr>
          <w:sz w:val="24"/>
          <w:szCs w:val="24"/>
        </w:rPr>
      </w:pPr>
      <w:r w:rsidRPr="00143CD9">
        <w:rPr>
          <w:b/>
          <w:bCs/>
          <w:sz w:val="24"/>
          <w:szCs w:val="24"/>
        </w:rPr>
        <w:t xml:space="preserve">Kontraindikationer for samtidig brug. </w:t>
      </w:r>
    </w:p>
    <w:p w14:paraId="3F6BFF03" w14:textId="2321141E" w:rsidR="00143CD9" w:rsidRPr="00143CD9" w:rsidRDefault="00143CD9" w:rsidP="00DD6378">
      <w:pPr>
        <w:tabs>
          <w:tab w:val="left" w:pos="851"/>
        </w:tabs>
        <w:ind w:left="851"/>
        <w:rPr>
          <w:sz w:val="24"/>
          <w:szCs w:val="24"/>
        </w:rPr>
      </w:pPr>
      <w:r w:rsidRPr="00143CD9">
        <w:rPr>
          <w:sz w:val="24"/>
          <w:szCs w:val="24"/>
        </w:rPr>
        <w:t xml:space="preserve">Bør undgås eller anvendes med ekstrem forsigtighed til patienter, der </w:t>
      </w:r>
      <w:r w:rsidR="00D90023">
        <w:rPr>
          <w:sz w:val="24"/>
          <w:szCs w:val="24"/>
        </w:rPr>
        <w:t>er</w:t>
      </w:r>
      <w:r w:rsidRPr="00143CD9">
        <w:rPr>
          <w:sz w:val="24"/>
          <w:szCs w:val="24"/>
        </w:rPr>
        <w:t xml:space="preserve"> </w:t>
      </w:r>
      <w:r w:rsidR="007A46DE">
        <w:rPr>
          <w:sz w:val="24"/>
          <w:szCs w:val="24"/>
        </w:rPr>
        <w:t>i anæstesi</w:t>
      </w:r>
      <w:r w:rsidR="00DD6378">
        <w:rPr>
          <w:sz w:val="24"/>
          <w:szCs w:val="24"/>
        </w:rPr>
        <w:t xml:space="preserve">, </w:t>
      </w:r>
      <w:r w:rsidRPr="00143CD9">
        <w:rPr>
          <w:sz w:val="24"/>
          <w:szCs w:val="24"/>
        </w:rPr>
        <w:t>på grund af risikoen for at fremkalde ventrikelflimren.</w:t>
      </w:r>
    </w:p>
    <w:p w14:paraId="05EBAF6E" w14:textId="77777777" w:rsidR="009260DE" w:rsidRPr="00C84483" w:rsidRDefault="009260DE" w:rsidP="009260DE">
      <w:pPr>
        <w:tabs>
          <w:tab w:val="left" w:pos="851"/>
        </w:tabs>
        <w:ind w:left="851"/>
        <w:rPr>
          <w:sz w:val="24"/>
          <w:szCs w:val="24"/>
        </w:rPr>
      </w:pPr>
    </w:p>
    <w:p w14:paraId="3DB5D28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6E50042" w14:textId="77777777" w:rsidR="00DD6378" w:rsidRPr="007A46DE" w:rsidRDefault="00DD6378" w:rsidP="00DD6378">
      <w:pPr>
        <w:tabs>
          <w:tab w:val="left" w:pos="851"/>
        </w:tabs>
        <w:ind w:left="851"/>
        <w:rPr>
          <w:b/>
          <w:bCs/>
          <w:sz w:val="24"/>
          <w:szCs w:val="24"/>
        </w:rPr>
      </w:pPr>
    </w:p>
    <w:p w14:paraId="6A47B4D2" w14:textId="78F495AD" w:rsidR="00DD6378" w:rsidRPr="00DD6378" w:rsidRDefault="00DD6378" w:rsidP="00DD6378">
      <w:pPr>
        <w:tabs>
          <w:tab w:val="left" w:pos="851"/>
        </w:tabs>
        <w:ind w:left="851"/>
        <w:rPr>
          <w:sz w:val="24"/>
          <w:szCs w:val="24"/>
        </w:rPr>
      </w:pPr>
      <w:r w:rsidRPr="00DD6378">
        <w:rPr>
          <w:sz w:val="24"/>
          <w:szCs w:val="24"/>
          <w:u w:val="single"/>
        </w:rPr>
        <w:t>Graviditet</w:t>
      </w:r>
    </w:p>
    <w:p w14:paraId="5BF0DC1E" w14:textId="77777777" w:rsidR="00DD6378" w:rsidRPr="00DD6378" w:rsidRDefault="00DD6378" w:rsidP="00DD6378">
      <w:pPr>
        <w:tabs>
          <w:tab w:val="left" w:pos="851"/>
        </w:tabs>
        <w:ind w:left="851"/>
        <w:rPr>
          <w:sz w:val="24"/>
          <w:szCs w:val="24"/>
        </w:rPr>
      </w:pPr>
      <w:r w:rsidRPr="00DD6378">
        <w:rPr>
          <w:sz w:val="24"/>
          <w:szCs w:val="24"/>
        </w:rPr>
        <w:t xml:space="preserve">På grund af det begrænsede antal undersøgte patienter er sikkerheden ved </w:t>
      </w:r>
      <w:proofErr w:type="spellStart"/>
      <w:r w:rsidRPr="00DD6378">
        <w:rPr>
          <w:sz w:val="24"/>
          <w:szCs w:val="24"/>
        </w:rPr>
        <w:t>desfluran</w:t>
      </w:r>
      <w:proofErr w:type="spellEnd"/>
      <w:r w:rsidRPr="00DD6378">
        <w:rPr>
          <w:sz w:val="24"/>
          <w:szCs w:val="24"/>
        </w:rPr>
        <w:t xml:space="preserve"> ikke blevet fastslået til brug i obstetriske procedurer. </w:t>
      </w:r>
      <w:proofErr w:type="spellStart"/>
      <w:r w:rsidRPr="00DD6378">
        <w:rPr>
          <w:sz w:val="24"/>
          <w:szCs w:val="24"/>
        </w:rPr>
        <w:t>Desfluran</w:t>
      </w:r>
      <w:proofErr w:type="spellEnd"/>
      <w:r w:rsidRPr="00DD6378">
        <w:rPr>
          <w:sz w:val="24"/>
          <w:szCs w:val="24"/>
        </w:rPr>
        <w:t xml:space="preserve"> virker afslappende på livmoderen og reducerer blodgennemstrømningen mellem livmoderen og placenta. Dyreforsøg har vist reproduktionstoksicitet (se pkt. 5.3). </w:t>
      </w:r>
      <w:proofErr w:type="spellStart"/>
      <w:r w:rsidRPr="00DD6378">
        <w:rPr>
          <w:sz w:val="24"/>
          <w:szCs w:val="24"/>
        </w:rPr>
        <w:t>Desfluran</w:t>
      </w:r>
      <w:proofErr w:type="spellEnd"/>
      <w:r w:rsidRPr="00DD6378">
        <w:rPr>
          <w:sz w:val="24"/>
          <w:szCs w:val="24"/>
        </w:rPr>
        <w:t xml:space="preserve"> bør kun anvendes til gravide kvinder, når det er absolut nødvendigt.</w:t>
      </w:r>
    </w:p>
    <w:p w14:paraId="42394018" w14:textId="77777777" w:rsidR="00DD6378" w:rsidRPr="00DD6378" w:rsidRDefault="00DD6378" w:rsidP="00DD6378">
      <w:pPr>
        <w:tabs>
          <w:tab w:val="left" w:pos="851"/>
        </w:tabs>
        <w:ind w:left="851"/>
        <w:rPr>
          <w:sz w:val="24"/>
          <w:szCs w:val="24"/>
        </w:rPr>
      </w:pPr>
    </w:p>
    <w:p w14:paraId="295CA05A" w14:textId="5A1F092E" w:rsidR="00DD6378" w:rsidRPr="00DD6378" w:rsidRDefault="00DD6378" w:rsidP="00DD6378">
      <w:pPr>
        <w:tabs>
          <w:tab w:val="left" w:pos="851"/>
        </w:tabs>
        <w:ind w:left="851"/>
        <w:rPr>
          <w:sz w:val="24"/>
          <w:szCs w:val="24"/>
          <w:lang w:val="nl-NL"/>
        </w:rPr>
      </w:pPr>
      <w:r w:rsidRPr="00DD6378">
        <w:rPr>
          <w:sz w:val="24"/>
          <w:szCs w:val="24"/>
          <w:u w:val="single"/>
        </w:rPr>
        <w:t>Amning</w:t>
      </w:r>
    </w:p>
    <w:p w14:paraId="6180690C" w14:textId="77777777" w:rsidR="00DD6378" w:rsidRPr="00DD6378" w:rsidRDefault="00DD6378" w:rsidP="00DD6378">
      <w:pPr>
        <w:tabs>
          <w:tab w:val="left" w:pos="851"/>
        </w:tabs>
        <w:ind w:left="851"/>
        <w:rPr>
          <w:sz w:val="24"/>
          <w:szCs w:val="24"/>
        </w:rPr>
      </w:pPr>
      <w:r w:rsidRPr="00DD6378">
        <w:rPr>
          <w:sz w:val="24"/>
          <w:szCs w:val="24"/>
        </w:rPr>
        <w:t xml:space="preserve">Der er ikke tilstrækkelige oplysninger om udskillelsen af </w:t>
      </w:r>
      <w:proofErr w:type="spellStart"/>
      <w:r w:rsidRPr="00DD6378">
        <w:rPr>
          <w:sz w:val="24"/>
          <w:szCs w:val="24"/>
        </w:rPr>
        <w:t>desfluran</w:t>
      </w:r>
      <w:proofErr w:type="spellEnd"/>
      <w:r w:rsidRPr="00DD6378">
        <w:rPr>
          <w:sz w:val="24"/>
          <w:szCs w:val="24"/>
        </w:rPr>
        <w:t xml:space="preserve">/metabolitter i modermælk. Risiko for nyfødte/spædbørn kan ikke udelukkes. Der skal træffes beslutning om enten at afbryde amning eller afstå fra/afbryde </w:t>
      </w:r>
      <w:proofErr w:type="spellStart"/>
      <w:r w:rsidRPr="00DD6378">
        <w:rPr>
          <w:sz w:val="24"/>
          <w:szCs w:val="24"/>
        </w:rPr>
        <w:t>desfluran</w:t>
      </w:r>
      <w:proofErr w:type="spellEnd"/>
      <w:r w:rsidRPr="00DD6378">
        <w:rPr>
          <w:sz w:val="24"/>
          <w:szCs w:val="24"/>
        </w:rPr>
        <w:t xml:space="preserve">-behandlingen, under </w:t>
      </w:r>
      <w:r w:rsidRPr="00DD6378">
        <w:rPr>
          <w:sz w:val="24"/>
          <w:szCs w:val="24"/>
        </w:rPr>
        <w:lastRenderedPageBreak/>
        <w:t xml:space="preserve">hensyntagen til den fordel, barnet har af amning, og fordelen af behandlingen for kvinden. Amning bør undgås efter anæstesi, indtil </w:t>
      </w:r>
      <w:proofErr w:type="spellStart"/>
      <w:r w:rsidRPr="00DD6378">
        <w:rPr>
          <w:sz w:val="24"/>
          <w:szCs w:val="24"/>
        </w:rPr>
        <w:t>desfluran</w:t>
      </w:r>
      <w:proofErr w:type="spellEnd"/>
      <w:r w:rsidRPr="00DD6378">
        <w:rPr>
          <w:sz w:val="24"/>
          <w:szCs w:val="24"/>
        </w:rPr>
        <w:t xml:space="preserve"> er udskilt (ca. 24 timer).</w:t>
      </w:r>
    </w:p>
    <w:p w14:paraId="164ACEB9" w14:textId="77777777" w:rsidR="00DD6378" w:rsidRPr="00DD6378" w:rsidRDefault="00DD6378" w:rsidP="00DD6378">
      <w:pPr>
        <w:tabs>
          <w:tab w:val="left" w:pos="851"/>
        </w:tabs>
        <w:ind w:left="851"/>
        <w:rPr>
          <w:sz w:val="24"/>
          <w:szCs w:val="24"/>
        </w:rPr>
      </w:pPr>
    </w:p>
    <w:p w14:paraId="4EE94F1F" w14:textId="77777777" w:rsidR="00DD6378" w:rsidRPr="00DD6378" w:rsidRDefault="00DD6378" w:rsidP="00DD6378">
      <w:pPr>
        <w:tabs>
          <w:tab w:val="left" w:pos="851"/>
        </w:tabs>
        <w:ind w:left="851"/>
        <w:rPr>
          <w:sz w:val="24"/>
          <w:szCs w:val="24"/>
        </w:rPr>
      </w:pPr>
      <w:r w:rsidRPr="00DD6378">
        <w:rPr>
          <w:sz w:val="24"/>
          <w:szCs w:val="24"/>
          <w:u w:val="single"/>
        </w:rPr>
        <w:t>Fertilitet</w:t>
      </w:r>
    </w:p>
    <w:p w14:paraId="678D2FC7" w14:textId="77777777" w:rsidR="00DD6378" w:rsidRPr="00DD6378" w:rsidRDefault="00DD6378" w:rsidP="00DD6378">
      <w:pPr>
        <w:tabs>
          <w:tab w:val="left" w:pos="851"/>
        </w:tabs>
        <w:ind w:left="851"/>
        <w:rPr>
          <w:sz w:val="24"/>
          <w:szCs w:val="24"/>
          <w:lang w:val="nl-NL"/>
        </w:rPr>
      </w:pPr>
      <w:r w:rsidRPr="00DD6378">
        <w:rPr>
          <w:sz w:val="24"/>
          <w:szCs w:val="24"/>
        </w:rPr>
        <w:t xml:space="preserve">Der foreligger ingen data om </w:t>
      </w:r>
      <w:proofErr w:type="spellStart"/>
      <w:r w:rsidRPr="00DD6378">
        <w:rPr>
          <w:sz w:val="24"/>
          <w:szCs w:val="24"/>
        </w:rPr>
        <w:t>desflurans</w:t>
      </w:r>
      <w:proofErr w:type="spellEnd"/>
      <w:r w:rsidRPr="00DD6378">
        <w:rPr>
          <w:sz w:val="24"/>
          <w:szCs w:val="24"/>
        </w:rPr>
        <w:t xml:space="preserve"> potentielle indvirkning på fertiliteten hos mennesker. Hos rotter blev der observeret virkninger på fertiliteten (se pkt. 5.3).</w:t>
      </w:r>
    </w:p>
    <w:p w14:paraId="5A82E37C" w14:textId="77777777" w:rsidR="009260DE" w:rsidRPr="00DD6378" w:rsidRDefault="009260DE" w:rsidP="009260DE">
      <w:pPr>
        <w:tabs>
          <w:tab w:val="left" w:pos="851"/>
        </w:tabs>
        <w:ind w:left="851"/>
        <w:rPr>
          <w:sz w:val="24"/>
          <w:szCs w:val="24"/>
          <w:lang w:val="nl-NL"/>
        </w:rPr>
      </w:pPr>
    </w:p>
    <w:p w14:paraId="6A5DE0F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C598081" w14:textId="4EDB4D49" w:rsidR="00B35623" w:rsidRPr="00B35623" w:rsidRDefault="00B35623" w:rsidP="00B35623">
      <w:pPr>
        <w:tabs>
          <w:tab w:val="left" w:pos="851"/>
        </w:tabs>
        <w:ind w:left="851"/>
        <w:rPr>
          <w:bCs/>
          <w:sz w:val="24"/>
          <w:szCs w:val="24"/>
          <w:lang w:val="nl-NL"/>
        </w:rPr>
      </w:pPr>
      <w:r w:rsidRPr="00B35623">
        <w:rPr>
          <w:bCs/>
          <w:sz w:val="24"/>
          <w:szCs w:val="24"/>
          <w:lang w:val="nl-NL"/>
        </w:rPr>
        <w:t>Ikke mærkning.</w:t>
      </w:r>
    </w:p>
    <w:p w14:paraId="20A3ADA8" w14:textId="77777777" w:rsidR="00B35623" w:rsidRPr="00B35623" w:rsidRDefault="00B35623" w:rsidP="00B35623">
      <w:pPr>
        <w:tabs>
          <w:tab w:val="left" w:pos="851"/>
        </w:tabs>
        <w:ind w:left="851"/>
        <w:rPr>
          <w:sz w:val="24"/>
          <w:szCs w:val="24"/>
        </w:rPr>
      </w:pPr>
      <w:r w:rsidRPr="00B35623">
        <w:rPr>
          <w:sz w:val="24"/>
          <w:szCs w:val="24"/>
        </w:rPr>
        <w:t xml:space="preserve">Der er ingen data om virkningerne af </w:t>
      </w:r>
      <w:proofErr w:type="spellStart"/>
      <w:r w:rsidRPr="00B35623">
        <w:rPr>
          <w:sz w:val="24"/>
          <w:szCs w:val="24"/>
        </w:rPr>
        <w:t>desfluran</w:t>
      </w:r>
      <w:proofErr w:type="spellEnd"/>
      <w:r w:rsidRPr="00B35623">
        <w:rPr>
          <w:sz w:val="24"/>
          <w:szCs w:val="24"/>
        </w:rPr>
        <w:t xml:space="preserve"> efter anæstesi på evnen til at køre bil eller bruge maskiner. Patienterne skal dog informeres om, at evnen til at udføre sådanne opgaver kan være nedsat efter generel anæstesi. Det tilrådes derfor at undgå sådanne opgaver i en periode på 24 timer efter anæstesien.</w:t>
      </w:r>
    </w:p>
    <w:p w14:paraId="317C5652" w14:textId="77777777" w:rsidR="009260DE" w:rsidRPr="00C84483" w:rsidRDefault="009260DE" w:rsidP="009260DE">
      <w:pPr>
        <w:tabs>
          <w:tab w:val="left" w:pos="851"/>
        </w:tabs>
        <w:ind w:left="851"/>
        <w:rPr>
          <w:sz w:val="24"/>
          <w:szCs w:val="24"/>
        </w:rPr>
      </w:pPr>
    </w:p>
    <w:p w14:paraId="0A0863A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3425954" w14:textId="77777777" w:rsidR="00B35623" w:rsidRPr="00B35623" w:rsidRDefault="00B35623" w:rsidP="00B35623">
      <w:pPr>
        <w:ind w:left="851"/>
        <w:rPr>
          <w:sz w:val="24"/>
          <w:szCs w:val="24"/>
          <w:lang w:eastAsia="en-IN"/>
        </w:rPr>
      </w:pPr>
      <w:proofErr w:type="spellStart"/>
      <w:r w:rsidRPr="00B35623">
        <w:rPr>
          <w:rFonts w:asciiTheme="majorBidi" w:hAnsiTheme="majorBidi" w:cstheme="majorBidi"/>
          <w:snapToGrid w:val="0"/>
          <w:sz w:val="24"/>
          <w:szCs w:val="24"/>
        </w:rPr>
        <w:t>Desfluran</w:t>
      </w:r>
      <w:proofErr w:type="spellEnd"/>
      <w:r w:rsidRPr="00B35623">
        <w:rPr>
          <w:rFonts w:asciiTheme="majorBidi" w:hAnsiTheme="majorBidi" w:cstheme="majorBidi"/>
          <w:snapToGrid w:val="0"/>
          <w:sz w:val="24"/>
          <w:szCs w:val="24"/>
        </w:rPr>
        <w:t xml:space="preserve"> kan forårsage dosisafhængig hjerte- og respirationsdepression og en let, intraoperativ stigning i blodsukkerniveauet. De fleste bivirkninger er af let til moderat grad.</w:t>
      </w:r>
      <w:r w:rsidRPr="00B35623">
        <w:rPr>
          <w:sz w:val="24"/>
          <w:szCs w:val="24"/>
        </w:rPr>
        <w:t xml:space="preserve"> Kvalme og opkastning har været rapporteret i den postoperative periode og er almindelige symptomer efter kirurgi under generel anæstesi, som kan skyldes inhalationsanæstesimidlet, andre lægemidler administreret under eller efter kirurgi eller patientens reaktion på operationen.</w:t>
      </w:r>
    </w:p>
    <w:p w14:paraId="7369976C" w14:textId="77777777" w:rsidR="00B35623" w:rsidRPr="00B35623" w:rsidRDefault="00B35623" w:rsidP="00B35623">
      <w:pPr>
        <w:pStyle w:val="Brdtekst"/>
        <w:kinsoku w:val="0"/>
        <w:overflowPunct w:val="0"/>
        <w:snapToGrid w:val="0"/>
        <w:ind w:left="851"/>
        <w:jc w:val="both"/>
        <w:rPr>
          <w:rFonts w:asciiTheme="majorBidi" w:hAnsiTheme="majorBidi" w:cstheme="majorBidi"/>
          <w:snapToGrid w:val="0"/>
          <w:sz w:val="24"/>
          <w:szCs w:val="24"/>
          <w:lang w:val="da-DK"/>
        </w:rPr>
      </w:pPr>
    </w:p>
    <w:p w14:paraId="34E2F502" w14:textId="77777777" w:rsidR="00B35623" w:rsidRPr="00B35623" w:rsidRDefault="00B35623" w:rsidP="00B35623">
      <w:pPr>
        <w:pStyle w:val="Brdtekst"/>
        <w:kinsoku w:val="0"/>
        <w:overflowPunct w:val="0"/>
        <w:snapToGrid w:val="0"/>
        <w:ind w:left="851"/>
        <w:rPr>
          <w:rFonts w:asciiTheme="majorBidi" w:eastAsia="Times New Roman"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De bivirkninger, der er anført nedenfor, er angivet efter følgende frekvenser:</w:t>
      </w:r>
    </w:p>
    <w:p w14:paraId="41B501F4"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Meget almindelig (≥1/10)</w:t>
      </w:r>
    </w:p>
    <w:p w14:paraId="5818BFB0" w14:textId="77777777" w:rsidR="00B35623" w:rsidRPr="00B35623" w:rsidRDefault="00B35623" w:rsidP="00B35623">
      <w:pPr>
        <w:pStyle w:val="Brdtekst"/>
        <w:kinsoku w:val="0"/>
        <w:overflowPunct w:val="0"/>
        <w:snapToGrid w:val="0"/>
        <w:ind w:left="851"/>
        <w:jc w:val="both"/>
        <w:rPr>
          <w:rFonts w:asciiTheme="majorBidi"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Almindelig (≥1/100 til &lt;1/10)</w:t>
      </w:r>
    </w:p>
    <w:p w14:paraId="487EAFCF" w14:textId="77777777" w:rsidR="00B35623" w:rsidRPr="00B35623" w:rsidRDefault="00B35623" w:rsidP="00B35623">
      <w:pPr>
        <w:pStyle w:val="Brdtekst"/>
        <w:kinsoku w:val="0"/>
        <w:overflowPunct w:val="0"/>
        <w:snapToGrid w:val="0"/>
        <w:ind w:left="851"/>
        <w:rPr>
          <w:rFonts w:asciiTheme="majorBidi" w:eastAsia="Times New Roman"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 xml:space="preserve">Ikke almindelig (≥1/1 000 til &lt;1/100) </w:t>
      </w:r>
    </w:p>
    <w:p w14:paraId="3F2B6F1E"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Sjælden (≥ 1/10 000 til &lt;1/1 000)</w:t>
      </w:r>
    </w:p>
    <w:p w14:paraId="0052A05A" w14:textId="77777777" w:rsidR="00B35623" w:rsidRPr="00B35623" w:rsidRDefault="00B35623" w:rsidP="00B35623">
      <w:pPr>
        <w:pStyle w:val="Brdtekst"/>
        <w:kinsoku w:val="0"/>
        <w:overflowPunct w:val="0"/>
        <w:snapToGrid w:val="0"/>
        <w:ind w:left="851"/>
        <w:jc w:val="both"/>
        <w:rPr>
          <w:rFonts w:asciiTheme="majorBidi" w:hAnsiTheme="majorBidi" w:cstheme="majorBidi"/>
          <w:snapToGrid w:val="0"/>
          <w:sz w:val="24"/>
          <w:szCs w:val="24"/>
          <w:lang w:val="nl-NL"/>
        </w:rPr>
      </w:pPr>
      <w:r w:rsidRPr="00B35623">
        <w:rPr>
          <w:rFonts w:asciiTheme="majorBidi" w:eastAsia="Times New Roman" w:hAnsiTheme="majorBidi" w:cstheme="majorBidi"/>
          <w:snapToGrid w:val="0"/>
          <w:sz w:val="24"/>
          <w:szCs w:val="24"/>
          <w:lang w:val="da-DK"/>
        </w:rPr>
        <w:t>Meget sjælden (&lt;1/10 000)</w:t>
      </w:r>
    </w:p>
    <w:p w14:paraId="7CDE56FC" w14:textId="77777777" w:rsidR="00B35623" w:rsidRPr="00B35623" w:rsidRDefault="00B35623" w:rsidP="00B35623">
      <w:pPr>
        <w:pStyle w:val="Brdtekst"/>
        <w:kinsoku w:val="0"/>
        <w:overflowPunct w:val="0"/>
        <w:snapToGrid w:val="0"/>
        <w:ind w:left="851"/>
        <w:jc w:val="both"/>
        <w:rPr>
          <w:rFonts w:asciiTheme="majorBidi" w:hAnsiTheme="majorBidi" w:cstheme="majorBidi"/>
          <w:snapToGrid w:val="0"/>
          <w:sz w:val="24"/>
          <w:szCs w:val="24"/>
          <w:lang w:val="nl-NL"/>
        </w:rPr>
      </w:pPr>
      <w:r w:rsidRPr="00B35623">
        <w:rPr>
          <w:rFonts w:asciiTheme="majorBidi" w:eastAsia="Times New Roman" w:hAnsiTheme="majorBidi" w:cstheme="majorBidi"/>
          <w:snapToGrid w:val="0"/>
          <w:sz w:val="24"/>
          <w:szCs w:val="24"/>
          <w:lang w:val="da-DK"/>
        </w:rPr>
        <w:t>Ikke kendt (hyppigheden kan ikke estimeres ud fra forhåndenværende data)</w:t>
      </w:r>
    </w:p>
    <w:p w14:paraId="78BC0DE3"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nl-NL"/>
        </w:rPr>
      </w:pPr>
    </w:p>
    <w:p w14:paraId="616DADEE"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nl-NL"/>
        </w:rPr>
      </w:pPr>
      <w:r w:rsidRPr="00B35623">
        <w:rPr>
          <w:rFonts w:asciiTheme="majorBidi" w:eastAsia="Times New Roman" w:hAnsiTheme="majorBidi" w:cstheme="majorBidi"/>
          <w:snapToGrid w:val="0"/>
          <w:sz w:val="24"/>
          <w:szCs w:val="24"/>
          <w:lang w:val="da-DK"/>
        </w:rPr>
        <w:t xml:space="preserve">Tabel 4 viser bivirkningerne efter systemorganklasse i henhold til </w:t>
      </w:r>
      <w:proofErr w:type="spellStart"/>
      <w:r w:rsidRPr="00B35623">
        <w:rPr>
          <w:rFonts w:asciiTheme="majorBidi" w:eastAsia="Times New Roman" w:hAnsiTheme="majorBidi" w:cstheme="majorBidi"/>
          <w:snapToGrid w:val="0"/>
          <w:sz w:val="24"/>
          <w:szCs w:val="24"/>
          <w:lang w:val="da-DK"/>
        </w:rPr>
        <w:t>MedDRA</w:t>
      </w:r>
      <w:proofErr w:type="spellEnd"/>
      <w:r w:rsidRPr="00B35623">
        <w:rPr>
          <w:rFonts w:asciiTheme="majorBidi" w:eastAsia="Times New Roman" w:hAnsiTheme="majorBidi" w:cstheme="majorBidi"/>
          <w:snapToGrid w:val="0"/>
          <w:sz w:val="24"/>
          <w:szCs w:val="24"/>
          <w:lang w:val="da-DK"/>
        </w:rPr>
        <w:t>-terminologi og hyppighed.</w:t>
      </w:r>
    </w:p>
    <w:p w14:paraId="1445F357" w14:textId="77777777" w:rsidR="00B35623" w:rsidRDefault="00B35623" w:rsidP="00B35623">
      <w:pPr>
        <w:pStyle w:val="Brdtekst"/>
        <w:kinsoku w:val="0"/>
        <w:overflowPunct w:val="0"/>
        <w:snapToGrid w:val="0"/>
        <w:rPr>
          <w:rFonts w:asciiTheme="majorBidi" w:hAnsiTheme="majorBidi" w:cstheme="majorBidi"/>
          <w:snapToGrid w:val="0"/>
          <w:lang w:val="nl-NL"/>
        </w:rPr>
      </w:pPr>
    </w:p>
    <w:tbl>
      <w:tblPr>
        <w:tblW w:w="5000" w:type="pct"/>
        <w:tblCellMar>
          <w:top w:w="85" w:type="dxa"/>
          <w:left w:w="85" w:type="dxa"/>
          <w:bottom w:w="85" w:type="dxa"/>
          <w:right w:w="85" w:type="dxa"/>
        </w:tblCellMar>
        <w:tblLook w:val="04A0" w:firstRow="1" w:lastRow="0" w:firstColumn="1" w:lastColumn="0" w:noHBand="0" w:noVBand="1"/>
      </w:tblPr>
      <w:tblGrid>
        <w:gridCol w:w="2931"/>
        <w:gridCol w:w="3776"/>
        <w:gridCol w:w="2921"/>
      </w:tblGrid>
      <w:tr w:rsidR="00B35623" w:rsidRPr="00BE1776" w14:paraId="224EA55B" w14:textId="77777777" w:rsidTr="00B35623">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BEBEB"/>
            <w:hideMark/>
          </w:tcPr>
          <w:p w14:paraId="5A950787" w14:textId="77777777" w:rsidR="00B35623" w:rsidRPr="00BE1776"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sidRPr="00BE1776">
              <w:rPr>
                <w:rFonts w:asciiTheme="majorBidi" w:eastAsia="Times New Roman" w:hAnsiTheme="majorBidi" w:cstheme="majorBidi"/>
                <w:b/>
                <w:bCs/>
                <w:snapToGrid w:val="0"/>
                <w:sz w:val="22"/>
                <w:szCs w:val="22"/>
                <w:lang w:val="da-DK"/>
              </w:rPr>
              <w:t>Tabel 4. Bivirkninger af lægemidlet</w:t>
            </w:r>
          </w:p>
        </w:tc>
      </w:tr>
      <w:tr w:rsidR="00B35623" w14:paraId="45F62E38"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shd w:val="clear" w:color="auto" w:fill="EBEBEB"/>
            <w:hideMark/>
          </w:tcPr>
          <w:p w14:paraId="3E2A4955"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Systemorganklasse</w:t>
            </w:r>
          </w:p>
        </w:tc>
        <w:tc>
          <w:tcPr>
            <w:tcW w:w="1961" w:type="pct"/>
            <w:tcBorders>
              <w:top w:val="single" w:sz="4" w:space="0" w:color="000000"/>
              <w:left w:val="single" w:sz="4" w:space="0" w:color="000000"/>
              <w:bottom w:val="single" w:sz="4" w:space="0" w:color="000000"/>
              <w:right w:val="single" w:sz="4" w:space="0" w:color="000000"/>
            </w:tcBorders>
            <w:shd w:val="clear" w:color="auto" w:fill="EBEBEB"/>
            <w:hideMark/>
          </w:tcPr>
          <w:p w14:paraId="774C2156"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Bivirkning</w:t>
            </w:r>
          </w:p>
        </w:tc>
        <w:tc>
          <w:tcPr>
            <w:tcW w:w="1517" w:type="pct"/>
            <w:tcBorders>
              <w:top w:val="single" w:sz="4" w:space="0" w:color="000000"/>
              <w:left w:val="single" w:sz="4" w:space="0" w:color="000000"/>
              <w:bottom w:val="single" w:sz="4" w:space="0" w:color="000000"/>
              <w:right w:val="single" w:sz="4" w:space="0" w:color="000000"/>
            </w:tcBorders>
            <w:shd w:val="clear" w:color="auto" w:fill="EBEBEB"/>
            <w:hideMark/>
          </w:tcPr>
          <w:p w14:paraId="3EA7C9D1"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b/>
                <w:bCs/>
                <w:snapToGrid w:val="0"/>
                <w:sz w:val="22"/>
                <w:szCs w:val="22"/>
                <w:lang w:val="da-DK"/>
              </w:rPr>
              <w:t>Hyppighed</w:t>
            </w:r>
          </w:p>
        </w:tc>
      </w:tr>
      <w:tr w:rsidR="00B35623" w14:paraId="4514602B"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1057E546"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Infektioner og parasitære sygdomme</w:t>
            </w:r>
          </w:p>
        </w:tc>
        <w:tc>
          <w:tcPr>
            <w:tcW w:w="1961" w:type="pct"/>
            <w:tcBorders>
              <w:top w:val="single" w:sz="4" w:space="0" w:color="000000"/>
              <w:left w:val="single" w:sz="4" w:space="0" w:color="000000"/>
              <w:bottom w:val="single" w:sz="4" w:space="0" w:color="000000"/>
              <w:right w:val="single" w:sz="4" w:space="0" w:color="000000"/>
            </w:tcBorders>
            <w:hideMark/>
          </w:tcPr>
          <w:p w14:paraId="17037A7C"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proofErr w:type="spellStart"/>
            <w:r>
              <w:rPr>
                <w:rFonts w:asciiTheme="majorBidi" w:eastAsia="Times New Roman" w:hAnsiTheme="majorBidi" w:cstheme="majorBidi"/>
                <w:snapToGrid w:val="0"/>
                <w:sz w:val="22"/>
                <w:szCs w:val="22"/>
                <w:lang w:val="da-DK"/>
              </w:rPr>
              <w:t>Pharyngitis</w:t>
            </w:r>
            <w:proofErr w:type="spellEnd"/>
          </w:p>
        </w:tc>
        <w:tc>
          <w:tcPr>
            <w:tcW w:w="1517" w:type="pct"/>
            <w:tcBorders>
              <w:top w:val="single" w:sz="4" w:space="0" w:color="000000"/>
              <w:left w:val="single" w:sz="4" w:space="0" w:color="000000"/>
              <w:bottom w:val="single" w:sz="4" w:space="0" w:color="000000"/>
              <w:right w:val="single" w:sz="4" w:space="0" w:color="000000"/>
            </w:tcBorders>
            <w:hideMark/>
          </w:tcPr>
          <w:p w14:paraId="7B7EA888"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Almindelig</w:t>
            </w:r>
          </w:p>
        </w:tc>
      </w:tr>
      <w:tr w:rsidR="00B35623" w14:paraId="1E1E9AC5"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39BA27B7"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Blod og lymfesystem</w:t>
            </w:r>
          </w:p>
        </w:tc>
        <w:tc>
          <w:tcPr>
            <w:tcW w:w="1961" w:type="pct"/>
            <w:tcBorders>
              <w:top w:val="single" w:sz="4" w:space="0" w:color="000000"/>
              <w:left w:val="single" w:sz="4" w:space="0" w:color="000000"/>
              <w:bottom w:val="single" w:sz="4" w:space="0" w:color="000000"/>
              <w:right w:val="single" w:sz="4" w:space="0" w:color="000000"/>
            </w:tcBorders>
            <w:hideMark/>
          </w:tcPr>
          <w:p w14:paraId="35926602"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proofErr w:type="spellStart"/>
            <w:r>
              <w:rPr>
                <w:rFonts w:asciiTheme="majorBidi" w:eastAsia="Times New Roman" w:hAnsiTheme="majorBidi" w:cstheme="majorBidi"/>
                <w:snapToGrid w:val="0"/>
                <w:sz w:val="22"/>
                <w:szCs w:val="22"/>
                <w:lang w:val="da-DK"/>
              </w:rPr>
              <w:t>Koagulopati</w:t>
            </w:r>
            <w:proofErr w:type="spellEnd"/>
          </w:p>
        </w:tc>
        <w:tc>
          <w:tcPr>
            <w:tcW w:w="1517" w:type="pct"/>
            <w:tcBorders>
              <w:top w:val="single" w:sz="4" w:space="0" w:color="000000"/>
              <w:left w:val="single" w:sz="4" w:space="0" w:color="000000"/>
              <w:bottom w:val="single" w:sz="4" w:space="0" w:color="000000"/>
              <w:right w:val="single" w:sz="4" w:space="0" w:color="000000"/>
            </w:tcBorders>
            <w:hideMark/>
          </w:tcPr>
          <w:p w14:paraId="4C601BFD"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Ikke kendt</w:t>
            </w:r>
          </w:p>
        </w:tc>
      </w:tr>
      <w:tr w:rsidR="00B35623" w14:paraId="2065C7A1"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17243396"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Metabolisme og ernæring</w:t>
            </w:r>
          </w:p>
        </w:tc>
        <w:tc>
          <w:tcPr>
            <w:tcW w:w="1961" w:type="pct"/>
            <w:tcBorders>
              <w:top w:val="single" w:sz="4" w:space="0" w:color="000000"/>
              <w:left w:val="single" w:sz="4" w:space="0" w:color="000000"/>
              <w:bottom w:val="single" w:sz="4" w:space="0" w:color="000000"/>
              <w:right w:val="single" w:sz="4" w:space="0" w:color="000000"/>
            </w:tcBorders>
            <w:hideMark/>
          </w:tcPr>
          <w:p w14:paraId="62DBC7EC"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Hyperkaliæmi</w:t>
            </w:r>
            <w:proofErr w:type="spellEnd"/>
          </w:p>
          <w:p w14:paraId="24919F0C"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Hypokaliæmi</w:t>
            </w:r>
            <w:proofErr w:type="spellEnd"/>
          </w:p>
          <w:p w14:paraId="018F61EF"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 xml:space="preserve">Metabolisk </w:t>
            </w:r>
            <w:proofErr w:type="spellStart"/>
            <w:r>
              <w:rPr>
                <w:rFonts w:asciiTheme="majorBidi" w:eastAsia="Times New Roman" w:hAnsiTheme="majorBidi" w:cstheme="majorBidi"/>
                <w:snapToGrid w:val="0"/>
                <w:sz w:val="22"/>
                <w:szCs w:val="22"/>
                <w:lang w:val="da-DK"/>
              </w:rPr>
              <w:t>acidose</w:t>
            </w:r>
            <w:proofErr w:type="spellEnd"/>
          </w:p>
        </w:tc>
        <w:tc>
          <w:tcPr>
            <w:tcW w:w="1517" w:type="pct"/>
            <w:tcBorders>
              <w:top w:val="single" w:sz="4" w:space="0" w:color="000000"/>
              <w:left w:val="single" w:sz="4" w:space="0" w:color="000000"/>
              <w:bottom w:val="single" w:sz="4" w:space="0" w:color="000000"/>
              <w:right w:val="single" w:sz="4" w:space="0" w:color="000000"/>
            </w:tcBorders>
            <w:hideMark/>
          </w:tcPr>
          <w:p w14:paraId="74ACC7B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2377AD8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4148C978"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4E7130C3"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7BA82674"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Psykiske forstyrrelser</w:t>
            </w:r>
          </w:p>
        </w:tc>
        <w:tc>
          <w:tcPr>
            <w:tcW w:w="1961" w:type="pct"/>
            <w:tcBorders>
              <w:top w:val="single" w:sz="4" w:space="0" w:color="000000"/>
              <w:left w:val="single" w:sz="4" w:space="0" w:color="000000"/>
              <w:bottom w:val="single" w:sz="4" w:space="0" w:color="000000"/>
              <w:right w:val="single" w:sz="4" w:space="0" w:color="000000"/>
            </w:tcBorders>
            <w:hideMark/>
          </w:tcPr>
          <w:p w14:paraId="7CD82E7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Åndedrætsstop</w:t>
            </w:r>
          </w:p>
          <w:p w14:paraId="0C7B9507"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Agitation</w:t>
            </w:r>
          </w:p>
        </w:tc>
        <w:tc>
          <w:tcPr>
            <w:tcW w:w="1517" w:type="pct"/>
            <w:tcBorders>
              <w:top w:val="single" w:sz="4" w:space="0" w:color="000000"/>
              <w:left w:val="single" w:sz="4" w:space="0" w:color="000000"/>
              <w:bottom w:val="single" w:sz="4" w:space="0" w:color="000000"/>
              <w:right w:val="single" w:sz="4" w:space="0" w:color="000000"/>
            </w:tcBorders>
            <w:hideMark/>
          </w:tcPr>
          <w:p w14:paraId="7C10E284"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Almindelig</w:t>
            </w:r>
          </w:p>
          <w:p w14:paraId="2ECECBE7"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Ikke almindelig</w:t>
            </w:r>
          </w:p>
        </w:tc>
      </w:tr>
      <w:tr w:rsidR="00B35623" w14:paraId="00562078"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67688C7E"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lastRenderedPageBreak/>
              <w:t>Nervesystemet</w:t>
            </w:r>
          </w:p>
        </w:tc>
        <w:tc>
          <w:tcPr>
            <w:tcW w:w="1961" w:type="pct"/>
            <w:tcBorders>
              <w:top w:val="single" w:sz="4" w:space="0" w:color="000000"/>
              <w:left w:val="single" w:sz="4" w:space="0" w:color="000000"/>
              <w:bottom w:val="single" w:sz="4" w:space="0" w:color="000000"/>
              <w:right w:val="single" w:sz="4" w:space="0" w:color="000000"/>
            </w:tcBorders>
            <w:hideMark/>
          </w:tcPr>
          <w:p w14:paraId="30E2ADF1"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Hovedpine</w:t>
            </w:r>
          </w:p>
          <w:p w14:paraId="0337CD2C"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Somnolens</w:t>
            </w:r>
            <w:proofErr w:type="spellEnd"/>
          </w:p>
          <w:p w14:paraId="0EC6C39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Anfald</w:t>
            </w:r>
          </w:p>
          <w:p w14:paraId="7A49361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vertAlign w:val="superscript"/>
                <w:lang w:val="da-DK"/>
              </w:rPr>
            </w:pPr>
            <w:r>
              <w:rPr>
                <w:rFonts w:asciiTheme="majorBidi" w:eastAsia="Times New Roman" w:hAnsiTheme="majorBidi" w:cstheme="majorBidi"/>
                <w:snapToGrid w:val="0"/>
                <w:sz w:val="22"/>
                <w:szCs w:val="22"/>
                <w:lang w:val="da-DK"/>
              </w:rPr>
              <w:t>Svimmelhed</w:t>
            </w:r>
            <w:r>
              <w:rPr>
                <w:rFonts w:asciiTheme="majorBidi" w:eastAsia="Times New Roman" w:hAnsiTheme="majorBidi" w:cstheme="majorBidi"/>
                <w:snapToGrid w:val="0"/>
                <w:sz w:val="22"/>
                <w:szCs w:val="22"/>
                <w:vertAlign w:val="superscript"/>
                <w:lang w:val="da-DK"/>
              </w:rPr>
              <w:t>3</w:t>
            </w:r>
          </w:p>
          <w:p w14:paraId="65AD0BD6"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vertAlign w:val="superscript"/>
                <w:lang w:val="da-DK"/>
              </w:rPr>
            </w:pPr>
            <w:r>
              <w:rPr>
                <w:rFonts w:asciiTheme="majorBidi" w:eastAsia="Times New Roman" w:hAnsiTheme="majorBidi" w:cstheme="majorBidi"/>
                <w:snapToGrid w:val="0"/>
                <w:sz w:val="22"/>
                <w:szCs w:val="22"/>
                <w:lang w:val="da-DK"/>
              </w:rPr>
              <w:t>Migræne</w:t>
            </w:r>
            <w:r>
              <w:rPr>
                <w:rFonts w:asciiTheme="majorBidi" w:eastAsia="Times New Roman" w:hAnsiTheme="majorBidi" w:cstheme="majorBidi"/>
                <w:snapToGrid w:val="0"/>
                <w:sz w:val="22"/>
                <w:szCs w:val="22"/>
                <w:vertAlign w:val="superscript"/>
                <w:lang w:val="da-DK"/>
              </w:rPr>
              <w:t>3</w:t>
            </w:r>
          </w:p>
          <w:p w14:paraId="3AABF7C5"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Encefalopati</w:t>
            </w:r>
            <w:r>
              <w:rPr>
                <w:rFonts w:asciiTheme="majorBidi" w:eastAsia="Times New Roman" w:hAnsiTheme="majorBidi" w:cstheme="majorBidi"/>
                <w:snapToGrid w:val="0"/>
                <w:sz w:val="22"/>
                <w:szCs w:val="22"/>
                <w:vertAlign w:val="superscript"/>
                <w:lang w:val="da-DK"/>
              </w:rPr>
              <w:t>3</w:t>
            </w:r>
          </w:p>
        </w:tc>
        <w:tc>
          <w:tcPr>
            <w:tcW w:w="1517" w:type="pct"/>
            <w:tcBorders>
              <w:top w:val="single" w:sz="4" w:space="0" w:color="000000"/>
              <w:left w:val="single" w:sz="4" w:space="0" w:color="000000"/>
              <w:bottom w:val="single" w:sz="4" w:space="0" w:color="000000"/>
              <w:right w:val="single" w:sz="4" w:space="0" w:color="000000"/>
            </w:tcBorders>
            <w:hideMark/>
          </w:tcPr>
          <w:p w14:paraId="724D1109"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Almindelig </w:t>
            </w:r>
          </w:p>
          <w:p w14:paraId="1193899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almindelig </w:t>
            </w:r>
          </w:p>
          <w:p w14:paraId="64135C45"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55C7B628"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69A3F65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522F6C2F"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49FF770D"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03284376"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Øjne</w:t>
            </w:r>
          </w:p>
        </w:tc>
        <w:tc>
          <w:tcPr>
            <w:tcW w:w="1961" w:type="pct"/>
            <w:tcBorders>
              <w:top w:val="single" w:sz="4" w:space="0" w:color="000000"/>
              <w:left w:val="single" w:sz="4" w:space="0" w:color="000000"/>
              <w:bottom w:val="single" w:sz="4" w:space="0" w:color="000000"/>
              <w:right w:val="single" w:sz="4" w:space="0" w:color="000000"/>
            </w:tcBorders>
            <w:hideMark/>
          </w:tcPr>
          <w:p w14:paraId="3AB0AB42"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Konjunktivitis</w:t>
            </w:r>
            <w:proofErr w:type="spellEnd"/>
            <w:r>
              <w:rPr>
                <w:rFonts w:asciiTheme="majorBidi" w:eastAsia="Times New Roman" w:hAnsiTheme="majorBidi" w:cstheme="majorBidi"/>
                <w:snapToGrid w:val="0"/>
                <w:sz w:val="22"/>
                <w:szCs w:val="22"/>
                <w:lang w:val="da-DK"/>
              </w:rPr>
              <w:t xml:space="preserve"> </w:t>
            </w:r>
          </w:p>
          <w:p w14:paraId="26A6DD55"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vertAlign w:val="superscript"/>
                <w:lang w:val="da-DK"/>
              </w:rPr>
            </w:pPr>
            <w:r>
              <w:rPr>
                <w:rFonts w:asciiTheme="majorBidi" w:eastAsia="Times New Roman" w:hAnsiTheme="majorBidi" w:cstheme="majorBidi"/>
                <w:snapToGrid w:val="0"/>
                <w:sz w:val="22"/>
                <w:szCs w:val="22"/>
                <w:lang w:val="da-DK"/>
              </w:rPr>
              <w:t>Ulcerøs keratitis</w:t>
            </w:r>
            <w:r>
              <w:rPr>
                <w:rFonts w:asciiTheme="majorBidi" w:eastAsia="Times New Roman" w:hAnsiTheme="majorBidi" w:cstheme="majorBidi"/>
                <w:snapToGrid w:val="0"/>
                <w:sz w:val="22"/>
                <w:szCs w:val="22"/>
                <w:vertAlign w:val="superscript"/>
                <w:lang w:val="da-DK"/>
              </w:rPr>
              <w:t xml:space="preserve">3 </w:t>
            </w:r>
          </w:p>
          <w:p w14:paraId="6A85BBAD"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vertAlign w:val="superscript"/>
                <w:lang w:val="da-DK"/>
              </w:rPr>
            </w:pPr>
            <w:proofErr w:type="spellStart"/>
            <w:r>
              <w:rPr>
                <w:rFonts w:asciiTheme="majorBidi" w:eastAsia="Times New Roman" w:hAnsiTheme="majorBidi" w:cstheme="majorBidi"/>
                <w:snapToGrid w:val="0"/>
                <w:sz w:val="22"/>
                <w:szCs w:val="22"/>
                <w:lang w:val="da-DK"/>
              </w:rPr>
              <w:t>Okulær</w:t>
            </w:r>
            <w:proofErr w:type="spellEnd"/>
            <w:r>
              <w:rPr>
                <w:rFonts w:asciiTheme="majorBidi" w:eastAsia="Times New Roman" w:hAnsiTheme="majorBidi" w:cstheme="majorBidi"/>
                <w:snapToGrid w:val="0"/>
                <w:sz w:val="22"/>
                <w:szCs w:val="22"/>
                <w:lang w:val="da-DK"/>
              </w:rPr>
              <w:t xml:space="preserve"> hyperæmi</w:t>
            </w:r>
            <w:r>
              <w:rPr>
                <w:rFonts w:asciiTheme="majorBidi" w:eastAsia="Times New Roman" w:hAnsiTheme="majorBidi" w:cstheme="majorBidi"/>
                <w:snapToGrid w:val="0"/>
                <w:sz w:val="22"/>
                <w:szCs w:val="22"/>
                <w:vertAlign w:val="superscript"/>
                <w:lang w:val="da-DK"/>
              </w:rPr>
              <w:t xml:space="preserve">3 </w:t>
            </w:r>
          </w:p>
          <w:p w14:paraId="277DC5B9"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Nedsat synsstyrke</w:t>
            </w:r>
            <w:r>
              <w:rPr>
                <w:rFonts w:asciiTheme="majorBidi" w:eastAsia="Times New Roman" w:hAnsiTheme="majorBidi" w:cstheme="majorBidi"/>
                <w:snapToGrid w:val="0"/>
                <w:sz w:val="22"/>
                <w:szCs w:val="22"/>
                <w:vertAlign w:val="superscript"/>
                <w:lang w:val="da-DK"/>
              </w:rPr>
              <w:t>3</w:t>
            </w:r>
            <w:r>
              <w:rPr>
                <w:rFonts w:asciiTheme="majorBidi" w:eastAsia="Times New Roman" w:hAnsiTheme="majorBidi" w:cstheme="majorBidi"/>
                <w:snapToGrid w:val="0"/>
                <w:sz w:val="22"/>
                <w:szCs w:val="22"/>
                <w:lang w:val="da-DK"/>
              </w:rPr>
              <w:t xml:space="preserve"> </w:t>
            </w:r>
          </w:p>
          <w:p w14:paraId="1F1716F0"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Øjenirritation</w:t>
            </w:r>
            <w:r>
              <w:rPr>
                <w:rFonts w:asciiTheme="majorBidi" w:eastAsia="Times New Roman" w:hAnsiTheme="majorBidi" w:cstheme="majorBidi"/>
                <w:snapToGrid w:val="0"/>
                <w:sz w:val="22"/>
                <w:szCs w:val="22"/>
                <w:vertAlign w:val="superscript"/>
                <w:lang w:val="da-DK"/>
              </w:rPr>
              <w:t>3</w:t>
            </w:r>
          </w:p>
          <w:p w14:paraId="53D7A8AA"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Øjensmerter</w:t>
            </w:r>
            <w:r>
              <w:rPr>
                <w:rFonts w:asciiTheme="majorBidi" w:eastAsia="Times New Roman" w:hAnsiTheme="majorBidi" w:cstheme="majorBidi"/>
                <w:snapToGrid w:val="0"/>
                <w:sz w:val="22"/>
                <w:szCs w:val="22"/>
                <w:vertAlign w:val="superscript"/>
                <w:lang w:val="da-DK"/>
              </w:rPr>
              <w:t>3</w:t>
            </w:r>
          </w:p>
          <w:p w14:paraId="190378C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vertAlign w:val="superscript"/>
                <w:lang w:val="da-DK"/>
              </w:rPr>
            </w:pPr>
            <w:r>
              <w:rPr>
                <w:rFonts w:asciiTheme="majorBidi" w:eastAsia="Times New Roman" w:hAnsiTheme="majorBidi" w:cstheme="majorBidi"/>
                <w:snapToGrid w:val="0"/>
                <w:sz w:val="22"/>
                <w:szCs w:val="22"/>
                <w:lang w:val="da-DK"/>
              </w:rPr>
              <w:t>Forbigående blindhed</w:t>
            </w:r>
            <w:r>
              <w:rPr>
                <w:rFonts w:asciiTheme="majorBidi" w:eastAsia="Times New Roman" w:hAnsiTheme="majorBidi" w:cstheme="majorBidi"/>
                <w:snapToGrid w:val="0"/>
                <w:sz w:val="22"/>
                <w:szCs w:val="22"/>
                <w:vertAlign w:val="superscript"/>
                <w:lang w:val="da-DK"/>
              </w:rPr>
              <w:t>3</w:t>
            </w:r>
          </w:p>
          <w:p w14:paraId="136E536F" w14:textId="353E3554" w:rsidR="007F1270" w:rsidRDefault="007F1270">
            <w:pPr>
              <w:pStyle w:val="TableParagraph"/>
              <w:kinsoku w:val="0"/>
              <w:overflowPunct w:val="0"/>
              <w:snapToGrid w:val="0"/>
              <w:spacing w:line="256" w:lineRule="auto"/>
              <w:ind w:left="0"/>
              <w:rPr>
                <w:rFonts w:asciiTheme="majorBidi" w:hAnsiTheme="majorBidi" w:cstheme="majorBidi"/>
                <w:snapToGrid w:val="0"/>
                <w:sz w:val="22"/>
                <w:szCs w:val="22"/>
                <w:lang w:val="da-DK"/>
              </w:rPr>
            </w:pPr>
            <w:proofErr w:type="spellStart"/>
            <w:r w:rsidRPr="00661B9F">
              <w:rPr>
                <w:rFonts w:asciiTheme="majorBidi" w:eastAsia="Times New Roman" w:hAnsiTheme="majorBidi" w:cstheme="majorBidi"/>
                <w:snapToGrid w:val="0"/>
                <w:sz w:val="22"/>
                <w:szCs w:val="22"/>
                <w:lang w:val="da-DK"/>
              </w:rPr>
              <w:t>Okulær</w:t>
            </w:r>
            <w:proofErr w:type="spellEnd"/>
            <w:r w:rsidRPr="00661B9F">
              <w:rPr>
                <w:rFonts w:asciiTheme="majorBidi" w:eastAsia="Times New Roman" w:hAnsiTheme="majorBidi" w:cstheme="majorBidi"/>
                <w:snapToGrid w:val="0"/>
                <w:sz w:val="22"/>
                <w:szCs w:val="22"/>
                <w:lang w:val="da-DK"/>
              </w:rPr>
              <w:t xml:space="preserve"> icterus</w:t>
            </w:r>
            <w:r w:rsidRPr="00661B9F">
              <w:rPr>
                <w:rFonts w:asciiTheme="majorBidi" w:eastAsia="Times New Roman" w:hAnsiTheme="majorBidi" w:cstheme="majorBidi"/>
                <w:snapToGrid w:val="0"/>
                <w:sz w:val="22"/>
                <w:szCs w:val="22"/>
                <w:vertAlign w:val="superscript"/>
                <w:lang w:val="da-DK"/>
              </w:rPr>
              <w:t>3</w:t>
            </w:r>
          </w:p>
        </w:tc>
        <w:tc>
          <w:tcPr>
            <w:tcW w:w="1517" w:type="pct"/>
            <w:tcBorders>
              <w:top w:val="single" w:sz="4" w:space="0" w:color="000000"/>
              <w:left w:val="single" w:sz="4" w:space="0" w:color="000000"/>
              <w:bottom w:val="single" w:sz="4" w:space="0" w:color="000000"/>
              <w:right w:val="single" w:sz="4" w:space="0" w:color="000000"/>
            </w:tcBorders>
            <w:hideMark/>
          </w:tcPr>
          <w:p w14:paraId="0A837C5B"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Almindelig </w:t>
            </w:r>
          </w:p>
          <w:p w14:paraId="714656EB"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3281677D"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296BF27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2D4180B8"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44F3E33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74172C42"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5B61978A" w14:textId="3809CA87" w:rsidR="007F1270" w:rsidRDefault="007F1270">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5B834EB1"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68871978"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Hjerte</w:t>
            </w:r>
          </w:p>
        </w:tc>
        <w:tc>
          <w:tcPr>
            <w:tcW w:w="1961" w:type="pct"/>
            <w:tcBorders>
              <w:top w:val="single" w:sz="4" w:space="0" w:color="000000"/>
              <w:left w:val="single" w:sz="4" w:space="0" w:color="000000"/>
              <w:bottom w:val="single" w:sz="4" w:space="0" w:color="000000"/>
              <w:right w:val="single" w:sz="4" w:space="0" w:color="000000"/>
            </w:tcBorders>
            <w:hideMark/>
          </w:tcPr>
          <w:p w14:paraId="21E8F214"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rPr>
            </w:pPr>
            <w:r>
              <w:rPr>
                <w:rFonts w:asciiTheme="majorBidi" w:eastAsia="Times New Roman" w:hAnsiTheme="majorBidi" w:cstheme="majorBidi"/>
                <w:snapToGrid w:val="0"/>
                <w:sz w:val="22"/>
                <w:szCs w:val="22"/>
              </w:rPr>
              <w:t xml:space="preserve">Nodal </w:t>
            </w:r>
            <w:proofErr w:type="spellStart"/>
            <w:r>
              <w:rPr>
                <w:rFonts w:asciiTheme="majorBidi" w:eastAsia="Times New Roman" w:hAnsiTheme="majorBidi" w:cstheme="majorBidi"/>
                <w:snapToGrid w:val="0"/>
                <w:sz w:val="22"/>
                <w:szCs w:val="22"/>
              </w:rPr>
              <w:t>arytmi</w:t>
            </w:r>
            <w:proofErr w:type="spellEnd"/>
          </w:p>
          <w:p w14:paraId="009BA8C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rPr>
            </w:pPr>
            <w:proofErr w:type="spellStart"/>
            <w:r>
              <w:rPr>
                <w:rFonts w:asciiTheme="majorBidi" w:eastAsia="Times New Roman" w:hAnsiTheme="majorBidi" w:cstheme="majorBidi"/>
                <w:snapToGrid w:val="0"/>
                <w:sz w:val="22"/>
                <w:szCs w:val="22"/>
              </w:rPr>
              <w:t>Bradykardi</w:t>
            </w:r>
            <w:proofErr w:type="spellEnd"/>
            <w:r>
              <w:rPr>
                <w:rFonts w:asciiTheme="majorBidi" w:eastAsia="Times New Roman" w:hAnsiTheme="majorBidi" w:cstheme="majorBidi"/>
                <w:snapToGrid w:val="0"/>
                <w:sz w:val="22"/>
                <w:szCs w:val="22"/>
              </w:rPr>
              <w:t xml:space="preserve"> </w:t>
            </w:r>
          </w:p>
          <w:p w14:paraId="6EA7C1D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rPr>
            </w:pPr>
            <w:proofErr w:type="spellStart"/>
            <w:r>
              <w:rPr>
                <w:rFonts w:asciiTheme="majorBidi" w:eastAsia="Times New Roman" w:hAnsiTheme="majorBidi" w:cstheme="majorBidi"/>
                <w:snapToGrid w:val="0"/>
                <w:sz w:val="22"/>
                <w:szCs w:val="22"/>
              </w:rPr>
              <w:t>Takykardi</w:t>
            </w:r>
            <w:proofErr w:type="spellEnd"/>
          </w:p>
          <w:p w14:paraId="34C57C74"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rPr>
            </w:pPr>
            <w:proofErr w:type="spellStart"/>
            <w:r>
              <w:rPr>
                <w:rFonts w:asciiTheme="majorBidi" w:eastAsia="Times New Roman" w:hAnsiTheme="majorBidi" w:cstheme="majorBidi"/>
                <w:snapToGrid w:val="0"/>
                <w:sz w:val="22"/>
                <w:szCs w:val="22"/>
              </w:rPr>
              <w:t>Myokardieinfarkt</w:t>
            </w:r>
            <w:proofErr w:type="spellEnd"/>
            <w:r>
              <w:rPr>
                <w:rFonts w:asciiTheme="majorBidi" w:eastAsia="Times New Roman" w:hAnsiTheme="majorBidi" w:cstheme="majorBidi"/>
                <w:snapToGrid w:val="0"/>
                <w:sz w:val="22"/>
                <w:szCs w:val="22"/>
              </w:rPr>
              <w:t xml:space="preserve"> </w:t>
            </w:r>
          </w:p>
          <w:p w14:paraId="1744378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rPr>
            </w:pPr>
            <w:proofErr w:type="spellStart"/>
            <w:r>
              <w:rPr>
                <w:rFonts w:asciiTheme="majorBidi" w:eastAsia="Times New Roman" w:hAnsiTheme="majorBidi" w:cstheme="majorBidi"/>
                <w:snapToGrid w:val="0"/>
                <w:sz w:val="22"/>
                <w:szCs w:val="22"/>
              </w:rPr>
              <w:t>Myokardieiskæmi</w:t>
            </w:r>
            <w:proofErr w:type="spellEnd"/>
            <w:r>
              <w:rPr>
                <w:rFonts w:asciiTheme="majorBidi" w:eastAsia="Times New Roman" w:hAnsiTheme="majorBidi" w:cstheme="majorBidi"/>
                <w:snapToGrid w:val="0"/>
                <w:sz w:val="22"/>
                <w:szCs w:val="22"/>
              </w:rPr>
              <w:t xml:space="preserve"> </w:t>
            </w:r>
          </w:p>
          <w:p w14:paraId="2F11D64F"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Arytmi</w:t>
            </w:r>
            <w:proofErr w:type="spellEnd"/>
          </w:p>
          <w:p w14:paraId="5A57600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Hjertestop </w:t>
            </w:r>
          </w:p>
          <w:p w14:paraId="650ACEE4"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Torsade</w:t>
            </w:r>
            <w:proofErr w:type="spellEnd"/>
            <w:r>
              <w:rPr>
                <w:rFonts w:asciiTheme="majorBidi" w:eastAsia="Times New Roman" w:hAnsiTheme="majorBidi" w:cstheme="majorBidi"/>
                <w:snapToGrid w:val="0"/>
                <w:sz w:val="22"/>
                <w:szCs w:val="22"/>
                <w:lang w:val="da-DK"/>
              </w:rPr>
              <w:t xml:space="preserve"> de Pointes </w:t>
            </w:r>
          </w:p>
          <w:p w14:paraId="6AAFFA6F"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Ventrikelsvigt</w:t>
            </w:r>
          </w:p>
          <w:p w14:paraId="7C276CF5"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Ventrikulær</w:t>
            </w:r>
            <w:proofErr w:type="spellEnd"/>
            <w:r>
              <w:rPr>
                <w:rFonts w:asciiTheme="majorBidi" w:eastAsia="Times New Roman" w:hAnsiTheme="majorBidi" w:cstheme="majorBidi"/>
                <w:snapToGrid w:val="0"/>
                <w:sz w:val="22"/>
                <w:szCs w:val="22"/>
                <w:lang w:val="da-DK"/>
              </w:rPr>
              <w:t xml:space="preserve"> </w:t>
            </w:r>
            <w:proofErr w:type="spellStart"/>
            <w:r>
              <w:rPr>
                <w:rFonts w:asciiTheme="majorBidi" w:eastAsia="Times New Roman" w:hAnsiTheme="majorBidi" w:cstheme="majorBidi"/>
                <w:snapToGrid w:val="0"/>
                <w:sz w:val="22"/>
                <w:szCs w:val="22"/>
                <w:lang w:val="da-DK"/>
              </w:rPr>
              <w:t>hypokinesi</w:t>
            </w:r>
            <w:proofErr w:type="spellEnd"/>
            <w:r>
              <w:rPr>
                <w:rFonts w:asciiTheme="majorBidi" w:eastAsia="Times New Roman" w:hAnsiTheme="majorBidi" w:cstheme="majorBidi"/>
                <w:snapToGrid w:val="0"/>
                <w:sz w:val="22"/>
                <w:szCs w:val="22"/>
                <w:lang w:val="da-DK"/>
              </w:rPr>
              <w:t xml:space="preserve"> </w:t>
            </w:r>
          </w:p>
          <w:p w14:paraId="0F8BDDC8"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Atrieflimren </w:t>
            </w:r>
          </w:p>
          <w:p w14:paraId="03C7EEF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vertAlign w:val="superscript"/>
                <w:lang w:val="da-DK"/>
              </w:rPr>
            </w:pPr>
            <w:r>
              <w:rPr>
                <w:rFonts w:asciiTheme="majorBidi" w:eastAsia="Times New Roman" w:hAnsiTheme="majorBidi" w:cstheme="majorBidi"/>
                <w:snapToGrid w:val="0"/>
                <w:sz w:val="22"/>
                <w:szCs w:val="22"/>
                <w:lang w:val="da-DK"/>
              </w:rPr>
              <w:t>Takyarytmi</w:t>
            </w:r>
            <w:r>
              <w:rPr>
                <w:rFonts w:asciiTheme="majorBidi" w:eastAsia="Times New Roman" w:hAnsiTheme="majorBidi" w:cstheme="majorBidi"/>
                <w:snapToGrid w:val="0"/>
                <w:sz w:val="22"/>
                <w:szCs w:val="22"/>
                <w:vertAlign w:val="superscript"/>
                <w:lang w:val="da-DK"/>
              </w:rPr>
              <w:t>3</w:t>
            </w:r>
          </w:p>
          <w:p w14:paraId="282835A1"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Palpitationer</w:t>
            </w:r>
            <w:r>
              <w:rPr>
                <w:rFonts w:asciiTheme="majorBidi" w:eastAsia="Times New Roman" w:hAnsiTheme="majorBidi" w:cstheme="majorBidi"/>
                <w:snapToGrid w:val="0"/>
                <w:sz w:val="22"/>
                <w:szCs w:val="22"/>
                <w:vertAlign w:val="superscript"/>
                <w:lang w:val="da-DK"/>
              </w:rPr>
              <w:t>3</w:t>
            </w:r>
          </w:p>
        </w:tc>
        <w:tc>
          <w:tcPr>
            <w:tcW w:w="1517" w:type="pct"/>
            <w:tcBorders>
              <w:top w:val="single" w:sz="4" w:space="0" w:color="000000"/>
              <w:left w:val="single" w:sz="4" w:space="0" w:color="000000"/>
              <w:bottom w:val="single" w:sz="4" w:space="0" w:color="000000"/>
              <w:right w:val="single" w:sz="4" w:space="0" w:color="000000"/>
            </w:tcBorders>
            <w:hideMark/>
          </w:tcPr>
          <w:p w14:paraId="299E3389"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Almindelig</w:t>
            </w:r>
          </w:p>
          <w:p w14:paraId="352BE4A3"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Almindelig</w:t>
            </w:r>
          </w:p>
          <w:p w14:paraId="6FEF2132"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Almindelig </w:t>
            </w:r>
          </w:p>
          <w:p w14:paraId="43D96F2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almindelig</w:t>
            </w:r>
          </w:p>
          <w:p w14:paraId="078A0BE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almindelig</w:t>
            </w:r>
          </w:p>
          <w:p w14:paraId="55F7638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almindelig</w:t>
            </w:r>
          </w:p>
          <w:p w14:paraId="0EB10363"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37DBB74B"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03139948"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21EC1B4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79DE33A6"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5C70707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6098A874"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33FA9EDB"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576ED35C"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proofErr w:type="spellStart"/>
            <w:r>
              <w:rPr>
                <w:rFonts w:asciiTheme="majorBidi" w:eastAsia="Times New Roman" w:hAnsiTheme="majorBidi" w:cstheme="majorBidi"/>
                <w:snapToGrid w:val="0"/>
                <w:sz w:val="22"/>
                <w:szCs w:val="22"/>
                <w:lang w:val="da-DK"/>
              </w:rPr>
              <w:t>Vaskulære</w:t>
            </w:r>
            <w:proofErr w:type="spellEnd"/>
            <w:r>
              <w:rPr>
                <w:rFonts w:asciiTheme="majorBidi" w:eastAsia="Times New Roman" w:hAnsiTheme="majorBidi" w:cstheme="majorBidi"/>
                <w:snapToGrid w:val="0"/>
                <w:sz w:val="22"/>
                <w:szCs w:val="22"/>
                <w:lang w:val="da-DK"/>
              </w:rPr>
              <w:t xml:space="preserve"> sygdomme</w:t>
            </w:r>
          </w:p>
        </w:tc>
        <w:tc>
          <w:tcPr>
            <w:tcW w:w="1961" w:type="pct"/>
            <w:tcBorders>
              <w:top w:val="single" w:sz="4" w:space="0" w:color="000000"/>
              <w:left w:val="single" w:sz="4" w:space="0" w:color="000000"/>
              <w:bottom w:val="single" w:sz="4" w:space="0" w:color="000000"/>
              <w:right w:val="single" w:sz="4" w:space="0" w:color="000000"/>
            </w:tcBorders>
            <w:hideMark/>
          </w:tcPr>
          <w:p w14:paraId="51AF625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Hypertension</w:t>
            </w:r>
          </w:p>
          <w:p w14:paraId="505B747F"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Vasodilation</w:t>
            </w:r>
            <w:proofErr w:type="spellEnd"/>
          </w:p>
          <w:p w14:paraId="5F911961"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Malign hypertension</w:t>
            </w:r>
          </w:p>
          <w:p w14:paraId="5C8797F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Blødning </w:t>
            </w:r>
          </w:p>
          <w:p w14:paraId="58DEF1D8"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Hypotension</w:t>
            </w:r>
          </w:p>
          <w:p w14:paraId="7BF0CDFF"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Chok</w:t>
            </w:r>
          </w:p>
        </w:tc>
        <w:tc>
          <w:tcPr>
            <w:tcW w:w="1517" w:type="pct"/>
            <w:tcBorders>
              <w:top w:val="single" w:sz="4" w:space="0" w:color="000000"/>
              <w:left w:val="single" w:sz="4" w:space="0" w:color="000000"/>
              <w:bottom w:val="single" w:sz="4" w:space="0" w:color="000000"/>
              <w:right w:val="single" w:sz="4" w:space="0" w:color="000000"/>
            </w:tcBorders>
            <w:hideMark/>
          </w:tcPr>
          <w:p w14:paraId="601BAA5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Almindelig </w:t>
            </w:r>
          </w:p>
          <w:p w14:paraId="2063C65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almindelig </w:t>
            </w:r>
          </w:p>
          <w:p w14:paraId="2EBDE568"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461697C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6BC994B1"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2F5A3D9E"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0F62AA5F"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30AD03D6"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 xml:space="preserve">Luftveje, thorax og </w:t>
            </w:r>
            <w:proofErr w:type="spellStart"/>
            <w:r>
              <w:rPr>
                <w:rFonts w:asciiTheme="majorBidi" w:eastAsia="Times New Roman" w:hAnsiTheme="majorBidi" w:cstheme="majorBidi"/>
                <w:snapToGrid w:val="0"/>
                <w:sz w:val="22"/>
                <w:szCs w:val="22"/>
                <w:lang w:val="da-DK"/>
              </w:rPr>
              <w:t>mediastinum</w:t>
            </w:r>
            <w:proofErr w:type="spellEnd"/>
          </w:p>
        </w:tc>
        <w:tc>
          <w:tcPr>
            <w:tcW w:w="1961" w:type="pct"/>
            <w:tcBorders>
              <w:top w:val="single" w:sz="4" w:space="0" w:color="000000"/>
              <w:left w:val="single" w:sz="4" w:space="0" w:color="000000"/>
              <w:bottom w:val="single" w:sz="4" w:space="0" w:color="000000"/>
              <w:right w:val="single" w:sz="4" w:space="0" w:color="000000"/>
            </w:tcBorders>
            <w:hideMark/>
          </w:tcPr>
          <w:p w14:paraId="7878FF22"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Apnø</w:t>
            </w:r>
            <w:r>
              <w:rPr>
                <w:rFonts w:asciiTheme="majorBidi" w:hAnsiTheme="majorBidi" w:cstheme="majorBidi"/>
                <w:snapToGrid w:val="0"/>
                <w:sz w:val="22"/>
                <w:szCs w:val="22"/>
                <w:vertAlign w:val="superscript"/>
              </w:rPr>
              <w:t>1</w:t>
            </w:r>
          </w:p>
          <w:p w14:paraId="54E0A5C0"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Hoste</w:t>
            </w:r>
            <w:r>
              <w:rPr>
                <w:rFonts w:asciiTheme="majorBidi" w:hAnsiTheme="majorBidi" w:cstheme="majorBidi"/>
                <w:snapToGrid w:val="0"/>
                <w:sz w:val="22"/>
                <w:szCs w:val="22"/>
                <w:vertAlign w:val="superscript"/>
              </w:rPr>
              <w:t>1</w:t>
            </w:r>
          </w:p>
        </w:tc>
        <w:tc>
          <w:tcPr>
            <w:tcW w:w="1517" w:type="pct"/>
            <w:tcBorders>
              <w:top w:val="single" w:sz="4" w:space="0" w:color="000000"/>
              <w:left w:val="single" w:sz="4" w:space="0" w:color="000000"/>
              <w:bottom w:val="single" w:sz="4" w:space="0" w:color="000000"/>
              <w:right w:val="single" w:sz="4" w:space="0" w:color="000000"/>
            </w:tcBorders>
            <w:hideMark/>
          </w:tcPr>
          <w:p w14:paraId="49438DE4"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Almindelig</w:t>
            </w:r>
          </w:p>
          <w:p w14:paraId="3FA7472F"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Almindelig</w:t>
            </w:r>
          </w:p>
        </w:tc>
      </w:tr>
      <w:tr w:rsidR="00B35623" w14:paraId="4EED046E"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tcPr>
          <w:p w14:paraId="572EBF40" w14:textId="77777777" w:rsidR="00B35623" w:rsidRDefault="00B35623">
            <w:pPr>
              <w:snapToGrid w:val="0"/>
              <w:spacing w:line="256" w:lineRule="auto"/>
              <w:rPr>
                <w:rFonts w:asciiTheme="majorBidi" w:hAnsiTheme="majorBidi" w:cstheme="majorBidi"/>
                <w:snapToGrid w:val="0"/>
                <w:sz w:val="22"/>
                <w:szCs w:val="22"/>
              </w:rPr>
            </w:pPr>
          </w:p>
        </w:tc>
        <w:tc>
          <w:tcPr>
            <w:tcW w:w="1961" w:type="pct"/>
            <w:tcBorders>
              <w:top w:val="single" w:sz="4" w:space="0" w:color="000000"/>
              <w:left w:val="single" w:sz="4" w:space="0" w:color="000000"/>
              <w:bottom w:val="single" w:sz="4" w:space="0" w:color="000000"/>
              <w:right w:val="single" w:sz="4" w:space="0" w:color="000000"/>
            </w:tcBorders>
            <w:hideMark/>
          </w:tcPr>
          <w:p w14:paraId="376BD1B1"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Laryngospasme</w:t>
            </w:r>
            <w:r>
              <w:rPr>
                <w:rFonts w:asciiTheme="majorBidi" w:hAnsiTheme="majorBidi" w:cstheme="majorBidi"/>
                <w:snapToGrid w:val="0"/>
                <w:sz w:val="22"/>
                <w:szCs w:val="22"/>
                <w:vertAlign w:val="superscript"/>
                <w:lang w:val="da-DK"/>
              </w:rPr>
              <w:t>2</w:t>
            </w:r>
            <w:r>
              <w:rPr>
                <w:rFonts w:asciiTheme="majorBidi" w:hAnsiTheme="majorBidi" w:cstheme="majorBidi"/>
                <w:snapToGrid w:val="0"/>
                <w:sz w:val="22"/>
                <w:szCs w:val="22"/>
                <w:lang w:val="da-DK"/>
              </w:rPr>
              <w:t xml:space="preserve"> </w:t>
            </w:r>
          </w:p>
          <w:p w14:paraId="3E584C2B"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Hypoksi</w:t>
            </w:r>
            <w:r>
              <w:rPr>
                <w:rFonts w:asciiTheme="majorBidi" w:hAnsiTheme="majorBidi" w:cstheme="majorBidi"/>
                <w:snapToGrid w:val="0"/>
                <w:sz w:val="22"/>
                <w:szCs w:val="22"/>
                <w:vertAlign w:val="superscript"/>
                <w:lang w:val="da-DK"/>
              </w:rPr>
              <w:t>1</w:t>
            </w:r>
          </w:p>
          <w:p w14:paraId="5C6ED16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Respirationssvigt</w:t>
            </w:r>
          </w:p>
          <w:p w14:paraId="2265519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Dyspnø</w:t>
            </w:r>
          </w:p>
          <w:p w14:paraId="23F6CAAB"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Bronkospasme</w:t>
            </w:r>
            <w:proofErr w:type="spellEnd"/>
          </w:p>
          <w:p w14:paraId="4DC9D54A"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Hæmoptyse</w:t>
            </w:r>
            <w:proofErr w:type="spellEnd"/>
          </w:p>
        </w:tc>
        <w:tc>
          <w:tcPr>
            <w:tcW w:w="1517" w:type="pct"/>
            <w:tcBorders>
              <w:top w:val="single" w:sz="4" w:space="0" w:color="000000"/>
              <w:left w:val="single" w:sz="4" w:space="0" w:color="000000"/>
              <w:bottom w:val="single" w:sz="4" w:space="0" w:color="000000"/>
              <w:right w:val="single" w:sz="4" w:space="0" w:color="000000"/>
            </w:tcBorders>
            <w:hideMark/>
          </w:tcPr>
          <w:p w14:paraId="5308698C"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Almindelig </w:t>
            </w:r>
          </w:p>
          <w:p w14:paraId="04C60EC2"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almindelig </w:t>
            </w:r>
          </w:p>
          <w:p w14:paraId="3D30D55C"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1575FCB2"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6A6BFD12"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Ikke kendt </w:t>
            </w:r>
          </w:p>
          <w:p w14:paraId="4BD89586"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62A9F239"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75CFC620"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Mave-tarm-kanalen</w:t>
            </w:r>
          </w:p>
        </w:tc>
        <w:tc>
          <w:tcPr>
            <w:tcW w:w="1961" w:type="pct"/>
            <w:tcBorders>
              <w:top w:val="single" w:sz="4" w:space="0" w:color="000000"/>
              <w:left w:val="single" w:sz="4" w:space="0" w:color="000000"/>
              <w:bottom w:val="single" w:sz="4" w:space="0" w:color="000000"/>
              <w:right w:val="single" w:sz="4" w:space="0" w:color="000000"/>
            </w:tcBorders>
            <w:hideMark/>
          </w:tcPr>
          <w:p w14:paraId="3EF0B57B"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Opkastning</w:t>
            </w:r>
            <w:r>
              <w:rPr>
                <w:rFonts w:asciiTheme="majorBidi" w:hAnsiTheme="majorBidi" w:cstheme="majorBidi"/>
                <w:snapToGrid w:val="0"/>
                <w:sz w:val="22"/>
                <w:szCs w:val="22"/>
                <w:lang w:val="da-DK"/>
              </w:rPr>
              <w:t>1</w:t>
            </w:r>
          </w:p>
          <w:p w14:paraId="336F1344"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Kvalme</w:t>
            </w:r>
            <w:r>
              <w:rPr>
                <w:rFonts w:asciiTheme="majorBidi" w:hAnsiTheme="majorBidi" w:cstheme="majorBidi"/>
                <w:snapToGrid w:val="0"/>
                <w:sz w:val="22"/>
                <w:szCs w:val="22"/>
                <w:lang w:val="da-DK"/>
              </w:rPr>
              <w:t>1</w:t>
            </w:r>
          </w:p>
          <w:p w14:paraId="4742DA8A"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Spytkirtel-hypersekretion</w:t>
            </w:r>
            <w:r>
              <w:rPr>
                <w:rFonts w:asciiTheme="majorBidi" w:hAnsiTheme="majorBidi" w:cstheme="majorBidi"/>
                <w:snapToGrid w:val="0"/>
                <w:sz w:val="22"/>
                <w:szCs w:val="22"/>
                <w:vertAlign w:val="superscript"/>
                <w:lang w:val="da-DK"/>
              </w:rPr>
              <w:t>1</w:t>
            </w:r>
          </w:p>
          <w:p w14:paraId="6AC6BADE"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Akut </w:t>
            </w:r>
            <w:proofErr w:type="spellStart"/>
            <w:r>
              <w:rPr>
                <w:rFonts w:asciiTheme="majorBidi" w:eastAsia="Times New Roman" w:hAnsiTheme="majorBidi" w:cstheme="majorBidi"/>
                <w:snapToGrid w:val="0"/>
                <w:sz w:val="22"/>
                <w:szCs w:val="22"/>
                <w:lang w:val="da-DK"/>
              </w:rPr>
              <w:t>pancreatitis</w:t>
            </w:r>
            <w:proofErr w:type="spellEnd"/>
          </w:p>
          <w:p w14:paraId="64FBD593"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Mavesmerter</w:t>
            </w:r>
          </w:p>
        </w:tc>
        <w:tc>
          <w:tcPr>
            <w:tcW w:w="1517" w:type="pct"/>
            <w:tcBorders>
              <w:top w:val="single" w:sz="4" w:space="0" w:color="000000"/>
              <w:left w:val="single" w:sz="4" w:space="0" w:color="000000"/>
              <w:bottom w:val="single" w:sz="4" w:space="0" w:color="000000"/>
              <w:right w:val="single" w:sz="4" w:space="0" w:color="000000"/>
            </w:tcBorders>
            <w:hideMark/>
          </w:tcPr>
          <w:p w14:paraId="2C3D5D38"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Meget almindelig</w:t>
            </w:r>
          </w:p>
          <w:p w14:paraId="492DE7A3"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Meget almindelig</w:t>
            </w:r>
          </w:p>
          <w:p w14:paraId="011C3E32"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Almindelig</w:t>
            </w:r>
          </w:p>
          <w:p w14:paraId="338ABFC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6CED3227"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2CC51614"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2CBE5418"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lastRenderedPageBreak/>
              <w:t>Lever og galdeveje</w:t>
            </w:r>
          </w:p>
        </w:tc>
        <w:tc>
          <w:tcPr>
            <w:tcW w:w="1961" w:type="pct"/>
            <w:tcBorders>
              <w:top w:val="single" w:sz="4" w:space="0" w:color="000000"/>
              <w:left w:val="single" w:sz="4" w:space="0" w:color="000000"/>
              <w:bottom w:val="single" w:sz="4" w:space="0" w:color="000000"/>
              <w:right w:val="single" w:sz="4" w:space="0" w:color="000000"/>
            </w:tcBorders>
            <w:hideMark/>
          </w:tcPr>
          <w:p w14:paraId="1CACD8F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Hepatisk</w:t>
            </w:r>
            <w:proofErr w:type="spellEnd"/>
            <w:r>
              <w:rPr>
                <w:rFonts w:asciiTheme="majorBidi" w:eastAsia="Times New Roman" w:hAnsiTheme="majorBidi" w:cstheme="majorBidi"/>
                <w:snapToGrid w:val="0"/>
                <w:sz w:val="22"/>
                <w:szCs w:val="22"/>
                <w:lang w:val="da-DK"/>
              </w:rPr>
              <w:t xml:space="preserve"> svigt</w:t>
            </w:r>
          </w:p>
          <w:p w14:paraId="2E0C30B5"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Hepatisk</w:t>
            </w:r>
            <w:proofErr w:type="spellEnd"/>
            <w:r>
              <w:rPr>
                <w:rFonts w:asciiTheme="majorBidi" w:eastAsia="Times New Roman" w:hAnsiTheme="majorBidi" w:cstheme="majorBidi"/>
                <w:snapToGrid w:val="0"/>
                <w:sz w:val="22"/>
                <w:szCs w:val="22"/>
                <w:lang w:val="da-DK"/>
              </w:rPr>
              <w:t xml:space="preserve"> nekrose</w:t>
            </w:r>
          </w:p>
          <w:p w14:paraId="24B5535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Hepatitis</w:t>
            </w:r>
          </w:p>
          <w:p w14:paraId="5B4B044D"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Kolestase</w:t>
            </w:r>
            <w:proofErr w:type="spellEnd"/>
            <w:r>
              <w:rPr>
                <w:rFonts w:asciiTheme="majorBidi" w:eastAsia="Times New Roman" w:hAnsiTheme="majorBidi" w:cstheme="majorBidi"/>
                <w:snapToGrid w:val="0"/>
                <w:sz w:val="22"/>
                <w:szCs w:val="22"/>
                <w:lang w:val="da-DK"/>
              </w:rPr>
              <w:t xml:space="preserve"> </w:t>
            </w:r>
          </w:p>
          <w:p w14:paraId="67F0D3B0"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Gulsot</w:t>
            </w:r>
          </w:p>
          <w:p w14:paraId="1CF5FF5A"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Unormal leverfunktion</w:t>
            </w:r>
          </w:p>
          <w:p w14:paraId="7186B782" w14:textId="4AF1BC55"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Leversygdom</w:t>
            </w:r>
          </w:p>
        </w:tc>
        <w:tc>
          <w:tcPr>
            <w:tcW w:w="1517" w:type="pct"/>
            <w:tcBorders>
              <w:top w:val="single" w:sz="4" w:space="0" w:color="000000"/>
              <w:left w:val="single" w:sz="4" w:space="0" w:color="000000"/>
              <w:bottom w:val="single" w:sz="4" w:space="0" w:color="000000"/>
              <w:right w:val="single" w:sz="4" w:space="0" w:color="000000"/>
            </w:tcBorders>
            <w:hideMark/>
          </w:tcPr>
          <w:p w14:paraId="583AEA3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673820B6"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6F4BD30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4AECEAB3"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7DF49F6D"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2C9526F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710489B3"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56238C2A" w14:textId="36D2D5AE"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p>
        </w:tc>
      </w:tr>
      <w:tr w:rsidR="00B35623" w14:paraId="5D29E48A"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1FECC98B"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Hud og subkutane væv</w:t>
            </w:r>
          </w:p>
        </w:tc>
        <w:tc>
          <w:tcPr>
            <w:tcW w:w="1961" w:type="pct"/>
            <w:tcBorders>
              <w:top w:val="single" w:sz="4" w:space="0" w:color="000000"/>
              <w:left w:val="single" w:sz="4" w:space="0" w:color="000000"/>
              <w:bottom w:val="single" w:sz="4" w:space="0" w:color="000000"/>
              <w:right w:val="single" w:sz="4" w:space="0" w:color="000000"/>
            </w:tcBorders>
            <w:hideMark/>
          </w:tcPr>
          <w:p w14:paraId="59FCAFE3"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Urticaria</w:t>
            </w:r>
            <w:proofErr w:type="spellEnd"/>
          </w:p>
          <w:p w14:paraId="4DF481DD"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proofErr w:type="spellStart"/>
            <w:r>
              <w:rPr>
                <w:rFonts w:asciiTheme="majorBidi" w:eastAsia="Times New Roman" w:hAnsiTheme="majorBidi" w:cstheme="majorBidi"/>
                <w:snapToGrid w:val="0"/>
                <w:sz w:val="22"/>
                <w:szCs w:val="22"/>
                <w:lang w:val="da-DK"/>
              </w:rPr>
              <w:t>Erytem</w:t>
            </w:r>
            <w:proofErr w:type="spellEnd"/>
          </w:p>
          <w:p w14:paraId="3826D26D"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Brændende fornemmelse i huden</w:t>
            </w:r>
            <w:r>
              <w:rPr>
                <w:rFonts w:asciiTheme="majorBidi" w:eastAsia="Times New Roman" w:hAnsiTheme="majorBidi" w:cstheme="majorBidi"/>
                <w:snapToGrid w:val="0"/>
                <w:sz w:val="22"/>
                <w:szCs w:val="22"/>
                <w:vertAlign w:val="superscript"/>
                <w:lang w:val="da-DK"/>
              </w:rPr>
              <w:t>3</w:t>
            </w:r>
          </w:p>
        </w:tc>
        <w:tc>
          <w:tcPr>
            <w:tcW w:w="1517" w:type="pct"/>
            <w:tcBorders>
              <w:top w:val="single" w:sz="4" w:space="0" w:color="000000"/>
              <w:left w:val="single" w:sz="4" w:space="0" w:color="000000"/>
              <w:bottom w:val="single" w:sz="4" w:space="0" w:color="000000"/>
              <w:right w:val="single" w:sz="4" w:space="0" w:color="000000"/>
            </w:tcBorders>
            <w:hideMark/>
          </w:tcPr>
          <w:p w14:paraId="446382F4"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38A39EF0"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78151DEC" w14:textId="77777777" w:rsidR="00B35623" w:rsidRDefault="00B35623">
            <w:pPr>
              <w:pStyle w:val="TableParagraph"/>
              <w:kinsoku w:val="0"/>
              <w:overflowPunct w:val="0"/>
              <w:snapToGrid w:val="0"/>
              <w:spacing w:line="256" w:lineRule="auto"/>
              <w:ind w:left="0"/>
              <w:jc w:val="both"/>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710BDF25"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2B315B13"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Knogler, led, muskler og bindevæv</w:t>
            </w:r>
          </w:p>
        </w:tc>
        <w:tc>
          <w:tcPr>
            <w:tcW w:w="1961" w:type="pct"/>
            <w:tcBorders>
              <w:top w:val="single" w:sz="4" w:space="0" w:color="000000"/>
              <w:left w:val="single" w:sz="4" w:space="0" w:color="000000"/>
              <w:bottom w:val="single" w:sz="4" w:space="0" w:color="000000"/>
              <w:right w:val="single" w:sz="4" w:space="0" w:color="000000"/>
            </w:tcBorders>
            <w:hideMark/>
          </w:tcPr>
          <w:p w14:paraId="1F7FB2AF"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Myalgi</w:t>
            </w:r>
          </w:p>
          <w:p w14:paraId="00F6A1B2"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proofErr w:type="spellStart"/>
            <w:r>
              <w:rPr>
                <w:rFonts w:asciiTheme="majorBidi" w:eastAsia="Times New Roman" w:hAnsiTheme="majorBidi" w:cstheme="majorBidi"/>
                <w:snapToGrid w:val="0"/>
                <w:sz w:val="22"/>
                <w:szCs w:val="22"/>
                <w:lang w:val="da-DK"/>
              </w:rPr>
              <w:t>Rabdomyolyse</w:t>
            </w:r>
            <w:proofErr w:type="spellEnd"/>
          </w:p>
        </w:tc>
        <w:tc>
          <w:tcPr>
            <w:tcW w:w="1517" w:type="pct"/>
            <w:tcBorders>
              <w:top w:val="single" w:sz="4" w:space="0" w:color="000000"/>
              <w:left w:val="single" w:sz="4" w:space="0" w:color="000000"/>
              <w:bottom w:val="single" w:sz="4" w:space="0" w:color="000000"/>
              <w:right w:val="single" w:sz="4" w:space="0" w:color="000000"/>
            </w:tcBorders>
            <w:hideMark/>
          </w:tcPr>
          <w:p w14:paraId="10A5CD09"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almindelig</w:t>
            </w:r>
          </w:p>
          <w:p w14:paraId="43B77B8E"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Ikke kendt</w:t>
            </w:r>
          </w:p>
        </w:tc>
      </w:tr>
      <w:tr w:rsidR="00B35623" w14:paraId="33B7AE4E"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6F7C8DD1"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Almene symptomer og reaktioner på administrationsstedet</w:t>
            </w:r>
          </w:p>
        </w:tc>
        <w:tc>
          <w:tcPr>
            <w:tcW w:w="1961" w:type="pct"/>
            <w:tcBorders>
              <w:top w:val="single" w:sz="4" w:space="0" w:color="000000"/>
              <w:left w:val="single" w:sz="4" w:space="0" w:color="000000"/>
              <w:bottom w:val="single" w:sz="4" w:space="0" w:color="000000"/>
              <w:right w:val="single" w:sz="4" w:space="0" w:color="000000"/>
            </w:tcBorders>
            <w:hideMark/>
          </w:tcPr>
          <w:p w14:paraId="1859830A"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Malign </w:t>
            </w:r>
            <w:proofErr w:type="spellStart"/>
            <w:r>
              <w:rPr>
                <w:rFonts w:asciiTheme="majorBidi" w:eastAsia="Times New Roman" w:hAnsiTheme="majorBidi" w:cstheme="majorBidi"/>
                <w:snapToGrid w:val="0"/>
                <w:sz w:val="22"/>
                <w:szCs w:val="22"/>
                <w:lang w:val="da-DK"/>
              </w:rPr>
              <w:t>hypertermi</w:t>
            </w:r>
            <w:proofErr w:type="spellEnd"/>
          </w:p>
          <w:p w14:paraId="3D04D0B4"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Asteni</w:t>
            </w:r>
          </w:p>
          <w:p w14:paraId="7CC75A76"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Ubehag</w:t>
            </w:r>
          </w:p>
          <w:p w14:paraId="06E64F3E"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Træthed</w:t>
            </w:r>
            <w:r>
              <w:rPr>
                <w:rFonts w:asciiTheme="majorBidi" w:eastAsia="Times New Roman" w:hAnsiTheme="majorBidi" w:cstheme="majorBidi"/>
                <w:snapToGrid w:val="0"/>
                <w:sz w:val="22"/>
                <w:szCs w:val="22"/>
                <w:vertAlign w:val="superscript"/>
                <w:lang w:val="da-DK"/>
              </w:rPr>
              <w:t>3</w:t>
            </w:r>
          </w:p>
        </w:tc>
        <w:tc>
          <w:tcPr>
            <w:tcW w:w="1517" w:type="pct"/>
            <w:tcBorders>
              <w:top w:val="single" w:sz="4" w:space="0" w:color="000000"/>
              <w:left w:val="single" w:sz="4" w:space="0" w:color="000000"/>
              <w:bottom w:val="single" w:sz="4" w:space="0" w:color="000000"/>
              <w:right w:val="single" w:sz="4" w:space="0" w:color="000000"/>
            </w:tcBorders>
            <w:hideMark/>
          </w:tcPr>
          <w:p w14:paraId="4C7AA011"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175B7BE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2BAD0A96"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287BE2C7"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5E9AB1ED"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28A6C127"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Undersøgelser</w:t>
            </w:r>
          </w:p>
        </w:tc>
        <w:tc>
          <w:tcPr>
            <w:tcW w:w="1961" w:type="pct"/>
            <w:tcBorders>
              <w:top w:val="single" w:sz="4" w:space="0" w:color="000000"/>
              <w:left w:val="single" w:sz="4" w:space="0" w:color="000000"/>
              <w:bottom w:val="single" w:sz="4" w:space="0" w:color="000000"/>
              <w:right w:val="single" w:sz="4" w:space="0" w:color="000000"/>
            </w:tcBorders>
            <w:hideMark/>
          </w:tcPr>
          <w:p w14:paraId="204CAE5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Forhøjet </w:t>
            </w:r>
            <w:proofErr w:type="spellStart"/>
            <w:r>
              <w:rPr>
                <w:rFonts w:asciiTheme="majorBidi" w:eastAsia="Times New Roman" w:hAnsiTheme="majorBidi" w:cstheme="majorBidi"/>
                <w:snapToGrid w:val="0"/>
                <w:sz w:val="22"/>
                <w:szCs w:val="22"/>
                <w:lang w:val="da-DK"/>
              </w:rPr>
              <w:t>kreatinfosfokinase</w:t>
            </w:r>
            <w:proofErr w:type="spellEnd"/>
            <w:r>
              <w:rPr>
                <w:rFonts w:asciiTheme="majorBidi" w:eastAsia="Times New Roman" w:hAnsiTheme="majorBidi" w:cstheme="majorBidi"/>
                <w:snapToGrid w:val="0"/>
                <w:sz w:val="22"/>
                <w:szCs w:val="22"/>
                <w:lang w:val="da-DK"/>
              </w:rPr>
              <w:t xml:space="preserve"> i blodet</w:t>
            </w:r>
          </w:p>
          <w:p w14:paraId="38C909C9"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Unormalt elektrokardiogram </w:t>
            </w:r>
          </w:p>
          <w:p w14:paraId="1389371E"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Elektrokardiogram Forlængelse af </w:t>
            </w:r>
            <w:proofErr w:type="spellStart"/>
            <w:r>
              <w:rPr>
                <w:rFonts w:asciiTheme="majorBidi" w:eastAsia="Times New Roman" w:hAnsiTheme="majorBidi" w:cstheme="majorBidi"/>
                <w:snapToGrid w:val="0"/>
                <w:sz w:val="22"/>
                <w:szCs w:val="22"/>
                <w:lang w:val="da-DK"/>
              </w:rPr>
              <w:t>QTc</w:t>
            </w:r>
            <w:proofErr w:type="spellEnd"/>
            <w:r>
              <w:rPr>
                <w:rFonts w:asciiTheme="majorBidi" w:eastAsia="Times New Roman" w:hAnsiTheme="majorBidi" w:cstheme="majorBidi"/>
                <w:snapToGrid w:val="0"/>
                <w:sz w:val="22"/>
                <w:szCs w:val="22"/>
                <w:lang w:val="da-DK"/>
              </w:rPr>
              <w:t>-interval</w:t>
            </w:r>
          </w:p>
          <w:p w14:paraId="12143E3C"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Elektrokardiogram ST-T-ændring </w:t>
            </w:r>
          </w:p>
          <w:p w14:paraId="2DA45073"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Elektrokardiogram T-bølgeinversion</w:t>
            </w:r>
          </w:p>
          <w:p w14:paraId="13AF1EA7"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Øget </w:t>
            </w:r>
            <w:proofErr w:type="spellStart"/>
            <w:r>
              <w:rPr>
                <w:rFonts w:asciiTheme="majorBidi" w:eastAsia="Times New Roman" w:hAnsiTheme="majorBidi" w:cstheme="majorBidi"/>
                <w:snapToGrid w:val="0"/>
                <w:sz w:val="22"/>
                <w:szCs w:val="22"/>
                <w:lang w:val="da-DK"/>
              </w:rPr>
              <w:t>alaninaminotransferase</w:t>
            </w:r>
            <w:proofErr w:type="spellEnd"/>
          </w:p>
          <w:p w14:paraId="40379C19"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Øget </w:t>
            </w:r>
            <w:proofErr w:type="spellStart"/>
            <w:r>
              <w:rPr>
                <w:rFonts w:asciiTheme="majorBidi" w:eastAsia="Times New Roman" w:hAnsiTheme="majorBidi" w:cstheme="majorBidi"/>
                <w:snapToGrid w:val="0"/>
                <w:sz w:val="22"/>
                <w:szCs w:val="22"/>
                <w:lang w:val="da-DK"/>
              </w:rPr>
              <w:t>aspartataminotransferase</w:t>
            </w:r>
            <w:proofErr w:type="spellEnd"/>
            <w:r>
              <w:rPr>
                <w:rFonts w:asciiTheme="majorBidi" w:eastAsia="Times New Roman" w:hAnsiTheme="majorBidi" w:cstheme="majorBidi"/>
                <w:snapToGrid w:val="0"/>
                <w:sz w:val="22"/>
                <w:szCs w:val="22"/>
                <w:lang w:val="da-DK"/>
              </w:rPr>
              <w:t xml:space="preserve"> </w:t>
            </w:r>
          </w:p>
          <w:p w14:paraId="306C4419"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Unormal koagulationstest</w:t>
            </w:r>
          </w:p>
          <w:p w14:paraId="447D44D4"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Øget ammoniak </w:t>
            </w:r>
          </w:p>
          <w:p w14:paraId="14C65960" w14:textId="77777777" w:rsidR="00B35623" w:rsidRDefault="00B35623">
            <w:pPr>
              <w:pStyle w:val="TableParagraph"/>
              <w:kinsoku w:val="0"/>
              <w:overflowPunct w:val="0"/>
              <w:snapToGrid w:val="0"/>
              <w:spacing w:line="256" w:lineRule="auto"/>
              <w:ind w:left="0"/>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Øget bilirubin i blodet </w:t>
            </w:r>
          </w:p>
          <w:p w14:paraId="185F81FB"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da-DK"/>
              </w:rPr>
            </w:pPr>
            <w:r>
              <w:rPr>
                <w:rFonts w:asciiTheme="majorBidi" w:eastAsia="Times New Roman" w:hAnsiTheme="majorBidi" w:cstheme="majorBidi"/>
                <w:snapToGrid w:val="0"/>
                <w:sz w:val="22"/>
                <w:szCs w:val="22"/>
                <w:lang w:val="da-DK"/>
              </w:rPr>
              <w:t>Øget blodsukker</w:t>
            </w:r>
          </w:p>
        </w:tc>
        <w:tc>
          <w:tcPr>
            <w:tcW w:w="1517" w:type="pct"/>
            <w:tcBorders>
              <w:top w:val="single" w:sz="4" w:space="0" w:color="000000"/>
              <w:left w:val="single" w:sz="4" w:space="0" w:color="000000"/>
              <w:bottom w:val="single" w:sz="4" w:space="0" w:color="000000"/>
              <w:right w:val="single" w:sz="4" w:space="0" w:color="000000"/>
            </w:tcBorders>
          </w:tcPr>
          <w:p w14:paraId="230A4650" w14:textId="77777777" w:rsidR="00B35623" w:rsidRDefault="00B35623">
            <w:pPr>
              <w:pStyle w:val="TableParagraph"/>
              <w:kinsoku w:val="0"/>
              <w:overflowPunct w:val="0"/>
              <w:snapToGrid w:val="0"/>
              <w:spacing w:line="256" w:lineRule="auto"/>
              <w:ind w:left="0"/>
              <w:jc w:val="both"/>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Almindelig</w:t>
            </w:r>
          </w:p>
          <w:p w14:paraId="5C383384"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 xml:space="preserve">Almindelig </w:t>
            </w:r>
          </w:p>
          <w:p w14:paraId="731D4197" w14:textId="77777777" w:rsidR="00B35623" w:rsidRDefault="00B35623">
            <w:pPr>
              <w:pStyle w:val="TableParagraph"/>
              <w:kinsoku w:val="0"/>
              <w:overflowPunct w:val="0"/>
              <w:snapToGrid w:val="0"/>
              <w:spacing w:line="256" w:lineRule="auto"/>
              <w:ind w:left="0"/>
              <w:jc w:val="both"/>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Almindelig</w:t>
            </w:r>
          </w:p>
          <w:p w14:paraId="446A3A9C"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p>
          <w:p w14:paraId="3A575D25" w14:textId="77777777" w:rsidR="00B35623" w:rsidRDefault="00B35623">
            <w:pPr>
              <w:pStyle w:val="TableParagraph"/>
              <w:kinsoku w:val="0"/>
              <w:overflowPunct w:val="0"/>
              <w:snapToGrid w:val="0"/>
              <w:spacing w:line="256" w:lineRule="auto"/>
              <w:ind w:left="0"/>
              <w:jc w:val="both"/>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r>
              <w:rPr>
                <w:rFonts w:asciiTheme="majorBidi" w:hAnsiTheme="majorBidi" w:cstheme="majorBidi"/>
                <w:snapToGrid w:val="0"/>
                <w:sz w:val="22"/>
                <w:szCs w:val="22"/>
                <w:lang w:val="nl-NL"/>
              </w:rPr>
              <w:t xml:space="preserve"> </w:t>
            </w:r>
          </w:p>
          <w:p w14:paraId="449D328D"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5DA92A74"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3DCE9F2C"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3ABD3E91"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09160384"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2C919354" w14:textId="77777777" w:rsidR="00B35623" w:rsidRDefault="00B35623">
            <w:pPr>
              <w:pStyle w:val="TableParagraph"/>
              <w:kinsoku w:val="0"/>
              <w:overflowPunct w:val="0"/>
              <w:snapToGrid w:val="0"/>
              <w:spacing w:line="256" w:lineRule="auto"/>
              <w:ind w:left="0"/>
              <w:jc w:val="both"/>
              <w:rPr>
                <w:rFonts w:asciiTheme="majorBidi" w:eastAsia="Times New Roman" w:hAnsiTheme="majorBidi" w:cstheme="majorBidi"/>
                <w:snapToGrid w:val="0"/>
                <w:sz w:val="22"/>
                <w:szCs w:val="22"/>
                <w:lang w:val="da-DK"/>
              </w:rPr>
            </w:pPr>
            <w:r>
              <w:rPr>
                <w:rFonts w:asciiTheme="majorBidi" w:eastAsia="Times New Roman" w:hAnsiTheme="majorBidi" w:cstheme="majorBidi"/>
                <w:snapToGrid w:val="0"/>
                <w:sz w:val="22"/>
                <w:szCs w:val="22"/>
                <w:lang w:val="da-DK"/>
              </w:rPr>
              <w:t>Ikke kendt</w:t>
            </w:r>
          </w:p>
          <w:p w14:paraId="67CDD614" w14:textId="77777777" w:rsidR="00B35623" w:rsidRDefault="00B35623">
            <w:pPr>
              <w:pStyle w:val="TableParagraph"/>
              <w:kinsoku w:val="0"/>
              <w:overflowPunct w:val="0"/>
              <w:snapToGrid w:val="0"/>
              <w:spacing w:line="256" w:lineRule="auto"/>
              <w:ind w:left="0"/>
              <w:jc w:val="both"/>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Ikke kendt</w:t>
            </w:r>
          </w:p>
        </w:tc>
      </w:tr>
      <w:tr w:rsidR="00B35623" w14:paraId="4D2596B6"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6FA8CA2E"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Traumer, forgiftninger og behandlingskomplikationer</w:t>
            </w:r>
            <w:r>
              <w:rPr>
                <w:rFonts w:asciiTheme="majorBidi" w:eastAsia="Times New Roman" w:hAnsiTheme="majorBidi" w:cstheme="majorBidi"/>
                <w:snapToGrid w:val="0"/>
                <w:sz w:val="22"/>
                <w:szCs w:val="22"/>
                <w:vertAlign w:val="superscript"/>
                <w:lang w:val="da-DK"/>
              </w:rPr>
              <w:t>3</w:t>
            </w:r>
          </w:p>
        </w:tc>
        <w:tc>
          <w:tcPr>
            <w:tcW w:w="1961" w:type="pct"/>
            <w:tcBorders>
              <w:top w:val="single" w:sz="4" w:space="0" w:color="000000"/>
              <w:left w:val="single" w:sz="4" w:space="0" w:color="000000"/>
              <w:bottom w:val="single" w:sz="4" w:space="0" w:color="000000"/>
              <w:right w:val="single" w:sz="4" w:space="0" w:color="000000"/>
            </w:tcBorders>
            <w:hideMark/>
          </w:tcPr>
          <w:p w14:paraId="396134EE"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Postoperativ agitation</w:t>
            </w:r>
          </w:p>
        </w:tc>
        <w:tc>
          <w:tcPr>
            <w:tcW w:w="1517" w:type="pct"/>
            <w:tcBorders>
              <w:top w:val="single" w:sz="4" w:space="0" w:color="000000"/>
              <w:left w:val="single" w:sz="4" w:space="0" w:color="000000"/>
              <w:bottom w:val="single" w:sz="4" w:space="0" w:color="000000"/>
              <w:right w:val="single" w:sz="4" w:space="0" w:color="000000"/>
            </w:tcBorders>
            <w:hideMark/>
          </w:tcPr>
          <w:p w14:paraId="61386FCB"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Ikke kendt</w:t>
            </w:r>
          </w:p>
        </w:tc>
      </w:tr>
      <w:tr w:rsidR="00B35623" w14:paraId="047532F0" w14:textId="77777777" w:rsidTr="00B35623">
        <w:trPr>
          <w:cantSplit/>
        </w:trPr>
        <w:tc>
          <w:tcPr>
            <w:tcW w:w="1522" w:type="pct"/>
            <w:tcBorders>
              <w:top w:val="single" w:sz="4" w:space="0" w:color="000000"/>
              <w:left w:val="single" w:sz="4" w:space="0" w:color="000000"/>
              <w:bottom w:val="single" w:sz="4" w:space="0" w:color="000000"/>
              <w:right w:val="single" w:sz="4" w:space="0" w:color="000000"/>
            </w:tcBorders>
            <w:hideMark/>
          </w:tcPr>
          <w:p w14:paraId="3613A766" w14:textId="21DC8BA2"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lang w:val="nl-NL"/>
              </w:rPr>
            </w:pPr>
            <w:r>
              <w:rPr>
                <w:rFonts w:asciiTheme="majorBidi" w:eastAsia="Times New Roman" w:hAnsiTheme="majorBidi" w:cstheme="majorBidi"/>
                <w:snapToGrid w:val="0"/>
                <w:sz w:val="22"/>
                <w:szCs w:val="22"/>
                <w:lang w:val="da-DK"/>
              </w:rPr>
              <w:t>Øre og labyrint</w:t>
            </w:r>
            <w:r w:rsidR="00E86AC0">
              <w:rPr>
                <w:rFonts w:asciiTheme="majorBidi" w:eastAsia="Times New Roman" w:hAnsiTheme="majorBidi" w:cstheme="majorBidi"/>
                <w:snapToGrid w:val="0"/>
                <w:sz w:val="22"/>
                <w:szCs w:val="22"/>
                <w:lang w:val="da-DK"/>
              </w:rPr>
              <w:t xml:space="preserve"> </w:t>
            </w:r>
          </w:p>
        </w:tc>
        <w:tc>
          <w:tcPr>
            <w:tcW w:w="1961" w:type="pct"/>
            <w:tcBorders>
              <w:top w:val="single" w:sz="4" w:space="0" w:color="000000"/>
              <w:left w:val="single" w:sz="4" w:space="0" w:color="000000"/>
              <w:bottom w:val="single" w:sz="4" w:space="0" w:color="000000"/>
              <w:right w:val="single" w:sz="4" w:space="0" w:color="000000"/>
            </w:tcBorders>
            <w:hideMark/>
          </w:tcPr>
          <w:p w14:paraId="2B09C162"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proofErr w:type="spellStart"/>
            <w:r>
              <w:rPr>
                <w:rFonts w:asciiTheme="majorBidi" w:eastAsia="Times New Roman" w:hAnsiTheme="majorBidi" w:cstheme="majorBidi"/>
                <w:snapToGrid w:val="0"/>
                <w:sz w:val="22"/>
                <w:szCs w:val="22"/>
                <w:lang w:val="da-DK"/>
              </w:rPr>
              <w:t>Vertigo</w:t>
            </w:r>
            <w:proofErr w:type="spellEnd"/>
          </w:p>
        </w:tc>
        <w:tc>
          <w:tcPr>
            <w:tcW w:w="1517" w:type="pct"/>
            <w:tcBorders>
              <w:top w:val="single" w:sz="4" w:space="0" w:color="000000"/>
              <w:left w:val="single" w:sz="4" w:space="0" w:color="000000"/>
              <w:bottom w:val="single" w:sz="4" w:space="0" w:color="000000"/>
              <w:right w:val="single" w:sz="4" w:space="0" w:color="000000"/>
            </w:tcBorders>
            <w:hideMark/>
          </w:tcPr>
          <w:p w14:paraId="304C9176" w14:textId="77777777" w:rsidR="00B35623" w:rsidRDefault="00B35623">
            <w:pPr>
              <w:pStyle w:val="TableParagraph"/>
              <w:kinsoku w:val="0"/>
              <w:overflowPunct w:val="0"/>
              <w:snapToGrid w:val="0"/>
              <w:spacing w:line="256" w:lineRule="auto"/>
              <w:ind w:left="0"/>
              <w:rPr>
                <w:rFonts w:asciiTheme="majorBidi" w:hAnsiTheme="majorBidi" w:cstheme="majorBidi"/>
                <w:snapToGrid w:val="0"/>
                <w:sz w:val="22"/>
                <w:szCs w:val="22"/>
              </w:rPr>
            </w:pPr>
            <w:r>
              <w:rPr>
                <w:rFonts w:asciiTheme="majorBidi" w:eastAsia="Times New Roman" w:hAnsiTheme="majorBidi" w:cstheme="majorBidi"/>
                <w:snapToGrid w:val="0"/>
                <w:sz w:val="22"/>
                <w:szCs w:val="22"/>
                <w:lang w:val="da-DK"/>
              </w:rPr>
              <w:t>Ikke kendt</w:t>
            </w:r>
          </w:p>
        </w:tc>
      </w:tr>
    </w:tbl>
    <w:p w14:paraId="1F2FD737" w14:textId="77777777" w:rsidR="00B35623" w:rsidRDefault="00B35623" w:rsidP="00B35623">
      <w:pPr>
        <w:pStyle w:val="Brdtekst"/>
        <w:kinsoku w:val="0"/>
        <w:overflowPunct w:val="0"/>
        <w:snapToGrid w:val="0"/>
        <w:rPr>
          <w:rFonts w:asciiTheme="majorBidi" w:hAnsiTheme="majorBidi" w:cstheme="majorBidi"/>
          <w:snapToGrid w:val="0"/>
          <w:lang w:val="nl-NL"/>
        </w:rPr>
      </w:pPr>
      <w:r>
        <w:rPr>
          <w:rFonts w:asciiTheme="majorBidi" w:eastAsia="Times New Roman" w:hAnsiTheme="majorBidi" w:cstheme="majorBidi"/>
          <w:snapToGrid w:val="0"/>
          <w:vertAlign w:val="superscript"/>
          <w:lang w:val="da-DK"/>
        </w:rPr>
        <w:t>1</w:t>
      </w:r>
      <w:r>
        <w:rPr>
          <w:rFonts w:asciiTheme="majorBidi" w:eastAsia="Times New Roman" w:hAnsiTheme="majorBidi" w:cstheme="majorBidi"/>
          <w:snapToGrid w:val="0"/>
          <w:lang w:val="da-DK"/>
        </w:rPr>
        <w:t xml:space="preserve"> Rapporteret under induktion og vedligeholdelse af anæstesi</w:t>
      </w:r>
    </w:p>
    <w:p w14:paraId="09600B09" w14:textId="77777777" w:rsidR="00B35623" w:rsidRDefault="00B35623" w:rsidP="00B35623">
      <w:pPr>
        <w:pStyle w:val="Brdtekst"/>
        <w:kinsoku w:val="0"/>
        <w:overflowPunct w:val="0"/>
        <w:snapToGrid w:val="0"/>
        <w:rPr>
          <w:rFonts w:asciiTheme="majorBidi" w:hAnsiTheme="majorBidi" w:cstheme="majorBidi"/>
          <w:snapToGrid w:val="0"/>
          <w:lang w:val="nl-NL"/>
        </w:rPr>
      </w:pPr>
      <w:r>
        <w:rPr>
          <w:rFonts w:asciiTheme="majorBidi" w:eastAsia="Times New Roman" w:hAnsiTheme="majorBidi" w:cstheme="majorBidi"/>
          <w:snapToGrid w:val="0"/>
          <w:vertAlign w:val="superscript"/>
          <w:lang w:val="da-DK"/>
        </w:rPr>
        <w:t>2</w:t>
      </w:r>
      <w:r>
        <w:rPr>
          <w:rFonts w:asciiTheme="majorBidi" w:eastAsia="Times New Roman" w:hAnsiTheme="majorBidi" w:cstheme="majorBidi"/>
          <w:snapToGrid w:val="0"/>
          <w:lang w:val="da-DK"/>
        </w:rPr>
        <w:t xml:space="preserve"> Rapporteret under induktion af anæstesi</w:t>
      </w:r>
    </w:p>
    <w:p w14:paraId="449418A2" w14:textId="77777777" w:rsidR="00B35623" w:rsidRDefault="00B35623" w:rsidP="00B35623">
      <w:pPr>
        <w:pStyle w:val="Brdtekst"/>
        <w:kinsoku w:val="0"/>
        <w:overflowPunct w:val="0"/>
        <w:snapToGrid w:val="0"/>
        <w:rPr>
          <w:rFonts w:asciiTheme="majorBidi" w:hAnsiTheme="majorBidi" w:cstheme="majorBidi"/>
          <w:snapToGrid w:val="0"/>
          <w:lang w:val="nl-NL"/>
        </w:rPr>
      </w:pPr>
      <w:r>
        <w:rPr>
          <w:rFonts w:asciiTheme="majorBidi" w:eastAsia="Times New Roman" w:hAnsiTheme="majorBidi" w:cstheme="majorBidi"/>
          <w:snapToGrid w:val="0"/>
          <w:vertAlign w:val="superscript"/>
          <w:lang w:val="da-DK"/>
        </w:rPr>
        <w:t>3</w:t>
      </w:r>
      <w:r>
        <w:rPr>
          <w:rFonts w:asciiTheme="majorBidi" w:eastAsia="Times New Roman" w:hAnsiTheme="majorBidi" w:cstheme="majorBidi"/>
          <w:snapToGrid w:val="0"/>
          <w:lang w:val="da-DK"/>
        </w:rPr>
        <w:t xml:space="preserve"> Rapporteret af ikke-patienter efter utilsigtet eksponering</w:t>
      </w:r>
    </w:p>
    <w:p w14:paraId="0081D9D2"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nl-NL"/>
        </w:rPr>
      </w:pPr>
    </w:p>
    <w:p w14:paraId="108DEE09"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nl-NL"/>
        </w:rPr>
      </w:pPr>
      <w:r w:rsidRPr="00B35623">
        <w:rPr>
          <w:rFonts w:asciiTheme="majorBidi" w:eastAsia="Times New Roman" w:hAnsiTheme="majorBidi" w:cstheme="majorBidi"/>
          <w:snapToGrid w:val="0"/>
          <w:sz w:val="24"/>
          <w:szCs w:val="24"/>
          <w:lang w:val="da-DK"/>
        </w:rPr>
        <w:t>Andre bivirkninger rapporteret med lignende produkter omfatter:</w:t>
      </w:r>
    </w:p>
    <w:p w14:paraId="2FF19135" w14:textId="3C9EF306"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u w:val="single"/>
          <w:lang w:val="nl-NL"/>
        </w:rPr>
      </w:pPr>
      <w:r w:rsidRPr="00B35623">
        <w:rPr>
          <w:rFonts w:asciiTheme="majorBidi" w:eastAsia="Times New Roman" w:hAnsiTheme="majorBidi" w:cstheme="majorBidi"/>
          <w:snapToGrid w:val="0"/>
          <w:sz w:val="24"/>
          <w:szCs w:val="24"/>
          <w:lang w:val="da-DK"/>
        </w:rPr>
        <w:t>HJERTELIDELSER: Forlænget QT-elektrokardiogram</w:t>
      </w:r>
      <w:r w:rsidR="00BE1776">
        <w:rPr>
          <w:rFonts w:asciiTheme="majorBidi" w:eastAsia="Times New Roman" w:hAnsiTheme="majorBidi" w:cstheme="majorBidi"/>
          <w:snapToGrid w:val="0"/>
          <w:sz w:val="24"/>
          <w:szCs w:val="24"/>
          <w:lang w:val="da-DK"/>
        </w:rPr>
        <w:t>.</w:t>
      </w:r>
    </w:p>
    <w:p w14:paraId="615C7D99"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u w:val="single"/>
          <w:lang w:val="nl-NL"/>
        </w:rPr>
      </w:pPr>
    </w:p>
    <w:p w14:paraId="344B48E3"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nl-NL"/>
        </w:rPr>
      </w:pPr>
      <w:r w:rsidRPr="00B35623">
        <w:rPr>
          <w:rFonts w:asciiTheme="majorBidi" w:eastAsia="Times New Roman" w:hAnsiTheme="majorBidi" w:cstheme="majorBidi"/>
          <w:snapToGrid w:val="0"/>
          <w:sz w:val="24"/>
          <w:szCs w:val="24"/>
          <w:u w:val="single"/>
          <w:lang w:val="da-DK"/>
        </w:rPr>
        <w:t>Pædiatrisk population</w:t>
      </w:r>
    </w:p>
    <w:p w14:paraId="48FDEB09"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nl-NL"/>
        </w:rPr>
      </w:pPr>
      <w:r w:rsidRPr="00B35623">
        <w:rPr>
          <w:rFonts w:asciiTheme="majorBidi" w:eastAsia="Times New Roman" w:hAnsiTheme="majorBidi" w:cstheme="majorBidi"/>
          <w:snapToGrid w:val="0"/>
          <w:sz w:val="24"/>
          <w:szCs w:val="24"/>
          <w:lang w:val="da-DK"/>
        </w:rPr>
        <w:t>Hyppigheden, typen og intensiteten af disse bivirkninger anses for at være den samme for børn og voksne.</w:t>
      </w:r>
    </w:p>
    <w:p w14:paraId="502EA2F7" w14:textId="77777777" w:rsidR="00B35623" w:rsidRPr="00B35623" w:rsidRDefault="00B35623" w:rsidP="00B35623">
      <w:pPr>
        <w:pStyle w:val="Brdtekst"/>
        <w:kinsoku w:val="0"/>
        <w:overflowPunct w:val="0"/>
        <w:snapToGrid w:val="0"/>
        <w:ind w:left="851"/>
        <w:rPr>
          <w:rFonts w:asciiTheme="majorBidi" w:hAnsiTheme="majorBidi" w:cstheme="majorBidi"/>
          <w:snapToGrid w:val="0"/>
          <w:sz w:val="24"/>
          <w:szCs w:val="24"/>
          <w:lang w:val="nl-NL"/>
        </w:rPr>
      </w:pPr>
    </w:p>
    <w:p w14:paraId="282ED0BF" w14:textId="77777777" w:rsidR="00B35623" w:rsidRPr="00B35623" w:rsidRDefault="00B35623" w:rsidP="00B35623">
      <w:pPr>
        <w:pStyle w:val="Brdtekst"/>
        <w:kinsoku w:val="0"/>
        <w:overflowPunct w:val="0"/>
        <w:snapToGrid w:val="0"/>
        <w:ind w:left="851"/>
        <w:rPr>
          <w:rFonts w:asciiTheme="majorBidi" w:eastAsia="Times New Roman" w:hAnsiTheme="majorBidi" w:cstheme="majorBidi"/>
          <w:snapToGrid w:val="0"/>
          <w:sz w:val="24"/>
          <w:szCs w:val="24"/>
          <w:u w:val="single"/>
          <w:lang w:val="da-DK"/>
        </w:rPr>
      </w:pPr>
      <w:r w:rsidRPr="00B35623">
        <w:rPr>
          <w:rFonts w:asciiTheme="majorBidi" w:eastAsia="Times New Roman" w:hAnsiTheme="majorBidi" w:cstheme="majorBidi"/>
          <w:snapToGrid w:val="0"/>
          <w:sz w:val="24"/>
          <w:szCs w:val="24"/>
          <w:u w:val="single"/>
          <w:lang w:val="da-DK"/>
        </w:rPr>
        <w:t>Indberetning af formodede bivirkninger</w:t>
      </w:r>
    </w:p>
    <w:p w14:paraId="270B0242" w14:textId="12030454" w:rsidR="00B35623" w:rsidRDefault="00B35623" w:rsidP="00B35623">
      <w:pPr>
        <w:pStyle w:val="Brdtekst"/>
        <w:kinsoku w:val="0"/>
        <w:overflowPunct w:val="0"/>
        <w:snapToGrid w:val="0"/>
        <w:ind w:left="851"/>
        <w:rPr>
          <w:rFonts w:asciiTheme="majorBidi" w:eastAsia="Times New Roman"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Når lægemidlet er godkendt, er indberetning af formodede bivirkninger vigtig. Det muliggør løbende overvågning af benefit/</w:t>
      </w:r>
      <w:proofErr w:type="spellStart"/>
      <w:r w:rsidRPr="00B35623">
        <w:rPr>
          <w:rFonts w:asciiTheme="majorBidi" w:eastAsia="Times New Roman" w:hAnsiTheme="majorBidi" w:cstheme="majorBidi"/>
          <w:snapToGrid w:val="0"/>
          <w:sz w:val="24"/>
          <w:szCs w:val="24"/>
          <w:lang w:val="da-DK"/>
        </w:rPr>
        <w:t>risk</w:t>
      </w:r>
      <w:proofErr w:type="spellEnd"/>
      <w:r w:rsidRPr="00B35623">
        <w:rPr>
          <w:rFonts w:asciiTheme="majorBidi" w:eastAsia="Times New Roman" w:hAnsiTheme="majorBidi" w:cstheme="majorBidi"/>
          <w:snapToGrid w:val="0"/>
          <w:sz w:val="24"/>
          <w:szCs w:val="24"/>
          <w:lang w:val="da-DK"/>
        </w:rPr>
        <w:t>-forholdet for lægemidlet. Sundhedspersoner anmodes om at indberette alle formodede bivirkninger via</w:t>
      </w:r>
      <w:r w:rsidR="00BE1776">
        <w:rPr>
          <w:rFonts w:asciiTheme="majorBidi" w:eastAsia="Times New Roman" w:hAnsiTheme="majorBidi" w:cstheme="majorBidi"/>
          <w:snapToGrid w:val="0"/>
          <w:sz w:val="24"/>
          <w:szCs w:val="24"/>
          <w:lang w:val="da-DK"/>
        </w:rPr>
        <w:t>:</w:t>
      </w:r>
    </w:p>
    <w:p w14:paraId="18C9C9E8" w14:textId="77777777" w:rsidR="00BE1776" w:rsidRPr="00B35623" w:rsidRDefault="00BE1776" w:rsidP="00B35623">
      <w:pPr>
        <w:pStyle w:val="Brdtekst"/>
        <w:kinsoku w:val="0"/>
        <w:overflowPunct w:val="0"/>
        <w:snapToGrid w:val="0"/>
        <w:ind w:left="851"/>
        <w:rPr>
          <w:rFonts w:asciiTheme="majorBidi" w:eastAsia="Times New Roman" w:hAnsiTheme="majorBidi" w:cstheme="majorBidi"/>
          <w:snapToGrid w:val="0"/>
          <w:sz w:val="24"/>
          <w:szCs w:val="24"/>
          <w:lang w:val="da-DK"/>
        </w:rPr>
      </w:pPr>
    </w:p>
    <w:p w14:paraId="7B4C31CC" w14:textId="77777777" w:rsidR="00BE1776" w:rsidRDefault="00B35623" w:rsidP="00B35623">
      <w:pPr>
        <w:pStyle w:val="Brdtekst"/>
        <w:kinsoku w:val="0"/>
        <w:overflowPunct w:val="0"/>
        <w:snapToGrid w:val="0"/>
        <w:ind w:left="851"/>
        <w:rPr>
          <w:rFonts w:asciiTheme="majorBidi" w:eastAsia="Times New Roman"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Lægemiddelstyrelsen</w:t>
      </w:r>
    </w:p>
    <w:p w14:paraId="6C6273C4" w14:textId="71BD03EB" w:rsidR="00B35623" w:rsidRPr="00B35623" w:rsidRDefault="00B35623" w:rsidP="00B35623">
      <w:pPr>
        <w:pStyle w:val="Brdtekst"/>
        <w:kinsoku w:val="0"/>
        <w:overflowPunct w:val="0"/>
        <w:snapToGrid w:val="0"/>
        <w:ind w:left="851"/>
        <w:rPr>
          <w:rFonts w:asciiTheme="majorBidi" w:eastAsia="Times New Roman"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lastRenderedPageBreak/>
        <w:t xml:space="preserve">Axel Heides Gade 1 </w:t>
      </w:r>
    </w:p>
    <w:p w14:paraId="18002595" w14:textId="77777777" w:rsidR="00B35623" w:rsidRPr="00B35623" w:rsidRDefault="00B35623" w:rsidP="00B35623">
      <w:pPr>
        <w:pStyle w:val="Brdtekst"/>
        <w:kinsoku w:val="0"/>
        <w:overflowPunct w:val="0"/>
        <w:snapToGrid w:val="0"/>
        <w:ind w:left="851"/>
        <w:rPr>
          <w:rFonts w:asciiTheme="majorBidi" w:eastAsia="Times New Roman"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DK-2300 København S</w:t>
      </w:r>
    </w:p>
    <w:p w14:paraId="58AE96E0" w14:textId="0FD1CF3A" w:rsidR="00B35623" w:rsidRPr="00B35623" w:rsidRDefault="00B35623" w:rsidP="00B35623">
      <w:pPr>
        <w:pStyle w:val="Brdtekst"/>
        <w:kinsoku w:val="0"/>
        <w:overflowPunct w:val="0"/>
        <w:snapToGrid w:val="0"/>
        <w:ind w:left="851"/>
        <w:rPr>
          <w:rFonts w:asciiTheme="majorBidi" w:eastAsia="Times New Roman" w:hAnsiTheme="majorBidi" w:cstheme="majorBidi"/>
          <w:snapToGrid w:val="0"/>
          <w:sz w:val="24"/>
          <w:szCs w:val="24"/>
          <w:lang w:val="da-DK"/>
        </w:rPr>
      </w:pPr>
      <w:r w:rsidRPr="00B35623">
        <w:rPr>
          <w:rFonts w:asciiTheme="majorBidi" w:eastAsia="Times New Roman" w:hAnsiTheme="majorBidi" w:cstheme="majorBidi"/>
          <w:snapToGrid w:val="0"/>
          <w:sz w:val="24"/>
          <w:szCs w:val="24"/>
          <w:lang w:val="da-DK"/>
        </w:rPr>
        <w:t xml:space="preserve">Websted: </w:t>
      </w:r>
      <w:r w:rsidRPr="00BE1776">
        <w:rPr>
          <w:rFonts w:asciiTheme="majorBidi" w:eastAsia="Times New Roman" w:hAnsiTheme="majorBidi" w:cstheme="majorBidi"/>
          <w:snapToGrid w:val="0"/>
          <w:sz w:val="24"/>
          <w:szCs w:val="24"/>
          <w:lang w:val="da-DK"/>
        </w:rPr>
        <w:t>www.meldenbivirkning.dk</w:t>
      </w:r>
      <w:r w:rsidRPr="00B35623">
        <w:rPr>
          <w:rFonts w:asciiTheme="majorBidi" w:eastAsia="Times New Roman" w:hAnsiTheme="majorBidi" w:cstheme="majorBidi"/>
          <w:snapToGrid w:val="0"/>
          <w:sz w:val="24"/>
          <w:szCs w:val="24"/>
          <w:lang w:val="da-DK"/>
        </w:rPr>
        <w:t xml:space="preserve"> </w:t>
      </w:r>
    </w:p>
    <w:p w14:paraId="04093C56" w14:textId="77777777" w:rsidR="009260DE" w:rsidRPr="00A10294" w:rsidRDefault="009260DE" w:rsidP="00A10294">
      <w:pPr>
        <w:tabs>
          <w:tab w:val="left" w:pos="851"/>
        </w:tabs>
        <w:ind w:left="851"/>
        <w:rPr>
          <w:sz w:val="24"/>
          <w:szCs w:val="24"/>
        </w:rPr>
      </w:pPr>
    </w:p>
    <w:p w14:paraId="715C613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93EB5E5" w14:textId="77777777" w:rsidR="00E86AC0" w:rsidRDefault="00E86AC0" w:rsidP="00E86AC0">
      <w:pPr>
        <w:tabs>
          <w:tab w:val="left" w:pos="851"/>
        </w:tabs>
        <w:ind w:left="851"/>
        <w:rPr>
          <w:sz w:val="24"/>
          <w:szCs w:val="24"/>
          <w:u w:val="single"/>
        </w:rPr>
      </w:pPr>
    </w:p>
    <w:p w14:paraId="669B59A2" w14:textId="44407E6B" w:rsidR="00E86AC0" w:rsidRPr="00E86AC0" w:rsidRDefault="00E86AC0" w:rsidP="00E86AC0">
      <w:pPr>
        <w:tabs>
          <w:tab w:val="left" w:pos="851"/>
        </w:tabs>
        <w:ind w:left="851"/>
        <w:rPr>
          <w:sz w:val="24"/>
          <w:szCs w:val="24"/>
        </w:rPr>
      </w:pPr>
      <w:r w:rsidRPr="00E86AC0">
        <w:rPr>
          <w:sz w:val="24"/>
          <w:szCs w:val="24"/>
          <w:u w:val="single"/>
        </w:rPr>
        <w:t>Symptomer på overdosis og behandling</w:t>
      </w:r>
    </w:p>
    <w:p w14:paraId="2284D3CD" w14:textId="77777777" w:rsidR="00E86AC0" w:rsidRPr="00E86AC0" w:rsidRDefault="00E86AC0" w:rsidP="00E86AC0">
      <w:pPr>
        <w:tabs>
          <w:tab w:val="left" w:pos="851"/>
        </w:tabs>
        <w:ind w:left="851"/>
        <w:rPr>
          <w:sz w:val="24"/>
          <w:szCs w:val="24"/>
        </w:rPr>
      </w:pPr>
      <w:r w:rsidRPr="00E86AC0">
        <w:rPr>
          <w:sz w:val="24"/>
          <w:szCs w:val="24"/>
        </w:rPr>
        <w:t xml:space="preserve">Symptomerne på overdosis af </w:t>
      </w:r>
      <w:proofErr w:type="spellStart"/>
      <w:r w:rsidRPr="00E86AC0">
        <w:rPr>
          <w:sz w:val="24"/>
          <w:szCs w:val="24"/>
        </w:rPr>
        <w:t>desfluran</w:t>
      </w:r>
      <w:proofErr w:type="spellEnd"/>
      <w:r w:rsidRPr="00E86AC0">
        <w:rPr>
          <w:sz w:val="24"/>
          <w:szCs w:val="24"/>
        </w:rPr>
        <w:t xml:space="preserve"> forventes at være de samme som for andre flygtige stoffer.</w:t>
      </w:r>
    </w:p>
    <w:p w14:paraId="5CBE2D9F" w14:textId="49659326" w:rsidR="00E86AC0" w:rsidRPr="00E86AC0" w:rsidRDefault="00E86AC0" w:rsidP="00E86AC0">
      <w:pPr>
        <w:tabs>
          <w:tab w:val="left" w:pos="851"/>
        </w:tabs>
        <w:ind w:left="851"/>
        <w:rPr>
          <w:sz w:val="24"/>
          <w:szCs w:val="24"/>
        </w:rPr>
      </w:pPr>
      <w:r w:rsidRPr="00E86AC0">
        <w:rPr>
          <w:sz w:val="24"/>
          <w:szCs w:val="24"/>
        </w:rPr>
        <w:t>Symptomerne omfatter øget anæstesidybde, hjerte- og/eller respirationsdepression hos patienter med spontan vejrtrækning og hypotension hos ventilerede patienter, hos hvem,</w:t>
      </w:r>
      <w:r>
        <w:rPr>
          <w:sz w:val="24"/>
          <w:szCs w:val="24"/>
        </w:rPr>
        <w:t xml:space="preserve"> </w:t>
      </w:r>
      <w:proofErr w:type="spellStart"/>
      <w:r w:rsidRPr="00E86AC0">
        <w:rPr>
          <w:sz w:val="24"/>
          <w:szCs w:val="24"/>
        </w:rPr>
        <w:t>hypercarbia</w:t>
      </w:r>
      <w:proofErr w:type="spellEnd"/>
      <w:r w:rsidRPr="00E86AC0">
        <w:rPr>
          <w:sz w:val="24"/>
          <w:szCs w:val="24"/>
        </w:rPr>
        <w:t xml:space="preserve"> og </w:t>
      </w:r>
      <w:proofErr w:type="spellStart"/>
      <w:r w:rsidRPr="00E86AC0">
        <w:rPr>
          <w:sz w:val="24"/>
          <w:szCs w:val="24"/>
        </w:rPr>
        <w:t>hypoxia</w:t>
      </w:r>
      <w:proofErr w:type="spellEnd"/>
      <w:r w:rsidRPr="00E86AC0">
        <w:rPr>
          <w:sz w:val="24"/>
          <w:szCs w:val="24"/>
        </w:rPr>
        <w:t xml:space="preserve"> først kan forekomme</w:t>
      </w:r>
      <w:r>
        <w:rPr>
          <w:sz w:val="24"/>
          <w:szCs w:val="24"/>
        </w:rPr>
        <w:t xml:space="preserve"> </w:t>
      </w:r>
      <w:r w:rsidRPr="00E86AC0">
        <w:rPr>
          <w:sz w:val="24"/>
          <w:szCs w:val="24"/>
        </w:rPr>
        <w:t>i et sent stadium.</w:t>
      </w:r>
    </w:p>
    <w:p w14:paraId="06E917EA" w14:textId="77777777" w:rsidR="00E86AC0" w:rsidRPr="00E86AC0" w:rsidRDefault="00E86AC0" w:rsidP="00E86AC0">
      <w:pPr>
        <w:tabs>
          <w:tab w:val="left" w:pos="851"/>
        </w:tabs>
        <w:ind w:left="851"/>
        <w:rPr>
          <w:sz w:val="24"/>
          <w:szCs w:val="24"/>
        </w:rPr>
      </w:pPr>
    </w:p>
    <w:p w14:paraId="374715BE" w14:textId="77777777" w:rsidR="00E86AC0" w:rsidRPr="00E86AC0" w:rsidRDefault="00E86AC0" w:rsidP="00E86AC0">
      <w:pPr>
        <w:tabs>
          <w:tab w:val="left" w:pos="851"/>
        </w:tabs>
        <w:ind w:left="851"/>
        <w:rPr>
          <w:sz w:val="24"/>
          <w:szCs w:val="24"/>
        </w:rPr>
      </w:pPr>
      <w:r w:rsidRPr="00E86AC0">
        <w:rPr>
          <w:sz w:val="24"/>
          <w:szCs w:val="24"/>
        </w:rPr>
        <w:t xml:space="preserve">I tilfælde af overdosis skal følgende foranstaltninger foretages: </w:t>
      </w:r>
      <w:proofErr w:type="spellStart"/>
      <w:r w:rsidRPr="00E86AC0">
        <w:rPr>
          <w:sz w:val="24"/>
          <w:szCs w:val="24"/>
        </w:rPr>
        <w:t>Desfluran</w:t>
      </w:r>
      <w:proofErr w:type="spellEnd"/>
      <w:r w:rsidRPr="00E86AC0">
        <w:rPr>
          <w:sz w:val="24"/>
          <w:szCs w:val="24"/>
        </w:rPr>
        <w:t xml:space="preserve"> skal stoppes, frie luftveje skal etableres, og assisteret eller kontrolleret ventilation med ren ilt skal påbegyndes. Den </w:t>
      </w:r>
      <w:proofErr w:type="spellStart"/>
      <w:r w:rsidRPr="00E86AC0">
        <w:rPr>
          <w:sz w:val="24"/>
          <w:szCs w:val="24"/>
        </w:rPr>
        <w:t>hæmodynamiske</w:t>
      </w:r>
      <w:proofErr w:type="spellEnd"/>
      <w:r w:rsidRPr="00E86AC0">
        <w:rPr>
          <w:sz w:val="24"/>
          <w:szCs w:val="24"/>
        </w:rPr>
        <w:t xml:space="preserve"> funktion skal understøttes og vedligeholdes korrekt.</w:t>
      </w:r>
    </w:p>
    <w:p w14:paraId="2E07A1AE" w14:textId="77777777" w:rsidR="009260DE" w:rsidRPr="00C84483" w:rsidRDefault="009260DE" w:rsidP="009260DE">
      <w:pPr>
        <w:tabs>
          <w:tab w:val="left" w:pos="851"/>
        </w:tabs>
        <w:ind w:left="851"/>
        <w:rPr>
          <w:sz w:val="24"/>
          <w:szCs w:val="24"/>
        </w:rPr>
      </w:pPr>
    </w:p>
    <w:p w14:paraId="75D264E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374FCF5" w14:textId="4B457FB1" w:rsidR="009260DE" w:rsidRPr="00C84483" w:rsidRDefault="00E86AC0" w:rsidP="009260DE">
      <w:pPr>
        <w:tabs>
          <w:tab w:val="left" w:pos="851"/>
        </w:tabs>
        <w:ind w:left="851"/>
        <w:rPr>
          <w:sz w:val="24"/>
          <w:szCs w:val="24"/>
        </w:rPr>
      </w:pPr>
      <w:r>
        <w:rPr>
          <w:sz w:val="24"/>
          <w:szCs w:val="24"/>
        </w:rPr>
        <w:t>B</w:t>
      </w:r>
    </w:p>
    <w:p w14:paraId="5A190829" w14:textId="77777777" w:rsidR="009260DE" w:rsidRPr="00C84483" w:rsidRDefault="009260DE" w:rsidP="009260DE">
      <w:pPr>
        <w:tabs>
          <w:tab w:val="left" w:pos="851"/>
        </w:tabs>
        <w:ind w:left="851"/>
        <w:rPr>
          <w:sz w:val="24"/>
          <w:szCs w:val="24"/>
        </w:rPr>
      </w:pPr>
    </w:p>
    <w:p w14:paraId="0D5AFFD7" w14:textId="77777777" w:rsidR="009260DE" w:rsidRPr="00C84483" w:rsidRDefault="009260DE" w:rsidP="009260DE">
      <w:pPr>
        <w:tabs>
          <w:tab w:val="left" w:pos="851"/>
        </w:tabs>
        <w:ind w:left="851"/>
        <w:rPr>
          <w:sz w:val="24"/>
          <w:szCs w:val="24"/>
        </w:rPr>
      </w:pPr>
    </w:p>
    <w:p w14:paraId="771580A4"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EF513DC" w14:textId="77777777" w:rsidR="009260DE" w:rsidRPr="00C84483" w:rsidRDefault="009260DE" w:rsidP="009260DE">
      <w:pPr>
        <w:tabs>
          <w:tab w:val="left" w:pos="851"/>
        </w:tabs>
        <w:ind w:left="851"/>
        <w:rPr>
          <w:sz w:val="24"/>
          <w:szCs w:val="24"/>
        </w:rPr>
      </w:pPr>
    </w:p>
    <w:p w14:paraId="6B07913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98F2EDC" w14:textId="185892A2" w:rsidR="009260DE" w:rsidRDefault="00E86AC0" w:rsidP="009260DE">
      <w:pPr>
        <w:tabs>
          <w:tab w:val="left" w:pos="851"/>
        </w:tabs>
        <w:ind w:left="851"/>
        <w:rPr>
          <w:sz w:val="24"/>
          <w:szCs w:val="24"/>
        </w:rPr>
      </w:pPr>
      <w:proofErr w:type="spellStart"/>
      <w:r w:rsidRPr="00E86AC0">
        <w:rPr>
          <w:sz w:val="24"/>
          <w:szCs w:val="24"/>
        </w:rPr>
        <w:t>Farmakoterapeutisk</w:t>
      </w:r>
      <w:proofErr w:type="spellEnd"/>
      <w:r w:rsidRPr="00E86AC0">
        <w:rPr>
          <w:sz w:val="24"/>
          <w:szCs w:val="24"/>
        </w:rPr>
        <w:t xml:space="preserve"> klassifikation: Nervesystemet</w:t>
      </w:r>
      <w:r w:rsidR="00743471">
        <w:rPr>
          <w:sz w:val="24"/>
          <w:szCs w:val="24"/>
        </w:rPr>
        <w:t xml:space="preserve">, </w:t>
      </w:r>
      <w:proofErr w:type="spellStart"/>
      <w:r w:rsidRPr="00E86AC0">
        <w:rPr>
          <w:sz w:val="24"/>
          <w:szCs w:val="24"/>
        </w:rPr>
        <w:t>anæstetika</w:t>
      </w:r>
      <w:proofErr w:type="spellEnd"/>
      <w:r w:rsidR="00743471">
        <w:rPr>
          <w:sz w:val="24"/>
          <w:szCs w:val="24"/>
        </w:rPr>
        <w:t xml:space="preserve">, </w:t>
      </w:r>
      <w:r w:rsidRPr="00E86AC0">
        <w:rPr>
          <w:sz w:val="24"/>
          <w:szCs w:val="24"/>
        </w:rPr>
        <w:t>generelt</w:t>
      </w:r>
      <w:r w:rsidR="00743471">
        <w:rPr>
          <w:sz w:val="24"/>
          <w:szCs w:val="24"/>
        </w:rPr>
        <w:t xml:space="preserve">, </w:t>
      </w:r>
      <w:proofErr w:type="spellStart"/>
      <w:r w:rsidR="00743471">
        <w:rPr>
          <w:sz w:val="24"/>
          <w:szCs w:val="24"/>
        </w:rPr>
        <w:t>h</w:t>
      </w:r>
      <w:r w:rsidRPr="00E86AC0">
        <w:rPr>
          <w:sz w:val="24"/>
          <w:szCs w:val="24"/>
        </w:rPr>
        <w:t>alogenerede</w:t>
      </w:r>
      <w:proofErr w:type="spellEnd"/>
      <w:r w:rsidRPr="00E86AC0">
        <w:rPr>
          <w:sz w:val="24"/>
          <w:szCs w:val="24"/>
        </w:rPr>
        <w:t xml:space="preserve"> kulbrinter</w:t>
      </w:r>
      <w:r w:rsidR="00743471">
        <w:rPr>
          <w:sz w:val="24"/>
          <w:szCs w:val="24"/>
        </w:rPr>
        <w:t xml:space="preserve">, </w:t>
      </w:r>
      <w:r w:rsidRPr="00E86AC0">
        <w:rPr>
          <w:sz w:val="24"/>
          <w:szCs w:val="24"/>
        </w:rPr>
        <w:t>ATC-kode: N01AB07</w:t>
      </w:r>
      <w:r>
        <w:rPr>
          <w:sz w:val="24"/>
          <w:szCs w:val="24"/>
        </w:rPr>
        <w:t>.</w:t>
      </w:r>
    </w:p>
    <w:p w14:paraId="18FE0D79" w14:textId="65578C68" w:rsidR="00743471" w:rsidRDefault="00743471" w:rsidP="009260DE">
      <w:pPr>
        <w:tabs>
          <w:tab w:val="left" w:pos="851"/>
        </w:tabs>
        <w:ind w:left="851"/>
        <w:rPr>
          <w:sz w:val="24"/>
          <w:szCs w:val="24"/>
        </w:rPr>
      </w:pPr>
    </w:p>
    <w:p w14:paraId="16CFA874" w14:textId="77777777" w:rsidR="00743471" w:rsidRPr="00743471" w:rsidRDefault="00743471" w:rsidP="00743471">
      <w:pPr>
        <w:tabs>
          <w:tab w:val="left" w:pos="851"/>
        </w:tabs>
        <w:ind w:left="851"/>
        <w:rPr>
          <w:sz w:val="24"/>
          <w:szCs w:val="24"/>
        </w:rPr>
      </w:pPr>
      <w:proofErr w:type="spellStart"/>
      <w:r w:rsidRPr="00743471">
        <w:rPr>
          <w:sz w:val="24"/>
          <w:szCs w:val="24"/>
        </w:rPr>
        <w:t>Desfluran</w:t>
      </w:r>
      <w:proofErr w:type="spellEnd"/>
      <w:r w:rsidRPr="00743471">
        <w:rPr>
          <w:sz w:val="24"/>
          <w:szCs w:val="24"/>
        </w:rPr>
        <w:t xml:space="preserve"> tilhører familien af </w:t>
      </w:r>
      <w:proofErr w:type="spellStart"/>
      <w:r w:rsidRPr="00743471">
        <w:rPr>
          <w:sz w:val="24"/>
          <w:szCs w:val="24"/>
        </w:rPr>
        <w:t>halogenerede</w:t>
      </w:r>
      <w:proofErr w:type="spellEnd"/>
      <w:r w:rsidRPr="00743471">
        <w:rPr>
          <w:sz w:val="24"/>
          <w:szCs w:val="24"/>
        </w:rPr>
        <w:t xml:space="preserve"> </w:t>
      </w:r>
      <w:proofErr w:type="spellStart"/>
      <w:r w:rsidRPr="00743471">
        <w:rPr>
          <w:sz w:val="24"/>
          <w:szCs w:val="24"/>
        </w:rPr>
        <w:t>methylethylethere</w:t>
      </w:r>
      <w:proofErr w:type="spellEnd"/>
      <w:r w:rsidRPr="00743471">
        <w:rPr>
          <w:sz w:val="24"/>
          <w:szCs w:val="24"/>
        </w:rPr>
        <w:t xml:space="preserve">, der administreres ved inhalation og derved genererer et dosisrelateret, reversibelt bevidsthedstab og manglende smertefølelser, suppression af frivillig motoraktivitet, reduktion af autonome reflekser og </w:t>
      </w:r>
      <w:proofErr w:type="spellStart"/>
      <w:r w:rsidRPr="00743471">
        <w:rPr>
          <w:sz w:val="24"/>
          <w:szCs w:val="24"/>
        </w:rPr>
        <w:t>sedering</w:t>
      </w:r>
      <w:proofErr w:type="spellEnd"/>
      <w:r w:rsidRPr="00743471">
        <w:rPr>
          <w:sz w:val="24"/>
          <w:szCs w:val="24"/>
        </w:rPr>
        <w:t xml:space="preserve"> af åndedrættet og det </w:t>
      </w:r>
      <w:proofErr w:type="spellStart"/>
      <w:r w:rsidRPr="00743471">
        <w:rPr>
          <w:sz w:val="24"/>
          <w:szCs w:val="24"/>
        </w:rPr>
        <w:t>kardiovaskulære</w:t>
      </w:r>
      <w:proofErr w:type="spellEnd"/>
      <w:r w:rsidRPr="00743471">
        <w:rPr>
          <w:sz w:val="24"/>
          <w:szCs w:val="24"/>
        </w:rPr>
        <w:t xml:space="preserve"> system.</w:t>
      </w:r>
    </w:p>
    <w:p w14:paraId="377E1F57" w14:textId="77777777" w:rsidR="00743471" w:rsidRPr="00743471" w:rsidRDefault="00743471" w:rsidP="00743471">
      <w:pPr>
        <w:tabs>
          <w:tab w:val="left" w:pos="851"/>
        </w:tabs>
        <w:ind w:left="851"/>
        <w:rPr>
          <w:sz w:val="24"/>
          <w:szCs w:val="24"/>
        </w:rPr>
      </w:pPr>
      <w:proofErr w:type="spellStart"/>
      <w:r w:rsidRPr="00743471">
        <w:rPr>
          <w:sz w:val="24"/>
          <w:szCs w:val="24"/>
        </w:rPr>
        <w:t>Desfluran</w:t>
      </w:r>
      <w:proofErr w:type="spellEnd"/>
      <w:r w:rsidRPr="00743471">
        <w:rPr>
          <w:sz w:val="24"/>
          <w:szCs w:val="24"/>
        </w:rPr>
        <w:t xml:space="preserve"> er en farveløs, flygtig væske med et kogepunkt på 22,8 • C. Det er ikke brændbart eller eksplosivt i de blandingsforhold, der anvendes i anæstesiologi</w:t>
      </w:r>
    </w:p>
    <w:p w14:paraId="7C852518" w14:textId="77777777" w:rsidR="00743471" w:rsidRPr="00743471" w:rsidRDefault="00743471" w:rsidP="00743471">
      <w:pPr>
        <w:tabs>
          <w:tab w:val="left" w:pos="851"/>
        </w:tabs>
        <w:ind w:left="851"/>
        <w:rPr>
          <w:sz w:val="24"/>
          <w:szCs w:val="24"/>
        </w:rPr>
      </w:pPr>
    </w:p>
    <w:p w14:paraId="1AECF76B" w14:textId="77777777" w:rsidR="00743471" w:rsidRPr="00743471" w:rsidRDefault="00743471" w:rsidP="00743471">
      <w:pPr>
        <w:tabs>
          <w:tab w:val="left" w:pos="851"/>
        </w:tabs>
        <w:ind w:left="851"/>
        <w:rPr>
          <w:sz w:val="24"/>
          <w:szCs w:val="24"/>
        </w:rPr>
      </w:pPr>
      <w:r w:rsidRPr="00743471">
        <w:rPr>
          <w:sz w:val="24"/>
          <w:szCs w:val="24"/>
        </w:rPr>
        <w:t xml:space="preserve">Andre medlemmer af serien omfatter </w:t>
      </w:r>
      <w:proofErr w:type="spellStart"/>
      <w:r w:rsidRPr="00743471">
        <w:rPr>
          <w:sz w:val="24"/>
          <w:szCs w:val="24"/>
        </w:rPr>
        <w:t>enfluran</w:t>
      </w:r>
      <w:proofErr w:type="spellEnd"/>
      <w:r w:rsidRPr="00743471">
        <w:rPr>
          <w:sz w:val="24"/>
          <w:szCs w:val="24"/>
        </w:rPr>
        <w:t xml:space="preserve"> og </w:t>
      </w:r>
      <w:proofErr w:type="spellStart"/>
      <w:r w:rsidRPr="00743471">
        <w:rPr>
          <w:sz w:val="24"/>
          <w:szCs w:val="24"/>
        </w:rPr>
        <w:t>isofluran</w:t>
      </w:r>
      <w:proofErr w:type="spellEnd"/>
      <w:r w:rsidRPr="00743471">
        <w:rPr>
          <w:sz w:val="24"/>
          <w:szCs w:val="24"/>
        </w:rPr>
        <w:t xml:space="preserve">, som er </w:t>
      </w:r>
      <w:proofErr w:type="spellStart"/>
      <w:r w:rsidRPr="00743471">
        <w:rPr>
          <w:sz w:val="24"/>
          <w:szCs w:val="24"/>
        </w:rPr>
        <w:t>halogeneret</w:t>
      </w:r>
      <w:proofErr w:type="spellEnd"/>
      <w:r w:rsidRPr="00743471">
        <w:rPr>
          <w:sz w:val="24"/>
          <w:szCs w:val="24"/>
        </w:rPr>
        <w:t xml:space="preserve"> med klor samt fluor. </w:t>
      </w:r>
      <w:proofErr w:type="spellStart"/>
      <w:r w:rsidRPr="00743471">
        <w:rPr>
          <w:sz w:val="24"/>
          <w:szCs w:val="24"/>
        </w:rPr>
        <w:t>Desfluran</w:t>
      </w:r>
      <w:proofErr w:type="spellEnd"/>
      <w:r w:rsidRPr="00743471">
        <w:rPr>
          <w:sz w:val="24"/>
          <w:szCs w:val="24"/>
        </w:rPr>
        <w:t xml:space="preserve"> </w:t>
      </w:r>
      <w:proofErr w:type="spellStart"/>
      <w:r w:rsidRPr="00743471">
        <w:rPr>
          <w:sz w:val="24"/>
          <w:szCs w:val="24"/>
        </w:rPr>
        <w:t>halogeneres</w:t>
      </w:r>
      <w:proofErr w:type="spellEnd"/>
      <w:r w:rsidRPr="00743471">
        <w:rPr>
          <w:sz w:val="24"/>
          <w:szCs w:val="24"/>
        </w:rPr>
        <w:t xml:space="preserve"> udelukkende med fluor.</w:t>
      </w:r>
    </w:p>
    <w:p w14:paraId="0FDC745A" w14:textId="77777777" w:rsidR="00743471" w:rsidRPr="00743471" w:rsidRDefault="00743471" w:rsidP="00743471">
      <w:pPr>
        <w:tabs>
          <w:tab w:val="left" w:pos="851"/>
        </w:tabs>
        <w:ind w:left="851"/>
        <w:rPr>
          <w:sz w:val="24"/>
          <w:szCs w:val="24"/>
        </w:rPr>
      </w:pPr>
    </w:p>
    <w:p w14:paraId="1768682E" w14:textId="77777777" w:rsidR="00743471" w:rsidRPr="00743471" w:rsidRDefault="00743471" w:rsidP="00743471">
      <w:pPr>
        <w:tabs>
          <w:tab w:val="left" w:pos="851"/>
        </w:tabs>
        <w:ind w:left="851"/>
        <w:rPr>
          <w:sz w:val="24"/>
          <w:szCs w:val="24"/>
          <w:lang w:val="nl-NL"/>
        </w:rPr>
      </w:pPr>
      <w:r w:rsidRPr="00743471">
        <w:rPr>
          <w:sz w:val="24"/>
          <w:szCs w:val="24"/>
        </w:rPr>
        <w:t xml:space="preserve">Som strukturen antyder, er blod/gas-fordelingskoefficienten for </w:t>
      </w:r>
      <w:proofErr w:type="spellStart"/>
      <w:r w:rsidRPr="00743471">
        <w:rPr>
          <w:sz w:val="24"/>
          <w:szCs w:val="24"/>
        </w:rPr>
        <w:t>desfluran</w:t>
      </w:r>
      <w:proofErr w:type="spellEnd"/>
      <w:r w:rsidRPr="00743471">
        <w:rPr>
          <w:sz w:val="24"/>
          <w:szCs w:val="24"/>
        </w:rPr>
        <w:t xml:space="preserve"> (0,42) lavere end for andre potente inhalerede </w:t>
      </w:r>
      <w:proofErr w:type="spellStart"/>
      <w:r w:rsidRPr="00743471">
        <w:rPr>
          <w:sz w:val="24"/>
          <w:szCs w:val="24"/>
        </w:rPr>
        <w:t>anæstetika</w:t>
      </w:r>
      <w:proofErr w:type="spellEnd"/>
      <w:r w:rsidRPr="00743471">
        <w:rPr>
          <w:sz w:val="24"/>
          <w:szCs w:val="24"/>
        </w:rPr>
        <w:t xml:space="preserve"> som f.eks. </w:t>
      </w:r>
      <w:proofErr w:type="spellStart"/>
      <w:r w:rsidRPr="00743471">
        <w:rPr>
          <w:sz w:val="24"/>
          <w:szCs w:val="24"/>
        </w:rPr>
        <w:t>isofluran</w:t>
      </w:r>
      <w:proofErr w:type="spellEnd"/>
      <w:r w:rsidRPr="00743471">
        <w:rPr>
          <w:sz w:val="24"/>
          <w:szCs w:val="24"/>
        </w:rPr>
        <w:t xml:space="preserve"> (1,4) og endnu lavere end for lattergas (0,46</w:t>
      </w:r>
      <w:proofErr w:type="gramStart"/>
      <w:r w:rsidRPr="00743471">
        <w:rPr>
          <w:sz w:val="24"/>
          <w:szCs w:val="24"/>
        </w:rPr>
        <w:t>).Disse</w:t>
      </w:r>
      <w:proofErr w:type="gramEnd"/>
      <w:r w:rsidRPr="00743471">
        <w:rPr>
          <w:sz w:val="24"/>
          <w:szCs w:val="24"/>
        </w:rPr>
        <w:t xml:space="preserve"> data indikerer, at </w:t>
      </w:r>
      <w:proofErr w:type="spellStart"/>
      <w:r w:rsidRPr="00743471">
        <w:rPr>
          <w:sz w:val="24"/>
          <w:szCs w:val="24"/>
        </w:rPr>
        <w:t>desfluran</w:t>
      </w:r>
      <w:proofErr w:type="spellEnd"/>
      <w:r w:rsidRPr="00743471">
        <w:rPr>
          <w:sz w:val="24"/>
          <w:szCs w:val="24"/>
        </w:rPr>
        <w:t xml:space="preserve"> ville opfylde behovet for et middel, der er karakteriseret ved hurtig restitution.</w:t>
      </w:r>
    </w:p>
    <w:p w14:paraId="1B716B21" w14:textId="77777777" w:rsidR="00743471" w:rsidRPr="00743471" w:rsidRDefault="00743471" w:rsidP="00743471">
      <w:pPr>
        <w:tabs>
          <w:tab w:val="left" w:pos="851"/>
        </w:tabs>
        <w:ind w:left="851"/>
        <w:rPr>
          <w:sz w:val="24"/>
          <w:szCs w:val="24"/>
          <w:lang w:val="nl-NL"/>
        </w:rPr>
      </w:pPr>
    </w:p>
    <w:p w14:paraId="6927903A" w14:textId="77777777" w:rsidR="00743471" w:rsidRPr="00743471" w:rsidRDefault="00743471" w:rsidP="00743471">
      <w:pPr>
        <w:tabs>
          <w:tab w:val="left" w:pos="851"/>
        </w:tabs>
        <w:ind w:left="851"/>
        <w:rPr>
          <w:sz w:val="24"/>
          <w:szCs w:val="24"/>
        </w:rPr>
      </w:pPr>
      <w:r w:rsidRPr="00743471">
        <w:rPr>
          <w:sz w:val="24"/>
          <w:szCs w:val="24"/>
        </w:rPr>
        <w:t xml:space="preserve">Dyreforsøg har vist hurtigere induktion og opvågning med </w:t>
      </w:r>
      <w:proofErr w:type="spellStart"/>
      <w:r w:rsidRPr="00743471">
        <w:rPr>
          <w:sz w:val="24"/>
          <w:szCs w:val="24"/>
        </w:rPr>
        <w:t>desfluran</w:t>
      </w:r>
      <w:proofErr w:type="spellEnd"/>
      <w:r w:rsidRPr="00743471">
        <w:rPr>
          <w:sz w:val="24"/>
          <w:szCs w:val="24"/>
        </w:rPr>
        <w:t xml:space="preserve"> end ved </w:t>
      </w:r>
      <w:proofErr w:type="spellStart"/>
      <w:r w:rsidRPr="00743471">
        <w:rPr>
          <w:sz w:val="24"/>
          <w:szCs w:val="24"/>
        </w:rPr>
        <w:t>isofluran</w:t>
      </w:r>
      <w:proofErr w:type="spellEnd"/>
      <w:r w:rsidRPr="00743471">
        <w:rPr>
          <w:sz w:val="24"/>
          <w:szCs w:val="24"/>
        </w:rPr>
        <w:t xml:space="preserve">-anæstesi, med lignende </w:t>
      </w:r>
      <w:proofErr w:type="spellStart"/>
      <w:r w:rsidRPr="00743471">
        <w:rPr>
          <w:sz w:val="24"/>
          <w:szCs w:val="24"/>
        </w:rPr>
        <w:t>kardiovaskulære</w:t>
      </w:r>
      <w:proofErr w:type="spellEnd"/>
      <w:r w:rsidRPr="00743471">
        <w:rPr>
          <w:sz w:val="24"/>
          <w:szCs w:val="24"/>
        </w:rPr>
        <w:t xml:space="preserve"> profil. EEG-monitorering påviste ikke </w:t>
      </w:r>
      <w:proofErr w:type="spellStart"/>
      <w:r w:rsidRPr="00743471">
        <w:rPr>
          <w:sz w:val="24"/>
          <w:szCs w:val="24"/>
        </w:rPr>
        <w:t>epileptogene</w:t>
      </w:r>
      <w:proofErr w:type="spellEnd"/>
      <w:r w:rsidRPr="00743471">
        <w:rPr>
          <w:sz w:val="24"/>
          <w:szCs w:val="24"/>
        </w:rPr>
        <w:t xml:space="preserve"> eller andre bivirkninger i centralnervesystemet under </w:t>
      </w:r>
      <w:proofErr w:type="spellStart"/>
      <w:r w:rsidRPr="00743471">
        <w:rPr>
          <w:sz w:val="24"/>
          <w:szCs w:val="24"/>
        </w:rPr>
        <w:t>desfluran</w:t>
      </w:r>
      <w:proofErr w:type="spellEnd"/>
      <w:r w:rsidRPr="00743471">
        <w:rPr>
          <w:sz w:val="24"/>
          <w:szCs w:val="24"/>
        </w:rPr>
        <w:t xml:space="preserve">-anæstesi, og samtidig brug af </w:t>
      </w:r>
      <w:proofErr w:type="spellStart"/>
      <w:r w:rsidRPr="00743471">
        <w:rPr>
          <w:sz w:val="24"/>
          <w:szCs w:val="24"/>
        </w:rPr>
        <w:t>adjuverende</w:t>
      </w:r>
      <w:proofErr w:type="spellEnd"/>
      <w:r w:rsidRPr="00743471">
        <w:rPr>
          <w:sz w:val="24"/>
          <w:szCs w:val="24"/>
        </w:rPr>
        <w:t xml:space="preserve"> lægemidler gav ingen uventede eller toksiske EEG-reaktioner.</w:t>
      </w:r>
    </w:p>
    <w:p w14:paraId="2DD4E699" w14:textId="77777777" w:rsidR="00743471" w:rsidRPr="00743471" w:rsidRDefault="00743471" w:rsidP="00743471">
      <w:pPr>
        <w:tabs>
          <w:tab w:val="left" w:pos="851"/>
        </w:tabs>
        <w:ind w:left="851"/>
        <w:rPr>
          <w:sz w:val="24"/>
          <w:szCs w:val="24"/>
        </w:rPr>
      </w:pPr>
    </w:p>
    <w:p w14:paraId="5B9F5A24" w14:textId="77777777" w:rsidR="00743471" w:rsidRPr="00743471" w:rsidRDefault="00743471" w:rsidP="00743471">
      <w:pPr>
        <w:tabs>
          <w:tab w:val="left" w:pos="851"/>
        </w:tabs>
        <w:ind w:left="851"/>
        <w:rPr>
          <w:sz w:val="24"/>
          <w:szCs w:val="24"/>
        </w:rPr>
      </w:pPr>
      <w:r w:rsidRPr="00743471">
        <w:rPr>
          <w:sz w:val="24"/>
          <w:szCs w:val="24"/>
        </w:rPr>
        <w:t xml:space="preserve">Hidtidige kliniske studier, der har vurderet </w:t>
      </w:r>
      <w:proofErr w:type="spellStart"/>
      <w:r w:rsidRPr="00743471">
        <w:rPr>
          <w:sz w:val="24"/>
          <w:szCs w:val="24"/>
        </w:rPr>
        <w:t>myokardieiskæmi</w:t>
      </w:r>
      <w:proofErr w:type="spellEnd"/>
      <w:r w:rsidRPr="00743471">
        <w:rPr>
          <w:sz w:val="24"/>
          <w:szCs w:val="24"/>
        </w:rPr>
        <w:t>, infarkt og død som udfaldsparametre,</w:t>
      </w:r>
    </w:p>
    <w:p w14:paraId="0B51F9C3" w14:textId="77777777" w:rsidR="00743471" w:rsidRPr="00743471" w:rsidRDefault="00743471" w:rsidP="00743471">
      <w:pPr>
        <w:tabs>
          <w:tab w:val="left" w:pos="851"/>
        </w:tabs>
        <w:ind w:left="851"/>
        <w:rPr>
          <w:sz w:val="24"/>
          <w:szCs w:val="24"/>
        </w:rPr>
      </w:pPr>
      <w:r w:rsidRPr="00743471">
        <w:rPr>
          <w:sz w:val="24"/>
          <w:szCs w:val="24"/>
        </w:rPr>
        <w:lastRenderedPageBreak/>
        <w:t xml:space="preserve">har ikke fastslået, at </w:t>
      </w:r>
      <w:proofErr w:type="spellStart"/>
      <w:r w:rsidRPr="00743471">
        <w:rPr>
          <w:sz w:val="24"/>
          <w:szCs w:val="24"/>
        </w:rPr>
        <w:t>desflurans</w:t>
      </w:r>
      <w:proofErr w:type="spellEnd"/>
      <w:r w:rsidRPr="00743471">
        <w:rPr>
          <w:sz w:val="24"/>
          <w:szCs w:val="24"/>
        </w:rPr>
        <w:t xml:space="preserve"> </w:t>
      </w:r>
      <w:proofErr w:type="spellStart"/>
      <w:r w:rsidRPr="00743471">
        <w:rPr>
          <w:sz w:val="24"/>
          <w:szCs w:val="24"/>
        </w:rPr>
        <w:t>koronararteriolære</w:t>
      </w:r>
      <w:proofErr w:type="spellEnd"/>
      <w:r w:rsidRPr="00743471">
        <w:rPr>
          <w:sz w:val="24"/>
          <w:szCs w:val="24"/>
        </w:rPr>
        <w:t xml:space="preserve"> egenskaber er forbundet med </w:t>
      </w:r>
      <w:proofErr w:type="spellStart"/>
      <w:r w:rsidRPr="00743471">
        <w:rPr>
          <w:sz w:val="24"/>
          <w:szCs w:val="24"/>
        </w:rPr>
        <w:t>koronar</w:t>
      </w:r>
      <w:proofErr w:type="spellEnd"/>
      <w:r w:rsidRPr="00743471">
        <w:rPr>
          <w:sz w:val="24"/>
          <w:szCs w:val="24"/>
        </w:rPr>
        <w:t xml:space="preserve"> </w:t>
      </w:r>
      <w:proofErr w:type="spellStart"/>
      <w:r w:rsidRPr="00743471">
        <w:rPr>
          <w:sz w:val="24"/>
          <w:szCs w:val="24"/>
        </w:rPr>
        <w:t>steal</w:t>
      </w:r>
      <w:proofErr w:type="spellEnd"/>
      <w:r w:rsidRPr="00743471">
        <w:rPr>
          <w:sz w:val="24"/>
          <w:szCs w:val="24"/>
        </w:rPr>
        <w:t xml:space="preserve"> eller </w:t>
      </w:r>
      <w:proofErr w:type="spellStart"/>
      <w:r w:rsidRPr="00743471">
        <w:rPr>
          <w:sz w:val="24"/>
          <w:szCs w:val="24"/>
        </w:rPr>
        <w:t>myokardieiskæmi</w:t>
      </w:r>
      <w:proofErr w:type="spellEnd"/>
      <w:r w:rsidRPr="00743471">
        <w:rPr>
          <w:sz w:val="24"/>
          <w:szCs w:val="24"/>
        </w:rPr>
        <w:t xml:space="preserve"> hos patienter med koronararteriesygdom.</w:t>
      </w:r>
    </w:p>
    <w:p w14:paraId="62E769C8" w14:textId="77777777" w:rsidR="00743471" w:rsidRPr="00743471" w:rsidRDefault="00743471" w:rsidP="00743471">
      <w:pPr>
        <w:tabs>
          <w:tab w:val="left" w:pos="851"/>
        </w:tabs>
        <w:ind w:left="851"/>
        <w:rPr>
          <w:sz w:val="24"/>
          <w:szCs w:val="24"/>
        </w:rPr>
      </w:pPr>
    </w:p>
    <w:p w14:paraId="62D2037B" w14:textId="77777777" w:rsidR="00743471" w:rsidRPr="00743471" w:rsidRDefault="00743471" w:rsidP="00743471">
      <w:pPr>
        <w:tabs>
          <w:tab w:val="left" w:pos="851"/>
        </w:tabs>
        <w:ind w:left="851"/>
        <w:rPr>
          <w:sz w:val="24"/>
          <w:szCs w:val="24"/>
          <w:lang w:val="nl-NL"/>
        </w:rPr>
      </w:pPr>
      <w:r w:rsidRPr="00743471">
        <w:rPr>
          <w:sz w:val="24"/>
          <w:szCs w:val="24"/>
        </w:rPr>
        <w:t xml:space="preserve">Undersøgelser af grise, der er modtagelige for malign </w:t>
      </w:r>
      <w:proofErr w:type="spellStart"/>
      <w:r w:rsidRPr="00743471">
        <w:rPr>
          <w:sz w:val="24"/>
          <w:szCs w:val="24"/>
        </w:rPr>
        <w:t>hypertermi</w:t>
      </w:r>
      <w:proofErr w:type="spellEnd"/>
      <w:r w:rsidRPr="00743471">
        <w:rPr>
          <w:sz w:val="24"/>
          <w:szCs w:val="24"/>
        </w:rPr>
        <w:t xml:space="preserve">, viste, at </w:t>
      </w:r>
      <w:proofErr w:type="spellStart"/>
      <w:r w:rsidRPr="00743471">
        <w:rPr>
          <w:sz w:val="24"/>
          <w:szCs w:val="24"/>
        </w:rPr>
        <w:t>desfluran</w:t>
      </w:r>
      <w:proofErr w:type="spellEnd"/>
      <w:r w:rsidRPr="00743471">
        <w:rPr>
          <w:sz w:val="24"/>
          <w:szCs w:val="24"/>
        </w:rPr>
        <w:t xml:space="preserve"> er en kraftig udløser af malign </w:t>
      </w:r>
      <w:proofErr w:type="spellStart"/>
      <w:r w:rsidRPr="00743471">
        <w:rPr>
          <w:sz w:val="24"/>
          <w:szCs w:val="24"/>
        </w:rPr>
        <w:t>hypertermi</w:t>
      </w:r>
      <w:proofErr w:type="spellEnd"/>
      <w:r w:rsidRPr="00743471">
        <w:rPr>
          <w:sz w:val="24"/>
          <w:szCs w:val="24"/>
        </w:rPr>
        <w:t>.</w:t>
      </w:r>
    </w:p>
    <w:p w14:paraId="2DDC801E" w14:textId="77777777" w:rsidR="00743471" w:rsidRPr="00743471" w:rsidRDefault="00743471" w:rsidP="00743471">
      <w:pPr>
        <w:tabs>
          <w:tab w:val="left" w:pos="851"/>
        </w:tabs>
        <w:ind w:left="851"/>
        <w:rPr>
          <w:sz w:val="24"/>
          <w:szCs w:val="24"/>
          <w:lang w:val="nl-NL"/>
        </w:rPr>
      </w:pPr>
    </w:p>
    <w:p w14:paraId="7F2BD117" w14:textId="77777777" w:rsidR="00743471" w:rsidRPr="00743471" w:rsidRDefault="00743471" w:rsidP="00743471">
      <w:pPr>
        <w:tabs>
          <w:tab w:val="left" w:pos="851"/>
        </w:tabs>
        <w:ind w:left="851"/>
        <w:rPr>
          <w:sz w:val="24"/>
          <w:szCs w:val="24"/>
          <w:lang w:val="nl-NL"/>
        </w:rPr>
      </w:pPr>
      <w:r w:rsidRPr="00743471">
        <w:rPr>
          <w:sz w:val="24"/>
          <w:szCs w:val="24"/>
        </w:rPr>
        <w:t xml:space="preserve">Den farmakologiske virkning af </w:t>
      </w:r>
      <w:proofErr w:type="spellStart"/>
      <w:r w:rsidRPr="00743471">
        <w:rPr>
          <w:sz w:val="24"/>
          <w:szCs w:val="24"/>
        </w:rPr>
        <w:t>desfluran</w:t>
      </w:r>
      <w:proofErr w:type="spellEnd"/>
      <w:r w:rsidRPr="00743471">
        <w:rPr>
          <w:sz w:val="24"/>
          <w:szCs w:val="24"/>
        </w:rPr>
        <w:t xml:space="preserve"> er dosisafhængig.</w:t>
      </w:r>
    </w:p>
    <w:p w14:paraId="4E30E1BC" w14:textId="77777777" w:rsidR="00E86AC0" w:rsidRPr="00C84483" w:rsidRDefault="00E86AC0" w:rsidP="009260DE">
      <w:pPr>
        <w:tabs>
          <w:tab w:val="left" w:pos="851"/>
        </w:tabs>
        <w:ind w:left="851"/>
        <w:rPr>
          <w:sz w:val="24"/>
          <w:szCs w:val="24"/>
        </w:rPr>
      </w:pPr>
    </w:p>
    <w:p w14:paraId="1505841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9C8DB87" w14:textId="77777777" w:rsidR="00743471" w:rsidRDefault="00743471" w:rsidP="00743471">
      <w:pPr>
        <w:tabs>
          <w:tab w:val="left" w:pos="851"/>
        </w:tabs>
        <w:ind w:left="851"/>
        <w:rPr>
          <w:sz w:val="24"/>
          <w:szCs w:val="24"/>
          <w:u w:val="single"/>
        </w:rPr>
      </w:pPr>
    </w:p>
    <w:p w14:paraId="456386A1" w14:textId="2141F10A" w:rsidR="00743471" w:rsidRPr="00743471" w:rsidRDefault="00743471" w:rsidP="00743471">
      <w:pPr>
        <w:tabs>
          <w:tab w:val="left" w:pos="851"/>
        </w:tabs>
        <w:ind w:left="851"/>
        <w:rPr>
          <w:sz w:val="24"/>
          <w:szCs w:val="24"/>
          <w:u w:val="single"/>
        </w:rPr>
      </w:pPr>
      <w:r w:rsidRPr="00743471">
        <w:rPr>
          <w:sz w:val="24"/>
          <w:szCs w:val="24"/>
          <w:u w:val="single"/>
        </w:rPr>
        <w:t>Generelle karakteristika</w:t>
      </w:r>
    </w:p>
    <w:p w14:paraId="6396D19C" w14:textId="77777777" w:rsidR="00743471" w:rsidRPr="00743471" w:rsidRDefault="00743471" w:rsidP="00743471">
      <w:pPr>
        <w:tabs>
          <w:tab w:val="left" w:pos="851"/>
        </w:tabs>
        <w:ind w:left="851"/>
        <w:rPr>
          <w:sz w:val="24"/>
          <w:szCs w:val="24"/>
        </w:rPr>
      </w:pPr>
      <w:r w:rsidRPr="00743471">
        <w:rPr>
          <w:sz w:val="24"/>
          <w:szCs w:val="24"/>
        </w:rPr>
        <w:t xml:space="preserve">Som forudsagt ud fra dets </w:t>
      </w:r>
      <w:proofErr w:type="spellStart"/>
      <w:r w:rsidRPr="00743471">
        <w:rPr>
          <w:sz w:val="24"/>
          <w:szCs w:val="24"/>
        </w:rPr>
        <w:t>fysiokemiske</w:t>
      </w:r>
      <w:proofErr w:type="spellEnd"/>
      <w:r w:rsidRPr="00743471">
        <w:rPr>
          <w:sz w:val="24"/>
          <w:szCs w:val="24"/>
        </w:rPr>
        <w:t xml:space="preserve"> profil viser </w:t>
      </w:r>
      <w:proofErr w:type="spellStart"/>
      <w:r w:rsidRPr="00743471">
        <w:rPr>
          <w:sz w:val="24"/>
          <w:szCs w:val="24"/>
        </w:rPr>
        <w:t>farmakokinetiske</w:t>
      </w:r>
      <w:proofErr w:type="spellEnd"/>
      <w:r w:rsidRPr="00743471">
        <w:rPr>
          <w:sz w:val="24"/>
          <w:szCs w:val="24"/>
        </w:rPr>
        <w:t xml:space="preserve"> studier på dyr og mennesker, at </w:t>
      </w:r>
      <w:proofErr w:type="spellStart"/>
      <w:r w:rsidRPr="00743471">
        <w:rPr>
          <w:sz w:val="24"/>
          <w:szCs w:val="24"/>
        </w:rPr>
        <w:t>desfluran</w:t>
      </w:r>
      <w:proofErr w:type="spellEnd"/>
      <w:r w:rsidRPr="00743471">
        <w:rPr>
          <w:sz w:val="24"/>
          <w:szCs w:val="24"/>
        </w:rPr>
        <w:t xml:space="preserve"> skylles hurtigere ind i kroppen end andre flygtige </w:t>
      </w:r>
      <w:proofErr w:type="spellStart"/>
      <w:r w:rsidRPr="00743471">
        <w:rPr>
          <w:sz w:val="24"/>
          <w:szCs w:val="24"/>
        </w:rPr>
        <w:t>anæstetika</w:t>
      </w:r>
      <w:proofErr w:type="spellEnd"/>
      <w:r w:rsidRPr="00743471">
        <w:rPr>
          <w:sz w:val="24"/>
          <w:szCs w:val="24"/>
        </w:rPr>
        <w:t xml:space="preserve"> og muliggør hurtigere induktion. Det skylles også ud af kroppen hurtigere, hvilket giver hurtig genopretning og fleksibilitet i justering af anæstesidybden. </w:t>
      </w:r>
      <w:proofErr w:type="spellStart"/>
      <w:r w:rsidRPr="00743471">
        <w:rPr>
          <w:sz w:val="24"/>
          <w:szCs w:val="24"/>
        </w:rPr>
        <w:t>Desfluran</w:t>
      </w:r>
      <w:proofErr w:type="spellEnd"/>
      <w:r w:rsidRPr="00743471">
        <w:rPr>
          <w:sz w:val="24"/>
          <w:szCs w:val="24"/>
        </w:rPr>
        <w:t xml:space="preserve"> udskilles via lungerne og undergår kun minimal metabolisme (0,02%), hvilket giver et lavt potentiale for toksicitet.</w:t>
      </w:r>
    </w:p>
    <w:p w14:paraId="2BF42E08" w14:textId="77777777" w:rsidR="00743471" w:rsidRPr="00743471" w:rsidRDefault="00743471" w:rsidP="00743471">
      <w:pPr>
        <w:tabs>
          <w:tab w:val="left" w:pos="851"/>
        </w:tabs>
        <w:ind w:left="851"/>
        <w:rPr>
          <w:sz w:val="24"/>
          <w:szCs w:val="24"/>
        </w:rPr>
      </w:pPr>
    </w:p>
    <w:p w14:paraId="5196B302" w14:textId="77777777" w:rsidR="00743471" w:rsidRPr="00743471" w:rsidRDefault="00743471" w:rsidP="00743471">
      <w:pPr>
        <w:tabs>
          <w:tab w:val="left" w:pos="851"/>
        </w:tabs>
        <w:ind w:left="851"/>
        <w:rPr>
          <w:sz w:val="24"/>
          <w:szCs w:val="24"/>
        </w:rPr>
      </w:pPr>
      <w:r w:rsidRPr="00743471">
        <w:rPr>
          <w:sz w:val="24"/>
          <w:szCs w:val="24"/>
          <w:u w:val="single"/>
        </w:rPr>
        <w:t>Karakteristika hos patienter</w:t>
      </w:r>
    </w:p>
    <w:p w14:paraId="44B89ACD" w14:textId="77777777" w:rsidR="00743471" w:rsidRPr="00743471" w:rsidRDefault="00743471" w:rsidP="00743471">
      <w:pPr>
        <w:tabs>
          <w:tab w:val="left" w:pos="851"/>
        </w:tabs>
        <w:ind w:left="851"/>
        <w:rPr>
          <w:sz w:val="24"/>
          <w:szCs w:val="24"/>
          <w:lang w:val="nl-NL"/>
        </w:rPr>
      </w:pPr>
      <w:r w:rsidRPr="00743471">
        <w:rPr>
          <w:sz w:val="24"/>
          <w:szCs w:val="24"/>
        </w:rPr>
        <w:t xml:space="preserve">Den farmakologiske effekt er proportional med den indåndede koncentration af </w:t>
      </w:r>
      <w:proofErr w:type="spellStart"/>
      <w:r w:rsidRPr="00743471">
        <w:rPr>
          <w:sz w:val="24"/>
          <w:szCs w:val="24"/>
        </w:rPr>
        <w:t>desfluran</w:t>
      </w:r>
      <w:proofErr w:type="spellEnd"/>
      <w:r w:rsidRPr="00743471">
        <w:rPr>
          <w:sz w:val="24"/>
          <w:szCs w:val="24"/>
        </w:rPr>
        <w:t>. De vigtigste bivirkninger er forværringer af den farmakologiske virkning.</w:t>
      </w:r>
    </w:p>
    <w:p w14:paraId="791776BF" w14:textId="77777777" w:rsidR="00743471" w:rsidRPr="00743471" w:rsidRDefault="00743471" w:rsidP="00743471">
      <w:pPr>
        <w:tabs>
          <w:tab w:val="left" w:pos="851"/>
        </w:tabs>
        <w:ind w:left="851"/>
        <w:rPr>
          <w:sz w:val="24"/>
          <w:szCs w:val="24"/>
          <w:lang w:val="nl-NL"/>
        </w:rPr>
      </w:pPr>
    </w:p>
    <w:p w14:paraId="14337A25" w14:textId="77777777" w:rsidR="00743471" w:rsidRPr="00743471" w:rsidRDefault="00743471" w:rsidP="00743471">
      <w:pPr>
        <w:tabs>
          <w:tab w:val="left" w:pos="851"/>
        </w:tabs>
        <w:ind w:left="851"/>
        <w:rPr>
          <w:sz w:val="24"/>
          <w:szCs w:val="24"/>
        </w:rPr>
      </w:pPr>
      <w:r w:rsidRPr="00743471">
        <w:rPr>
          <w:sz w:val="24"/>
          <w:szCs w:val="24"/>
        </w:rPr>
        <w:t xml:space="preserve">MAC (minimum alveolar koncentration) falder med stigende alder. En dosisreduktion anbefales til </w:t>
      </w:r>
      <w:proofErr w:type="spellStart"/>
      <w:r w:rsidRPr="00743471">
        <w:rPr>
          <w:sz w:val="24"/>
          <w:szCs w:val="24"/>
        </w:rPr>
        <w:t>hypovolæmiske</w:t>
      </w:r>
      <w:proofErr w:type="spellEnd"/>
      <w:r w:rsidRPr="00743471">
        <w:rPr>
          <w:sz w:val="24"/>
          <w:szCs w:val="24"/>
        </w:rPr>
        <w:t xml:space="preserve">, </w:t>
      </w:r>
      <w:proofErr w:type="spellStart"/>
      <w:r w:rsidRPr="00743471">
        <w:rPr>
          <w:sz w:val="24"/>
          <w:szCs w:val="24"/>
        </w:rPr>
        <w:t>hypotensive</w:t>
      </w:r>
      <w:proofErr w:type="spellEnd"/>
      <w:r w:rsidRPr="00743471">
        <w:rPr>
          <w:sz w:val="24"/>
          <w:szCs w:val="24"/>
        </w:rPr>
        <w:t xml:space="preserve"> og svage patienter, som angivet i pkt. 4.4.</w:t>
      </w:r>
    </w:p>
    <w:p w14:paraId="6A69D756" w14:textId="77777777" w:rsidR="009260DE" w:rsidRPr="00C84483" w:rsidRDefault="009260DE" w:rsidP="009260DE">
      <w:pPr>
        <w:tabs>
          <w:tab w:val="left" w:pos="851"/>
        </w:tabs>
        <w:ind w:left="851"/>
        <w:rPr>
          <w:sz w:val="24"/>
          <w:szCs w:val="24"/>
        </w:rPr>
      </w:pPr>
    </w:p>
    <w:p w14:paraId="7976E07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E6F2CD8" w14:textId="77777777" w:rsidR="00743471" w:rsidRDefault="00743471" w:rsidP="00743471">
      <w:pPr>
        <w:tabs>
          <w:tab w:val="left" w:pos="851"/>
        </w:tabs>
        <w:ind w:left="851"/>
        <w:rPr>
          <w:sz w:val="24"/>
          <w:szCs w:val="24"/>
          <w:u w:val="single"/>
        </w:rPr>
      </w:pPr>
    </w:p>
    <w:p w14:paraId="0A088ACF" w14:textId="4AB0DF31" w:rsidR="00743471" w:rsidRPr="00743471" w:rsidRDefault="00743471" w:rsidP="00743471">
      <w:pPr>
        <w:tabs>
          <w:tab w:val="left" w:pos="851"/>
        </w:tabs>
        <w:ind w:left="851"/>
        <w:rPr>
          <w:sz w:val="24"/>
          <w:szCs w:val="24"/>
        </w:rPr>
      </w:pPr>
      <w:r w:rsidRPr="00743471">
        <w:rPr>
          <w:sz w:val="24"/>
          <w:szCs w:val="24"/>
          <w:u w:val="single"/>
        </w:rPr>
        <w:t>Sikkerhedsfarmakologi, akut og subkronisk toksicitet</w:t>
      </w:r>
    </w:p>
    <w:p w14:paraId="1CA40860" w14:textId="77777777" w:rsidR="00743471" w:rsidRPr="00743471" w:rsidRDefault="00743471" w:rsidP="00743471">
      <w:pPr>
        <w:tabs>
          <w:tab w:val="left" w:pos="851"/>
        </w:tabs>
        <w:ind w:left="851"/>
        <w:rPr>
          <w:sz w:val="24"/>
          <w:szCs w:val="24"/>
          <w:lang w:val="nl-NL"/>
        </w:rPr>
      </w:pPr>
      <w:r w:rsidRPr="00743471">
        <w:rPr>
          <w:sz w:val="24"/>
          <w:szCs w:val="24"/>
        </w:rPr>
        <w:t xml:space="preserve">Non-kliniske data om akut og subkronisk toksicitet af </w:t>
      </w:r>
      <w:proofErr w:type="spellStart"/>
      <w:r w:rsidRPr="00743471">
        <w:rPr>
          <w:sz w:val="24"/>
          <w:szCs w:val="24"/>
        </w:rPr>
        <w:t>desfluran</w:t>
      </w:r>
      <w:proofErr w:type="spellEnd"/>
      <w:r w:rsidRPr="00743471">
        <w:rPr>
          <w:sz w:val="24"/>
          <w:szCs w:val="24"/>
        </w:rPr>
        <w:t xml:space="preserve"> viser, at det på en koncentrationsafhængig måde udløser en forudsigelig og kontrollerbar depression af respirations- og kredsløbssystemet. Der var ingen udvikling af organspecifik toksicitet med </w:t>
      </w:r>
      <w:proofErr w:type="spellStart"/>
      <w:r w:rsidRPr="00743471">
        <w:rPr>
          <w:sz w:val="24"/>
          <w:szCs w:val="24"/>
        </w:rPr>
        <w:t>desfluran</w:t>
      </w:r>
      <w:proofErr w:type="spellEnd"/>
      <w:r w:rsidRPr="00743471">
        <w:rPr>
          <w:sz w:val="24"/>
          <w:szCs w:val="24"/>
        </w:rPr>
        <w:t xml:space="preserve"> i dette tilfælde.</w:t>
      </w:r>
    </w:p>
    <w:p w14:paraId="5BE206D1" w14:textId="33F2A3B8" w:rsidR="00743471" w:rsidRDefault="00743471" w:rsidP="00743471">
      <w:pPr>
        <w:tabs>
          <w:tab w:val="left" w:pos="851"/>
        </w:tabs>
        <w:ind w:left="851"/>
        <w:rPr>
          <w:sz w:val="24"/>
          <w:szCs w:val="24"/>
        </w:rPr>
      </w:pPr>
      <w:r w:rsidRPr="00743471">
        <w:rPr>
          <w:sz w:val="24"/>
          <w:szCs w:val="24"/>
          <w:lang w:val="nl-NL"/>
        </w:rPr>
        <w:t xml:space="preserve">Ved brug af desfluran i </w:t>
      </w:r>
      <w:r w:rsidRPr="00743471">
        <w:rPr>
          <w:sz w:val="24"/>
          <w:szCs w:val="24"/>
        </w:rPr>
        <w:t>svin sås ingen</w:t>
      </w:r>
      <w:r w:rsidR="002A7A56">
        <w:rPr>
          <w:sz w:val="24"/>
          <w:szCs w:val="24"/>
        </w:rPr>
        <w:t xml:space="preserve"> </w:t>
      </w:r>
      <w:r w:rsidRPr="00743471">
        <w:rPr>
          <w:sz w:val="24"/>
          <w:szCs w:val="24"/>
        </w:rPr>
        <w:t>sensibilisering af</w:t>
      </w:r>
      <w:r w:rsidR="002A7A56">
        <w:rPr>
          <w:sz w:val="24"/>
          <w:szCs w:val="24"/>
        </w:rPr>
        <w:t xml:space="preserve"> </w:t>
      </w:r>
      <w:proofErr w:type="spellStart"/>
      <w:r w:rsidRPr="00743471">
        <w:rPr>
          <w:sz w:val="24"/>
          <w:szCs w:val="24"/>
        </w:rPr>
        <w:t>myokardiet</w:t>
      </w:r>
      <w:proofErr w:type="spellEnd"/>
      <w:r w:rsidRPr="00743471">
        <w:rPr>
          <w:sz w:val="24"/>
          <w:szCs w:val="24"/>
        </w:rPr>
        <w:t xml:space="preserve"> over for eksogent administreret </w:t>
      </w:r>
      <w:proofErr w:type="spellStart"/>
      <w:r w:rsidRPr="00743471">
        <w:rPr>
          <w:sz w:val="24"/>
          <w:szCs w:val="24"/>
        </w:rPr>
        <w:t>epinefrin</w:t>
      </w:r>
      <w:proofErr w:type="spellEnd"/>
      <w:r w:rsidRPr="00743471">
        <w:rPr>
          <w:sz w:val="24"/>
          <w:szCs w:val="24"/>
        </w:rPr>
        <w:t xml:space="preserve">. </w:t>
      </w:r>
      <w:proofErr w:type="spellStart"/>
      <w:r w:rsidRPr="00743471">
        <w:rPr>
          <w:sz w:val="24"/>
          <w:szCs w:val="24"/>
        </w:rPr>
        <w:t>Desfluran</w:t>
      </w:r>
      <w:proofErr w:type="spellEnd"/>
      <w:r w:rsidRPr="00743471">
        <w:rPr>
          <w:sz w:val="24"/>
          <w:szCs w:val="24"/>
        </w:rPr>
        <w:t xml:space="preserve"> synes at producere </w:t>
      </w:r>
      <w:proofErr w:type="spellStart"/>
      <w:r w:rsidRPr="00743471">
        <w:rPr>
          <w:sz w:val="24"/>
          <w:szCs w:val="24"/>
        </w:rPr>
        <w:t>koronar</w:t>
      </w:r>
      <w:proofErr w:type="spellEnd"/>
      <w:r w:rsidRPr="00743471">
        <w:rPr>
          <w:sz w:val="24"/>
          <w:szCs w:val="24"/>
        </w:rPr>
        <w:t xml:space="preserve"> </w:t>
      </w:r>
      <w:proofErr w:type="spellStart"/>
      <w:r w:rsidRPr="00743471">
        <w:rPr>
          <w:sz w:val="24"/>
          <w:szCs w:val="24"/>
        </w:rPr>
        <w:t>vasodilation</w:t>
      </w:r>
      <w:proofErr w:type="spellEnd"/>
      <w:r w:rsidRPr="00743471">
        <w:rPr>
          <w:sz w:val="24"/>
          <w:szCs w:val="24"/>
        </w:rPr>
        <w:t xml:space="preserve"> på </w:t>
      </w:r>
      <w:proofErr w:type="spellStart"/>
      <w:r w:rsidRPr="00743471">
        <w:rPr>
          <w:sz w:val="24"/>
          <w:szCs w:val="24"/>
        </w:rPr>
        <w:t>arteriolart</w:t>
      </w:r>
      <w:proofErr w:type="spellEnd"/>
      <w:r w:rsidRPr="00743471">
        <w:rPr>
          <w:sz w:val="24"/>
          <w:szCs w:val="24"/>
        </w:rPr>
        <w:t xml:space="preserve"> niveau i udvalgte dyremodeller, på samme måde som </w:t>
      </w:r>
      <w:proofErr w:type="spellStart"/>
      <w:r w:rsidRPr="00743471">
        <w:rPr>
          <w:sz w:val="24"/>
          <w:szCs w:val="24"/>
        </w:rPr>
        <w:t>isofluran</w:t>
      </w:r>
      <w:proofErr w:type="spellEnd"/>
      <w:r w:rsidRPr="00743471">
        <w:rPr>
          <w:sz w:val="24"/>
          <w:szCs w:val="24"/>
        </w:rPr>
        <w:t xml:space="preserve">. I en dyremodel, der simulerer koronararteriesygdom </w:t>
      </w:r>
      <w:r w:rsidRPr="00743471">
        <w:rPr>
          <w:b/>
          <w:bCs/>
          <w:sz w:val="24"/>
          <w:szCs w:val="24"/>
        </w:rPr>
        <w:t>i</w:t>
      </w:r>
      <w:r w:rsidRPr="00743471">
        <w:rPr>
          <w:sz w:val="24"/>
          <w:szCs w:val="24"/>
        </w:rPr>
        <w:t xml:space="preserve"> </w:t>
      </w:r>
      <w:r w:rsidRPr="00743471">
        <w:rPr>
          <w:b/>
          <w:bCs/>
          <w:sz w:val="24"/>
          <w:szCs w:val="24"/>
        </w:rPr>
        <w:t>vågne</w:t>
      </w:r>
      <w:r w:rsidRPr="00743471">
        <w:rPr>
          <w:sz w:val="24"/>
          <w:szCs w:val="24"/>
        </w:rPr>
        <w:t xml:space="preserve">, kronisk instrumenterede hunde, synes </w:t>
      </w:r>
      <w:proofErr w:type="spellStart"/>
      <w:r w:rsidRPr="00743471">
        <w:rPr>
          <w:sz w:val="24"/>
          <w:szCs w:val="24"/>
        </w:rPr>
        <w:t>desfluran</w:t>
      </w:r>
      <w:proofErr w:type="spellEnd"/>
      <w:r w:rsidRPr="00743471">
        <w:rPr>
          <w:sz w:val="24"/>
          <w:szCs w:val="24"/>
        </w:rPr>
        <w:t xml:space="preserve"> ikke at omdirigere blod fra </w:t>
      </w:r>
      <w:r w:rsidRPr="00743471">
        <w:rPr>
          <w:b/>
          <w:bCs/>
          <w:sz w:val="24"/>
          <w:szCs w:val="24"/>
        </w:rPr>
        <w:t xml:space="preserve">den del af </w:t>
      </w:r>
      <w:proofErr w:type="spellStart"/>
      <w:r w:rsidRPr="00743471">
        <w:rPr>
          <w:b/>
          <w:bCs/>
          <w:sz w:val="24"/>
          <w:szCs w:val="24"/>
        </w:rPr>
        <w:t>myokardiet</w:t>
      </w:r>
      <w:proofErr w:type="spellEnd"/>
      <w:r w:rsidRPr="00743471">
        <w:rPr>
          <w:b/>
          <w:bCs/>
          <w:sz w:val="24"/>
          <w:szCs w:val="24"/>
        </w:rPr>
        <w:t xml:space="preserve"> der er afhængig af kollateral blodforsyning</w:t>
      </w:r>
      <w:r w:rsidRPr="00743471">
        <w:rPr>
          <w:sz w:val="24"/>
          <w:szCs w:val="24"/>
        </w:rPr>
        <w:t xml:space="preserve"> til normalt perfunderede områder ("</w:t>
      </w:r>
      <w:proofErr w:type="spellStart"/>
      <w:r w:rsidRPr="00743471">
        <w:rPr>
          <w:sz w:val="24"/>
          <w:szCs w:val="24"/>
        </w:rPr>
        <w:t>coronary</w:t>
      </w:r>
      <w:proofErr w:type="spellEnd"/>
      <w:r w:rsidRPr="00743471">
        <w:rPr>
          <w:sz w:val="24"/>
          <w:szCs w:val="24"/>
        </w:rPr>
        <w:t xml:space="preserve"> </w:t>
      </w:r>
      <w:proofErr w:type="spellStart"/>
      <w:r w:rsidRPr="00743471">
        <w:rPr>
          <w:sz w:val="24"/>
          <w:szCs w:val="24"/>
        </w:rPr>
        <w:t>steal</w:t>
      </w:r>
      <w:proofErr w:type="spellEnd"/>
      <w:r w:rsidRPr="00743471">
        <w:rPr>
          <w:sz w:val="24"/>
          <w:szCs w:val="24"/>
        </w:rPr>
        <w:t>").</w:t>
      </w:r>
    </w:p>
    <w:p w14:paraId="33F003FE" w14:textId="77777777" w:rsidR="00D84248" w:rsidRPr="00743471" w:rsidRDefault="00D84248" w:rsidP="00743471">
      <w:pPr>
        <w:tabs>
          <w:tab w:val="left" w:pos="851"/>
        </w:tabs>
        <w:ind w:left="851"/>
        <w:rPr>
          <w:sz w:val="24"/>
          <w:szCs w:val="24"/>
        </w:rPr>
      </w:pPr>
    </w:p>
    <w:p w14:paraId="092C65C2" w14:textId="77777777" w:rsidR="00743471" w:rsidRPr="00743471" w:rsidRDefault="00743471" w:rsidP="00743471">
      <w:pPr>
        <w:tabs>
          <w:tab w:val="left" w:pos="851"/>
        </w:tabs>
        <w:ind w:left="851"/>
        <w:rPr>
          <w:sz w:val="24"/>
          <w:szCs w:val="24"/>
          <w:u w:val="single"/>
        </w:rPr>
      </w:pPr>
      <w:r w:rsidRPr="00743471">
        <w:rPr>
          <w:sz w:val="24"/>
          <w:szCs w:val="24"/>
          <w:u w:val="single"/>
        </w:rPr>
        <w:t>Reproduktionstoksicitet</w:t>
      </w:r>
    </w:p>
    <w:p w14:paraId="07487130" w14:textId="77777777" w:rsidR="00743471" w:rsidRPr="00743471" w:rsidRDefault="00743471" w:rsidP="00743471">
      <w:pPr>
        <w:tabs>
          <w:tab w:val="left" w:pos="851"/>
        </w:tabs>
        <w:ind w:left="851"/>
        <w:rPr>
          <w:sz w:val="24"/>
          <w:szCs w:val="24"/>
          <w:lang w:val="nl-NL"/>
        </w:rPr>
      </w:pPr>
      <w:r w:rsidRPr="00743471">
        <w:rPr>
          <w:sz w:val="24"/>
          <w:szCs w:val="24"/>
        </w:rPr>
        <w:t xml:space="preserve">Undersøgelser af embryotoksicitet, hvor rotter og kaniner fik </w:t>
      </w:r>
      <w:proofErr w:type="spellStart"/>
      <w:r w:rsidRPr="00743471">
        <w:rPr>
          <w:sz w:val="24"/>
          <w:szCs w:val="24"/>
        </w:rPr>
        <w:t>desfluran</w:t>
      </w:r>
      <w:proofErr w:type="spellEnd"/>
      <w:r w:rsidRPr="00743471">
        <w:rPr>
          <w:sz w:val="24"/>
          <w:szCs w:val="24"/>
        </w:rPr>
        <w:t xml:space="preserve"> i </w:t>
      </w:r>
      <w:proofErr w:type="spellStart"/>
      <w:r w:rsidRPr="00743471">
        <w:rPr>
          <w:sz w:val="24"/>
          <w:szCs w:val="24"/>
        </w:rPr>
        <w:t>organogenesefasen</w:t>
      </w:r>
      <w:proofErr w:type="spellEnd"/>
      <w:r w:rsidRPr="00743471">
        <w:rPr>
          <w:sz w:val="24"/>
          <w:szCs w:val="24"/>
        </w:rPr>
        <w:t>, viste embryotoksiske effekter efter en eksponeringsperiode på 4 MAC-timer om dagen (ca. 40 kumulative MAC-timer). Der blev ikke påvist nogen bivirkning efter en eksponeringsperiode på 10 kumulative MAC-timer.</w:t>
      </w:r>
    </w:p>
    <w:p w14:paraId="012AEA46" w14:textId="77777777" w:rsidR="00743471" w:rsidRPr="00743471" w:rsidRDefault="00743471" w:rsidP="00743471">
      <w:pPr>
        <w:tabs>
          <w:tab w:val="left" w:pos="851"/>
        </w:tabs>
        <w:ind w:left="851"/>
        <w:rPr>
          <w:sz w:val="24"/>
          <w:szCs w:val="24"/>
          <w:lang w:val="nl-NL"/>
        </w:rPr>
      </w:pPr>
    </w:p>
    <w:p w14:paraId="666A3CDE" w14:textId="77777777" w:rsidR="00743471" w:rsidRPr="00743471" w:rsidRDefault="00743471" w:rsidP="00743471">
      <w:pPr>
        <w:tabs>
          <w:tab w:val="left" w:pos="851"/>
        </w:tabs>
        <w:ind w:left="851"/>
        <w:rPr>
          <w:sz w:val="24"/>
          <w:szCs w:val="24"/>
        </w:rPr>
      </w:pPr>
      <w:r w:rsidRPr="00743471">
        <w:rPr>
          <w:sz w:val="24"/>
          <w:szCs w:val="24"/>
        </w:rPr>
        <w:t xml:space="preserve">Hos rotter blev der under drægtighed og amning observeret øget tab efter implantation samt reduktion i vægtøgning hos afkommet efter en eksponeringsperiode for moderen på 4 MAC-timer/dag. I samme periode forårsagede eksponering af moderen i 1 MAC time/dag ikke negative virkninger. Alle de observerede skadelige virkninger på fosteret eller afkommet var begrænset til grupper, hvor der forekom </w:t>
      </w:r>
      <w:proofErr w:type="spellStart"/>
      <w:r w:rsidRPr="00743471">
        <w:rPr>
          <w:sz w:val="24"/>
          <w:szCs w:val="24"/>
        </w:rPr>
        <w:t>maternel</w:t>
      </w:r>
      <w:proofErr w:type="spellEnd"/>
      <w:r w:rsidRPr="00743471">
        <w:rPr>
          <w:sz w:val="24"/>
          <w:szCs w:val="24"/>
        </w:rPr>
        <w:t xml:space="preserve"> toksicitet (død og </w:t>
      </w:r>
      <w:r w:rsidRPr="00743471">
        <w:rPr>
          <w:sz w:val="24"/>
          <w:szCs w:val="24"/>
        </w:rPr>
        <w:lastRenderedPageBreak/>
        <w:t xml:space="preserve">reduceret vægtøgning), dvs. virkningerne på afkommet kan afspejle den farmakologiske virkning af </w:t>
      </w:r>
      <w:proofErr w:type="spellStart"/>
      <w:r w:rsidRPr="00743471">
        <w:rPr>
          <w:sz w:val="24"/>
          <w:szCs w:val="24"/>
        </w:rPr>
        <w:t>desfluran</w:t>
      </w:r>
      <w:proofErr w:type="spellEnd"/>
      <w:r w:rsidRPr="00743471">
        <w:rPr>
          <w:sz w:val="24"/>
          <w:szCs w:val="24"/>
        </w:rPr>
        <w:t xml:space="preserve"> på </w:t>
      </w:r>
      <w:proofErr w:type="gramStart"/>
      <w:r w:rsidRPr="00743471">
        <w:rPr>
          <w:sz w:val="24"/>
          <w:szCs w:val="24"/>
        </w:rPr>
        <w:t>det hundyret</w:t>
      </w:r>
      <w:proofErr w:type="gramEnd"/>
      <w:r w:rsidRPr="00743471">
        <w:rPr>
          <w:sz w:val="24"/>
          <w:szCs w:val="24"/>
        </w:rPr>
        <w:t>.</w:t>
      </w:r>
    </w:p>
    <w:p w14:paraId="14AE0EC2" w14:textId="77777777" w:rsidR="00743471" w:rsidRPr="00743471" w:rsidRDefault="00743471" w:rsidP="00743471">
      <w:pPr>
        <w:tabs>
          <w:tab w:val="left" w:pos="851"/>
        </w:tabs>
        <w:ind w:left="851"/>
        <w:rPr>
          <w:sz w:val="24"/>
          <w:szCs w:val="24"/>
        </w:rPr>
      </w:pPr>
    </w:p>
    <w:p w14:paraId="7478DBF3" w14:textId="77777777" w:rsidR="00743471" w:rsidRPr="00743471" w:rsidRDefault="00743471" w:rsidP="00743471">
      <w:pPr>
        <w:tabs>
          <w:tab w:val="left" w:pos="851"/>
        </w:tabs>
        <w:ind w:left="851"/>
        <w:rPr>
          <w:sz w:val="24"/>
          <w:szCs w:val="24"/>
          <w:lang w:val="nl-NL"/>
        </w:rPr>
      </w:pPr>
      <w:r w:rsidRPr="00743471">
        <w:rPr>
          <w:sz w:val="24"/>
          <w:szCs w:val="24"/>
        </w:rPr>
        <w:t xml:space="preserve">Fertiliteten hos han- og hunrotter blev reduceret ved en eksponering på 4 MAC timer/dag. Virkningerne var begrænset til de dosisgrupper, hvor </w:t>
      </w:r>
      <w:proofErr w:type="spellStart"/>
      <w:r w:rsidRPr="00743471">
        <w:rPr>
          <w:sz w:val="24"/>
          <w:szCs w:val="24"/>
        </w:rPr>
        <w:t>maternel</w:t>
      </w:r>
      <w:proofErr w:type="spellEnd"/>
      <w:r w:rsidRPr="00743471">
        <w:rPr>
          <w:sz w:val="24"/>
          <w:szCs w:val="24"/>
        </w:rPr>
        <w:t xml:space="preserve"> toksicitet blev observeret.</w:t>
      </w:r>
    </w:p>
    <w:p w14:paraId="5B9AF150" w14:textId="77777777" w:rsidR="00743471" w:rsidRPr="00743471" w:rsidRDefault="00743471" w:rsidP="00743471">
      <w:pPr>
        <w:tabs>
          <w:tab w:val="left" w:pos="851"/>
        </w:tabs>
        <w:ind w:left="851"/>
        <w:rPr>
          <w:sz w:val="24"/>
          <w:szCs w:val="24"/>
          <w:lang w:val="nl-NL"/>
        </w:rPr>
      </w:pPr>
    </w:p>
    <w:p w14:paraId="6228639A" w14:textId="7EC62420" w:rsidR="00743471" w:rsidRPr="00743471" w:rsidRDefault="00743471" w:rsidP="00743471">
      <w:pPr>
        <w:tabs>
          <w:tab w:val="left" w:pos="851"/>
        </w:tabs>
        <w:ind w:left="851"/>
        <w:rPr>
          <w:sz w:val="24"/>
          <w:szCs w:val="24"/>
          <w:lang w:val="nl-NL"/>
        </w:rPr>
      </w:pPr>
      <w:r w:rsidRPr="00743471">
        <w:rPr>
          <w:sz w:val="24"/>
          <w:szCs w:val="24"/>
        </w:rPr>
        <w:t>Offentliggjorte</w:t>
      </w:r>
      <w:r w:rsidR="002A7A56">
        <w:rPr>
          <w:sz w:val="24"/>
          <w:szCs w:val="24"/>
        </w:rPr>
        <w:t xml:space="preserve"> </w:t>
      </w:r>
      <w:r w:rsidRPr="00743471">
        <w:rPr>
          <w:sz w:val="24"/>
          <w:szCs w:val="24"/>
        </w:rPr>
        <w:t xml:space="preserve">studier i dyr (herunder primater) ved doser, der resulterer i let til moderat anæstesi, viser, at brugen af anæstesimidler i perioden med hurtig hjernevækst eller </w:t>
      </w:r>
      <w:proofErr w:type="spellStart"/>
      <w:r w:rsidRPr="00743471">
        <w:rPr>
          <w:sz w:val="24"/>
          <w:szCs w:val="24"/>
        </w:rPr>
        <w:t>synaptogenese</w:t>
      </w:r>
      <w:proofErr w:type="spellEnd"/>
      <w:r w:rsidRPr="00743471">
        <w:rPr>
          <w:sz w:val="24"/>
          <w:szCs w:val="24"/>
        </w:rPr>
        <w:t xml:space="preserve"> resulterer i celletab i den udviklende hjerne, der kan være forbundet med langvarige kognitive mangler. Den kliniske betydning af disse ikke-kliniske fund er ikke kendt.</w:t>
      </w:r>
    </w:p>
    <w:p w14:paraId="4281E71B" w14:textId="77777777" w:rsidR="00743471" w:rsidRPr="00743471" w:rsidRDefault="00743471" w:rsidP="00743471">
      <w:pPr>
        <w:tabs>
          <w:tab w:val="left" w:pos="851"/>
        </w:tabs>
        <w:ind w:left="851"/>
        <w:rPr>
          <w:sz w:val="24"/>
          <w:szCs w:val="24"/>
          <w:lang w:val="nl-NL"/>
        </w:rPr>
      </w:pPr>
    </w:p>
    <w:p w14:paraId="0C8BE0B0" w14:textId="77777777" w:rsidR="00743471" w:rsidRPr="00743471" w:rsidRDefault="00743471" w:rsidP="00743471">
      <w:pPr>
        <w:tabs>
          <w:tab w:val="left" w:pos="851"/>
        </w:tabs>
        <w:ind w:left="851"/>
        <w:rPr>
          <w:sz w:val="24"/>
          <w:szCs w:val="24"/>
          <w:u w:val="single"/>
        </w:rPr>
      </w:pPr>
      <w:proofErr w:type="spellStart"/>
      <w:r w:rsidRPr="00743471">
        <w:rPr>
          <w:sz w:val="24"/>
          <w:szCs w:val="24"/>
          <w:u w:val="single"/>
        </w:rPr>
        <w:t>Mutagenicitet</w:t>
      </w:r>
      <w:proofErr w:type="spellEnd"/>
    </w:p>
    <w:p w14:paraId="6D37664C" w14:textId="77777777" w:rsidR="00743471" w:rsidRPr="00743471" w:rsidRDefault="00743471" w:rsidP="00743471">
      <w:pPr>
        <w:tabs>
          <w:tab w:val="left" w:pos="851"/>
        </w:tabs>
        <w:ind w:left="851"/>
        <w:rPr>
          <w:sz w:val="24"/>
          <w:szCs w:val="24"/>
          <w:lang w:val="nl-NL"/>
        </w:rPr>
      </w:pPr>
      <w:r w:rsidRPr="00743471">
        <w:rPr>
          <w:sz w:val="24"/>
          <w:szCs w:val="24"/>
        </w:rPr>
        <w:t>En detaljeret undersøgelse af in-</w:t>
      </w:r>
      <w:proofErr w:type="spellStart"/>
      <w:r w:rsidRPr="00743471">
        <w:rPr>
          <w:sz w:val="24"/>
          <w:szCs w:val="24"/>
        </w:rPr>
        <w:t>vivo</w:t>
      </w:r>
      <w:proofErr w:type="spellEnd"/>
      <w:r w:rsidRPr="00743471">
        <w:rPr>
          <w:sz w:val="24"/>
          <w:szCs w:val="24"/>
        </w:rPr>
        <w:t xml:space="preserve"> og in-</w:t>
      </w:r>
      <w:proofErr w:type="spellStart"/>
      <w:r w:rsidRPr="00743471">
        <w:rPr>
          <w:sz w:val="24"/>
          <w:szCs w:val="24"/>
        </w:rPr>
        <w:t>vitro</w:t>
      </w:r>
      <w:proofErr w:type="spellEnd"/>
      <w:r w:rsidRPr="00743471">
        <w:rPr>
          <w:sz w:val="24"/>
          <w:szCs w:val="24"/>
        </w:rPr>
        <w:t xml:space="preserve"> undersøgelser viste ingen tegn på mutagene egenskaber af </w:t>
      </w:r>
      <w:proofErr w:type="spellStart"/>
      <w:r w:rsidRPr="00743471">
        <w:rPr>
          <w:sz w:val="24"/>
          <w:szCs w:val="24"/>
        </w:rPr>
        <w:t>desfluran</w:t>
      </w:r>
      <w:proofErr w:type="spellEnd"/>
      <w:r w:rsidRPr="00743471">
        <w:rPr>
          <w:sz w:val="24"/>
          <w:szCs w:val="24"/>
        </w:rPr>
        <w:t>.</w:t>
      </w:r>
    </w:p>
    <w:p w14:paraId="015C71D1" w14:textId="77777777" w:rsidR="00743471" w:rsidRPr="00743471" w:rsidRDefault="00743471" w:rsidP="00743471">
      <w:pPr>
        <w:tabs>
          <w:tab w:val="left" w:pos="851"/>
        </w:tabs>
        <w:ind w:left="851"/>
        <w:rPr>
          <w:sz w:val="24"/>
          <w:szCs w:val="24"/>
          <w:lang w:val="nl-NL"/>
        </w:rPr>
      </w:pPr>
    </w:p>
    <w:p w14:paraId="52870A4F" w14:textId="77777777" w:rsidR="00743471" w:rsidRPr="00743471" w:rsidRDefault="00743471" w:rsidP="00743471">
      <w:pPr>
        <w:tabs>
          <w:tab w:val="left" w:pos="851"/>
        </w:tabs>
        <w:ind w:left="851"/>
        <w:rPr>
          <w:sz w:val="24"/>
          <w:szCs w:val="24"/>
          <w:u w:val="single"/>
        </w:rPr>
      </w:pPr>
      <w:proofErr w:type="spellStart"/>
      <w:r w:rsidRPr="00743471">
        <w:rPr>
          <w:sz w:val="24"/>
          <w:szCs w:val="24"/>
          <w:u w:val="single"/>
        </w:rPr>
        <w:t>Karcinogenicitet</w:t>
      </w:r>
      <w:proofErr w:type="spellEnd"/>
    </w:p>
    <w:p w14:paraId="21A3590F" w14:textId="77777777" w:rsidR="00743471" w:rsidRPr="00743471" w:rsidRDefault="00743471" w:rsidP="00743471">
      <w:pPr>
        <w:tabs>
          <w:tab w:val="left" w:pos="851"/>
        </w:tabs>
        <w:ind w:left="851"/>
        <w:rPr>
          <w:sz w:val="24"/>
          <w:szCs w:val="24"/>
          <w:lang w:val="nl-NL"/>
        </w:rPr>
      </w:pPr>
      <w:r w:rsidRPr="00743471">
        <w:rPr>
          <w:sz w:val="24"/>
          <w:szCs w:val="24"/>
        </w:rPr>
        <w:t xml:space="preserve">Langtidsundersøgelser af </w:t>
      </w:r>
      <w:proofErr w:type="spellStart"/>
      <w:r w:rsidRPr="00743471">
        <w:rPr>
          <w:sz w:val="24"/>
          <w:szCs w:val="24"/>
        </w:rPr>
        <w:t>desflurans</w:t>
      </w:r>
      <w:proofErr w:type="spellEnd"/>
      <w:r w:rsidRPr="00743471">
        <w:rPr>
          <w:sz w:val="24"/>
          <w:szCs w:val="24"/>
        </w:rPr>
        <w:t xml:space="preserve"> kræftfremkaldende egenskaber er ikke blevet udført.</w:t>
      </w:r>
    </w:p>
    <w:p w14:paraId="129C6A05" w14:textId="77777777" w:rsidR="00743471" w:rsidRPr="00743471" w:rsidRDefault="00743471" w:rsidP="00743471">
      <w:pPr>
        <w:tabs>
          <w:tab w:val="left" w:pos="851"/>
        </w:tabs>
        <w:ind w:left="851"/>
        <w:rPr>
          <w:sz w:val="24"/>
          <w:szCs w:val="24"/>
          <w:lang w:val="nl-NL"/>
        </w:rPr>
      </w:pPr>
    </w:p>
    <w:p w14:paraId="1507B277" w14:textId="77777777" w:rsidR="009260DE" w:rsidRPr="00C84483" w:rsidRDefault="009260DE" w:rsidP="009260DE">
      <w:pPr>
        <w:tabs>
          <w:tab w:val="left" w:pos="851"/>
        </w:tabs>
        <w:ind w:left="851"/>
        <w:rPr>
          <w:sz w:val="24"/>
          <w:szCs w:val="24"/>
        </w:rPr>
      </w:pPr>
    </w:p>
    <w:p w14:paraId="635637F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DAD525F" w14:textId="77777777" w:rsidR="009260DE" w:rsidRPr="00BA09F1" w:rsidRDefault="009260DE" w:rsidP="009260DE">
      <w:pPr>
        <w:tabs>
          <w:tab w:val="left" w:pos="851"/>
        </w:tabs>
        <w:ind w:left="851"/>
        <w:rPr>
          <w:sz w:val="24"/>
          <w:szCs w:val="24"/>
        </w:rPr>
      </w:pPr>
    </w:p>
    <w:p w14:paraId="7D3DF25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42FFEE9" w14:textId="77777777" w:rsidR="00875CC6" w:rsidRPr="00875CC6" w:rsidRDefault="00875CC6" w:rsidP="00875CC6">
      <w:pPr>
        <w:tabs>
          <w:tab w:val="left" w:pos="851"/>
        </w:tabs>
        <w:ind w:left="851"/>
        <w:rPr>
          <w:sz w:val="24"/>
          <w:szCs w:val="24"/>
        </w:rPr>
      </w:pPr>
      <w:r w:rsidRPr="00875CC6">
        <w:rPr>
          <w:sz w:val="24"/>
          <w:szCs w:val="24"/>
        </w:rPr>
        <w:t>Ingen</w:t>
      </w:r>
    </w:p>
    <w:p w14:paraId="61384B3E" w14:textId="77777777" w:rsidR="009260DE" w:rsidRPr="00C84483" w:rsidRDefault="009260DE" w:rsidP="009260DE">
      <w:pPr>
        <w:tabs>
          <w:tab w:val="left" w:pos="851"/>
        </w:tabs>
        <w:ind w:left="851"/>
        <w:rPr>
          <w:sz w:val="24"/>
          <w:szCs w:val="24"/>
        </w:rPr>
      </w:pPr>
    </w:p>
    <w:p w14:paraId="47AB67C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FB2C85F" w14:textId="77777777" w:rsidR="00875CC6" w:rsidRPr="00875CC6" w:rsidRDefault="00875CC6" w:rsidP="00875CC6">
      <w:pPr>
        <w:tabs>
          <w:tab w:val="left" w:pos="851"/>
        </w:tabs>
        <w:ind w:left="851"/>
        <w:rPr>
          <w:sz w:val="24"/>
          <w:szCs w:val="24"/>
          <w:lang w:val="nl-NL"/>
        </w:rPr>
      </w:pPr>
      <w:proofErr w:type="spellStart"/>
      <w:r w:rsidRPr="00875CC6">
        <w:rPr>
          <w:sz w:val="24"/>
          <w:szCs w:val="24"/>
        </w:rPr>
        <w:t>Desfluran</w:t>
      </w:r>
      <w:proofErr w:type="spellEnd"/>
      <w:r w:rsidRPr="00875CC6">
        <w:rPr>
          <w:sz w:val="24"/>
          <w:szCs w:val="24"/>
        </w:rPr>
        <w:t xml:space="preserve"> kan reagere med udtørrede kuldioxid (</w:t>
      </w:r>
      <w:proofErr w:type="gramStart"/>
      <w:r w:rsidRPr="00875CC6">
        <w:rPr>
          <w:sz w:val="24"/>
          <w:szCs w:val="24"/>
        </w:rPr>
        <w:t>CO2)-</w:t>
      </w:r>
      <w:proofErr w:type="gramEnd"/>
      <w:r w:rsidRPr="00875CC6">
        <w:rPr>
          <w:sz w:val="24"/>
          <w:szCs w:val="24"/>
        </w:rPr>
        <w:t>absorberende midler og danne kulilte (CO).</w:t>
      </w:r>
    </w:p>
    <w:p w14:paraId="78BDBA87" w14:textId="77777777" w:rsidR="00875CC6" w:rsidRPr="00875CC6" w:rsidRDefault="00875CC6" w:rsidP="00875CC6">
      <w:pPr>
        <w:tabs>
          <w:tab w:val="left" w:pos="851"/>
        </w:tabs>
        <w:ind w:left="851"/>
        <w:rPr>
          <w:sz w:val="24"/>
          <w:szCs w:val="24"/>
          <w:lang w:val="nl-NL"/>
        </w:rPr>
      </w:pPr>
    </w:p>
    <w:p w14:paraId="21A9BAF7" w14:textId="77777777" w:rsidR="00875CC6" w:rsidRPr="00875CC6" w:rsidRDefault="00875CC6" w:rsidP="00875CC6">
      <w:pPr>
        <w:tabs>
          <w:tab w:val="left" w:pos="851"/>
        </w:tabs>
        <w:ind w:left="851"/>
        <w:rPr>
          <w:sz w:val="24"/>
          <w:szCs w:val="24"/>
          <w:lang w:val="nl-NL"/>
        </w:rPr>
      </w:pPr>
      <w:r w:rsidRPr="00875CC6">
        <w:rPr>
          <w:sz w:val="24"/>
          <w:szCs w:val="24"/>
        </w:rPr>
        <w:t xml:space="preserve">For at forhindre risikoen for dannelse af kulilte i genåndingskredsløb og muligheden for forhøjede </w:t>
      </w:r>
      <w:proofErr w:type="spellStart"/>
      <w:r w:rsidRPr="00875CC6">
        <w:rPr>
          <w:sz w:val="24"/>
          <w:szCs w:val="24"/>
        </w:rPr>
        <w:t>carboxyhæmoglobinniveauer</w:t>
      </w:r>
      <w:proofErr w:type="spellEnd"/>
      <w:r w:rsidRPr="00875CC6">
        <w:rPr>
          <w:sz w:val="24"/>
          <w:szCs w:val="24"/>
        </w:rPr>
        <w:t xml:space="preserve"> skal der anvendes frisk (våd) kuldioxidabsorberende materiale.</w:t>
      </w:r>
    </w:p>
    <w:p w14:paraId="07765B31" w14:textId="77777777" w:rsidR="00875CC6" w:rsidRPr="00875CC6" w:rsidRDefault="00875CC6" w:rsidP="00875CC6">
      <w:pPr>
        <w:tabs>
          <w:tab w:val="left" w:pos="851"/>
        </w:tabs>
        <w:ind w:left="851"/>
        <w:rPr>
          <w:sz w:val="24"/>
          <w:szCs w:val="24"/>
          <w:lang w:val="nl-NL"/>
        </w:rPr>
      </w:pPr>
    </w:p>
    <w:p w14:paraId="629528E3" w14:textId="77777777" w:rsidR="00875CC6" w:rsidRPr="00875CC6" w:rsidRDefault="00875CC6" w:rsidP="00875CC6">
      <w:pPr>
        <w:tabs>
          <w:tab w:val="left" w:pos="851"/>
        </w:tabs>
        <w:ind w:left="851"/>
        <w:rPr>
          <w:sz w:val="24"/>
          <w:szCs w:val="24"/>
          <w:lang w:val="nl-NL"/>
        </w:rPr>
      </w:pPr>
      <w:r w:rsidRPr="00875CC6">
        <w:rPr>
          <w:sz w:val="24"/>
          <w:szCs w:val="24"/>
        </w:rPr>
        <w:t>Da der ikke foreligger studier af eventuelle uforligeligheder, må dette lægemiddel ikke blandes med andre lægemidler.</w:t>
      </w:r>
    </w:p>
    <w:p w14:paraId="015EA172" w14:textId="77777777" w:rsidR="009260DE" w:rsidRPr="00875CC6" w:rsidRDefault="009260DE" w:rsidP="009260DE">
      <w:pPr>
        <w:tabs>
          <w:tab w:val="left" w:pos="851"/>
        </w:tabs>
        <w:ind w:left="851"/>
        <w:rPr>
          <w:sz w:val="24"/>
          <w:szCs w:val="24"/>
          <w:lang w:val="nl-NL"/>
        </w:rPr>
      </w:pPr>
    </w:p>
    <w:p w14:paraId="2664506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D650CB6" w14:textId="77777777" w:rsidR="007F1270" w:rsidRPr="00875CC6" w:rsidRDefault="007F1270" w:rsidP="007F1270">
      <w:pPr>
        <w:tabs>
          <w:tab w:val="left" w:pos="851"/>
        </w:tabs>
        <w:ind w:left="851"/>
        <w:rPr>
          <w:sz w:val="24"/>
          <w:szCs w:val="24"/>
        </w:rPr>
      </w:pPr>
      <w:r>
        <w:rPr>
          <w:sz w:val="24"/>
          <w:szCs w:val="24"/>
        </w:rPr>
        <w:t>3</w:t>
      </w:r>
      <w:r w:rsidRPr="00875CC6">
        <w:rPr>
          <w:sz w:val="24"/>
          <w:szCs w:val="24"/>
        </w:rPr>
        <w:t xml:space="preserve"> år.</w:t>
      </w:r>
    </w:p>
    <w:p w14:paraId="69C6B515" w14:textId="77777777" w:rsidR="009260DE" w:rsidRPr="00C84483" w:rsidRDefault="009260DE" w:rsidP="009260DE">
      <w:pPr>
        <w:tabs>
          <w:tab w:val="left" w:pos="851"/>
        </w:tabs>
        <w:ind w:left="851"/>
        <w:rPr>
          <w:sz w:val="24"/>
          <w:szCs w:val="24"/>
        </w:rPr>
      </w:pPr>
    </w:p>
    <w:p w14:paraId="071DD1B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D49830D" w14:textId="77777777" w:rsidR="00875CC6" w:rsidRPr="00875CC6" w:rsidRDefault="00875CC6" w:rsidP="00875CC6">
      <w:pPr>
        <w:tabs>
          <w:tab w:val="left" w:pos="851"/>
        </w:tabs>
        <w:ind w:left="851"/>
        <w:rPr>
          <w:sz w:val="24"/>
          <w:szCs w:val="24"/>
        </w:rPr>
      </w:pPr>
      <w:r w:rsidRPr="00875CC6">
        <w:rPr>
          <w:sz w:val="24"/>
          <w:szCs w:val="24"/>
        </w:rPr>
        <w:t>Opbevares ved temperaturer under 30 °C.</w:t>
      </w:r>
    </w:p>
    <w:p w14:paraId="30ACDA58" w14:textId="77777777" w:rsidR="00875CC6" w:rsidRPr="00875CC6" w:rsidRDefault="00875CC6" w:rsidP="00875CC6">
      <w:pPr>
        <w:tabs>
          <w:tab w:val="left" w:pos="851"/>
        </w:tabs>
        <w:ind w:left="851"/>
        <w:rPr>
          <w:sz w:val="24"/>
          <w:szCs w:val="24"/>
        </w:rPr>
      </w:pPr>
      <w:r w:rsidRPr="00875CC6">
        <w:rPr>
          <w:sz w:val="24"/>
          <w:szCs w:val="24"/>
        </w:rPr>
        <w:t>Opbevar flasken i lodret position med hætten tæt tillukket.</w:t>
      </w:r>
    </w:p>
    <w:p w14:paraId="681465F1" w14:textId="77777777" w:rsidR="009260DE" w:rsidRPr="00C84483" w:rsidRDefault="009260DE" w:rsidP="009260DE">
      <w:pPr>
        <w:tabs>
          <w:tab w:val="left" w:pos="851"/>
        </w:tabs>
        <w:ind w:left="851"/>
        <w:rPr>
          <w:sz w:val="24"/>
          <w:szCs w:val="24"/>
        </w:rPr>
      </w:pPr>
    </w:p>
    <w:p w14:paraId="7197CC9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C8C05E1" w14:textId="62CA6952" w:rsidR="007F1270" w:rsidRPr="0095051D" w:rsidRDefault="0095051D" w:rsidP="007F1270">
      <w:pPr>
        <w:tabs>
          <w:tab w:val="left" w:pos="851"/>
        </w:tabs>
        <w:ind w:left="851"/>
        <w:rPr>
          <w:sz w:val="24"/>
          <w:szCs w:val="24"/>
        </w:rPr>
      </w:pPr>
      <w:r w:rsidRPr="0095051D">
        <w:rPr>
          <w:sz w:val="24"/>
          <w:szCs w:val="24"/>
        </w:rPr>
        <w:t>250 ml ravfarvet type III-glasflaske med PVC-belægning på ydersiden af flasken, HDPE/</w:t>
      </w:r>
      <w:r w:rsidR="007F1270" w:rsidRPr="007F1270">
        <w:rPr>
          <w:sz w:val="24"/>
          <w:szCs w:val="24"/>
        </w:rPr>
        <w:t xml:space="preserve"> </w:t>
      </w:r>
      <w:proofErr w:type="spellStart"/>
      <w:r w:rsidR="007F1270" w:rsidRPr="004853EB">
        <w:rPr>
          <w:sz w:val="24"/>
          <w:szCs w:val="24"/>
        </w:rPr>
        <w:t>Ethylen</w:t>
      </w:r>
      <w:proofErr w:type="spellEnd"/>
      <w:r w:rsidR="007F1270" w:rsidRPr="004853EB">
        <w:rPr>
          <w:sz w:val="24"/>
          <w:szCs w:val="24"/>
        </w:rPr>
        <w:t xml:space="preserve"> Propylen </w:t>
      </w:r>
      <w:proofErr w:type="spellStart"/>
      <w:r w:rsidR="007F1270" w:rsidRPr="004853EB">
        <w:rPr>
          <w:sz w:val="24"/>
          <w:szCs w:val="24"/>
        </w:rPr>
        <w:t>Dien</w:t>
      </w:r>
      <w:proofErr w:type="spellEnd"/>
      <w:r w:rsidR="007F1270" w:rsidRPr="004853EB">
        <w:rPr>
          <w:sz w:val="24"/>
          <w:szCs w:val="24"/>
        </w:rPr>
        <w:t xml:space="preserve"> Monomer </w:t>
      </w:r>
      <w:r w:rsidR="007F1270">
        <w:rPr>
          <w:sz w:val="24"/>
          <w:szCs w:val="24"/>
        </w:rPr>
        <w:t>(</w:t>
      </w:r>
      <w:r w:rsidR="007F1270" w:rsidRPr="0095051D">
        <w:rPr>
          <w:sz w:val="24"/>
          <w:szCs w:val="24"/>
        </w:rPr>
        <w:t>EPDM</w:t>
      </w:r>
      <w:r w:rsidR="007F1270">
        <w:rPr>
          <w:sz w:val="24"/>
          <w:szCs w:val="24"/>
        </w:rPr>
        <w:t>)</w:t>
      </w:r>
      <w:r w:rsidR="007F1270" w:rsidRPr="0095051D">
        <w:rPr>
          <w:sz w:val="24"/>
          <w:szCs w:val="24"/>
        </w:rPr>
        <w:t>-lukning og en aluminiums-klemme.</w:t>
      </w:r>
    </w:p>
    <w:p w14:paraId="6F5CB5AE" w14:textId="201E1157" w:rsidR="0095051D" w:rsidRPr="0095051D" w:rsidRDefault="0095051D" w:rsidP="0095051D">
      <w:pPr>
        <w:tabs>
          <w:tab w:val="left" w:pos="851"/>
        </w:tabs>
        <w:ind w:left="851"/>
        <w:rPr>
          <w:sz w:val="24"/>
          <w:szCs w:val="24"/>
        </w:rPr>
      </w:pPr>
      <w:bookmarkStart w:id="0" w:name="_GoBack"/>
      <w:bookmarkEnd w:id="0"/>
    </w:p>
    <w:p w14:paraId="52B2D923" w14:textId="48E24A79" w:rsidR="0095051D" w:rsidRPr="0095051D" w:rsidRDefault="0095051D" w:rsidP="0095051D">
      <w:pPr>
        <w:tabs>
          <w:tab w:val="left" w:pos="851"/>
        </w:tabs>
        <w:ind w:left="851"/>
        <w:rPr>
          <w:sz w:val="24"/>
          <w:szCs w:val="24"/>
        </w:rPr>
      </w:pPr>
      <w:r w:rsidRPr="0095051D">
        <w:rPr>
          <w:sz w:val="24"/>
          <w:szCs w:val="24"/>
        </w:rPr>
        <w:t>Pakningsstørrelser</w:t>
      </w:r>
      <w:r>
        <w:rPr>
          <w:sz w:val="24"/>
          <w:szCs w:val="24"/>
        </w:rPr>
        <w:t>:</w:t>
      </w:r>
      <w:r w:rsidRPr="0095051D">
        <w:rPr>
          <w:sz w:val="24"/>
          <w:szCs w:val="24"/>
        </w:rPr>
        <w:t xml:space="preserve"> 1 og 6 flasker.</w:t>
      </w:r>
    </w:p>
    <w:p w14:paraId="7EEEFD60" w14:textId="77777777" w:rsidR="0095051D" w:rsidRPr="0095051D" w:rsidRDefault="0095051D" w:rsidP="0095051D">
      <w:pPr>
        <w:tabs>
          <w:tab w:val="left" w:pos="851"/>
        </w:tabs>
        <w:ind w:left="851"/>
        <w:rPr>
          <w:sz w:val="24"/>
          <w:szCs w:val="24"/>
        </w:rPr>
      </w:pPr>
      <w:r w:rsidRPr="0095051D">
        <w:rPr>
          <w:sz w:val="24"/>
          <w:szCs w:val="24"/>
        </w:rPr>
        <w:t>Ikke alle pakningsstørrelser er nødvendigvis markedsført.</w:t>
      </w:r>
    </w:p>
    <w:p w14:paraId="22AF60A8" w14:textId="2C4FE763" w:rsidR="0095051D" w:rsidRDefault="0095051D">
      <w:pPr>
        <w:rPr>
          <w:sz w:val="24"/>
          <w:szCs w:val="24"/>
        </w:rPr>
      </w:pPr>
      <w:r>
        <w:rPr>
          <w:sz w:val="24"/>
          <w:szCs w:val="24"/>
        </w:rPr>
        <w:br w:type="page"/>
      </w:r>
    </w:p>
    <w:p w14:paraId="106C9C3B" w14:textId="77777777" w:rsidR="009260DE" w:rsidRPr="00C84483" w:rsidRDefault="009260DE" w:rsidP="009260DE">
      <w:pPr>
        <w:tabs>
          <w:tab w:val="left" w:pos="851"/>
        </w:tabs>
        <w:ind w:left="851"/>
        <w:rPr>
          <w:sz w:val="24"/>
          <w:szCs w:val="24"/>
        </w:rPr>
      </w:pPr>
    </w:p>
    <w:p w14:paraId="3D1BD75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0749309" w14:textId="77777777" w:rsidR="00B049F6" w:rsidRPr="00B049F6" w:rsidRDefault="00B049F6" w:rsidP="00B049F6">
      <w:pPr>
        <w:tabs>
          <w:tab w:val="left" w:pos="851"/>
        </w:tabs>
        <w:ind w:left="851"/>
        <w:rPr>
          <w:sz w:val="24"/>
          <w:szCs w:val="24"/>
        </w:rPr>
      </w:pPr>
      <w:r w:rsidRPr="00B049F6">
        <w:rPr>
          <w:sz w:val="24"/>
          <w:szCs w:val="24"/>
        </w:rPr>
        <w:t xml:space="preserve">Ikke anvendt lægemiddel samt affald heraf skal bortskaffes i henhold til lokale retningslinjer. Utilsigtet eksponering af sundhedspersonale for </w:t>
      </w:r>
      <w:proofErr w:type="spellStart"/>
      <w:r w:rsidRPr="00B049F6">
        <w:rPr>
          <w:sz w:val="24"/>
          <w:szCs w:val="24"/>
        </w:rPr>
        <w:t>desfluran</w:t>
      </w:r>
      <w:proofErr w:type="spellEnd"/>
      <w:r w:rsidRPr="00B049F6">
        <w:rPr>
          <w:sz w:val="24"/>
          <w:szCs w:val="24"/>
        </w:rPr>
        <w:t xml:space="preserve"> kan medføre risiko for bivirkninger.</w:t>
      </w:r>
    </w:p>
    <w:p w14:paraId="5AA0D598" w14:textId="77777777" w:rsidR="009260DE" w:rsidRPr="00C84483" w:rsidRDefault="009260DE" w:rsidP="000730CA">
      <w:pPr>
        <w:tabs>
          <w:tab w:val="left" w:pos="851"/>
        </w:tabs>
        <w:ind w:left="851"/>
        <w:rPr>
          <w:sz w:val="24"/>
          <w:szCs w:val="24"/>
        </w:rPr>
      </w:pPr>
    </w:p>
    <w:p w14:paraId="672F1C2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6086CC4" w14:textId="77777777" w:rsidR="00B049F6" w:rsidRPr="007A46DE" w:rsidRDefault="00B049F6" w:rsidP="00B049F6">
      <w:pPr>
        <w:tabs>
          <w:tab w:val="left" w:pos="851"/>
        </w:tabs>
        <w:ind w:left="851"/>
        <w:rPr>
          <w:sz w:val="24"/>
          <w:szCs w:val="24"/>
        </w:rPr>
      </w:pPr>
      <w:proofErr w:type="spellStart"/>
      <w:r w:rsidRPr="007A46DE">
        <w:rPr>
          <w:sz w:val="24"/>
          <w:szCs w:val="24"/>
        </w:rPr>
        <w:t>Piramal</w:t>
      </w:r>
      <w:proofErr w:type="spellEnd"/>
      <w:r w:rsidRPr="007A46DE">
        <w:rPr>
          <w:sz w:val="24"/>
          <w:szCs w:val="24"/>
        </w:rPr>
        <w:t xml:space="preserve"> Critical Care B.V.</w:t>
      </w:r>
    </w:p>
    <w:p w14:paraId="5C416814" w14:textId="220F2501" w:rsidR="00B049F6" w:rsidRPr="00B049F6" w:rsidRDefault="00B049F6" w:rsidP="00B049F6">
      <w:pPr>
        <w:tabs>
          <w:tab w:val="left" w:pos="851"/>
        </w:tabs>
        <w:ind w:left="851"/>
        <w:rPr>
          <w:sz w:val="24"/>
          <w:szCs w:val="24"/>
          <w:lang w:val="en-US"/>
        </w:rPr>
      </w:pPr>
      <w:proofErr w:type="spellStart"/>
      <w:r w:rsidRPr="00B049F6">
        <w:rPr>
          <w:sz w:val="24"/>
          <w:szCs w:val="24"/>
          <w:lang w:val="en-US"/>
        </w:rPr>
        <w:t>Rouboslaan</w:t>
      </w:r>
      <w:proofErr w:type="spellEnd"/>
      <w:r w:rsidRPr="00B049F6">
        <w:rPr>
          <w:sz w:val="24"/>
          <w:szCs w:val="24"/>
          <w:lang w:val="en-US"/>
        </w:rPr>
        <w:t xml:space="preserve"> 32 (ground floor)</w:t>
      </w:r>
    </w:p>
    <w:p w14:paraId="5442AF0A" w14:textId="77777777" w:rsidR="00B049F6" w:rsidRPr="00B049F6" w:rsidRDefault="00B049F6" w:rsidP="00B049F6">
      <w:pPr>
        <w:tabs>
          <w:tab w:val="left" w:pos="851"/>
        </w:tabs>
        <w:ind w:left="851"/>
        <w:rPr>
          <w:sz w:val="24"/>
          <w:szCs w:val="24"/>
          <w:lang w:val="en-US"/>
        </w:rPr>
      </w:pPr>
      <w:r w:rsidRPr="00B049F6">
        <w:rPr>
          <w:sz w:val="24"/>
          <w:szCs w:val="24"/>
          <w:lang w:val="en-US"/>
        </w:rPr>
        <w:t xml:space="preserve">2252 TR </w:t>
      </w:r>
      <w:proofErr w:type="spellStart"/>
      <w:r w:rsidRPr="00B049F6">
        <w:rPr>
          <w:sz w:val="24"/>
          <w:szCs w:val="24"/>
          <w:lang w:val="en-US"/>
        </w:rPr>
        <w:t>Voorschoten</w:t>
      </w:r>
      <w:proofErr w:type="spellEnd"/>
    </w:p>
    <w:p w14:paraId="1D42026E" w14:textId="77777777" w:rsidR="00B049F6" w:rsidRPr="00B049F6" w:rsidRDefault="00B049F6" w:rsidP="00B049F6">
      <w:pPr>
        <w:tabs>
          <w:tab w:val="left" w:pos="851"/>
        </w:tabs>
        <w:ind w:left="851"/>
        <w:rPr>
          <w:sz w:val="24"/>
          <w:szCs w:val="24"/>
          <w:lang w:val="en-IN"/>
        </w:rPr>
      </w:pPr>
      <w:r w:rsidRPr="00B049F6">
        <w:rPr>
          <w:sz w:val="24"/>
          <w:szCs w:val="24"/>
          <w:lang w:val="en-US"/>
        </w:rPr>
        <w:t>Holland</w:t>
      </w:r>
    </w:p>
    <w:p w14:paraId="0998D469" w14:textId="77777777" w:rsidR="00641C65" w:rsidRPr="00B049F6" w:rsidRDefault="00641C65" w:rsidP="009260DE">
      <w:pPr>
        <w:tabs>
          <w:tab w:val="left" w:pos="851"/>
        </w:tabs>
        <w:ind w:left="851"/>
        <w:rPr>
          <w:sz w:val="24"/>
          <w:szCs w:val="24"/>
          <w:lang w:val="en-IN"/>
        </w:rPr>
      </w:pPr>
    </w:p>
    <w:p w14:paraId="4719816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88654A3" w14:textId="601B2E3E" w:rsidR="009260DE" w:rsidRPr="00C84483" w:rsidRDefault="00805C6E" w:rsidP="009260DE">
      <w:pPr>
        <w:tabs>
          <w:tab w:val="left" w:pos="851"/>
        </w:tabs>
        <w:ind w:left="851"/>
        <w:rPr>
          <w:sz w:val="24"/>
          <w:szCs w:val="24"/>
        </w:rPr>
      </w:pPr>
      <w:r>
        <w:rPr>
          <w:sz w:val="24"/>
          <w:szCs w:val="24"/>
        </w:rPr>
        <w:t>69336</w:t>
      </w:r>
    </w:p>
    <w:p w14:paraId="1469D399" w14:textId="77777777" w:rsidR="009260DE" w:rsidRPr="00C84483" w:rsidRDefault="009260DE" w:rsidP="009260DE">
      <w:pPr>
        <w:tabs>
          <w:tab w:val="left" w:pos="851"/>
        </w:tabs>
        <w:ind w:left="851"/>
        <w:jc w:val="both"/>
        <w:rPr>
          <w:sz w:val="24"/>
          <w:szCs w:val="24"/>
        </w:rPr>
      </w:pPr>
    </w:p>
    <w:p w14:paraId="3AE75B04"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89B7867" w14:textId="6281D40C" w:rsidR="009260DE" w:rsidRPr="00C84483" w:rsidRDefault="007A46DE" w:rsidP="009260DE">
      <w:pPr>
        <w:tabs>
          <w:tab w:val="left" w:pos="851"/>
        </w:tabs>
        <w:ind w:left="851"/>
        <w:rPr>
          <w:sz w:val="24"/>
          <w:szCs w:val="24"/>
        </w:rPr>
      </w:pPr>
      <w:r>
        <w:rPr>
          <w:sz w:val="24"/>
          <w:szCs w:val="24"/>
        </w:rPr>
        <w:t>5. december 2023</w:t>
      </w:r>
    </w:p>
    <w:p w14:paraId="5F66D9FD" w14:textId="77777777" w:rsidR="009260DE" w:rsidRPr="00C84483" w:rsidRDefault="009260DE" w:rsidP="009260DE">
      <w:pPr>
        <w:tabs>
          <w:tab w:val="left" w:pos="851"/>
        </w:tabs>
        <w:ind w:left="851"/>
        <w:rPr>
          <w:sz w:val="24"/>
          <w:szCs w:val="24"/>
        </w:rPr>
      </w:pPr>
    </w:p>
    <w:p w14:paraId="07C59F3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379044D" w14:textId="3717C149" w:rsidR="009260DE" w:rsidRPr="00C84483" w:rsidRDefault="007F1270" w:rsidP="009260DE">
      <w:pPr>
        <w:tabs>
          <w:tab w:val="left" w:pos="851"/>
        </w:tabs>
        <w:ind w:left="851"/>
        <w:rPr>
          <w:sz w:val="24"/>
          <w:szCs w:val="24"/>
        </w:rPr>
      </w:pPr>
      <w:r>
        <w:rPr>
          <w:sz w:val="24"/>
          <w:szCs w:val="24"/>
        </w:rPr>
        <w:t>17. juni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F9927" w14:textId="77777777" w:rsidR="007A46DE" w:rsidRDefault="007A46DE">
      <w:r>
        <w:separator/>
      </w:r>
    </w:p>
  </w:endnote>
  <w:endnote w:type="continuationSeparator" w:id="0">
    <w:p w14:paraId="3698B265" w14:textId="77777777" w:rsidR="007A46DE" w:rsidRDefault="007A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DE5E" w14:textId="77777777" w:rsidR="007A46DE" w:rsidRDefault="007A46DE">
    <w:pPr>
      <w:pStyle w:val="Sidefod"/>
      <w:pBdr>
        <w:bottom w:val="single" w:sz="6" w:space="1" w:color="auto"/>
      </w:pBdr>
    </w:pPr>
  </w:p>
  <w:p w14:paraId="7788655B" w14:textId="77777777" w:rsidR="007A46DE" w:rsidRDefault="007A46DE" w:rsidP="00C42586">
    <w:pPr>
      <w:pStyle w:val="Sidefod"/>
      <w:tabs>
        <w:tab w:val="clear" w:pos="4819"/>
        <w:tab w:val="left" w:pos="8505"/>
      </w:tabs>
      <w:rPr>
        <w:i/>
        <w:sz w:val="18"/>
        <w:szCs w:val="18"/>
      </w:rPr>
    </w:pPr>
  </w:p>
  <w:p w14:paraId="46A55084" w14:textId="6E6CEE77" w:rsidR="007A46DE" w:rsidRPr="00B373D7" w:rsidRDefault="007A46D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Desfluran Piramal, væske til inhalationsdamp 100 %</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2F862" w14:textId="77777777" w:rsidR="007A46DE" w:rsidRDefault="007A46DE">
      <w:r>
        <w:separator/>
      </w:r>
    </w:p>
  </w:footnote>
  <w:footnote w:type="continuationSeparator" w:id="0">
    <w:p w14:paraId="6FF6CBCD" w14:textId="77777777" w:rsidR="007A46DE" w:rsidRDefault="007A4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678" w:hanging="567"/>
      </w:pPr>
      <w:rPr>
        <w:rFonts w:ascii="Times New Roman" w:hAnsi="Times New Roman"/>
        <w:b w:val="0"/>
        <w:w w:val="100"/>
        <w:sz w:val="22"/>
      </w:rPr>
    </w:lvl>
    <w:lvl w:ilvl="1">
      <w:numFmt w:val="bullet"/>
      <w:lvlText w:val="•"/>
      <w:lvlJc w:val="left"/>
      <w:pPr>
        <w:ind w:left="1642" w:hanging="567"/>
      </w:pPr>
    </w:lvl>
    <w:lvl w:ilvl="2">
      <w:numFmt w:val="bullet"/>
      <w:lvlText w:val="•"/>
      <w:lvlJc w:val="left"/>
      <w:pPr>
        <w:ind w:left="2604" w:hanging="567"/>
      </w:pPr>
    </w:lvl>
    <w:lvl w:ilvl="3">
      <w:numFmt w:val="bullet"/>
      <w:lvlText w:val="•"/>
      <w:lvlJc w:val="left"/>
      <w:pPr>
        <w:ind w:left="3566" w:hanging="567"/>
      </w:pPr>
    </w:lvl>
    <w:lvl w:ilvl="4">
      <w:numFmt w:val="bullet"/>
      <w:lvlText w:val="•"/>
      <w:lvlJc w:val="left"/>
      <w:pPr>
        <w:ind w:left="4528" w:hanging="567"/>
      </w:pPr>
    </w:lvl>
    <w:lvl w:ilvl="5">
      <w:numFmt w:val="bullet"/>
      <w:lvlText w:val="•"/>
      <w:lvlJc w:val="left"/>
      <w:pPr>
        <w:ind w:left="5490" w:hanging="567"/>
      </w:pPr>
    </w:lvl>
    <w:lvl w:ilvl="6">
      <w:numFmt w:val="bullet"/>
      <w:lvlText w:val="•"/>
      <w:lvlJc w:val="left"/>
      <w:pPr>
        <w:ind w:left="6452" w:hanging="567"/>
      </w:pPr>
    </w:lvl>
    <w:lvl w:ilvl="7">
      <w:numFmt w:val="bullet"/>
      <w:lvlText w:val="•"/>
      <w:lvlJc w:val="left"/>
      <w:pPr>
        <w:ind w:left="7414" w:hanging="567"/>
      </w:pPr>
    </w:lvl>
    <w:lvl w:ilvl="8">
      <w:numFmt w:val="bullet"/>
      <w:lvlText w:val="•"/>
      <w:lvlJc w:val="left"/>
      <w:pPr>
        <w:ind w:left="8376" w:hanging="567"/>
      </w:pPr>
    </w:lvl>
  </w:abstractNum>
  <w:abstractNum w:abstractNumId="1" w15:restartNumberingAfterBreak="0">
    <w:nsid w:val="03E2133E"/>
    <w:multiLevelType w:val="hybridMultilevel"/>
    <w:tmpl w:val="0E80A67A"/>
    <w:lvl w:ilvl="0" w:tplc="77F68998">
      <w:start w:val="1"/>
      <w:numFmt w:val="bullet"/>
      <w:lvlText w:val=""/>
      <w:lvlJc w:val="left"/>
      <w:pPr>
        <w:ind w:left="1080" w:hanging="360"/>
      </w:pPr>
      <w:rPr>
        <w:rFonts w:ascii="Symbol" w:hAnsi="Symbol" w:hint="default"/>
      </w:rPr>
    </w:lvl>
    <w:lvl w:ilvl="1" w:tplc="304054EE">
      <w:start w:val="1"/>
      <w:numFmt w:val="bullet"/>
      <w:lvlText w:val="o"/>
      <w:lvlJc w:val="left"/>
      <w:pPr>
        <w:ind w:left="1800" w:hanging="360"/>
      </w:pPr>
      <w:rPr>
        <w:rFonts w:ascii="Courier New" w:hAnsi="Courier New" w:cs="Times New Roman" w:hint="default"/>
      </w:rPr>
    </w:lvl>
    <w:lvl w:ilvl="2" w:tplc="9C5AD600">
      <w:start w:val="1"/>
      <w:numFmt w:val="bullet"/>
      <w:lvlText w:val=""/>
      <w:lvlJc w:val="left"/>
      <w:pPr>
        <w:ind w:left="2520" w:hanging="360"/>
      </w:pPr>
      <w:rPr>
        <w:rFonts w:ascii="Wingdings" w:hAnsi="Wingdings" w:hint="default"/>
      </w:rPr>
    </w:lvl>
    <w:lvl w:ilvl="3" w:tplc="6528258A">
      <w:start w:val="1"/>
      <w:numFmt w:val="bullet"/>
      <w:lvlText w:val=""/>
      <w:lvlJc w:val="left"/>
      <w:pPr>
        <w:ind w:left="3240" w:hanging="360"/>
      </w:pPr>
      <w:rPr>
        <w:rFonts w:ascii="Symbol" w:hAnsi="Symbol" w:hint="default"/>
      </w:rPr>
    </w:lvl>
    <w:lvl w:ilvl="4" w:tplc="9C027242">
      <w:start w:val="1"/>
      <w:numFmt w:val="bullet"/>
      <w:lvlText w:val="o"/>
      <w:lvlJc w:val="left"/>
      <w:pPr>
        <w:ind w:left="3960" w:hanging="360"/>
      </w:pPr>
      <w:rPr>
        <w:rFonts w:ascii="Courier New" w:hAnsi="Courier New" w:cs="Times New Roman" w:hint="default"/>
      </w:rPr>
    </w:lvl>
    <w:lvl w:ilvl="5" w:tplc="F1BA08C0">
      <w:start w:val="1"/>
      <w:numFmt w:val="bullet"/>
      <w:lvlText w:val=""/>
      <w:lvlJc w:val="left"/>
      <w:pPr>
        <w:ind w:left="4680" w:hanging="360"/>
      </w:pPr>
      <w:rPr>
        <w:rFonts w:ascii="Wingdings" w:hAnsi="Wingdings" w:hint="default"/>
      </w:rPr>
    </w:lvl>
    <w:lvl w:ilvl="6" w:tplc="24DA0C04">
      <w:start w:val="1"/>
      <w:numFmt w:val="bullet"/>
      <w:lvlText w:val=""/>
      <w:lvlJc w:val="left"/>
      <w:pPr>
        <w:ind w:left="5400" w:hanging="360"/>
      </w:pPr>
      <w:rPr>
        <w:rFonts w:ascii="Symbol" w:hAnsi="Symbol" w:hint="default"/>
      </w:rPr>
    </w:lvl>
    <w:lvl w:ilvl="7" w:tplc="44283494">
      <w:start w:val="1"/>
      <w:numFmt w:val="bullet"/>
      <w:lvlText w:val="o"/>
      <w:lvlJc w:val="left"/>
      <w:pPr>
        <w:ind w:left="6120" w:hanging="360"/>
      </w:pPr>
      <w:rPr>
        <w:rFonts w:ascii="Courier New" w:hAnsi="Courier New" w:cs="Times New Roman" w:hint="default"/>
      </w:rPr>
    </w:lvl>
    <w:lvl w:ilvl="8" w:tplc="94342E1A">
      <w:start w:val="1"/>
      <w:numFmt w:val="bullet"/>
      <w:lvlText w:val=""/>
      <w:lvlJc w:val="left"/>
      <w:pPr>
        <w:ind w:left="684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CE"/>
    <w:rsid w:val="000259B9"/>
    <w:rsid w:val="00041491"/>
    <w:rsid w:val="00050D16"/>
    <w:rsid w:val="000730CA"/>
    <w:rsid w:val="00074F2A"/>
    <w:rsid w:val="000A1CA8"/>
    <w:rsid w:val="000A466B"/>
    <w:rsid w:val="000B058C"/>
    <w:rsid w:val="000D68B0"/>
    <w:rsid w:val="000E4EE6"/>
    <w:rsid w:val="00143CD9"/>
    <w:rsid w:val="001454E2"/>
    <w:rsid w:val="001D577B"/>
    <w:rsid w:val="00206CE8"/>
    <w:rsid w:val="0021526C"/>
    <w:rsid w:val="002456B5"/>
    <w:rsid w:val="00283A2B"/>
    <w:rsid w:val="002A7A56"/>
    <w:rsid w:val="002B30AD"/>
    <w:rsid w:val="002C1EC0"/>
    <w:rsid w:val="002C2C01"/>
    <w:rsid w:val="003A29AE"/>
    <w:rsid w:val="003A32D7"/>
    <w:rsid w:val="003B4074"/>
    <w:rsid w:val="003C769A"/>
    <w:rsid w:val="003D3A90"/>
    <w:rsid w:val="003F1838"/>
    <w:rsid w:val="004251C1"/>
    <w:rsid w:val="0045746C"/>
    <w:rsid w:val="00473E08"/>
    <w:rsid w:val="0049104B"/>
    <w:rsid w:val="004E3B12"/>
    <w:rsid w:val="00532310"/>
    <w:rsid w:val="00565F0F"/>
    <w:rsid w:val="00594A86"/>
    <w:rsid w:val="00596D86"/>
    <w:rsid w:val="005A7EC1"/>
    <w:rsid w:val="00625DCE"/>
    <w:rsid w:val="00637F5A"/>
    <w:rsid w:val="00641C65"/>
    <w:rsid w:val="0064499F"/>
    <w:rsid w:val="006560B1"/>
    <w:rsid w:val="006756DD"/>
    <w:rsid w:val="0071241E"/>
    <w:rsid w:val="00737275"/>
    <w:rsid w:val="00740EEC"/>
    <w:rsid w:val="00743471"/>
    <w:rsid w:val="0078011A"/>
    <w:rsid w:val="00782AF4"/>
    <w:rsid w:val="00790EE7"/>
    <w:rsid w:val="007A46DE"/>
    <w:rsid w:val="007B6649"/>
    <w:rsid w:val="007F1270"/>
    <w:rsid w:val="00805C6E"/>
    <w:rsid w:val="0082576E"/>
    <w:rsid w:val="00875CC6"/>
    <w:rsid w:val="00883673"/>
    <w:rsid w:val="0089346F"/>
    <w:rsid w:val="00907F75"/>
    <w:rsid w:val="009260DE"/>
    <w:rsid w:val="0093258A"/>
    <w:rsid w:val="0095051D"/>
    <w:rsid w:val="009C7BA3"/>
    <w:rsid w:val="009D1F5A"/>
    <w:rsid w:val="009F35DF"/>
    <w:rsid w:val="00A10294"/>
    <w:rsid w:val="00B003BF"/>
    <w:rsid w:val="00B03402"/>
    <w:rsid w:val="00B049F6"/>
    <w:rsid w:val="00B35623"/>
    <w:rsid w:val="00B373D7"/>
    <w:rsid w:val="00B55271"/>
    <w:rsid w:val="00B6210E"/>
    <w:rsid w:val="00BD7931"/>
    <w:rsid w:val="00BE1776"/>
    <w:rsid w:val="00BF6243"/>
    <w:rsid w:val="00C36276"/>
    <w:rsid w:val="00C42586"/>
    <w:rsid w:val="00C45F6B"/>
    <w:rsid w:val="00C60CCD"/>
    <w:rsid w:val="00C84483"/>
    <w:rsid w:val="00C95551"/>
    <w:rsid w:val="00CB20D7"/>
    <w:rsid w:val="00D020B0"/>
    <w:rsid w:val="00D11748"/>
    <w:rsid w:val="00D14BFC"/>
    <w:rsid w:val="00D237F6"/>
    <w:rsid w:val="00D34D98"/>
    <w:rsid w:val="00D366CF"/>
    <w:rsid w:val="00D84248"/>
    <w:rsid w:val="00D90023"/>
    <w:rsid w:val="00D93992"/>
    <w:rsid w:val="00D96F42"/>
    <w:rsid w:val="00DD6378"/>
    <w:rsid w:val="00E108AA"/>
    <w:rsid w:val="00E3749A"/>
    <w:rsid w:val="00E7437F"/>
    <w:rsid w:val="00E865B8"/>
    <w:rsid w:val="00E86AC0"/>
    <w:rsid w:val="00EC0B9B"/>
    <w:rsid w:val="00ED5E9F"/>
    <w:rsid w:val="00EF1D81"/>
    <w:rsid w:val="00F132B9"/>
    <w:rsid w:val="00F66D4F"/>
    <w:rsid w:val="00FA1F6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631F3"/>
  <w15:chartTrackingRefBased/>
  <w15:docId w15:val="{41FD911A-778E-4001-A599-8BB82B46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1D577B"/>
    <w:pPr>
      <w:widowControl w:val="0"/>
      <w:autoSpaceDE w:val="0"/>
      <w:autoSpaceDN w:val="0"/>
      <w:adjustRightInd w:val="0"/>
    </w:pPr>
    <w:rPr>
      <w:rFonts w:eastAsiaTheme="minorEastAsia"/>
      <w:sz w:val="22"/>
      <w:szCs w:val="22"/>
      <w:lang w:val="en-IN" w:eastAsia="en-IN"/>
    </w:rPr>
  </w:style>
  <w:style w:type="character" w:customStyle="1" w:styleId="BrdtekstTegn">
    <w:name w:val="Brødtekst Tegn"/>
    <w:basedOn w:val="Standardskrifttypeiafsnit"/>
    <w:link w:val="Brdtekst"/>
    <w:uiPriority w:val="1"/>
    <w:rsid w:val="001D577B"/>
    <w:rPr>
      <w:rFonts w:eastAsiaTheme="minorEastAsia"/>
      <w:sz w:val="22"/>
      <w:szCs w:val="22"/>
      <w:lang w:val="en-IN" w:eastAsia="en-IN"/>
    </w:rPr>
  </w:style>
  <w:style w:type="paragraph" w:customStyle="1" w:styleId="TableParagraph">
    <w:name w:val="Table Paragraph"/>
    <w:basedOn w:val="Normal"/>
    <w:uiPriority w:val="1"/>
    <w:qFormat/>
    <w:rsid w:val="001D577B"/>
    <w:pPr>
      <w:widowControl w:val="0"/>
      <w:autoSpaceDE w:val="0"/>
      <w:autoSpaceDN w:val="0"/>
      <w:adjustRightInd w:val="0"/>
      <w:ind w:left="103"/>
    </w:pPr>
    <w:rPr>
      <w:rFonts w:eastAsiaTheme="minorEastAsia"/>
      <w:sz w:val="24"/>
      <w:szCs w:val="24"/>
      <w:lang w:val="en-IN" w:eastAsia="en-IN"/>
    </w:rPr>
  </w:style>
  <w:style w:type="character" w:styleId="Hyperlink">
    <w:name w:val="Hyperlink"/>
    <w:basedOn w:val="Standardskrifttypeiafsnit"/>
    <w:uiPriority w:val="99"/>
    <w:semiHidden/>
    <w:unhideWhenUsed/>
    <w:rsid w:val="00B35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466">
      <w:bodyDiv w:val="1"/>
      <w:marLeft w:val="0"/>
      <w:marRight w:val="0"/>
      <w:marTop w:val="0"/>
      <w:marBottom w:val="0"/>
      <w:divBdr>
        <w:top w:val="none" w:sz="0" w:space="0" w:color="auto"/>
        <w:left w:val="none" w:sz="0" w:space="0" w:color="auto"/>
        <w:bottom w:val="none" w:sz="0" w:space="0" w:color="auto"/>
        <w:right w:val="none" w:sz="0" w:space="0" w:color="auto"/>
      </w:divBdr>
    </w:div>
    <w:div w:id="83579170">
      <w:bodyDiv w:val="1"/>
      <w:marLeft w:val="0"/>
      <w:marRight w:val="0"/>
      <w:marTop w:val="0"/>
      <w:marBottom w:val="0"/>
      <w:divBdr>
        <w:top w:val="none" w:sz="0" w:space="0" w:color="auto"/>
        <w:left w:val="none" w:sz="0" w:space="0" w:color="auto"/>
        <w:bottom w:val="none" w:sz="0" w:space="0" w:color="auto"/>
        <w:right w:val="none" w:sz="0" w:space="0" w:color="auto"/>
      </w:divBdr>
    </w:div>
    <w:div w:id="107892291">
      <w:bodyDiv w:val="1"/>
      <w:marLeft w:val="0"/>
      <w:marRight w:val="0"/>
      <w:marTop w:val="0"/>
      <w:marBottom w:val="0"/>
      <w:divBdr>
        <w:top w:val="none" w:sz="0" w:space="0" w:color="auto"/>
        <w:left w:val="none" w:sz="0" w:space="0" w:color="auto"/>
        <w:bottom w:val="none" w:sz="0" w:space="0" w:color="auto"/>
        <w:right w:val="none" w:sz="0" w:space="0" w:color="auto"/>
      </w:divBdr>
    </w:div>
    <w:div w:id="110905356">
      <w:bodyDiv w:val="1"/>
      <w:marLeft w:val="0"/>
      <w:marRight w:val="0"/>
      <w:marTop w:val="0"/>
      <w:marBottom w:val="0"/>
      <w:divBdr>
        <w:top w:val="none" w:sz="0" w:space="0" w:color="auto"/>
        <w:left w:val="none" w:sz="0" w:space="0" w:color="auto"/>
        <w:bottom w:val="none" w:sz="0" w:space="0" w:color="auto"/>
        <w:right w:val="none" w:sz="0" w:space="0" w:color="auto"/>
      </w:divBdr>
    </w:div>
    <w:div w:id="1648327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374993">
      <w:bodyDiv w:val="1"/>
      <w:marLeft w:val="0"/>
      <w:marRight w:val="0"/>
      <w:marTop w:val="0"/>
      <w:marBottom w:val="0"/>
      <w:divBdr>
        <w:top w:val="none" w:sz="0" w:space="0" w:color="auto"/>
        <w:left w:val="none" w:sz="0" w:space="0" w:color="auto"/>
        <w:bottom w:val="none" w:sz="0" w:space="0" w:color="auto"/>
        <w:right w:val="none" w:sz="0" w:space="0" w:color="auto"/>
      </w:divBdr>
    </w:div>
    <w:div w:id="226766633">
      <w:bodyDiv w:val="1"/>
      <w:marLeft w:val="0"/>
      <w:marRight w:val="0"/>
      <w:marTop w:val="0"/>
      <w:marBottom w:val="0"/>
      <w:divBdr>
        <w:top w:val="none" w:sz="0" w:space="0" w:color="auto"/>
        <w:left w:val="none" w:sz="0" w:space="0" w:color="auto"/>
        <w:bottom w:val="none" w:sz="0" w:space="0" w:color="auto"/>
        <w:right w:val="none" w:sz="0" w:space="0" w:color="auto"/>
      </w:divBdr>
    </w:div>
    <w:div w:id="239292775">
      <w:bodyDiv w:val="1"/>
      <w:marLeft w:val="0"/>
      <w:marRight w:val="0"/>
      <w:marTop w:val="0"/>
      <w:marBottom w:val="0"/>
      <w:divBdr>
        <w:top w:val="none" w:sz="0" w:space="0" w:color="auto"/>
        <w:left w:val="none" w:sz="0" w:space="0" w:color="auto"/>
        <w:bottom w:val="none" w:sz="0" w:space="0" w:color="auto"/>
        <w:right w:val="none" w:sz="0" w:space="0" w:color="auto"/>
      </w:divBdr>
    </w:div>
    <w:div w:id="265697493">
      <w:bodyDiv w:val="1"/>
      <w:marLeft w:val="0"/>
      <w:marRight w:val="0"/>
      <w:marTop w:val="0"/>
      <w:marBottom w:val="0"/>
      <w:divBdr>
        <w:top w:val="none" w:sz="0" w:space="0" w:color="auto"/>
        <w:left w:val="none" w:sz="0" w:space="0" w:color="auto"/>
        <w:bottom w:val="none" w:sz="0" w:space="0" w:color="auto"/>
        <w:right w:val="none" w:sz="0" w:space="0" w:color="auto"/>
      </w:divBdr>
    </w:div>
    <w:div w:id="268318778">
      <w:bodyDiv w:val="1"/>
      <w:marLeft w:val="0"/>
      <w:marRight w:val="0"/>
      <w:marTop w:val="0"/>
      <w:marBottom w:val="0"/>
      <w:divBdr>
        <w:top w:val="none" w:sz="0" w:space="0" w:color="auto"/>
        <w:left w:val="none" w:sz="0" w:space="0" w:color="auto"/>
        <w:bottom w:val="none" w:sz="0" w:space="0" w:color="auto"/>
        <w:right w:val="none" w:sz="0" w:space="0" w:color="auto"/>
      </w:divBdr>
    </w:div>
    <w:div w:id="333387939">
      <w:bodyDiv w:val="1"/>
      <w:marLeft w:val="0"/>
      <w:marRight w:val="0"/>
      <w:marTop w:val="0"/>
      <w:marBottom w:val="0"/>
      <w:divBdr>
        <w:top w:val="none" w:sz="0" w:space="0" w:color="auto"/>
        <w:left w:val="none" w:sz="0" w:space="0" w:color="auto"/>
        <w:bottom w:val="none" w:sz="0" w:space="0" w:color="auto"/>
        <w:right w:val="none" w:sz="0" w:space="0" w:color="auto"/>
      </w:divBdr>
    </w:div>
    <w:div w:id="461535006">
      <w:bodyDiv w:val="1"/>
      <w:marLeft w:val="0"/>
      <w:marRight w:val="0"/>
      <w:marTop w:val="0"/>
      <w:marBottom w:val="0"/>
      <w:divBdr>
        <w:top w:val="none" w:sz="0" w:space="0" w:color="auto"/>
        <w:left w:val="none" w:sz="0" w:space="0" w:color="auto"/>
        <w:bottom w:val="none" w:sz="0" w:space="0" w:color="auto"/>
        <w:right w:val="none" w:sz="0" w:space="0" w:color="auto"/>
      </w:divBdr>
    </w:div>
    <w:div w:id="521162529">
      <w:bodyDiv w:val="1"/>
      <w:marLeft w:val="0"/>
      <w:marRight w:val="0"/>
      <w:marTop w:val="0"/>
      <w:marBottom w:val="0"/>
      <w:divBdr>
        <w:top w:val="none" w:sz="0" w:space="0" w:color="auto"/>
        <w:left w:val="none" w:sz="0" w:space="0" w:color="auto"/>
        <w:bottom w:val="none" w:sz="0" w:space="0" w:color="auto"/>
        <w:right w:val="none" w:sz="0" w:space="0" w:color="auto"/>
      </w:divBdr>
    </w:div>
    <w:div w:id="541601305">
      <w:bodyDiv w:val="1"/>
      <w:marLeft w:val="0"/>
      <w:marRight w:val="0"/>
      <w:marTop w:val="0"/>
      <w:marBottom w:val="0"/>
      <w:divBdr>
        <w:top w:val="none" w:sz="0" w:space="0" w:color="auto"/>
        <w:left w:val="none" w:sz="0" w:space="0" w:color="auto"/>
        <w:bottom w:val="none" w:sz="0" w:space="0" w:color="auto"/>
        <w:right w:val="none" w:sz="0" w:space="0" w:color="auto"/>
      </w:divBdr>
    </w:div>
    <w:div w:id="594900004">
      <w:bodyDiv w:val="1"/>
      <w:marLeft w:val="0"/>
      <w:marRight w:val="0"/>
      <w:marTop w:val="0"/>
      <w:marBottom w:val="0"/>
      <w:divBdr>
        <w:top w:val="none" w:sz="0" w:space="0" w:color="auto"/>
        <w:left w:val="none" w:sz="0" w:space="0" w:color="auto"/>
        <w:bottom w:val="none" w:sz="0" w:space="0" w:color="auto"/>
        <w:right w:val="none" w:sz="0" w:space="0" w:color="auto"/>
      </w:divBdr>
    </w:div>
    <w:div w:id="639388697">
      <w:bodyDiv w:val="1"/>
      <w:marLeft w:val="0"/>
      <w:marRight w:val="0"/>
      <w:marTop w:val="0"/>
      <w:marBottom w:val="0"/>
      <w:divBdr>
        <w:top w:val="none" w:sz="0" w:space="0" w:color="auto"/>
        <w:left w:val="none" w:sz="0" w:space="0" w:color="auto"/>
        <w:bottom w:val="none" w:sz="0" w:space="0" w:color="auto"/>
        <w:right w:val="none" w:sz="0" w:space="0" w:color="auto"/>
      </w:divBdr>
    </w:div>
    <w:div w:id="701710216">
      <w:bodyDiv w:val="1"/>
      <w:marLeft w:val="0"/>
      <w:marRight w:val="0"/>
      <w:marTop w:val="0"/>
      <w:marBottom w:val="0"/>
      <w:divBdr>
        <w:top w:val="none" w:sz="0" w:space="0" w:color="auto"/>
        <w:left w:val="none" w:sz="0" w:space="0" w:color="auto"/>
        <w:bottom w:val="none" w:sz="0" w:space="0" w:color="auto"/>
        <w:right w:val="none" w:sz="0" w:space="0" w:color="auto"/>
      </w:divBdr>
    </w:div>
    <w:div w:id="775826186">
      <w:bodyDiv w:val="1"/>
      <w:marLeft w:val="0"/>
      <w:marRight w:val="0"/>
      <w:marTop w:val="0"/>
      <w:marBottom w:val="0"/>
      <w:divBdr>
        <w:top w:val="none" w:sz="0" w:space="0" w:color="auto"/>
        <w:left w:val="none" w:sz="0" w:space="0" w:color="auto"/>
        <w:bottom w:val="none" w:sz="0" w:space="0" w:color="auto"/>
        <w:right w:val="none" w:sz="0" w:space="0" w:color="auto"/>
      </w:divBdr>
    </w:div>
    <w:div w:id="792599174">
      <w:bodyDiv w:val="1"/>
      <w:marLeft w:val="0"/>
      <w:marRight w:val="0"/>
      <w:marTop w:val="0"/>
      <w:marBottom w:val="0"/>
      <w:divBdr>
        <w:top w:val="none" w:sz="0" w:space="0" w:color="auto"/>
        <w:left w:val="none" w:sz="0" w:space="0" w:color="auto"/>
        <w:bottom w:val="none" w:sz="0" w:space="0" w:color="auto"/>
        <w:right w:val="none" w:sz="0" w:space="0" w:color="auto"/>
      </w:divBdr>
    </w:div>
    <w:div w:id="807363486">
      <w:bodyDiv w:val="1"/>
      <w:marLeft w:val="0"/>
      <w:marRight w:val="0"/>
      <w:marTop w:val="0"/>
      <w:marBottom w:val="0"/>
      <w:divBdr>
        <w:top w:val="none" w:sz="0" w:space="0" w:color="auto"/>
        <w:left w:val="none" w:sz="0" w:space="0" w:color="auto"/>
        <w:bottom w:val="none" w:sz="0" w:space="0" w:color="auto"/>
        <w:right w:val="none" w:sz="0" w:space="0" w:color="auto"/>
      </w:divBdr>
    </w:div>
    <w:div w:id="904074780">
      <w:bodyDiv w:val="1"/>
      <w:marLeft w:val="0"/>
      <w:marRight w:val="0"/>
      <w:marTop w:val="0"/>
      <w:marBottom w:val="0"/>
      <w:divBdr>
        <w:top w:val="none" w:sz="0" w:space="0" w:color="auto"/>
        <w:left w:val="none" w:sz="0" w:space="0" w:color="auto"/>
        <w:bottom w:val="none" w:sz="0" w:space="0" w:color="auto"/>
        <w:right w:val="none" w:sz="0" w:space="0" w:color="auto"/>
      </w:divBdr>
    </w:div>
    <w:div w:id="962418399">
      <w:bodyDiv w:val="1"/>
      <w:marLeft w:val="0"/>
      <w:marRight w:val="0"/>
      <w:marTop w:val="0"/>
      <w:marBottom w:val="0"/>
      <w:divBdr>
        <w:top w:val="none" w:sz="0" w:space="0" w:color="auto"/>
        <w:left w:val="none" w:sz="0" w:space="0" w:color="auto"/>
        <w:bottom w:val="none" w:sz="0" w:space="0" w:color="auto"/>
        <w:right w:val="none" w:sz="0" w:space="0" w:color="auto"/>
      </w:divBdr>
    </w:div>
    <w:div w:id="973019759">
      <w:bodyDiv w:val="1"/>
      <w:marLeft w:val="0"/>
      <w:marRight w:val="0"/>
      <w:marTop w:val="0"/>
      <w:marBottom w:val="0"/>
      <w:divBdr>
        <w:top w:val="none" w:sz="0" w:space="0" w:color="auto"/>
        <w:left w:val="none" w:sz="0" w:space="0" w:color="auto"/>
        <w:bottom w:val="none" w:sz="0" w:space="0" w:color="auto"/>
        <w:right w:val="none" w:sz="0" w:space="0" w:color="auto"/>
      </w:divBdr>
    </w:div>
    <w:div w:id="1001617838">
      <w:bodyDiv w:val="1"/>
      <w:marLeft w:val="0"/>
      <w:marRight w:val="0"/>
      <w:marTop w:val="0"/>
      <w:marBottom w:val="0"/>
      <w:divBdr>
        <w:top w:val="none" w:sz="0" w:space="0" w:color="auto"/>
        <w:left w:val="none" w:sz="0" w:space="0" w:color="auto"/>
        <w:bottom w:val="none" w:sz="0" w:space="0" w:color="auto"/>
        <w:right w:val="none" w:sz="0" w:space="0" w:color="auto"/>
      </w:divBdr>
    </w:div>
    <w:div w:id="1010839289">
      <w:bodyDiv w:val="1"/>
      <w:marLeft w:val="0"/>
      <w:marRight w:val="0"/>
      <w:marTop w:val="0"/>
      <w:marBottom w:val="0"/>
      <w:divBdr>
        <w:top w:val="none" w:sz="0" w:space="0" w:color="auto"/>
        <w:left w:val="none" w:sz="0" w:space="0" w:color="auto"/>
        <w:bottom w:val="none" w:sz="0" w:space="0" w:color="auto"/>
        <w:right w:val="none" w:sz="0" w:space="0" w:color="auto"/>
      </w:divBdr>
    </w:div>
    <w:div w:id="1104619464">
      <w:bodyDiv w:val="1"/>
      <w:marLeft w:val="0"/>
      <w:marRight w:val="0"/>
      <w:marTop w:val="0"/>
      <w:marBottom w:val="0"/>
      <w:divBdr>
        <w:top w:val="none" w:sz="0" w:space="0" w:color="auto"/>
        <w:left w:val="none" w:sz="0" w:space="0" w:color="auto"/>
        <w:bottom w:val="none" w:sz="0" w:space="0" w:color="auto"/>
        <w:right w:val="none" w:sz="0" w:space="0" w:color="auto"/>
      </w:divBdr>
    </w:div>
    <w:div w:id="1161965826">
      <w:bodyDiv w:val="1"/>
      <w:marLeft w:val="0"/>
      <w:marRight w:val="0"/>
      <w:marTop w:val="0"/>
      <w:marBottom w:val="0"/>
      <w:divBdr>
        <w:top w:val="none" w:sz="0" w:space="0" w:color="auto"/>
        <w:left w:val="none" w:sz="0" w:space="0" w:color="auto"/>
        <w:bottom w:val="none" w:sz="0" w:space="0" w:color="auto"/>
        <w:right w:val="none" w:sz="0" w:space="0" w:color="auto"/>
      </w:divBdr>
    </w:div>
    <w:div w:id="1278413123">
      <w:bodyDiv w:val="1"/>
      <w:marLeft w:val="0"/>
      <w:marRight w:val="0"/>
      <w:marTop w:val="0"/>
      <w:marBottom w:val="0"/>
      <w:divBdr>
        <w:top w:val="none" w:sz="0" w:space="0" w:color="auto"/>
        <w:left w:val="none" w:sz="0" w:space="0" w:color="auto"/>
        <w:bottom w:val="none" w:sz="0" w:space="0" w:color="auto"/>
        <w:right w:val="none" w:sz="0" w:space="0" w:color="auto"/>
      </w:divBdr>
    </w:div>
    <w:div w:id="1308584522">
      <w:bodyDiv w:val="1"/>
      <w:marLeft w:val="0"/>
      <w:marRight w:val="0"/>
      <w:marTop w:val="0"/>
      <w:marBottom w:val="0"/>
      <w:divBdr>
        <w:top w:val="none" w:sz="0" w:space="0" w:color="auto"/>
        <w:left w:val="none" w:sz="0" w:space="0" w:color="auto"/>
        <w:bottom w:val="none" w:sz="0" w:space="0" w:color="auto"/>
        <w:right w:val="none" w:sz="0" w:space="0" w:color="auto"/>
      </w:divBdr>
    </w:div>
    <w:div w:id="1343630653">
      <w:bodyDiv w:val="1"/>
      <w:marLeft w:val="0"/>
      <w:marRight w:val="0"/>
      <w:marTop w:val="0"/>
      <w:marBottom w:val="0"/>
      <w:divBdr>
        <w:top w:val="none" w:sz="0" w:space="0" w:color="auto"/>
        <w:left w:val="none" w:sz="0" w:space="0" w:color="auto"/>
        <w:bottom w:val="none" w:sz="0" w:space="0" w:color="auto"/>
        <w:right w:val="none" w:sz="0" w:space="0" w:color="auto"/>
      </w:divBdr>
    </w:div>
    <w:div w:id="1367758765">
      <w:bodyDiv w:val="1"/>
      <w:marLeft w:val="0"/>
      <w:marRight w:val="0"/>
      <w:marTop w:val="0"/>
      <w:marBottom w:val="0"/>
      <w:divBdr>
        <w:top w:val="none" w:sz="0" w:space="0" w:color="auto"/>
        <w:left w:val="none" w:sz="0" w:space="0" w:color="auto"/>
        <w:bottom w:val="none" w:sz="0" w:space="0" w:color="auto"/>
        <w:right w:val="none" w:sz="0" w:space="0" w:color="auto"/>
      </w:divBdr>
    </w:div>
    <w:div w:id="1665670347">
      <w:bodyDiv w:val="1"/>
      <w:marLeft w:val="0"/>
      <w:marRight w:val="0"/>
      <w:marTop w:val="0"/>
      <w:marBottom w:val="0"/>
      <w:divBdr>
        <w:top w:val="none" w:sz="0" w:space="0" w:color="auto"/>
        <w:left w:val="none" w:sz="0" w:space="0" w:color="auto"/>
        <w:bottom w:val="none" w:sz="0" w:space="0" w:color="auto"/>
        <w:right w:val="none" w:sz="0" w:space="0" w:color="auto"/>
      </w:divBdr>
    </w:div>
    <w:div w:id="1710569369">
      <w:bodyDiv w:val="1"/>
      <w:marLeft w:val="0"/>
      <w:marRight w:val="0"/>
      <w:marTop w:val="0"/>
      <w:marBottom w:val="0"/>
      <w:divBdr>
        <w:top w:val="none" w:sz="0" w:space="0" w:color="auto"/>
        <w:left w:val="none" w:sz="0" w:space="0" w:color="auto"/>
        <w:bottom w:val="none" w:sz="0" w:space="0" w:color="auto"/>
        <w:right w:val="none" w:sz="0" w:space="0" w:color="auto"/>
      </w:divBdr>
    </w:div>
    <w:div w:id="1722482751">
      <w:bodyDiv w:val="1"/>
      <w:marLeft w:val="0"/>
      <w:marRight w:val="0"/>
      <w:marTop w:val="0"/>
      <w:marBottom w:val="0"/>
      <w:divBdr>
        <w:top w:val="none" w:sz="0" w:space="0" w:color="auto"/>
        <w:left w:val="none" w:sz="0" w:space="0" w:color="auto"/>
        <w:bottom w:val="none" w:sz="0" w:space="0" w:color="auto"/>
        <w:right w:val="none" w:sz="0" w:space="0" w:color="auto"/>
      </w:divBdr>
    </w:div>
    <w:div w:id="1728606900">
      <w:bodyDiv w:val="1"/>
      <w:marLeft w:val="0"/>
      <w:marRight w:val="0"/>
      <w:marTop w:val="0"/>
      <w:marBottom w:val="0"/>
      <w:divBdr>
        <w:top w:val="none" w:sz="0" w:space="0" w:color="auto"/>
        <w:left w:val="none" w:sz="0" w:space="0" w:color="auto"/>
        <w:bottom w:val="none" w:sz="0" w:space="0" w:color="auto"/>
        <w:right w:val="none" w:sz="0" w:space="0" w:color="auto"/>
      </w:divBdr>
    </w:div>
    <w:div w:id="1781224105">
      <w:bodyDiv w:val="1"/>
      <w:marLeft w:val="0"/>
      <w:marRight w:val="0"/>
      <w:marTop w:val="0"/>
      <w:marBottom w:val="0"/>
      <w:divBdr>
        <w:top w:val="none" w:sz="0" w:space="0" w:color="auto"/>
        <w:left w:val="none" w:sz="0" w:space="0" w:color="auto"/>
        <w:bottom w:val="none" w:sz="0" w:space="0" w:color="auto"/>
        <w:right w:val="none" w:sz="0" w:space="0" w:color="auto"/>
      </w:divBdr>
    </w:div>
    <w:div w:id="1801223672">
      <w:bodyDiv w:val="1"/>
      <w:marLeft w:val="0"/>
      <w:marRight w:val="0"/>
      <w:marTop w:val="0"/>
      <w:marBottom w:val="0"/>
      <w:divBdr>
        <w:top w:val="none" w:sz="0" w:space="0" w:color="auto"/>
        <w:left w:val="none" w:sz="0" w:space="0" w:color="auto"/>
        <w:bottom w:val="none" w:sz="0" w:space="0" w:color="auto"/>
        <w:right w:val="none" w:sz="0" w:space="0" w:color="auto"/>
      </w:divBdr>
    </w:div>
    <w:div w:id="1836725776">
      <w:bodyDiv w:val="1"/>
      <w:marLeft w:val="0"/>
      <w:marRight w:val="0"/>
      <w:marTop w:val="0"/>
      <w:marBottom w:val="0"/>
      <w:divBdr>
        <w:top w:val="none" w:sz="0" w:space="0" w:color="auto"/>
        <w:left w:val="none" w:sz="0" w:space="0" w:color="auto"/>
        <w:bottom w:val="none" w:sz="0" w:space="0" w:color="auto"/>
        <w:right w:val="none" w:sz="0" w:space="0" w:color="auto"/>
      </w:divBdr>
    </w:div>
    <w:div w:id="1964072724">
      <w:bodyDiv w:val="1"/>
      <w:marLeft w:val="0"/>
      <w:marRight w:val="0"/>
      <w:marTop w:val="0"/>
      <w:marBottom w:val="0"/>
      <w:divBdr>
        <w:top w:val="none" w:sz="0" w:space="0" w:color="auto"/>
        <w:left w:val="none" w:sz="0" w:space="0" w:color="auto"/>
        <w:bottom w:val="none" w:sz="0" w:space="0" w:color="auto"/>
        <w:right w:val="none" w:sz="0" w:space="0" w:color="auto"/>
      </w:divBdr>
    </w:div>
    <w:div w:id="1966960094">
      <w:bodyDiv w:val="1"/>
      <w:marLeft w:val="0"/>
      <w:marRight w:val="0"/>
      <w:marTop w:val="0"/>
      <w:marBottom w:val="0"/>
      <w:divBdr>
        <w:top w:val="none" w:sz="0" w:space="0" w:color="auto"/>
        <w:left w:val="none" w:sz="0" w:space="0" w:color="auto"/>
        <w:bottom w:val="none" w:sz="0" w:space="0" w:color="auto"/>
        <w:right w:val="none" w:sz="0" w:space="0" w:color="auto"/>
      </w:divBdr>
    </w:div>
    <w:div w:id="21343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15</Pages>
  <Words>4236</Words>
  <Characters>27414</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22023091085_x000d_
Rettelser: 4.1, 4.2, 4.8, 6.3, 6.5</dc:description>
  <cp:lastModifiedBy>Gitte Ronnovius</cp:lastModifiedBy>
  <cp:revision>3</cp:revision>
  <cp:lastPrinted>2012-08-22T08:53:00Z</cp:lastPrinted>
  <dcterms:created xsi:type="dcterms:W3CDTF">2024-06-14T08:00:00Z</dcterms:created>
  <dcterms:modified xsi:type="dcterms:W3CDTF">2024-06-14T08:07:00Z</dcterms:modified>
</cp:coreProperties>
</file>