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0CAA" w14:textId="77777777" w:rsidR="004A3BF4" w:rsidRPr="00207790" w:rsidRDefault="00056601" w:rsidP="004A3BF4">
      <w:pPr>
        <w:rPr>
          <w:sz w:val="24"/>
          <w:szCs w:val="24"/>
          <w:lang w:val="en-GB"/>
        </w:rPr>
      </w:pPr>
      <w:r w:rsidRPr="00207790">
        <w:rPr>
          <w:noProof/>
          <w:sz w:val="24"/>
          <w:szCs w:val="24"/>
          <w:lang w:val="en-GB"/>
        </w:rPr>
        <w:drawing>
          <wp:inline distT="0" distB="0" distL="0" distR="0" wp14:anchorId="2485A658" wp14:editId="364B475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CAA9AC4" w14:textId="77777777" w:rsidR="006B3847" w:rsidRPr="00207790" w:rsidRDefault="006B3847" w:rsidP="006B3847">
      <w:pPr>
        <w:rPr>
          <w:sz w:val="24"/>
          <w:szCs w:val="24"/>
          <w:lang w:val="en-GB"/>
        </w:rPr>
      </w:pPr>
    </w:p>
    <w:p w14:paraId="48003635" w14:textId="55F9ACA7" w:rsidR="006B3847" w:rsidRPr="00207790" w:rsidRDefault="006B3847" w:rsidP="006B3847">
      <w:pPr>
        <w:tabs>
          <w:tab w:val="right" w:pos="9356"/>
        </w:tabs>
        <w:rPr>
          <w:b/>
          <w:sz w:val="24"/>
          <w:szCs w:val="24"/>
          <w:lang w:val="en-GB"/>
        </w:rPr>
      </w:pPr>
      <w:r w:rsidRPr="00207790">
        <w:rPr>
          <w:b/>
          <w:sz w:val="24"/>
          <w:szCs w:val="24"/>
          <w:lang w:val="en-GB"/>
        </w:rPr>
        <w:tab/>
      </w:r>
      <w:r w:rsidR="009D188A">
        <w:rPr>
          <w:b/>
          <w:sz w:val="24"/>
          <w:szCs w:val="24"/>
          <w:lang w:val="en-GB"/>
        </w:rPr>
        <w:t>4</w:t>
      </w:r>
      <w:r w:rsidR="00D7627E" w:rsidRPr="00207790">
        <w:rPr>
          <w:b/>
          <w:sz w:val="24"/>
          <w:szCs w:val="24"/>
          <w:lang w:val="en-GB"/>
        </w:rPr>
        <w:t xml:space="preserve"> </w:t>
      </w:r>
      <w:r w:rsidR="009D188A">
        <w:rPr>
          <w:b/>
          <w:sz w:val="24"/>
          <w:szCs w:val="24"/>
          <w:lang w:val="en-GB"/>
        </w:rPr>
        <w:t>July</w:t>
      </w:r>
      <w:r w:rsidR="00D7627E" w:rsidRPr="00207790">
        <w:rPr>
          <w:b/>
          <w:sz w:val="24"/>
          <w:szCs w:val="24"/>
          <w:lang w:val="en-GB"/>
        </w:rPr>
        <w:t xml:space="preserve"> 202</w:t>
      </w:r>
      <w:r w:rsidR="009D188A">
        <w:rPr>
          <w:b/>
          <w:sz w:val="24"/>
          <w:szCs w:val="24"/>
          <w:lang w:val="en-GB"/>
        </w:rPr>
        <w:t>3</w:t>
      </w:r>
    </w:p>
    <w:p w14:paraId="4B2C7A67" w14:textId="1D3BE609" w:rsidR="006B3847" w:rsidRPr="00207790" w:rsidRDefault="006B3847" w:rsidP="006B3847">
      <w:pPr>
        <w:rPr>
          <w:sz w:val="24"/>
          <w:szCs w:val="24"/>
          <w:lang w:val="en-GB"/>
        </w:rPr>
      </w:pPr>
    </w:p>
    <w:p w14:paraId="04609185" w14:textId="77777777" w:rsidR="007C5D2A" w:rsidRPr="00207790" w:rsidRDefault="007C5D2A" w:rsidP="007C5D2A">
      <w:pPr>
        <w:rPr>
          <w:sz w:val="24"/>
          <w:szCs w:val="24"/>
          <w:lang w:val="en-GB"/>
        </w:rPr>
      </w:pPr>
    </w:p>
    <w:p w14:paraId="07BB5577" w14:textId="77777777" w:rsidR="007C5D2A" w:rsidRPr="00207790" w:rsidRDefault="007C5D2A" w:rsidP="007C5D2A">
      <w:pPr>
        <w:rPr>
          <w:sz w:val="24"/>
          <w:szCs w:val="24"/>
          <w:lang w:val="en-GB"/>
        </w:rPr>
      </w:pPr>
    </w:p>
    <w:p w14:paraId="38CA67E9" w14:textId="77777777" w:rsidR="007C5D2A" w:rsidRPr="00207790" w:rsidRDefault="007C5D2A" w:rsidP="007C5D2A">
      <w:pPr>
        <w:jc w:val="center"/>
        <w:rPr>
          <w:b/>
          <w:sz w:val="24"/>
          <w:szCs w:val="24"/>
          <w:lang w:val="en-GB"/>
        </w:rPr>
      </w:pPr>
      <w:bookmarkStart w:id="0" w:name="_Hlk49158549"/>
      <w:r w:rsidRPr="00207790">
        <w:rPr>
          <w:b/>
          <w:sz w:val="24"/>
          <w:szCs w:val="24"/>
          <w:lang w:val="en-GB"/>
        </w:rPr>
        <w:t>SUMMARY OF PRODUCT CHARACTERISTICS</w:t>
      </w:r>
    </w:p>
    <w:bookmarkEnd w:id="0"/>
    <w:p w14:paraId="48011988" w14:textId="77777777" w:rsidR="007C5D2A" w:rsidRPr="00207790" w:rsidRDefault="007C5D2A" w:rsidP="007C5D2A">
      <w:pPr>
        <w:jc w:val="center"/>
        <w:rPr>
          <w:sz w:val="24"/>
          <w:szCs w:val="24"/>
          <w:lang w:val="en-GB"/>
        </w:rPr>
      </w:pPr>
    </w:p>
    <w:p w14:paraId="6D3D3F9C" w14:textId="77777777" w:rsidR="007C5D2A" w:rsidRPr="00207790" w:rsidRDefault="007C5D2A" w:rsidP="007C5D2A">
      <w:pPr>
        <w:jc w:val="center"/>
        <w:rPr>
          <w:b/>
          <w:sz w:val="24"/>
          <w:szCs w:val="24"/>
          <w:lang w:val="en-GB"/>
        </w:rPr>
      </w:pPr>
      <w:r w:rsidRPr="00207790">
        <w:rPr>
          <w:b/>
          <w:sz w:val="24"/>
          <w:szCs w:val="24"/>
          <w:lang w:val="en-GB"/>
        </w:rPr>
        <w:t>for</w:t>
      </w:r>
    </w:p>
    <w:p w14:paraId="61BE2F44" w14:textId="77777777" w:rsidR="007C5D2A" w:rsidRPr="00207790" w:rsidRDefault="007C5D2A" w:rsidP="007C5D2A">
      <w:pPr>
        <w:jc w:val="center"/>
        <w:rPr>
          <w:sz w:val="24"/>
          <w:szCs w:val="24"/>
          <w:lang w:val="en-GB"/>
        </w:rPr>
      </w:pPr>
    </w:p>
    <w:p w14:paraId="58283D9C" w14:textId="15CE912F" w:rsidR="007C5D2A" w:rsidRPr="00207790" w:rsidRDefault="00D7627E" w:rsidP="007C5D2A">
      <w:pPr>
        <w:jc w:val="center"/>
        <w:rPr>
          <w:b/>
          <w:sz w:val="24"/>
          <w:szCs w:val="24"/>
          <w:lang w:val="en-GB"/>
        </w:rPr>
      </w:pPr>
      <w:proofErr w:type="spellStart"/>
      <w:r w:rsidRPr="00207790">
        <w:rPr>
          <w:b/>
          <w:sz w:val="24"/>
          <w:szCs w:val="24"/>
          <w:lang w:val="en-GB"/>
        </w:rPr>
        <w:t>Desloratadin</w:t>
      </w:r>
      <w:proofErr w:type="spellEnd"/>
      <w:r w:rsidRPr="00207790">
        <w:rPr>
          <w:b/>
          <w:sz w:val="24"/>
          <w:szCs w:val="24"/>
          <w:lang w:val="en-GB"/>
        </w:rPr>
        <w:t xml:space="preserve"> "</w:t>
      </w:r>
      <w:proofErr w:type="spellStart"/>
      <w:r w:rsidRPr="00207790">
        <w:rPr>
          <w:b/>
          <w:sz w:val="24"/>
          <w:szCs w:val="24"/>
          <w:lang w:val="en-GB"/>
        </w:rPr>
        <w:t>Gea</w:t>
      </w:r>
      <w:proofErr w:type="spellEnd"/>
      <w:r w:rsidRPr="00207790">
        <w:rPr>
          <w:b/>
          <w:sz w:val="24"/>
          <w:szCs w:val="24"/>
          <w:lang w:val="en-GB"/>
        </w:rPr>
        <w:t>", oral solution</w:t>
      </w:r>
    </w:p>
    <w:p w14:paraId="1AD077D2" w14:textId="77777777" w:rsidR="007C5D2A" w:rsidRPr="00207790" w:rsidRDefault="007C5D2A" w:rsidP="007C5D2A">
      <w:pPr>
        <w:jc w:val="both"/>
        <w:rPr>
          <w:sz w:val="24"/>
          <w:szCs w:val="24"/>
          <w:lang w:val="en-GB"/>
        </w:rPr>
      </w:pPr>
    </w:p>
    <w:p w14:paraId="4A916737" w14:textId="77777777" w:rsidR="0042292D" w:rsidRPr="00207790" w:rsidRDefault="0042292D" w:rsidP="007C5D2A">
      <w:pPr>
        <w:jc w:val="both"/>
        <w:rPr>
          <w:sz w:val="24"/>
          <w:szCs w:val="24"/>
          <w:lang w:val="en-GB"/>
        </w:rPr>
      </w:pPr>
    </w:p>
    <w:p w14:paraId="47317E19" w14:textId="77777777" w:rsidR="008F2F8C" w:rsidRPr="00207790" w:rsidRDefault="008F2F8C" w:rsidP="008F2F8C">
      <w:pPr>
        <w:tabs>
          <w:tab w:val="left" w:pos="8222"/>
        </w:tabs>
        <w:ind w:left="851" w:hanging="851"/>
        <w:rPr>
          <w:b/>
          <w:sz w:val="24"/>
          <w:szCs w:val="24"/>
          <w:lang w:val="en-GB"/>
        </w:rPr>
      </w:pPr>
      <w:r w:rsidRPr="00207790">
        <w:rPr>
          <w:b/>
          <w:sz w:val="24"/>
          <w:szCs w:val="24"/>
          <w:lang w:val="en-GB"/>
        </w:rPr>
        <w:t>0.</w:t>
      </w:r>
      <w:r w:rsidRPr="00207790">
        <w:rPr>
          <w:b/>
          <w:sz w:val="24"/>
          <w:szCs w:val="24"/>
          <w:lang w:val="en-GB"/>
        </w:rPr>
        <w:tab/>
      </w:r>
      <w:proofErr w:type="gramStart"/>
      <w:r w:rsidRPr="00207790">
        <w:rPr>
          <w:b/>
          <w:sz w:val="24"/>
          <w:szCs w:val="24"/>
          <w:lang w:val="en-GB"/>
        </w:rPr>
        <w:t>D.SP.NO</w:t>
      </w:r>
      <w:proofErr w:type="gramEnd"/>
      <w:r w:rsidRPr="00207790">
        <w:rPr>
          <w:b/>
          <w:sz w:val="24"/>
          <w:szCs w:val="24"/>
          <w:lang w:val="en-GB"/>
        </w:rPr>
        <w:t>.</w:t>
      </w:r>
    </w:p>
    <w:p w14:paraId="7A53840A" w14:textId="77777777" w:rsidR="00D7627E" w:rsidRPr="00207790" w:rsidRDefault="00D7627E" w:rsidP="00D7627E">
      <w:pPr>
        <w:tabs>
          <w:tab w:val="left" w:pos="851"/>
        </w:tabs>
        <w:ind w:left="851"/>
        <w:rPr>
          <w:sz w:val="24"/>
          <w:szCs w:val="24"/>
          <w:lang w:val="en-US"/>
        </w:rPr>
      </w:pPr>
      <w:r w:rsidRPr="00207790">
        <w:rPr>
          <w:sz w:val="24"/>
          <w:szCs w:val="24"/>
          <w:lang w:val="en-US"/>
        </w:rPr>
        <w:t>31412</w:t>
      </w:r>
    </w:p>
    <w:p w14:paraId="5AA33EA5" w14:textId="77777777" w:rsidR="007C5D2A" w:rsidRPr="00207790" w:rsidRDefault="007C5D2A" w:rsidP="007C5D2A">
      <w:pPr>
        <w:tabs>
          <w:tab w:val="left" w:pos="851"/>
        </w:tabs>
        <w:jc w:val="both"/>
        <w:rPr>
          <w:sz w:val="24"/>
          <w:szCs w:val="24"/>
          <w:lang w:val="en-GB"/>
        </w:rPr>
      </w:pPr>
    </w:p>
    <w:p w14:paraId="43A71CED" w14:textId="77777777" w:rsidR="007C5D2A" w:rsidRPr="00207790" w:rsidRDefault="009925C9" w:rsidP="007C5D2A">
      <w:pPr>
        <w:tabs>
          <w:tab w:val="left" w:pos="851"/>
        </w:tabs>
        <w:ind w:left="851" w:hanging="851"/>
        <w:rPr>
          <w:sz w:val="24"/>
          <w:szCs w:val="24"/>
          <w:lang w:val="en-GB"/>
        </w:rPr>
      </w:pPr>
      <w:r w:rsidRPr="00207790">
        <w:rPr>
          <w:b/>
          <w:sz w:val="24"/>
          <w:szCs w:val="24"/>
          <w:lang w:val="en-GB"/>
        </w:rPr>
        <w:t>1.</w:t>
      </w:r>
      <w:r w:rsidR="007C5D2A" w:rsidRPr="00207790">
        <w:rPr>
          <w:b/>
          <w:sz w:val="24"/>
          <w:szCs w:val="24"/>
          <w:lang w:val="en-GB"/>
        </w:rPr>
        <w:tab/>
        <w:t>NAME OF THE MEDICINAL PRODUCT</w:t>
      </w:r>
    </w:p>
    <w:p w14:paraId="4FE56947" w14:textId="77777777" w:rsidR="00D7627E" w:rsidRPr="00207790" w:rsidRDefault="00D7627E" w:rsidP="00D7627E">
      <w:pPr>
        <w:tabs>
          <w:tab w:val="left" w:pos="851"/>
        </w:tabs>
        <w:ind w:left="851"/>
        <w:rPr>
          <w:sz w:val="24"/>
          <w:szCs w:val="24"/>
          <w:lang w:val="en-US"/>
        </w:rPr>
      </w:pPr>
      <w:proofErr w:type="spellStart"/>
      <w:r w:rsidRPr="00207790">
        <w:rPr>
          <w:sz w:val="24"/>
          <w:szCs w:val="24"/>
          <w:lang w:val="en-US"/>
        </w:rPr>
        <w:t>Desloratadin</w:t>
      </w:r>
      <w:proofErr w:type="spellEnd"/>
      <w:r w:rsidRPr="00207790">
        <w:rPr>
          <w:sz w:val="24"/>
          <w:szCs w:val="24"/>
          <w:lang w:val="en-US"/>
        </w:rPr>
        <w:t xml:space="preserve"> "</w:t>
      </w:r>
      <w:proofErr w:type="spellStart"/>
      <w:r w:rsidRPr="00207790">
        <w:rPr>
          <w:sz w:val="24"/>
          <w:szCs w:val="24"/>
          <w:lang w:val="en-US"/>
        </w:rPr>
        <w:t>Gea</w:t>
      </w:r>
      <w:proofErr w:type="spellEnd"/>
      <w:r w:rsidRPr="00207790">
        <w:rPr>
          <w:sz w:val="24"/>
          <w:szCs w:val="24"/>
          <w:lang w:val="en-US"/>
        </w:rPr>
        <w:t>"</w:t>
      </w:r>
    </w:p>
    <w:p w14:paraId="0DD5D251" w14:textId="77777777" w:rsidR="007C5D2A" w:rsidRPr="00207790" w:rsidRDefault="007C5D2A" w:rsidP="004A3BF4">
      <w:pPr>
        <w:tabs>
          <w:tab w:val="left" w:pos="851"/>
        </w:tabs>
        <w:ind w:left="851"/>
        <w:rPr>
          <w:sz w:val="24"/>
          <w:szCs w:val="24"/>
          <w:lang w:val="en-GB"/>
        </w:rPr>
      </w:pPr>
    </w:p>
    <w:p w14:paraId="5EF22519" w14:textId="77777777" w:rsidR="007C5D2A" w:rsidRPr="00207790" w:rsidRDefault="009925C9" w:rsidP="007C5D2A">
      <w:pPr>
        <w:ind w:left="851" w:hanging="851"/>
        <w:rPr>
          <w:b/>
          <w:sz w:val="24"/>
          <w:szCs w:val="24"/>
          <w:lang w:val="en-GB"/>
        </w:rPr>
      </w:pPr>
      <w:r w:rsidRPr="00207790">
        <w:rPr>
          <w:b/>
          <w:sz w:val="24"/>
          <w:szCs w:val="24"/>
          <w:lang w:val="en-GB"/>
        </w:rPr>
        <w:t>2.</w:t>
      </w:r>
      <w:r w:rsidR="007C5D2A" w:rsidRPr="00207790">
        <w:rPr>
          <w:b/>
          <w:sz w:val="24"/>
          <w:szCs w:val="24"/>
          <w:lang w:val="en-GB"/>
        </w:rPr>
        <w:tab/>
        <w:t>QUALITATIVE AND QUANTITATIVE COMPOSITION</w:t>
      </w:r>
    </w:p>
    <w:p w14:paraId="590507B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Each ml of oral solution contains 0.5 mg of desloratadine.</w:t>
      </w:r>
    </w:p>
    <w:p w14:paraId="31052031" w14:textId="77777777" w:rsidR="00D7627E" w:rsidRPr="00207790" w:rsidRDefault="00D7627E" w:rsidP="00FC14A8">
      <w:pPr>
        <w:autoSpaceDE w:val="0"/>
        <w:autoSpaceDN w:val="0"/>
        <w:adjustRightInd w:val="0"/>
        <w:ind w:left="851"/>
        <w:rPr>
          <w:color w:val="000000"/>
          <w:sz w:val="24"/>
          <w:szCs w:val="24"/>
          <w:lang w:val="en-US"/>
        </w:rPr>
      </w:pPr>
    </w:p>
    <w:p w14:paraId="2CB0BA30" w14:textId="77777777" w:rsidR="00D7627E" w:rsidRPr="00207790" w:rsidRDefault="00D7627E" w:rsidP="00FC14A8">
      <w:pPr>
        <w:autoSpaceDE w:val="0"/>
        <w:autoSpaceDN w:val="0"/>
        <w:adjustRightInd w:val="0"/>
        <w:ind w:left="851"/>
        <w:rPr>
          <w:sz w:val="24"/>
          <w:szCs w:val="24"/>
          <w:u w:val="single"/>
          <w:lang w:val="en-US"/>
        </w:rPr>
      </w:pPr>
      <w:r w:rsidRPr="00207790">
        <w:rPr>
          <w:sz w:val="24"/>
          <w:szCs w:val="24"/>
          <w:u w:val="single"/>
          <w:lang w:val="en-US"/>
        </w:rPr>
        <w:t>Excipients with known effect</w:t>
      </w:r>
    </w:p>
    <w:p w14:paraId="12E39ABB"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Each ml of oral solution contains up to 97.5 mg of sorbitol, 102.30 mg of propylene glycol and 0.167 mmol (3.85 mg) of sodium.</w:t>
      </w:r>
    </w:p>
    <w:p w14:paraId="40B3C2DD" w14:textId="77777777" w:rsidR="00D7627E" w:rsidRPr="00207790" w:rsidRDefault="00D7627E" w:rsidP="00FC14A8">
      <w:pPr>
        <w:autoSpaceDE w:val="0"/>
        <w:autoSpaceDN w:val="0"/>
        <w:adjustRightInd w:val="0"/>
        <w:ind w:left="851"/>
        <w:rPr>
          <w:color w:val="000000"/>
          <w:sz w:val="24"/>
          <w:szCs w:val="24"/>
          <w:lang w:val="en-US"/>
        </w:rPr>
      </w:pPr>
    </w:p>
    <w:p w14:paraId="4B476456"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For the full list of excipients, see section 6.1.</w:t>
      </w:r>
    </w:p>
    <w:p w14:paraId="52FB171F" w14:textId="77777777" w:rsidR="007C5D2A" w:rsidRPr="00207790" w:rsidRDefault="007C5D2A" w:rsidP="004A3BF4">
      <w:pPr>
        <w:tabs>
          <w:tab w:val="left" w:pos="851"/>
        </w:tabs>
        <w:ind w:left="851"/>
        <w:rPr>
          <w:sz w:val="24"/>
          <w:szCs w:val="24"/>
          <w:lang w:val="en-GB"/>
        </w:rPr>
      </w:pPr>
    </w:p>
    <w:p w14:paraId="05B2E378"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3.</w:t>
      </w:r>
      <w:r w:rsidRPr="00207790">
        <w:rPr>
          <w:b/>
          <w:sz w:val="24"/>
          <w:szCs w:val="24"/>
          <w:lang w:val="en-GB"/>
        </w:rPr>
        <w:tab/>
        <w:t>PHARMACEUTICAL FORM</w:t>
      </w:r>
    </w:p>
    <w:p w14:paraId="045D80D6" w14:textId="0260F771"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Oral solution</w:t>
      </w:r>
    </w:p>
    <w:p w14:paraId="12243F9A"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 xml:space="preserve">Clear, </w:t>
      </w:r>
      <w:proofErr w:type="spellStart"/>
      <w:r w:rsidRPr="00207790">
        <w:rPr>
          <w:sz w:val="24"/>
          <w:szCs w:val="24"/>
          <w:lang w:val="en-US"/>
        </w:rPr>
        <w:t>colourless</w:t>
      </w:r>
      <w:proofErr w:type="spellEnd"/>
      <w:r w:rsidRPr="00207790">
        <w:rPr>
          <w:sz w:val="24"/>
          <w:szCs w:val="24"/>
          <w:lang w:val="en-US"/>
        </w:rPr>
        <w:t xml:space="preserve"> solution, free from foreign matter.</w:t>
      </w:r>
    </w:p>
    <w:p w14:paraId="6E0EB19E" w14:textId="77777777" w:rsidR="007C5D2A" w:rsidRPr="00207790" w:rsidRDefault="007C5D2A" w:rsidP="004A3BF4">
      <w:pPr>
        <w:tabs>
          <w:tab w:val="left" w:pos="851"/>
        </w:tabs>
        <w:ind w:left="851"/>
        <w:rPr>
          <w:sz w:val="24"/>
          <w:szCs w:val="24"/>
          <w:lang w:val="en-GB"/>
        </w:rPr>
      </w:pPr>
    </w:p>
    <w:p w14:paraId="44C0F774" w14:textId="77777777" w:rsidR="007C5D2A" w:rsidRPr="00207790" w:rsidRDefault="007C5D2A" w:rsidP="004A3BF4">
      <w:pPr>
        <w:tabs>
          <w:tab w:val="left" w:pos="851"/>
        </w:tabs>
        <w:ind w:left="851"/>
        <w:rPr>
          <w:sz w:val="24"/>
          <w:szCs w:val="24"/>
          <w:lang w:val="en-GB"/>
        </w:rPr>
      </w:pPr>
    </w:p>
    <w:p w14:paraId="39E1FD20" w14:textId="77777777" w:rsidR="007C5D2A" w:rsidRPr="00207790" w:rsidRDefault="007C5D2A" w:rsidP="007C5D2A">
      <w:pPr>
        <w:ind w:left="851" w:hanging="851"/>
        <w:rPr>
          <w:b/>
          <w:sz w:val="24"/>
          <w:szCs w:val="24"/>
          <w:lang w:val="en-GB"/>
        </w:rPr>
      </w:pPr>
      <w:r w:rsidRPr="00207790">
        <w:rPr>
          <w:b/>
          <w:sz w:val="24"/>
          <w:szCs w:val="24"/>
          <w:lang w:val="en-GB"/>
        </w:rPr>
        <w:t>4.</w:t>
      </w:r>
      <w:r w:rsidRPr="00207790">
        <w:rPr>
          <w:b/>
          <w:sz w:val="24"/>
          <w:szCs w:val="24"/>
          <w:lang w:val="en-GB"/>
        </w:rPr>
        <w:tab/>
        <w:t>CLINICAL PARTICULARS</w:t>
      </w:r>
    </w:p>
    <w:p w14:paraId="2DB88241" w14:textId="77777777" w:rsidR="007C5D2A" w:rsidRPr="00207790" w:rsidRDefault="007C5D2A" w:rsidP="004A3BF4">
      <w:pPr>
        <w:tabs>
          <w:tab w:val="left" w:pos="851"/>
        </w:tabs>
        <w:ind w:left="851"/>
        <w:rPr>
          <w:sz w:val="24"/>
          <w:szCs w:val="24"/>
          <w:lang w:val="en-GB"/>
        </w:rPr>
      </w:pPr>
    </w:p>
    <w:p w14:paraId="1A69B1FC" w14:textId="77777777" w:rsidR="007C5D2A" w:rsidRPr="00207790" w:rsidRDefault="007C5D2A" w:rsidP="007C5D2A">
      <w:pPr>
        <w:ind w:left="851" w:hanging="851"/>
        <w:rPr>
          <w:b/>
          <w:sz w:val="24"/>
          <w:szCs w:val="24"/>
          <w:u w:val="single"/>
          <w:lang w:val="en-GB"/>
        </w:rPr>
      </w:pPr>
      <w:r w:rsidRPr="00207790">
        <w:rPr>
          <w:b/>
          <w:sz w:val="24"/>
          <w:szCs w:val="24"/>
          <w:lang w:val="en-GB"/>
        </w:rPr>
        <w:t>4.1</w:t>
      </w:r>
      <w:r w:rsidRPr="00207790">
        <w:rPr>
          <w:b/>
          <w:sz w:val="24"/>
          <w:szCs w:val="24"/>
          <w:lang w:val="en-GB"/>
        </w:rPr>
        <w:tab/>
        <w:t>Therapeutic indications</w:t>
      </w:r>
    </w:p>
    <w:p w14:paraId="176EF712" w14:textId="72820E06" w:rsidR="00D7627E" w:rsidRPr="00207790" w:rsidRDefault="002C65F9" w:rsidP="00FC14A8">
      <w:pPr>
        <w:autoSpaceDE w:val="0"/>
        <w:autoSpaceDN w:val="0"/>
        <w:adjustRightInd w:val="0"/>
        <w:ind w:left="851"/>
        <w:rPr>
          <w:color w:val="000000"/>
          <w:sz w:val="24"/>
          <w:szCs w:val="24"/>
          <w:lang w:val="en-US"/>
        </w:rPr>
      </w:pPr>
      <w:proofErr w:type="spellStart"/>
      <w:r>
        <w:rPr>
          <w:sz w:val="24"/>
          <w:szCs w:val="24"/>
          <w:lang w:val="en-US"/>
        </w:rPr>
        <w:t>Desloratadin</w:t>
      </w:r>
      <w:proofErr w:type="spellEnd"/>
      <w:r>
        <w:rPr>
          <w:sz w:val="24"/>
          <w:szCs w:val="24"/>
          <w:lang w:val="en-US"/>
        </w:rPr>
        <w:t xml:space="preserve"> "</w:t>
      </w:r>
      <w:proofErr w:type="spellStart"/>
      <w:r>
        <w:rPr>
          <w:sz w:val="24"/>
          <w:szCs w:val="24"/>
          <w:lang w:val="en-US"/>
        </w:rPr>
        <w:t>Gea</w:t>
      </w:r>
      <w:proofErr w:type="spellEnd"/>
      <w:r>
        <w:rPr>
          <w:sz w:val="24"/>
          <w:szCs w:val="24"/>
          <w:lang w:val="en-US"/>
        </w:rPr>
        <w:t>"</w:t>
      </w:r>
      <w:r w:rsidR="00D7627E" w:rsidRPr="00207790">
        <w:rPr>
          <w:color w:val="000000"/>
          <w:sz w:val="24"/>
          <w:szCs w:val="24"/>
          <w:lang w:val="en-US"/>
        </w:rPr>
        <w:t xml:space="preserve"> is indicated in adults, adolescents and children over the age of 1 year for the relief of symptoms associated with:</w:t>
      </w:r>
    </w:p>
    <w:p w14:paraId="17092969" w14:textId="77777777" w:rsidR="00D7627E" w:rsidRPr="00207790" w:rsidRDefault="00D7627E" w:rsidP="00FC14A8">
      <w:pPr>
        <w:numPr>
          <w:ilvl w:val="0"/>
          <w:numId w:val="5"/>
        </w:numPr>
        <w:autoSpaceDE w:val="0"/>
        <w:autoSpaceDN w:val="0"/>
        <w:adjustRightInd w:val="0"/>
        <w:ind w:left="851" w:firstLine="0"/>
        <w:rPr>
          <w:color w:val="000000"/>
          <w:sz w:val="24"/>
          <w:szCs w:val="24"/>
        </w:rPr>
      </w:pPr>
      <w:proofErr w:type="spellStart"/>
      <w:r w:rsidRPr="00207790">
        <w:rPr>
          <w:color w:val="000000"/>
          <w:sz w:val="24"/>
          <w:szCs w:val="24"/>
        </w:rPr>
        <w:t>allergic</w:t>
      </w:r>
      <w:proofErr w:type="spellEnd"/>
      <w:r w:rsidRPr="00207790">
        <w:rPr>
          <w:color w:val="000000"/>
          <w:sz w:val="24"/>
          <w:szCs w:val="24"/>
        </w:rPr>
        <w:t xml:space="preserve"> </w:t>
      </w:r>
      <w:proofErr w:type="spellStart"/>
      <w:r w:rsidRPr="00207790">
        <w:rPr>
          <w:color w:val="000000"/>
          <w:sz w:val="24"/>
          <w:szCs w:val="24"/>
        </w:rPr>
        <w:t>rhinitis</w:t>
      </w:r>
      <w:proofErr w:type="spellEnd"/>
      <w:r w:rsidRPr="00207790">
        <w:rPr>
          <w:color w:val="000000"/>
          <w:sz w:val="24"/>
          <w:szCs w:val="24"/>
        </w:rPr>
        <w:t xml:space="preserve"> (</w:t>
      </w:r>
      <w:proofErr w:type="spellStart"/>
      <w:r w:rsidRPr="00207790">
        <w:rPr>
          <w:color w:val="000000"/>
          <w:sz w:val="24"/>
          <w:szCs w:val="24"/>
        </w:rPr>
        <w:t>see</w:t>
      </w:r>
      <w:proofErr w:type="spellEnd"/>
      <w:r w:rsidRPr="00207790">
        <w:rPr>
          <w:color w:val="000000"/>
          <w:sz w:val="24"/>
          <w:szCs w:val="24"/>
        </w:rPr>
        <w:t xml:space="preserve"> </w:t>
      </w:r>
      <w:proofErr w:type="spellStart"/>
      <w:r w:rsidRPr="00207790">
        <w:rPr>
          <w:color w:val="000000"/>
          <w:sz w:val="24"/>
          <w:szCs w:val="24"/>
        </w:rPr>
        <w:t>section</w:t>
      </w:r>
      <w:proofErr w:type="spellEnd"/>
      <w:r w:rsidRPr="00207790">
        <w:rPr>
          <w:color w:val="000000"/>
          <w:sz w:val="24"/>
          <w:szCs w:val="24"/>
        </w:rPr>
        <w:t xml:space="preserve"> 5.1)</w:t>
      </w:r>
    </w:p>
    <w:p w14:paraId="558659A4" w14:textId="77777777" w:rsidR="00D7627E" w:rsidRPr="00207790" w:rsidRDefault="00D7627E" w:rsidP="00FC14A8">
      <w:pPr>
        <w:numPr>
          <w:ilvl w:val="0"/>
          <w:numId w:val="5"/>
        </w:numPr>
        <w:autoSpaceDE w:val="0"/>
        <w:autoSpaceDN w:val="0"/>
        <w:adjustRightInd w:val="0"/>
        <w:ind w:left="851" w:firstLine="0"/>
        <w:rPr>
          <w:color w:val="000000"/>
          <w:sz w:val="24"/>
          <w:szCs w:val="24"/>
        </w:rPr>
      </w:pPr>
      <w:proofErr w:type="spellStart"/>
      <w:r w:rsidRPr="00207790">
        <w:rPr>
          <w:color w:val="000000"/>
          <w:sz w:val="24"/>
          <w:szCs w:val="24"/>
        </w:rPr>
        <w:t>urticaria</w:t>
      </w:r>
      <w:proofErr w:type="spellEnd"/>
      <w:r w:rsidRPr="00207790">
        <w:rPr>
          <w:color w:val="000000"/>
          <w:sz w:val="24"/>
          <w:szCs w:val="24"/>
        </w:rPr>
        <w:t xml:space="preserve"> (</w:t>
      </w:r>
      <w:proofErr w:type="spellStart"/>
      <w:r w:rsidRPr="00207790">
        <w:rPr>
          <w:color w:val="000000"/>
          <w:sz w:val="24"/>
          <w:szCs w:val="24"/>
        </w:rPr>
        <w:t>see</w:t>
      </w:r>
      <w:proofErr w:type="spellEnd"/>
      <w:r w:rsidRPr="00207790">
        <w:rPr>
          <w:color w:val="000000"/>
          <w:sz w:val="24"/>
          <w:szCs w:val="24"/>
        </w:rPr>
        <w:t xml:space="preserve"> </w:t>
      </w:r>
      <w:proofErr w:type="spellStart"/>
      <w:r w:rsidRPr="00207790">
        <w:rPr>
          <w:color w:val="000000"/>
          <w:sz w:val="24"/>
          <w:szCs w:val="24"/>
        </w:rPr>
        <w:t>section</w:t>
      </w:r>
      <w:proofErr w:type="spellEnd"/>
      <w:r w:rsidRPr="00207790">
        <w:rPr>
          <w:color w:val="000000"/>
          <w:sz w:val="24"/>
          <w:szCs w:val="24"/>
        </w:rPr>
        <w:t xml:space="preserve"> 5.1)</w:t>
      </w:r>
    </w:p>
    <w:p w14:paraId="5092EADF" w14:textId="77777777" w:rsidR="007C5D2A" w:rsidRPr="00207790" w:rsidRDefault="007C5D2A" w:rsidP="00A85D26">
      <w:pPr>
        <w:tabs>
          <w:tab w:val="left" w:pos="851"/>
        </w:tabs>
        <w:ind w:left="851"/>
        <w:rPr>
          <w:sz w:val="24"/>
          <w:szCs w:val="24"/>
          <w:lang w:val="en-GB"/>
        </w:rPr>
      </w:pPr>
    </w:p>
    <w:p w14:paraId="2F495DB5" w14:textId="77777777" w:rsidR="007C5D2A" w:rsidRPr="00207790" w:rsidRDefault="009925C9" w:rsidP="007C5D2A">
      <w:pPr>
        <w:tabs>
          <w:tab w:val="left" w:pos="851"/>
        </w:tabs>
        <w:ind w:left="851" w:hanging="851"/>
        <w:rPr>
          <w:sz w:val="24"/>
          <w:szCs w:val="24"/>
          <w:lang w:val="en-GB"/>
        </w:rPr>
      </w:pPr>
      <w:r w:rsidRPr="00207790">
        <w:rPr>
          <w:b/>
          <w:sz w:val="24"/>
          <w:szCs w:val="24"/>
          <w:lang w:val="en-GB"/>
        </w:rPr>
        <w:t>4.2</w:t>
      </w:r>
      <w:r w:rsidR="007C5D2A" w:rsidRPr="00207790">
        <w:rPr>
          <w:b/>
          <w:sz w:val="24"/>
          <w:szCs w:val="24"/>
          <w:lang w:val="en-GB"/>
        </w:rPr>
        <w:tab/>
        <w:t>Posology and method of administration</w:t>
      </w:r>
    </w:p>
    <w:p w14:paraId="0C4BFC83" w14:textId="77777777" w:rsidR="00207790" w:rsidRDefault="00207790" w:rsidP="00FC14A8">
      <w:pPr>
        <w:autoSpaceDE w:val="0"/>
        <w:autoSpaceDN w:val="0"/>
        <w:adjustRightInd w:val="0"/>
        <w:ind w:left="851"/>
        <w:rPr>
          <w:color w:val="000000"/>
          <w:sz w:val="24"/>
          <w:szCs w:val="24"/>
          <w:u w:val="single"/>
          <w:lang w:val="en-GB"/>
        </w:rPr>
      </w:pPr>
    </w:p>
    <w:p w14:paraId="2899E28D" w14:textId="0254DA6B"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Posology</w:t>
      </w:r>
    </w:p>
    <w:p w14:paraId="32950E2B" w14:textId="77777777" w:rsidR="00D7627E" w:rsidRPr="00207790" w:rsidRDefault="00D7627E" w:rsidP="00FC14A8">
      <w:pPr>
        <w:autoSpaceDE w:val="0"/>
        <w:autoSpaceDN w:val="0"/>
        <w:adjustRightInd w:val="0"/>
        <w:ind w:left="851"/>
        <w:rPr>
          <w:i/>
          <w:color w:val="000000"/>
          <w:sz w:val="24"/>
          <w:szCs w:val="24"/>
          <w:lang w:val="en-US"/>
        </w:rPr>
      </w:pPr>
      <w:r w:rsidRPr="00207790">
        <w:rPr>
          <w:i/>
          <w:color w:val="000000"/>
          <w:sz w:val="24"/>
          <w:szCs w:val="24"/>
          <w:lang w:val="en-US"/>
        </w:rPr>
        <w:t>Adults and adolescents (12 years of age and over)</w:t>
      </w:r>
    </w:p>
    <w:p w14:paraId="1B4D6463" w14:textId="34784FD8"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The recommended dose of </w:t>
      </w:r>
      <w:proofErr w:type="spellStart"/>
      <w:r w:rsidR="002C65F9">
        <w:rPr>
          <w:sz w:val="24"/>
          <w:szCs w:val="24"/>
          <w:lang w:val="en-US"/>
        </w:rPr>
        <w:t>Desloratadin</w:t>
      </w:r>
      <w:proofErr w:type="spellEnd"/>
      <w:r w:rsidR="002C65F9">
        <w:rPr>
          <w:sz w:val="24"/>
          <w:szCs w:val="24"/>
          <w:lang w:val="en-US"/>
        </w:rPr>
        <w:t xml:space="preserve"> "</w:t>
      </w:r>
      <w:proofErr w:type="spellStart"/>
      <w:r w:rsidR="002C65F9">
        <w:rPr>
          <w:sz w:val="24"/>
          <w:szCs w:val="24"/>
          <w:lang w:val="en-US"/>
        </w:rPr>
        <w:t>Gea</w:t>
      </w:r>
      <w:proofErr w:type="spellEnd"/>
      <w:r w:rsidR="002C65F9">
        <w:rPr>
          <w:sz w:val="24"/>
          <w:szCs w:val="24"/>
          <w:lang w:val="en-US"/>
        </w:rPr>
        <w:t>"</w:t>
      </w:r>
      <w:r w:rsidRPr="00207790">
        <w:rPr>
          <w:color w:val="000000"/>
          <w:sz w:val="24"/>
          <w:szCs w:val="24"/>
          <w:lang w:val="en-US"/>
        </w:rPr>
        <w:t xml:space="preserve"> is 10 ml (5 mg) oral solution once a day.</w:t>
      </w:r>
    </w:p>
    <w:p w14:paraId="0310D880" w14:textId="5D0155E2" w:rsidR="002C65F9" w:rsidRDefault="002C65F9">
      <w:pPr>
        <w:rPr>
          <w:color w:val="000000"/>
          <w:sz w:val="24"/>
          <w:szCs w:val="24"/>
          <w:lang w:val="en-US"/>
        </w:rPr>
      </w:pPr>
      <w:r>
        <w:rPr>
          <w:color w:val="000000"/>
          <w:sz w:val="24"/>
          <w:szCs w:val="24"/>
          <w:lang w:val="en-US"/>
        </w:rPr>
        <w:br w:type="page"/>
      </w:r>
    </w:p>
    <w:p w14:paraId="1748A2E9" w14:textId="77777777" w:rsidR="00D7627E" w:rsidRPr="00207790" w:rsidRDefault="00D7627E" w:rsidP="00FC14A8">
      <w:pPr>
        <w:autoSpaceDE w:val="0"/>
        <w:autoSpaceDN w:val="0"/>
        <w:adjustRightInd w:val="0"/>
        <w:ind w:left="851"/>
        <w:rPr>
          <w:color w:val="000000"/>
          <w:sz w:val="24"/>
          <w:szCs w:val="24"/>
          <w:lang w:val="en-US"/>
        </w:rPr>
      </w:pPr>
    </w:p>
    <w:p w14:paraId="384E5242" w14:textId="77777777" w:rsidR="00D7627E" w:rsidRPr="00207790" w:rsidRDefault="00D7627E" w:rsidP="00FC14A8">
      <w:pPr>
        <w:autoSpaceDE w:val="0"/>
        <w:autoSpaceDN w:val="0"/>
        <w:adjustRightInd w:val="0"/>
        <w:ind w:left="851"/>
        <w:rPr>
          <w:i/>
          <w:color w:val="000000"/>
          <w:sz w:val="24"/>
          <w:szCs w:val="24"/>
          <w:lang w:val="en-US"/>
        </w:rPr>
      </w:pPr>
      <w:r w:rsidRPr="00207790">
        <w:rPr>
          <w:i/>
          <w:color w:val="000000"/>
          <w:sz w:val="24"/>
          <w:szCs w:val="24"/>
          <w:lang w:val="en-US"/>
        </w:rPr>
        <w:t>Pediatric population</w:t>
      </w:r>
    </w:p>
    <w:p w14:paraId="2FB68AD1" w14:textId="27513F5B"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The prescriber should be aware that most cases of rhinitis below 2 years of age are of infectious origin (see section 4.4) and there are no data supporting the treatment of infectious rhinitis with </w:t>
      </w:r>
      <w:proofErr w:type="spellStart"/>
      <w:r w:rsidR="002C65F9">
        <w:rPr>
          <w:sz w:val="24"/>
          <w:szCs w:val="24"/>
          <w:lang w:val="en-US"/>
        </w:rPr>
        <w:t>Desloratadin</w:t>
      </w:r>
      <w:proofErr w:type="spellEnd"/>
      <w:r w:rsidR="002C65F9">
        <w:rPr>
          <w:sz w:val="24"/>
          <w:szCs w:val="24"/>
          <w:lang w:val="en-US"/>
        </w:rPr>
        <w:t xml:space="preserve"> "</w:t>
      </w:r>
      <w:proofErr w:type="spellStart"/>
      <w:r w:rsidR="002C65F9">
        <w:rPr>
          <w:sz w:val="24"/>
          <w:szCs w:val="24"/>
          <w:lang w:val="en-US"/>
        </w:rPr>
        <w:t>Gea</w:t>
      </w:r>
      <w:proofErr w:type="spellEnd"/>
      <w:r w:rsidR="002C65F9">
        <w:rPr>
          <w:sz w:val="24"/>
          <w:szCs w:val="24"/>
          <w:lang w:val="en-US"/>
        </w:rPr>
        <w:t>"</w:t>
      </w:r>
      <w:r w:rsidRPr="00207790">
        <w:rPr>
          <w:color w:val="000000"/>
          <w:sz w:val="24"/>
          <w:szCs w:val="24"/>
          <w:lang w:val="en-US"/>
        </w:rPr>
        <w:t>.</w:t>
      </w:r>
    </w:p>
    <w:p w14:paraId="08F8406E" w14:textId="77777777" w:rsidR="00D7627E" w:rsidRPr="00207790" w:rsidRDefault="00D7627E" w:rsidP="00FC14A8">
      <w:pPr>
        <w:autoSpaceDE w:val="0"/>
        <w:autoSpaceDN w:val="0"/>
        <w:adjustRightInd w:val="0"/>
        <w:ind w:left="851"/>
        <w:rPr>
          <w:color w:val="000000"/>
          <w:sz w:val="24"/>
          <w:szCs w:val="24"/>
          <w:lang w:val="en-US"/>
        </w:rPr>
      </w:pPr>
    </w:p>
    <w:p w14:paraId="36CC80E5" w14:textId="39A6F8B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Children 1 through 5 years of age: 2.5 ml (1.25 mg) </w:t>
      </w:r>
      <w:proofErr w:type="spellStart"/>
      <w:r w:rsidR="002C65F9">
        <w:rPr>
          <w:sz w:val="24"/>
          <w:szCs w:val="24"/>
          <w:lang w:val="en-US"/>
        </w:rPr>
        <w:t>Desloratadin</w:t>
      </w:r>
      <w:proofErr w:type="spellEnd"/>
      <w:r w:rsidR="002C65F9">
        <w:rPr>
          <w:sz w:val="24"/>
          <w:szCs w:val="24"/>
          <w:lang w:val="en-US"/>
        </w:rPr>
        <w:t xml:space="preserve"> "</w:t>
      </w:r>
      <w:proofErr w:type="spellStart"/>
      <w:r w:rsidR="002C65F9">
        <w:rPr>
          <w:sz w:val="24"/>
          <w:szCs w:val="24"/>
          <w:lang w:val="en-US"/>
        </w:rPr>
        <w:t>Gea</w:t>
      </w:r>
      <w:proofErr w:type="spellEnd"/>
      <w:r w:rsidR="002C65F9">
        <w:rPr>
          <w:sz w:val="24"/>
          <w:szCs w:val="24"/>
          <w:lang w:val="en-US"/>
        </w:rPr>
        <w:t>"</w:t>
      </w:r>
      <w:r w:rsidRPr="00207790">
        <w:rPr>
          <w:color w:val="000000"/>
          <w:sz w:val="24"/>
          <w:szCs w:val="24"/>
          <w:lang w:val="en-US"/>
        </w:rPr>
        <w:t xml:space="preserve"> oral solution once a day.</w:t>
      </w:r>
    </w:p>
    <w:p w14:paraId="5E79AF3A" w14:textId="77777777" w:rsidR="00D7627E" w:rsidRPr="00207790" w:rsidRDefault="00D7627E" w:rsidP="00FC14A8">
      <w:pPr>
        <w:autoSpaceDE w:val="0"/>
        <w:autoSpaceDN w:val="0"/>
        <w:adjustRightInd w:val="0"/>
        <w:ind w:left="851"/>
        <w:rPr>
          <w:color w:val="000000"/>
          <w:sz w:val="24"/>
          <w:szCs w:val="24"/>
          <w:lang w:val="en-US"/>
        </w:rPr>
      </w:pPr>
    </w:p>
    <w:p w14:paraId="7D441C55" w14:textId="03FEC516"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Children 6 through 11 years of age: 5 ml (2.5 mg) </w:t>
      </w:r>
      <w:proofErr w:type="spellStart"/>
      <w:r w:rsidR="002C65F9">
        <w:rPr>
          <w:sz w:val="24"/>
          <w:szCs w:val="24"/>
          <w:lang w:val="en-US"/>
        </w:rPr>
        <w:t>Desloratadin</w:t>
      </w:r>
      <w:proofErr w:type="spellEnd"/>
      <w:r w:rsidR="002C65F9">
        <w:rPr>
          <w:sz w:val="24"/>
          <w:szCs w:val="24"/>
          <w:lang w:val="en-US"/>
        </w:rPr>
        <w:t xml:space="preserve"> "</w:t>
      </w:r>
      <w:proofErr w:type="spellStart"/>
      <w:r w:rsidR="002C65F9">
        <w:rPr>
          <w:sz w:val="24"/>
          <w:szCs w:val="24"/>
          <w:lang w:val="en-US"/>
        </w:rPr>
        <w:t>Gea</w:t>
      </w:r>
      <w:proofErr w:type="spellEnd"/>
      <w:r w:rsidR="002C65F9">
        <w:rPr>
          <w:sz w:val="24"/>
          <w:szCs w:val="24"/>
          <w:lang w:val="en-US"/>
        </w:rPr>
        <w:t>"</w:t>
      </w:r>
      <w:r w:rsidRPr="00207790">
        <w:rPr>
          <w:color w:val="000000"/>
          <w:sz w:val="24"/>
          <w:szCs w:val="24"/>
          <w:lang w:val="en-US"/>
        </w:rPr>
        <w:t xml:space="preserve"> oral solution once a day.</w:t>
      </w:r>
    </w:p>
    <w:p w14:paraId="38FFE808" w14:textId="77777777" w:rsidR="00D7627E" w:rsidRPr="00207790" w:rsidRDefault="00D7627E" w:rsidP="00FC14A8">
      <w:pPr>
        <w:autoSpaceDE w:val="0"/>
        <w:autoSpaceDN w:val="0"/>
        <w:adjustRightInd w:val="0"/>
        <w:ind w:left="851"/>
        <w:rPr>
          <w:color w:val="000000"/>
          <w:sz w:val="24"/>
          <w:szCs w:val="24"/>
          <w:lang w:val="en-US"/>
        </w:rPr>
      </w:pPr>
    </w:p>
    <w:p w14:paraId="4C755E30" w14:textId="053C5D87" w:rsidR="00D7627E" w:rsidRPr="00207790" w:rsidRDefault="00D7627E" w:rsidP="00FC14A8">
      <w:pPr>
        <w:autoSpaceDE w:val="0"/>
        <w:autoSpaceDN w:val="0"/>
        <w:adjustRightInd w:val="0"/>
        <w:ind w:left="851"/>
        <w:rPr>
          <w:sz w:val="24"/>
          <w:szCs w:val="24"/>
          <w:lang w:val="en-US"/>
        </w:rPr>
      </w:pPr>
      <w:r w:rsidRPr="00207790">
        <w:rPr>
          <w:color w:val="000000"/>
          <w:sz w:val="24"/>
          <w:szCs w:val="24"/>
          <w:lang w:val="en-US"/>
        </w:rPr>
        <w:t xml:space="preserve">The safety and efficacy of </w:t>
      </w:r>
      <w:proofErr w:type="spellStart"/>
      <w:r w:rsidR="002C65F9">
        <w:rPr>
          <w:sz w:val="24"/>
          <w:szCs w:val="24"/>
          <w:lang w:val="en-US"/>
        </w:rPr>
        <w:t>Desloratadin</w:t>
      </w:r>
      <w:proofErr w:type="spellEnd"/>
      <w:r w:rsidR="002C65F9">
        <w:rPr>
          <w:sz w:val="24"/>
          <w:szCs w:val="24"/>
          <w:lang w:val="en-US"/>
        </w:rPr>
        <w:t xml:space="preserve"> "</w:t>
      </w:r>
      <w:proofErr w:type="spellStart"/>
      <w:r w:rsidR="002C65F9">
        <w:rPr>
          <w:sz w:val="24"/>
          <w:szCs w:val="24"/>
          <w:lang w:val="en-US"/>
        </w:rPr>
        <w:t>Gea</w:t>
      </w:r>
      <w:proofErr w:type="spellEnd"/>
      <w:r w:rsidR="002C65F9">
        <w:rPr>
          <w:sz w:val="24"/>
          <w:szCs w:val="24"/>
          <w:lang w:val="en-US"/>
        </w:rPr>
        <w:t>"</w:t>
      </w:r>
      <w:r w:rsidRPr="00207790">
        <w:rPr>
          <w:color w:val="000000"/>
          <w:sz w:val="24"/>
          <w:szCs w:val="24"/>
          <w:lang w:val="en-US"/>
        </w:rPr>
        <w:t xml:space="preserve"> </w:t>
      </w:r>
      <w:r w:rsidRPr="00207790">
        <w:rPr>
          <w:sz w:val="24"/>
          <w:szCs w:val="24"/>
          <w:lang w:val="en-US"/>
        </w:rPr>
        <w:t>0.5 mg/ml oral solution in children below the age of 1 year have not been established. No data are available.</w:t>
      </w:r>
    </w:p>
    <w:p w14:paraId="4DAB24C3" w14:textId="77777777" w:rsidR="00D7627E" w:rsidRPr="00207790" w:rsidRDefault="00D7627E" w:rsidP="00FC14A8">
      <w:pPr>
        <w:autoSpaceDE w:val="0"/>
        <w:autoSpaceDN w:val="0"/>
        <w:adjustRightInd w:val="0"/>
        <w:ind w:left="851"/>
        <w:rPr>
          <w:color w:val="000000"/>
          <w:sz w:val="24"/>
          <w:szCs w:val="24"/>
          <w:lang w:val="en-US"/>
        </w:rPr>
      </w:pPr>
    </w:p>
    <w:p w14:paraId="39AE3810"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There is limited clinical trial efficacy experience with the use of desloratadine in children 1 through 11 years of age and adolescents 12 through 17 years of age (see sections 4.8 and 5.1).</w:t>
      </w:r>
    </w:p>
    <w:p w14:paraId="6BA994E0" w14:textId="77777777" w:rsidR="00D7627E" w:rsidRPr="00207790" w:rsidRDefault="00D7627E" w:rsidP="00FC14A8">
      <w:pPr>
        <w:autoSpaceDE w:val="0"/>
        <w:autoSpaceDN w:val="0"/>
        <w:adjustRightInd w:val="0"/>
        <w:ind w:left="851"/>
        <w:rPr>
          <w:color w:val="000000"/>
          <w:sz w:val="24"/>
          <w:szCs w:val="24"/>
          <w:lang w:val="en-US"/>
        </w:rPr>
      </w:pPr>
    </w:p>
    <w:p w14:paraId="63C1581F"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Intermittent allergic rhinitis (presence of symptoms for less than 4 days per week or for less than 4 weeks) should be managed in accordance with the evaluation of patient’s disease history and the treatment could be discontinued after symptoms are resolved and reinitiated upon their reappearance. </w:t>
      </w:r>
    </w:p>
    <w:p w14:paraId="0B5E9C1E"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persistent allergic rhinitis (presence of symptoms for 4 days or more per week and for more than 4 weeks), continued treatment may be proposed to the patients during the allergen exposure periods.</w:t>
      </w:r>
    </w:p>
    <w:p w14:paraId="4797F23B" w14:textId="77777777" w:rsidR="00D7627E" w:rsidRPr="00207790" w:rsidRDefault="00D7627E" w:rsidP="00FC14A8">
      <w:pPr>
        <w:autoSpaceDE w:val="0"/>
        <w:autoSpaceDN w:val="0"/>
        <w:adjustRightInd w:val="0"/>
        <w:ind w:left="851"/>
        <w:rPr>
          <w:color w:val="000000"/>
          <w:sz w:val="24"/>
          <w:szCs w:val="24"/>
          <w:lang w:val="en-US"/>
        </w:rPr>
      </w:pPr>
    </w:p>
    <w:p w14:paraId="2B349847"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Method of administration</w:t>
      </w:r>
    </w:p>
    <w:p w14:paraId="1BC2A347"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Oral use.</w:t>
      </w:r>
    </w:p>
    <w:p w14:paraId="14FE9936"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The dose can be taken with or without food.</w:t>
      </w:r>
    </w:p>
    <w:p w14:paraId="103648B2" w14:textId="77777777" w:rsidR="007C5D2A" w:rsidRPr="00207790" w:rsidRDefault="007C5D2A" w:rsidP="00A85D26">
      <w:pPr>
        <w:tabs>
          <w:tab w:val="left" w:pos="851"/>
        </w:tabs>
        <w:ind w:left="851"/>
        <w:rPr>
          <w:sz w:val="24"/>
          <w:szCs w:val="24"/>
          <w:lang w:val="en-GB"/>
        </w:rPr>
      </w:pPr>
    </w:p>
    <w:p w14:paraId="0D8F7BB5"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4.3</w:t>
      </w:r>
      <w:r w:rsidRPr="00207790">
        <w:rPr>
          <w:b/>
          <w:sz w:val="24"/>
          <w:szCs w:val="24"/>
          <w:lang w:val="en-GB"/>
        </w:rPr>
        <w:tab/>
        <w:t>Contraindications</w:t>
      </w:r>
    </w:p>
    <w:p w14:paraId="3A953926"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Hypersensitivity to the active substance, to any of the excipients listed in section 6.1, or to loratadine.</w:t>
      </w:r>
    </w:p>
    <w:p w14:paraId="383C5B4A" w14:textId="77777777" w:rsidR="007C5D2A" w:rsidRPr="00207790" w:rsidRDefault="007C5D2A" w:rsidP="003E0341">
      <w:pPr>
        <w:tabs>
          <w:tab w:val="left" w:pos="851"/>
        </w:tabs>
        <w:ind w:left="851"/>
        <w:rPr>
          <w:sz w:val="24"/>
          <w:szCs w:val="24"/>
          <w:lang w:val="en-GB"/>
        </w:rPr>
      </w:pPr>
    </w:p>
    <w:p w14:paraId="7E8702A4" w14:textId="77777777" w:rsidR="007C5D2A" w:rsidRPr="00207790" w:rsidRDefault="007C5D2A" w:rsidP="007C5D2A">
      <w:pPr>
        <w:tabs>
          <w:tab w:val="left" w:pos="851"/>
        </w:tabs>
        <w:rPr>
          <w:b/>
          <w:sz w:val="24"/>
          <w:szCs w:val="24"/>
          <w:lang w:val="en-GB"/>
        </w:rPr>
      </w:pPr>
      <w:r w:rsidRPr="00207790">
        <w:rPr>
          <w:b/>
          <w:sz w:val="24"/>
          <w:szCs w:val="24"/>
          <w:lang w:val="en-GB"/>
        </w:rPr>
        <w:t>4.4</w:t>
      </w:r>
      <w:r w:rsidRPr="00207790">
        <w:rPr>
          <w:b/>
          <w:sz w:val="24"/>
          <w:szCs w:val="24"/>
          <w:lang w:val="en-GB"/>
        </w:rPr>
        <w:tab/>
        <w:t>Special warnings and precautions for use</w:t>
      </w:r>
    </w:p>
    <w:p w14:paraId="07CDAA16" w14:textId="77777777" w:rsidR="00207790" w:rsidRDefault="00207790" w:rsidP="00FC14A8">
      <w:pPr>
        <w:widowControl w:val="0"/>
        <w:autoSpaceDE w:val="0"/>
        <w:autoSpaceDN w:val="0"/>
        <w:adjustRightInd w:val="0"/>
        <w:ind w:left="851"/>
        <w:rPr>
          <w:color w:val="000000"/>
          <w:sz w:val="24"/>
          <w:szCs w:val="24"/>
          <w:u w:val="single"/>
          <w:lang w:val="en-GB"/>
        </w:rPr>
      </w:pPr>
    </w:p>
    <w:p w14:paraId="0B5080A9" w14:textId="5A22E590" w:rsidR="00D7627E" w:rsidRPr="00207790" w:rsidRDefault="00D7627E" w:rsidP="00FC14A8">
      <w:pPr>
        <w:widowControl w:val="0"/>
        <w:autoSpaceDE w:val="0"/>
        <w:autoSpaceDN w:val="0"/>
        <w:adjustRightInd w:val="0"/>
        <w:ind w:left="851"/>
        <w:rPr>
          <w:color w:val="000000"/>
          <w:sz w:val="24"/>
          <w:szCs w:val="24"/>
          <w:u w:val="single"/>
          <w:lang w:val="en-US"/>
        </w:rPr>
      </w:pPr>
      <w:r w:rsidRPr="00207790">
        <w:rPr>
          <w:color w:val="000000"/>
          <w:sz w:val="24"/>
          <w:szCs w:val="24"/>
          <w:u w:val="single"/>
          <w:lang w:val="en-US"/>
        </w:rPr>
        <w:t>Convulsions</w:t>
      </w:r>
    </w:p>
    <w:p w14:paraId="2A648659" w14:textId="77777777" w:rsidR="00D7627E" w:rsidRPr="00207790" w:rsidRDefault="00D7627E" w:rsidP="00FC14A8">
      <w:pPr>
        <w:autoSpaceDE w:val="0"/>
        <w:autoSpaceDN w:val="0"/>
        <w:adjustRightInd w:val="0"/>
        <w:ind w:left="851"/>
        <w:rPr>
          <w:color w:val="000000"/>
          <w:sz w:val="24"/>
          <w:szCs w:val="24"/>
          <w:u w:val="single"/>
          <w:lang w:val="en-US"/>
        </w:rPr>
      </w:pPr>
      <w:r w:rsidRPr="00207790">
        <w:rPr>
          <w:sz w:val="24"/>
          <w:szCs w:val="24"/>
          <w:lang w:val="en-US"/>
        </w:rPr>
        <w:t>Desloratadine should be administered with caution in patients with medical or familial history of seizures, and mainly young children (see section 4.8), being more susceptible to develop new seizures under desloratadine treatment. Healthcare providers may consider discontinuing desloratadine in patients who experience a seizure while on treatment.</w:t>
      </w:r>
    </w:p>
    <w:p w14:paraId="6D82CB96" w14:textId="77777777" w:rsidR="00D7627E" w:rsidRPr="00207790" w:rsidRDefault="00D7627E" w:rsidP="00FC14A8">
      <w:pPr>
        <w:autoSpaceDE w:val="0"/>
        <w:autoSpaceDN w:val="0"/>
        <w:adjustRightInd w:val="0"/>
        <w:ind w:left="851"/>
        <w:rPr>
          <w:color w:val="000000"/>
          <w:sz w:val="24"/>
          <w:szCs w:val="24"/>
          <w:u w:val="single"/>
          <w:lang w:val="en-US"/>
        </w:rPr>
      </w:pPr>
    </w:p>
    <w:p w14:paraId="4DC92FBB"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Pediatric population</w:t>
      </w:r>
    </w:p>
    <w:p w14:paraId="3A38E4B0"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children below 2 years of age, the diagnosis of allergic rhinitis is particularly difficult to distinguish from other forms of rhinitis. The absence of upper respiratory tract infection or structural abnormalities, as well as patient history, physical examinations, and appropriate laboratory and skin tests should be considered.</w:t>
      </w:r>
    </w:p>
    <w:p w14:paraId="33A9FFEA" w14:textId="77777777" w:rsidR="00D7627E" w:rsidRPr="00207790" w:rsidRDefault="00D7627E" w:rsidP="00FC14A8">
      <w:pPr>
        <w:autoSpaceDE w:val="0"/>
        <w:autoSpaceDN w:val="0"/>
        <w:adjustRightInd w:val="0"/>
        <w:ind w:left="851"/>
        <w:rPr>
          <w:color w:val="000000"/>
          <w:sz w:val="24"/>
          <w:szCs w:val="24"/>
          <w:lang w:val="en-US"/>
        </w:rPr>
      </w:pPr>
    </w:p>
    <w:p w14:paraId="1BCB94E5" w14:textId="55950ADA"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Approximately 6 % of adults and children 2- to 11-year old are phenotypic poor </w:t>
      </w:r>
      <w:proofErr w:type="spellStart"/>
      <w:r w:rsidRPr="00207790">
        <w:rPr>
          <w:color w:val="000000"/>
          <w:sz w:val="24"/>
          <w:szCs w:val="24"/>
          <w:lang w:val="en-US"/>
        </w:rPr>
        <w:t>metabolisers</w:t>
      </w:r>
      <w:proofErr w:type="spellEnd"/>
      <w:r w:rsidRPr="00207790">
        <w:rPr>
          <w:color w:val="000000"/>
          <w:sz w:val="24"/>
          <w:szCs w:val="24"/>
          <w:lang w:val="en-US"/>
        </w:rPr>
        <w:t xml:space="preserve"> of desloratadine and exhibit a higher exposure (see section 5.2). The safety of </w:t>
      </w:r>
      <w:r w:rsidRPr="00207790">
        <w:rPr>
          <w:color w:val="000000"/>
          <w:sz w:val="24"/>
          <w:szCs w:val="24"/>
          <w:lang w:val="en-US"/>
        </w:rPr>
        <w:lastRenderedPageBreak/>
        <w:t xml:space="preserve">desloratadine in children 2- to 11-years of age who are poor </w:t>
      </w:r>
      <w:proofErr w:type="spellStart"/>
      <w:r w:rsidRPr="00207790">
        <w:rPr>
          <w:color w:val="000000"/>
          <w:sz w:val="24"/>
          <w:szCs w:val="24"/>
          <w:lang w:val="en-US"/>
        </w:rPr>
        <w:t>metabolisers</w:t>
      </w:r>
      <w:proofErr w:type="spellEnd"/>
      <w:r w:rsidRPr="00207790">
        <w:rPr>
          <w:color w:val="000000"/>
          <w:sz w:val="24"/>
          <w:szCs w:val="24"/>
          <w:lang w:val="en-US"/>
        </w:rPr>
        <w:t xml:space="preserve"> is the same as in children who are normal </w:t>
      </w:r>
      <w:proofErr w:type="spellStart"/>
      <w:r w:rsidRPr="00207790">
        <w:rPr>
          <w:color w:val="000000"/>
          <w:sz w:val="24"/>
          <w:szCs w:val="24"/>
          <w:lang w:val="en-US"/>
        </w:rPr>
        <w:t>metabolisers</w:t>
      </w:r>
      <w:proofErr w:type="spellEnd"/>
      <w:r w:rsidRPr="00207790">
        <w:rPr>
          <w:color w:val="000000"/>
          <w:sz w:val="24"/>
          <w:szCs w:val="24"/>
          <w:lang w:val="en-US"/>
        </w:rPr>
        <w:t xml:space="preserve">. The effects of desloratadine in poor </w:t>
      </w:r>
      <w:proofErr w:type="spellStart"/>
      <w:r w:rsidRPr="00207790">
        <w:rPr>
          <w:color w:val="000000"/>
          <w:sz w:val="24"/>
          <w:szCs w:val="24"/>
          <w:lang w:val="en-US"/>
        </w:rPr>
        <w:t>metabolisers</w:t>
      </w:r>
      <w:proofErr w:type="spellEnd"/>
      <w:r w:rsidRPr="00207790">
        <w:rPr>
          <w:color w:val="000000"/>
          <w:sz w:val="24"/>
          <w:szCs w:val="24"/>
          <w:lang w:val="en-US"/>
        </w:rPr>
        <w:t xml:space="preserve"> &lt;</w:t>
      </w:r>
      <w:r w:rsidR="002C65F9">
        <w:rPr>
          <w:color w:val="000000"/>
          <w:sz w:val="24"/>
          <w:szCs w:val="24"/>
          <w:lang w:val="en-US"/>
        </w:rPr>
        <w:t> </w:t>
      </w:r>
      <w:r w:rsidRPr="00207790">
        <w:rPr>
          <w:color w:val="000000"/>
          <w:sz w:val="24"/>
          <w:szCs w:val="24"/>
          <w:lang w:val="en-US"/>
        </w:rPr>
        <w:t>2 years of age have not been studied.</w:t>
      </w:r>
    </w:p>
    <w:p w14:paraId="6C1BC358" w14:textId="77777777" w:rsidR="00D7627E" w:rsidRPr="00207790" w:rsidRDefault="00D7627E" w:rsidP="00FC14A8">
      <w:pPr>
        <w:autoSpaceDE w:val="0"/>
        <w:autoSpaceDN w:val="0"/>
        <w:adjustRightInd w:val="0"/>
        <w:ind w:left="851"/>
        <w:rPr>
          <w:color w:val="000000"/>
          <w:sz w:val="24"/>
          <w:szCs w:val="24"/>
          <w:lang w:val="en-US"/>
        </w:rPr>
      </w:pPr>
    </w:p>
    <w:p w14:paraId="002202FB"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 the case of severe renal insufficiency, desloratadine should be used with caution (see section 5.2). </w:t>
      </w:r>
    </w:p>
    <w:p w14:paraId="33D8FBF9" w14:textId="77777777" w:rsidR="00D7627E" w:rsidRPr="00207790" w:rsidRDefault="00D7627E" w:rsidP="00FC14A8">
      <w:pPr>
        <w:autoSpaceDE w:val="0"/>
        <w:autoSpaceDN w:val="0"/>
        <w:adjustRightInd w:val="0"/>
        <w:ind w:left="851"/>
        <w:rPr>
          <w:color w:val="000000"/>
          <w:sz w:val="24"/>
          <w:szCs w:val="24"/>
          <w:lang w:val="en-US"/>
        </w:rPr>
      </w:pPr>
    </w:p>
    <w:p w14:paraId="2647606B" w14:textId="6AA42D89" w:rsidR="00D7627E" w:rsidRPr="00207790" w:rsidRDefault="002C65F9" w:rsidP="00FC14A8">
      <w:pPr>
        <w:autoSpaceDE w:val="0"/>
        <w:autoSpaceDN w:val="0"/>
        <w:adjustRightInd w:val="0"/>
        <w:ind w:left="851"/>
        <w:rPr>
          <w:color w:val="000000"/>
          <w:sz w:val="24"/>
          <w:szCs w:val="24"/>
          <w:u w:val="single"/>
          <w:lang w:val="en-US"/>
        </w:rPr>
      </w:pPr>
      <w:proofErr w:type="spellStart"/>
      <w:r>
        <w:rPr>
          <w:color w:val="000000"/>
          <w:sz w:val="24"/>
          <w:szCs w:val="24"/>
          <w:u w:val="single"/>
          <w:lang w:val="en-US"/>
        </w:rPr>
        <w:t>Desloratadin</w:t>
      </w:r>
      <w:proofErr w:type="spellEnd"/>
      <w:r>
        <w:rPr>
          <w:color w:val="000000"/>
          <w:sz w:val="24"/>
          <w:szCs w:val="24"/>
          <w:u w:val="single"/>
          <w:lang w:val="en-US"/>
        </w:rPr>
        <w:t xml:space="preserve"> "</w:t>
      </w:r>
      <w:proofErr w:type="spellStart"/>
      <w:r>
        <w:rPr>
          <w:color w:val="000000"/>
          <w:sz w:val="24"/>
          <w:szCs w:val="24"/>
          <w:u w:val="single"/>
          <w:lang w:val="en-US"/>
        </w:rPr>
        <w:t>Gea</w:t>
      </w:r>
      <w:proofErr w:type="spellEnd"/>
      <w:r>
        <w:rPr>
          <w:color w:val="000000"/>
          <w:sz w:val="24"/>
          <w:szCs w:val="24"/>
          <w:u w:val="single"/>
          <w:lang w:val="en-US"/>
        </w:rPr>
        <w:t>"</w:t>
      </w:r>
      <w:r w:rsidR="00D7627E" w:rsidRPr="00207790">
        <w:rPr>
          <w:color w:val="000000"/>
          <w:sz w:val="24"/>
          <w:szCs w:val="24"/>
          <w:u w:val="single"/>
          <w:lang w:val="en-US"/>
        </w:rPr>
        <w:t xml:space="preserve"> contains sorbitol, propylene glycol and sodium</w:t>
      </w:r>
    </w:p>
    <w:p w14:paraId="1B4AAC6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This medicinal product contains </w:t>
      </w:r>
      <w:r w:rsidRPr="00207790">
        <w:rPr>
          <w:sz w:val="24"/>
          <w:szCs w:val="24"/>
          <w:lang w:val="en-US"/>
        </w:rPr>
        <w:t>up to 97.5 mg sorbitol in each ml of oral solution.</w:t>
      </w:r>
    </w:p>
    <w:p w14:paraId="1AC3F855"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 xml:space="preserve">The additive effect of concomitantly administered products containing sorbitol (or fructose) and dietary intake of sorbitol (or fructose) should be </w:t>
      </w:r>
      <w:proofErr w:type="gramStart"/>
      <w:r w:rsidRPr="00207790">
        <w:rPr>
          <w:sz w:val="24"/>
          <w:szCs w:val="24"/>
          <w:lang w:val="en-US"/>
        </w:rPr>
        <w:t>taken into account</w:t>
      </w:r>
      <w:proofErr w:type="gramEnd"/>
      <w:r w:rsidRPr="00207790">
        <w:rPr>
          <w:sz w:val="24"/>
          <w:szCs w:val="24"/>
          <w:lang w:val="en-US"/>
        </w:rPr>
        <w:t>.</w:t>
      </w:r>
    </w:p>
    <w:p w14:paraId="6B1A885A"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The content of sorbitol in medicinal products for oral use may affect the bioavailability of other medicinal products for oral use administered concomitantly.</w:t>
      </w:r>
    </w:p>
    <w:p w14:paraId="73EDDCBA"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Patients with hereditary fructose intolerance (HFI) should not take/be given this medicinal product.</w:t>
      </w:r>
    </w:p>
    <w:p w14:paraId="0739CB7A" w14:textId="77777777" w:rsidR="00D7627E" w:rsidRPr="00207790" w:rsidRDefault="00D7627E" w:rsidP="00FC14A8">
      <w:pPr>
        <w:tabs>
          <w:tab w:val="left" w:pos="0"/>
          <w:tab w:val="left" w:pos="720"/>
        </w:tabs>
        <w:autoSpaceDE w:val="0"/>
        <w:autoSpaceDN w:val="0"/>
        <w:adjustRightInd w:val="0"/>
        <w:ind w:left="851"/>
        <w:rPr>
          <w:color w:val="000000"/>
          <w:sz w:val="24"/>
          <w:szCs w:val="24"/>
          <w:lang w:val="en-US"/>
        </w:rPr>
      </w:pPr>
      <w:r w:rsidRPr="00207790">
        <w:rPr>
          <w:color w:val="000000"/>
          <w:sz w:val="24"/>
          <w:szCs w:val="24"/>
          <w:lang w:val="en-US"/>
        </w:rPr>
        <w:t>This medicinal product contains 102.30 mg propylene glycol in each ml of oral solution.</w:t>
      </w:r>
    </w:p>
    <w:p w14:paraId="4F3FBD31" w14:textId="77777777" w:rsidR="00D7627E" w:rsidRPr="00207790" w:rsidRDefault="00D7627E" w:rsidP="00FC14A8">
      <w:pPr>
        <w:tabs>
          <w:tab w:val="left" w:pos="0"/>
          <w:tab w:val="left" w:pos="720"/>
        </w:tabs>
        <w:autoSpaceDE w:val="0"/>
        <w:autoSpaceDN w:val="0"/>
        <w:adjustRightInd w:val="0"/>
        <w:ind w:left="851"/>
        <w:rPr>
          <w:color w:val="000000"/>
          <w:sz w:val="24"/>
          <w:szCs w:val="24"/>
          <w:lang w:val="en-US"/>
        </w:rPr>
      </w:pPr>
      <w:r w:rsidRPr="00207790">
        <w:rPr>
          <w:color w:val="000000"/>
          <w:sz w:val="24"/>
          <w:szCs w:val="24"/>
          <w:lang w:val="en-US"/>
        </w:rPr>
        <w:t>This medicinal product contains 0.167 mmol (or 3.85 mg) sodium in each ml of oral solution, equivalent to 0.19 % of the WHO recommended maximum daily intake of 2 g sodium for an adult.</w:t>
      </w:r>
    </w:p>
    <w:p w14:paraId="0D600BF1" w14:textId="77777777" w:rsidR="007C5D2A" w:rsidRPr="00207790" w:rsidRDefault="007C5D2A" w:rsidP="003E0341">
      <w:pPr>
        <w:tabs>
          <w:tab w:val="left" w:pos="851"/>
        </w:tabs>
        <w:ind w:left="851"/>
        <w:rPr>
          <w:sz w:val="24"/>
          <w:szCs w:val="24"/>
          <w:lang w:val="en-GB"/>
        </w:rPr>
      </w:pPr>
    </w:p>
    <w:p w14:paraId="38B6D9FE" w14:textId="77777777" w:rsidR="007C5D2A" w:rsidRPr="00207790" w:rsidRDefault="007C5D2A" w:rsidP="007C5D2A">
      <w:pPr>
        <w:ind w:left="851" w:hanging="851"/>
        <w:rPr>
          <w:b/>
          <w:sz w:val="24"/>
          <w:szCs w:val="24"/>
          <w:lang w:val="en-GB"/>
        </w:rPr>
      </w:pPr>
      <w:r w:rsidRPr="00207790">
        <w:rPr>
          <w:b/>
          <w:sz w:val="24"/>
          <w:szCs w:val="24"/>
          <w:lang w:val="en-GB"/>
        </w:rPr>
        <w:t>4.5</w:t>
      </w:r>
      <w:r w:rsidRPr="00207790">
        <w:rPr>
          <w:b/>
          <w:sz w:val="24"/>
          <w:szCs w:val="24"/>
          <w:lang w:val="en-GB"/>
        </w:rPr>
        <w:tab/>
        <w:t>Interaction with other medicinal products and other forms of interaction</w:t>
      </w:r>
    </w:p>
    <w:p w14:paraId="5C1FCC9B"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No clinically relevant interactions were observed in clinical trials with desloratadine tablets in which erythromycin or ketoconazole were co-administered (see section 5.1).</w:t>
      </w:r>
    </w:p>
    <w:p w14:paraId="4AF92DC0" w14:textId="77777777" w:rsidR="00D7627E" w:rsidRPr="00207790" w:rsidRDefault="00D7627E" w:rsidP="00FC14A8">
      <w:pPr>
        <w:autoSpaceDE w:val="0"/>
        <w:autoSpaceDN w:val="0"/>
        <w:adjustRightInd w:val="0"/>
        <w:ind w:left="851"/>
        <w:rPr>
          <w:color w:val="000000"/>
          <w:sz w:val="24"/>
          <w:szCs w:val="24"/>
          <w:lang w:val="en-US"/>
        </w:rPr>
      </w:pPr>
    </w:p>
    <w:p w14:paraId="545CF79D"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Pediatric population</w:t>
      </w:r>
    </w:p>
    <w:p w14:paraId="0D942C36"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Interaction studies have only been performed in adults.</w:t>
      </w:r>
    </w:p>
    <w:p w14:paraId="0870D5DC" w14:textId="77777777" w:rsidR="00D7627E" w:rsidRPr="00207790" w:rsidRDefault="00D7627E" w:rsidP="00FC14A8">
      <w:pPr>
        <w:autoSpaceDE w:val="0"/>
        <w:autoSpaceDN w:val="0"/>
        <w:adjustRightInd w:val="0"/>
        <w:ind w:left="851"/>
        <w:rPr>
          <w:color w:val="000000"/>
          <w:sz w:val="24"/>
          <w:szCs w:val="24"/>
          <w:lang w:val="en-US"/>
        </w:rPr>
      </w:pPr>
    </w:p>
    <w:p w14:paraId="6BC8FBE9"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a clinical pharmacology trial, desloratadine tablets taken concomitantly with alcohol did not potentiate the performance impairing effects of alcohol (see section 5.1). However, cases of alcohol intolerance and intoxication have been reported during post-marketing use. Therefore, caution is recommended if alcohol is taken concomitantly.</w:t>
      </w:r>
    </w:p>
    <w:p w14:paraId="77C110D3" w14:textId="77777777" w:rsidR="007C5D2A" w:rsidRPr="00207790" w:rsidRDefault="007C5D2A" w:rsidP="003E0341">
      <w:pPr>
        <w:tabs>
          <w:tab w:val="left" w:pos="851"/>
        </w:tabs>
        <w:ind w:left="851"/>
        <w:rPr>
          <w:sz w:val="24"/>
          <w:szCs w:val="24"/>
          <w:lang w:val="en-GB"/>
        </w:rPr>
      </w:pPr>
    </w:p>
    <w:p w14:paraId="44AF6EB4"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4.6</w:t>
      </w:r>
      <w:r w:rsidRPr="00207790">
        <w:rPr>
          <w:b/>
          <w:sz w:val="24"/>
          <w:szCs w:val="24"/>
          <w:lang w:val="en-GB"/>
        </w:rPr>
        <w:tab/>
      </w:r>
      <w:r w:rsidR="004860D3" w:rsidRPr="00207790">
        <w:rPr>
          <w:b/>
          <w:sz w:val="24"/>
          <w:szCs w:val="24"/>
          <w:lang w:val="en-GB"/>
        </w:rPr>
        <w:t>Fertility, p</w:t>
      </w:r>
      <w:r w:rsidRPr="00207790">
        <w:rPr>
          <w:b/>
          <w:sz w:val="24"/>
          <w:szCs w:val="24"/>
          <w:lang w:val="en-GB"/>
        </w:rPr>
        <w:t>regnancy and lactation</w:t>
      </w:r>
    </w:p>
    <w:p w14:paraId="1C3DD059" w14:textId="77777777" w:rsidR="00207790" w:rsidRDefault="00207790" w:rsidP="00FC14A8">
      <w:pPr>
        <w:autoSpaceDE w:val="0"/>
        <w:autoSpaceDN w:val="0"/>
        <w:adjustRightInd w:val="0"/>
        <w:ind w:left="851"/>
        <w:rPr>
          <w:color w:val="000000"/>
          <w:sz w:val="24"/>
          <w:szCs w:val="24"/>
          <w:u w:val="single"/>
          <w:lang w:val="en-US"/>
        </w:rPr>
      </w:pPr>
    </w:p>
    <w:p w14:paraId="721B439B" w14:textId="7802BDF1"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Pregnancy</w:t>
      </w:r>
    </w:p>
    <w:p w14:paraId="1AFD978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A </w:t>
      </w:r>
      <w:r w:rsidRPr="00207790">
        <w:rPr>
          <w:sz w:val="24"/>
          <w:szCs w:val="24"/>
          <w:lang w:val="en-US"/>
        </w:rPr>
        <w:t xml:space="preserve">large amount of data on pregnant women (more than 1,000 pregnancy outcomes) indicate no </w:t>
      </w:r>
      <w:proofErr w:type="spellStart"/>
      <w:r w:rsidRPr="00207790">
        <w:rPr>
          <w:sz w:val="24"/>
          <w:szCs w:val="24"/>
          <w:lang w:val="en-US"/>
        </w:rPr>
        <w:t>malformative</w:t>
      </w:r>
      <w:proofErr w:type="spellEnd"/>
      <w:r w:rsidRPr="00207790">
        <w:rPr>
          <w:sz w:val="24"/>
          <w:szCs w:val="24"/>
          <w:lang w:val="en-US"/>
        </w:rPr>
        <w:t xml:space="preserve"> nor </w:t>
      </w:r>
      <w:proofErr w:type="spellStart"/>
      <w:r w:rsidRPr="00207790">
        <w:rPr>
          <w:sz w:val="24"/>
          <w:szCs w:val="24"/>
          <w:lang w:val="en-US"/>
        </w:rPr>
        <w:t>foeto</w:t>
      </w:r>
      <w:proofErr w:type="spellEnd"/>
      <w:r w:rsidRPr="00207790">
        <w:rPr>
          <w:sz w:val="24"/>
          <w:szCs w:val="24"/>
          <w:lang w:val="en-US"/>
        </w:rPr>
        <w:t xml:space="preserve">/neonatal toxicity of desloratadine. </w:t>
      </w:r>
      <w:r w:rsidRPr="00207790">
        <w:rPr>
          <w:color w:val="000000"/>
          <w:sz w:val="24"/>
          <w:szCs w:val="24"/>
          <w:lang w:val="en-US"/>
        </w:rPr>
        <w:t>Animal studies do not indicate direct or indirect harmful effects with respect to reproductive toxicity (see section 5.3). As a precautionary measure, it is preferable to avoid the use of desloratadine during pregnancy.</w:t>
      </w:r>
    </w:p>
    <w:p w14:paraId="0DAA15FE" w14:textId="77777777" w:rsidR="00D7627E" w:rsidRPr="00207790" w:rsidRDefault="00D7627E" w:rsidP="00FC14A8">
      <w:pPr>
        <w:autoSpaceDE w:val="0"/>
        <w:autoSpaceDN w:val="0"/>
        <w:adjustRightInd w:val="0"/>
        <w:ind w:left="851"/>
        <w:rPr>
          <w:color w:val="000000"/>
          <w:sz w:val="24"/>
          <w:szCs w:val="24"/>
          <w:lang w:val="en-US"/>
        </w:rPr>
      </w:pPr>
    </w:p>
    <w:p w14:paraId="511A7ADA"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Breast-feeding</w:t>
      </w:r>
    </w:p>
    <w:p w14:paraId="7FE7E544"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Desloratadine has been identified in breastfed newborns/infants of treated women. The effect of desloratadine on newborns/infants is unknown. A decision must be made whether to discontinue breast-feeding or to discontinue/abstain from desloratadine therapy </w:t>
      </w:r>
      <w:proofErr w:type="gramStart"/>
      <w:r w:rsidRPr="00207790">
        <w:rPr>
          <w:color w:val="000000"/>
          <w:sz w:val="24"/>
          <w:szCs w:val="24"/>
          <w:lang w:val="en-US"/>
        </w:rPr>
        <w:t>taking into account</w:t>
      </w:r>
      <w:proofErr w:type="gramEnd"/>
      <w:r w:rsidRPr="00207790">
        <w:rPr>
          <w:color w:val="000000"/>
          <w:sz w:val="24"/>
          <w:szCs w:val="24"/>
          <w:lang w:val="en-US"/>
        </w:rPr>
        <w:t xml:space="preserve"> the benefit of breast-feeding for the child and the benefit of therapy for the woman.</w:t>
      </w:r>
    </w:p>
    <w:p w14:paraId="7E536D5E" w14:textId="77777777" w:rsidR="00D7627E" w:rsidRPr="00207790" w:rsidRDefault="00D7627E" w:rsidP="00FC14A8">
      <w:pPr>
        <w:autoSpaceDE w:val="0"/>
        <w:autoSpaceDN w:val="0"/>
        <w:adjustRightInd w:val="0"/>
        <w:ind w:left="851"/>
        <w:rPr>
          <w:color w:val="000000"/>
          <w:sz w:val="24"/>
          <w:szCs w:val="24"/>
          <w:lang w:val="en-US"/>
        </w:rPr>
      </w:pPr>
    </w:p>
    <w:p w14:paraId="61979F2A"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Fertility</w:t>
      </w:r>
    </w:p>
    <w:p w14:paraId="10C1FD61"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There are no data available on male and female fertility.</w:t>
      </w:r>
    </w:p>
    <w:p w14:paraId="684551E9" w14:textId="77777777" w:rsidR="007C5D2A" w:rsidRPr="00207790" w:rsidRDefault="007C5D2A" w:rsidP="003E0341">
      <w:pPr>
        <w:tabs>
          <w:tab w:val="left" w:pos="851"/>
        </w:tabs>
        <w:ind w:left="851"/>
        <w:rPr>
          <w:sz w:val="24"/>
          <w:szCs w:val="24"/>
          <w:lang w:val="en-GB"/>
        </w:rPr>
      </w:pPr>
    </w:p>
    <w:p w14:paraId="4664475D"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4.7</w:t>
      </w:r>
      <w:r w:rsidRPr="00207790">
        <w:rPr>
          <w:b/>
          <w:sz w:val="24"/>
          <w:szCs w:val="24"/>
          <w:lang w:val="en-GB"/>
        </w:rPr>
        <w:tab/>
        <w:t>Effects on ability to drive and use machines</w:t>
      </w:r>
    </w:p>
    <w:p w14:paraId="043ECEE9" w14:textId="77777777" w:rsidR="002C65F9" w:rsidRDefault="002C65F9" w:rsidP="00FC14A8">
      <w:pPr>
        <w:autoSpaceDE w:val="0"/>
        <w:autoSpaceDN w:val="0"/>
        <w:adjustRightInd w:val="0"/>
        <w:ind w:left="851"/>
        <w:rPr>
          <w:color w:val="000000"/>
          <w:sz w:val="24"/>
          <w:szCs w:val="24"/>
          <w:lang w:val="en-US"/>
        </w:rPr>
      </w:pPr>
      <w:r>
        <w:rPr>
          <w:color w:val="000000"/>
          <w:sz w:val="24"/>
          <w:szCs w:val="24"/>
          <w:lang w:val="en-US"/>
        </w:rPr>
        <w:t>No traffic warning.</w:t>
      </w:r>
    </w:p>
    <w:p w14:paraId="69FC9BFC" w14:textId="4ABB086B"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 has no or negligible influence on the ability to drive and use machines based on clinical trials. Patients should be informed that most people do not experience drowsiness. Nevertheless, as there is individual variation in response to all medicinal products, it is recommended that patients are advised not to engage in activities requiring mental alertness, such as driving a car or using machines, until they have established their own response to the medicinal product.</w:t>
      </w:r>
    </w:p>
    <w:p w14:paraId="32DCBB4F" w14:textId="77777777" w:rsidR="007C5D2A" w:rsidRPr="00207790" w:rsidRDefault="007C5D2A" w:rsidP="003E0341">
      <w:pPr>
        <w:tabs>
          <w:tab w:val="left" w:pos="851"/>
        </w:tabs>
        <w:ind w:left="851"/>
        <w:rPr>
          <w:sz w:val="24"/>
          <w:szCs w:val="24"/>
          <w:lang w:val="en-GB"/>
        </w:rPr>
      </w:pPr>
    </w:p>
    <w:p w14:paraId="590A8E3B"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4.8</w:t>
      </w:r>
      <w:r w:rsidRPr="00207790">
        <w:rPr>
          <w:b/>
          <w:sz w:val="24"/>
          <w:szCs w:val="24"/>
          <w:lang w:val="en-GB"/>
        </w:rPr>
        <w:tab/>
        <w:t>Undesirable effects</w:t>
      </w:r>
    </w:p>
    <w:p w14:paraId="5048E949" w14:textId="77777777" w:rsidR="00207790" w:rsidRDefault="00207790" w:rsidP="00FC14A8">
      <w:pPr>
        <w:autoSpaceDE w:val="0"/>
        <w:autoSpaceDN w:val="0"/>
        <w:adjustRightInd w:val="0"/>
        <w:ind w:left="851"/>
        <w:rPr>
          <w:color w:val="000000"/>
          <w:sz w:val="24"/>
          <w:szCs w:val="24"/>
          <w:u w:val="single"/>
          <w:lang w:val="en-US"/>
        </w:rPr>
      </w:pPr>
    </w:p>
    <w:p w14:paraId="56D7FDEE" w14:textId="0A6E9B4F"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Summary of the safety profile</w:t>
      </w:r>
    </w:p>
    <w:p w14:paraId="3735783E" w14:textId="77777777" w:rsidR="00D7627E" w:rsidRPr="00207790" w:rsidRDefault="00D7627E" w:rsidP="00FC14A8">
      <w:pPr>
        <w:autoSpaceDE w:val="0"/>
        <w:autoSpaceDN w:val="0"/>
        <w:adjustRightInd w:val="0"/>
        <w:ind w:left="851"/>
        <w:rPr>
          <w:color w:val="000000"/>
          <w:sz w:val="24"/>
          <w:szCs w:val="24"/>
          <w:lang w:val="en-US"/>
        </w:rPr>
      </w:pPr>
    </w:p>
    <w:p w14:paraId="1952A1C4"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Pediatric population</w:t>
      </w:r>
    </w:p>
    <w:p w14:paraId="12149B5F"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 clinical trials in a paediatric population, the desloratadine syrup formulation was administered to a total of 246 children aged 6 months through 11 years. The overall incidence of adverse events in children 2 through 11 years of age was similar for the desloratadine and the placebo groups. In infants and toddlers aged 6 to 23 months, the most frequent adverse reactions reported in excess of placebo were </w:t>
      </w:r>
      <w:proofErr w:type="spellStart"/>
      <w:r w:rsidRPr="00207790">
        <w:rPr>
          <w:color w:val="000000"/>
          <w:sz w:val="24"/>
          <w:szCs w:val="24"/>
          <w:lang w:val="en-US"/>
        </w:rPr>
        <w:t>diarrhoea</w:t>
      </w:r>
      <w:proofErr w:type="spellEnd"/>
      <w:r w:rsidRPr="00207790">
        <w:rPr>
          <w:color w:val="000000"/>
          <w:sz w:val="24"/>
          <w:szCs w:val="24"/>
          <w:lang w:val="en-US"/>
        </w:rPr>
        <w:t xml:space="preserve"> (3.7 %), fever (2.3 %) and insomnia (2.3 %). In an additional study, no adverse events were seen in subjects between 6 and 11 years of age following a single 2.5 mg dose of desloratadine oral solution.</w:t>
      </w:r>
    </w:p>
    <w:p w14:paraId="3B9943B5" w14:textId="77777777" w:rsidR="00D7627E" w:rsidRPr="00207790" w:rsidRDefault="00D7627E" w:rsidP="00FC14A8">
      <w:pPr>
        <w:autoSpaceDE w:val="0"/>
        <w:autoSpaceDN w:val="0"/>
        <w:adjustRightInd w:val="0"/>
        <w:ind w:left="851"/>
        <w:rPr>
          <w:color w:val="000000"/>
          <w:sz w:val="24"/>
          <w:szCs w:val="24"/>
          <w:lang w:val="en-US"/>
        </w:rPr>
      </w:pPr>
    </w:p>
    <w:p w14:paraId="01C75970"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In a clinical trial with 578 adolescent patients, 12 through 17 years of age, the most common adverse event was headache; this occurred in 5.9 % of patients treated with desloratadine and 6.9 % of patients receiving placebo.</w:t>
      </w:r>
    </w:p>
    <w:p w14:paraId="57BED9A1" w14:textId="77777777" w:rsidR="00D7627E" w:rsidRPr="00207790" w:rsidRDefault="00D7627E" w:rsidP="00FC14A8">
      <w:pPr>
        <w:autoSpaceDE w:val="0"/>
        <w:autoSpaceDN w:val="0"/>
        <w:adjustRightInd w:val="0"/>
        <w:ind w:left="851"/>
        <w:rPr>
          <w:color w:val="000000"/>
          <w:sz w:val="24"/>
          <w:szCs w:val="24"/>
          <w:lang w:val="en-US"/>
        </w:rPr>
      </w:pPr>
    </w:p>
    <w:p w14:paraId="4FAFDB51"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Adults and adolescents</w:t>
      </w:r>
    </w:p>
    <w:p w14:paraId="287D9D80"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At the recommended dose, in clinical trials involving adults and adolescents in a range of indications including allergic rhinitis and chronic idiopathic urticaria, undesirable effects with desloratadine were reported in 3 % of patients in excess of those treated with placebo. The most frequent of adverse events reported in excess of placebo were fatigue (1.2 %), dry mouth (0.8 %) and headache (0.6 %).</w:t>
      </w:r>
    </w:p>
    <w:p w14:paraId="761000A1" w14:textId="77777777" w:rsidR="00D7627E" w:rsidRPr="00207790" w:rsidRDefault="00D7627E" w:rsidP="00FC14A8">
      <w:pPr>
        <w:autoSpaceDE w:val="0"/>
        <w:autoSpaceDN w:val="0"/>
        <w:adjustRightInd w:val="0"/>
        <w:ind w:left="851"/>
        <w:rPr>
          <w:color w:val="000000"/>
          <w:sz w:val="24"/>
          <w:szCs w:val="24"/>
          <w:lang w:val="en-US"/>
        </w:rPr>
      </w:pPr>
    </w:p>
    <w:p w14:paraId="5EF5051E"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Tabulated list of adverse reactions</w:t>
      </w:r>
    </w:p>
    <w:p w14:paraId="78D227A3"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The frequency of the clinical trial adverse reactions reported in excess of placebo and other undesirable effects reported during the post-marketing period are listed in the following table.</w:t>
      </w:r>
    </w:p>
    <w:p w14:paraId="31478CF4" w14:textId="696CE7AB" w:rsidR="00D7627E" w:rsidRDefault="00D7627E" w:rsidP="00FC14A8">
      <w:pPr>
        <w:autoSpaceDE w:val="0"/>
        <w:autoSpaceDN w:val="0"/>
        <w:adjustRightInd w:val="0"/>
        <w:ind w:left="851"/>
        <w:rPr>
          <w:sz w:val="24"/>
          <w:szCs w:val="24"/>
          <w:lang w:val="en-US"/>
        </w:rPr>
      </w:pPr>
      <w:r w:rsidRPr="00207790">
        <w:rPr>
          <w:sz w:val="24"/>
          <w:szCs w:val="24"/>
          <w:lang w:val="en-US"/>
        </w:rPr>
        <w:t>Frequencies are defined as very common (≥ 1/10), common (≥ 1/100 to &lt; 1/10), uncommon (≥ 1/1,000 to &lt; 1/100), rare (≥ 1/10,000 to &lt; 1/1,000), very rare (&lt; 1/10,000) and not known (cannot be estimated from the available data).</w:t>
      </w:r>
    </w:p>
    <w:p w14:paraId="120075E6" w14:textId="77777777" w:rsidR="00207790" w:rsidRPr="00207790" w:rsidRDefault="00207790" w:rsidP="00FC14A8">
      <w:pPr>
        <w:autoSpaceDE w:val="0"/>
        <w:autoSpaceDN w:val="0"/>
        <w:adjustRightInd w:val="0"/>
        <w:ind w:left="851"/>
        <w:rPr>
          <w:color w:val="000000"/>
          <w:sz w:val="24"/>
          <w:szCs w:val="24"/>
          <w:lang w:val="en-US"/>
        </w:rPr>
      </w:pPr>
    </w:p>
    <w:tbl>
      <w:tblPr>
        <w:tblW w:w="5000" w:type="pct"/>
        <w:tblLook w:val="04A0" w:firstRow="1" w:lastRow="0" w:firstColumn="1" w:lastColumn="0" w:noHBand="0" w:noVBand="1"/>
      </w:tblPr>
      <w:tblGrid>
        <w:gridCol w:w="3632"/>
        <w:gridCol w:w="1747"/>
        <w:gridCol w:w="4243"/>
      </w:tblGrid>
      <w:tr w:rsidR="00D7627E" w:rsidRPr="00A45DE5" w14:paraId="6F23DA41"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tcPr>
          <w:p w14:paraId="43C8B273" w14:textId="77777777" w:rsidR="00D7627E" w:rsidRPr="00207790" w:rsidRDefault="00D7627E" w:rsidP="00207790">
            <w:pPr>
              <w:rPr>
                <w:b/>
                <w:sz w:val="24"/>
                <w:szCs w:val="24"/>
              </w:rPr>
            </w:pPr>
            <w:r w:rsidRPr="00207790">
              <w:rPr>
                <w:b/>
                <w:sz w:val="24"/>
                <w:szCs w:val="24"/>
              </w:rPr>
              <w:t>System Organ Class</w:t>
            </w:r>
          </w:p>
          <w:p w14:paraId="0572B402" w14:textId="77777777" w:rsidR="00D7627E" w:rsidRPr="00207790" w:rsidRDefault="00D7627E" w:rsidP="00207790">
            <w:pPr>
              <w:rPr>
                <w:b/>
                <w:sz w:val="24"/>
                <w:szCs w:val="24"/>
              </w:rPr>
            </w:pPr>
          </w:p>
        </w:tc>
        <w:tc>
          <w:tcPr>
            <w:tcW w:w="908" w:type="pct"/>
            <w:tcBorders>
              <w:top w:val="single" w:sz="6" w:space="0" w:color="000000"/>
              <w:left w:val="single" w:sz="6" w:space="0" w:color="000000"/>
              <w:bottom w:val="single" w:sz="6" w:space="0" w:color="000000"/>
              <w:right w:val="single" w:sz="6" w:space="0" w:color="000000"/>
            </w:tcBorders>
            <w:hideMark/>
          </w:tcPr>
          <w:p w14:paraId="1C70561E" w14:textId="77777777" w:rsidR="00D7627E" w:rsidRPr="00207790" w:rsidRDefault="00D7627E" w:rsidP="00207790">
            <w:pPr>
              <w:rPr>
                <w:b/>
                <w:sz w:val="24"/>
                <w:szCs w:val="24"/>
              </w:rPr>
            </w:pPr>
            <w:proofErr w:type="spellStart"/>
            <w:r w:rsidRPr="00207790">
              <w:rPr>
                <w:b/>
                <w:sz w:val="24"/>
                <w:szCs w:val="24"/>
              </w:rPr>
              <w:t>Frequency</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1CA488E1" w14:textId="77777777" w:rsidR="00D7627E" w:rsidRPr="00207790" w:rsidRDefault="00D7627E" w:rsidP="00207790">
            <w:pPr>
              <w:rPr>
                <w:b/>
                <w:sz w:val="24"/>
                <w:szCs w:val="24"/>
                <w:lang w:val="en-US"/>
              </w:rPr>
            </w:pPr>
            <w:r w:rsidRPr="00207790">
              <w:rPr>
                <w:b/>
                <w:sz w:val="24"/>
                <w:szCs w:val="24"/>
                <w:lang w:val="en-US"/>
              </w:rPr>
              <w:t>Adverse reactions seen with desloratadine</w:t>
            </w:r>
          </w:p>
        </w:tc>
      </w:tr>
      <w:tr w:rsidR="00D7627E" w:rsidRPr="00207790" w14:paraId="5FFDF449"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4D78EA7F" w14:textId="77777777" w:rsidR="00D7627E" w:rsidRPr="00207790" w:rsidRDefault="00D7627E" w:rsidP="00207790">
            <w:pPr>
              <w:rPr>
                <w:b/>
                <w:sz w:val="24"/>
                <w:szCs w:val="24"/>
              </w:rPr>
            </w:pPr>
            <w:proofErr w:type="spellStart"/>
            <w:r w:rsidRPr="00207790">
              <w:rPr>
                <w:b/>
                <w:sz w:val="24"/>
                <w:szCs w:val="24"/>
              </w:rPr>
              <w:t>Metabolism</w:t>
            </w:r>
            <w:proofErr w:type="spellEnd"/>
            <w:r w:rsidRPr="00207790">
              <w:rPr>
                <w:b/>
                <w:sz w:val="24"/>
                <w:szCs w:val="24"/>
              </w:rPr>
              <w:t xml:space="preserve"> and </w:t>
            </w:r>
            <w:proofErr w:type="spellStart"/>
            <w:r w:rsidRPr="00207790">
              <w:rPr>
                <w:b/>
                <w:sz w:val="24"/>
                <w:szCs w:val="24"/>
              </w:rPr>
              <w:t>nutrition</w:t>
            </w:r>
            <w:proofErr w:type="spellEnd"/>
            <w:r w:rsidRPr="00207790">
              <w:rPr>
                <w:b/>
                <w:sz w:val="24"/>
                <w:szCs w:val="24"/>
              </w:rPr>
              <w:t xml:space="preserve"> </w:t>
            </w:r>
            <w:proofErr w:type="spellStart"/>
            <w:r w:rsidRPr="00207790">
              <w:rPr>
                <w:b/>
                <w:sz w:val="24"/>
                <w:szCs w:val="24"/>
              </w:rPr>
              <w:t>disorders</w:t>
            </w:r>
            <w:proofErr w:type="spellEnd"/>
          </w:p>
        </w:tc>
        <w:tc>
          <w:tcPr>
            <w:tcW w:w="908" w:type="pct"/>
            <w:tcBorders>
              <w:top w:val="single" w:sz="6" w:space="0" w:color="000000"/>
              <w:left w:val="single" w:sz="6" w:space="0" w:color="000000"/>
              <w:bottom w:val="single" w:sz="6" w:space="0" w:color="000000"/>
              <w:right w:val="single" w:sz="6" w:space="0" w:color="000000"/>
            </w:tcBorders>
            <w:hideMark/>
          </w:tcPr>
          <w:p w14:paraId="32C8DFC8"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5F3DC6BC" w14:textId="77777777" w:rsidR="00D7627E" w:rsidRPr="00207790" w:rsidRDefault="00D7627E" w:rsidP="00207790">
            <w:pPr>
              <w:rPr>
                <w:sz w:val="24"/>
                <w:szCs w:val="24"/>
              </w:rPr>
            </w:pPr>
            <w:proofErr w:type="spellStart"/>
            <w:r w:rsidRPr="00207790">
              <w:rPr>
                <w:sz w:val="24"/>
                <w:szCs w:val="24"/>
              </w:rPr>
              <w:t>Increased</w:t>
            </w:r>
            <w:proofErr w:type="spellEnd"/>
            <w:r w:rsidRPr="00207790">
              <w:rPr>
                <w:sz w:val="24"/>
                <w:szCs w:val="24"/>
              </w:rPr>
              <w:t xml:space="preserve"> </w:t>
            </w:r>
            <w:proofErr w:type="spellStart"/>
            <w:r w:rsidRPr="00207790">
              <w:rPr>
                <w:sz w:val="24"/>
                <w:szCs w:val="24"/>
              </w:rPr>
              <w:t>appetite</w:t>
            </w:r>
            <w:proofErr w:type="spellEnd"/>
          </w:p>
        </w:tc>
      </w:tr>
      <w:tr w:rsidR="00D7627E" w:rsidRPr="00A45DE5" w14:paraId="1254DE58"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2C917421" w14:textId="77777777" w:rsidR="00D7627E" w:rsidRPr="00207790" w:rsidRDefault="00D7627E" w:rsidP="00207790">
            <w:pPr>
              <w:rPr>
                <w:b/>
                <w:sz w:val="24"/>
                <w:szCs w:val="24"/>
              </w:rPr>
            </w:pPr>
            <w:proofErr w:type="spellStart"/>
            <w:r w:rsidRPr="00207790">
              <w:rPr>
                <w:b/>
                <w:sz w:val="24"/>
                <w:szCs w:val="24"/>
              </w:rPr>
              <w:t>Psychiatric</w:t>
            </w:r>
            <w:proofErr w:type="spellEnd"/>
            <w:r w:rsidRPr="00207790">
              <w:rPr>
                <w:b/>
                <w:sz w:val="24"/>
                <w:szCs w:val="24"/>
              </w:rPr>
              <w:t xml:space="preserve"> </w:t>
            </w:r>
            <w:proofErr w:type="spellStart"/>
            <w:r w:rsidRPr="00207790">
              <w:rPr>
                <w:b/>
                <w:sz w:val="24"/>
                <w:szCs w:val="24"/>
              </w:rPr>
              <w:t>disorders</w:t>
            </w:r>
            <w:proofErr w:type="spellEnd"/>
            <w:r w:rsidRPr="00207790">
              <w:rPr>
                <w:b/>
                <w:sz w:val="24"/>
                <w:szCs w:val="24"/>
              </w:rPr>
              <w:t xml:space="preserve"> </w:t>
            </w:r>
          </w:p>
        </w:tc>
        <w:tc>
          <w:tcPr>
            <w:tcW w:w="908" w:type="pct"/>
            <w:tcBorders>
              <w:top w:val="single" w:sz="6" w:space="0" w:color="000000"/>
              <w:left w:val="single" w:sz="6" w:space="0" w:color="000000"/>
              <w:bottom w:val="single" w:sz="6" w:space="0" w:color="000000"/>
              <w:right w:val="single" w:sz="6" w:space="0" w:color="000000"/>
            </w:tcBorders>
            <w:hideMark/>
          </w:tcPr>
          <w:p w14:paraId="6320E722"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p w14:paraId="004FF8B2"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17046303" w14:textId="77777777" w:rsidR="00D7627E" w:rsidRPr="00207790" w:rsidRDefault="00D7627E" w:rsidP="00207790">
            <w:pPr>
              <w:rPr>
                <w:sz w:val="24"/>
                <w:szCs w:val="24"/>
                <w:lang w:val="en-US"/>
              </w:rPr>
            </w:pPr>
            <w:r w:rsidRPr="00207790">
              <w:rPr>
                <w:sz w:val="24"/>
                <w:szCs w:val="24"/>
                <w:lang w:val="en-US"/>
              </w:rPr>
              <w:t xml:space="preserve">Hallucinations </w:t>
            </w:r>
          </w:p>
          <w:p w14:paraId="1E573339" w14:textId="77777777" w:rsidR="00D7627E" w:rsidRPr="00207790" w:rsidRDefault="00D7627E" w:rsidP="00207790">
            <w:pPr>
              <w:rPr>
                <w:sz w:val="24"/>
                <w:szCs w:val="24"/>
                <w:lang w:val="en-US"/>
              </w:rPr>
            </w:pPr>
            <w:r w:rsidRPr="00207790">
              <w:rPr>
                <w:sz w:val="24"/>
                <w:szCs w:val="24"/>
                <w:lang w:val="en-US"/>
              </w:rPr>
              <w:t xml:space="preserve">Abnormal </w:t>
            </w:r>
            <w:proofErr w:type="spellStart"/>
            <w:r w:rsidRPr="00207790">
              <w:rPr>
                <w:sz w:val="24"/>
                <w:szCs w:val="24"/>
                <w:lang w:val="en-US"/>
              </w:rPr>
              <w:t>behaviour</w:t>
            </w:r>
            <w:proofErr w:type="spellEnd"/>
            <w:r w:rsidRPr="00207790">
              <w:rPr>
                <w:sz w:val="24"/>
                <w:szCs w:val="24"/>
                <w:lang w:val="en-US"/>
              </w:rPr>
              <w:t>, aggression, depressed mood</w:t>
            </w:r>
          </w:p>
        </w:tc>
      </w:tr>
      <w:tr w:rsidR="00D7627E" w:rsidRPr="00A45DE5" w14:paraId="439B0361"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5CE28A58" w14:textId="77777777" w:rsidR="00D7627E" w:rsidRPr="00207790" w:rsidRDefault="00D7627E" w:rsidP="00207790">
            <w:pPr>
              <w:rPr>
                <w:b/>
                <w:sz w:val="24"/>
                <w:szCs w:val="24"/>
              </w:rPr>
            </w:pPr>
            <w:proofErr w:type="spellStart"/>
            <w:r w:rsidRPr="00207790">
              <w:rPr>
                <w:b/>
                <w:sz w:val="24"/>
                <w:szCs w:val="24"/>
              </w:rPr>
              <w:t>Nervous</w:t>
            </w:r>
            <w:proofErr w:type="spellEnd"/>
            <w:r w:rsidRPr="00207790">
              <w:rPr>
                <w:b/>
                <w:sz w:val="24"/>
                <w:szCs w:val="24"/>
              </w:rPr>
              <w:t xml:space="preserve"> system </w:t>
            </w:r>
            <w:proofErr w:type="spellStart"/>
            <w:r w:rsidRPr="00207790">
              <w:rPr>
                <w:b/>
                <w:sz w:val="24"/>
                <w:szCs w:val="24"/>
              </w:rPr>
              <w:t>disorders</w:t>
            </w:r>
            <w:proofErr w:type="spellEnd"/>
            <w:r w:rsidRPr="00207790">
              <w:rPr>
                <w:b/>
                <w:sz w:val="24"/>
                <w:szCs w:val="24"/>
              </w:rPr>
              <w:t xml:space="preserve"> </w:t>
            </w:r>
          </w:p>
        </w:tc>
        <w:tc>
          <w:tcPr>
            <w:tcW w:w="908" w:type="pct"/>
            <w:tcBorders>
              <w:top w:val="single" w:sz="6" w:space="0" w:color="000000"/>
              <w:left w:val="single" w:sz="6" w:space="0" w:color="000000"/>
              <w:bottom w:val="single" w:sz="6" w:space="0" w:color="000000"/>
              <w:right w:val="single" w:sz="6" w:space="0" w:color="000000"/>
            </w:tcBorders>
            <w:hideMark/>
          </w:tcPr>
          <w:p w14:paraId="79E22A88" w14:textId="77777777" w:rsidR="00D7627E" w:rsidRPr="00207790" w:rsidRDefault="00D7627E" w:rsidP="00207790">
            <w:pPr>
              <w:rPr>
                <w:sz w:val="24"/>
                <w:szCs w:val="24"/>
                <w:lang w:val="en-US"/>
              </w:rPr>
            </w:pPr>
            <w:r w:rsidRPr="00207790">
              <w:rPr>
                <w:sz w:val="24"/>
                <w:szCs w:val="24"/>
                <w:lang w:val="en-US"/>
              </w:rPr>
              <w:t>Common</w:t>
            </w:r>
          </w:p>
          <w:p w14:paraId="74869811" w14:textId="77777777" w:rsidR="00D7627E" w:rsidRPr="00207790" w:rsidRDefault="00D7627E" w:rsidP="00207790">
            <w:pPr>
              <w:rPr>
                <w:sz w:val="24"/>
                <w:szCs w:val="24"/>
                <w:lang w:val="en-US"/>
              </w:rPr>
            </w:pPr>
            <w:r w:rsidRPr="00207790">
              <w:rPr>
                <w:sz w:val="24"/>
                <w:szCs w:val="24"/>
                <w:lang w:val="en-US"/>
              </w:rPr>
              <w:t>Common (children less than 2 years)</w:t>
            </w:r>
          </w:p>
          <w:p w14:paraId="6A84BD55"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tc>
        <w:tc>
          <w:tcPr>
            <w:tcW w:w="2205" w:type="pct"/>
            <w:tcBorders>
              <w:top w:val="single" w:sz="6" w:space="0" w:color="000000"/>
              <w:left w:val="single" w:sz="6" w:space="0" w:color="000000"/>
              <w:bottom w:val="single" w:sz="6" w:space="0" w:color="000000"/>
              <w:right w:val="single" w:sz="6" w:space="0" w:color="000000"/>
            </w:tcBorders>
          </w:tcPr>
          <w:p w14:paraId="01605B25" w14:textId="77777777" w:rsidR="00D7627E" w:rsidRPr="00207790" w:rsidRDefault="00D7627E" w:rsidP="00207790">
            <w:pPr>
              <w:rPr>
                <w:sz w:val="24"/>
                <w:szCs w:val="24"/>
                <w:lang w:val="en-US"/>
              </w:rPr>
            </w:pPr>
            <w:r w:rsidRPr="00207790">
              <w:rPr>
                <w:sz w:val="24"/>
                <w:szCs w:val="24"/>
                <w:lang w:val="en-US"/>
              </w:rPr>
              <w:t>Headache</w:t>
            </w:r>
          </w:p>
          <w:p w14:paraId="6895582E" w14:textId="77777777" w:rsidR="00D7627E" w:rsidRPr="00207790" w:rsidRDefault="00D7627E" w:rsidP="00207790">
            <w:pPr>
              <w:rPr>
                <w:sz w:val="24"/>
                <w:szCs w:val="24"/>
                <w:lang w:val="en-US"/>
              </w:rPr>
            </w:pPr>
            <w:r w:rsidRPr="00207790">
              <w:rPr>
                <w:sz w:val="24"/>
                <w:szCs w:val="24"/>
                <w:lang w:val="en-US"/>
              </w:rPr>
              <w:t>Insomnia</w:t>
            </w:r>
          </w:p>
          <w:p w14:paraId="4464D054" w14:textId="77777777" w:rsidR="00D7627E" w:rsidRPr="00207790" w:rsidRDefault="00D7627E" w:rsidP="00207790">
            <w:pPr>
              <w:rPr>
                <w:sz w:val="24"/>
                <w:szCs w:val="24"/>
                <w:lang w:val="en-US"/>
              </w:rPr>
            </w:pPr>
          </w:p>
          <w:p w14:paraId="6A98EFDE" w14:textId="77777777" w:rsidR="00D7627E" w:rsidRPr="00207790" w:rsidRDefault="00D7627E" w:rsidP="00207790">
            <w:pPr>
              <w:rPr>
                <w:sz w:val="24"/>
                <w:szCs w:val="24"/>
                <w:lang w:val="en-US"/>
              </w:rPr>
            </w:pPr>
          </w:p>
          <w:p w14:paraId="08371130" w14:textId="77777777" w:rsidR="00D7627E" w:rsidRPr="00207790" w:rsidRDefault="00D7627E" w:rsidP="00207790">
            <w:pPr>
              <w:rPr>
                <w:sz w:val="24"/>
                <w:szCs w:val="24"/>
                <w:lang w:val="en-US"/>
              </w:rPr>
            </w:pPr>
            <w:r w:rsidRPr="00207790">
              <w:rPr>
                <w:sz w:val="24"/>
                <w:szCs w:val="24"/>
                <w:lang w:val="en-US"/>
              </w:rPr>
              <w:t xml:space="preserve">Dizziness, somnolence, insomnia, psychomotor hyperactivity, seizures </w:t>
            </w:r>
          </w:p>
        </w:tc>
      </w:tr>
      <w:tr w:rsidR="00D7627E" w:rsidRPr="00207790" w14:paraId="4D4ED085"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tcPr>
          <w:p w14:paraId="0A3C9DD6" w14:textId="2535E71E" w:rsidR="00D7627E" w:rsidRPr="00207790" w:rsidRDefault="00D7627E" w:rsidP="00483713">
            <w:pPr>
              <w:rPr>
                <w:b/>
                <w:sz w:val="24"/>
                <w:szCs w:val="24"/>
              </w:rPr>
            </w:pPr>
            <w:r w:rsidRPr="00207790">
              <w:rPr>
                <w:b/>
                <w:sz w:val="24"/>
                <w:szCs w:val="24"/>
              </w:rPr>
              <w:t xml:space="preserve">Eye </w:t>
            </w:r>
            <w:proofErr w:type="spellStart"/>
            <w:r w:rsidRPr="00207790">
              <w:rPr>
                <w:b/>
                <w:sz w:val="24"/>
                <w:szCs w:val="24"/>
              </w:rPr>
              <w:t>disorders</w:t>
            </w:r>
            <w:proofErr w:type="spellEnd"/>
          </w:p>
        </w:tc>
        <w:tc>
          <w:tcPr>
            <w:tcW w:w="908" w:type="pct"/>
            <w:tcBorders>
              <w:top w:val="single" w:sz="6" w:space="0" w:color="000000"/>
              <w:left w:val="single" w:sz="6" w:space="0" w:color="000000"/>
              <w:bottom w:val="single" w:sz="6" w:space="0" w:color="000000"/>
              <w:right w:val="single" w:sz="6" w:space="0" w:color="000000"/>
            </w:tcBorders>
          </w:tcPr>
          <w:p w14:paraId="0EA0AECB"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455E4A22" w14:textId="77777777" w:rsidR="00D7627E" w:rsidRPr="00207790" w:rsidRDefault="00D7627E" w:rsidP="00207790">
            <w:pPr>
              <w:rPr>
                <w:sz w:val="24"/>
                <w:szCs w:val="24"/>
              </w:rPr>
            </w:pPr>
            <w:r w:rsidRPr="00207790">
              <w:rPr>
                <w:sz w:val="24"/>
                <w:szCs w:val="24"/>
              </w:rPr>
              <w:t xml:space="preserve">Eye </w:t>
            </w:r>
            <w:proofErr w:type="spellStart"/>
            <w:r w:rsidRPr="00207790">
              <w:rPr>
                <w:sz w:val="24"/>
                <w:szCs w:val="24"/>
              </w:rPr>
              <w:t>dryness</w:t>
            </w:r>
            <w:proofErr w:type="spellEnd"/>
          </w:p>
        </w:tc>
      </w:tr>
      <w:tr w:rsidR="00D7627E" w:rsidRPr="00207790" w14:paraId="7F6F8933"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63A253CF" w14:textId="77777777" w:rsidR="00D7627E" w:rsidRPr="00207790" w:rsidRDefault="00D7627E" w:rsidP="00207790">
            <w:pPr>
              <w:rPr>
                <w:b/>
                <w:sz w:val="24"/>
                <w:szCs w:val="24"/>
              </w:rPr>
            </w:pPr>
            <w:proofErr w:type="spellStart"/>
            <w:r w:rsidRPr="00207790">
              <w:rPr>
                <w:b/>
                <w:sz w:val="24"/>
                <w:szCs w:val="24"/>
              </w:rPr>
              <w:t>Cardiac</w:t>
            </w:r>
            <w:proofErr w:type="spellEnd"/>
            <w:r w:rsidRPr="00207790">
              <w:rPr>
                <w:b/>
                <w:sz w:val="24"/>
                <w:szCs w:val="24"/>
              </w:rPr>
              <w:t xml:space="preserve"> </w:t>
            </w:r>
            <w:proofErr w:type="spellStart"/>
            <w:r w:rsidRPr="00207790">
              <w:rPr>
                <w:b/>
                <w:sz w:val="24"/>
                <w:szCs w:val="24"/>
              </w:rPr>
              <w:t>disorders</w:t>
            </w:r>
            <w:proofErr w:type="spellEnd"/>
            <w:r w:rsidRPr="00207790">
              <w:rPr>
                <w:b/>
                <w:sz w:val="24"/>
                <w:szCs w:val="24"/>
              </w:rPr>
              <w:t xml:space="preserve"> </w:t>
            </w:r>
          </w:p>
        </w:tc>
        <w:tc>
          <w:tcPr>
            <w:tcW w:w="908" w:type="pct"/>
            <w:tcBorders>
              <w:top w:val="single" w:sz="6" w:space="0" w:color="000000"/>
              <w:left w:val="single" w:sz="6" w:space="0" w:color="000000"/>
              <w:bottom w:val="single" w:sz="6" w:space="0" w:color="000000"/>
              <w:right w:val="single" w:sz="6" w:space="0" w:color="000000"/>
            </w:tcBorders>
            <w:hideMark/>
          </w:tcPr>
          <w:p w14:paraId="65760FB4"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p w14:paraId="7D454E9E"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66E6089E" w14:textId="77777777" w:rsidR="00D7627E" w:rsidRPr="00207790" w:rsidRDefault="00D7627E" w:rsidP="00207790">
            <w:pPr>
              <w:rPr>
                <w:sz w:val="24"/>
                <w:szCs w:val="24"/>
              </w:rPr>
            </w:pPr>
            <w:proofErr w:type="spellStart"/>
            <w:r w:rsidRPr="00207790">
              <w:rPr>
                <w:sz w:val="24"/>
                <w:szCs w:val="24"/>
              </w:rPr>
              <w:t>Tachycardia</w:t>
            </w:r>
            <w:proofErr w:type="spellEnd"/>
            <w:r w:rsidRPr="00207790">
              <w:rPr>
                <w:sz w:val="24"/>
                <w:szCs w:val="24"/>
              </w:rPr>
              <w:t xml:space="preserve">, </w:t>
            </w:r>
            <w:proofErr w:type="spellStart"/>
            <w:r w:rsidRPr="00207790">
              <w:rPr>
                <w:sz w:val="24"/>
                <w:szCs w:val="24"/>
              </w:rPr>
              <w:t>palpitations</w:t>
            </w:r>
            <w:proofErr w:type="spellEnd"/>
            <w:r w:rsidRPr="00207790">
              <w:rPr>
                <w:sz w:val="24"/>
                <w:szCs w:val="24"/>
              </w:rPr>
              <w:t xml:space="preserve"> </w:t>
            </w:r>
          </w:p>
          <w:p w14:paraId="21E5941B" w14:textId="77777777" w:rsidR="00D7627E" w:rsidRPr="00207790" w:rsidRDefault="00D7627E" w:rsidP="00207790">
            <w:pPr>
              <w:rPr>
                <w:sz w:val="24"/>
                <w:szCs w:val="24"/>
              </w:rPr>
            </w:pPr>
            <w:proofErr w:type="gramStart"/>
            <w:r w:rsidRPr="00207790">
              <w:rPr>
                <w:sz w:val="24"/>
                <w:szCs w:val="24"/>
              </w:rPr>
              <w:t>QT prolongation</w:t>
            </w:r>
            <w:proofErr w:type="gramEnd"/>
          </w:p>
        </w:tc>
      </w:tr>
      <w:tr w:rsidR="00D7627E" w:rsidRPr="00A45DE5" w14:paraId="199B7910"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74EF6EF9" w14:textId="77777777" w:rsidR="00D7627E" w:rsidRPr="00207790" w:rsidRDefault="00D7627E" w:rsidP="00207790">
            <w:pPr>
              <w:rPr>
                <w:b/>
                <w:sz w:val="24"/>
                <w:szCs w:val="24"/>
              </w:rPr>
            </w:pPr>
            <w:proofErr w:type="spellStart"/>
            <w:r w:rsidRPr="00207790">
              <w:rPr>
                <w:b/>
                <w:sz w:val="24"/>
                <w:szCs w:val="24"/>
              </w:rPr>
              <w:t>Gastrointestinal</w:t>
            </w:r>
            <w:proofErr w:type="spellEnd"/>
            <w:r w:rsidRPr="00207790">
              <w:rPr>
                <w:b/>
                <w:sz w:val="24"/>
                <w:szCs w:val="24"/>
              </w:rPr>
              <w:t xml:space="preserve"> </w:t>
            </w:r>
            <w:proofErr w:type="spellStart"/>
            <w:r w:rsidRPr="00207790">
              <w:rPr>
                <w:b/>
                <w:sz w:val="24"/>
                <w:szCs w:val="24"/>
              </w:rPr>
              <w:t>disorders</w:t>
            </w:r>
            <w:proofErr w:type="spellEnd"/>
            <w:r w:rsidRPr="00207790">
              <w:rPr>
                <w:b/>
                <w:sz w:val="24"/>
                <w:szCs w:val="24"/>
              </w:rPr>
              <w:t xml:space="preserve"> </w:t>
            </w:r>
          </w:p>
        </w:tc>
        <w:tc>
          <w:tcPr>
            <w:tcW w:w="908" w:type="pct"/>
            <w:tcBorders>
              <w:top w:val="single" w:sz="6" w:space="0" w:color="000000"/>
              <w:left w:val="single" w:sz="6" w:space="0" w:color="000000"/>
              <w:bottom w:val="single" w:sz="6" w:space="0" w:color="000000"/>
              <w:right w:val="single" w:sz="6" w:space="0" w:color="000000"/>
            </w:tcBorders>
            <w:hideMark/>
          </w:tcPr>
          <w:p w14:paraId="208133A1" w14:textId="77777777" w:rsidR="00D7627E" w:rsidRPr="00207790" w:rsidRDefault="00D7627E" w:rsidP="00207790">
            <w:pPr>
              <w:rPr>
                <w:sz w:val="24"/>
                <w:szCs w:val="24"/>
                <w:lang w:val="en-US"/>
              </w:rPr>
            </w:pPr>
            <w:r w:rsidRPr="00207790">
              <w:rPr>
                <w:sz w:val="24"/>
                <w:szCs w:val="24"/>
                <w:lang w:val="en-US"/>
              </w:rPr>
              <w:t>Common</w:t>
            </w:r>
          </w:p>
          <w:p w14:paraId="17A673FE" w14:textId="77777777" w:rsidR="00D7627E" w:rsidRPr="00207790" w:rsidRDefault="00D7627E" w:rsidP="00207790">
            <w:pPr>
              <w:rPr>
                <w:sz w:val="24"/>
                <w:szCs w:val="24"/>
                <w:lang w:val="en-US"/>
              </w:rPr>
            </w:pPr>
            <w:r w:rsidRPr="00207790">
              <w:rPr>
                <w:sz w:val="24"/>
                <w:szCs w:val="24"/>
                <w:lang w:val="en-US"/>
              </w:rPr>
              <w:t>Common (children less than 2 years)</w:t>
            </w:r>
          </w:p>
          <w:p w14:paraId="67BC9C35"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tc>
        <w:tc>
          <w:tcPr>
            <w:tcW w:w="2205" w:type="pct"/>
            <w:tcBorders>
              <w:top w:val="single" w:sz="6" w:space="0" w:color="000000"/>
              <w:left w:val="single" w:sz="6" w:space="0" w:color="000000"/>
              <w:bottom w:val="single" w:sz="6" w:space="0" w:color="000000"/>
              <w:right w:val="single" w:sz="6" w:space="0" w:color="000000"/>
            </w:tcBorders>
          </w:tcPr>
          <w:p w14:paraId="49C17B4A" w14:textId="77777777" w:rsidR="00D7627E" w:rsidRPr="00207790" w:rsidRDefault="00D7627E" w:rsidP="00207790">
            <w:pPr>
              <w:rPr>
                <w:sz w:val="24"/>
                <w:szCs w:val="24"/>
                <w:lang w:val="en-US"/>
              </w:rPr>
            </w:pPr>
            <w:r w:rsidRPr="00207790">
              <w:rPr>
                <w:sz w:val="24"/>
                <w:szCs w:val="24"/>
                <w:lang w:val="en-US"/>
              </w:rPr>
              <w:t>Dry mouth</w:t>
            </w:r>
          </w:p>
          <w:p w14:paraId="1EA39E27" w14:textId="77777777" w:rsidR="00D7627E" w:rsidRPr="00207790" w:rsidRDefault="00D7627E" w:rsidP="00207790">
            <w:pPr>
              <w:rPr>
                <w:sz w:val="24"/>
                <w:szCs w:val="24"/>
                <w:lang w:val="en-US"/>
              </w:rPr>
            </w:pPr>
            <w:proofErr w:type="spellStart"/>
            <w:r w:rsidRPr="00207790">
              <w:rPr>
                <w:sz w:val="24"/>
                <w:szCs w:val="24"/>
                <w:lang w:val="en-US"/>
              </w:rPr>
              <w:t>Diarrhoea</w:t>
            </w:r>
            <w:proofErr w:type="spellEnd"/>
          </w:p>
          <w:p w14:paraId="05F6F099" w14:textId="77777777" w:rsidR="00D7627E" w:rsidRPr="00207790" w:rsidRDefault="00D7627E" w:rsidP="00207790">
            <w:pPr>
              <w:rPr>
                <w:sz w:val="24"/>
                <w:szCs w:val="24"/>
                <w:lang w:val="en-US"/>
              </w:rPr>
            </w:pPr>
          </w:p>
          <w:p w14:paraId="6D78DA6C" w14:textId="77777777" w:rsidR="00D7627E" w:rsidRPr="00207790" w:rsidRDefault="00D7627E" w:rsidP="00207790">
            <w:pPr>
              <w:rPr>
                <w:sz w:val="24"/>
                <w:szCs w:val="24"/>
                <w:lang w:val="en-US"/>
              </w:rPr>
            </w:pPr>
          </w:p>
          <w:p w14:paraId="50604DF4" w14:textId="77777777" w:rsidR="00D7627E" w:rsidRPr="00207790" w:rsidRDefault="00D7627E" w:rsidP="00207790">
            <w:pPr>
              <w:rPr>
                <w:sz w:val="24"/>
                <w:szCs w:val="24"/>
                <w:lang w:val="en-US"/>
              </w:rPr>
            </w:pPr>
            <w:r w:rsidRPr="00207790">
              <w:rPr>
                <w:sz w:val="24"/>
                <w:szCs w:val="24"/>
                <w:lang w:val="en-US"/>
              </w:rPr>
              <w:t xml:space="preserve">Abdominal pain, nausea, vomiting, dyspepsia, </w:t>
            </w:r>
            <w:proofErr w:type="spellStart"/>
            <w:r w:rsidRPr="00207790">
              <w:rPr>
                <w:sz w:val="24"/>
                <w:szCs w:val="24"/>
                <w:lang w:val="en-US"/>
              </w:rPr>
              <w:t>diarrhoea</w:t>
            </w:r>
            <w:proofErr w:type="spellEnd"/>
            <w:r w:rsidRPr="00207790">
              <w:rPr>
                <w:sz w:val="24"/>
                <w:szCs w:val="24"/>
                <w:lang w:val="en-US"/>
              </w:rPr>
              <w:t xml:space="preserve"> </w:t>
            </w:r>
          </w:p>
        </w:tc>
      </w:tr>
      <w:tr w:rsidR="00D7627E" w:rsidRPr="00207790" w14:paraId="5025ACB8"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7C80121B" w14:textId="77777777" w:rsidR="00D7627E" w:rsidRPr="00207790" w:rsidRDefault="00D7627E" w:rsidP="00207790">
            <w:pPr>
              <w:rPr>
                <w:b/>
                <w:sz w:val="24"/>
                <w:szCs w:val="24"/>
              </w:rPr>
            </w:pPr>
            <w:proofErr w:type="spellStart"/>
            <w:r w:rsidRPr="00207790">
              <w:rPr>
                <w:b/>
                <w:sz w:val="24"/>
                <w:szCs w:val="24"/>
              </w:rPr>
              <w:t>Hepatobiliary</w:t>
            </w:r>
            <w:proofErr w:type="spellEnd"/>
            <w:r w:rsidRPr="00207790">
              <w:rPr>
                <w:b/>
                <w:sz w:val="24"/>
                <w:szCs w:val="24"/>
              </w:rPr>
              <w:t xml:space="preserve"> </w:t>
            </w:r>
            <w:proofErr w:type="spellStart"/>
            <w:r w:rsidRPr="00207790">
              <w:rPr>
                <w:b/>
                <w:sz w:val="24"/>
                <w:szCs w:val="24"/>
              </w:rPr>
              <w:t>disorders</w:t>
            </w:r>
            <w:proofErr w:type="spellEnd"/>
            <w:r w:rsidRPr="00207790">
              <w:rPr>
                <w:b/>
                <w:sz w:val="24"/>
                <w:szCs w:val="24"/>
              </w:rPr>
              <w:t xml:space="preserve"> </w:t>
            </w:r>
          </w:p>
        </w:tc>
        <w:tc>
          <w:tcPr>
            <w:tcW w:w="908" w:type="pct"/>
            <w:tcBorders>
              <w:top w:val="single" w:sz="6" w:space="0" w:color="000000"/>
              <w:left w:val="single" w:sz="6" w:space="0" w:color="000000"/>
              <w:bottom w:val="single" w:sz="6" w:space="0" w:color="000000"/>
              <w:right w:val="single" w:sz="6" w:space="0" w:color="000000"/>
            </w:tcBorders>
          </w:tcPr>
          <w:p w14:paraId="584397F5"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p w14:paraId="34297F7A" w14:textId="77777777" w:rsidR="00D7627E" w:rsidRPr="00207790" w:rsidRDefault="00D7627E" w:rsidP="00207790">
            <w:pPr>
              <w:rPr>
                <w:sz w:val="24"/>
                <w:szCs w:val="24"/>
              </w:rPr>
            </w:pPr>
          </w:p>
          <w:p w14:paraId="370C2D42"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693110D2" w14:textId="77777777" w:rsidR="00D7627E" w:rsidRPr="00207790" w:rsidRDefault="00D7627E" w:rsidP="00207790">
            <w:pPr>
              <w:rPr>
                <w:sz w:val="24"/>
                <w:szCs w:val="24"/>
                <w:lang w:val="en-US"/>
              </w:rPr>
            </w:pPr>
            <w:r w:rsidRPr="00207790">
              <w:rPr>
                <w:sz w:val="24"/>
                <w:szCs w:val="24"/>
                <w:lang w:val="en-US"/>
              </w:rPr>
              <w:t xml:space="preserve">Elevations of liver enzymes, increased bilirubin, hepatitis </w:t>
            </w:r>
          </w:p>
          <w:p w14:paraId="1A5F2BF2" w14:textId="77777777" w:rsidR="00D7627E" w:rsidRPr="00207790" w:rsidRDefault="00D7627E" w:rsidP="00207790">
            <w:pPr>
              <w:rPr>
                <w:sz w:val="24"/>
                <w:szCs w:val="24"/>
              </w:rPr>
            </w:pPr>
            <w:proofErr w:type="spellStart"/>
            <w:r w:rsidRPr="00207790">
              <w:rPr>
                <w:sz w:val="24"/>
                <w:szCs w:val="24"/>
              </w:rPr>
              <w:t>Jaundice</w:t>
            </w:r>
            <w:proofErr w:type="spellEnd"/>
          </w:p>
        </w:tc>
      </w:tr>
      <w:tr w:rsidR="00D7627E" w:rsidRPr="00207790" w14:paraId="0D9B81B5"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505FE576" w14:textId="77777777" w:rsidR="00D7627E" w:rsidRPr="00207790" w:rsidRDefault="00D7627E" w:rsidP="00207790">
            <w:pPr>
              <w:rPr>
                <w:b/>
                <w:sz w:val="24"/>
                <w:szCs w:val="24"/>
                <w:lang w:val="en-US"/>
              </w:rPr>
            </w:pPr>
            <w:r w:rsidRPr="00207790">
              <w:rPr>
                <w:b/>
                <w:sz w:val="24"/>
                <w:szCs w:val="24"/>
                <w:lang w:val="en-US"/>
              </w:rPr>
              <w:t>Skin and subcutaneous tissue disorders</w:t>
            </w:r>
          </w:p>
        </w:tc>
        <w:tc>
          <w:tcPr>
            <w:tcW w:w="908" w:type="pct"/>
            <w:tcBorders>
              <w:top w:val="single" w:sz="6" w:space="0" w:color="000000"/>
              <w:left w:val="single" w:sz="6" w:space="0" w:color="000000"/>
              <w:bottom w:val="single" w:sz="6" w:space="0" w:color="000000"/>
              <w:right w:val="single" w:sz="6" w:space="0" w:color="000000"/>
            </w:tcBorders>
            <w:hideMark/>
          </w:tcPr>
          <w:p w14:paraId="09F2B8D0"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tcPr>
          <w:p w14:paraId="3FA8A7FA" w14:textId="77777777" w:rsidR="00D7627E" w:rsidRPr="00207790" w:rsidRDefault="00D7627E" w:rsidP="00207790">
            <w:pPr>
              <w:rPr>
                <w:sz w:val="24"/>
                <w:szCs w:val="24"/>
              </w:rPr>
            </w:pPr>
            <w:proofErr w:type="spellStart"/>
            <w:r w:rsidRPr="00207790">
              <w:rPr>
                <w:sz w:val="24"/>
                <w:szCs w:val="24"/>
              </w:rPr>
              <w:t>Photosensitivity</w:t>
            </w:r>
            <w:proofErr w:type="spellEnd"/>
          </w:p>
          <w:p w14:paraId="4441064D" w14:textId="77777777" w:rsidR="00D7627E" w:rsidRPr="00207790" w:rsidRDefault="00D7627E" w:rsidP="00207790">
            <w:pPr>
              <w:rPr>
                <w:sz w:val="24"/>
                <w:szCs w:val="24"/>
              </w:rPr>
            </w:pPr>
          </w:p>
        </w:tc>
      </w:tr>
      <w:tr w:rsidR="00D7627E" w:rsidRPr="00207790" w14:paraId="52F481AE"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21CBA60B" w14:textId="77777777" w:rsidR="00D7627E" w:rsidRPr="00207790" w:rsidRDefault="00D7627E" w:rsidP="00207790">
            <w:pPr>
              <w:rPr>
                <w:b/>
                <w:sz w:val="24"/>
                <w:szCs w:val="24"/>
                <w:lang w:val="en-US"/>
              </w:rPr>
            </w:pPr>
            <w:r w:rsidRPr="00207790">
              <w:rPr>
                <w:b/>
                <w:sz w:val="24"/>
                <w:szCs w:val="24"/>
                <w:lang w:val="en-US"/>
              </w:rPr>
              <w:t xml:space="preserve">Musculoskeletal and connective tissue disorders </w:t>
            </w:r>
          </w:p>
        </w:tc>
        <w:tc>
          <w:tcPr>
            <w:tcW w:w="908" w:type="pct"/>
            <w:tcBorders>
              <w:top w:val="single" w:sz="6" w:space="0" w:color="000000"/>
              <w:left w:val="single" w:sz="6" w:space="0" w:color="000000"/>
              <w:bottom w:val="single" w:sz="6" w:space="0" w:color="000000"/>
              <w:right w:val="single" w:sz="6" w:space="0" w:color="000000"/>
            </w:tcBorders>
            <w:hideMark/>
          </w:tcPr>
          <w:p w14:paraId="1CADAAB2"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tc>
        <w:tc>
          <w:tcPr>
            <w:tcW w:w="2205" w:type="pct"/>
            <w:tcBorders>
              <w:top w:val="single" w:sz="6" w:space="0" w:color="000000"/>
              <w:left w:val="single" w:sz="6" w:space="0" w:color="000000"/>
              <w:bottom w:val="single" w:sz="6" w:space="0" w:color="000000"/>
              <w:right w:val="single" w:sz="6" w:space="0" w:color="000000"/>
            </w:tcBorders>
          </w:tcPr>
          <w:p w14:paraId="4D7A3911" w14:textId="77777777" w:rsidR="00D7627E" w:rsidRPr="00207790" w:rsidRDefault="00D7627E" w:rsidP="00207790">
            <w:pPr>
              <w:rPr>
                <w:sz w:val="24"/>
                <w:szCs w:val="24"/>
              </w:rPr>
            </w:pPr>
            <w:proofErr w:type="spellStart"/>
            <w:r w:rsidRPr="00207790">
              <w:rPr>
                <w:sz w:val="24"/>
                <w:szCs w:val="24"/>
              </w:rPr>
              <w:t>Myalgia</w:t>
            </w:r>
            <w:proofErr w:type="spellEnd"/>
            <w:r w:rsidRPr="00207790">
              <w:rPr>
                <w:sz w:val="24"/>
                <w:szCs w:val="24"/>
              </w:rPr>
              <w:t xml:space="preserve"> </w:t>
            </w:r>
          </w:p>
          <w:p w14:paraId="64EC292D" w14:textId="77777777" w:rsidR="00D7627E" w:rsidRPr="00207790" w:rsidRDefault="00D7627E" w:rsidP="00207790">
            <w:pPr>
              <w:rPr>
                <w:sz w:val="24"/>
                <w:szCs w:val="24"/>
              </w:rPr>
            </w:pPr>
          </w:p>
        </w:tc>
      </w:tr>
      <w:tr w:rsidR="00D7627E" w:rsidRPr="00207790" w14:paraId="0076B0BA"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091FE45A" w14:textId="77777777" w:rsidR="00D7627E" w:rsidRPr="00207790" w:rsidRDefault="00D7627E" w:rsidP="00207790">
            <w:pPr>
              <w:rPr>
                <w:b/>
                <w:sz w:val="24"/>
                <w:szCs w:val="24"/>
                <w:lang w:val="en-US"/>
              </w:rPr>
            </w:pPr>
            <w:r w:rsidRPr="00207790">
              <w:rPr>
                <w:b/>
                <w:sz w:val="24"/>
                <w:szCs w:val="24"/>
                <w:lang w:val="en-US"/>
              </w:rPr>
              <w:t>General disorders and administration site conditions</w:t>
            </w:r>
          </w:p>
        </w:tc>
        <w:tc>
          <w:tcPr>
            <w:tcW w:w="908" w:type="pct"/>
            <w:tcBorders>
              <w:top w:val="single" w:sz="6" w:space="0" w:color="000000"/>
              <w:left w:val="single" w:sz="6" w:space="0" w:color="000000"/>
              <w:bottom w:val="single" w:sz="6" w:space="0" w:color="000000"/>
              <w:right w:val="single" w:sz="6" w:space="0" w:color="000000"/>
            </w:tcBorders>
          </w:tcPr>
          <w:p w14:paraId="27881901" w14:textId="77777777" w:rsidR="00D7627E" w:rsidRPr="00207790" w:rsidRDefault="00D7627E" w:rsidP="00207790">
            <w:pPr>
              <w:rPr>
                <w:sz w:val="24"/>
                <w:szCs w:val="24"/>
                <w:lang w:val="en-US"/>
              </w:rPr>
            </w:pPr>
            <w:r w:rsidRPr="00207790">
              <w:rPr>
                <w:sz w:val="24"/>
                <w:szCs w:val="24"/>
                <w:lang w:val="en-US"/>
              </w:rPr>
              <w:t>Common</w:t>
            </w:r>
          </w:p>
          <w:p w14:paraId="2B33F9B5" w14:textId="77777777" w:rsidR="00D7627E" w:rsidRPr="00207790" w:rsidRDefault="00D7627E" w:rsidP="00207790">
            <w:pPr>
              <w:rPr>
                <w:sz w:val="24"/>
                <w:szCs w:val="24"/>
                <w:lang w:val="en-US"/>
              </w:rPr>
            </w:pPr>
            <w:r w:rsidRPr="00207790">
              <w:rPr>
                <w:sz w:val="24"/>
                <w:szCs w:val="24"/>
                <w:lang w:val="en-US"/>
              </w:rPr>
              <w:t>Common (children less than 2 years)</w:t>
            </w:r>
          </w:p>
          <w:p w14:paraId="03FF4D07" w14:textId="77777777" w:rsidR="00D7627E" w:rsidRPr="00207790" w:rsidRDefault="00D7627E" w:rsidP="00207790">
            <w:pPr>
              <w:rPr>
                <w:sz w:val="24"/>
                <w:szCs w:val="24"/>
              </w:rPr>
            </w:pPr>
            <w:proofErr w:type="spellStart"/>
            <w:r w:rsidRPr="00207790">
              <w:rPr>
                <w:sz w:val="24"/>
                <w:szCs w:val="24"/>
              </w:rPr>
              <w:t>Very</w:t>
            </w:r>
            <w:proofErr w:type="spellEnd"/>
            <w:r w:rsidRPr="00207790">
              <w:rPr>
                <w:sz w:val="24"/>
                <w:szCs w:val="24"/>
              </w:rPr>
              <w:t xml:space="preserve"> rare</w:t>
            </w:r>
          </w:p>
          <w:p w14:paraId="743AC8D3" w14:textId="77777777" w:rsidR="00D7627E" w:rsidRPr="00207790" w:rsidRDefault="00D7627E" w:rsidP="00207790">
            <w:pPr>
              <w:rPr>
                <w:sz w:val="24"/>
                <w:szCs w:val="24"/>
              </w:rPr>
            </w:pPr>
          </w:p>
          <w:p w14:paraId="0E374B34" w14:textId="77777777" w:rsidR="00D7627E" w:rsidRPr="00207790" w:rsidRDefault="00D7627E" w:rsidP="00207790">
            <w:pPr>
              <w:rPr>
                <w:sz w:val="24"/>
                <w:szCs w:val="24"/>
              </w:rPr>
            </w:pPr>
          </w:p>
          <w:p w14:paraId="7A4CC9CD"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tcPr>
          <w:p w14:paraId="6EE6BB5A" w14:textId="77777777" w:rsidR="00D7627E" w:rsidRPr="00207790" w:rsidRDefault="00D7627E" w:rsidP="00207790">
            <w:pPr>
              <w:rPr>
                <w:sz w:val="24"/>
                <w:szCs w:val="24"/>
                <w:lang w:val="en-US"/>
              </w:rPr>
            </w:pPr>
            <w:r w:rsidRPr="00207790">
              <w:rPr>
                <w:sz w:val="24"/>
                <w:szCs w:val="24"/>
                <w:lang w:val="en-US"/>
              </w:rPr>
              <w:t>Fatigue</w:t>
            </w:r>
          </w:p>
          <w:p w14:paraId="24AE4B88" w14:textId="77777777" w:rsidR="00D7627E" w:rsidRPr="00207790" w:rsidRDefault="00D7627E" w:rsidP="00207790">
            <w:pPr>
              <w:rPr>
                <w:sz w:val="24"/>
                <w:szCs w:val="24"/>
                <w:lang w:val="en-US"/>
              </w:rPr>
            </w:pPr>
            <w:r w:rsidRPr="00207790">
              <w:rPr>
                <w:sz w:val="24"/>
                <w:szCs w:val="24"/>
                <w:lang w:val="en-US"/>
              </w:rPr>
              <w:t>Fever</w:t>
            </w:r>
          </w:p>
          <w:p w14:paraId="4D94602B" w14:textId="77777777" w:rsidR="00D7627E" w:rsidRPr="00207790" w:rsidRDefault="00D7627E" w:rsidP="00207790">
            <w:pPr>
              <w:rPr>
                <w:sz w:val="24"/>
                <w:szCs w:val="24"/>
                <w:lang w:val="en-US"/>
              </w:rPr>
            </w:pPr>
          </w:p>
          <w:p w14:paraId="503A4190" w14:textId="77777777" w:rsidR="00D7627E" w:rsidRPr="00207790" w:rsidRDefault="00D7627E" w:rsidP="00207790">
            <w:pPr>
              <w:rPr>
                <w:sz w:val="24"/>
                <w:szCs w:val="24"/>
                <w:lang w:val="en-US"/>
              </w:rPr>
            </w:pPr>
          </w:p>
          <w:p w14:paraId="65F21963" w14:textId="77777777" w:rsidR="00D7627E" w:rsidRPr="00207790" w:rsidRDefault="00D7627E" w:rsidP="00207790">
            <w:pPr>
              <w:rPr>
                <w:sz w:val="24"/>
                <w:szCs w:val="24"/>
                <w:lang w:val="en-US"/>
              </w:rPr>
            </w:pPr>
            <w:r w:rsidRPr="00207790">
              <w:rPr>
                <w:sz w:val="24"/>
                <w:szCs w:val="24"/>
                <w:lang w:val="en-US"/>
              </w:rPr>
              <w:t xml:space="preserve">Hypersensitivity reactions (such as anaphylaxis, angioedema, </w:t>
            </w:r>
            <w:proofErr w:type="spellStart"/>
            <w:r w:rsidRPr="00207790">
              <w:rPr>
                <w:sz w:val="24"/>
                <w:szCs w:val="24"/>
                <w:lang w:val="en-US"/>
              </w:rPr>
              <w:t>dyspnoea</w:t>
            </w:r>
            <w:proofErr w:type="spellEnd"/>
            <w:r w:rsidRPr="00207790">
              <w:rPr>
                <w:sz w:val="24"/>
                <w:szCs w:val="24"/>
                <w:lang w:val="en-US"/>
              </w:rPr>
              <w:t xml:space="preserve">, pruritus, rash, and urticaria) </w:t>
            </w:r>
          </w:p>
          <w:p w14:paraId="13C4D045" w14:textId="77777777" w:rsidR="00D7627E" w:rsidRPr="00207790" w:rsidRDefault="00D7627E" w:rsidP="00207790">
            <w:pPr>
              <w:rPr>
                <w:sz w:val="24"/>
                <w:szCs w:val="24"/>
              </w:rPr>
            </w:pPr>
            <w:proofErr w:type="spellStart"/>
            <w:r w:rsidRPr="00207790">
              <w:rPr>
                <w:sz w:val="24"/>
                <w:szCs w:val="24"/>
              </w:rPr>
              <w:t>Asthenia</w:t>
            </w:r>
            <w:proofErr w:type="spellEnd"/>
          </w:p>
        </w:tc>
      </w:tr>
      <w:tr w:rsidR="00D7627E" w:rsidRPr="00207790" w14:paraId="03E7389E" w14:textId="77777777" w:rsidTr="00483713">
        <w:trPr>
          <w:trHeight w:val="20"/>
        </w:trPr>
        <w:tc>
          <w:tcPr>
            <w:tcW w:w="1887" w:type="pct"/>
            <w:tcBorders>
              <w:top w:val="single" w:sz="6" w:space="0" w:color="000000"/>
              <w:left w:val="single" w:sz="6" w:space="0" w:color="000000"/>
              <w:bottom w:val="single" w:sz="6" w:space="0" w:color="000000"/>
              <w:right w:val="single" w:sz="6" w:space="0" w:color="000000"/>
            </w:tcBorders>
            <w:hideMark/>
          </w:tcPr>
          <w:p w14:paraId="646671E3" w14:textId="77777777" w:rsidR="00D7627E" w:rsidRPr="00207790" w:rsidRDefault="00D7627E" w:rsidP="00207790">
            <w:pPr>
              <w:rPr>
                <w:b/>
                <w:sz w:val="24"/>
                <w:szCs w:val="24"/>
              </w:rPr>
            </w:pPr>
            <w:proofErr w:type="spellStart"/>
            <w:r w:rsidRPr="00207790">
              <w:rPr>
                <w:b/>
                <w:sz w:val="24"/>
                <w:szCs w:val="24"/>
              </w:rPr>
              <w:t>Investigations</w:t>
            </w:r>
            <w:proofErr w:type="spellEnd"/>
          </w:p>
        </w:tc>
        <w:tc>
          <w:tcPr>
            <w:tcW w:w="908" w:type="pct"/>
            <w:tcBorders>
              <w:top w:val="single" w:sz="6" w:space="0" w:color="000000"/>
              <w:left w:val="single" w:sz="6" w:space="0" w:color="000000"/>
              <w:bottom w:val="single" w:sz="6" w:space="0" w:color="000000"/>
              <w:right w:val="single" w:sz="6" w:space="0" w:color="000000"/>
            </w:tcBorders>
            <w:hideMark/>
          </w:tcPr>
          <w:p w14:paraId="492BF2A6" w14:textId="77777777" w:rsidR="00D7627E" w:rsidRPr="00207790" w:rsidRDefault="00D7627E" w:rsidP="00207790">
            <w:pPr>
              <w:rPr>
                <w:sz w:val="24"/>
                <w:szCs w:val="24"/>
              </w:rPr>
            </w:pPr>
            <w:r w:rsidRPr="00207790">
              <w:rPr>
                <w:sz w:val="24"/>
                <w:szCs w:val="24"/>
              </w:rPr>
              <w:t xml:space="preserve">Not </w:t>
            </w:r>
            <w:proofErr w:type="spellStart"/>
            <w:r w:rsidRPr="00207790">
              <w:rPr>
                <w:sz w:val="24"/>
                <w:szCs w:val="24"/>
              </w:rPr>
              <w:t>known</w:t>
            </w:r>
            <w:proofErr w:type="spellEnd"/>
          </w:p>
        </w:tc>
        <w:tc>
          <w:tcPr>
            <w:tcW w:w="2205" w:type="pct"/>
            <w:tcBorders>
              <w:top w:val="single" w:sz="6" w:space="0" w:color="000000"/>
              <w:left w:val="single" w:sz="6" w:space="0" w:color="000000"/>
              <w:bottom w:val="single" w:sz="6" w:space="0" w:color="000000"/>
              <w:right w:val="single" w:sz="6" w:space="0" w:color="000000"/>
            </w:tcBorders>
            <w:hideMark/>
          </w:tcPr>
          <w:p w14:paraId="36089FCC" w14:textId="77777777" w:rsidR="00D7627E" w:rsidRPr="00207790" w:rsidRDefault="00D7627E" w:rsidP="00207790">
            <w:pPr>
              <w:rPr>
                <w:sz w:val="24"/>
                <w:szCs w:val="24"/>
              </w:rPr>
            </w:pPr>
            <w:proofErr w:type="spellStart"/>
            <w:r w:rsidRPr="00207790">
              <w:rPr>
                <w:sz w:val="24"/>
                <w:szCs w:val="24"/>
              </w:rPr>
              <w:t>Weight</w:t>
            </w:r>
            <w:proofErr w:type="spellEnd"/>
            <w:r w:rsidRPr="00207790">
              <w:rPr>
                <w:sz w:val="24"/>
                <w:szCs w:val="24"/>
              </w:rPr>
              <w:t xml:space="preserve"> </w:t>
            </w:r>
            <w:proofErr w:type="spellStart"/>
            <w:r w:rsidRPr="00207790">
              <w:rPr>
                <w:sz w:val="24"/>
                <w:szCs w:val="24"/>
              </w:rPr>
              <w:t>increased</w:t>
            </w:r>
            <w:proofErr w:type="spellEnd"/>
          </w:p>
        </w:tc>
      </w:tr>
    </w:tbl>
    <w:p w14:paraId="5873C144" w14:textId="77777777" w:rsidR="00D7627E" w:rsidRPr="00207790" w:rsidRDefault="00D7627E" w:rsidP="00D7627E">
      <w:pPr>
        <w:autoSpaceDE w:val="0"/>
        <w:autoSpaceDN w:val="0"/>
        <w:adjustRightInd w:val="0"/>
        <w:rPr>
          <w:color w:val="000000"/>
          <w:sz w:val="24"/>
          <w:szCs w:val="24"/>
          <w:lang w:val="en-US" w:eastAsia="en-US"/>
        </w:rPr>
      </w:pPr>
    </w:p>
    <w:p w14:paraId="6BCA2C8F" w14:textId="77777777" w:rsidR="00D7627E" w:rsidRPr="00207790" w:rsidRDefault="00D7627E" w:rsidP="00FC14A8">
      <w:pPr>
        <w:autoSpaceDE w:val="0"/>
        <w:autoSpaceDN w:val="0"/>
        <w:adjustRightInd w:val="0"/>
        <w:ind w:left="851"/>
        <w:rPr>
          <w:sz w:val="24"/>
          <w:szCs w:val="24"/>
          <w:u w:val="single"/>
        </w:rPr>
      </w:pPr>
      <w:r w:rsidRPr="00207790">
        <w:rPr>
          <w:sz w:val="24"/>
          <w:szCs w:val="24"/>
          <w:u w:val="single"/>
        </w:rPr>
        <w:t>Paediatric population</w:t>
      </w:r>
    </w:p>
    <w:p w14:paraId="461C6881"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 xml:space="preserve">Other undesirable effects reported during the post-marketing period in paediatric patients with an unknown frequency included QT prolongation, arrhythmia, bradycardia, abnormal </w:t>
      </w:r>
      <w:proofErr w:type="spellStart"/>
      <w:r w:rsidRPr="00207790">
        <w:rPr>
          <w:sz w:val="24"/>
          <w:szCs w:val="24"/>
          <w:lang w:val="en-US"/>
        </w:rPr>
        <w:t>behaviour</w:t>
      </w:r>
      <w:proofErr w:type="spellEnd"/>
      <w:r w:rsidRPr="00207790">
        <w:rPr>
          <w:sz w:val="24"/>
          <w:szCs w:val="24"/>
          <w:lang w:val="en-US"/>
        </w:rPr>
        <w:t>, aggression, weight increased and increased appetite.</w:t>
      </w:r>
    </w:p>
    <w:p w14:paraId="4AE1EEC2" w14:textId="77777777" w:rsidR="00D7627E" w:rsidRPr="00207790" w:rsidRDefault="00D7627E" w:rsidP="00FC14A8">
      <w:pPr>
        <w:autoSpaceDE w:val="0"/>
        <w:autoSpaceDN w:val="0"/>
        <w:adjustRightInd w:val="0"/>
        <w:ind w:left="851"/>
        <w:rPr>
          <w:sz w:val="24"/>
          <w:szCs w:val="24"/>
          <w:lang w:val="en-US"/>
        </w:rPr>
      </w:pPr>
    </w:p>
    <w:p w14:paraId="589176C5" w14:textId="77777777" w:rsidR="00D7627E" w:rsidRPr="00207790" w:rsidRDefault="00D7627E" w:rsidP="00FC14A8">
      <w:pPr>
        <w:autoSpaceDE w:val="0"/>
        <w:autoSpaceDN w:val="0"/>
        <w:adjustRightInd w:val="0"/>
        <w:ind w:left="851"/>
        <w:rPr>
          <w:sz w:val="24"/>
          <w:szCs w:val="24"/>
          <w:lang w:val="en-US"/>
        </w:rPr>
      </w:pPr>
      <w:r w:rsidRPr="00207790">
        <w:rPr>
          <w:sz w:val="24"/>
          <w:szCs w:val="24"/>
          <w:lang w:val="en-US"/>
        </w:rPr>
        <w:t xml:space="preserve">A retrospective observational safety study indicated an increased incidence of new-onset seizure in patients 0 to 19 years of age when receiving desloratadine compared with periods not receiving desloratadine. Among children 0-4 years old, the adjusted absolute increase was 37.5 (95% Confidence Interval (CI) 10.5-64.5) per </w:t>
      </w:r>
      <w:proofErr w:type="gramStart"/>
      <w:r w:rsidRPr="00207790">
        <w:rPr>
          <w:sz w:val="24"/>
          <w:szCs w:val="24"/>
          <w:lang w:val="en-US"/>
        </w:rPr>
        <w:t>100,000 person</w:t>
      </w:r>
      <w:proofErr w:type="gramEnd"/>
      <w:r w:rsidRPr="00207790">
        <w:rPr>
          <w:sz w:val="24"/>
          <w:szCs w:val="24"/>
          <w:lang w:val="en-US"/>
        </w:rPr>
        <w:t xml:space="preserve"> years (PY) with a background rate of new onset seizure of 80.3 per 100,000 PY. Among patients 5-19 years of age, the adjusted absolute increase was 11.3 (95% CI 2.3-20.2) per 100,000 PY with a background rate of 36.4 per 100,000 PY (see section 4.4).</w:t>
      </w:r>
    </w:p>
    <w:p w14:paraId="3E16779F" w14:textId="77777777" w:rsidR="00D7627E" w:rsidRPr="00207790" w:rsidRDefault="00D7627E" w:rsidP="00FC14A8">
      <w:pPr>
        <w:autoSpaceDE w:val="0"/>
        <w:autoSpaceDN w:val="0"/>
        <w:adjustRightInd w:val="0"/>
        <w:ind w:left="851"/>
        <w:rPr>
          <w:color w:val="000000"/>
          <w:sz w:val="24"/>
          <w:szCs w:val="24"/>
          <w:u w:val="single"/>
          <w:lang w:val="en-US"/>
        </w:rPr>
      </w:pPr>
    </w:p>
    <w:p w14:paraId="4E40B029" w14:textId="77777777" w:rsidR="00FC14A8" w:rsidRPr="00207790" w:rsidRDefault="00FC14A8" w:rsidP="00FC14A8">
      <w:pPr>
        <w:ind w:left="851"/>
        <w:rPr>
          <w:sz w:val="24"/>
          <w:szCs w:val="24"/>
          <w:u w:val="single"/>
          <w:lang w:val="en-GB"/>
        </w:rPr>
      </w:pPr>
      <w:r w:rsidRPr="00207790">
        <w:rPr>
          <w:sz w:val="24"/>
          <w:szCs w:val="24"/>
          <w:u w:val="single"/>
          <w:lang w:val="en-GB"/>
        </w:rPr>
        <w:t>Reporting of suspected adverse reactions</w:t>
      </w:r>
    </w:p>
    <w:p w14:paraId="22B2E2D2" w14:textId="77777777" w:rsidR="00FC14A8" w:rsidRPr="00207790" w:rsidRDefault="00FC14A8" w:rsidP="00FC14A8">
      <w:pPr>
        <w:ind w:left="851"/>
        <w:rPr>
          <w:sz w:val="24"/>
          <w:szCs w:val="24"/>
          <w:lang w:val="en-GB"/>
        </w:rPr>
      </w:pPr>
      <w:r w:rsidRPr="0020779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3B46888" w14:textId="77777777" w:rsidR="00FC14A8" w:rsidRPr="00207790" w:rsidRDefault="00FC14A8" w:rsidP="00FC14A8">
      <w:pPr>
        <w:ind w:left="851"/>
        <w:rPr>
          <w:sz w:val="24"/>
          <w:szCs w:val="24"/>
          <w:lang w:val="en-GB"/>
        </w:rPr>
      </w:pPr>
    </w:p>
    <w:p w14:paraId="7B1B05DD" w14:textId="77777777" w:rsidR="00FC14A8" w:rsidRPr="00207790" w:rsidRDefault="00FC14A8" w:rsidP="00FC14A8">
      <w:pPr>
        <w:ind w:left="851"/>
        <w:rPr>
          <w:sz w:val="24"/>
          <w:szCs w:val="24"/>
        </w:rPr>
      </w:pPr>
      <w:r w:rsidRPr="00207790">
        <w:rPr>
          <w:sz w:val="24"/>
          <w:szCs w:val="24"/>
        </w:rPr>
        <w:t>Lægemiddelstyrelsen</w:t>
      </w:r>
    </w:p>
    <w:p w14:paraId="56BCF508" w14:textId="77777777" w:rsidR="00FC14A8" w:rsidRPr="00207790" w:rsidRDefault="00FC14A8" w:rsidP="00FC14A8">
      <w:pPr>
        <w:ind w:left="851"/>
        <w:rPr>
          <w:sz w:val="24"/>
          <w:szCs w:val="24"/>
        </w:rPr>
      </w:pPr>
      <w:r w:rsidRPr="00207790">
        <w:rPr>
          <w:sz w:val="24"/>
          <w:szCs w:val="24"/>
        </w:rPr>
        <w:t>Axel Heides Gade 1</w:t>
      </w:r>
    </w:p>
    <w:p w14:paraId="2A111697" w14:textId="77777777" w:rsidR="00FC14A8" w:rsidRPr="00207790" w:rsidRDefault="00FC14A8" w:rsidP="00FC14A8">
      <w:pPr>
        <w:ind w:left="851"/>
        <w:rPr>
          <w:sz w:val="24"/>
          <w:szCs w:val="24"/>
        </w:rPr>
      </w:pPr>
      <w:r w:rsidRPr="00207790">
        <w:rPr>
          <w:sz w:val="24"/>
          <w:szCs w:val="24"/>
        </w:rPr>
        <w:t>DK-2300 København S</w:t>
      </w:r>
    </w:p>
    <w:p w14:paraId="6C9C5ACC" w14:textId="77777777" w:rsidR="00FC14A8" w:rsidRPr="00207790" w:rsidRDefault="00FC14A8" w:rsidP="00FC14A8">
      <w:pPr>
        <w:ind w:left="851"/>
        <w:rPr>
          <w:sz w:val="24"/>
          <w:szCs w:val="24"/>
          <w:lang w:val="en-US"/>
        </w:rPr>
      </w:pPr>
      <w:r w:rsidRPr="00207790">
        <w:rPr>
          <w:sz w:val="24"/>
          <w:szCs w:val="24"/>
          <w:lang w:val="en-US"/>
        </w:rPr>
        <w:t>Website: www.meldenbivirkning.dk</w:t>
      </w:r>
    </w:p>
    <w:p w14:paraId="4F61257B" w14:textId="77777777" w:rsidR="007C5D2A" w:rsidRPr="00207790" w:rsidRDefault="007C5D2A" w:rsidP="007A4CC6">
      <w:pPr>
        <w:tabs>
          <w:tab w:val="left" w:pos="851"/>
        </w:tabs>
        <w:ind w:left="851"/>
        <w:rPr>
          <w:sz w:val="24"/>
          <w:szCs w:val="24"/>
          <w:lang w:val="en-GB"/>
        </w:rPr>
      </w:pPr>
    </w:p>
    <w:p w14:paraId="5CE7CA74"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4.9</w:t>
      </w:r>
      <w:r w:rsidRPr="00207790">
        <w:rPr>
          <w:b/>
          <w:sz w:val="24"/>
          <w:szCs w:val="24"/>
          <w:lang w:val="en-GB"/>
        </w:rPr>
        <w:tab/>
        <w:t>Overdose</w:t>
      </w:r>
    </w:p>
    <w:p w14:paraId="35B901CF"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The adverse event profile associated with overdose, as seen during post-marketing use, is similar to that seen with therapeutic doses, but the magnitude of the effects can be higher.</w:t>
      </w:r>
    </w:p>
    <w:p w14:paraId="1587384B" w14:textId="77777777" w:rsidR="00D7627E" w:rsidRPr="00207790" w:rsidRDefault="00D7627E" w:rsidP="00FC14A8">
      <w:pPr>
        <w:autoSpaceDE w:val="0"/>
        <w:autoSpaceDN w:val="0"/>
        <w:adjustRightInd w:val="0"/>
        <w:ind w:left="851"/>
        <w:rPr>
          <w:color w:val="000000"/>
          <w:sz w:val="24"/>
          <w:szCs w:val="24"/>
          <w:lang w:val="en-US"/>
        </w:rPr>
      </w:pPr>
    </w:p>
    <w:p w14:paraId="7F8763C4"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Treatment</w:t>
      </w:r>
    </w:p>
    <w:p w14:paraId="080B643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the event of overdose, consider standard measures to remove unabsorbed active substance.</w:t>
      </w:r>
    </w:p>
    <w:p w14:paraId="380F8DBC"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Symptomatic and supportive treatment is recommended.</w:t>
      </w:r>
    </w:p>
    <w:p w14:paraId="47BD2848" w14:textId="77777777" w:rsidR="00D7627E" w:rsidRPr="00207790" w:rsidRDefault="00D7627E" w:rsidP="00FC14A8">
      <w:pPr>
        <w:autoSpaceDE w:val="0"/>
        <w:autoSpaceDN w:val="0"/>
        <w:adjustRightInd w:val="0"/>
        <w:ind w:left="851"/>
        <w:rPr>
          <w:color w:val="000000"/>
          <w:sz w:val="24"/>
          <w:szCs w:val="24"/>
          <w:lang w:val="en-US"/>
        </w:rPr>
      </w:pPr>
    </w:p>
    <w:p w14:paraId="3EBF3AD5"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Desloratadine is not eliminated by </w:t>
      </w:r>
      <w:proofErr w:type="spellStart"/>
      <w:r w:rsidRPr="00207790">
        <w:rPr>
          <w:color w:val="000000"/>
          <w:sz w:val="24"/>
          <w:szCs w:val="24"/>
          <w:lang w:val="en-US"/>
        </w:rPr>
        <w:t>haemodialysis</w:t>
      </w:r>
      <w:proofErr w:type="spellEnd"/>
      <w:r w:rsidRPr="00207790">
        <w:rPr>
          <w:color w:val="000000"/>
          <w:sz w:val="24"/>
          <w:szCs w:val="24"/>
          <w:lang w:val="en-US"/>
        </w:rPr>
        <w:t>; it is not known if it is eliminated by peritoneal dialysis.</w:t>
      </w:r>
    </w:p>
    <w:p w14:paraId="4940CDB4" w14:textId="77777777" w:rsidR="00D7627E" w:rsidRPr="00207790" w:rsidRDefault="00D7627E" w:rsidP="00FC14A8">
      <w:pPr>
        <w:autoSpaceDE w:val="0"/>
        <w:autoSpaceDN w:val="0"/>
        <w:adjustRightInd w:val="0"/>
        <w:ind w:left="851"/>
        <w:rPr>
          <w:color w:val="000000"/>
          <w:sz w:val="24"/>
          <w:szCs w:val="24"/>
          <w:lang w:val="en-US"/>
        </w:rPr>
      </w:pPr>
    </w:p>
    <w:p w14:paraId="56204170"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Symptoms</w:t>
      </w:r>
    </w:p>
    <w:p w14:paraId="2E7B57BB"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Based on a multiple dose clinical trial in adults and adolescents, in which up to 45 mg of desloratadine was administered (nine times the clinical dose), no clinically relevant effects were observed.</w:t>
      </w:r>
    </w:p>
    <w:p w14:paraId="4CE165F1" w14:textId="77777777" w:rsidR="00D7627E" w:rsidRPr="00207790" w:rsidRDefault="00D7627E" w:rsidP="00FC14A8">
      <w:pPr>
        <w:autoSpaceDE w:val="0"/>
        <w:autoSpaceDN w:val="0"/>
        <w:adjustRightInd w:val="0"/>
        <w:ind w:left="851"/>
        <w:rPr>
          <w:color w:val="000000"/>
          <w:sz w:val="24"/>
          <w:szCs w:val="24"/>
          <w:lang w:val="en-US"/>
        </w:rPr>
      </w:pPr>
    </w:p>
    <w:p w14:paraId="7E10B38D"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Pediatric population</w:t>
      </w:r>
    </w:p>
    <w:p w14:paraId="61C522BB"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The adverse event profile associated with overdose, as seen during post-marketing use, is similar to that seen with therapeutic doses, but the magnitude of the effects can be higher.</w:t>
      </w:r>
    </w:p>
    <w:p w14:paraId="3EE0A060" w14:textId="77777777" w:rsidR="007C5D2A" w:rsidRPr="00207790" w:rsidRDefault="007C5D2A" w:rsidP="003E0341">
      <w:pPr>
        <w:tabs>
          <w:tab w:val="left" w:pos="851"/>
        </w:tabs>
        <w:ind w:left="851"/>
        <w:rPr>
          <w:sz w:val="24"/>
          <w:szCs w:val="24"/>
          <w:lang w:val="en-GB"/>
        </w:rPr>
      </w:pPr>
    </w:p>
    <w:p w14:paraId="4A75590B" w14:textId="77777777" w:rsidR="008F2F8C" w:rsidRPr="00207790" w:rsidRDefault="0042292D" w:rsidP="0042292D">
      <w:pPr>
        <w:tabs>
          <w:tab w:val="left" w:pos="851"/>
        </w:tabs>
        <w:rPr>
          <w:b/>
          <w:sz w:val="24"/>
          <w:szCs w:val="24"/>
          <w:lang w:val="en-GB"/>
        </w:rPr>
      </w:pPr>
      <w:r w:rsidRPr="00207790">
        <w:rPr>
          <w:b/>
          <w:sz w:val="24"/>
          <w:szCs w:val="24"/>
          <w:lang w:val="en-GB"/>
        </w:rPr>
        <w:t>4.10</w:t>
      </w:r>
      <w:r w:rsidRPr="00207790">
        <w:rPr>
          <w:b/>
          <w:sz w:val="24"/>
          <w:szCs w:val="24"/>
          <w:lang w:val="en-GB"/>
        </w:rPr>
        <w:tab/>
        <w:t>Legal status</w:t>
      </w:r>
    </w:p>
    <w:p w14:paraId="12E5D07E" w14:textId="75D7BD3F" w:rsidR="00AD2E36" w:rsidRPr="00207790" w:rsidRDefault="00D7627E" w:rsidP="00AD2E36">
      <w:pPr>
        <w:tabs>
          <w:tab w:val="left" w:pos="851"/>
        </w:tabs>
        <w:ind w:left="851"/>
        <w:rPr>
          <w:sz w:val="24"/>
          <w:szCs w:val="24"/>
          <w:lang w:val="en-GB"/>
        </w:rPr>
      </w:pPr>
      <w:r w:rsidRPr="00207790">
        <w:rPr>
          <w:sz w:val="24"/>
          <w:szCs w:val="24"/>
          <w:lang w:val="en-GB"/>
        </w:rPr>
        <w:t>HA</w:t>
      </w:r>
    </w:p>
    <w:p w14:paraId="157C2EEB" w14:textId="77777777" w:rsidR="007C5D2A" w:rsidRPr="00207790" w:rsidRDefault="007C5D2A" w:rsidP="003E0341">
      <w:pPr>
        <w:tabs>
          <w:tab w:val="left" w:pos="851"/>
        </w:tabs>
        <w:ind w:left="851"/>
        <w:rPr>
          <w:sz w:val="24"/>
          <w:szCs w:val="24"/>
          <w:lang w:val="en-GB"/>
        </w:rPr>
      </w:pPr>
    </w:p>
    <w:p w14:paraId="5820A93D" w14:textId="77777777" w:rsidR="00AD2E36" w:rsidRPr="00207790" w:rsidRDefault="00AD2E36" w:rsidP="003E0341">
      <w:pPr>
        <w:tabs>
          <w:tab w:val="left" w:pos="851"/>
        </w:tabs>
        <w:ind w:left="851"/>
        <w:rPr>
          <w:sz w:val="24"/>
          <w:szCs w:val="24"/>
          <w:lang w:val="en-GB"/>
        </w:rPr>
      </w:pPr>
    </w:p>
    <w:p w14:paraId="78096804" w14:textId="77777777" w:rsidR="007C5D2A" w:rsidRPr="00207790" w:rsidRDefault="007C5D2A" w:rsidP="007C5D2A">
      <w:pPr>
        <w:tabs>
          <w:tab w:val="left" w:pos="851"/>
        </w:tabs>
        <w:rPr>
          <w:b/>
          <w:sz w:val="24"/>
          <w:szCs w:val="24"/>
          <w:lang w:val="en-GB"/>
        </w:rPr>
      </w:pPr>
      <w:r w:rsidRPr="00207790">
        <w:rPr>
          <w:b/>
          <w:sz w:val="24"/>
          <w:szCs w:val="24"/>
          <w:lang w:val="en-GB"/>
        </w:rPr>
        <w:t>5.</w:t>
      </w:r>
      <w:r w:rsidRPr="00207790">
        <w:rPr>
          <w:b/>
          <w:sz w:val="24"/>
          <w:szCs w:val="24"/>
          <w:lang w:val="en-GB"/>
        </w:rPr>
        <w:tab/>
        <w:t>PHARMACOLOGICAL PROPERTIES</w:t>
      </w:r>
    </w:p>
    <w:p w14:paraId="1BE86002" w14:textId="77777777" w:rsidR="007C5D2A" w:rsidRPr="00207790" w:rsidRDefault="007C5D2A" w:rsidP="003E0341">
      <w:pPr>
        <w:tabs>
          <w:tab w:val="left" w:pos="851"/>
        </w:tabs>
        <w:ind w:left="851"/>
        <w:rPr>
          <w:sz w:val="24"/>
          <w:szCs w:val="24"/>
          <w:lang w:val="en-GB"/>
        </w:rPr>
      </w:pPr>
    </w:p>
    <w:p w14:paraId="3CB7FEA0" w14:textId="1FF034AE" w:rsidR="004860D3" w:rsidRPr="00207790" w:rsidRDefault="004860D3" w:rsidP="004860D3">
      <w:pPr>
        <w:tabs>
          <w:tab w:val="left" w:pos="851"/>
        </w:tabs>
        <w:ind w:left="851" w:hanging="851"/>
        <w:rPr>
          <w:b/>
          <w:sz w:val="24"/>
          <w:szCs w:val="24"/>
          <w:lang w:val="en-GB"/>
        </w:rPr>
      </w:pPr>
      <w:r w:rsidRPr="00207790">
        <w:rPr>
          <w:b/>
          <w:sz w:val="24"/>
          <w:szCs w:val="24"/>
          <w:lang w:val="en-GB"/>
        </w:rPr>
        <w:t>5.0</w:t>
      </w:r>
      <w:r w:rsidRPr="00207790">
        <w:rPr>
          <w:b/>
          <w:sz w:val="24"/>
          <w:szCs w:val="24"/>
          <w:lang w:val="en-GB"/>
        </w:rPr>
        <w:tab/>
        <w:t>Therapeutic</w:t>
      </w:r>
      <w:r w:rsidR="00A80446" w:rsidRPr="00207790">
        <w:rPr>
          <w:b/>
          <w:sz w:val="24"/>
          <w:szCs w:val="24"/>
          <w:lang w:val="en-GB"/>
        </w:rPr>
        <w:t xml:space="preserve"> classification</w:t>
      </w:r>
    </w:p>
    <w:p w14:paraId="6AE17BC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Pharmacotherapeutic group: antihistamines-H1 antagonist, ATC code: R06A X27 </w:t>
      </w:r>
    </w:p>
    <w:p w14:paraId="7131E94F" w14:textId="77777777" w:rsidR="004860D3" w:rsidRPr="00207790" w:rsidRDefault="004860D3" w:rsidP="003E0341">
      <w:pPr>
        <w:tabs>
          <w:tab w:val="left" w:pos="851"/>
        </w:tabs>
        <w:ind w:left="851"/>
        <w:rPr>
          <w:sz w:val="24"/>
          <w:szCs w:val="24"/>
          <w:lang w:val="en-GB"/>
        </w:rPr>
      </w:pPr>
    </w:p>
    <w:p w14:paraId="22D06F04"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5.1</w:t>
      </w:r>
      <w:r w:rsidRPr="00207790">
        <w:rPr>
          <w:b/>
          <w:sz w:val="24"/>
          <w:szCs w:val="24"/>
          <w:lang w:val="en-GB"/>
        </w:rPr>
        <w:tab/>
        <w:t>Pharmacodynamic properties</w:t>
      </w:r>
      <w:r w:rsidRPr="00207790">
        <w:rPr>
          <w:b/>
          <w:sz w:val="24"/>
          <w:szCs w:val="24"/>
          <w:lang w:val="en-GB"/>
        </w:rPr>
        <w:tab/>
      </w:r>
    </w:p>
    <w:p w14:paraId="7136213E" w14:textId="77777777" w:rsidR="00483713" w:rsidRDefault="00483713" w:rsidP="00FC14A8">
      <w:pPr>
        <w:ind w:left="851"/>
        <w:rPr>
          <w:color w:val="000000"/>
          <w:sz w:val="24"/>
          <w:szCs w:val="24"/>
          <w:u w:val="single"/>
          <w:lang w:val="en-US"/>
        </w:rPr>
      </w:pPr>
    </w:p>
    <w:p w14:paraId="2F0E2115" w14:textId="5D21B553" w:rsidR="00D7627E" w:rsidRPr="00207790" w:rsidRDefault="00D7627E" w:rsidP="00FC14A8">
      <w:pPr>
        <w:ind w:left="851"/>
        <w:rPr>
          <w:color w:val="000000"/>
          <w:sz w:val="24"/>
          <w:szCs w:val="24"/>
          <w:u w:val="single"/>
          <w:lang w:val="en-US"/>
        </w:rPr>
      </w:pPr>
      <w:r w:rsidRPr="00207790">
        <w:rPr>
          <w:color w:val="000000"/>
          <w:sz w:val="24"/>
          <w:szCs w:val="24"/>
          <w:u w:val="single"/>
          <w:lang w:val="en-US"/>
        </w:rPr>
        <w:t>Mechanism of action</w:t>
      </w:r>
    </w:p>
    <w:p w14:paraId="4C17F4E6"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 is a non-sedating, long-acting histamine antagonist with selective peripheral H</w:t>
      </w:r>
      <w:r w:rsidRPr="00207790">
        <w:rPr>
          <w:color w:val="000000"/>
          <w:sz w:val="24"/>
          <w:szCs w:val="24"/>
          <w:vertAlign w:val="subscript"/>
          <w:lang w:val="en-US"/>
        </w:rPr>
        <w:t>1</w:t>
      </w:r>
      <w:r w:rsidRPr="00207790">
        <w:rPr>
          <w:color w:val="000000"/>
          <w:sz w:val="24"/>
          <w:szCs w:val="24"/>
          <w:lang w:val="en-US"/>
        </w:rPr>
        <w:t>-receptor antagonist activity. After oral administration, desloratadine selectively blocks peripheral histamine H</w:t>
      </w:r>
      <w:r w:rsidRPr="00207790">
        <w:rPr>
          <w:color w:val="000000"/>
          <w:sz w:val="24"/>
          <w:szCs w:val="24"/>
          <w:vertAlign w:val="subscript"/>
          <w:lang w:val="en-US"/>
        </w:rPr>
        <w:t>1</w:t>
      </w:r>
      <w:r w:rsidRPr="00207790">
        <w:rPr>
          <w:color w:val="000000"/>
          <w:sz w:val="24"/>
          <w:szCs w:val="24"/>
          <w:lang w:val="en-US"/>
        </w:rPr>
        <w:t>- receptors because the substance is excluded from entry to the central nervous system.</w:t>
      </w:r>
    </w:p>
    <w:p w14:paraId="4E1B0654" w14:textId="77777777" w:rsidR="00D7627E" w:rsidRPr="00207790" w:rsidRDefault="00D7627E" w:rsidP="00FC14A8">
      <w:pPr>
        <w:autoSpaceDE w:val="0"/>
        <w:autoSpaceDN w:val="0"/>
        <w:adjustRightInd w:val="0"/>
        <w:ind w:left="851"/>
        <w:rPr>
          <w:color w:val="000000"/>
          <w:sz w:val="24"/>
          <w:szCs w:val="24"/>
          <w:lang w:val="en-US"/>
        </w:rPr>
      </w:pPr>
    </w:p>
    <w:p w14:paraId="7DCE982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Desloratadine has demonstrated antiallergic properties from </w:t>
      </w:r>
      <w:r w:rsidRPr="00207790">
        <w:rPr>
          <w:i/>
          <w:iCs/>
          <w:color w:val="000000"/>
          <w:sz w:val="24"/>
          <w:szCs w:val="24"/>
          <w:lang w:val="en-US"/>
        </w:rPr>
        <w:t xml:space="preserve">in vitro </w:t>
      </w:r>
      <w:r w:rsidRPr="00207790">
        <w:rPr>
          <w:color w:val="000000"/>
          <w:sz w:val="24"/>
          <w:szCs w:val="24"/>
          <w:lang w:val="en-US"/>
        </w:rPr>
        <w:t>studies. These include inhibiting the release of proinflammatory cytokines such as IL-4, IL-6, IL-8, and IL-13 from human mast cells/basophils, as well as inhibition of the expression of the adhesion molecule P-selectin on endothelial cells. The clinical relevance of these observations remains to be confirmed.</w:t>
      </w:r>
    </w:p>
    <w:p w14:paraId="79AF4576" w14:textId="7894728B" w:rsidR="002C65F9" w:rsidRDefault="002C65F9">
      <w:pPr>
        <w:rPr>
          <w:color w:val="000000"/>
          <w:sz w:val="24"/>
          <w:szCs w:val="24"/>
          <w:lang w:val="en-US"/>
        </w:rPr>
      </w:pPr>
      <w:r>
        <w:rPr>
          <w:color w:val="000000"/>
          <w:sz w:val="24"/>
          <w:szCs w:val="24"/>
          <w:lang w:val="en-US"/>
        </w:rPr>
        <w:br w:type="page"/>
      </w:r>
    </w:p>
    <w:p w14:paraId="71FB3DA6" w14:textId="77777777" w:rsidR="00D7627E" w:rsidRPr="00207790" w:rsidRDefault="00D7627E" w:rsidP="00FC14A8">
      <w:pPr>
        <w:autoSpaceDE w:val="0"/>
        <w:autoSpaceDN w:val="0"/>
        <w:adjustRightInd w:val="0"/>
        <w:ind w:left="851"/>
        <w:rPr>
          <w:color w:val="000000"/>
          <w:sz w:val="24"/>
          <w:szCs w:val="24"/>
          <w:lang w:val="en-US"/>
        </w:rPr>
      </w:pPr>
    </w:p>
    <w:p w14:paraId="5408BC79"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Clinical efficacy and safety</w:t>
      </w:r>
    </w:p>
    <w:p w14:paraId="6E334A7E" w14:textId="77777777" w:rsidR="00D7627E" w:rsidRPr="00207790" w:rsidRDefault="00D7627E" w:rsidP="00FC14A8">
      <w:pPr>
        <w:autoSpaceDE w:val="0"/>
        <w:autoSpaceDN w:val="0"/>
        <w:adjustRightInd w:val="0"/>
        <w:ind w:left="851"/>
        <w:rPr>
          <w:color w:val="000000"/>
          <w:sz w:val="24"/>
          <w:szCs w:val="24"/>
          <w:lang w:val="en-US"/>
        </w:rPr>
      </w:pPr>
    </w:p>
    <w:p w14:paraId="40BDAA20"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Pediatric population</w:t>
      </w:r>
    </w:p>
    <w:p w14:paraId="47346C42" w14:textId="44A63D89"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Efficacy of desloratadine oral solution has not been investigated in separate paediatric trials. However, the safety of desloratadine syrup formulation, which contains the same concentration of desloratadine, was demonstrated in three paediatric trials.</w:t>
      </w:r>
      <w:r w:rsidR="00483713">
        <w:rPr>
          <w:color w:val="000000"/>
          <w:sz w:val="24"/>
          <w:szCs w:val="24"/>
          <w:lang w:val="en-US"/>
        </w:rPr>
        <w:t xml:space="preserve"> </w:t>
      </w:r>
      <w:r w:rsidRPr="00207790">
        <w:rPr>
          <w:color w:val="000000"/>
          <w:sz w:val="24"/>
          <w:szCs w:val="24"/>
          <w:lang w:val="en-US"/>
        </w:rPr>
        <w:t>Children, 1-11 years of age, who were candidates for antihistamine therapy received a daily desloratadine dose of 1.25 mg (1 through 5 years of age) or 2.5 mg (6 through 11 years of age). Treatment was well tolerated as documented by clinical laboratory tests, vital signs, and ECG interval data, including QTc. When given at the recommended doses, the plasma concentrations of desloratadine (see section 5.2) were comparable in the paediatric and adult populations. Thus, since the course of allergic rhinitis/chronic idiopathic urticaria and the profile of desloratadine are similar in adults and paediatric patients, desloratadine efficacy data in adults can be extrapolated to the paediatric population.</w:t>
      </w:r>
    </w:p>
    <w:p w14:paraId="412A09A0"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Efficacy of desloratadine syrup has not been investigated in paediatric trials in children less than 12 years of age.</w:t>
      </w:r>
    </w:p>
    <w:p w14:paraId="593145E6" w14:textId="77777777" w:rsidR="00D7627E" w:rsidRPr="00207790" w:rsidRDefault="00D7627E" w:rsidP="00FC14A8">
      <w:pPr>
        <w:autoSpaceDE w:val="0"/>
        <w:autoSpaceDN w:val="0"/>
        <w:adjustRightInd w:val="0"/>
        <w:ind w:left="851"/>
        <w:rPr>
          <w:color w:val="000000"/>
          <w:sz w:val="24"/>
          <w:szCs w:val="24"/>
          <w:lang w:val="en-US"/>
        </w:rPr>
      </w:pPr>
    </w:p>
    <w:p w14:paraId="52537F77"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Adults and adolescents</w:t>
      </w:r>
    </w:p>
    <w:p w14:paraId="684DDC2F"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a multiple dose clinical trial, in adults and adolescents, in which up to 20 mg of desloratadine was administered daily for 14 days, no statistically or clinically relevant cardiovascular effect was observed. In a clinical pharmacology trial, in adults and adolescents, in which desloratadine was administered to adults at a dose of 45 mg daily (nine times the clinical dose) for ten days, no prolongation of QTc interval was seen.</w:t>
      </w:r>
    </w:p>
    <w:p w14:paraId="0E04DCC1" w14:textId="77777777" w:rsidR="00D7627E" w:rsidRPr="00207790" w:rsidRDefault="00D7627E" w:rsidP="00FC14A8">
      <w:pPr>
        <w:autoSpaceDE w:val="0"/>
        <w:autoSpaceDN w:val="0"/>
        <w:adjustRightInd w:val="0"/>
        <w:ind w:left="851"/>
        <w:rPr>
          <w:color w:val="000000"/>
          <w:sz w:val="24"/>
          <w:szCs w:val="24"/>
          <w:lang w:val="en-US"/>
        </w:rPr>
      </w:pPr>
    </w:p>
    <w:p w14:paraId="6B959E3E"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 does not readily penetrate the central nervous system. In controlled clinical trials, at the recommended dose of 5 mg daily for adults and adolescents, there was no excess incidence of somnolence as compared to placebo. Desloratadine tablets given at a single daily dose of 7.5 mg to adults and adolescents did not affect psychomotor performance in clinical trials. In a single dose study performed in adults, desloratadine 5 mg did not affect standard measures of flight performance including exacerbation of subjective sleepiness or tasks related to flying.</w:t>
      </w:r>
    </w:p>
    <w:p w14:paraId="65E4B153" w14:textId="77777777" w:rsidR="00D7627E" w:rsidRPr="00207790" w:rsidRDefault="00D7627E" w:rsidP="00FC14A8">
      <w:pPr>
        <w:autoSpaceDE w:val="0"/>
        <w:autoSpaceDN w:val="0"/>
        <w:adjustRightInd w:val="0"/>
        <w:ind w:left="851"/>
        <w:rPr>
          <w:color w:val="000000"/>
          <w:sz w:val="24"/>
          <w:szCs w:val="24"/>
          <w:lang w:val="en-US"/>
        </w:rPr>
      </w:pPr>
    </w:p>
    <w:p w14:paraId="1173A049"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clinical pharmacology trials in adults, co-administration with alcohol did not increase the alcohol-induced impairment in performance or increase in sleepiness. No significant differences were found in the psychomotor test results between desloratadine and placebo groups, whether administered alone or with alcohol.</w:t>
      </w:r>
    </w:p>
    <w:p w14:paraId="1BD8CFE9" w14:textId="77777777" w:rsidR="00D7627E" w:rsidRPr="00207790" w:rsidRDefault="00D7627E" w:rsidP="00FC14A8">
      <w:pPr>
        <w:autoSpaceDE w:val="0"/>
        <w:autoSpaceDN w:val="0"/>
        <w:adjustRightInd w:val="0"/>
        <w:ind w:left="851"/>
        <w:rPr>
          <w:color w:val="000000"/>
          <w:sz w:val="24"/>
          <w:szCs w:val="24"/>
          <w:lang w:val="en-US"/>
        </w:rPr>
      </w:pPr>
    </w:p>
    <w:p w14:paraId="67ACEABE"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No clinically relevant changes in desloratadine plasma concentrations were observed in multiple-dose ketoconazole and erythromycin interaction trials.</w:t>
      </w:r>
    </w:p>
    <w:p w14:paraId="6FB677B4" w14:textId="77777777" w:rsidR="00D7627E" w:rsidRPr="00207790" w:rsidRDefault="00D7627E" w:rsidP="00FC14A8">
      <w:pPr>
        <w:autoSpaceDE w:val="0"/>
        <w:autoSpaceDN w:val="0"/>
        <w:adjustRightInd w:val="0"/>
        <w:ind w:left="851"/>
        <w:rPr>
          <w:color w:val="000000"/>
          <w:sz w:val="24"/>
          <w:szCs w:val="24"/>
          <w:lang w:val="en-US"/>
        </w:rPr>
      </w:pPr>
    </w:p>
    <w:p w14:paraId="461B17D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adult and adolescent patients with allergic rhinitis, desloratadine tablets were effective in relieving symptoms such as sneezing, nasal discharge and itching, as well as ocular itching, tearing and redness, and itching of palate. Desloratadine effectively controlled symptoms for 24 hours. The efficacy of desloratadine</w:t>
      </w:r>
      <w:r w:rsidRPr="00207790">
        <w:rPr>
          <w:sz w:val="24"/>
          <w:szCs w:val="24"/>
          <w:lang w:val="en-US"/>
        </w:rPr>
        <w:t xml:space="preserve"> </w:t>
      </w:r>
      <w:r w:rsidRPr="00207790">
        <w:rPr>
          <w:color w:val="000000"/>
          <w:sz w:val="24"/>
          <w:szCs w:val="24"/>
          <w:lang w:val="en-US"/>
        </w:rPr>
        <w:t>tablets has not been clearly demonstrated in trials with adolescent patients 12 through 17 years of age.</w:t>
      </w:r>
    </w:p>
    <w:p w14:paraId="186DAEA1" w14:textId="77777777" w:rsidR="00D7627E" w:rsidRPr="00207790" w:rsidRDefault="00D7627E" w:rsidP="00FC14A8">
      <w:pPr>
        <w:autoSpaceDE w:val="0"/>
        <w:autoSpaceDN w:val="0"/>
        <w:adjustRightInd w:val="0"/>
        <w:ind w:left="851"/>
        <w:rPr>
          <w:color w:val="000000"/>
          <w:sz w:val="24"/>
          <w:szCs w:val="24"/>
          <w:lang w:val="en-US"/>
        </w:rPr>
      </w:pPr>
    </w:p>
    <w:p w14:paraId="42D11A13"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addition to the established classifications of seasonal and perennial, allergic rhinitis can alternatively be classified as intermittent allergic rhinitis and persistent allergic rhinitis according to the duration of symptoms. Intermittent allergic rhinitis is defined as the presence of symptoms for less than 4 days per week or for less than 4 weeks. Persistent allergic rhinitis is defined as the presence of symptoms for 4 days or more per week and for more than 4 weeks.</w:t>
      </w:r>
    </w:p>
    <w:p w14:paraId="6AE21E98" w14:textId="77777777" w:rsidR="00D7627E" w:rsidRPr="00207790" w:rsidRDefault="00D7627E" w:rsidP="00FC14A8">
      <w:pPr>
        <w:autoSpaceDE w:val="0"/>
        <w:autoSpaceDN w:val="0"/>
        <w:adjustRightInd w:val="0"/>
        <w:ind w:left="851"/>
        <w:rPr>
          <w:color w:val="000000"/>
          <w:sz w:val="24"/>
          <w:szCs w:val="24"/>
          <w:lang w:val="en-US"/>
        </w:rPr>
      </w:pPr>
    </w:p>
    <w:p w14:paraId="7FBCA94C"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w:t>
      </w:r>
      <w:r w:rsidRPr="00207790">
        <w:rPr>
          <w:sz w:val="24"/>
          <w:szCs w:val="24"/>
          <w:lang w:val="en-US"/>
        </w:rPr>
        <w:t xml:space="preserve"> </w:t>
      </w:r>
      <w:r w:rsidRPr="00207790">
        <w:rPr>
          <w:color w:val="000000"/>
          <w:sz w:val="24"/>
          <w:szCs w:val="24"/>
          <w:lang w:val="en-US"/>
        </w:rPr>
        <w:t>tablets were effective in alleviating the burden of seasonal allergic rhinitis as shown by the total score of the rhino-conjunctivitis quality of life questionnaire. The greatest amelioration was seen in the domains of practical problems and daily activities limited by symptoms.</w:t>
      </w:r>
    </w:p>
    <w:p w14:paraId="03B7C106" w14:textId="77777777" w:rsidR="00D7627E" w:rsidRPr="00207790" w:rsidRDefault="00D7627E" w:rsidP="00FC14A8">
      <w:pPr>
        <w:autoSpaceDE w:val="0"/>
        <w:autoSpaceDN w:val="0"/>
        <w:adjustRightInd w:val="0"/>
        <w:ind w:left="851"/>
        <w:rPr>
          <w:color w:val="000000"/>
          <w:sz w:val="24"/>
          <w:szCs w:val="24"/>
          <w:lang w:val="en-US"/>
        </w:rPr>
      </w:pPr>
    </w:p>
    <w:p w14:paraId="3B74B2C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Chronic idiopathic urticaria was studied as a clinical model for urticarial conditions, since the underlying pathophysiology is similar, regardless of etiology, and because chronic patients can be more easily recruited prospectively. Since histamine release is a causal factor in all urticarial diseases, desloratadine is expected to be effective in providing symptomatic relief for other urticarial conditions, in addition to chronic idiopathic urticaria, as advised in clinical guidelines.</w:t>
      </w:r>
    </w:p>
    <w:p w14:paraId="06FAA36F" w14:textId="77777777" w:rsidR="00D7627E" w:rsidRPr="00207790" w:rsidRDefault="00D7627E" w:rsidP="00FC14A8">
      <w:pPr>
        <w:autoSpaceDE w:val="0"/>
        <w:autoSpaceDN w:val="0"/>
        <w:adjustRightInd w:val="0"/>
        <w:ind w:left="851"/>
        <w:rPr>
          <w:color w:val="000000"/>
          <w:sz w:val="24"/>
          <w:szCs w:val="24"/>
          <w:lang w:val="en-US"/>
        </w:rPr>
      </w:pPr>
    </w:p>
    <w:p w14:paraId="585C7C77"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 two placebo-controlled </w:t>
      </w:r>
      <w:proofErr w:type="gramStart"/>
      <w:r w:rsidRPr="00207790">
        <w:rPr>
          <w:color w:val="000000"/>
          <w:sz w:val="24"/>
          <w:szCs w:val="24"/>
          <w:lang w:val="en-US"/>
        </w:rPr>
        <w:t>six week</w:t>
      </w:r>
      <w:proofErr w:type="gramEnd"/>
      <w:r w:rsidRPr="00207790">
        <w:rPr>
          <w:color w:val="000000"/>
          <w:sz w:val="24"/>
          <w:szCs w:val="24"/>
          <w:lang w:val="en-US"/>
        </w:rPr>
        <w:t xml:space="preserve"> trials in patients with chronic idiopathic urticaria, desloratadine was effective in relieving pruritus and decreasing the size and number of hives by the end of the first dosing interval. In each trial, the effects were sustained over the </w:t>
      </w:r>
      <w:proofErr w:type="gramStart"/>
      <w:r w:rsidRPr="00207790">
        <w:rPr>
          <w:color w:val="000000"/>
          <w:sz w:val="24"/>
          <w:szCs w:val="24"/>
          <w:lang w:val="en-US"/>
        </w:rPr>
        <w:t>24 hour</w:t>
      </w:r>
      <w:proofErr w:type="gramEnd"/>
      <w:r w:rsidRPr="00207790">
        <w:rPr>
          <w:color w:val="000000"/>
          <w:sz w:val="24"/>
          <w:szCs w:val="24"/>
          <w:lang w:val="en-US"/>
        </w:rPr>
        <w:t xml:space="preserve"> dosing interval. As with other antihistamine trials in chronic idiopathic urticaria, the minority of patients who were identified as nonresponsive to antihistamines was excluded. An improvement in pruritus of more than 50 % was observed in 55 % of patients treated with desloratadine compared with 19 % of patients treated with placebo. Treatment with desloratadine</w:t>
      </w:r>
      <w:r w:rsidRPr="00207790">
        <w:rPr>
          <w:sz w:val="24"/>
          <w:szCs w:val="24"/>
          <w:lang w:val="en-US"/>
        </w:rPr>
        <w:t xml:space="preserve"> </w:t>
      </w:r>
      <w:r w:rsidRPr="00207790">
        <w:rPr>
          <w:color w:val="000000"/>
          <w:sz w:val="24"/>
          <w:szCs w:val="24"/>
          <w:lang w:val="en-US"/>
        </w:rPr>
        <w:t>also significantly reduced interference with sleep and daytime function, as measured by a four-point scale used to assess these variables.</w:t>
      </w:r>
    </w:p>
    <w:p w14:paraId="740C1AEB" w14:textId="77777777" w:rsidR="007C5D2A" w:rsidRPr="00207790" w:rsidRDefault="007C5D2A" w:rsidP="003E0341">
      <w:pPr>
        <w:tabs>
          <w:tab w:val="left" w:pos="851"/>
        </w:tabs>
        <w:ind w:left="851"/>
        <w:rPr>
          <w:sz w:val="24"/>
          <w:szCs w:val="24"/>
          <w:lang w:val="en-GB"/>
        </w:rPr>
      </w:pPr>
    </w:p>
    <w:p w14:paraId="0F71A621" w14:textId="77777777" w:rsidR="007C5D2A" w:rsidRPr="00207790" w:rsidRDefault="007C5D2A" w:rsidP="007C5D2A">
      <w:pPr>
        <w:tabs>
          <w:tab w:val="left" w:pos="851"/>
        </w:tabs>
        <w:ind w:left="851" w:hanging="851"/>
        <w:rPr>
          <w:b/>
          <w:sz w:val="24"/>
          <w:szCs w:val="24"/>
          <w:lang w:val="en-GB"/>
        </w:rPr>
      </w:pPr>
      <w:r w:rsidRPr="00207790">
        <w:rPr>
          <w:b/>
          <w:sz w:val="24"/>
          <w:szCs w:val="24"/>
          <w:lang w:val="en-GB"/>
        </w:rPr>
        <w:t>5.2</w:t>
      </w:r>
      <w:r w:rsidRPr="00207790">
        <w:rPr>
          <w:b/>
          <w:sz w:val="24"/>
          <w:szCs w:val="24"/>
          <w:lang w:val="en-GB"/>
        </w:rPr>
        <w:tab/>
        <w:t>Pharmacokinetic properties</w:t>
      </w:r>
      <w:r w:rsidRPr="00207790">
        <w:rPr>
          <w:b/>
          <w:sz w:val="24"/>
          <w:szCs w:val="24"/>
          <w:lang w:val="en-GB"/>
        </w:rPr>
        <w:tab/>
      </w:r>
    </w:p>
    <w:p w14:paraId="0FB7CEA8" w14:textId="77777777" w:rsidR="00483713" w:rsidRDefault="00483713" w:rsidP="00FC14A8">
      <w:pPr>
        <w:autoSpaceDE w:val="0"/>
        <w:autoSpaceDN w:val="0"/>
        <w:adjustRightInd w:val="0"/>
        <w:ind w:left="851"/>
        <w:rPr>
          <w:color w:val="000000"/>
          <w:sz w:val="24"/>
          <w:szCs w:val="24"/>
          <w:u w:val="single"/>
          <w:lang w:val="en-US"/>
        </w:rPr>
      </w:pPr>
    </w:p>
    <w:p w14:paraId="3A0259BC" w14:textId="38938DE8"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Absorption</w:t>
      </w:r>
    </w:p>
    <w:p w14:paraId="073960D6"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 plasma concentrations can be detected within 30 minutes of desloratadine administration in adults and adolescents. Desloratadine is well absorbed with maximum concentration achieved after approximately 3 hours; the terminal phase half-life is approximately 27 hours. The degree of accumulation of desloratadine was consistent with its half-life (approximately 27 hours) and a once daily dosing frequency. The bioavailability of desloratadine was dose proportional over the range of 5 mg to 20 mg.</w:t>
      </w:r>
    </w:p>
    <w:p w14:paraId="3F44958F" w14:textId="77777777" w:rsidR="00D7627E" w:rsidRPr="00207790" w:rsidRDefault="00D7627E" w:rsidP="00FC14A8">
      <w:pPr>
        <w:autoSpaceDE w:val="0"/>
        <w:autoSpaceDN w:val="0"/>
        <w:adjustRightInd w:val="0"/>
        <w:ind w:left="851"/>
        <w:rPr>
          <w:color w:val="000000"/>
          <w:sz w:val="24"/>
          <w:szCs w:val="24"/>
          <w:lang w:val="en-US"/>
        </w:rPr>
      </w:pPr>
    </w:p>
    <w:p w14:paraId="452A620B"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 a series of pharmacokinetic and clinical trials, 6 % of the subjects reached a higher concentration of desloratadine. The prevalence of this poor </w:t>
      </w:r>
      <w:proofErr w:type="spellStart"/>
      <w:r w:rsidRPr="00207790">
        <w:rPr>
          <w:color w:val="000000"/>
          <w:sz w:val="24"/>
          <w:szCs w:val="24"/>
          <w:lang w:val="en-US"/>
        </w:rPr>
        <w:t>metaboliser</w:t>
      </w:r>
      <w:proofErr w:type="spellEnd"/>
      <w:r w:rsidRPr="00207790">
        <w:rPr>
          <w:color w:val="000000"/>
          <w:sz w:val="24"/>
          <w:szCs w:val="24"/>
          <w:lang w:val="en-US"/>
        </w:rPr>
        <w:t xml:space="preserve"> phenotype was comparable for adult (6 %) and paediatric subjects 2- to 11-year old (6 %), and greater among Blacks (18 % adult, 16 % paediatric) than Caucasians (2 % adult, 3 % paediatric) in both populations.</w:t>
      </w:r>
    </w:p>
    <w:p w14:paraId="06002AB3" w14:textId="77777777" w:rsidR="00D7627E" w:rsidRPr="00207790" w:rsidRDefault="00D7627E" w:rsidP="00FC14A8">
      <w:pPr>
        <w:autoSpaceDE w:val="0"/>
        <w:autoSpaceDN w:val="0"/>
        <w:adjustRightInd w:val="0"/>
        <w:ind w:left="851"/>
        <w:rPr>
          <w:color w:val="000000"/>
          <w:sz w:val="24"/>
          <w:szCs w:val="24"/>
          <w:lang w:val="en-US"/>
        </w:rPr>
      </w:pPr>
    </w:p>
    <w:p w14:paraId="4F72BB51"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 a multiple-dose pharmacokinetic study conducted with the tablet formulation in healthy adult subjects, four subjects were found to be poor </w:t>
      </w:r>
      <w:proofErr w:type="spellStart"/>
      <w:r w:rsidRPr="00207790">
        <w:rPr>
          <w:color w:val="000000"/>
          <w:sz w:val="24"/>
          <w:szCs w:val="24"/>
          <w:lang w:val="en-US"/>
        </w:rPr>
        <w:t>metabolisers</w:t>
      </w:r>
      <w:proofErr w:type="spellEnd"/>
      <w:r w:rsidRPr="00207790">
        <w:rPr>
          <w:color w:val="000000"/>
          <w:sz w:val="24"/>
          <w:szCs w:val="24"/>
          <w:lang w:val="en-US"/>
        </w:rPr>
        <w:t xml:space="preserve"> of desloratadine. These subjects had a </w:t>
      </w:r>
      <w:proofErr w:type="spellStart"/>
      <w:r w:rsidRPr="00207790">
        <w:rPr>
          <w:color w:val="000000"/>
          <w:sz w:val="24"/>
          <w:szCs w:val="24"/>
          <w:lang w:val="en-US"/>
        </w:rPr>
        <w:t>Cmax</w:t>
      </w:r>
      <w:proofErr w:type="spellEnd"/>
      <w:r w:rsidRPr="00207790">
        <w:rPr>
          <w:color w:val="000000"/>
          <w:sz w:val="24"/>
          <w:szCs w:val="24"/>
          <w:lang w:val="en-US"/>
        </w:rPr>
        <w:t xml:space="preserve"> concentration about 3-fold higher at approximately 7 hours with a terminal phase half-life of approximately 89 hours.</w:t>
      </w:r>
    </w:p>
    <w:p w14:paraId="7F88E54B" w14:textId="77777777" w:rsidR="00D7627E" w:rsidRPr="00207790" w:rsidRDefault="00D7627E" w:rsidP="00FC14A8">
      <w:pPr>
        <w:autoSpaceDE w:val="0"/>
        <w:autoSpaceDN w:val="0"/>
        <w:adjustRightInd w:val="0"/>
        <w:ind w:left="851"/>
        <w:rPr>
          <w:color w:val="000000"/>
          <w:sz w:val="24"/>
          <w:szCs w:val="24"/>
          <w:lang w:val="en-US"/>
        </w:rPr>
      </w:pPr>
    </w:p>
    <w:p w14:paraId="41D16A67"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Similar pharmacokinetic parameters were observed in a multiple-dose pharmacokinetic study conducted with the syrup formulation in </w:t>
      </w:r>
      <w:proofErr w:type="spellStart"/>
      <w:r w:rsidRPr="00207790">
        <w:rPr>
          <w:color w:val="000000"/>
          <w:sz w:val="24"/>
          <w:szCs w:val="24"/>
          <w:lang w:val="en-US"/>
        </w:rPr>
        <w:t>paediatric</w:t>
      </w:r>
      <w:proofErr w:type="spellEnd"/>
      <w:r w:rsidRPr="00207790">
        <w:rPr>
          <w:color w:val="000000"/>
          <w:sz w:val="24"/>
          <w:szCs w:val="24"/>
          <w:lang w:val="en-US"/>
        </w:rPr>
        <w:t xml:space="preserve"> poor </w:t>
      </w:r>
      <w:proofErr w:type="spellStart"/>
      <w:r w:rsidRPr="00207790">
        <w:rPr>
          <w:color w:val="000000"/>
          <w:sz w:val="24"/>
          <w:szCs w:val="24"/>
          <w:lang w:val="en-US"/>
        </w:rPr>
        <w:t>metaboliser</w:t>
      </w:r>
      <w:proofErr w:type="spellEnd"/>
      <w:r w:rsidRPr="00207790">
        <w:rPr>
          <w:color w:val="000000"/>
          <w:sz w:val="24"/>
          <w:szCs w:val="24"/>
          <w:lang w:val="en-US"/>
        </w:rPr>
        <w:t xml:space="preserve"> subjects 2- to 11-year old diagnosed with allergic rhinitis. The exposure (AUC) to desloratadine was about 6-fold higher and the </w:t>
      </w:r>
      <w:proofErr w:type="spellStart"/>
      <w:r w:rsidRPr="00207790">
        <w:rPr>
          <w:color w:val="000000"/>
          <w:sz w:val="24"/>
          <w:szCs w:val="24"/>
          <w:lang w:val="en-US"/>
        </w:rPr>
        <w:t>Cmax</w:t>
      </w:r>
      <w:proofErr w:type="spellEnd"/>
      <w:r w:rsidRPr="00207790">
        <w:rPr>
          <w:color w:val="000000"/>
          <w:sz w:val="24"/>
          <w:szCs w:val="24"/>
          <w:lang w:val="en-US"/>
        </w:rPr>
        <w:t xml:space="preserve"> was about 3 to </w:t>
      </w:r>
      <w:proofErr w:type="gramStart"/>
      <w:r w:rsidRPr="00207790">
        <w:rPr>
          <w:color w:val="000000"/>
          <w:sz w:val="24"/>
          <w:szCs w:val="24"/>
          <w:lang w:val="en-US"/>
        </w:rPr>
        <w:t>4 fold</w:t>
      </w:r>
      <w:proofErr w:type="gramEnd"/>
      <w:r w:rsidRPr="00207790">
        <w:rPr>
          <w:color w:val="000000"/>
          <w:sz w:val="24"/>
          <w:szCs w:val="24"/>
          <w:lang w:val="en-US"/>
        </w:rPr>
        <w:t xml:space="preserve"> higher at 3-6 hours with a terminal half-life of approximately 120 hours. Exposure was the same in adult and </w:t>
      </w:r>
      <w:proofErr w:type="spellStart"/>
      <w:r w:rsidRPr="00207790">
        <w:rPr>
          <w:color w:val="000000"/>
          <w:sz w:val="24"/>
          <w:szCs w:val="24"/>
          <w:lang w:val="en-US"/>
        </w:rPr>
        <w:t>paediatric</w:t>
      </w:r>
      <w:proofErr w:type="spellEnd"/>
      <w:r w:rsidRPr="00207790">
        <w:rPr>
          <w:color w:val="000000"/>
          <w:sz w:val="24"/>
          <w:szCs w:val="24"/>
          <w:lang w:val="en-US"/>
        </w:rPr>
        <w:t xml:space="preserve"> poor </w:t>
      </w:r>
      <w:proofErr w:type="spellStart"/>
      <w:r w:rsidRPr="00207790">
        <w:rPr>
          <w:color w:val="000000"/>
          <w:sz w:val="24"/>
          <w:szCs w:val="24"/>
          <w:lang w:val="en-US"/>
        </w:rPr>
        <w:t>metabolisers</w:t>
      </w:r>
      <w:proofErr w:type="spellEnd"/>
      <w:r w:rsidRPr="00207790">
        <w:rPr>
          <w:color w:val="000000"/>
          <w:sz w:val="24"/>
          <w:szCs w:val="24"/>
          <w:lang w:val="en-US"/>
        </w:rPr>
        <w:t xml:space="preserve"> when treated with age-appropriate doses. The overall safety profile of these subjects was not different from that of the general population. The effects of desloratadine in poor metabolizers &lt; 2 years of age have not been studied.</w:t>
      </w:r>
    </w:p>
    <w:p w14:paraId="19EBCA83" w14:textId="77777777" w:rsidR="00D7627E" w:rsidRPr="00207790" w:rsidRDefault="00D7627E" w:rsidP="00FC14A8">
      <w:pPr>
        <w:autoSpaceDE w:val="0"/>
        <w:autoSpaceDN w:val="0"/>
        <w:adjustRightInd w:val="0"/>
        <w:ind w:left="851"/>
        <w:rPr>
          <w:color w:val="000000"/>
          <w:sz w:val="24"/>
          <w:szCs w:val="24"/>
          <w:lang w:val="en-US"/>
        </w:rPr>
      </w:pPr>
    </w:p>
    <w:p w14:paraId="05C4B5F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In separate single dose studies, at the recommended doses, paediatric patients had comparable AUC and </w:t>
      </w:r>
      <w:proofErr w:type="spellStart"/>
      <w:r w:rsidRPr="00207790">
        <w:rPr>
          <w:color w:val="000000"/>
          <w:sz w:val="24"/>
          <w:szCs w:val="24"/>
          <w:lang w:val="en-US"/>
        </w:rPr>
        <w:t>Cmax</w:t>
      </w:r>
      <w:proofErr w:type="spellEnd"/>
      <w:r w:rsidRPr="00207790">
        <w:rPr>
          <w:color w:val="000000"/>
          <w:sz w:val="24"/>
          <w:szCs w:val="24"/>
          <w:lang w:val="en-US"/>
        </w:rPr>
        <w:t xml:space="preserve"> values of desloratadine to those in adults who received a 5 mg dose of desloratadine syrup.</w:t>
      </w:r>
    </w:p>
    <w:p w14:paraId="6684BAC9" w14:textId="77777777" w:rsidR="00D7627E" w:rsidRPr="00207790" w:rsidRDefault="00D7627E" w:rsidP="00FC14A8">
      <w:pPr>
        <w:autoSpaceDE w:val="0"/>
        <w:autoSpaceDN w:val="0"/>
        <w:adjustRightInd w:val="0"/>
        <w:ind w:left="851"/>
        <w:rPr>
          <w:color w:val="000000"/>
          <w:sz w:val="24"/>
          <w:szCs w:val="24"/>
          <w:lang w:val="en-US"/>
        </w:rPr>
      </w:pPr>
    </w:p>
    <w:p w14:paraId="0CFEA1DD"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Distribution</w:t>
      </w:r>
    </w:p>
    <w:p w14:paraId="1F9463E5"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 is moderately bound (83 % - 87 %) to plasma proteins. There is no evidence of clinically relevant active substance accumulation following once daily adult and adolescent dosing of desloratadine (5 mg to 20 mg) for 14 days.</w:t>
      </w:r>
    </w:p>
    <w:p w14:paraId="1AC8FC0B" w14:textId="77777777" w:rsidR="00D7627E" w:rsidRPr="00207790" w:rsidRDefault="00D7627E" w:rsidP="00FC14A8">
      <w:pPr>
        <w:autoSpaceDE w:val="0"/>
        <w:autoSpaceDN w:val="0"/>
        <w:adjustRightInd w:val="0"/>
        <w:ind w:left="851"/>
        <w:rPr>
          <w:color w:val="000000"/>
          <w:sz w:val="24"/>
          <w:szCs w:val="24"/>
          <w:lang w:val="en-US"/>
        </w:rPr>
      </w:pPr>
    </w:p>
    <w:p w14:paraId="2B7A0026" w14:textId="197FC08D"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a single dose, crossover study of desloratadine, the tablet and the syrup formulations were found to be bioequivalent. As desloratadine oral solution contains the same concentration of desloratadine, no bioequivalence study was required and it is expected to be equivalent to the syrup and tablet.</w:t>
      </w:r>
    </w:p>
    <w:p w14:paraId="63264EF4" w14:textId="77777777" w:rsidR="00D7627E" w:rsidRPr="00207790" w:rsidRDefault="00D7627E" w:rsidP="00FC14A8">
      <w:pPr>
        <w:autoSpaceDE w:val="0"/>
        <w:autoSpaceDN w:val="0"/>
        <w:adjustRightInd w:val="0"/>
        <w:ind w:left="851"/>
        <w:rPr>
          <w:color w:val="000000"/>
          <w:sz w:val="24"/>
          <w:szCs w:val="24"/>
          <w:lang w:val="en-US"/>
        </w:rPr>
      </w:pPr>
    </w:p>
    <w:p w14:paraId="4FAFC726"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Biotransformation</w:t>
      </w:r>
    </w:p>
    <w:p w14:paraId="2577EBDA"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The enzyme responsible for the metabolism of desloratadine has not been identified yet, and therefore, some interactions with other medicinal products cannot be fully excluded. Desloratadine does not inhibit CYP3A4 </w:t>
      </w:r>
      <w:r w:rsidRPr="00207790">
        <w:rPr>
          <w:i/>
          <w:iCs/>
          <w:color w:val="000000"/>
          <w:sz w:val="24"/>
          <w:szCs w:val="24"/>
          <w:lang w:val="en-US"/>
        </w:rPr>
        <w:t xml:space="preserve">in vivo, </w:t>
      </w:r>
      <w:r w:rsidRPr="00207790">
        <w:rPr>
          <w:color w:val="000000"/>
          <w:sz w:val="24"/>
          <w:szCs w:val="24"/>
          <w:lang w:val="en-US"/>
        </w:rPr>
        <w:t xml:space="preserve">and </w:t>
      </w:r>
      <w:r w:rsidRPr="00207790">
        <w:rPr>
          <w:i/>
          <w:iCs/>
          <w:color w:val="000000"/>
          <w:sz w:val="24"/>
          <w:szCs w:val="24"/>
          <w:lang w:val="en-US"/>
        </w:rPr>
        <w:t xml:space="preserve">in vitro </w:t>
      </w:r>
      <w:r w:rsidRPr="00207790">
        <w:rPr>
          <w:color w:val="000000"/>
          <w:sz w:val="24"/>
          <w:szCs w:val="24"/>
          <w:lang w:val="en-US"/>
        </w:rPr>
        <w:t>studies have shown that the medicinal product does not inhibit CYP2D6 and is neither a substrate nor an inhibitor of P-glycoprotein.</w:t>
      </w:r>
    </w:p>
    <w:p w14:paraId="049FC505" w14:textId="77777777" w:rsidR="00D7627E" w:rsidRPr="00207790" w:rsidRDefault="00D7627E" w:rsidP="00FC14A8">
      <w:pPr>
        <w:autoSpaceDE w:val="0"/>
        <w:autoSpaceDN w:val="0"/>
        <w:adjustRightInd w:val="0"/>
        <w:ind w:left="851"/>
        <w:rPr>
          <w:color w:val="000000"/>
          <w:sz w:val="24"/>
          <w:szCs w:val="24"/>
          <w:lang w:val="en-US"/>
        </w:rPr>
      </w:pPr>
    </w:p>
    <w:p w14:paraId="0055F47D"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Elimination</w:t>
      </w:r>
    </w:p>
    <w:p w14:paraId="7C90FE34"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In a single dose trial using a 7.5 mg dose of desloratadine, there was no effect of food (high-fat, high caloric breakfast) on the disposition of desloratadine. In another study, grapefruit juice had no effect on the disposition of desloratadine.</w:t>
      </w:r>
    </w:p>
    <w:p w14:paraId="617503D5" w14:textId="77777777" w:rsidR="00D7627E" w:rsidRPr="00207790" w:rsidRDefault="00D7627E" w:rsidP="00FC14A8">
      <w:pPr>
        <w:autoSpaceDE w:val="0"/>
        <w:autoSpaceDN w:val="0"/>
        <w:adjustRightInd w:val="0"/>
        <w:ind w:left="851"/>
        <w:rPr>
          <w:color w:val="000000"/>
          <w:sz w:val="24"/>
          <w:szCs w:val="24"/>
          <w:lang w:val="en-US"/>
        </w:rPr>
      </w:pPr>
    </w:p>
    <w:p w14:paraId="6120DCAA" w14:textId="77777777" w:rsidR="00D7627E" w:rsidRPr="00207790" w:rsidRDefault="00D7627E" w:rsidP="00FC14A8">
      <w:pPr>
        <w:autoSpaceDE w:val="0"/>
        <w:autoSpaceDN w:val="0"/>
        <w:adjustRightInd w:val="0"/>
        <w:ind w:left="851"/>
        <w:rPr>
          <w:sz w:val="24"/>
          <w:szCs w:val="24"/>
          <w:u w:val="single"/>
          <w:lang w:val="en-US"/>
        </w:rPr>
      </w:pPr>
      <w:r w:rsidRPr="00207790">
        <w:rPr>
          <w:sz w:val="24"/>
          <w:szCs w:val="24"/>
          <w:u w:val="single"/>
          <w:lang w:val="en-US"/>
        </w:rPr>
        <w:t>Renal impairment</w:t>
      </w:r>
    </w:p>
    <w:p w14:paraId="56A5482F" w14:textId="101903E5"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The pharmacokinetics of desloratadine in patients with chronic renal insufficiency (CRI) was</w:t>
      </w:r>
      <w:r w:rsidR="002C65F9">
        <w:rPr>
          <w:sz w:val="24"/>
          <w:szCs w:val="24"/>
          <w:lang w:val="en-US"/>
        </w:rPr>
        <w:t xml:space="preserve"> </w:t>
      </w:r>
      <w:r w:rsidRPr="00207790">
        <w:rPr>
          <w:sz w:val="24"/>
          <w:szCs w:val="24"/>
          <w:lang w:val="en-US"/>
        </w:rPr>
        <w:t xml:space="preserve">compared with that of healthy subjects in one single-dose study and one multiple dose study. In the single-dose study, the exposure to desloratadine was approximately 2 and 2.5-fold greater in subjects with mild to moderate and severe CRI, respectively, than in healthy subjects. In the multiple-dose study, steady state was reached after Day 11, and compared to healthy subjects the exposure to desloratadine was ~1.5-fold greater in subjects with mild to moderate CRI and ~2.5-fold greater in subjects with severe CRI. In both studies, changes in exposure (AUC and </w:t>
      </w:r>
      <w:proofErr w:type="spellStart"/>
      <w:r w:rsidRPr="00207790">
        <w:rPr>
          <w:sz w:val="24"/>
          <w:szCs w:val="24"/>
          <w:lang w:val="en-US"/>
        </w:rPr>
        <w:t>Cmax</w:t>
      </w:r>
      <w:proofErr w:type="spellEnd"/>
      <w:r w:rsidRPr="00207790">
        <w:rPr>
          <w:sz w:val="24"/>
          <w:szCs w:val="24"/>
          <w:lang w:val="en-US"/>
        </w:rPr>
        <w:t>) of desloratadine and 3-hydroxydesloratadine were not clinically relevant.</w:t>
      </w:r>
    </w:p>
    <w:p w14:paraId="734D1130" w14:textId="77777777" w:rsidR="007C5D2A" w:rsidRPr="00207790" w:rsidRDefault="007C5D2A" w:rsidP="003E0341">
      <w:pPr>
        <w:tabs>
          <w:tab w:val="left" w:pos="851"/>
        </w:tabs>
        <w:ind w:left="851"/>
        <w:rPr>
          <w:sz w:val="24"/>
          <w:szCs w:val="24"/>
          <w:lang w:val="en-GB"/>
        </w:rPr>
      </w:pPr>
    </w:p>
    <w:p w14:paraId="6E996408" w14:textId="77777777" w:rsidR="007C5D2A" w:rsidRPr="00207790" w:rsidRDefault="00180A12" w:rsidP="007C5D2A">
      <w:pPr>
        <w:tabs>
          <w:tab w:val="left" w:pos="851"/>
        </w:tabs>
        <w:ind w:left="851" w:hanging="851"/>
        <w:rPr>
          <w:b/>
          <w:sz w:val="24"/>
          <w:szCs w:val="24"/>
          <w:lang w:val="en-GB"/>
        </w:rPr>
      </w:pPr>
      <w:r w:rsidRPr="00207790">
        <w:rPr>
          <w:b/>
          <w:sz w:val="24"/>
          <w:szCs w:val="24"/>
          <w:lang w:val="en-GB"/>
        </w:rPr>
        <w:t>5.3</w:t>
      </w:r>
      <w:r w:rsidRPr="00207790">
        <w:rPr>
          <w:b/>
          <w:sz w:val="24"/>
          <w:szCs w:val="24"/>
          <w:lang w:val="en-GB"/>
        </w:rPr>
        <w:tab/>
        <w:t>Preclinical safety data</w:t>
      </w:r>
    </w:p>
    <w:p w14:paraId="26037E78"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Desloratadine is the primary active metabolite of loratadine. Non-clinical studies conducted with desloratadine and loratadine demonstrated that there are no qualitative or quantitative differences in the toxicity profile of desloratadine and loratadine at comparable levels of exposure to desloratadine.</w:t>
      </w:r>
    </w:p>
    <w:p w14:paraId="6F178C5F" w14:textId="77777777" w:rsidR="00D7627E" w:rsidRPr="00207790" w:rsidRDefault="00D7627E" w:rsidP="00FC14A8">
      <w:pPr>
        <w:autoSpaceDE w:val="0"/>
        <w:autoSpaceDN w:val="0"/>
        <w:adjustRightInd w:val="0"/>
        <w:ind w:left="851"/>
        <w:rPr>
          <w:color w:val="000000"/>
          <w:sz w:val="24"/>
          <w:szCs w:val="24"/>
          <w:lang w:val="en-US"/>
        </w:rPr>
      </w:pPr>
    </w:p>
    <w:p w14:paraId="7570FCFD"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Non-clinical data reveal no special hazard for humans based on conventional studies of safety pharmacology, repeated dose toxicity, genotoxicity, carcinogenic potential, toxicity to reproduction and development. The lack of carcinogenic potential was demonstrated in studies conducted with desloratadine and loratadine.</w:t>
      </w:r>
    </w:p>
    <w:p w14:paraId="3B4B97B7" w14:textId="77777777" w:rsidR="007C5D2A" w:rsidRPr="00207790" w:rsidRDefault="007C5D2A" w:rsidP="003E0341">
      <w:pPr>
        <w:tabs>
          <w:tab w:val="left" w:pos="851"/>
        </w:tabs>
        <w:ind w:left="851"/>
        <w:rPr>
          <w:sz w:val="24"/>
          <w:szCs w:val="24"/>
          <w:lang w:val="en-GB"/>
        </w:rPr>
      </w:pPr>
    </w:p>
    <w:p w14:paraId="5E080D2A" w14:textId="77777777" w:rsidR="007C5D2A" w:rsidRPr="00207790" w:rsidRDefault="007C5D2A" w:rsidP="003E0341">
      <w:pPr>
        <w:tabs>
          <w:tab w:val="left" w:pos="851"/>
        </w:tabs>
        <w:ind w:left="851"/>
        <w:rPr>
          <w:sz w:val="24"/>
          <w:szCs w:val="24"/>
          <w:lang w:val="en-GB"/>
        </w:rPr>
      </w:pPr>
    </w:p>
    <w:p w14:paraId="75EDDB3F" w14:textId="77777777" w:rsidR="007C5D2A" w:rsidRPr="00207790" w:rsidRDefault="009925C9" w:rsidP="007C5D2A">
      <w:pPr>
        <w:ind w:left="851" w:hanging="851"/>
        <w:rPr>
          <w:b/>
          <w:sz w:val="24"/>
          <w:szCs w:val="24"/>
          <w:lang w:val="en-GB"/>
        </w:rPr>
      </w:pPr>
      <w:r w:rsidRPr="00207790">
        <w:rPr>
          <w:b/>
          <w:sz w:val="24"/>
          <w:szCs w:val="24"/>
          <w:lang w:val="en-GB"/>
        </w:rPr>
        <w:t>6.</w:t>
      </w:r>
      <w:r w:rsidR="007C5D2A" w:rsidRPr="00207790">
        <w:rPr>
          <w:b/>
          <w:sz w:val="24"/>
          <w:szCs w:val="24"/>
          <w:lang w:val="en-GB"/>
        </w:rPr>
        <w:tab/>
        <w:t>PHARMACEUTICAL PARTICULARS</w:t>
      </w:r>
    </w:p>
    <w:p w14:paraId="4100FBAB" w14:textId="77777777" w:rsidR="007C5D2A" w:rsidRPr="00207790" w:rsidRDefault="007C5D2A" w:rsidP="003E0341">
      <w:pPr>
        <w:tabs>
          <w:tab w:val="left" w:pos="851"/>
        </w:tabs>
        <w:ind w:left="851"/>
        <w:rPr>
          <w:sz w:val="24"/>
          <w:szCs w:val="24"/>
          <w:lang w:val="en-GB"/>
        </w:rPr>
      </w:pPr>
    </w:p>
    <w:p w14:paraId="5DC3ABA8" w14:textId="77777777" w:rsidR="007C5D2A" w:rsidRPr="00207790" w:rsidRDefault="007C5D2A" w:rsidP="007C5D2A">
      <w:pPr>
        <w:ind w:left="851" w:hanging="851"/>
        <w:rPr>
          <w:b/>
          <w:sz w:val="24"/>
          <w:szCs w:val="24"/>
          <w:lang w:val="en-GB"/>
        </w:rPr>
      </w:pPr>
      <w:r w:rsidRPr="00207790">
        <w:rPr>
          <w:b/>
          <w:sz w:val="24"/>
          <w:szCs w:val="24"/>
          <w:lang w:val="en-GB"/>
        </w:rPr>
        <w:t>6.1</w:t>
      </w:r>
      <w:r w:rsidRPr="00207790">
        <w:rPr>
          <w:b/>
          <w:sz w:val="24"/>
          <w:szCs w:val="24"/>
          <w:lang w:val="en-GB"/>
        </w:rPr>
        <w:tab/>
        <w:t>List of excipients</w:t>
      </w:r>
    </w:p>
    <w:p w14:paraId="1C5A7E34" w14:textId="77777777" w:rsidR="00D7627E" w:rsidRPr="00207790" w:rsidRDefault="00D7627E" w:rsidP="00FC14A8">
      <w:pPr>
        <w:autoSpaceDE w:val="0"/>
        <w:autoSpaceDN w:val="0"/>
        <w:adjustRightInd w:val="0"/>
        <w:ind w:left="851"/>
        <w:rPr>
          <w:rFonts w:eastAsia="MS Mincho"/>
          <w:sz w:val="24"/>
          <w:szCs w:val="24"/>
          <w:lang w:val="it-IT" w:eastAsia="ja-JP"/>
        </w:rPr>
      </w:pPr>
      <w:r w:rsidRPr="00207790">
        <w:rPr>
          <w:color w:val="000000"/>
          <w:sz w:val="24"/>
          <w:szCs w:val="24"/>
          <w:lang w:val="it-IT"/>
        </w:rPr>
        <w:t xml:space="preserve">Sorbitol, liquid non-crystallizing (E 420) </w:t>
      </w:r>
    </w:p>
    <w:p w14:paraId="56A85E71" w14:textId="77777777" w:rsidR="00D7627E" w:rsidRPr="00207790" w:rsidRDefault="00D7627E" w:rsidP="00FC14A8">
      <w:pPr>
        <w:autoSpaceDE w:val="0"/>
        <w:autoSpaceDN w:val="0"/>
        <w:adjustRightInd w:val="0"/>
        <w:ind w:left="851"/>
        <w:rPr>
          <w:color w:val="000000"/>
          <w:sz w:val="24"/>
          <w:szCs w:val="24"/>
          <w:lang w:val="it-IT" w:eastAsia="en-US"/>
        </w:rPr>
      </w:pPr>
      <w:r w:rsidRPr="00207790">
        <w:rPr>
          <w:color w:val="000000"/>
          <w:sz w:val="24"/>
          <w:szCs w:val="24"/>
          <w:lang w:val="it-IT"/>
        </w:rPr>
        <w:t>Propylene glycol (E 1520)</w:t>
      </w:r>
    </w:p>
    <w:p w14:paraId="143BEED1" w14:textId="77777777" w:rsidR="00D7627E" w:rsidRPr="00207790" w:rsidRDefault="00D7627E" w:rsidP="00FC14A8">
      <w:pPr>
        <w:autoSpaceDE w:val="0"/>
        <w:autoSpaceDN w:val="0"/>
        <w:adjustRightInd w:val="0"/>
        <w:ind w:left="851"/>
        <w:rPr>
          <w:color w:val="000000"/>
          <w:sz w:val="24"/>
          <w:szCs w:val="24"/>
          <w:lang w:val="de-DE"/>
        </w:rPr>
      </w:pPr>
      <w:proofErr w:type="spellStart"/>
      <w:r w:rsidRPr="00207790">
        <w:rPr>
          <w:color w:val="000000"/>
          <w:sz w:val="24"/>
          <w:szCs w:val="24"/>
          <w:lang w:val="de-DE"/>
        </w:rPr>
        <w:t>Citric</w:t>
      </w:r>
      <w:proofErr w:type="spellEnd"/>
      <w:r w:rsidRPr="00207790">
        <w:rPr>
          <w:color w:val="000000"/>
          <w:sz w:val="24"/>
          <w:szCs w:val="24"/>
          <w:lang w:val="de-DE"/>
        </w:rPr>
        <w:t xml:space="preserve"> </w:t>
      </w:r>
      <w:proofErr w:type="spellStart"/>
      <w:r w:rsidRPr="00207790">
        <w:rPr>
          <w:color w:val="000000"/>
          <w:sz w:val="24"/>
          <w:szCs w:val="24"/>
          <w:lang w:val="de-DE"/>
        </w:rPr>
        <w:t>acid</w:t>
      </w:r>
      <w:proofErr w:type="spellEnd"/>
      <w:r w:rsidRPr="00207790">
        <w:rPr>
          <w:color w:val="000000"/>
          <w:sz w:val="24"/>
          <w:szCs w:val="24"/>
          <w:lang w:val="de-DE"/>
        </w:rPr>
        <w:t xml:space="preserve"> </w:t>
      </w:r>
      <w:proofErr w:type="spellStart"/>
      <w:r w:rsidRPr="00207790">
        <w:rPr>
          <w:color w:val="000000"/>
          <w:sz w:val="24"/>
          <w:szCs w:val="24"/>
          <w:lang w:val="de-DE"/>
        </w:rPr>
        <w:t>monohydrate</w:t>
      </w:r>
      <w:proofErr w:type="spellEnd"/>
      <w:r w:rsidRPr="00207790">
        <w:rPr>
          <w:color w:val="000000"/>
          <w:sz w:val="24"/>
          <w:szCs w:val="24"/>
          <w:lang w:val="de-DE"/>
        </w:rPr>
        <w:t xml:space="preserve"> (E 330) </w:t>
      </w:r>
    </w:p>
    <w:p w14:paraId="5A4592A1" w14:textId="77777777" w:rsidR="00D7627E" w:rsidRPr="00207790" w:rsidRDefault="00D7627E" w:rsidP="00FC14A8">
      <w:pPr>
        <w:autoSpaceDE w:val="0"/>
        <w:autoSpaceDN w:val="0"/>
        <w:adjustRightInd w:val="0"/>
        <w:ind w:left="851"/>
        <w:rPr>
          <w:color w:val="000000"/>
          <w:sz w:val="24"/>
          <w:szCs w:val="24"/>
          <w:lang w:val="de-DE"/>
        </w:rPr>
      </w:pPr>
      <w:proofErr w:type="spellStart"/>
      <w:r w:rsidRPr="00207790">
        <w:rPr>
          <w:color w:val="000000"/>
          <w:sz w:val="24"/>
          <w:szCs w:val="24"/>
          <w:lang w:val="de-DE"/>
        </w:rPr>
        <w:t>Sodium</w:t>
      </w:r>
      <w:proofErr w:type="spellEnd"/>
      <w:r w:rsidRPr="00207790">
        <w:rPr>
          <w:color w:val="000000"/>
          <w:sz w:val="24"/>
          <w:szCs w:val="24"/>
          <w:lang w:val="de-DE"/>
        </w:rPr>
        <w:t xml:space="preserve"> </w:t>
      </w:r>
      <w:proofErr w:type="spellStart"/>
      <w:r w:rsidRPr="00207790">
        <w:rPr>
          <w:color w:val="000000"/>
          <w:sz w:val="24"/>
          <w:szCs w:val="24"/>
          <w:lang w:val="de-DE"/>
        </w:rPr>
        <w:t>citrate</w:t>
      </w:r>
      <w:proofErr w:type="spellEnd"/>
      <w:r w:rsidRPr="00207790">
        <w:rPr>
          <w:color w:val="000000"/>
          <w:sz w:val="24"/>
          <w:szCs w:val="24"/>
          <w:lang w:val="de-DE"/>
        </w:rPr>
        <w:t xml:space="preserve"> (E 331)</w:t>
      </w:r>
    </w:p>
    <w:p w14:paraId="3A170800" w14:textId="77777777" w:rsidR="00D7627E" w:rsidRPr="00207790" w:rsidRDefault="00D7627E" w:rsidP="00FC14A8">
      <w:pPr>
        <w:autoSpaceDE w:val="0"/>
        <w:autoSpaceDN w:val="0"/>
        <w:adjustRightInd w:val="0"/>
        <w:ind w:left="851"/>
        <w:rPr>
          <w:color w:val="000000"/>
          <w:sz w:val="24"/>
          <w:szCs w:val="24"/>
          <w:lang w:val="de-DE"/>
        </w:rPr>
      </w:pPr>
      <w:proofErr w:type="spellStart"/>
      <w:r w:rsidRPr="00207790">
        <w:rPr>
          <w:color w:val="000000"/>
          <w:sz w:val="24"/>
          <w:szCs w:val="24"/>
          <w:lang w:val="de-DE"/>
        </w:rPr>
        <w:t>Hypromellose</w:t>
      </w:r>
      <w:proofErr w:type="spellEnd"/>
      <w:r w:rsidRPr="00207790">
        <w:rPr>
          <w:color w:val="000000"/>
          <w:sz w:val="24"/>
          <w:szCs w:val="24"/>
          <w:lang w:val="de-DE"/>
        </w:rPr>
        <w:t xml:space="preserve"> 2910 (E 464)</w:t>
      </w:r>
    </w:p>
    <w:p w14:paraId="209AB5DA" w14:textId="77777777" w:rsidR="00D7627E" w:rsidRPr="00207790" w:rsidRDefault="00D7627E" w:rsidP="00FC14A8">
      <w:pPr>
        <w:autoSpaceDE w:val="0"/>
        <w:autoSpaceDN w:val="0"/>
        <w:adjustRightInd w:val="0"/>
        <w:ind w:left="851"/>
        <w:rPr>
          <w:color w:val="000000"/>
          <w:sz w:val="24"/>
          <w:szCs w:val="24"/>
          <w:lang w:val="de-AT"/>
        </w:rPr>
      </w:pPr>
      <w:proofErr w:type="spellStart"/>
      <w:r w:rsidRPr="00207790">
        <w:rPr>
          <w:color w:val="000000"/>
          <w:sz w:val="24"/>
          <w:szCs w:val="24"/>
          <w:lang w:val="de-AT"/>
        </w:rPr>
        <w:t>Sucralose</w:t>
      </w:r>
      <w:proofErr w:type="spellEnd"/>
      <w:r w:rsidRPr="00207790">
        <w:rPr>
          <w:color w:val="000000"/>
          <w:sz w:val="24"/>
          <w:szCs w:val="24"/>
          <w:lang w:val="de-AT"/>
        </w:rPr>
        <w:t xml:space="preserve"> (E 955)</w:t>
      </w:r>
    </w:p>
    <w:p w14:paraId="6A3F3B78" w14:textId="77777777" w:rsidR="00D7627E" w:rsidRPr="00207790" w:rsidRDefault="00D7627E" w:rsidP="00FC14A8">
      <w:pPr>
        <w:autoSpaceDE w:val="0"/>
        <w:autoSpaceDN w:val="0"/>
        <w:adjustRightInd w:val="0"/>
        <w:ind w:left="851"/>
        <w:rPr>
          <w:color w:val="000000"/>
          <w:sz w:val="24"/>
          <w:szCs w:val="24"/>
          <w:lang w:val="it-IT"/>
        </w:rPr>
      </w:pPr>
      <w:r w:rsidRPr="00207790">
        <w:rPr>
          <w:color w:val="000000"/>
          <w:sz w:val="24"/>
          <w:szCs w:val="24"/>
          <w:lang w:val="it-IT"/>
        </w:rPr>
        <w:t>Disodium edetate</w:t>
      </w:r>
    </w:p>
    <w:p w14:paraId="16D94B2E" w14:textId="77777777" w:rsidR="00D7627E" w:rsidRPr="00207790" w:rsidRDefault="00D7627E" w:rsidP="00FC14A8">
      <w:pPr>
        <w:autoSpaceDE w:val="0"/>
        <w:autoSpaceDN w:val="0"/>
        <w:adjustRightInd w:val="0"/>
        <w:ind w:left="851"/>
        <w:rPr>
          <w:color w:val="000000"/>
          <w:sz w:val="24"/>
          <w:szCs w:val="24"/>
          <w:lang w:val="it-IT"/>
        </w:rPr>
      </w:pPr>
      <w:r w:rsidRPr="00207790">
        <w:rPr>
          <w:color w:val="000000"/>
          <w:sz w:val="24"/>
          <w:szCs w:val="24"/>
          <w:lang w:val="it-IT"/>
        </w:rPr>
        <w:t>Tutti frutti flavouring</w:t>
      </w:r>
    </w:p>
    <w:p w14:paraId="2925DC5C"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Purified water</w:t>
      </w:r>
    </w:p>
    <w:p w14:paraId="47A2B816" w14:textId="77777777" w:rsidR="007C5D2A" w:rsidRPr="00207790" w:rsidRDefault="007C5D2A" w:rsidP="003D727E">
      <w:pPr>
        <w:tabs>
          <w:tab w:val="left" w:pos="851"/>
        </w:tabs>
        <w:ind w:left="851"/>
        <w:rPr>
          <w:sz w:val="24"/>
          <w:szCs w:val="24"/>
          <w:lang w:val="en-GB"/>
        </w:rPr>
      </w:pPr>
    </w:p>
    <w:p w14:paraId="487CFFB4" w14:textId="77777777" w:rsidR="007C5D2A" w:rsidRPr="00207790" w:rsidRDefault="007C5D2A" w:rsidP="007C5D2A">
      <w:pPr>
        <w:ind w:left="851" w:hanging="851"/>
        <w:rPr>
          <w:b/>
          <w:sz w:val="24"/>
          <w:szCs w:val="24"/>
          <w:lang w:val="en-GB"/>
        </w:rPr>
      </w:pPr>
      <w:r w:rsidRPr="00207790">
        <w:rPr>
          <w:b/>
          <w:sz w:val="24"/>
          <w:szCs w:val="24"/>
          <w:lang w:val="en-GB"/>
        </w:rPr>
        <w:t>6.2</w:t>
      </w:r>
      <w:r w:rsidRPr="00207790">
        <w:rPr>
          <w:b/>
          <w:sz w:val="24"/>
          <w:szCs w:val="24"/>
          <w:lang w:val="en-GB"/>
        </w:rPr>
        <w:tab/>
        <w:t>Incompatibilities</w:t>
      </w:r>
    </w:p>
    <w:p w14:paraId="6AAC4009"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Not applicable.</w:t>
      </w:r>
    </w:p>
    <w:p w14:paraId="57297161" w14:textId="77777777" w:rsidR="007C5D2A" w:rsidRPr="00207790" w:rsidRDefault="007C5D2A" w:rsidP="003E0341">
      <w:pPr>
        <w:tabs>
          <w:tab w:val="left" w:pos="851"/>
        </w:tabs>
        <w:ind w:left="851"/>
        <w:rPr>
          <w:sz w:val="24"/>
          <w:szCs w:val="24"/>
          <w:lang w:val="en-GB"/>
        </w:rPr>
      </w:pPr>
    </w:p>
    <w:p w14:paraId="6BEF6DFA" w14:textId="77777777" w:rsidR="007C5D2A" w:rsidRPr="00207790" w:rsidRDefault="007C5D2A" w:rsidP="007C5D2A">
      <w:pPr>
        <w:ind w:left="851" w:hanging="851"/>
        <w:rPr>
          <w:b/>
          <w:sz w:val="24"/>
          <w:szCs w:val="24"/>
          <w:lang w:val="en-GB"/>
        </w:rPr>
      </w:pPr>
      <w:r w:rsidRPr="00207790">
        <w:rPr>
          <w:b/>
          <w:sz w:val="24"/>
          <w:szCs w:val="24"/>
          <w:lang w:val="en-GB"/>
        </w:rPr>
        <w:t>6.3</w:t>
      </w:r>
      <w:r w:rsidRPr="00207790">
        <w:rPr>
          <w:b/>
          <w:sz w:val="24"/>
          <w:szCs w:val="24"/>
          <w:lang w:val="en-GB"/>
        </w:rPr>
        <w:tab/>
        <w:t>Shelf</w:t>
      </w:r>
      <w:r w:rsidR="00FD652E" w:rsidRPr="00207790">
        <w:rPr>
          <w:b/>
          <w:sz w:val="24"/>
          <w:szCs w:val="24"/>
          <w:lang w:val="en-GB"/>
        </w:rPr>
        <w:t>-</w:t>
      </w:r>
      <w:r w:rsidRPr="00207790">
        <w:rPr>
          <w:b/>
          <w:sz w:val="24"/>
          <w:szCs w:val="24"/>
          <w:lang w:val="en-GB"/>
        </w:rPr>
        <w:t>life</w:t>
      </w:r>
    </w:p>
    <w:p w14:paraId="5D30CBD7"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3 years</w:t>
      </w:r>
    </w:p>
    <w:p w14:paraId="5C9A1CE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Shelf life after first opening of the bottles: 2 months</w:t>
      </w:r>
    </w:p>
    <w:p w14:paraId="4DCABBCA" w14:textId="77777777" w:rsidR="007C5D2A" w:rsidRPr="00207790" w:rsidRDefault="007C5D2A" w:rsidP="003E0341">
      <w:pPr>
        <w:tabs>
          <w:tab w:val="left" w:pos="851"/>
        </w:tabs>
        <w:ind w:left="851"/>
        <w:rPr>
          <w:sz w:val="24"/>
          <w:szCs w:val="24"/>
          <w:lang w:val="en-GB"/>
        </w:rPr>
      </w:pPr>
    </w:p>
    <w:p w14:paraId="7593060D" w14:textId="77777777" w:rsidR="007C5D2A" w:rsidRPr="00207790" w:rsidRDefault="007C5D2A" w:rsidP="007C5D2A">
      <w:pPr>
        <w:ind w:left="851" w:hanging="851"/>
        <w:rPr>
          <w:b/>
          <w:sz w:val="24"/>
          <w:szCs w:val="24"/>
          <w:lang w:val="en-GB"/>
        </w:rPr>
      </w:pPr>
      <w:r w:rsidRPr="00207790">
        <w:rPr>
          <w:b/>
          <w:sz w:val="24"/>
          <w:szCs w:val="24"/>
          <w:lang w:val="en-GB"/>
        </w:rPr>
        <w:t>6.4</w:t>
      </w:r>
      <w:r w:rsidRPr="00207790">
        <w:rPr>
          <w:b/>
          <w:sz w:val="24"/>
          <w:szCs w:val="24"/>
          <w:lang w:val="en-GB"/>
        </w:rPr>
        <w:tab/>
        <w:t>Special precautions for storage</w:t>
      </w:r>
    </w:p>
    <w:p w14:paraId="7AA28C4F" w14:textId="77777777" w:rsidR="00D7627E" w:rsidRPr="00207790" w:rsidRDefault="00D7627E" w:rsidP="00FC14A8">
      <w:pPr>
        <w:autoSpaceDE w:val="0"/>
        <w:autoSpaceDN w:val="0"/>
        <w:adjustRightInd w:val="0"/>
        <w:ind w:left="851"/>
        <w:rPr>
          <w:color w:val="000000"/>
          <w:sz w:val="24"/>
          <w:szCs w:val="24"/>
          <w:lang w:val="en-US"/>
        </w:rPr>
      </w:pPr>
      <w:r w:rsidRPr="00207790">
        <w:rPr>
          <w:sz w:val="24"/>
          <w:szCs w:val="24"/>
          <w:lang w:val="en-US"/>
        </w:rPr>
        <w:t>This medicinal product does not require any special temperature storage conditions.</w:t>
      </w:r>
    </w:p>
    <w:p w14:paraId="48ED9BD3" w14:textId="77777777" w:rsidR="00D7627E" w:rsidRPr="00207790" w:rsidRDefault="00D7627E" w:rsidP="00FC14A8">
      <w:pPr>
        <w:pStyle w:val="Default"/>
        <w:ind w:left="851"/>
      </w:pPr>
      <w:r w:rsidRPr="00207790">
        <w:t xml:space="preserve">Store in original package in order to protect from light. </w:t>
      </w:r>
    </w:p>
    <w:p w14:paraId="7D56B69E" w14:textId="77777777" w:rsidR="007C5D2A" w:rsidRPr="00207790" w:rsidRDefault="007C5D2A" w:rsidP="003E0341">
      <w:pPr>
        <w:tabs>
          <w:tab w:val="left" w:pos="851"/>
        </w:tabs>
        <w:ind w:left="851"/>
        <w:rPr>
          <w:sz w:val="24"/>
          <w:szCs w:val="24"/>
          <w:lang w:val="en-GB"/>
        </w:rPr>
      </w:pPr>
    </w:p>
    <w:p w14:paraId="02A8C47D" w14:textId="77777777" w:rsidR="007C5D2A" w:rsidRPr="00207790" w:rsidRDefault="007C5D2A" w:rsidP="007C5D2A">
      <w:pPr>
        <w:ind w:left="851" w:hanging="851"/>
        <w:rPr>
          <w:b/>
          <w:sz w:val="24"/>
          <w:szCs w:val="24"/>
          <w:lang w:val="en-GB"/>
        </w:rPr>
      </w:pPr>
      <w:r w:rsidRPr="00207790">
        <w:rPr>
          <w:b/>
          <w:sz w:val="24"/>
          <w:szCs w:val="24"/>
          <w:lang w:val="en-GB"/>
        </w:rPr>
        <w:t>6.5</w:t>
      </w:r>
      <w:r w:rsidRPr="00207790">
        <w:rPr>
          <w:b/>
          <w:sz w:val="24"/>
          <w:szCs w:val="24"/>
          <w:lang w:val="en-GB"/>
        </w:rPr>
        <w:tab/>
        <w:t>Nature and contents of container</w:t>
      </w:r>
    </w:p>
    <w:p w14:paraId="5BB1E632" w14:textId="77777777" w:rsidR="00D7627E" w:rsidRPr="00207790" w:rsidRDefault="00D7627E" w:rsidP="00FC14A8">
      <w:pPr>
        <w:autoSpaceDE w:val="0"/>
        <w:autoSpaceDN w:val="0"/>
        <w:adjustRightInd w:val="0"/>
        <w:ind w:left="851"/>
        <w:rPr>
          <w:sz w:val="24"/>
          <w:szCs w:val="24"/>
          <w:lang w:val="en-US" w:bidi="kn-IN"/>
        </w:rPr>
      </w:pPr>
      <w:r w:rsidRPr="00207790">
        <w:rPr>
          <w:sz w:val="24"/>
          <w:szCs w:val="24"/>
          <w:lang w:val="en-US"/>
        </w:rPr>
        <w:t>The oral solution is packed in Type III amber glass bottles closed with a polypropylene child resistant (C/R) screw closure having a multi-ply polyethylene-faced liner and inserted in a carton. All packages are supplied with an oral measuring syringe of a final volume of 5 ml marked on every 0.5 ml.</w:t>
      </w:r>
      <w:r w:rsidRPr="00207790">
        <w:rPr>
          <w:sz w:val="24"/>
          <w:szCs w:val="24"/>
          <w:lang w:val="en-GB"/>
        </w:rPr>
        <w:t xml:space="preserve"> </w:t>
      </w:r>
    </w:p>
    <w:p w14:paraId="699CFC43" w14:textId="77777777" w:rsidR="00D7627E" w:rsidRPr="00207790" w:rsidRDefault="00D7627E" w:rsidP="00FC14A8">
      <w:pPr>
        <w:autoSpaceDE w:val="0"/>
        <w:autoSpaceDN w:val="0"/>
        <w:adjustRightInd w:val="0"/>
        <w:ind w:left="851"/>
        <w:rPr>
          <w:sz w:val="24"/>
          <w:szCs w:val="24"/>
          <w:lang w:val="en-US"/>
        </w:rPr>
      </w:pPr>
    </w:p>
    <w:p w14:paraId="46867B58" w14:textId="77777777" w:rsidR="00D7627E" w:rsidRPr="00207790" w:rsidRDefault="00D7627E" w:rsidP="00FC14A8">
      <w:pPr>
        <w:autoSpaceDE w:val="0"/>
        <w:autoSpaceDN w:val="0"/>
        <w:adjustRightInd w:val="0"/>
        <w:ind w:left="851"/>
        <w:rPr>
          <w:color w:val="000000"/>
          <w:sz w:val="24"/>
          <w:szCs w:val="24"/>
          <w:lang w:val="en-US" w:eastAsia="nl-NL"/>
        </w:rPr>
      </w:pPr>
      <w:r w:rsidRPr="00207790">
        <w:rPr>
          <w:color w:val="000000"/>
          <w:sz w:val="24"/>
          <w:szCs w:val="24"/>
          <w:lang w:val="en-US" w:eastAsia="nl-NL"/>
        </w:rPr>
        <w:t>Pack sizes:</w:t>
      </w:r>
    </w:p>
    <w:p w14:paraId="3036B31D" w14:textId="77777777" w:rsidR="00D7627E" w:rsidRPr="00207790" w:rsidRDefault="00D7627E" w:rsidP="00FC14A8">
      <w:pPr>
        <w:autoSpaceDE w:val="0"/>
        <w:autoSpaceDN w:val="0"/>
        <w:adjustRightInd w:val="0"/>
        <w:ind w:left="851"/>
        <w:rPr>
          <w:color w:val="000000"/>
          <w:sz w:val="24"/>
          <w:szCs w:val="24"/>
          <w:lang w:val="en-US" w:eastAsia="nl-NL"/>
        </w:rPr>
      </w:pPr>
      <w:r w:rsidRPr="00207790">
        <w:rPr>
          <w:color w:val="000000"/>
          <w:sz w:val="24"/>
          <w:szCs w:val="24"/>
          <w:lang w:val="en-US" w:eastAsia="nl-NL"/>
        </w:rPr>
        <w:t>50, 60, 100, 120 ml oral solution</w:t>
      </w:r>
    </w:p>
    <w:p w14:paraId="3D8238B3" w14:textId="77777777" w:rsidR="00D7627E" w:rsidRPr="00207790" w:rsidRDefault="00D7627E" w:rsidP="00FC14A8">
      <w:pPr>
        <w:autoSpaceDE w:val="0"/>
        <w:autoSpaceDN w:val="0"/>
        <w:adjustRightInd w:val="0"/>
        <w:ind w:left="851"/>
        <w:rPr>
          <w:color w:val="000000"/>
          <w:sz w:val="24"/>
          <w:szCs w:val="24"/>
          <w:lang w:val="en-US" w:eastAsia="nl-NL"/>
        </w:rPr>
      </w:pPr>
    </w:p>
    <w:p w14:paraId="47C60AB6" w14:textId="77777777" w:rsidR="00D7627E" w:rsidRPr="00207790" w:rsidRDefault="00D7627E" w:rsidP="00FC14A8">
      <w:pPr>
        <w:autoSpaceDE w:val="0"/>
        <w:autoSpaceDN w:val="0"/>
        <w:adjustRightInd w:val="0"/>
        <w:ind w:left="851"/>
        <w:rPr>
          <w:color w:val="000000"/>
          <w:sz w:val="24"/>
          <w:szCs w:val="24"/>
          <w:lang w:val="en-US" w:eastAsia="en-US"/>
        </w:rPr>
      </w:pPr>
      <w:r w:rsidRPr="00207790">
        <w:rPr>
          <w:color w:val="000000"/>
          <w:sz w:val="24"/>
          <w:szCs w:val="24"/>
          <w:lang w:val="en-US"/>
        </w:rPr>
        <w:t>Not all pack sizes may be marketed.</w:t>
      </w:r>
    </w:p>
    <w:p w14:paraId="0871CF2E" w14:textId="77777777" w:rsidR="007C5D2A" w:rsidRPr="00207790" w:rsidRDefault="007C5D2A" w:rsidP="003E0341">
      <w:pPr>
        <w:tabs>
          <w:tab w:val="left" w:pos="851"/>
        </w:tabs>
        <w:ind w:left="851"/>
        <w:rPr>
          <w:sz w:val="24"/>
          <w:szCs w:val="24"/>
          <w:lang w:val="en-GB"/>
        </w:rPr>
      </w:pPr>
    </w:p>
    <w:p w14:paraId="1125D95A" w14:textId="77777777" w:rsidR="007C5D2A" w:rsidRPr="00207790" w:rsidRDefault="007C5D2A" w:rsidP="007C5D2A">
      <w:pPr>
        <w:ind w:left="851" w:hanging="851"/>
        <w:rPr>
          <w:b/>
          <w:sz w:val="24"/>
          <w:szCs w:val="24"/>
          <w:lang w:val="en-GB"/>
        </w:rPr>
      </w:pPr>
      <w:r w:rsidRPr="00207790">
        <w:rPr>
          <w:b/>
          <w:sz w:val="24"/>
          <w:szCs w:val="24"/>
          <w:lang w:val="en-GB"/>
        </w:rPr>
        <w:t>6.6</w:t>
      </w:r>
      <w:r w:rsidRPr="00207790">
        <w:rPr>
          <w:b/>
          <w:sz w:val="24"/>
          <w:szCs w:val="24"/>
          <w:lang w:val="en-GB"/>
        </w:rPr>
        <w:tab/>
        <w:t>Special precautions for disposal and other handling</w:t>
      </w:r>
    </w:p>
    <w:p w14:paraId="329FA845" w14:textId="12B2404C" w:rsidR="00D7627E" w:rsidRDefault="00D7627E" w:rsidP="00483713">
      <w:pPr>
        <w:pStyle w:val="Default"/>
        <w:ind w:left="851"/>
        <w:jc w:val="both"/>
        <w:rPr>
          <w:color w:val="auto"/>
        </w:rPr>
      </w:pPr>
      <w:r w:rsidRPr="00207790">
        <w:rPr>
          <w:color w:val="auto"/>
        </w:rPr>
        <w:t>Any unused medicinal product or waste material should be disposed of in accordance with local requirements.</w:t>
      </w:r>
    </w:p>
    <w:p w14:paraId="5B59574F" w14:textId="77777777" w:rsidR="00483713" w:rsidRPr="00207790" w:rsidRDefault="00483713" w:rsidP="00483713">
      <w:pPr>
        <w:pStyle w:val="Default"/>
        <w:ind w:left="851"/>
        <w:jc w:val="both"/>
      </w:pPr>
    </w:p>
    <w:p w14:paraId="32072AD2"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To measure the dose the supplied oral syringe must be used (see section 6.5).</w:t>
      </w:r>
    </w:p>
    <w:p w14:paraId="58028644" w14:textId="77777777" w:rsidR="00D7627E" w:rsidRPr="00207790" w:rsidRDefault="00D7627E" w:rsidP="00FC14A8">
      <w:pPr>
        <w:autoSpaceDE w:val="0"/>
        <w:autoSpaceDN w:val="0"/>
        <w:adjustRightInd w:val="0"/>
        <w:ind w:left="851"/>
        <w:rPr>
          <w:color w:val="000000"/>
          <w:sz w:val="24"/>
          <w:szCs w:val="24"/>
          <w:lang w:val="en-US"/>
        </w:rPr>
      </w:pPr>
    </w:p>
    <w:p w14:paraId="73E5BF95" w14:textId="77777777" w:rsidR="00D7627E" w:rsidRPr="00207790" w:rsidRDefault="00D7627E" w:rsidP="00FC14A8">
      <w:pPr>
        <w:autoSpaceDE w:val="0"/>
        <w:autoSpaceDN w:val="0"/>
        <w:adjustRightInd w:val="0"/>
        <w:ind w:left="851"/>
        <w:rPr>
          <w:color w:val="000000"/>
          <w:sz w:val="24"/>
          <w:szCs w:val="24"/>
          <w:u w:val="single"/>
          <w:lang w:val="en-US"/>
        </w:rPr>
      </w:pPr>
      <w:r w:rsidRPr="00207790">
        <w:rPr>
          <w:color w:val="000000"/>
          <w:sz w:val="24"/>
          <w:szCs w:val="24"/>
          <w:u w:val="single"/>
          <w:lang w:val="en-US"/>
        </w:rPr>
        <w:t>Handling of the syringe:</w:t>
      </w:r>
    </w:p>
    <w:p w14:paraId="4FF3B203"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After opening the bottle put the tip of the oral syringe all the way into the solution. Then pull the plunger up towards you until the prescribed dose is adjusted. If you see air bubbles in the oral syringe after drawing up the solution, turn the oral syringe in an upright position with the tip pointing up. The air will move to the top of the oral syringe. Pull the plunger back towards you and then push it back gently into the oral syringe to get rid of the bubbles. Do not worry about a few tiny bubbles.</w:t>
      </w:r>
    </w:p>
    <w:p w14:paraId="5300F2BB"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 xml:space="preserve">The </w:t>
      </w:r>
      <w:proofErr w:type="gramStart"/>
      <w:r w:rsidRPr="00207790">
        <w:rPr>
          <w:color w:val="000000"/>
          <w:sz w:val="24"/>
          <w:szCs w:val="24"/>
          <w:lang w:val="en-US"/>
        </w:rPr>
        <w:t>drawn up</w:t>
      </w:r>
      <w:proofErr w:type="gramEnd"/>
      <w:r w:rsidRPr="00207790">
        <w:rPr>
          <w:color w:val="000000"/>
          <w:sz w:val="24"/>
          <w:szCs w:val="24"/>
          <w:lang w:val="en-US"/>
        </w:rPr>
        <w:t xml:space="preserve"> solution should be swallowed directly from the syringe.</w:t>
      </w:r>
    </w:p>
    <w:p w14:paraId="666CE15F" w14:textId="77777777" w:rsidR="00D7627E" w:rsidRPr="00207790" w:rsidRDefault="00D7627E" w:rsidP="00FC14A8">
      <w:pPr>
        <w:autoSpaceDE w:val="0"/>
        <w:autoSpaceDN w:val="0"/>
        <w:adjustRightInd w:val="0"/>
        <w:ind w:left="851"/>
        <w:rPr>
          <w:color w:val="000000"/>
          <w:sz w:val="24"/>
          <w:szCs w:val="24"/>
          <w:lang w:val="en-US"/>
        </w:rPr>
      </w:pPr>
      <w:r w:rsidRPr="00207790">
        <w:rPr>
          <w:color w:val="000000"/>
          <w:sz w:val="24"/>
          <w:szCs w:val="24"/>
          <w:lang w:val="en-US"/>
        </w:rPr>
        <w:t>After use, close the bottle, rinse the empty syringe with water and allow the syringe to air dry.</w:t>
      </w:r>
    </w:p>
    <w:p w14:paraId="264FB2E6" w14:textId="77777777" w:rsidR="007C5D2A" w:rsidRPr="00207790" w:rsidRDefault="007C5D2A" w:rsidP="00AB4376">
      <w:pPr>
        <w:tabs>
          <w:tab w:val="left" w:pos="851"/>
        </w:tabs>
        <w:ind w:left="851"/>
        <w:rPr>
          <w:sz w:val="24"/>
          <w:szCs w:val="24"/>
          <w:lang w:val="en-GB"/>
        </w:rPr>
      </w:pPr>
    </w:p>
    <w:p w14:paraId="5A8EEA02" w14:textId="77777777" w:rsidR="007C5D2A" w:rsidRPr="00207790" w:rsidRDefault="007C5D2A" w:rsidP="007C5D2A">
      <w:pPr>
        <w:tabs>
          <w:tab w:val="left" w:pos="851"/>
        </w:tabs>
        <w:ind w:left="851" w:hanging="851"/>
        <w:jc w:val="both"/>
        <w:rPr>
          <w:b/>
          <w:sz w:val="24"/>
          <w:szCs w:val="24"/>
          <w:lang w:val="en-GB"/>
        </w:rPr>
      </w:pPr>
      <w:r w:rsidRPr="00207790">
        <w:rPr>
          <w:b/>
          <w:sz w:val="24"/>
          <w:szCs w:val="24"/>
          <w:lang w:val="en-GB"/>
        </w:rPr>
        <w:t>7.</w:t>
      </w:r>
      <w:r w:rsidRPr="00207790">
        <w:rPr>
          <w:b/>
          <w:sz w:val="24"/>
          <w:szCs w:val="24"/>
          <w:lang w:val="en-GB"/>
        </w:rPr>
        <w:tab/>
        <w:t>MARKETING AUTHORISATION HOLDER</w:t>
      </w:r>
    </w:p>
    <w:p w14:paraId="54C9A13F" w14:textId="77777777" w:rsidR="009D188A" w:rsidRDefault="009D188A" w:rsidP="00FC14A8">
      <w:pPr>
        <w:ind w:left="851"/>
        <w:rPr>
          <w:rFonts w:eastAsiaTheme="minorEastAsia"/>
          <w:sz w:val="24"/>
          <w:szCs w:val="24"/>
          <w:lang w:val="en-US"/>
        </w:rPr>
      </w:pPr>
      <w:r w:rsidRPr="009D188A">
        <w:rPr>
          <w:rFonts w:eastAsiaTheme="minorEastAsia"/>
          <w:sz w:val="24"/>
          <w:szCs w:val="24"/>
          <w:lang w:val="en-US"/>
        </w:rPr>
        <w:t xml:space="preserve">A/S </w:t>
      </w:r>
      <w:proofErr w:type="spellStart"/>
      <w:r w:rsidRPr="009D188A">
        <w:rPr>
          <w:rFonts w:eastAsiaTheme="minorEastAsia"/>
          <w:sz w:val="24"/>
          <w:szCs w:val="24"/>
          <w:lang w:val="en-US"/>
        </w:rPr>
        <w:t>Ge</w:t>
      </w:r>
      <w:bookmarkStart w:id="1" w:name="_GoBack"/>
      <w:bookmarkEnd w:id="1"/>
      <w:r w:rsidRPr="009D188A">
        <w:rPr>
          <w:rFonts w:eastAsiaTheme="minorEastAsia"/>
          <w:sz w:val="24"/>
          <w:szCs w:val="24"/>
          <w:lang w:val="en-US"/>
        </w:rPr>
        <w:t>a</w:t>
      </w:r>
      <w:proofErr w:type="spellEnd"/>
      <w:r w:rsidRPr="009D188A">
        <w:rPr>
          <w:rFonts w:eastAsiaTheme="minorEastAsia"/>
          <w:sz w:val="24"/>
          <w:szCs w:val="24"/>
          <w:lang w:val="en-US"/>
        </w:rPr>
        <w:t xml:space="preserve"> </w:t>
      </w:r>
      <w:proofErr w:type="spellStart"/>
      <w:r w:rsidRPr="009D188A">
        <w:rPr>
          <w:rFonts w:eastAsiaTheme="minorEastAsia"/>
          <w:sz w:val="24"/>
          <w:szCs w:val="24"/>
          <w:lang w:val="en-US"/>
        </w:rPr>
        <w:t>Farmaceutisk</w:t>
      </w:r>
      <w:proofErr w:type="spellEnd"/>
      <w:r w:rsidRPr="009D188A">
        <w:rPr>
          <w:rFonts w:eastAsiaTheme="minorEastAsia"/>
          <w:sz w:val="24"/>
          <w:szCs w:val="24"/>
          <w:lang w:val="en-US"/>
        </w:rPr>
        <w:t xml:space="preserve"> Fabrik</w:t>
      </w:r>
    </w:p>
    <w:p w14:paraId="3B0CCB8B" w14:textId="041FD8B7" w:rsidR="00D7627E" w:rsidRPr="00207790" w:rsidRDefault="00D7627E" w:rsidP="00FC14A8">
      <w:pPr>
        <w:ind w:left="851"/>
        <w:rPr>
          <w:rFonts w:eastAsiaTheme="minorEastAsia"/>
          <w:sz w:val="24"/>
          <w:szCs w:val="24"/>
        </w:rPr>
      </w:pPr>
      <w:r w:rsidRPr="00207790">
        <w:rPr>
          <w:rFonts w:eastAsiaTheme="minorEastAsia"/>
          <w:sz w:val="24"/>
          <w:szCs w:val="24"/>
        </w:rPr>
        <w:t>Edvard Thomsens Vej 14</w:t>
      </w:r>
    </w:p>
    <w:p w14:paraId="74E9580D" w14:textId="368268D2" w:rsidR="00D7627E" w:rsidRPr="00207790" w:rsidRDefault="00D7627E" w:rsidP="00FC14A8">
      <w:pPr>
        <w:ind w:left="851"/>
        <w:rPr>
          <w:rFonts w:eastAsiaTheme="minorEastAsia"/>
          <w:sz w:val="24"/>
          <w:szCs w:val="24"/>
        </w:rPr>
      </w:pPr>
      <w:r w:rsidRPr="00207790">
        <w:rPr>
          <w:rFonts w:eastAsiaTheme="minorEastAsia"/>
          <w:sz w:val="24"/>
          <w:szCs w:val="24"/>
        </w:rPr>
        <w:t>2300 København S</w:t>
      </w:r>
    </w:p>
    <w:p w14:paraId="36E3F2A5" w14:textId="77777777" w:rsidR="00D7627E" w:rsidRPr="00207790" w:rsidRDefault="00D7627E" w:rsidP="00FC14A8">
      <w:pPr>
        <w:ind w:left="851"/>
        <w:rPr>
          <w:rFonts w:eastAsiaTheme="minorEastAsia"/>
          <w:sz w:val="24"/>
          <w:szCs w:val="24"/>
        </w:rPr>
      </w:pPr>
    </w:p>
    <w:p w14:paraId="61E06A99" w14:textId="77777777" w:rsidR="00D7627E" w:rsidRPr="00207790" w:rsidRDefault="00D7627E" w:rsidP="00FC14A8">
      <w:pPr>
        <w:ind w:left="851"/>
        <w:rPr>
          <w:rFonts w:eastAsiaTheme="minorEastAsia"/>
          <w:b/>
          <w:sz w:val="24"/>
          <w:szCs w:val="24"/>
        </w:rPr>
      </w:pPr>
      <w:r w:rsidRPr="00207790">
        <w:rPr>
          <w:rFonts w:eastAsiaTheme="minorEastAsia"/>
          <w:b/>
          <w:sz w:val="24"/>
          <w:szCs w:val="24"/>
        </w:rPr>
        <w:t>Repræsentant</w:t>
      </w:r>
    </w:p>
    <w:p w14:paraId="7966546F" w14:textId="77777777" w:rsidR="00D7627E" w:rsidRPr="00207790" w:rsidRDefault="00D7627E" w:rsidP="00FC14A8">
      <w:pPr>
        <w:tabs>
          <w:tab w:val="left" w:pos="851"/>
        </w:tabs>
        <w:ind w:left="851"/>
        <w:rPr>
          <w:sz w:val="24"/>
          <w:szCs w:val="24"/>
          <w:lang w:val="en-US"/>
        </w:rPr>
      </w:pPr>
      <w:r w:rsidRPr="00207790">
        <w:rPr>
          <w:sz w:val="24"/>
          <w:szCs w:val="24"/>
          <w:lang w:val="en-US"/>
        </w:rPr>
        <w:t>Sandoz A/S</w:t>
      </w:r>
    </w:p>
    <w:p w14:paraId="65C212E5" w14:textId="77777777" w:rsidR="00D7627E" w:rsidRPr="00207790" w:rsidRDefault="00D7627E" w:rsidP="00FC14A8">
      <w:pPr>
        <w:ind w:left="851"/>
        <w:rPr>
          <w:rFonts w:eastAsiaTheme="minorEastAsia"/>
          <w:sz w:val="24"/>
          <w:szCs w:val="24"/>
          <w:lang w:val="en-US"/>
        </w:rPr>
      </w:pPr>
      <w:r w:rsidRPr="00207790">
        <w:rPr>
          <w:rFonts w:eastAsiaTheme="minorEastAsia"/>
          <w:sz w:val="24"/>
          <w:szCs w:val="24"/>
          <w:lang w:val="en-US"/>
        </w:rPr>
        <w:t xml:space="preserve">Edvard </w:t>
      </w:r>
      <w:proofErr w:type="spellStart"/>
      <w:r w:rsidRPr="00207790">
        <w:rPr>
          <w:rFonts w:eastAsiaTheme="minorEastAsia"/>
          <w:sz w:val="24"/>
          <w:szCs w:val="24"/>
          <w:lang w:val="en-US"/>
        </w:rPr>
        <w:t>Thomsens</w:t>
      </w:r>
      <w:proofErr w:type="spellEnd"/>
      <w:r w:rsidRPr="00207790">
        <w:rPr>
          <w:rFonts w:eastAsiaTheme="minorEastAsia"/>
          <w:sz w:val="24"/>
          <w:szCs w:val="24"/>
          <w:lang w:val="en-US"/>
        </w:rPr>
        <w:t xml:space="preserve"> </w:t>
      </w:r>
      <w:proofErr w:type="spellStart"/>
      <w:r w:rsidRPr="00207790">
        <w:rPr>
          <w:rFonts w:eastAsiaTheme="minorEastAsia"/>
          <w:sz w:val="24"/>
          <w:szCs w:val="24"/>
          <w:lang w:val="en-US"/>
        </w:rPr>
        <w:t>Vej</w:t>
      </w:r>
      <w:proofErr w:type="spellEnd"/>
      <w:r w:rsidRPr="00207790">
        <w:rPr>
          <w:rFonts w:eastAsiaTheme="minorEastAsia"/>
          <w:sz w:val="24"/>
          <w:szCs w:val="24"/>
          <w:lang w:val="en-US"/>
        </w:rPr>
        <w:t xml:space="preserve"> 14</w:t>
      </w:r>
    </w:p>
    <w:p w14:paraId="615BBCAC" w14:textId="77777777" w:rsidR="00D7627E" w:rsidRPr="00207790" w:rsidRDefault="00D7627E" w:rsidP="00FC14A8">
      <w:pPr>
        <w:tabs>
          <w:tab w:val="left" w:pos="851"/>
        </w:tabs>
        <w:ind w:left="851"/>
        <w:rPr>
          <w:rFonts w:eastAsiaTheme="minorEastAsia"/>
          <w:sz w:val="24"/>
          <w:szCs w:val="24"/>
          <w:lang w:val="en-US"/>
        </w:rPr>
      </w:pPr>
      <w:r w:rsidRPr="00207790">
        <w:rPr>
          <w:rFonts w:eastAsiaTheme="minorEastAsia"/>
          <w:sz w:val="24"/>
          <w:szCs w:val="24"/>
          <w:lang w:val="en-US"/>
        </w:rPr>
        <w:t xml:space="preserve">2300 </w:t>
      </w:r>
      <w:proofErr w:type="spellStart"/>
      <w:r w:rsidRPr="00207790">
        <w:rPr>
          <w:rFonts w:eastAsiaTheme="minorEastAsia"/>
          <w:sz w:val="24"/>
          <w:szCs w:val="24"/>
          <w:lang w:val="en-US"/>
        </w:rPr>
        <w:t>København</w:t>
      </w:r>
      <w:proofErr w:type="spellEnd"/>
      <w:r w:rsidRPr="00207790">
        <w:rPr>
          <w:rFonts w:eastAsiaTheme="minorEastAsia"/>
          <w:sz w:val="24"/>
          <w:szCs w:val="24"/>
          <w:lang w:val="en-US"/>
        </w:rPr>
        <w:t xml:space="preserve"> S</w:t>
      </w:r>
    </w:p>
    <w:p w14:paraId="193C898B" w14:textId="77777777" w:rsidR="007C5D2A" w:rsidRPr="00207790" w:rsidRDefault="007C5D2A" w:rsidP="003E0341">
      <w:pPr>
        <w:tabs>
          <w:tab w:val="left" w:pos="851"/>
        </w:tabs>
        <w:ind w:left="851"/>
        <w:jc w:val="both"/>
        <w:rPr>
          <w:sz w:val="24"/>
          <w:szCs w:val="24"/>
          <w:lang w:val="en-GB"/>
        </w:rPr>
      </w:pPr>
    </w:p>
    <w:p w14:paraId="42755D88" w14:textId="77777777" w:rsidR="007C5D2A" w:rsidRPr="00207790" w:rsidRDefault="007C5D2A" w:rsidP="007C5D2A">
      <w:pPr>
        <w:ind w:left="851" w:hanging="851"/>
        <w:jc w:val="both"/>
        <w:rPr>
          <w:b/>
          <w:sz w:val="24"/>
          <w:szCs w:val="24"/>
          <w:lang w:val="en-GB"/>
        </w:rPr>
      </w:pPr>
      <w:r w:rsidRPr="00207790">
        <w:rPr>
          <w:b/>
          <w:sz w:val="24"/>
          <w:szCs w:val="24"/>
          <w:lang w:val="en-GB"/>
        </w:rPr>
        <w:t>8.</w:t>
      </w:r>
      <w:r w:rsidRPr="00207790">
        <w:rPr>
          <w:b/>
          <w:sz w:val="24"/>
          <w:szCs w:val="24"/>
          <w:lang w:val="en-GB"/>
        </w:rPr>
        <w:tab/>
        <w:t>MARKETING AUTHORISATION NUMBER(S)</w:t>
      </w:r>
    </w:p>
    <w:p w14:paraId="57926538" w14:textId="77777777" w:rsidR="00D7627E" w:rsidRPr="00207790" w:rsidRDefault="00D7627E" w:rsidP="00D7627E">
      <w:pPr>
        <w:tabs>
          <w:tab w:val="left" w:pos="851"/>
        </w:tabs>
        <w:ind w:left="851"/>
        <w:rPr>
          <w:sz w:val="24"/>
          <w:szCs w:val="24"/>
          <w:lang w:val="en-US"/>
        </w:rPr>
      </w:pPr>
      <w:r w:rsidRPr="00207790">
        <w:rPr>
          <w:sz w:val="24"/>
          <w:szCs w:val="24"/>
          <w:lang w:val="en-US"/>
        </w:rPr>
        <w:t>61969</w:t>
      </w:r>
    </w:p>
    <w:p w14:paraId="1B523B38" w14:textId="77777777" w:rsidR="007C5D2A" w:rsidRPr="00207790" w:rsidRDefault="007C5D2A" w:rsidP="00180A12">
      <w:pPr>
        <w:tabs>
          <w:tab w:val="left" w:pos="851"/>
        </w:tabs>
        <w:ind w:left="851"/>
        <w:jc w:val="both"/>
        <w:rPr>
          <w:sz w:val="24"/>
          <w:szCs w:val="24"/>
          <w:lang w:val="en-GB"/>
        </w:rPr>
      </w:pPr>
    </w:p>
    <w:p w14:paraId="3CB68146" w14:textId="77777777" w:rsidR="007C5D2A" w:rsidRPr="00207790" w:rsidRDefault="007C5D2A" w:rsidP="007C5D2A">
      <w:pPr>
        <w:tabs>
          <w:tab w:val="left" w:pos="851"/>
        </w:tabs>
        <w:jc w:val="both"/>
        <w:rPr>
          <w:sz w:val="24"/>
          <w:szCs w:val="24"/>
          <w:lang w:val="en-GB"/>
        </w:rPr>
      </w:pPr>
      <w:r w:rsidRPr="00207790">
        <w:rPr>
          <w:b/>
          <w:sz w:val="24"/>
          <w:szCs w:val="24"/>
          <w:lang w:val="en-GB"/>
        </w:rPr>
        <w:t>9.</w:t>
      </w:r>
      <w:r w:rsidRPr="00207790">
        <w:rPr>
          <w:b/>
          <w:sz w:val="24"/>
          <w:szCs w:val="24"/>
          <w:lang w:val="en-GB"/>
        </w:rPr>
        <w:tab/>
        <w:t>DATE OF FIRST AUTHORISATION</w:t>
      </w:r>
    </w:p>
    <w:p w14:paraId="0A8F110F" w14:textId="4DE9BA6F" w:rsidR="00D7627E" w:rsidRPr="00207790" w:rsidRDefault="00D7627E" w:rsidP="00D7627E">
      <w:pPr>
        <w:tabs>
          <w:tab w:val="left" w:pos="851"/>
        </w:tabs>
        <w:ind w:left="851"/>
        <w:rPr>
          <w:sz w:val="24"/>
          <w:szCs w:val="24"/>
          <w:lang w:val="en-US"/>
        </w:rPr>
      </w:pPr>
      <w:r w:rsidRPr="00207790">
        <w:rPr>
          <w:sz w:val="24"/>
          <w:szCs w:val="24"/>
          <w:lang w:val="en-US"/>
        </w:rPr>
        <w:t>5 May 2020</w:t>
      </w:r>
    </w:p>
    <w:p w14:paraId="1300D5DA" w14:textId="77777777" w:rsidR="007C5D2A" w:rsidRPr="00207790" w:rsidRDefault="007C5D2A" w:rsidP="003E0341">
      <w:pPr>
        <w:tabs>
          <w:tab w:val="left" w:pos="851"/>
        </w:tabs>
        <w:ind w:left="851"/>
        <w:jc w:val="both"/>
        <w:rPr>
          <w:sz w:val="24"/>
          <w:szCs w:val="24"/>
          <w:lang w:val="en-GB"/>
        </w:rPr>
      </w:pPr>
    </w:p>
    <w:p w14:paraId="2218BEB3" w14:textId="77777777" w:rsidR="007C5D2A" w:rsidRPr="00207790" w:rsidRDefault="007C5D2A" w:rsidP="007C5D2A">
      <w:pPr>
        <w:tabs>
          <w:tab w:val="left" w:pos="851"/>
        </w:tabs>
        <w:jc w:val="both"/>
        <w:rPr>
          <w:sz w:val="24"/>
          <w:szCs w:val="24"/>
          <w:lang w:val="en-GB"/>
        </w:rPr>
      </w:pPr>
      <w:r w:rsidRPr="00207790">
        <w:rPr>
          <w:b/>
          <w:sz w:val="24"/>
          <w:szCs w:val="24"/>
          <w:lang w:val="en-GB"/>
        </w:rPr>
        <w:t>10.</w:t>
      </w:r>
      <w:r w:rsidRPr="00207790">
        <w:rPr>
          <w:b/>
          <w:sz w:val="24"/>
          <w:szCs w:val="24"/>
          <w:lang w:val="en-GB"/>
        </w:rPr>
        <w:tab/>
        <w:t>DATE OF REVISION OF THE TEXT</w:t>
      </w:r>
    </w:p>
    <w:p w14:paraId="2A589CD7" w14:textId="3FC4DAC2" w:rsidR="007C5D2A" w:rsidRPr="00207790" w:rsidRDefault="009D188A" w:rsidP="003E0341">
      <w:pPr>
        <w:tabs>
          <w:tab w:val="left" w:pos="851"/>
        </w:tabs>
        <w:ind w:left="851"/>
        <w:jc w:val="both"/>
        <w:rPr>
          <w:sz w:val="24"/>
          <w:szCs w:val="24"/>
          <w:lang w:val="en-GB"/>
        </w:rPr>
      </w:pPr>
      <w:r>
        <w:rPr>
          <w:sz w:val="24"/>
          <w:szCs w:val="24"/>
          <w:lang w:val="en-GB"/>
        </w:rPr>
        <w:t>4 July 2023</w:t>
      </w:r>
    </w:p>
    <w:sectPr w:rsidR="007C5D2A" w:rsidRPr="00207790"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5B8E" w14:textId="77777777" w:rsidR="0000782F" w:rsidRDefault="0000782F">
      <w:r>
        <w:separator/>
      </w:r>
    </w:p>
  </w:endnote>
  <w:endnote w:type="continuationSeparator" w:id="0">
    <w:p w14:paraId="2A40256D" w14:textId="77777777" w:rsidR="0000782F" w:rsidRDefault="0000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9401" w14:textId="77777777" w:rsidR="00864538" w:rsidRDefault="00864538">
    <w:pPr>
      <w:pStyle w:val="Sidefod"/>
      <w:pBdr>
        <w:bottom w:val="single" w:sz="6" w:space="1" w:color="auto"/>
      </w:pBdr>
    </w:pPr>
  </w:p>
  <w:p w14:paraId="573BAFBF" w14:textId="77777777" w:rsidR="00864538" w:rsidRDefault="00864538">
    <w:pPr>
      <w:pStyle w:val="Sidefod"/>
      <w:tabs>
        <w:tab w:val="clear" w:pos="4819"/>
        <w:tab w:val="left" w:pos="8647"/>
      </w:tabs>
      <w:rPr>
        <w:i/>
        <w:snapToGrid w:val="0"/>
        <w:sz w:val="18"/>
      </w:rPr>
    </w:pPr>
  </w:p>
  <w:p w14:paraId="27D213DF" w14:textId="792A92DE" w:rsidR="00864538" w:rsidRDefault="00B22EC6" w:rsidP="00AC033C">
    <w:pPr>
      <w:pStyle w:val="Sidefod"/>
      <w:tabs>
        <w:tab w:val="clear" w:pos="4819"/>
        <w:tab w:val="left" w:pos="8364"/>
      </w:tabs>
      <w:rPr>
        <w:i/>
        <w:sz w:val="18"/>
      </w:rPr>
    </w:pPr>
    <w:proofErr w:type="spellStart"/>
    <w:r w:rsidRPr="00B22EC6">
      <w:rPr>
        <w:i/>
        <w:snapToGrid w:val="0"/>
        <w:sz w:val="18"/>
      </w:rPr>
      <w:t>Desloratadin</w:t>
    </w:r>
    <w:proofErr w:type="spellEnd"/>
    <w:r w:rsidRPr="00B22EC6">
      <w:rPr>
        <w:i/>
        <w:snapToGrid w:val="0"/>
        <w:sz w:val="18"/>
      </w:rPr>
      <w:t xml:space="preserve"> Gea, oral opløsning 0,5 mg-ml</w:t>
    </w:r>
    <w:r w:rsidR="00864538">
      <w:rPr>
        <w:i/>
        <w:snapToGrid w:val="0"/>
        <w:sz w:val="18"/>
      </w:rPr>
      <w:tab/>
      <w:t xml:space="preserve">Page </w:t>
    </w:r>
    <w:r w:rsidR="00E36A80">
      <w:rPr>
        <w:i/>
        <w:snapToGrid w:val="0"/>
        <w:sz w:val="18"/>
      </w:rPr>
      <w:fldChar w:fldCharType="begin"/>
    </w:r>
    <w:r w:rsidR="00864538">
      <w:rPr>
        <w:i/>
        <w:snapToGrid w:val="0"/>
        <w:sz w:val="18"/>
      </w:rPr>
      <w:instrText xml:space="preserve"> PAGE </w:instrText>
    </w:r>
    <w:r w:rsidR="00E36A80">
      <w:rPr>
        <w:i/>
        <w:snapToGrid w:val="0"/>
        <w:sz w:val="18"/>
      </w:rPr>
      <w:fldChar w:fldCharType="separate"/>
    </w:r>
    <w:r w:rsidR="00AC033C">
      <w:rPr>
        <w:i/>
        <w:noProof/>
        <w:snapToGrid w:val="0"/>
        <w:sz w:val="18"/>
      </w:rPr>
      <w:t>1</w:t>
    </w:r>
    <w:r w:rsidR="00E36A80">
      <w:rPr>
        <w:i/>
        <w:snapToGrid w:val="0"/>
        <w:sz w:val="18"/>
      </w:rPr>
      <w:fldChar w:fldCharType="end"/>
    </w:r>
    <w:r w:rsidR="00864538">
      <w:rPr>
        <w:i/>
        <w:snapToGrid w:val="0"/>
        <w:sz w:val="18"/>
      </w:rPr>
      <w:t xml:space="preserve"> of </w:t>
    </w:r>
    <w:r w:rsidR="00E36A80">
      <w:rPr>
        <w:i/>
        <w:snapToGrid w:val="0"/>
        <w:sz w:val="18"/>
      </w:rPr>
      <w:fldChar w:fldCharType="begin"/>
    </w:r>
    <w:r w:rsidR="00864538">
      <w:rPr>
        <w:i/>
        <w:snapToGrid w:val="0"/>
        <w:sz w:val="18"/>
      </w:rPr>
      <w:instrText xml:space="preserve"> NUMPAGES </w:instrText>
    </w:r>
    <w:r w:rsidR="00E36A80">
      <w:rPr>
        <w:i/>
        <w:snapToGrid w:val="0"/>
        <w:sz w:val="18"/>
      </w:rPr>
      <w:fldChar w:fldCharType="separate"/>
    </w:r>
    <w:r w:rsidR="00AC033C">
      <w:rPr>
        <w:i/>
        <w:noProof/>
        <w:snapToGrid w:val="0"/>
        <w:sz w:val="18"/>
      </w:rPr>
      <w:t>3</w:t>
    </w:r>
    <w:r w:rsidR="00E36A80">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6FAF" w14:textId="77777777" w:rsidR="00864538" w:rsidRDefault="00864538">
    <w:pPr>
      <w:pStyle w:val="Sidefod"/>
      <w:pBdr>
        <w:bottom w:val="single" w:sz="6" w:space="1" w:color="auto"/>
      </w:pBdr>
      <w:tabs>
        <w:tab w:val="clear" w:pos="4819"/>
        <w:tab w:val="left" w:pos="8789"/>
      </w:tabs>
      <w:rPr>
        <w:i/>
        <w:snapToGrid w:val="0"/>
        <w:sz w:val="18"/>
      </w:rPr>
    </w:pPr>
  </w:p>
  <w:p w14:paraId="5DF68728" w14:textId="77777777" w:rsidR="00864538" w:rsidRDefault="00864538">
    <w:pPr>
      <w:pStyle w:val="Sidefod"/>
      <w:tabs>
        <w:tab w:val="clear" w:pos="4819"/>
        <w:tab w:val="left" w:pos="8789"/>
      </w:tabs>
      <w:rPr>
        <w:i/>
        <w:snapToGrid w:val="0"/>
        <w:sz w:val="18"/>
      </w:rPr>
    </w:pPr>
  </w:p>
  <w:p w14:paraId="55ABE9AA" w14:textId="7777777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0782F">
      <w:rPr>
        <w:i/>
        <w:noProof/>
        <w:snapToGrid w:val="0"/>
        <w:sz w:val="18"/>
      </w:rPr>
      <w:t>Dokument1</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9070" w14:textId="77777777" w:rsidR="0000782F" w:rsidRDefault="0000782F">
      <w:r>
        <w:separator/>
      </w:r>
    </w:p>
  </w:footnote>
  <w:footnote w:type="continuationSeparator" w:id="0">
    <w:p w14:paraId="16027DA6" w14:textId="77777777" w:rsidR="0000782F" w:rsidRDefault="0000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6F09" w14:textId="77777777"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CD6E90"/>
    <w:multiLevelType w:val="hybridMultilevel"/>
    <w:tmpl w:val="8BBAC8DC"/>
    <w:lvl w:ilvl="0" w:tplc="4080DF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2F"/>
    <w:rsid w:val="0000782F"/>
    <w:rsid w:val="00056601"/>
    <w:rsid w:val="000C3846"/>
    <w:rsid w:val="000C6218"/>
    <w:rsid w:val="000D3C9D"/>
    <w:rsid w:val="000F0D47"/>
    <w:rsid w:val="001242DE"/>
    <w:rsid w:val="00180A12"/>
    <w:rsid w:val="00207790"/>
    <w:rsid w:val="00214331"/>
    <w:rsid w:val="00214CF4"/>
    <w:rsid w:val="00281F03"/>
    <w:rsid w:val="0029458A"/>
    <w:rsid w:val="00297ED1"/>
    <w:rsid w:val="002A1587"/>
    <w:rsid w:val="002B27C5"/>
    <w:rsid w:val="002C65F9"/>
    <w:rsid w:val="00303008"/>
    <w:rsid w:val="00373B55"/>
    <w:rsid w:val="003D727E"/>
    <w:rsid w:val="003E0341"/>
    <w:rsid w:val="003E3402"/>
    <w:rsid w:val="003F4736"/>
    <w:rsid w:val="00401B49"/>
    <w:rsid w:val="0042292D"/>
    <w:rsid w:val="00440254"/>
    <w:rsid w:val="00483713"/>
    <w:rsid w:val="004860D3"/>
    <w:rsid w:val="004A3BF4"/>
    <w:rsid w:val="004A5DB3"/>
    <w:rsid w:val="005152D9"/>
    <w:rsid w:val="00533AD4"/>
    <w:rsid w:val="00534849"/>
    <w:rsid w:val="00560102"/>
    <w:rsid w:val="00562EA1"/>
    <w:rsid w:val="00617BB8"/>
    <w:rsid w:val="00680052"/>
    <w:rsid w:val="00683267"/>
    <w:rsid w:val="006844E9"/>
    <w:rsid w:val="006B3847"/>
    <w:rsid w:val="0075453D"/>
    <w:rsid w:val="007A4CC6"/>
    <w:rsid w:val="007C3623"/>
    <w:rsid w:val="007C5D2A"/>
    <w:rsid w:val="007F1E00"/>
    <w:rsid w:val="008400E3"/>
    <w:rsid w:val="00864538"/>
    <w:rsid w:val="00873B4F"/>
    <w:rsid w:val="008E51AE"/>
    <w:rsid w:val="008F2F8C"/>
    <w:rsid w:val="009925C9"/>
    <w:rsid w:val="009D188A"/>
    <w:rsid w:val="00A179D0"/>
    <w:rsid w:val="00A358A3"/>
    <w:rsid w:val="00A45DE5"/>
    <w:rsid w:val="00A46747"/>
    <w:rsid w:val="00A80446"/>
    <w:rsid w:val="00A85D26"/>
    <w:rsid w:val="00A9153A"/>
    <w:rsid w:val="00AB4376"/>
    <w:rsid w:val="00AC033C"/>
    <w:rsid w:val="00AD2E36"/>
    <w:rsid w:val="00B22EC6"/>
    <w:rsid w:val="00BD3490"/>
    <w:rsid w:val="00C26226"/>
    <w:rsid w:val="00C3571D"/>
    <w:rsid w:val="00C54F0B"/>
    <w:rsid w:val="00C82621"/>
    <w:rsid w:val="00CB1423"/>
    <w:rsid w:val="00D02508"/>
    <w:rsid w:val="00D7627E"/>
    <w:rsid w:val="00D778CC"/>
    <w:rsid w:val="00D82FE9"/>
    <w:rsid w:val="00D97B77"/>
    <w:rsid w:val="00DB6A85"/>
    <w:rsid w:val="00E06B32"/>
    <w:rsid w:val="00E1290F"/>
    <w:rsid w:val="00E36A80"/>
    <w:rsid w:val="00EB21D7"/>
    <w:rsid w:val="00EE3EB7"/>
    <w:rsid w:val="00F57E16"/>
    <w:rsid w:val="00F60336"/>
    <w:rsid w:val="00FC14A8"/>
    <w:rsid w:val="00FD652E"/>
    <w:rsid w:val="00FF3B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AD340"/>
  <w15:chartTrackingRefBased/>
  <w15:docId w15:val="{F40F4463-508F-4DF4-BC48-99A48B2F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D7627E"/>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0227">
      <w:bodyDiv w:val="1"/>
      <w:marLeft w:val="0"/>
      <w:marRight w:val="0"/>
      <w:marTop w:val="0"/>
      <w:marBottom w:val="0"/>
      <w:divBdr>
        <w:top w:val="none" w:sz="0" w:space="0" w:color="auto"/>
        <w:left w:val="none" w:sz="0" w:space="0" w:color="auto"/>
        <w:bottom w:val="none" w:sz="0" w:space="0" w:color="auto"/>
        <w:right w:val="none" w:sz="0" w:space="0" w:color="auto"/>
      </w:divBdr>
    </w:div>
    <w:div w:id="112944489">
      <w:bodyDiv w:val="1"/>
      <w:marLeft w:val="0"/>
      <w:marRight w:val="0"/>
      <w:marTop w:val="0"/>
      <w:marBottom w:val="0"/>
      <w:divBdr>
        <w:top w:val="none" w:sz="0" w:space="0" w:color="auto"/>
        <w:left w:val="none" w:sz="0" w:space="0" w:color="auto"/>
        <w:bottom w:val="none" w:sz="0" w:space="0" w:color="auto"/>
        <w:right w:val="none" w:sz="0" w:space="0" w:color="auto"/>
      </w:divBdr>
    </w:div>
    <w:div w:id="350882651">
      <w:bodyDiv w:val="1"/>
      <w:marLeft w:val="0"/>
      <w:marRight w:val="0"/>
      <w:marTop w:val="0"/>
      <w:marBottom w:val="0"/>
      <w:divBdr>
        <w:top w:val="none" w:sz="0" w:space="0" w:color="auto"/>
        <w:left w:val="none" w:sz="0" w:space="0" w:color="auto"/>
        <w:bottom w:val="none" w:sz="0" w:space="0" w:color="auto"/>
        <w:right w:val="none" w:sz="0" w:space="0" w:color="auto"/>
      </w:divBdr>
    </w:div>
    <w:div w:id="639573055">
      <w:bodyDiv w:val="1"/>
      <w:marLeft w:val="0"/>
      <w:marRight w:val="0"/>
      <w:marTop w:val="0"/>
      <w:marBottom w:val="0"/>
      <w:divBdr>
        <w:top w:val="none" w:sz="0" w:space="0" w:color="auto"/>
        <w:left w:val="none" w:sz="0" w:space="0" w:color="auto"/>
        <w:bottom w:val="none" w:sz="0" w:space="0" w:color="auto"/>
        <w:right w:val="none" w:sz="0" w:space="0" w:color="auto"/>
      </w:divBdr>
    </w:div>
    <w:div w:id="704066917">
      <w:bodyDiv w:val="1"/>
      <w:marLeft w:val="0"/>
      <w:marRight w:val="0"/>
      <w:marTop w:val="0"/>
      <w:marBottom w:val="0"/>
      <w:divBdr>
        <w:top w:val="none" w:sz="0" w:space="0" w:color="auto"/>
        <w:left w:val="none" w:sz="0" w:space="0" w:color="auto"/>
        <w:bottom w:val="none" w:sz="0" w:space="0" w:color="auto"/>
        <w:right w:val="none" w:sz="0" w:space="0" w:color="auto"/>
      </w:divBdr>
    </w:div>
    <w:div w:id="719400772">
      <w:bodyDiv w:val="1"/>
      <w:marLeft w:val="0"/>
      <w:marRight w:val="0"/>
      <w:marTop w:val="0"/>
      <w:marBottom w:val="0"/>
      <w:divBdr>
        <w:top w:val="none" w:sz="0" w:space="0" w:color="auto"/>
        <w:left w:val="none" w:sz="0" w:space="0" w:color="auto"/>
        <w:bottom w:val="none" w:sz="0" w:space="0" w:color="auto"/>
        <w:right w:val="none" w:sz="0" w:space="0" w:color="auto"/>
      </w:divBdr>
    </w:div>
    <w:div w:id="726414515">
      <w:bodyDiv w:val="1"/>
      <w:marLeft w:val="0"/>
      <w:marRight w:val="0"/>
      <w:marTop w:val="0"/>
      <w:marBottom w:val="0"/>
      <w:divBdr>
        <w:top w:val="none" w:sz="0" w:space="0" w:color="auto"/>
        <w:left w:val="none" w:sz="0" w:space="0" w:color="auto"/>
        <w:bottom w:val="none" w:sz="0" w:space="0" w:color="auto"/>
        <w:right w:val="none" w:sz="0" w:space="0" w:color="auto"/>
      </w:divBdr>
    </w:div>
    <w:div w:id="759987592">
      <w:bodyDiv w:val="1"/>
      <w:marLeft w:val="0"/>
      <w:marRight w:val="0"/>
      <w:marTop w:val="0"/>
      <w:marBottom w:val="0"/>
      <w:divBdr>
        <w:top w:val="none" w:sz="0" w:space="0" w:color="auto"/>
        <w:left w:val="none" w:sz="0" w:space="0" w:color="auto"/>
        <w:bottom w:val="none" w:sz="0" w:space="0" w:color="auto"/>
        <w:right w:val="none" w:sz="0" w:space="0" w:color="auto"/>
      </w:divBdr>
    </w:div>
    <w:div w:id="875116839">
      <w:bodyDiv w:val="1"/>
      <w:marLeft w:val="0"/>
      <w:marRight w:val="0"/>
      <w:marTop w:val="0"/>
      <w:marBottom w:val="0"/>
      <w:divBdr>
        <w:top w:val="none" w:sz="0" w:space="0" w:color="auto"/>
        <w:left w:val="none" w:sz="0" w:space="0" w:color="auto"/>
        <w:bottom w:val="none" w:sz="0" w:space="0" w:color="auto"/>
        <w:right w:val="none" w:sz="0" w:space="0" w:color="auto"/>
      </w:divBdr>
    </w:div>
    <w:div w:id="896552839">
      <w:bodyDiv w:val="1"/>
      <w:marLeft w:val="0"/>
      <w:marRight w:val="0"/>
      <w:marTop w:val="0"/>
      <w:marBottom w:val="0"/>
      <w:divBdr>
        <w:top w:val="none" w:sz="0" w:space="0" w:color="auto"/>
        <w:left w:val="none" w:sz="0" w:space="0" w:color="auto"/>
        <w:bottom w:val="none" w:sz="0" w:space="0" w:color="auto"/>
        <w:right w:val="none" w:sz="0" w:space="0" w:color="auto"/>
      </w:divBdr>
    </w:div>
    <w:div w:id="969240392">
      <w:bodyDiv w:val="1"/>
      <w:marLeft w:val="0"/>
      <w:marRight w:val="0"/>
      <w:marTop w:val="0"/>
      <w:marBottom w:val="0"/>
      <w:divBdr>
        <w:top w:val="none" w:sz="0" w:space="0" w:color="auto"/>
        <w:left w:val="none" w:sz="0" w:space="0" w:color="auto"/>
        <w:bottom w:val="none" w:sz="0" w:space="0" w:color="auto"/>
        <w:right w:val="none" w:sz="0" w:space="0" w:color="auto"/>
      </w:divBdr>
    </w:div>
    <w:div w:id="1068966905">
      <w:bodyDiv w:val="1"/>
      <w:marLeft w:val="0"/>
      <w:marRight w:val="0"/>
      <w:marTop w:val="0"/>
      <w:marBottom w:val="0"/>
      <w:divBdr>
        <w:top w:val="none" w:sz="0" w:space="0" w:color="auto"/>
        <w:left w:val="none" w:sz="0" w:space="0" w:color="auto"/>
        <w:bottom w:val="none" w:sz="0" w:space="0" w:color="auto"/>
        <w:right w:val="none" w:sz="0" w:space="0" w:color="auto"/>
      </w:divBdr>
    </w:div>
    <w:div w:id="1151826971">
      <w:bodyDiv w:val="1"/>
      <w:marLeft w:val="0"/>
      <w:marRight w:val="0"/>
      <w:marTop w:val="0"/>
      <w:marBottom w:val="0"/>
      <w:divBdr>
        <w:top w:val="none" w:sz="0" w:space="0" w:color="auto"/>
        <w:left w:val="none" w:sz="0" w:space="0" w:color="auto"/>
        <w:bottom w:val="none" w:sz="0" w:space="0" w:color="auto"/>
        <w:right w:val="none" w:sz="0" w:space="0" w:color="auto"/>
      </w:divBdr>
    </w:div>
    <w:div w:id="1183402997">
      <w:bodyDiv w:val="1"/>
      <w:marLeft w:val="0"/>
      <w:marRight w:val="0"/>
      <w:marTop w:val="0"/>
      <w:marBottom w:val="0"/>
      <w:divBdr>
        <w:top w:val="none" w:sz="0" w:space="0" w:color="auto"/>
        <w:left w:val="none" w:sz="0" w:space="0" w:color="auto"/>
        <w:bottom w:val="none" w:sz="0" w:space="0" w:color="auto"/>
        <w:right w:val="none" w:sz="0" w:space="0" w:color="auto"/>
      </w:divBdr>
    </w:div>
    <w:div w:id="1214581536">
      <w:bodyDiv w:val="1"/>
      <w:marLeft w:val="0"/>
      <w:marRight w:val="0"/>
      <w:marTop w:val="0"/>
      <w:marBottom w:val="0"/>
      <w:divBdr>
        <w:top w:val="none" w:sz="0" w:space="0" w:color="auto"/>
        <w:left w:val="none" w:sz="0" w:space="0" w:color="auto"/>
        <w:bottom w:val="none" w:sz="0" w:space="0" w:color="auto"/>
        <w:right w:val="none" w:sz="0" w:space="0" w:color="auto"/>
      </w:divBdr>
    </w:div>
    <w:div w:id="1217205527">
      <w:bodyDiv w:val="1"/>
      <w:marLeft w:val="0"/>
      <w:marRight w:val="0"/>
      <w:marTop w:val="0"/>
      <w:marBottom w:val="0"/>
      <w:divBdr>
        <w:top w:val="none" w:sz="0" w:space="0" w:color="auto"/>
        <w:left w:val="none" w:sz="0" w:space="0" w:color="auto"/>
        <w:bottom w:val="none" w:sz="0" w:space="0" w:color="auto"/>
        <w:right w:val="none" w:sz="0" w:space="0" w:color="auto"/>
      </w:divBdr>
    </w:div>
    <w:div w:id="129560420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63240184">
      <w:bodyDiv w:val="1"/>
      <w:marLeft w:val="0"/>
      <w:marRight w:val="0"/>
      <w:marTop w:val="0"/>
      <w:marBottom w:val="0"/>
      <w:divBdr>
        <w:top w:val="none" w:sz="0" w:space="0" w:color="auto"/>
        <w:left w:val="none" w:sz="0" w:space="0" w:color="auto"/>
        <w:bottom w:val="none" w:sz="0" w:space="0" w:color="auto"/>
        <w:right w:val="none" w:sz="0" w:space="0" w:color="auto"/>
      </w:divBdr>
    </w:div>
    <w:div w:id="1399136837">
      <w:bodyDiv w:val="1"/>
      <w:marLeft w:val="0"/>
      <w:marRight w:val="0"/>
      <w:marTop w:val="0"/>
      <w:marBottom w:val="0"/>
      <w:divBdr>
        <w:top w:val="none" w:sz="0" w:space="0" w:color="auto"/>
        <w:left w:val="none" w:sz="0" w:space="0" w:color="auto"/>
        <w:bottom w:val="none" w:sz="0" w:space="0" w:color="auto"/>
        <w:right w:val="none" w:sz="0" w:space="0" w:color="auto"/>
      </w:divBdr>
    </w:div>
    <w:div w:id="1456025478">
      <w:bodyDiv w:val="1"/>
      <w:marLeft w:val="0"/>
      <w:marRight w:val="0"/>
      <w:marTop w:val="0"/>
      <w:marBottom w:val="0"/>
      <w:divBdr>
        <w:top w:val="none" w:sz="0" w:space="0" w:color="auto"/>
        <w:left w:val="none" w:sz="0" w:space="0" w:color="auto"/>
        <w:bottom w:val="none" w:sz="0" w:space="0" w:color="auto"/>
        <w:right w:val="none" w:sz="0" w:space="0" w:color="auto"/>
      </w:divBdr>
    </w:div>
    <w:div w:id="1475948390">
      <w:bodyDiv w:val="1"/>
      <w:marLeft w:val="0"/>
      <w:marRight w:val="0"/>
      <w:marTop w:val="0"/>
      <w:marBottom w:val="0"/>
      <w:divBdr>
        <w:top w:val="none" w:sz="0" w:space="0" w:color="auto"/>
        <w:left w:val="none" w:sz="0" w:space="0" w:color="auto"/>
        <w:bottom w:val="none" w:sz="0" w:space="0" w:color="auto"/>
        <w:right w:val="none" w:sz="0" w:space="0" w:color="auto"/>
      </w:divBdr>
    </w:div>
    <w:div w:id="1561478325">
      <w:bodyDiv w:val="1"/>
      <w:marLeft w:val="0"/>
      <w:marRight w:val="0"/>
      <w:marTop w:val="0"/>
      <w:marBottom w:val="0"/>
      <w:divBdr>
        <w:top w:val="none" w:sz="0" w:space="0" w:color="auto"/>
        <w:left w:val="none" w:sz="0" w:space="0" w:color="auto"/>
        <w:bottom w:val="none" w:sz="0" w:space="0" w:color="auto"/>
        <w:right w:val="none" w:sz="0" w:space="0" w:color="auto"/>
      </w:divBdr>
    </w:div>
    <w:div w:id="1622296081">
      <w:bodyDiv w:val="1"/>
      <w:marLeft w:val="0"/>
      <w:marRight w:val="0"/>
      <w:marTop w:val="0"/>
      <w:marBottom w:val="0"/>
      <w:divBdr>
        <w:top w:val="none" w:sz="0" w:space="0" w:color="auto"/>
        <w:left w:val="none" w:sz="0" w:space="0" w:color="auto"/>
        <w:bottom w:val="none" w:sz="0" w:space="0" w:color="auto"/>
        <w:right w:val="none" w:sz="0" w:space="0" w:color="auto"/>
      </w:divBdr>
    </w:div>
    <w:div w:id="1800293308">
      <w:bodyDiv w:val="1"/>
      <w:marLeft w:val="0"/>
      <w:marRight w:val="0"/>
      <w:marTop w:val="0"/>
      <w:marBottom w:val="0"/>
      <w:divBdr>
        <w:top w:val="none" w:sz="0" w:space="0" w:color="auto"/>
        <w:left w:val="none" w:sz="0" w:space="0" w:color="auto"/>
        <w:bottom w:val="none" w:sz="0" w:space="0" w:color="auto"/>
        <w:right w:val="none" w:sz="0" w:space="0" w:color="auto"/>
      </w:divBdr>
    </w:div>
    <w:div w:id="1832795793">
      <w:bodyDiv w:val="1"/>
      <w:marLeft w:val="0"/>
      <w:marRight w:val="0"/>
      <w:marTop w:val="0"/>
      <w:marBottom w:val="0"/>
      <w:divBdr>
        <w:top w:val="none" w:sz="0" w:space="0" w:color="auto"/>
        <w:left w:val="none" w:sz="0" w:space="0" w:color="auto"/>
        <w:bottom w:val="none" w:sz="0" w:space="0" w:color="auto"/>
        <w:right w:val="none" w:sz="0" w:space="0" w:color="auto"/>
      </w:divBdr>
    </w:div>
    <w:div w:id="1944341361">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1317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3707</Words>
  <Characters>21223</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2023063501_x000d_
Ændring af MAH navn fra Gea A/S</dc:description>
  <cp:lastModifiedBy>Marianne Ott Jensen</cp:lastModifiedBy>
  <cp:revision>3</cp:revision>
  <cp:lastPrinted>2006-02-24T09:31:00Z</cp:lastPrinted>
  <dcterms:created xsi:type="dcterms:W3CDTF">2023-07-04T11:47:00Z</dcterms:created>
  <dcterms:modified xsi:type="dcterms:W3CDTF">2023-07-04T11:48:00Z</dcterms:modified>
</cp:coreProperties>
</file>