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D4A71D" w14:textId="77777777" w:rsidR="009260DE" w:rsidRPr="008F49E1" w:rsidRDefault="0021526C" w:rsidP="009260DE">
      <w:pPr>
        <w:rPr>
          <w:sz w:val="24"/>
          <w:szCs w:val="24"/>
        </w:rPr>
      </w:pPr>
      <w:bookmarkStart w:id="0" w:name="_GoBack"/>
      <w:bookmarkEnd w:id="0"/>
      <w:r w:rsidRPr="009260DE">
        <w:rPr>
          <w:noProof/>
          <w:sz w:val="24"/>
          <w:szCs w:val="24"/>
          <w:lang w:eastAsia="da-DK"/>
        </w:rPr>
        <w:drawing>
          <wp:anchor distT="0" distB="0" distL="114300" distR="114300" simplePos="0" relativeHeight="251658240" behindDoc="0" locked="0" layoutInCell="1" allowOverlap="1" wp14:anchorId="417222CF" wp14:editId="52AE2901">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Pr>
          <w:sz w:val="24"/>
          <w:szCs w:val="24"/>
        </w:rPr>
        <w:br w:type="textWrapping" w:clear="all"/>
      </w:r>
    </w:p>
    <w:p w14:paraId="401C0131" w14:textId="77777777" w:rsidR="009260DE" w:rsidRPr="00C84483" w:rsidRDefault="009260DE" w:rsidP="009260DE">
      <w:pPr>
        <w:pStyle w:val="Titel"/>
        <w:tabs>
          <w:tab w:val="right" w:pos="9356"/>
        </w:tabs>
        <w:jc w:val="left"/>
        <w:rPr>
          <w:b w:val="0"/>
          <w:szCs w:val="24"/>
          <w:lang w:eastAsia="en-US"/>
        </w:rPr>
      </w:pPr>
    </w:p>
    <w:p w14:paraId="0D667FCF" w14:textId="53305715" w:rsidR="009260DE" w:rsidRPr="00C84483" w:rsidRDefault="009260DE" w:rsidP="009260DE">
      <w:pPr>
        <w:pStyle w:val="Titel"/>
        <w:tabs>
          <w:tab w:val="right" w:pos="9356"/>
        </w:tabs>
        <w:jc w:val="left"/>
        <w:rPr>
          <w:b w:val="0"/>
          <w:szCs w:val="24"/>
          <w:lang w:eastAsia="en-US"/>
        </w:rPr>
      </w:pPr>
      <w:r w:rsidRPr="00C84483">
        <w:rPr>
          <w:b w:val="0"/>
          <w:szCs w:val="24"/>
          <w:lang w:eastAsia="en-US"/>
        </w:rPr>
        <w:tab/>
      </w:r>
      <w:r w:rsidR="00636826">
        <w:rPr>
          <w:szCs w:val="24"/>
        </w:rPr>
        <w:t>18. februar 2026</w:t>
      </w:r>
    </w:p>
    <w:p w14:paraId="3041D4DC" w14:textId="77777777" w:rsidR="009260DE" w:rsidRPr="00C84483" w:rsidRDefault="009260DE" w:rsidP="009260DE">
      <w:pPr>
        <w:pStyle w:val="Titel"/>
        <w:tabs>
          <w:tab w:val="left" w:pos="8222"/>
        </w:tabs>
        <w:jc w:val="left"/>
        <w:rPr>
          <w:b w:val="0"/>
          <w:szCs w:val="24"/>
        </w:rPr>
      </w:pPr>
    </w:p>
    <w:p w14:paraId="688FB949" w14:textId="77777777" w:rsidR="009260DE" w:rsidRPr="00C84483" w:rsidRDefault="009260DE" w:rsidP="009260DE">
      <w:pPr>
        <w:pStyle w:val="Titel"/>
        <w:jc w:val="left"/>
        <w:rPr>
          <w:b w:val="0"/>
          <w:szCs w:val="24"/>
        </w:rPr>
      </w:pPr>
    </w:p>
    <w:p w14:paraId="6CC41CA7" w14:textId="77777777" w:rsidR="009260DE" w:rsidRPr="00C84483" w:rsidRDefault="009260DE" w:rsidP="009260DE">
      <w:pPr>
        <w:pStyle w:val="Titel"/>
        <w:jc w:val="left"/>
        <w:rPr>
          <w:b w:val="0"/>
          <w:szCs w:val="24"/>
        </w:rPr>
      </w:pPr>
    </w:p>
    <w:p w14:paraId="3A8C2B87" w14:textId="77777777" w:rsidR="009260DE" w:rsidRPr="00C84483" w:rsidRDefault="009260DE" w:rsidP="009260DE">
      <w:pPr>
        <w:jc w:val="center"/>
        <w:rPr>
          <w:b/>
          <w:sz w:val="24"/>
          <w:szCs w:val="24"/>
        </w:rPr>
      </w:pPr>
      <w:r w:rsidRPr="00C84483">
        <w:rPr>
          <w:b/>
          <w:sz w:val="24"/>
          <w:szCs w:val="24"/>
        </w:rPr>
        <w:t>PRODUKTRESUMÉ</w:t>
      </w:r>
    </w:p>
    <w:p w14:paraId="2E6EB36F" w14:textId="77777777" w:rsidR="009260DE" w:rsidRPr="00C84483" w:rsidRDefault="009260DE" w:rsidP="009260DE">
      <w:pPr>
        <w:jc w:val="center"/>
        <w:rPr>
          <w:b/>
          <w:sz w:val="24"/>
          <w:szCs w:val="24"/>
        </w:rPr>
      </w:pPr>
    </w:p>
    <w:p w14:paraId="67E6778C" w14:textId="77777777" w:rsidR="009260DE" w:rsidRDefault="009260DE" w:rsidP="009260DE">
      <w:pPr>
        <w:jc w:val="center"/>
        <w:rPr>
          <w:b/>
          <w:sz w:val="24"/>
          <w:szCs w:val="24"/>
        </w:rPr>
      </w:pPr>
      <w:r w:rsidRPr="00C84483">
        <w:rPr>
          <w:b/>
          <w:sz w:val="24"/>
          <w:szCs w:val="24"/>
        </w:rPr>
        <w:t>for</w:t>
      </w:r>
    </w:p>
    <w:p w14:paraId="0F8527FA" w14:textId="77777777" w:rsidR="000B058C" w:rsidRPr="00C84483" w:rsidRDefault="000B058C" w:rsidP="009260DE">
      <w:pPr>
        <w:jc w:val="center"/>
        <w:rPr>
          <w:b/>
          <w:sz w:val="24"/>
          <w:szCs w:val="24"/>
        </w:rPr>
      </w:pPr>
    </w:p>
    <w:p w14:paraId="025B6DCD" w14:textId="12FC1FE2" w:rsidR="009260DE" w:rsidRPr="00C84483" w:rsidRDefault="00D336D9" w:rsidP="009260DE">
      <w:pPr>
        <w:jc w:val="center"/>
        <w:rPr>
          <w:b/>
          <w:sz w:val="24"/>
          <w:szCs w:val="24"/>
        </w:rPr>
      </w:pPr>
      <w:r>
        <w:rPr>
          <w:b/>
          <w:sz w:val="24"/>
          <w:szCs w:val="24"/>
        </w:rPr>
        <w:t>Desloratadin "Orion", smeltetabletter 5 mg</w:t>
      </w:r>
    </w:p>
    <w:p w14:paraId="08900BFF" w14:textId="77777777" w:rsidR="009260DE" w:rsidRPr="00C84483" w:rsidRDefault="009260DE" w:rsidP="009260DE">
      <w:pPr>
        <w:jc w:val="both"/>
        <w:rPr>
          <w:sz w:val="24"/>
          <w:szCs w:val="24"/>
        </w:rPr>
      </w:pPr>
    </w:p>
    <w:p w14:paraId="1928E3CC" w14:textId="77777777" w:rsidR="009260DE" w:rsidRPr="00C84483" w:rsidRDefault="009260DE" w:rsidP="009260DE">
      <w:pPr>
        <w:jc w:val="both"/>
        <w:rPr>
          <w:sz w:val="24"/>
          <w:szCs w:val="24"/>
        </w:rPr>
      </w:pPr>
    </w:p>
    <w:p w14:paraId="50B7CF62" w14:textId="77777777" w:rsidR="009260DE" w:rsidRPr="00C84483" w:rsidRDefault="009260DE" w:rsidP="009260DE">
      <w:pPr>
        <w:tabs>
          <w:tab w:val="left" w:pos="851"/>
        </w:tabs>
        <w:ind w:left="851" w:hanging="851"/>
        <w:rPr>
          <w:b/>
          <w:sz w:val="24"/>
          <w:szCs w:val="24"/>
        </w:rPr>
      </w:pPr>
      <w:r w:rsidRPr="00C84483">
        <w:rPr>
          <w:b/>
          <w:sz w:val="24"/>
          <w:szCs w:val="24"/>
        </w:rPr>
        <w:t>0.</w:t>
      </w:r>
      <w:r w:rsidRPr="00C84483">
        <w:rPr>
          <w:b/>
          <w:sz w:val="24"/>
          <w:szCs w:val="24"/>
        </w:rPr>
        <w:tab/>
        <w:t>D.SP.NR.</w:t>
      </w:r>
    </w:p>
    <w:p w14:paraId="369BBBBB" w14:textId="24048318" w:rsidR="009260DE" w:rsidRPr="00C84483" w:rsidRDefault="005553E4" w:rsidP="009260DE">
      <w:pPr>
        <w:tabs>
          <w:tab w:val="left" w:pos="851"/>
        </w:tabs>
        <w:ind w:left="851"/>
        <w:rPr>
          <w:sz w:val="24"/>
          <w:szCs w:val="24"/>
        </w:rPr>
      </w:pPr>
      <w:r>
        <w:rPr>
          <w:sz w:val="24"/>
          <w:szCs w:val="24"/>
        </w:rPr>
        <w:t>34234</w:t>
      </w:r>
    </w:p>
    <w:p w14:paraId="0F7DBDEB" w14:textId="77777777" w:rsidR="009260DE" w:rsidRPr="00C84483" w:rsidRDefault="009260DE" w:rsidP="009260DE">
      <w:pPr>
        <w:tabs>
          <w:tab w:val="left" w:pos="851"/>
        </w:tabs>
        <w:ind w:left="851"/>
        <w:rPr>
          <w:sz w:val="24"/>
          <w:szCs w:val="24"/>
        </w:rPr>
      </w:pPr>
    </w:p>
    <w:p w14:paraId="65EB90B3" w14:textId="77777777" w:rsidR="009260DE" w:rsidRPr="00C84483" w:rsidRDefault="009260DE" w:rsidP="009260DE">
      <w:pPr>
        <w:tabs>
          <w:tab w:val="left" w:pos="851"/>
        </w:tabs>
        <w:ind w:left="851" w:hanging="851"/>
        <w:rPr>
          <w:b/>
          <w:sz w:val="24"/>
          <w:szCs w:val="24"/>
        </w:rPr>
      </w:pPr>
      <w:r w:rsidRPr="00C84483">
        <w:rPr>
          <w:b/>
          <w:sz w:val="24"/>
          <w:szCs w:val="24"/>
        </w:rPr>
        <w:t>1.</w:t>
      </w:r>
      <w:r w:rsidRPr="00C84483">
        <w:rPr>
          <w:b/>
          <w:sz w:val="24"/>
          <w:szCs w:val="24"/>
        </w:rPr>
        <w:tab/>
        <w:t>LÆGEMIDLETS NAVN</w:t>
      </w:r>
    </w:p>
    <w:p w14:paraId="3C4C77D8" w14:textId="1916C27A" w:rsidR="009260DE" w:rsidRDefault="005553E4" w:rsidP="009260DE">
      <w:pPr>
        <w:tabs>
          <w:tab w:val="left" w:pos="851"/>
        </w:tabs>
        <w:ind w:left="851"/>
        <w:rPr>
          <w:sz w:val="24"/>
          <w:szCs w:val="24"/>
        </w:rPr>
      </w:pPr>
      <w:r w:rsidRPr="005553E4">
        <w:rPr>
          <w:sz w:val="24"/>
          <w:szCs w:val="24"/>
        </w:rPr>
        <w:t xml:space="preserve">Desloratadin </w:t>
      </w:r>
      <w:r>
        <w:rPr>
          <w:sz w:val="24"/>
          <w:szCs w:val="24"/>
        </w:rPr>
        <w:t>"</w:t>
      </w:r>
      <w:r w:rsidRPr="005553E4">
        <w:rPr>
          <w:sz w:val="24"/>
          <w:szCs w:val="24"/>
        </w:rPr>
        <w:t>Orion</w:t>
      </w:r>
      <w:r>
        <w:rPr>
          <w:sz w:val="24"/>
          <w:szCs w:val="24"/>
        </w:rPr>
        <w:t>"</w:t>
      </w:r>
    </w:p>
    <w:p w14:paraId="5287FACD" w14:textId="77777777" w:rsidR="005553E4" w:rsidRPr="00C84483" w:rsidRDefault="005553E4" w:rsidP="009260DE">
      <w:pPr>
        <w:tabs>
          <w:tab w:val="left" w:pos="851"/>
        </w:tabs>
        <w:ind w:left="851"/>
        <w:rPr>
          <w:sz w:val="24"/>
          <w:szCs w:val="24"/>
        </w:rPr>
      </w:pPr>
    </w:p>
    <w:p w14:paraId="5C9E7E52" w14:textId="77777777" w:rsidR="009260DE" w:rsidRPr="00C84483" w:rsidRDefault="009260DE" w:rsidP="009260DE">
      <w:pPr>
        <w:tabs>
          <w:tab w:val="left" w:pos="851"/>
        </w:tabs>
        <w:ind w:left="851" w:hanging="851"/>
        <w:rPr>
          <w:b/>
          <w:sz w:val="24"/>
          <w:szCs w:val="24"/>
        </w:rPr>
      </w:pPr>
      <w:r w:rsidRPr="00C84483">
        <w:rPr>
          <w:b/>
          <w:sz w:val="24"/>
          <w:szCs w:val="24"/>
        </w:rPr>
        <w:t>2.</w:t>
      </w:r>
      <w:r w:rsidRPr="00C84483">
        <w:rPr>
          <w:b/>
          <w:sz w:val="24"/>
          <w:szCs w:val="24"/>
        </w:rPr>
        <w:tab/>
        <w:t>KVALITATIV OG KVANTITATIV SAMMENSÆTNING</w:t>
      </w:r>
    </w:p>
    <w:p w14:paraId="35FFE723" w14:textId="77A073B4" w:rsidR="005553E4" w:rsidRPr="005553E4" w:rsidRDefault="005553E4" w:rsidP="005553E4">
      <w:pPr>
        <w:tabs>
          <w:tab w:val="left" w:pos="851"/>
        </w:tabs>
        <w:ind w:left="851"/>
        <w:rPr>
          <w:sz w:val="24"/>
          <w:szCs w:val="24"/>
        </w:rPr>
      </w:pPr>
      <w:r w:rsidRPr="005553E4">
        <w:rPr>
          <w:sz w:val="24"/>
          <w:szCs w:val="24"/>
        </w:rPr>
        <w:t>Hver smeltetablet indeholder 5 mg desloratadin.</w:t>
      </w:r>
    </w:p>
    <w:p w14:paraId="3552E85B" w14:textId="77777777" w:rsidR="005553E4" w:rsidRPr="005553E4" w:rsidRDefault="005553E4" w:rsidP="005553E4">
      <w:pPr>
        <w:tabs>
          <w:tab w:val="left" w:pos="851"/>
        </w:tabs>
        <w:ind w:left="851"/>
        <w:rPr>
          <w:sz w:val="24"/>
          <w:szCs w:val="24"/>
        </w:rPr>
      </w:pPr>
    </w:p>
    <w:p w14:paraId="48A8BF34" w14:textId="77777777" w:rsidR="005553E4" w:rsidRPr="005553E4" w:rsidRDefault="005553E4" w:rsidP="005553E4">
      <w:pPr>
        <w:tabs>
          <w:tab w:val="left" w:pos="851"/>
        </w:tabs>
        <w:ind w:left="851"/>
        <w:rPr>
          <w:sz w:val="24"/>
          <w:szCs w:val="24"/>
          <w:u w:val="single"/>
        </w:rPr>
      </w:pPr>
      <w:r w:rsidRPr="005553E4">
        <w:rPr>
          <w:sz w:val="24"/>
          <w:szCs w:val="24"/>
          <w:u w:val="single"/>
        </w:rPr>
        <w:t>Hjælpestof, som behandleren skal være opmærksom på</w:t>
      </w:r>
    </w:p>
    <w:p w14:paraId="0CBC070F" w14:textId="167C0EC6" w:rsidR="005553E4" w:rsidRPr="005553E4" w:rsidRDefault="005553E4" w:rsidP="005553E4">
      <w:pPr>
        <w:tabs>
          <w:tab w:val="left" w:pos="851"/>
        </w:tabs>
        <w:ind w:left="851"/>
        <w:rPr>
          <w:sz w:val="24"/>
          <w:szCs w:val="24"/>
        </w:rPr>
      </w:pPr>
      <w:r w:rsidRPr="005553E4">
        <w:rPr>
          <w:sz w:val="24"/>
          <w:szCs w:val="24"/>
        </w:rPr>
        <w:t xml:space="preserve">Hver smeltetablet indeholder </w:t>
      </w:r>
      <w:r w:rsidR="00DD1A4E">
        <w:rPr>
          <w:sz w:val="24"/>
          <w:szCs w:val="24"/>
        </w:rPr>
        <w:t>3</w:t>
      </w:r>
      <w:r w:rsidRPr="005553E4">
        <w:rPr>
          <w:sz w:val="24"/>
          <w:szCs w:val="24"/>
        </w:rPr>
        <w:t> mg aspartam (E951)</w:t>
      </w:r>
      <w:r w:rsidR="00DD1A4E">
        <w:rPr>
          <w:sz w:val="24"/>
          <w:szCs w:val="24"/>
        </w:rPr>
        <w:t>.</w:t>
      </w:r>
    </w:p>
    <w:p w14:paraId="246783C5" w14:textId="77777777" w:rsidR="005553E4" w:rsidRPr="005553E4" w:rsidRDefault="005553E4" w:rsidP="005553E4">
      <w:pPr>
        <w:tabs>
          <w:tab w:val="left" w:pos="851"/>
        </w:tabs>
        <w:ind w:left="851"/>
        <w:rPr>
          <w:sz w:val="24"/>
          <w:szCs w:val="24"/>
        </w:rPr>
      </w:pPr>
    </w:p>
    <w:p w14:paraId="3236F4AF" w14:textId="77777777" w:rsidR="005553E4" w:rsidRPr="005553E4" w:rsidRDefault="005553E4" w:rsidP="005553E4">
      <w:pPr>
        <w:tabs>
          <w:tab w:val="left" w:pos="851"/>
        </w:tabs>
        <w:ind w:left="851"/>
        <w:rPr>
          <w:sz w:val="24"/>
          <w:szCs w:val="24"/>
        </w:rPr>
      </w:pPr>
      <w:r w:rsidRPr="005553E4">
        <w:rPr>
          <w:sz w:val="24"/>
          <w:szCs w:val="24"/>
        </w:rPr>
        <w:t>Alle hjælpestoffer er anført under pkt. 6.1.</w:t>
      </w:r>
    </w:p>
    <w:p w14:paraId="6EBE36D3" w14:textId="77777777" w:rsidR="009260DE" w:rsidRPr="00C84483" w:rsidRDefault="009260DE" w:rsidP="009260DE">
      <w:pPr>
        <w:tabs>
          <w:tab w:val="left" w:pos="851"/>
        </w:tabs>
        <w:ind w:left="851"/>
        <w:rPr>
          <w:sz w:val="24"/>
          <w:szCs w:val="24"/>
        </w:rPr>
      </w:pPr>
    </w:p>
    <w:p w14:paraId="124A41F4" w14:textId="77777777" w:rsidR="009260DE" w:rsidRPr="00C84483" w:rsidRDefault="009260DE" w:rsidP="009260DE">
      <w:pPr>
        <w:tabs>
          <w:tab w:val="left" w:pos="851"/>
        </w:tabs>
        <w:ind w:left="851" w:hanging="851"/>
        <w:rPr>
          <w:b/>
          <w:sz w:val="24"/>
          <w:szCs w:val="24"/>
        </w:rPr>
      </w:pPr>
      <w:r w:rsidRPr="00C84483">
        <w:rPr>
          <w:b/>
          <w:sz w:val="24"/>
          <w:szCs w:val="24"/>
        </w:rPr>
        <w:t>3.</w:t>
      </w:r>
      <w:r w:rsidRPr="00C84483">
        <w:rPr>
          <w:b/>
          <w:sz w:val="24"/>
          <w:szCs w:val="24"/>
        </w:rPr>
        <w:tab/>
        <w:t>LÆGEMIDDELFORM</w:t>
      </w:r>
    </w:p>
    <w:p w14:paraId="6946B4AC" w14:textId="6F32AE8C" w:rsidR="005553E4" w:rsidRPr="005553E4" w:rsidRDefault="005553E4" w:rsidP="005553E4">
      <w:pPr>
        <w:tabs>
          <w:tab w:val="left" w:pos="851"/>
        </w:tabs>
        <w:ind w:left="851"/>
        <w:rPr>
          <w:sz w:val="24"/>
          <w:szCs w:val="24"/>
        </w:rPr>
      </w:pPr>
      <w:r w:rsidRPr="005553E4">
        <w:rPr>
          <w:sz w:val="24"/>
          <w:szCs w:val="24"/>
        </w:rPr>
        <w:t>Smeltetabletter</w:t>
      </w:r>
    </w:p>
    <w:p w14:paraId="588E23CB" w14:textId="77777777" w:rsidR="005553E4" w:rsidRPr="005553E4" w:rsidRDefault="005553E4" w:rsidP="005553E4">
      <w:pPr>
        <w:tabs>
          <w:tab w:val="left" w:pos="851"/>
        </w:tabs>
        <w:ind w:left="851"/>
        <w:rPr>
          <w:sz w:val="24"/>
          <w:szCs w:val="24"/>
        </w:rPr>
      </w:pPr>
    </w:p>
    <w:p w14:paraId="5FFFFF81" w14:textId="5D9C49DC" w:rsidR="005553E4" w:rsidRPr="005553E4" w:rsidRDefault="005553E4" w:rsidP="005553E4">
      <w:pPr>
        <w:tabs>
          <w:tab w:val="left" w:pos="851"/>
        </w:tabs>
        <w:ind w:left="851"/>
        <w:rPr>
          <w:sz w:val="24"/>
          <w:szCs w:val="24"/>
        </w:rPr>
      </w:pPr>
      <w:r w:rsidRPr="005553E4">
        <w:rPr>
          <w:sz w:val="24"/>
          <w:szCs w:val="24"/>
        </w:rPr>
        <w:t>Lyserøde, runde, flade, spættede tabletter præget med "D</w:t>
      </w:r>
      <w:r w:rsidR="00C722DC">
        <w:rPr>
          <w:sz w:val="24"/>
          <w:szCs w:val="24"/>
        </w:rPr>
        <w:t>2</w:t>
      </w:r>
      <w:r w:rsidRPr="005553E4">
        <w:rPr>
          <w:sz w:val="24"/>
          <w:szCs w:val="24"/>
        </w:rPr>
        <w:t>" på den ene side og ingenting på den anden side. Diameter på ca. </w:t>
      </w:r>
      <w:r w:rsidR="00C722DC">
        <w:rPr>
          <w:sz w:val="24"/>
          <w:szCs w:val="24"/>
        </w:rPr>
        <w:t>8</w:t>
      </w:r>
      <w:r w:rsidRPr="005553E4">
        <w:rPr>
          <w:sz w:val="24"/>
          <w:szCs w:val="24"/>
        </w:rPr>
        <w:t> mm.</w:t>
      </w:r>
    </w:p>
    <w:p w14:paraId="7A280441" w14:textId="77777777" w:rsidR="009260DE" w:rsidRPr="00C84483" w:rsidRDefault="009260DE" w:rsidP="009260DE">
      <w:pPr>
        <w:tabs>
          <w:tab w:val="left" w:pos="851"/>
        </w:tabs>
        <w:ind w:left="851"/>
        <w:rPr>
          <w:sz w:val="24"/>
          <w:szCs w:val="24"/>
        </w:rPr>
      </w:pPr>
    </w:p>
    <w:p w14:paraId="6C383B8E" w14:textId="77777777" w:rsidR="009260DE" w:rsidRPr="00C84483" w:rsidRDefault="009260DE" w:rsidP="009260DE">
      <w:pPr>
        <w:tabs>
          <w:tab w:val="left" w:pos="851"/>
        </w:tabs>
        <w:ind w:left="851"/>
        <w:rPr>
          <w:sz w:val="24"/>
          <w:szCs w:val="24"/>
        </w:rPr>
      </w:pPr>
    </w:p>
    <w:p w14:paraId="44519FDC" w14:textId="77777777" w:rsidR="009260DE" w:rsidRPr="00C84483" w:rsidRDefault="009260DE" w:rsidP="009260DE">
      <w:pPr>
        <w:tabs>
          <w:tab w:val="left" w:pos="851"/>
        </w:tabs>
        <w:ind w:left="851" w:hanging="851"/>
        <w:rPr>
          <w:b/>
          <w:sz w:val="24"/>
          <w:szCs w:val="24"/>
        </w:rPr>
      </w:pPr>
      <w:r w:rsidRPr="00C84483">
        <w:rPr>
          <w:b/>
          <w:sz w:val="24"/>
          <w:szCs w:val="24"/>
        </w:rPr>
        <w:t>4.</w:t>
      </w:r>
      <w:r w:rsidRPr="00C84483">
        <w:rPr>
          <w:b/>
          <w:sz w:val="24"/>
          <w:szCs w:val="24"/>
        </w:rPr>
        <w:tab/>
        <w:t>KLINISKE OPLYSNINGER</w:t>
      </w:r>
    </w:p>
    <w:p w14:paraId="0A6E9CB5" w14:textId="77777777" w:rsidR="009260DE" w:rsidRPr="00C84483" w:rsidRDefault="009260DE" w:rsidP="009260DE">
      <w:pPr>
        <w:tabs>
          <w:tab w:val="left" w:pos="851"/>
        </w:tabs>
        <w:ind w:left="851"/>
        <w:rPr>
          <w:b/>
          <w:sz w:val="24"/>
          <w:szCs w:val="24"/>
        </w:rPr>
      </w:pPr>
    </w:p>
    <w:p w14:paraId="507E80CD" w14:textId="77777777" w:rsidR="009260DE" w:rsidRPr="00C84483" w:rsidRDefault="009260DE" w:rsidP="009260DE">
      <w:pPr>
        <w:tabs>
          <w:tab w:val="left" w:pos="851"/>
        </w:tabs>
        <w:ind w:left="851" w:hanging="851"/>
        <w:rPr>
          <w:b/>
          <w:sz w:val="24"/>
          <w:szCs w:val="24"/>
          <w:u w:val="single"/>
        </w:rPr>
      </w:pPr>
      <w:r w:rsidRPr="00C84483">
        <w:rPr>
          <w:b/>
          <w:sz w:val="24"/>
          <w:szCs w:val="24"/>
        </w:rPr>
        <w:t>4.1</w:t>
      </w:r>
      <w:r w:rsidRPr="00C84483">
        <w:rPr>
          <w:b/>
          <w:sz w:val="24"/>
          <w:szCs w:val="24"/>
        </w:rPr>
        <w:tab/>
        <w:t>Terapeutiske indikationer</w:t>
      </w:r>
    </w:p>
    <w:p w14:paraId="54C14333" w14:textId="0F88B41E" w:rsidR="005553E4" w:rsidRPr="005553E4" w:rsidRDefault="00C722DC" w:rsidP="005553E4">
      <w:pPr>
        <w:tabs>
          <w:tab w:val="left" w:pos="851"/>
        </w:tabs>
        <w:ind w:left="851"/>
        <w:rPr>
          <w:sz w:val="24"/>
          <w:szCs w:val="24"/>
        </w:rPr>
      </w:pPr>
      <w:r>
        <w:rPr>
          <w:sz w:val="24"/>
          <w:szCs w:val="24"/>
        </w:rPr>
        <w:t>Desloratadin "Orion"</w:t>
      </w:r>
      <w:r w:rsidR="005553E4" w:rsidRPr="005553E4">
        <w:rPr>
          <w:sz w:val="24"/>
          <w:szCs w:val="24"/>
        </w:rPr>
        <w:t xml:space="preserve"> er indiceret til voksne</w:t>
      </w:r>
      <w:r>
        <w:rPr>
          <w:sz w:val="24"/>
          <w:szCs w:val="24"/>
        </w:rPr>
        <w:t xml:space="preserve"> og</w:t>
      </w:r>
      <w:r w:rsidR="005553E4" w:rsidRPr="005553E4">
        <w:rPr>
          <w:sz w:val="24"/>
          <w:szCs w:val="24"/>
        </w:rPr>
        <w:t xml:space="preserve"> unge i alderen 12 år og derover til lindring af symptomer i forbindelse med:</w:t>
      </w:r>
    </w:p>
    <w:p w14:paraId="153BE5B4" w14:textId="77777777" w:rsidR="005553E4" w:rsidRPr="005553E4" w:rsidRDefault="005553E4" w:rsidP="005553E4">
      <w:pPr>
        <w:numPr>
          <w:ilvl w:val="0"/>
          <w:numId w:val="6"/>
        </w:numPr>
        <w:tabs>
          <w:tab w:val="left" w:pos="851"/>
        </w:tabs>
        <w:ind w:left="1134" w:hanging="283"/>
        <w:rPr>
          <w:sz w:val="24"/>
          <w:szCs w:val="24"/>
        </w:rPr>
      </w:pPr>
      <w:r w:rsidRPr="005553E4">
        <w:rPr>
          <w:sz w:val="24"/>
          <w:szCs w:val="24"/>
        </w:rPr>
        <w:t>allergisk rhinitis (se pkt. 5.1)</w:t>
      </w:r>
    </w:p>
    <w:p w14:paraId="35E7ECA1" w14:textId="77777777" w:rsidR="005553E4" w:rsidRPr="005553E4" w:rsidRDefault="005553E4" w:rsidP="005553E4">
      <w:pPr>
        <w:numPr>
          <w:ilvl w:val="0"/>
          <w:numId w:val="6"/>
        </w:numPr>
        <w:tabs>
          <w:tab w:val="left" w:pos="851"/>
        </w:tabs>
        <w:ind w:left="1134" w:hanging="283"/>
        <w:rPr>
          <w:sz w:val="24"/>
          <w:szCs w:val="24"/>
        </w:rPr>
      </w:pPr>
      <w:r w:rsidRPr="005553E4">
        <w:rPr>
          <w:sz w:val="24"/>
          <w:szCs w:val="24"/>
        </w:rPr>
        <w:t>urticaria (se pkt. 5.1).</w:t>
      </w:r>
    </w:p>
    <w:p w14:paraId="0CE0B0E8" w14:textId="0B652B19" w:rsidR="005553E4" w:rsidRDefault="005553E4">
      <w:pPr>
        <w:rPr>
          <w:sz w:val="24"/>
          <w:szCs w:val="24"/>
        </w:rPr>
      </w:pPr>
      <w:r>
        <w:rPr>
          <w:sz w:val="24"/>
          <w:szCs w:val="24"/>
        </w:rPr>
        <w:br w:type="page"/>
      </w:r>
    </w:p>
    <w:p w14:paraId="433322F1" w14:textId="77777777" w:rsidR="009260DE" w:rsidRPr="00C84483" w:rsidRDefault="009260DE" w:rsidP="009260DE">
      <w:pPr>
        <w:tabs>
          <w:tab w:val="left" w:pos="851"/>
        </w:tabs>
        <w:ind w:left="851"/>
        <w:rPr>
          <w:sz w:val="24"/>
          <w:szCs w:val="24"/>
        </w:rPr>
      </w:pPr>
    </w:p>
    <w:p w14:paraId="22EF6403" w14:textId="77777777" w:rsidR="009260DE" w:rsidRPr="00C84483" w:rsidRDefault="009260DE" w:rsidP="009260DE">
      <w:pPr>
        <w:tabs>
          <w:tab w:val="left" w:pos="851"/>
        </w:tabs>
        <w:ind w:left="851" w:hanging="851"/>
        <w:rPr>
          <w:b/>
          <w:sz w:val="24"/>
          <w:szCs w:val="24"/>
        </w:rPr>
      </w:pPr>
      <w:r w:rsidRPr="00C84483">
        <w:rPr>
          <w:b/>
          <w:sz w:val="24"/>
          <w:szCs w:val="24"/>
        </w:rPr>
        <w:t>4.2</w:t>
      </w:r>
      <w:r w:rsidRPr="00C84483">
        <w:rPr>
          <w:b/>
          <w:sz w:val="24"/>
          <w:szCs w:val="24"/>
        </w:rPr>
        <w:tab/>
        <w:t xml:space="preserve">Dosering og </w:t>
      </w:r>
      <w:r w:rsidR="002C1EC0">
        <w:rPr>
          <w:b/>
          <w:sz w:val="24"/>
          <w:szCs w:val="24"/>
        </w:rPr>
        <w:t>administration</w:t>
      </w:r>
    </w:p>
    <w:p w14:paraId="22D33356" w14:textId="77777777" w:rsidR="005553E4" w:rsidRDefault="005553E4" w:rsidP="005553E4">
      <w:pPr>
        <w:tabs>
          <w:tab w:val="left" w:pos="851"/>
        </w:tabs>
        <w:ind w:left="851"/>
        <w:rPr>
          <w:sz w:val="24"/>
          <w:szCs w:val="24"/>
          <w:u w:val="single"/>
        </w:rPr>
      </w:pPr>
    </w:p>
    <w:p w14:paraId="47B3EB5C" w14:textId="0B7857F6" w:rsidR="005553E4" w:rsidRPr="005553E4" w:rsidRDefault="005553E4" w:rsidP="005553E4">
      <w:pPr>
        <w:tabs>
          <w:tab w:val="left" w:pos="851"/>
        </w:tabs>
        <w:ind w:left="851"/>
        <w:rPr>
          <w:sz w:val="24"/>
          <w:szCs w:val="24"/>
          <w:u w:val="single"/>
        </w:rPr>
      </w:pPr>
      <w:r w:rsidRPr="005553E4">
        <w:rPr>
          <w:sz w:val="24"/>
          <w:szCs w:val="24"/>
          <w:u w:val="single"/>
        </w:rPr>
        <w:t>Dosering</w:t>
      </w:r>
    </w:p>
    <w:p w14:paraId="16A9CE89" w14:textId="77777777" w:rsidR="005553E4" w:rsidRDefault="005553E4" w:rsidP="005553E4">
      <w:pPr>
        <w:tabs>
          <w:tab w:val="left" w:pos="851"/>
        </w:tabs>
        <w:ind w:left="851"/>
        <w:rPr>
          <w:i/>
          <w:iCs/>
          <w:sz w:val="24"/>
          <w:szCs w:val="24"/>
        </w:rPr>
      </w:pPr>
    </w:p>
    <w:p w14:paraId="5C5908C7" w14:textId="1B654236" w:rsidR="005553E4" w:rsidRPr="005553E4" w:rsidRDefault="005553E4" w:rsidP="005553E4">
      <w:pPr>
        <w:tabs>
          <w:tab w:val="left" w:pos="851"/>
        </w:tabs>
        <w:ind w:left="851"/>
        <w:rPr>
          <w:sz w:val="24"/>
          <w:szCs w:val="24"/>
        </w:rPr>
      </w:pPr>
      <w:r w:rsidRPr="005553E4">
        <w:rPr>
          <w:i/>
          <w:iCs/>
          <w:sz w:val="24"/>
          <w:szCs w:val="24"/>
        </w:rPr>
        <w:t>Voksne og unge (i alderen 12 år og derover)</w:t>
      </w:r>
    </w:p>
    <w:p w14:paraId="5EB2AAC2" w14:textId="0ED63FB6" w:rsidR="005553E4" w:rsidRPr="005553E4" w:rsidRDefault="005553E4" w:rsidP="005553E4">
      <w:pPr>
        <w:tabs>
          <w:tab w:val="left" w:pos="851"/>
        </w:tabs>
        <w:ind w:left="851"/>
        <w:rPr>
          <w:sz w:val="24"/>
          <w:szCs w:val="24"/>
        </w:rPr>
      </w:pPr>
      <w:r w:rsidRPr="005553E4">
        <w:rPr>
          <w:sz w:val="24"/>
          <w:szCs w:val="24"/>
        </w:rPr>
        <w:t xml:space="preserve">Den anbefalede dosis er </w:t>
      </w:r>
      <w:r w:rsidR="00C722DC">
        <w:rPr>
          <w:sz w:val="24"/>
          <w:szCs w:val="24"/>
        </w:rPr>
        <w:t>en 5</w:t>
      </w:r>
      <w:r w:rsidRPr="005553E4">
        <w:rPr>
          <w:sz w:val="24"/>
          <w:szCs w:val="24"/>
        </w:rPr>
        <w:t xml:space="preserve"> mg smeltetablet, som lægges i munden </w:t>
      </w:r>
      <w:r w:rsidR="00C722DC">
        <w:rPr>
          <w:sz w:val="24"/>
          <w:szCs w:val="24"/>
        </w:rPr>
        <w:t>e</w:t>
      </w:r>
      <w:r w:rsidRPr="005553E4">
        <w:rPr>
          <w:sz w:val="24"/>
          <w:szCs w:val="24"/>
        </w:rPr>
        <w:t>n gang dagligt.</w:t>
      </w:r>
    </w:p>
    <w:p w14:paraId="074DC6F9" w14:textId="77777777" w:rsidR="005553E4" w:rsidRPr="005553E4" w:rsidRDefault="005553E4" w:rsidP="005553E4">
      <w:pPr>
        <w:tabs>
          <w:tab w:val="left" w:pos="851"/>
        </w:tabs>
        <w:ind w:left="851"/>
        <w:rPr>
          <w:sz w:val="24"/>
          <w:szCs w:val="24"/>
        </w:rPr>
      </w:pPr>
    </w:p>
    <w:p w14:paraId="600C1014" w14:textId="77777777" w:rsidR="005553E4" w:rsidRPr="005553E4" w:rsidRDefault="005553E4" w:rsidP="005553E4">
      <w:pPr>
        <w:tabs>
          <w:tab w:val="left" w:pos="851"/>
        </w:tabs>
        <w:ind w:left="851"/>
        <w:rPr>
          <w:sz w:val="24"/>
          <w:szCs w:val="24"/>
        </w:rPr>
      </w:pPr>
      <w:r w:rsidRPr="005553E4">
        <w:rPr>
          <w:sz w:val="24"/>
          <w:szCs w:val="24"/>
        </w:rPr>
        <w:t>Intermitterende allergisk rhinitis (tilstedeværelse af symptomer i mindre end 4 dage per uge eller i mindre end 4 uger) bør behandles ud fra vurdering af patientens sygehistorie, og behandlingen kan afbrydes efter symptomerne er forsvundet og genoptages ved tilbagevenden. Ved vedvarende allergisk rhinitis (tilstedeværelse af symptomer i 4 dage eller mere om ugen og i mere end 4 uger) kan fortsat behandling foreslås til patienterne under perioder med allergeneksponering.</w:t>
      </w:r>
    </w:p>
    <w:p w14:paraId="49D1B970" w14:textId="697B4F3A" w:rsidR="005553E4" w:rsidRDefault="005553E4" w:rsidP="005553E4">
      <w:pPr>
        <w:tabs>
          <w:tab w:val="left" w:pos="851"/>
        </w:tabs>
        <w:ind w:left="851"/>
        <w:rPr>
          <w:sz w:val="24"/>
          <w:szCs w:val="24"/>
        </w:rPr>
      </w:pPr>
    </w:p>
    <w:p w14:paraId="27603901" w14:textId="77777777" w:rsidR="00C722DC" w:rsidRPr="00C722DC" w:rsidRDefault="00C722DC" w:rsidP="00C722DC">
      <w:pPr>
        <w:tabs>
          <w:tab w:val="left" w:pos="851"/>
        </w:tabs>
        <w:ind w:left="851"/>
        <w:rPr>
          <w:sz w:val="24"/>
          <w:szCs w:val="24"/>
        </w:rPr>
      </w:pPr>
      <w:r w:rsidRPr="00C722DC">
        <w:rPr>
          <w:i/>
          <w:sz w:val="24"/>
          <w:szCs w:val="24"/>
        </w:rPr>
        <w:t>Pædiatrisk population</w:t>
      </w:r>
    </w:p>
    <w:p w14:paraId="31779CDA" w14:textId="664CA722" w:rsidR="00C722DC" w:rsidRPr="00C722DC" w:rsidRDefault="00C722DC" w:rsidP="00C722DC">
      <w:pPr>
        <w:tabs>
          <w:tab w:val="left" w:pos="851"/>
        </w:tabs>
        <w:ind w:left="851"/>
        <w:rPr>
          <w:sz w:val="24"/>
          <w:szCs w:val="24"/>
        </w:rPr>
      </w:pPr>
      <w:r w:rsidRPr="00C722DC">
        <w:rPr>
          <w:sz w:val="24"/>
          <w:szCs w:val="24"/>
        </w:rPr>
        <w:t xml:space="preserve">Sikkerhed og virkning af Desloratadin </w:t>
      </w:r>
      <w:r>
        <w:rPr>
          <w:sz w:val="24"/>
          <w:szCs w:val="24"/>
        </w:rPr>
        <w:t>"</w:t>
      </w:r>
      <w:r w:rsidRPr="00C722DC">
        <w:rPr>
          <w:sz w:val="24"/>
          <w:szCs w:val="24"/>
        </w:rPr>
        <w:t>Orion</w:t>
      </w:r>
      <w:r>
        <w:rPr>
          <w:sz w:val="24"/>
          <w:szCs w:val="24"/>
        </w:rPr>
        <w:t>"</w:t>
      </w:r>
      <w:r w:rsidRPr="00C722DC">
        <w:rPr>
          <w:sz w:val="24"/>
          <w:szCs w:val="24"/>
        </w:rPr>
        <w:t xml:space="preserve"> 5 mg smeltetabletter hos børn i alderen under 12 år er ikke klarlagt.</w:t>
      </w:r>
    </w:p>
    <w:p w14:paraId="54C92798" w14:textId="77777777" w:rsidR="00C722DC" w:rsidRPr="00C722DC" w:rsidRDefault="00C722DC" w:rsidP="00C722DC">
      <w:pPr>
        <w:tabs>
          <w:tab w:val="left" w:pos="851"/>
        </w:tabs>
        <w:ind w:left="851"/>
        <w:rPr>
          <w:sz w:val="24"/>
          <w:szCs w:val="24"/>
        </w:rPr>
      </w:pPr>
    </w:p>
    <w:p w14:paraId="4400C83D" w14:textId="77777777" w:rsidR="00C722DC" w:rsidRPr="00C722DC" w:rsidRDefault="00C722DC" w:rsidP="00C722DC">
      <w:pPr>
        <w:tabs>
          <w:tab w:val="left" w:pos="851"/>
        </w:tabs>
        <w:ind w:left="851"/>
        <w:rPr>
          <w:sz w:val="24"/>
          <w:szCs w:val="24"/>
        </w:rPr>
      </w:pPr>
      <w:r w:rsidRPr="00C722DC">
        <w:rPr>
          <w:sz w:val="24"/>
          <w:szCs w:val="24"/>
        </w:rPr>
        <w:t>Der er begrænset erfaring med klinisk virkning ved brug af desloratadin til unge i alderen 12 til og med 17 år (se pkt. 4.8 og 5.1).</w:t>
      </w:r>
    </w:p>
    <w:p w14:paraId="4B935302" w14:textId="77777777" w:rsidR="00C722DC" w:rsidRPr="005553E4" w:rsidRDefault="00C722DC" w:rsidP="005553E4">
      <w:pPr>
        <w:tabs>
          <w:tab w:val="left" w:pos="851"/>
        </w:tabs>
        <w:ind w:left="851"/>
        <w:rPr>
          <w:sz w:val="24"/>
          <w:szCs w:val="24"/>
        </w:rPr>
      </w:pPr>
    </w:p>
    <w:p w14:paraId="0DC3E64A" w14:textId="77777777" w:rsidR="005553E4" w:rsidRPr="005553E4" w:rsidRDefault="005553E4" w:rsidP="005553E4">
      <w:pPr>
        <w:tabs>
          <w:tab w:val="left" w:pos="851"/>
        </w:tabs>
        <w:ind w:left="851"/>
        <w:rPr>
          <w:sz w:val="24"/>
          <w:szCs w:val="24"/>
          <w:u w:val="single"/>
        </w:rPr>
      </w:pPr>
      <w:r w:rsidRPr="005553E4">
        <w:rPr>
          <w:sz w:val="24"/>
          <w:szCs w:val="24"/>
          <w:u w:val="single"/>
        </w:rPr>
        <w:t>Administration</w:t>
      </w:r>
    </w:p>
    <w:p w14:paraId="2F666E3D" w14:textId="77777777" w:rsidR="005553E4" w:rsidRPr="005553E4" w:rsidRDefault="005553E4" w:rsidP="005553E4">
      <w:pPr>
        <w:tabs>
          <w:tab w:val="left" w:pos="851"/>
        </w:tabs>
        <w:ind w:left="851"/>
        <w:rPr>
          <w:sz w:val="24"/>
          <w:szCs w:val="24"/>
        </w:rPr>
      </w:pPr>
      <w:r w:rsidRPr="005553E4">
        <w:rPr>
          <w:sz w:val="24"/>
          <w:szCs w:val="24"/>
        </w:rPr>
        <w:t>Oral anvendelse.</w:t>
      </w:r>
    </w:p>
    <w:p w14:paraId="079FED56" w14:textId="77777777" w:rsidR="005553E4" w:rsidRPr="005553E4" w:rsidRDefault="005553E4" w:rsidP="005553E4">
      <w:pPr>
        <w:tabs>
          <w:tab w:val="left" w:pos="851"/>
        </w:tabs>
        <w:ind w:left="851"/>
        <w:rPr>
          <w:sz w:val="24"/>
          <w:szCs w:val="24"/>
        </w:rPr>
      </w:pPr>
      <w:r w:rsidRPr="005553E4">
        <w:rPr>
          <w:sz w:val="24"/>
          <w:szCs w:val="24"/>
        </w:rPr>
        <w:t>Dosis kan tages med eller uden mad.</w:t>
      </w:r>
    </w:p>
    <w:p w14:paraId="1D60A12F" w14:textId="77777777" w:rsidR="005553E4" w:rsidRPr="005553E4" w:rsidRDefault="005553E4" w:rsidP="005553E4">
      <w:pPr>
        <w:tabs>
          <w:tab w:val="left" w:pos="851"/>
        </w:tabs>
        <w:ind w:left="851"/>
        <w:rPr>
          <w:sz w:val="24"/>
          <w:szCs w:val="24"/>
        </w:rPr>
      </w:pPr>
      <w:r w:rsidRPr="005553E4">
        <w:rPr>
          <w:sz w:val="24"/>
          <w:szCs w:val="24"/>
        </w:rPr>
        <w:t>Smeltetabletten lægges i munden, hvor den hurtigt opløses. Der er ikke behov for vand eller anden væske for at synke tabletten.</w:t>
      </w:r>
    </w:p>
    <w:p w14:paraId="1F14509B" w14:textId="77777777" w:rsidR="005553E4" w:rsidRPr="005553E4" w:rsidRDefault="005553E4" w:rsidP="005553E4">
      <w:pPr>
        <w:tabs>
          <w:tab w:val="left" w:pos="851"/>
        </w:tabs>
        <w:ind w:left="851"/>
        <w:rPr>
          <w:sz w:val="24"/>
          <w:szCs w:val="24"/>
        </w:rPr>
      </w:pPr>
    </w:p>
    <w:p w14:paraId="05E82841" w14:textId="77777777" w:rsidR="009260DE" w:rsidRPr="00C84483" w:rsidRDefault="009260DE" w:rsidP="009260DE">
      <w:pPr>
        <w:tabs>
          <w:tab w:val="left" w:pos="851"/>
        </w:tabs>
        <w:ind w:left="851" w:hanging="851"/>
        <w:rPr>
          <w:b/>
          <w:sz w:val="24"/>
          <w:szCs w:val="24"/>
        </w:rPr>
      </w:pPr>
      <w:r w:rsidRPr="00C84483">
        <w:rPr>
          <w:b/>
          <w:sz w:val="24"/>
          <w:szCs w:val="24"/>
        </w:rPr>
        <w:t>4.3</w:t>
      </w:r>
      <w:r w:rsidRPr="00C84483">
        <w:rPr>
          <w:b/>
          <w:sz w:val="24"/>
          <w:szCs w:val="24"/>
        </w:rPr>
        <w:tab/>
        <w:t>Kontraindikationer</w:t>
      </w:r>
    </w:p>
    <w:p w14:paraId="067D8363" w14:textId="77777777" w:rsidR="005553E4" w:rsidRPr="005553E4" w:rsidRDefault="005553E4" w:rsidP="005553E4">
      <w:pPr>
        <w:tabs>
          <w:tab w:val="left" w:pos="851"/>
        </w:tabs>
        <w:ind w:left="851"/>
        <w:rPr>
          <w:sz w:val="24"/>
          <w:szCs w:val="24"/>
        </w:rPr>
      </w:pPr>
      <w:r w:rsidRPr="005553E4">
        <w:rPr>
          <w:sz w:val="24"/>
          <w:szCs w:val="24"/>
        </w:rPr>
        <w:t>Overfølsomhed over for det aktive stof eller over for et eller flere af hjælpestofferne anført i pkt. 6.1 eller loratadin.</w:t>
      </w:r>
    </w:p>
    <w:p w14:paraId="29146A49" w14:textId="77777777" w:rsidR="009260DE" w:rsidRPr="00C84483" w:rsidRDefault="009260DE" w:rsidP="009260DE">
      <w:pPr>
        <w:tabs>
          <w:tab w:val="left" w:pos="851"/>
        </w:tabs>
        <w:ind w:left="851"/>
        <w:rPr>
          <w:sz w:val="24"/>
          <w:szCs w:val="24"/>
        </w:rPr>
      </w:pPr>
    </w:p>
    <w:p w14:paraId="0F3E4279" w14:textId="77777777" w:rsidR="009260DE" w:rsidRPr="00C84483" w:rsidRDefault="009260DE" w:rsidP="009260DE">
      <w:pPr>
        <w:tabs>
          <w:tab w:val="left" w:pos="851"/>
        </w:tabs>
        <w:ind w:left="851" w:hanging="851"/>
        <w:rPr>
          <w:b/>
          <w:sz w:val="24"/>
          <w:szCs w:val="24"/>
        </w:rPr>
      </w:pPr>
      <w:r w:rsidRPr="00C84483">
        <w:rPr>
          <w:b/>
          <w:sz w:val="24"/>
          <w:szCs w:val="24"/>
        </w:rPr>
        <w:t>4.4</w:t>
      </w:r>
      <w:r w:rsidRPr="00C84483">
        <w:rPr>
          <w:b/>
          <w:sz w:val="24"/>
          <w:szCs w:val="24"/>
        </w:rPr>
        <w:tab/>
        <w:t>Særlige advarsler og forsigtighedsregler vedrørende brugen</w:t>
      </w:r>
    </w:p>
    <w:p w14:paraId="2223E4BF" w14:textId="77777777" w:rsidR="005553E4" w:rsidRPr="005553E4" w:rsidRDefault="005553E4" w:rsidP="005553E4">
      <w:pPr>
        <w:tabs>
          <w:tab w:val="left" w:pos="851"/>
        </w:tabs>
        <w:ind w:left="851"/>
        <w:rPr>
          <w:sz w:val="24"/>
          <w:szCs w:val="24"/>
        </w:rPr>
      </w:pPr>
    </w:p>
    <w:p w14:paraId="560B3300" w14:textId="77777777" w:rsidR="005553E4" w:rsidRPr="005553E4" w:rsidRDefault="005553E4" w:rsidP="005553E4">
      <w:pPr>
        <w:tabs>
          <w:tab w:val="left" w:pos="851"/>
        </w:tabs>
        <w:ind w:left="851"/>
        <w:rPr>
          <w:sz w:val="24"/>
          <w:szCs w:val="24"/>
          <w:u w:val="single"/>
        </w:rPr>
      </w:pPr>
      <w:r w:rsidRPr="005553E4">
        <w:rPr>
          <w:sz w:val="24"/>
          <w:szCs w:val="24"/>
          <w:u w:val="single"/>
        </w:rPr>
        <w:t>Nedsat nyrefunktion</w:t>
      </w:r>
    </w:p>
    <w:p w14:paraId="06B06903" w14:textId="77777777" w:rsidR="005553E4" w:rsidRPr="005553E4" w:rsidRDefault="005553E4" w:rsidP="005553E4">
      <w:pPr>
        <w:tabs>
          <w:tab w:val="left" w:pos="851"/>
        </w:tabs>
        <w:ind w:left="851"/>
        <w:rPr>
          <w:sz w:val="24"/>
          <w:szCs w:val="24"/>
        </w:rPr>
      </w:pPr>
      <w:r w:rsidRPr="005553E4">
        <w:rPr>
          <w:sz w:val="24"/>
          <w:szCs w:val="24"/>
        </w:rPr>
        <w:t>Desloratadin bør anvendes med forsigtighed til patienter med svær nyreinsufficiens (se pkt. 5.2).</w:t>
      </w:r>
    </w:p>
    <w:p w14:paraId="38B93BAE" w14:textId="77777777" w:rsidR="005553E4" w:rsidRPr="005553E4" w:rsidRDefault="005553E4" w:rsidP="005553E4">
      <w:pPr>
        <w:tabs>
          <w:tab w:val="left" w:pos="851"/>
        </w:tabs>
        <w:ind w:left="851"/>
        <w:rPr>
          <w:sz w:val="24"/>
          <w:szCs w:val="24"/>
        </w:rPr>
      </w:pPr>
    </w:p>
    <w:p w14:paraId="353366C4" w14:textId="77777777" w:rsidR="005553E4" w:rsidRPr="005553E4" w:rsidRDefault="005553E4" w:rsidP="005553E4">
      <w:pPr>
        <w:tabs>
          <w:tab w:val="left" w:pos="851"/>
        </w:tabs>
        <w:ind w:left="851"/>
        <w:rPr>
          <w:sz w:val="24"/>
          <w:szCs w:val="24"/>
          <w:u w:val="single"/>
        </w:rPr>
      </w:pPr>
      <w:r w:rsidRPr="005553E4">
        <w:rPr>
          <w:sz w:val="24"/>
          <w:szCs w:val="24"/>
          <w:u w:val="single"/>
        </w:rPr>
        <w:t>Krampeanfald</w:t>
      </w:r>
    </w:p>
    <w:p w14:paraId="0FFA3DE7" w14:textId="77777777" w:rsidR="005553E4" w:rsidRPr="005553E4" w:rsidRDefault="005553E4" w:rsidP="005553E4">
      <w:pPr>
        <w:tabs>
          <w:tab w:val="left" w:pos="851"/>
        </w:tabs>
        <w:ind w:left="851"/>
        <w:rPr>
          <w:sz w:val="24"/>
          <w:szCs w:val="24"/>
        </w:rPr>
      </w:pPr>
      <w:r w:rsidRPr="005553E4">
        <w:rPr>
          <w:sz w:val="24"/>
          <w:szCs w:val="24"/>
        </w:rPr>
        <w:t>Desloratadin skal administreres med forsigtighed hos patienter med krampeanfald i anamnesen eller i familien og især hos små børn (se pkt. 4.8), der er mere tilbøjelige til at få nye krampeanfald under behandling med desloratadin. Sundhedspersonalet kan overveje at seponere desloratadin hos patienter, der oplever et krampeanfald under behandlingen.</w:t>
      </w:r>
    </w:p>
    <w:p w14:paraId="450126E6" w14:textId="77777777" w:rsidR="005553E4" w:rsidRPr="005553E4" w:rsidRDefault="005553E4" w:rsidP="005553E4">
      <w:pPr>
        <w:tabs>
          <w:tab w:val="left" w:pos="851"/>
        </w:tabs>
        <w:ind w:left="851"/>
        <w:rPr>
          <w:sz w:val="24"/>
          <w:szCs w:val="24"/>
        </w:rPr>
      </w:pPr>
    </w:p>
    <w:p w14:paraId="526FFCD9" w14:textId="77777777" w:rsidR="005553E4" w:rsidRPr="005553E4" w:rsidRDefault="005553E4" w:rsidP="005553E4">
      <w:pPr>
        <w:tabs>
          <w:tab w:val="left" w:pos="851"/>
        </w:tabs>
        <w:ind w:left="851"/>
        <w:rPr>
          <w:sz w:val="24"/>
          <w:szCs w:val="24"/>
        </w:rPr>
      </w:pPr>
      <w:r w:rsidRPr="005553E4">
        <w:rPr>
          <w:sz w:val="24"/>
          <w:szCs w:val="24"/>
          <w:u w:val="single"/>
        </w:rPr>
        <w:t>Hjælpestoffer</w:t>
      </w:r>
    </w:p>
    <w:p w14:paraId="2D43FE14" w14:textId="0C41C796" w:rsidR="005553E4" w:rsidRPr="005553E4" w:rsidRDefault="005553E4" w:rsidP="005553E4">
      <w:pPr>
        <w:tabs>
          <w:tab w:val="left" w:pos="851"/>
        </w:tabs>
        <w:ind w:left="851"/>
        <w:rPr>
          <w:sz w:val="24"/>
          <w:szCs w:val="24"/>
          <w:u w:val="single"/>
        </w:rPr>
      </w:pPr>
      <w:r w:rsidRPr="005553E4">
        <w:rPr>
          <w:sz w:val="24"/>
          <w:szCs w:val="24"/>
        </w:rPr>
        <w:t xml:space="preserve">Dette lægemiddel indeholder </w:t>
      </w:r>
      <w:r w:rsidR="00C722DC">
        <w:rPr>
          <w:sz w:val="24"/>
          <w:szCs w:val="24"/>
        </w:rPr>
        <w:t xml:space="preserve">3 </w:t>
      </w:r>
      <w:r w:rsidRPr="005553E4">
        <w:rPr>
          <w:sz w:val="24"/>
          <w:szCs w:val="24"/>
        </w:rPr>
        <w:t>mg aspartam pr. tablet. Aspartam hydrolyseres i mave</w:t>
      </w:r>
      <w:r w:rsidRPr="005553E4">
        <w:rPr>
          <w:sz w:val="24"/>
          <w:szCs w:val="24"/>
        </w:rPr>
        <w:noBreakHyphen/>
        <w:t>tarm</w:t>
      </w:r>
      <w:r w:rsidRPr="005553E4">
        <w:rPr>
          <w:sz w:val="24"/>
          <w:szCs w:val="24"/>
        </w:rPr>
        <w:noBreakHyphen/>
        <w:t>kanalen, når det indtages oralt. Et af de primære nedbrydningsprodukter er phenylalanin. Det kan være skadeligt, hvis patienten har phenylketonuri (PKU).</w:t>
      </w:r>
    </w:p>
    <w:p w14:paraId="247718AA" w14:textId="77777777" w:rsidR="005553E4" w:rsidRPr="005553E4" w:rsidRDefault="005553E4" w:rsidP="005553E4">
      <w:pPr>
        <w:tabs>
          <w:tab w:val="left" w:pos="851"/>
        </w:tabs>
        <w:ind w:left="851"/>
        <w:rPr>
          <w:sz w:val="24"/>
          <w:szCs w:val="24"/>
          <w:u w:val="single"/>
        </w:rPr>
      </w:pPr>
    </w:p>
    <w:p w14:paraId="07F9EB9B" w14:textId="77777777" w:rsidR="005553E4" w:rsidRPr="005553E4" w:rsidRDefault="005553E4" w:rsidP="005553E4">
      <w:pPr>
        <w:tabs>
          <w:tab w:val="left" w:pos="851"/>
        </w:tabs>
        <w:ind w:left="851"/>
        <w:rPr>
          <w:sz w:val="24"/>
          <w:szCs w:val="24"/>
        </w:rPr>
      </w:pPr>
      <w:r w:rsidRPr="005553E4">
        <w:rPr>
          <w:sz w:val="24"/>
          <w:szCs w:val="24"/>
        </w:rPr>
        <w:t>Dette lægemiddel indeholder mindre end 1 mmol (23 mg) natrium pr. tablet, dvs. det er i det væsentlige natriumfrit.</w:t>
      </w:r>
    </w:p>
    <w:p w14:paraId="3473D38B" w14:textId="77777777" w:rsidR="009260DE" w:rsidRPr="00C84483" w:rsidRDefault="009260DE" w:rsidP="009260DE">
      <w:pPr>
        <w:tabs>
          <w:tab w:val="left" w:pos="851"/>
        </w:tabs>
        <w:ind w:left="851"/>
        <w:rPr>
          <w:sz w:val="24"/>
          <w:szCs w:val="24"/>
        </w:rPr>
      </w:pPr>
    </w:p>
    <w:p w14:paraId="5A873EA1" w14:textId="77777777" w:rsidR="009260DE" w:rsidRPr="00C84483" w:rsidRDefault="009260DE" w:rsidP="009260DE">
      <w:pPr>
        <w:tabs>
          <w:tab w:val="left" w:pos="851"/>
        </w:tabs>
        <w:ind w:left="851" w:hanging="851"/>
        <w:rPr>
          <w:b/>
          <w:sz w:val="24"/>
          <w:szCs w:val="24"/>
        </w:rPr>
      </w:pPr>
      <w:r w:rsidRPr="00C84483">
        <w:rPr>
          <w:b/>
          <w:sz w:val="24"/>
          <w:szCs w:val="24"/>
        </w:rPr>
        <w:t>4.5</w:t>
      </w:r>
      <w:r w:rsidRPr="00C84483">
        <w:rPr>
          <w:b/>
          <w:sz w:val="24"/>
          <w:szCs w:val="24"/>
        </w:rPr>
        <w:tab/>
        <w:t>Interaktion med andre lægemidler og andre former for interaktion</w:t>
      </w:r>
    </w:p>
    <w:p w14:paraId="05E43CC5" w14:textId="77777777" w:rsidR="005553E4" w:rsidRPr="005553E4" w:rsidRDefault="005553E4" w:rsidP="005553E4">
      <w:pPr>
        <w:tabs>
          <w:tab w:val="left" w:pos="851"/>
        </w:tabs>
        <w:ind w:left="851"/>
        <w:rPr>
          <w:sz w:val="24"/>
          <w:szCs w:val="24"/>
        </w:rPr>
      </w:pPr>
      <w:r w:rsidRPr="005553E4">
        <w:rPr>
          <w:sz w:val="24"/>
          <w:szCs w:val="24"/>
        </w:rPr>
        <w:t>I kliniske studier med desloratadin</w:t>
      </w:r>
      <w:r w:rsidRPr="005553E4">
        <w:rPr>
          <w:sz w:val="24"/>
          <w:szCs w:val="24"/>
        </w:rPr>
        <w:noBreakHyphen/>
        <w:t>tabletter, hvor erythromycin eller ketoconazol blev givet samtidigt, blev der ikke observeret klinisk relevante interaktioner (se pkt. 5.1).</w:t>
      </w:r>
    </w:p>
    <w:p w14:paraId="1FFC1142" w14:textId="77777777" w:rsidR="005553E4" w:rsidRPr="005553E4" w:rsidRDefault="005553E4" w:rsidP="005553E4">
      <w:pPr>
        <w:tabs>
          <w:tab w:val="left" w:pos="851"/>
        </w:tabs>
        <w:ind w:left="851"/>
        <w:rPr>
          <w:sz w:val="24"/>
          <w:szCs w:val="24"/>
        </w:rPr>
      </w:pPr>
    </w:p>
    <w:p w14:paraId="242ED397" w14:textId="77777777" w:rsidR="005553E4" w:rsidRPr="005553E4" w:rsidRDefault="005553E4" w:rsidP="005553E4">
      <w:pPr>
        <w:tabs>
          <w:tab w:val="left" w:pos="851"/>
        </w:tabs>
        <w:ind w:left="851"/>
        <w:rPr>
          <w:sz w:val="24"/>
          <w:szCs w:val="24"/>
          <w:u w:val="single"/>
        </w:rPr>
      </w:pPr>
      <w:r w:rsidRPr="005553E4">
        <w:rPr>
          <w:sz w:val="24"/>
          <w:szCs w:val="24"/>
          <w:u w:val="single"/>
        </w:rPr>
        <w:t>Pædiatrisk population</w:t>
      </w:r>
    </w:p>
    <w:p w14:paraId="33780DB1" w14:textId="77777777" w:rsidR="005553E4" w:rsidRPr="005553E4" w:rsidRDefault="005553E4" w:rsidP="005553E4">
      <w:pPr>
        <w:tabs>
          <w:tab w:val="left" w:pos="851"/>
        </w:tabs>
        <w:ind w:left="851"/>
        <w:rPr>
          <w:sz w:val="24"/>
          <w:szCs w:val="24"/>
        </w:rPr>
      </w:pPr>
      <w:r w:rsidRPr="005553E4">
        <w:rPr>
          <w:sz w:val="24"/>
          <w:szCs w:val="24"/>
        </w:rPr>
        <w:t>Interaktionsstudier er kun udført hos voksne.</w:t>
      </w:r>
    </w:p>
    <w:p w14:paraId="1FB1FDDE" w14:textId="77777777" w:rsidR="005553E4" w:rsidRPr="005553E4" w:rsidRDefault="005553E4" w:rsidP="005553E4">
      <w:pPr>
        <w:tabs>
          <w:tab w:val="left" w:pos="851"/>
        </w:tabs>
        <w:ind w:left="851"/>
        <w:rPr>
          <w:sz w:val="24"/>
          <w:szCs w:val="24"/>
        </w:rPr>
      </w:pPr>
    </w:p>
    <w:p w14:paraId="0A64FAD4" w14:textId="77777777" w:rsidR="005553E4" w:rsidRPr="005553E4" w:rsidRDefault="005553E4" w:rsidP="005553E4">
      <w:pPr>
        <w:tabs>
          <w:tab w:val="left" w:pos="851"/>
        </w:tabs>
        <w:ind w:left="851"/>
        <w:rPr>
          <w:sz w:val="24"/>
          <w:szCs w:val="24"/>
        </w:rPr>
      </w:pPr>
      <w:r w:rsidRPr="005553E4">
        <w:rPr>
          <w:sz w:val="24"/>
          <w:szCs w:val="24"/>
        </w:rPr>
        <w:t>I et klinisk farmakologisk studie forstærkede desloratadin</w:t>
      </w:r>
      <w:r w:rsidRPr="005553E4">
        <w:rPr>
          <w:sz w:val="24"/>
          <w:szCs w:val="24"/>
        </w:rPr>
        <w:noBreakHyphen/>
        <w:t>tabletter indtaget sammen med alkohol ikke alkohols præstationshæmmende virkninger (se pkt. 5.1). Der er dog rapporteret tilfælde af alkoholintolerans og alkoholforgiftning i forbindelse med brug efter markedsføring. Det anbefales derfor at udvise forsigtighed ved samtidig indtagelse af alkohol.</w:t>
      </w:r>
    </w:p>
    <w:p w14:paraId="27E9B687" w14:textId="77777777" w:rsidR="009260DE" w:rsidRPr="00C84483" w:rsidRDefault="009260DE" w:rsidP="009260DE">
      <w:pPr>
        <w:tabs>
          <w:tab w:val="left" w:pos="851"/>
        </w:tabs>
        <w:ind w:left="851"/>
        <w:rPr>
          <w:sz w:val="24"/>
          <w:szCs w:val="24"/>
        </w:rPr>
      </w:pPr>
    </w:p>
    <w:p w14:paraId="4C0C28D7" w14:textId="77777777" w:rsidR="009260DE" w:rsidRPr="00C84483" w:rsidRDefault="009260DE" w:rsidP="009260DE">
      <w:pPr>
        <w:tabs>
          <w:tab w:val="left" w:pos="851"/>
        </w:tabs>
        <w:ind w:left="851" w:hanging="851"/>
        <w:rPr>
          <w:b/>
          <w:sz w:val="24"/>
          <w:szCs w:val="24"/>
        </w:rPr>
      </w:pPr>
      <w:r w:rsidRPr="00C84483">
        <w:rPr>
          <w:b/>
          <w:sz w:val="24"/>
          <w:szCs w:val="24"/>
        </w:rPr>
        <w:t>4.6</w:t>
      </w:r>
      <w:r w:rsidRPr="00C84483">
        <w:rPr>
          <w:b/>
          <w:sz w:val="24"/>
          <w:szCs w:val="24"/>
        </w:rPr>
        <w:tab/>
      </w:r>
      <w:r w:rsidR="0071241E">
        <w:rPr>
          <w:b/>
          <w:sz w:val="24"/>
          <w:szCs w:val="24"/>
        </w:rPr>
        <w:t>Fertilitet, g</w:t>
      </w:r>
      <w:r w:rsidRPr="00C84483">
        <w:rPr>
          <w:b/>
          <w:sz w:val="24"/>
          <w:szCs w:val="24"/>
        </w:rPr>
        <w:t>raviditet og amning</w:t>
      </w:r>
    </w:p>
    <w:p w14:paraId="0AEEBBBC" w14:textId="77777777" w:rsidR="005553E4" w:rsidRPr="005553E4" w:rsidRDefault="005553E4" w:rsidP="005553E4">
      <w:pPr>
        <w:tabs>
          <w:tab w:val="left" w:pos="851"/>
        </w:tabs>
        <w:ind w:left="851"/>
        <w:rPr>
          <w:i/>
          <w:sz w:val="24"/>
          <w:szCs w:val="24"/>
        </w:rPr>
      </w:pPr>
    </w:p>
    <w:p w14:paraId="03A4D8BE" w14:textId="77777777" w:rsidR="005553E4" w:rsidRPr="005553E4" w:rsidRDefault="005553E4" w:rsidP="005553E4">
      <w:pPr>
        <w:tabs>
          <w:tab w:val="left" w:pos="851"/>
        </w:tabs>
        <w:ind w:left="851"/>
        <w:rPr>
          <w:sz w:val="24"/>
          <w:szCs w:val="24"/>
          <w:u w:val="single"/>
        </w:rPr>
      </w:pPr>
      <w:r w:rsidRPr="005553E4">
        <w:rPr>
          <w:sz w:val="24"/>
          <w:szCs w:val="24"/>
          <w:u w:val="single"/>
        </w:rPr>
        <w:t>Graviditet</w:t>
      </w:r>
    </w:p>
    <w:p w14:paraId="661BA266" w14:textId="77777777" w:rsidR="005553E4" w:rsidRPr="005553E4" w:rsidRDefault="005553E4" w:rsidP="005553E4">
      <w:pPr>
        <w:tabs>
          <w:tab w:val="left" w:pos="851"/>
        </w:tabs>
        <w:ind w:left="851"/>
        <w:rPr>
          <w:sz w:val="24"/>
          <w:szCs w:val="24"/>
        </w:rPr>
      </w:pPr>
      <w:r w:rsidRPr="005553E4">
        <w:rPr>
          <w:sz w:val="24"/>
          <w:szCs w:val="24"/>
        </w:rPr>
        <w:t>Data fra anvendelse af desloratadin hos et stort antal gravide kvinder (mere end 1.000 graviditeter) indikerer ingen misdannelser eller føtal/neonatal toksicitet af desloratadin. Dyreforsøg indikerer hverken direkte eller indirekte skadelige virkninger hvad angår reproduktionstoksicitet (se pkt. 5.3). For en sikkerheds skyld bør desloratadin undgås under graviditeten.</w:t>
      </w:r>
    </w:p>
    <w:p w14:paraId="4D3217CB" w14:textId="77777777" w:rsidR="005553E4" w:rsidRPr="005553E4" w:rsidRDefault="005553E4" w:rsidP="005553E4">
      <w:pPr>
        <w:tabs>
          <w:tab w:val="left" w:pos="851"/>
        </w:tabs>
        <w:ind w:left="851"/>
        <w:rPr>
          <w:sz w:val="24"/>
          <w:szCs w:val="24"/>
        </w:rPr>
      </w:pPr>
    </w:p>
    <w:p w14:paraId="15C7A070" w14:textId="77777777" w:rsidR="005553E4" w:rsidRPr="005553E4" w:rsidRDefault="005553E4" w:rsidP="005553E4">
      <w:pPr>
        <w:tabs>
          <w:tab w:val="left" w:pos="851"/>
        </w:tabs>
        <w:ind w:left="851"/>
        <w:rPr>
          <w:sz w:val="24"/>
          <w:szCs w:val="24"/>
          <w:u w:val="single"/>
        </w:rPr>
      </w:pPr>
      <w:r w:rsidRPr="005553E4">
        <w:rPr>
          <w:sz w:val="24"/>
          <w:szCs w:val="24"/>
          <w:u w:val="single"/>
        </w:rPr>
        <w:t>Amning</w:t>
      </w:r>
    </w:p>
    <w:p w14:paraId="2662AC6D" w14:textId="77777777" w:rsidR="005553E4" w:rsidRPr="005553E4" w:rsidRDefault="005553E4" w:rsidP="005553E4">
      <w:pPr>
        <w:tabs>
          <w:tab w:val="left" w:pos="851"/>
        </w:tabs>
        <w:ind w:left="851"/>
        <w:rPr>
          <w:sz w:val="24"/>
          <w:szCs w:val="24"/>
        </w:rPr>
      </w:pPr>
      <w:r w:rsidRPr="005553E4">
        <w:rPr>
          <w:sz w:val="24"/>
          <w:szCs w:val="24"/>
        </w:rPr>
        <w:t>Desloratadin er påvist hos nyfødte/spædbørn, ammet af kvinder, som var i behandling med desloratadin. Virkningen af desloratadin på det ammede barn er ukendt. Det skal besluttes, om amning skal ophøre eller behandling med desloratadin seponeres, idet der tages højde for fordelene ved amning i forhold til de terapeutiske fordele for moderen.</w:t>
      </w:r>
    </w:p>
    <w:p w14:paraId="327D8CDE" w14:textId="77777777" w:rsidR="005553E4" w:rsidRPr="005553E4" w:rsidRDefault="005553E4" w:rsidP="005553E4">
      <w:pPr>
        <w:tabs>
          <w:tab w:val="left" w:pos="851"/>
        </w:tabs>
        <w:ind w:left="851"/>
        <w:rPr>
          <w:sz w:val="24"/>
          <w:szCs w:val="24"/>
        </w:rPr>
      </w:pPr>
    </w:p>
    <w:p w14:paraId="1591EE21" w14:textId="77777777" w:rsidR="005553E4" w:rsidRPr="005553E4" w:rsidRDefault="005553E4" w:rsidP="005553E4">
      <w:pPr>
        <w:tabs>
          <w:tab w:val="left" w:pos="851"/>
        </w:tabs>
        <w:ind w:left="851"/>
        <w:rPr>
          <w:sz w:val="24"/>
          <w:szCs w:val="24"/>
          <w:u w:val="single"/>
        </w:rPr>
      </w:pPr>
      <w:r w:rsidRPr="005553E4">
        <w:rPr>
          <w:sz w:val="24"/>
          <w:szCs w:val="24"/>
          <w:u w:val="single"/>
        </w:rPr>
        <w:t>Fertilitet</w:t>
      </w:r>
    </w:p>
    <w:p w14:paraId="1A69146C" w14:textId="77777777" w:rsidR="005553E4" w:rsidRPr="005553E4" w:rsidRDefault="005553E4" w:rsidP="005553E4">
      <w:pPr>
        <w:tabs>
          <w:tab w:val="left" w:pos="851"/>
        </w:tabs>
        <w:ind w:left="851"/>
        <w:rPr>
          <w:sz w:val="24"/>
          <w:szCs w:val="24"/>
        </w:rPr>
      </w:pPr>
      <w:r w:rsidRPr="005553E4">
        <w:rPr>
          <w:sz w:val="24"/>
          <w:szCs w:val="24"/>
        </w:rPr>
        <w:t>Der foreligger ingen data vedrørende fertiliteten hos hanner og hunner.</w:t>
      </w:r>
    </w:p>
    <w:p w14:paraId="4C41420F" w14:textId="77777777" w:rsidR="005553E4" w:rsidRPr="005553E4" w:rsidRDefault="005553E4" w:rsidP="005553E4">
      <w:pPr>
        <w:tabs>
          <w:tab w:val="left" w:pos="851"/>
        </w:tabs>
        <w:ind w:left="851"/>
        <w:rPr>
          <w:sz w:val="24"/>
          <w:szCs w:val="24"/>
        </w:rPr>
      </w:pPr>
    </w:p>
    <w:p w14:paraId="287ECED8" w14:textId="77777777" w:rsidR="009260DE" w:rsidRPr="00C84483" w:rsidRDefault="009260DE" w:rsidP="009260DE">
      <w:pPr>
        <w:tabs>
          <w:tab w:val="left" w:pos="851"/>
        </w:tabs>
        <w:ind w:left="851" w:hanging="851"/>
        <w:rPr>
          <w:b/>
          <w:sz w:val="24"/>
          <w:szCs w:val="24"/>
        </w:rPr>
      </w:pPr>
      <w:r w:rsidRPr="00C84483">
        <w:rPr>
          <w:b/>
          <w:sz w:val="24"/>
          <w:szCs w:val="24"/>
        </w:rPr>
        <w:t>4.7</w:t>
      </w:r>
      <w:r w:rsidRPr="00C84483">
        <w:rPr>
          <w:b/>
          <w:sz w:val="24"/>
          <w:szCs w:val="24"/>
        </w:rPr>
        <w:tab/>
        <w:t xml:space="preserve">Virkning på evnen til at føre motorkøretøj </w:t>
      </w:r>
      <w:r w:rsidR="0071241E">
        <w:rPr>
          <w:b/>
          <w:sz w:val="24"/>
          <w:szCs w:val="24"/>
        </w:rPr>
        <w:t>og</w:t>
      </w:r>
      <w:r w:rsidRPr="00C84483">
        <w:rPr>
          <w:b/>
          <w:sz w:val="24"/>
          <w:szCs w:val="24"/>
        </w:rPr>
        <w:t xml:space="preserve"> betjene maskiner</w:t>
      </w:r>
    </w:p>
    <w:p w14:paraId="3CCD2A60" w14:textId="77777777" w:rsidR="005553E4" w:rsidRPr="005553E4" w:rsidRDefault="005553E4" w:rsidP="005553E4">
      <w:pPr>
        <w:tabs>
          <w:tab w:val="left" w:pos="851"/>
        </w:tabs>
        <w:ind w:left="851"/>
        <w:rPr>
          <w:sz w:val="24"/>
          <w:szCs w:val="24"/>
        </w:rPr>
      </w:pPr>
      <w:r w:rsidRPr="005553E4">
        <w:rPr>
          <w:sz w:val="24"/>
          <w:szCs w:val="24"/>
        </w:rPr>
        <w:t>Ikke mærkning.</w:t>
      </w:r>
    </w:p>
    <w:p w14:paraId="25DF7905" w14:textId="52AD900C" w:rsidR="005553E4" w:rsidRPr="005553E4" w:rsidRDefault="005553E4" w:rsidP="005553E4">
      <w:pPr>
        <w:tabs>
          <w:tab w:val="left" w:pos="851"/>
        </w:tabs>
        <w:ind w:left="851"/>
        <w:rPr>
          <w:sz w:val="24"/>
          <w:szCs w:val="24"/>
        </w:rPr>
      </w:pPr>
      <w:r w:rsidRPr="005553E4">
        <w:rPr>
          <w:sz w:val="24"/>
          <w:szCs w:val="24"/>
        </w:rPr>
        <w:t xml:space="preserve">Vurderet på baggrund af kliniske studier påvirker </w:t>
      </w:r>
      <w:r w:rsidR="00C722DC">
        <w:rPr>
          <w:sz w:val="24"/>
          <w:szCs w:val="24"/>
        </w:rPr>
        <w:t>Desloratadin "Orion"</w:t>
      </w:r>
      <w:r w:rsidRPr="005553E4">
        <w:rPr>
          <w:sz w:val="24"/>
          <w:szCs w:val="24"/>
        </w:rPr>
        <w:t xml:space="preserve"> ikke eller kun i ubetydelig grad evnen til at føre motorkøretøj og betjene maskiner. Patienterne skal informeres om, at de fleste mennesker ikke oplever døsighed. Da der kan være individuel respons på alle lægemidler, bør patienterne dog frarådes at beskæftige sig med aktiviteter, der kræver mental årvågenhed, for eksempel at køre bil og betjene maskiner, indtil den enkeltes respons på lægemidlet er klarlagt.</w:t>
      </w:r>
    </w:p>
    <w:p w14:paraId="3A08896E" w14:textId="77777777" w:rsidR="009260DE" w:rsidRPr="00C84483" w:rsidRDefault="009260DE" w:rsidP="009260DE">
      <w:pPr>
        <w:tabs>
          <w:tab w:val="left" w:pos="851"/>
        </w:tabs>
        <w:ind w:left="851"/>
        <w:rPr>
          <w:sz w:val="24"/>
          <w:szCs w:val="24"/>
        </w:rPr>
      </w:pPr>
    </w:p>
    <w:p w14:paraId="1CE90B9F" w14:textId="77777777" w:rsidR="009260DE" w:rsidRPr="00C84483" w:rsidRDefault="009260DE" w:rsidP="009260DE">
      <w:pPr>
        <w:tabs>
          <w:tab w:val="left" w:pos="851"/>
        </w:tabs>
        <w:ind w:left="851" w:hanging="851"/>
        <w:rPr>
          <w:b/>
          <w:sz w:val="24"/>
          <w:szCs w:val="24"/>
        </w:rPr>
      </w:pPr>
      <w:r w:rsidRPr="00C84483">
        <w:rPr>
          <w:b/>
          <w:sz w:val="24"/>
          <w:szCs w:val="24"/>
        </w:rPr>
        <w:t>4.8</w:t>
      </w:r>
      <w:r w:rsidRPr="00C84483">
        <w:rPr>
          <w:b/>
          <w:sz w:val="24"/>
          <w:szCs w:val="24"/>
        </w:rPr>
        <w:tab/>
        <w:t>Bivirkninger</w:t>
      </w:r>
    </w:p>
    <w:p w14:paraId="7DC4AF9F" w14:textId="77777777" w:rsidR="005553E4" w:rsidRPr="005553E4" w:rsidRDefault="005553E4" w:rsidP="005553E4">
      <w:pPr>
        <w:ind w:left="851"/>
        <w:rPr>
          <w:sz w:val="24"/>
          <w:szCs w:val="24"/>
        </w:rPr>
      </w:pPr>
    </w:p>
    <w:p w14:paraId="7D92678F" w14:textId="77777777" w:rsidR="005553E4" w:rsidRPr="005553E4" w:rsidRDefault="005553E4" w:rsidP="005553E4">
      <w:pPr>
        <w:autoSpaceDE w:val="0"/>
        <w:autoSpaceDN w:val="0"/>
        <w:adjustRightInd w:val="0"/>
        <w:ind w:left="851"/>
        <w:rPr>
          <w:sz w:val="24"/>
          <w:szCs w:val="24"/>
          <w:u w:val="single"/>
        </w:rPr>
      </w:pPr>
      <w:r w:rsidRPr="005553E4">
        <w:rPr>
          <w:sz w:val="24"/>
          <w:szCs w:val="24"/>
          <w:u w:val="single"/>
        </w:rPr>
        <w:t>Opsummering af sikkerhedsprofilen</w:t>
      </w:r>
    </w:p>
    <w:p w14:paraId="24BB01E2" w14:textId="77777777" w:rsidR="005553E4" w:rsidRPr="005553E4" w:rsidRDefault="005553E4" w:rsidP="005553E4">
      <w:pPr>
        <w:autoSpaceDE w:val="0"/>
        <w:autoSpaceDN w:val="0"/>
        <w:adjustRightInd w:val="0"/>
        <w:ind w:left="851"/>
        <w:rPr>
          <w:sz w:val="24"/>
          <w:szCs w:val="24"/>
        </w:rPr>
      </w:pPr>
      <w:r w:rsidRPr="005553E4">
        <w:rPr>
          <w:sz w:val="24"/>
          <w:szCs w:val="24"/>
        </w:rPr>
        <w:t>I kliniske studier ved en række indikationer omfattende allergisk rhinitis og kronisk idiopatisk urticaria, ved den anbefalede dosis på 5 mg daglig, blev bivirkninger med desloratadin tabletter rapporteret hos 3 % flere patienter end hos dem, der behandledes med placebo. De hyppigste bivirkninger, rapporteret oftere end ved placebo var træthed (1,2 %), mundtørhed (0,8 %) og hovedpine (0,6 %).</w:t>
      </w:r>
    </w:p>
    <w:p w14:paraId="35441444" w14:textId="586B5170" w:rsidR="00C722DC" w:rsidRDefault="00C722DC">
      <w:pPr>
        <w:rPr>
          <w:sz w:val="24"/>
          <w:szCs w:val="24"/>
        </w:rPr>
      </w:pPr>
      <w:r>
        <w:rPr>
          <w:sz w:val="24"/>
          <w:szCs w:val="24"/>
        </w:rPr>
        <w:br w:type="page"/>
      </w:r>
    </w:p>
    <w:p w14:paraId="282011A0" w14:textId="77777777" w:rsidR="005553E4" w:rsidRPr="005553E4" w:rsidRDefault="005553E4" w:rsidP="005553E4">
      <w:pPr>
        <w:autoSpaceDE w:val="0"/>
        <w:autoSpaceDN w:val="0"/>
        <w:adjustRightInd w:val="0"/>
        <w:ind w:left="851"/>
        <w:rPr>
          <w:sz w:val="24"/>
          <w:szCs w:val="24"/>
        </w:rPr>
      </w:pPr>
    </w:p>
    <w:p w14:paraId="0FCA5464" w14:textId="77777777" w:rsidR="005553E4" w:rsidRPr="005553E4" w:rsidRDefault="005553E4" w:rsidP="005553E4">
      <w:pPr>
        <w:autoSpaceDE w:val="0"/>
        <w:autoSpaceDN w:val="0"/>
        <w:adjustRightInd w:val="0"/>
        <w:ind w:left="851"/>
        <w:rPr>
          <w:i/>
          <w:iCs/>
          <w:sz w:val="24"/>
          <w:szCs w:val="24"/>
        </w:rPr>
      </w:pPr>
      <w:r w:rsidRPr="005553E4">
        <w:rPr>
          <w:i/>
          <w:iCs/>
          <w:sz w:val="24"/>
          <w:szCs w:val="24"/>
        </w:rPr>
        <w:t>Pædiatrisk population</w:t>
      </w:r>
    </w:p>
    <w:p w14:paraId="60143214" w14:textId="77777777" w:rsidR="005553E4" w:rsidRPr="005553E4" w:rsidRDefault="005553E4" w:rsidP="005553E4">
      <w:pPr>
        <w:autoSpaceDE w:val="0"/>
        <w:autoSpaceDN w:val="0"/>
        <w:adjustRightInd w:val="0"/>
        <w:ind w:left="851"/>
        <w:rPr>
          <w:sz w:val="24"/>
          <w:szCs w:val="24"/>
        </w:rPr>
      </w:pPr>
      <w:r w:rsidRPr="005553E4">
        <w:rPr>
          <w:sz w:val="24"/>
          <w:szCs w:val="24"/>
        </w:rPr>
        <w:t>I et klinisk studie med 578 unge patienter i alderen fra 12 til og med 17 år var hovedpine den hyppigste bivirkning. Den forekom hos 5,9 % af de patienter, som blev behandlet med desloratadin, og hos 6,9 % af de patienter, som fik placebo.</w:t>
      </w:r>
    </w:p>
    <w:p w14:paraId="01D21A7D" w14:textId="77777777" w:rsidR="005553E4" w:rsidRPr="005553E4" w:rsidRDefault="005553E4" w:rsidP="005553E4">
      <w:pPr>
        <w:autoSpaceDE w:val="0"/>
        <w:autoSpaceDN w:val="0"/>
        <w:adjustRightInd w:val="0"/>
        <w:ind w:left="851"/>
        <w:rPr>
          <w:sz w:val="24"/>
          <w:szCs w:val="24"/>
        </w:rPr>
      </w:pPr>
    </w:p>
    <w:p w14:paraId="744ECC21" w14:textId="77777777" w:rsidR="005553E4" w:rsidRPr="005553E4" w:rsidRDefault="005553E4" w:rsidP="005553E4">
      <w:pPr>
        <w:autoSpaceDE w:val="0"/>
        <w:autoSpaceDN w:val="0"/>
        <w:adjustRightInd w:val="0"/>
        <w:ind w:left="851"/>
        <w:rPr>
          <w:sz w:val="24"/>
          <w:szCs w:val="24"/>
          <w:u w:val="single"/>
        </w:rPr>
      </w:pPr>
      <w:r w:rsidRPr="005553E4">
        <w:rPr>
          <w:sz w:val="24"/>
          <w:szCs w:val="24"/>
          <w:u w:val="single"/>
        </w:rPr>
        <w:t>Bivirkningstabel</w:t>
      </w:r>
    </w:p>
    <w:p w14:paraId="0DF9F9F7" w14:textId="62FF6B04" w:rsidR="005553E4" w:rsidRPr="005553E4" w:rsidRDefault="005553E4" w:rsidP="005553E4">
      <w:pPr>
        <w:autoSpaceDE w:val="0"/>
        <w:autoSpaceDN w:val="0"/>
        <w:adjustRightInd w:val="0"/>
        <w:ind w:left="851"/>
        <w:rPr>
          <w:sz w:val="24"/>
          <w:szCs w:val="24"/>
        </w:rPr>
      </w:pPr>
      <w:r w:rsidRPr="005553E4">
        <w:rPr>
          <w:sz w:val="24"/>
          <w:szCs w:val="24"/>
        </w:rPr>
        <w:t xml:space="preserve">Frekvenserne for bivirkninger, der er rapporteret ud over placebo i kliniske studier, og andre bivirkninger, der er rapporteret efter markedsføring, fremgår af nedenstående tabel. Frekvenserne er defineret således: </w:t>
      </w:r>
      <w:r>
        <w:rPr>
          <w:sz w:val="24"/>
          <w:szCs w:val="24"/>
        </w:rPr>
        <w:t>M</w:t>
      </w:r>
      <w:r w:rsidRPr="005553E4">
        <w:rPr>
          <w:sz w:val="24"/>
          <w:szCs w:val="24"/>
        </w:rPr>
        <w:t xml:space="preserve">eget almindelig </w:t>
      </w:r>
      <w:r w:rsidRPr="005553E4">
        <w:rPr>
          <w:rFonts w:ascii="TimesNewRomanPSMT" w:hAnsi="TimesNewRomanPSMT" w:cs="TimesNewRomanPSMT"/>
          <w:sz w:val="24"/>
          <w:szCs w:val="24"/>
        </w:rPr>
        <w:t>(≥ </w:t>
      </w:r>
      <w:r w:rsidRPr="005553E4">
        <w:rPr>
          <w:sz w:val="24"/>
          <w:szCs w:val="24"/>
        </w:rPr>
        <w:t xml:space="preserve">1/10), almindelig </w:t>
      </w:r>
      <w:r w:rsidRPr="005553E4">
        <w:rPr>
          <w:rFonts w:ascii="TimesNewRomanPSMT" w:hAnsi="TimesNewRomanPSMT" w:cs="TimesNewRomanPSMT"/>
          <w:sz w:val="24"/>
          <w:szCs w:val="24"/>
        </w:rPr>
        <w:t>(≥ </w:t>
      </w:r>
      <w:r w:rsidRPr="005553E4">
        <w:rPr>
          <w:sz w:val="24"/>
          <w:szCs w:val="24"/>
        </w:rPr>
        <w:t xml:space="preserve">1/100 til &lt; 1/10), ikke almindelig </w:t>
      </w:r>
      <w:r w:rsidRPr="005553E4">
        <w:rPr>
          <w:rFonts w:ascii="TimesNewRomanPSMT" w:hAnsi="TimesNewRomanPSMT" w:cs="TimesNewRomanPSMT"/>
          <w:sz w:val="24"/>
          <w:szCs w:val="24"/>
        </w:rPr>
        <w:t>(≥ </w:t>
      </w:r>
      <w:r w:rsidRPr="005553E4">
        <w:rPr>
          <w:sz w:val="24"/>
          <w:szCs w:val="24"/>
        </w:rPr>
        <w:t>1/1.000 til &lt; </w:t>
      </w:r>
      <w:r w:rsidRPr="005553E4">
        <w:rPr>
          <w:rFonts w:ascii="TimesNewRomanPSMT" w:hAnsi="TimesNewRomanPSMT" w:cs="TimesNewRomanPSMT"/>
          <w:sz w:val="24"/>
          <w:szCs w:val="24"/>
        </w:rPr>
        <w:t>1/100), sjælden (≥ </w:t>
      </w:r>
      <w:r w:rsidRPr="005553E4">
        <w:rPr>
          <w:sz w:val="24"/>
          <w:szCs w:val="24"/>
        </w:rPr>
        <w:t>1/10.000 til &lt; 1/1.000), meget sjælden (&lt; 1/10.000) og ikke kendt (kan ikke estimeres ud fra forhåndenværende data).</w:t>
      </w:r>
    </w:p>
    <w:p w14:paraId="49F73965" w14:textId="77777777" w:rsidR="005553E4" w:rsidRDefault="005553E4" w:rsidP="005553E4">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3032"/>
        <w:gridCol w:w="3138"/>
      </w:tblGrid>
      <w:tr w:rsidR="005553E4" w14:paraId="1D9CC9EA" w14:textId="77777777" w:rsidTr="005553E4">
        <w:trPr>
          <w:tblHeader/>
        </w:trPr>
        <w:tc>
          <w:tcPr>
            <w:tcW w:w="3117" w:type="dxa"/>
            <w:tcBorders>
              <w:top w:val="single" w:sz="4" w:space="0" w:color="auto"/>
              <w:left w:val="single" w:sz="4" w:space="0" w:color="auto"/>
              <w:bottom w:val="single" w:sz="4" w:space="0" w:color="auto"/>
              <w:right w:val="single" w:sz="4" w:space="0" w:color="auto"/>
            </w:tcBorders>
            <w:hideMark/>
          </w:tcPr>
          <w:p w14:paraId="2C61A82A" w14:textId="77777777" w:rsidR="005553E4" w:rsidRDefault="005553E4">
            <w:pPr>
              <w:autoSpaceDE w:val="0"/>
              <w:autoSpaceDN w:val="0"/>
              <w:adjustRightInd w:val="0"/>
              <w:rPr>
                <w:szCs w:val="22"/>
                <w:lang w:val="en-GB"/>
              </w:rPr>
            </w:pPr>
            <w:r>
              <w:rPr>
                <w:b/>
                <w:bCs/>
                <w:szCs w:val="22"/>
                <w:lang w:val="en-GB"/>
              </w:rPr>
              <w:t>Systemorganklasse</w:t>
            </w:r>
          </w:p>
        </w:tc>
        <w:tc>
          <w:tcPr>
            <w:tcW w:w="3032" w:type="dxa"/>
            <w:tcBorders>
              <w:top w:val="single" w:sz="4" w:space="0" w:color="auto"/>
              <w:left w:val="single" w:sz="4" w:space="0" w:color="auto"/>
              <w:bottom w:val="single" w:sz="4" w:space="0" w:color="auto"/>
              <w:right w:val="single" w:sz="4" w:space="0" w:color="auto"/>
            </w:tcBorders>
            <w:hideMark/>
          </w:tcPr>
          <w:p w14:paraId="397D303F" w14:textId="77777777" w:rsidR="005553E4" w:rsidRDefault="005553E4">
            <w:pPr>
              <w:autoSpaceDE w:val="0"/>
              <w:autoSpaceDN w:val="0"/>
              <w:adjustRightInd w:val="0"/>
              <w:jc w:val="center"/>
              <w:rPr>
                <w:szCs w:val="22"/>
                <w:lang w:val="en-GB"/>
              </w:rPr>
            </w:pPr>
            <w:r>
              <w:rPr>
                <w:b/>
                <w:bCs/>
                <w:szCs w:val="22"/>
                <w:lang w:val="en-GB"/>
              </w:rPr>
              <w:t>Frekvens</w:t>
            </w:r>
          </w:p>
        </w:tc>
        <w:tc>
          <w:tcPr>
            <w:tcW w:w="3138" w:type="dxa"/>
            <w:tcBorders>
              <w:top w:val="single" w:sz="4" w:space="0" w:color="auto"/>
              <w:left w:val="single" w:sz="4" w:space="0" w:color="auto"/>
              <w:bottom w:val="single" w:sz="4" w:space="0" w:color="auto"/>
              <w:right w:val="single" w:sz="4" w:space="0" w:color="auto"/>
            </w:tcBorders>
            <w:hideMark/>
          </w:tcPr>
          <w:p w14:paraId="12B0A453" w14:textId="77777777" w:rsidR="005553E4" w:rsidRDefault="005553E4">
            <w:pPr>
              <w:autoSpaceDE w:val="0"/>
              <w:autoSpaceDN w:val="0"/>
              <w:adjustRightInd w:val="0"/>
              <w:rPr>
                <w:b/>
                <w:szCs w:val="22"/>
                <w:lang w:val="en-GB"/>
              </w:rPr>
            </w:pPr>
            <w:r>
              <w:rPr>
                <w:b/>
                <w:szCs w:val="22"/>
                <w:lang w:val="en-GB"/>
              </w:rPr>
              <w:t>Bivirkninger</w:t>
            </w:r>
          </w:p>
        </w:tc>
      </w:tr>
      <w:tr w:rsidR="005553E4" w14:paraId="0915462E" w14:textId="77777777" w:rsidTr="005553E4">
        <w:tc>
          <w:tcPr>
            <w:tcW w:w="3117" w:type="dxa"/>
            <w:tcBorders>
              <w:top w:val="single" w:sz="4" w:space="0" w:color="auto"/>
              <w:left w:val="single" w:sz="4" w:space="0" w:color="auto"/>
              <w:bottom w:val="single" w:sz="4" w:space="0" w:color="auto"/>
              <w:right w:val="single" w:sz="4" w:space="0" w:color="auto"/>
            </w:tcBorders>
            <w:hideMark/>
          </w:tcPr>
          <w:p w14:paraId="22FACD9B" w14:textId="77777777" w:rsidR="005553E4" w:rsidRDefault="005553E4">
            <w:pPr>
              <w:autoSpaceDE w:val="0"/>
              <w:autoSpaceDN w:val="0"/>
              <w:adjustRightInd w:val="0"/>
              <w:rPr>
                <w:b/>
                <w:bCs/>
                <w:szCs w:val="22"/>
                <w:lang w:val="en-GB" w:eastAsia="fi-FI"/>
              </w:rPr>
            </w:pPr>
            <w:r>
              <w:rPr>
                <w:b/>
                <w:bCs/>
                <w:szCs w:val="22"/>
                <w:lang w:val="en-GB" w:eastAsia="fi-FI"/>
              </w:rPr>
              <w:t>Metabolisme og ernæring</w:t>
            </w:r>
          </w:p>
        </w:tc>
        <w:tc>
          <w:tcPr>
            <w:tcW w:w="3032" w:type="dxa"/>
            <w:tcBorders>
              <w:top w:val="single" w:sz="4" w:space="0" w:color="auto"/>
              <w:left w:val="single" w:sz="4" w:space="0" w:color="auto"/>
              <w:bottom w:val="single" w:sz="4" w:space="0" w:color="auto"/>
              <w:right w:val="single" w:sz="4" w:space="0" w:color="auto"/>
            </w:tcBorders>
            <w:hideMark/>
          </w:tcPr>
          <w:p w14:paraId="0AAE849C" w14:textId="77777777" w:rsidR="005553E4" w:rsidRDefault="005553E4">
            <w:pPr>
              <w:jc w:val="center"/>
              <w:rPr>
                <w:szCs w:val="22"/>
                <w:lang w:val="en-GB"/>
              </w:rPr>
            </w:pPr>
            <w:r>
              <w:rPr>
                <w:szCs w:val="22"/>
                <w:lang w:val="en-GB"/>
              </w:rPr>
              <w:t>Ikke kendt</w:t>
            </w:r>
          </w:p>
        </w:tc>
        <w:tc>
          <w:tcPr>
            <w:tcW w:w="3138" w:type="dxa"/>
            <w:tcBorders>
              <w:top w:val="single" w:sz="4" w:space="0" w:color="auto"/>
              <w:left w:val="single" w:sz="4" w:space="0" w:color="auto"/>
              <w:bottom w:val="single" w:sz="4" w:space="0" w:color="auto"/>
              <w:right w:val="single" w:sz="4" w:space="0" w:color="auto"/>
            </w:tcBorders>
            <w:hideMark/>
          </w:tcPr>
          <w:p w14:paraId="64220B38" w14:textId="77777777" w:rsidR="005553E4" w:rsidRDefault="005553E4">
            <w:pPr>
              <w:autoSpaceDE w:val="0"/>
              <w:autoSpaceDN w:val="0"/>
              <w:adjustRightInd w:val="0"/>
              <w:rPr>
                <w:szCs w:val="22"/>
                <w:lang w:val="en-GB"/>
              </w:rPr>
            </w:pPr>
            <w:r>
              <w:rPr>
                <w:szCs w:val="22"/>
                <w:lang w:val="en-GB"/>
              </w:rPr>
              <w:t>Øget appetit</w:t>
            </w:r>
          </w:p>
        </w:tc>
      </w:tr>
      <w:tr w:rsidR="005553E4" w14:paraId="570E1F59" w14:textId="77777777" w:rsidTr="005553E4">
        <w:tc>
          <w:tcPr>
            <w:tcW w:w="3117" w:type="dxa"/>
            <w:vMerge w:val="restart"/>
            <w:tcBorders>
              <w:top w:val="single" w:sz="4" w:space="0" w:color="auto"/>
              <w:left w:val="single" w:sz="4" w:space="0" w:color="auto"/>
              <w:bottom w:val="single" w:sz="4" w:space="0" w:color="auto"/>
              <w:right w:val="single" w:sz="4" w:space="0" w:color="auto"/>
            </w:tcBorders>
            <w:hideMark/>
          </w:tcPr>
          <w:p w14:paraId="1031F63B" w14:textId="77777777" w:rsidR="005553E4" w:rsidRDefault="005553E4">
            <w:pPr>
              <w:autoSpaceDE w:val="0"/>
              <w:autoSpaceDN w:val="0"/>
              <w:adjustRightInd w:val="0"/>
              <w:rPr>
                <w:szCs w:val="22"/>
                <w:lang w:val="en-GB"/>
              </w:rPr>
            </w:pPr>
            <w:r>
              <w:rPr>
                <w:b/>
                <w:bCs/>
                <w:szCs w:val="22"/>
                <w:lang w:val="en-GB" w:eastAsia="fi-FI"/>
              </w:rPr>
              <w:t>Psykiske forstyrrelser</w:t>
            </w:r>
          </w:p>
        </w:tc>
        <w:tc>
          <w:tcPr>
            <w:tcW w:w="3032" w:type="dxa"/>
            <w:tcBorders>
              <w:top w:val="single" w:sz="4" w:space="0" w:color="auto"/>
              <w:left w:val="single" w:sz="4" w:space="0" w:color="auto"/>
              <w:bottom w:val="single" w:sz="4" w:space="0" w:color="auto"/>
              <w:right w:val="single" w:sz="4" w:space="0" w:color="auto"/>
            </w:tcBorders>
            <w:hideMark/>
          </w:tcPr>
          <w:p w14:paraId="67BFECA7" w14:textId="77777777" w:rsidR="005553E4" w:rsidRDefault="005553E4">
            <w:pPr>
              <w:jc w:val="center"/>
              <w:rPr>
                <w:szCs w:val="22"/>
                <w:lang w:val="en-GB"/>
              </w:rPr>
            </w:pPr>
            <w:r>
              <w:rPr>
                <w:szCs w:val="22"/>
                <w:lang w:val="en-GB"/>
              </w:rPr>
              <w:t>Meget sjælden</w:t>
            </w:r>
          </w:p>
        </w:tc>
        <w:tc>
          <w:tcPr>
            <w:tcW w:w="3138" w:type="dxa"/>
            <w:tcBorders>
              <w:top w:val="single" w:sz="4" w:space="0" w:color="auto"/>
              <w:left w:val="single" w:sz="4" w:space="0" w:color="auto"/>
              <w:bottom w:val="single" w:sz="4" w:space="0" w:color="auto"/>
              <w:right w:val="single" w:sz="4" w:space="0" w:color="auto"/>
            </w:tcBorders>
            <w:hideMark/>
          </w:tcPr>
          <w:p w14:paraId="48E6BDDA" w14:textId="77777777" w:rsidR="005553E4" w:rsidRDefault="005553E4">
            <w:pPr>
              <w:autoSpaceDE w:val="0"/>
              <w:autoSpaceDN w:val="0"/>
              <w:adjustRightInd w:val="0"/>
              <w:rPr>
                <w:szCs w:val="22"/>
                <w:lang w:val="en-GB"/>
              </w:rPr>
            </w:pPr>
            <w:r>
              <w:rPr>
                <w:szCs w:val="22"/>
                <w:lang w:val="en-GB"/>
              </w:rPr>
              <w:t>Hallucinationer</w:t>
            </w:r>
          </w:p>
        </w:tc>
      </w:tr>
      <w:tr w:rsidR="005553E4" w14:paraId="71E89EB8" w14:textId="77777777" w:rsidTr="005553E4">
        <w:tc>
          <w:tcPr>
            <w:tcW w:w="0" w:type="auto"/>
            <w:vMerge/>
            <w:tcBorders>
              <w:top w:val="single" w:sz="4" w:space="0" w:color="auto"/>
              <w:left w:val="single" w:sz="4" w:space="0" w:color="auto"/>
              <w:bottom w:val="single" w:sz="4" w:space="0" w:color="auto"/>
              <w:right w:val="single" w:sz="4" w:space="0" w:color="auto"/>
            </w:tcBorders>
            <w:vAlign w:val="center"/>
            <w:hideMark/>
          </w:tcPr>
          <w:p w14:paraId="53D57A4A" w14:textId="77777777" w:rsidR="005553E4" w:rsidRDefault="005553E4">
            <w:pPr>
              <w:rPr>
                <w:sz w:val="22"/>
                <w:szCs w:val="22"/>
                <w:lang w:val="en-GB"/>
              </w:rPr>
            </w:pPr>
          </w:p>
        </w:tc>
        <w:tc>
          <w:tcPr>
            <w:tcW w:w="3032" w:type="dxa"/>
            <w:tcBorders>
              <w:top w:val="single" w:sz="4" w:space="0" w:color="auto"/>
              <w:left w:val="single" w:sz="4" w:space="0" w:color="auto"/>
              <w:bottom w:val="single" w:sz="4" w:space="0" w:color="auto"/>
              <w:right w:val="single" w:sz="4" w:space="0" w:color="auto"/>
            </w:tcBorders>
            <w:hideMark/>
          </w:tcPr>
          <w:p w14:paraId="3FC1445F" w14:textId="77777777" w:rsidR="005553E4" w:rsidRDefault="005553E4">
            <w:pPr>
              <w:jc w:val="center"/>
              <w:rPr>
                <w:szCs w:val="22"/>
                <w:lang w:val="en-GB"/>
              </w:rPr>
            </w:pPr>
            <w:r>
              <w:rPr>
                <w:szCs w:val="22"/>
                <w:lang w:val="en-GB"/>
              </w:rPr>
              <w:t>Ikke kendt</w:t>
            </w:r>
          </w:p>
        </w:tc>
        <w:tc>
          <w:tcPr>
            <w:tcW w:w="3138" w:type="dxa"/>
            <w:tcBorders>
              <w:top w:val="single" w:sz="4" w:space="0" w:color="auto"/>
              <w:left w:val="single" w:sz="4" w:space="0" w:color="auto"/>
              <w:bottom w:val="single" w:sz="4" w:space="0" w:color="auto"/>
              <w:right w:val="single" w:sz="4" w:space="0" w:color="auto"/>
            </w:tcBorders>
            <w:hideMark/>
          </w:tcPr>
          <w:p w14:paraId="7468C208" w14:textId="77777777" w:rsidR="005553E4" w:rsidRPr="005553E4" w:rsidRDefault="005553E4">
            <w:pPr>
              <w:autoSpaceDE w:val="0"/>
              <w:autoSpaceDN w:val="0"/>
              <w:adjustRightInd w:val="0"/>
              <w:rPr>
                <w:szCs w:val="22"/>
              </w:rPr>
            </w:pPr>
            <w:r w:rsidRPr="005553E4">
              <w:rPr>
                <w:szCs w:val="22"/>
              </w:rPr>
              <w:t>Unormal adfærd, aggression, nedtrykt sindstilstand</w:t>
            </w:r>
          </w:p>
        </w:tc>
      </w:tr>
      <w:tr w:rsidR="005553E4" w14:paraId="076119CF" w14:textId="77777777" w:rsidTr="005553E4">
        <w:tc>
          <w:tcPr>
            <w:tcW w:w="3117" w:type="dxa"/>
            <w:vMerge w:val="restart"/>
            <w:tcBorders>
              <w:top w:val="single" w:sz="4" w:space="0" w:color="auto"/>
              <w:left w:val="single" w:sz="4" w:space="0" w:color="auto"/>
              <w:bottom w:val="single" w:sz="4" w:space="0" w:color="auto"/>
              <w:right w:val="single" w:sz="4" w:space="0" w:color="auto"/>
            </w:tcBorders>
            <w:hideMark/>
          </w:tcPr>
          <w:p w14:paraId="041DF5C1" w14:textId="77777777" w:rsidR="005553E4" w:rsidRDefault="005553E4">
            <w:pPr>
              <w:autoSpaceDE w:val="0"/>
              <w:autoSpaceDN w:val="0"/>
              <w:adjustRightInd w:val="0"/>
              <w:rPr>
                <w:b/>
                <w:bCs/>
                <w:szCs w:val="22"/>
                <w:lang w:val="en-GB" w:eastAsia="fi-FI"/>
              </w:rPr>
            </w:pPr>
            <w:r>
              <w:rPr>
                <w:b/>
                <w:bCs/>
                <w:szCs w:val="22"/>
                <w:lang w:val="en-GB" w:eastAsia="fi-FI"/>
              </w:rPr>
              <w:t>Nervesystemet</w:t>
            </w:r>
          </w:p>
        </w:tc>
        <w:tc>
          <w:tcPr>
            <w:tcW w:w="3032" w:type="dxa"/>
            <w:tcBorders>
              <w:top w:val="single" w:sz="4" w:space="0" w:color="auto"/>
              <w:left w:val="single" w:sz="4" w:space="0" w:color="auto"/>
              <w:bottom w:val="single" w:sz="4" w:space="0" w:color="auto"/>
              <w:right w:val="single" w:sz="4" w:space="0" w:color="auto"/>
            </w:tcBorders>
            <w:hideMark/>
          </w:tcPr>
          <w:p w14:paraId="0C6998CD" w14:textId="77777777" w:rsidR="005553E4" w:rsidRDefault="005553E4">
            <w:pPr>
              <w:jc w:val="center"/>
              <w:rPr>
                <w:szCs w:val="22"/>
                <w:lang w:val="en-GB"/>
              </w:rPr>
            </w:pPr>
            <w:r>
              <w:rPr>
                <w:szCs w:val="22"/>
                <w:lang w:val="en-GB"/>
              </w:rPr>
              <w:t>Almindelig</w:t>
            </w:r>
          </w:p>
        </w:tc>
        <w:tc>
          <w:tcPr>
            <w:tcW w:w="3138" w:type="dxa"/>
            <w:tcBorders>
              <w:top w:val="single" w:sz="4" w:space="0" w:color="auto"/>
              <w:left w:val="single" w:sz="4" w:space="0" w:color="auto"/>
              <w:bottom w:val="single" w:sz="4" w:space="0" w:color="auto"/>
              <w:right w:val="single" w:sz="4" w:space="0" w:color="auto"/>
            </w:tcBorders>
            <w:hideMark/>
          </w:tcPr>
          <w:p w14:paraId="4A179FFA" w14:textId="77777777" w:rsidR="005553E4" w:rsidRDefault="005553E4">
            <w:pPr>
              <w:autoSpaceDE w:val="0"/>
              <w:autoSpaceDN w:val="0"/>
              <w:adjustRightInd w:val="0"/>
              <w:rPr>
                <w:szCs w:val="22"/>
                <w:lang w:val="en-GB"/>
              </w:rPr>
            </w:pPr>
            <w:r>
              <w:rPr>
                <w:szCs w:val="22"/>
                <w:lang w:val="en-GB"/>
              </w:rPr>
              <w:t>Hovedpine</w:t>
            </w:r>
          </w:p>
        </w:tc>
      </w:tr>
      <w:tr w:rsidR="005553E4" w14:paraId="76A356ED" w14:textId="77777777" w:rsidTr="005553E4">
        <w:tc>
          <w:tcPr>
            <w:tcW w:w="0" w:type="auto"/>
            <w:vMerge/>
            <w:tcBorders>
              <w:top w:val="single" w:sz="4" w:space="0" w:color="auto"/>
              <w:left w:val="single" w:sz="4" w:space="0" w:color="auto"/>
              <w:bottom w:val="single" w:sz="4" w:space="0" w:color="auto"/>
              <w:right w:val="single" w:sz="4" w:space="0" w:color="auto"/>
            </w:tcBorders>
            <w:vAlign w:val="center"/>
            <w:hideMark/>
          </w:tcPr>
          <w:p w14:paraId="3327C176" w14:textId="77777777" w:rsidR="005553E4" w:rsidRDefault="005553E4">
            <w:pPr>
              <w:rPr>
                <w:b/>
                <w:bCs/>
                <w:sz w:val="22"/>
                <w:szCs w:val="22"/>
                <w:lang w:val="en-GB" w:eastAsia="fi-FI"/>
              </w:rPr>
            </w:pPr>
          </w:p>
        </w:tc>
        <w:tc>
          <w:tcPr>
            <w:tcW w:w="3032" w:type="dxa"/>
            <w:tcBorders>
              <w:top w:val="single" w:sz="4" w:space="0" w:color="auto"/>
              <w:left w:val="single" w:sz="4" w:space="0" w:color="auto"/>
              <w:bottom w:val="single" w:sz="4" w:space="0" w:color="auto"/>
              <w:right w:val="single" w:sz="4" w:space="0" w:color="auto"/>
            </w:tcBorders>
            <w:hideMark/>
          </w:tcPr>
          <w:p w14:paraId="1735AC9A" w14:textId="77777777" w:rsidR="005553E4" w:rsidRDefault="005553E4">
            <w:pPr>
              <w:jc w:val="center"/>
              <w:rPr>
                <w:szCs w:val="22"/>
                <w:lang w:val="en-GB"/>
              </w:rPr>
            </w:pPr>
            <w:r>
              <w:rPr>
                <w:szCs w:val="22"/>
                <w:lang w:val="en-GB"/>
              </w:rPr>
              <w:t>Meget sjælden</w:t>
            </w:r>
          </w:p>
        </w:tc>
        <w:tc>
          <w:tcPr>
            <w:tcW w:w="3138" w:type="dxa"/>
            <w:tcBorders>
              <w:top w:val="single" w:sz="4" w:space="0" w:color="auto"/>
              <w:left w:val="single" w:sz="4" w:space="0" w:color="auto"/>
              <w:bottom w:val="single" w:sz="4" w:space="0" w:color="auto"/>
              <w:right w:val="single" w:sz="4" w:space="0" w:color="auto"/>
            </w:tcBorders>
            <w:hideMark/>
          </w:tcPr>
          <w:p w14:paraId="012B5688" w14:textId="77777777" w:rsidR="005553E4" w:rsidRPr="005553E4" w:rsidRDefault="005553E4">
            <w:pPr>
              <w:autoSpaceDE w:val="0"/>
              <w:autoSpaceDN w:val="0"/>
              <w:adjustRightInd w:val="0"/>
              <w:rPr>
                <w:szCs w:val="22"/>
              </w:rPr>
            </w:pPr>
            <w:r w:rsidRPr="005553E4">
              <w:rPr>
                <w:szCs w:val="22"/>
              </w:rPr>
              <w:t>Svimmelhed, døsighed, insomni, psykomotorisk hyperaktivitet, krampeanfald</w:t>
            </w:r>
          </w:p>
        </w:tc>
      </w:tr>
      <w:tr w:rsidR="005553E4" w14:paraId="6B8FE829" w14:textId="77777777" w:rsidTr="005553E4">
        <w:tc>
          <w:tcPr>
            <w:tcW w:w="3117" w:type="dxa"/>
            <w:tcBorders>
              <w:top w:val="single" w:sz="4" w:space="0" w:color="auto"/>
              <w:left w:val="single" w:sz="4" w:space="0" w:color="auto"/>
              <w:bottom w:val="single" w:sz="4" w:space="0" w:color="auto"/>
              <w:right w:val="single" w:sz="4" w:space="0" w:color="auto"/>
            </w:tcBorders>
            <w:hideMark/>
          </w:tcPr>
          <w:p w14:paraId="734AB2CA" w14:textId="77777777" w:rsidR="005553E4" w:rsidRDefault="005553E4">
            <w:pPr>
              <w:autoSpaceDE w:val="0"/>
              <w:autoSpaceDN w:val="0"/>
              <w:adjustRightInd w:val="0"/>
              <w:rPr>
                <w:b/>
                <w:bCs/>
                <w:szCs w:val="22"/>
                <w:lang w:val="en-GB"/>
              </w:rPr>
            </w:pPr>
            <w:r>
              <w:rPr>
                <w:b/>
                <w:bCs/>
                <w:szCs w:val="22"/>
                <w:lang w:val="en-GB"/>
              </w:rPr>
              <w:t>Øjne</w:t>
            </w:r>
          </w:p>
        </w:tc>
        <w:tc>
          <w:tcPr>
            <w:tcW w:w="3032" w:type="dxa"/>
            <w:tcBorders>
              <w:top w:val="single" w:sz="4" w:space="0" w:color="auto"/>
              <w:left w:val="single" w:sz="4" w:space="0" w:color="auto"/>
              <w:bottom w:val="single" w:sz="4" w:space="0" w:color="auto"/>
              <w:right w:val="single" w:sz="4" w:space="0" w:color="auto"/>
            </w:tcBorders>
            <w:hideMark/>
          </w:tcPr>
          <w:p w14:paraId="13B9DBF5" w14:textId="77777777" w:rsidR="005553E4" w:rsidRDefault="005553E4">
            <w:pPr>
              <w:jc w:val="center"/>
              <w:rPr>
                <w:szCs w:val="22"/>
                <w:lang w:val="en-GB"/>
              </w:rPr>
            </w:pPr>
            <w:r>
              <w:rPr>
                <w:szCs w:val="22"/>
                <w:lang w:val="en-GB"/>
              </w:rPr>
              <w:t>Ikke kendt</w:t>
            </w:r>
          </w:p>
        </w:tc>
        <w:tc>
          <w:tcPr>
            <w:tcW w:w="3138" w:type="dxa"/>
            <w:tcBorders>
              <w:top w:val="single" w:sz="4" w:space="0" w:color="auto"/>
              <w:left w:val="single" w:sz="4" w:space="0" w:color="auto"/>
              <w:bottom w:val="single" w:sz="4" w:space="0" w:color="auto"/>
              <w:right w:val="single" w:sz="4" w:space="0" w:color="auto"/>
            </w:tcBorders>
            <w:hideMark/>
          </w:tcPr>
          <w:p w14:paraId="5C38011F" w14:textId="77777777" w:rsidR="005553E4" w:rsidRDefault="005553E4">
            <w:pPr>
              <w:autoSpaceDE w:val="0"/>
              <w:autoSpaceDN w:val="0"/>
              <w:adjustRightInd w:val="0"/>
              <w:rPr>
                <w:szCs w:val="22"/>
                <w:lang w:val="en-GB"/>
              </w:rPr>
            </w:pPr>
            <w:r>
              <w:rPr>
                <w:szCs w:val="22"/>
                <w:lang w:val="en-GB"/>
              </w:rPr>
              <w:t>Øjentørhed</w:t>
            </w:r>
          </w:p>
        </w:tc>
      </w:tr>
      <w:tr w:rsidR="005553E4" w14:paraId="6C035239" w14:textId="77777777" w:rsidTr="005553E4">
        <w:tc>
          <w:tcPr>
            <w:tcW w:w="3117" w:type="dxa"/>
            <w:vMerge w:val="restart"/>
            <w:tcBorders>
              <w:top w:val="single" w:sz="4" w:space="0" w:color="auto"/>
              <w:left w:val="single" w:sz="4" w:space="0" w:color="auto"/>
              <w:bottom w:val="single" w:sz="4" w:space="0" w:color="auto"/>
              <w:right w:val="single" w:sz="4" w:space="0" w:color="auto"/>
            </w:tcBorders>
            <w:hideMark/>
          </w:tcPr>
          <w:p w14:paraId="0ACA6E4D" w14:textId="77777777" w:rsidR="005553E4" w:rsidRDefault="005553E4">
            <w:pPr>
              <w:autoSpaceDE w:val="0"/>
              <w:autoSpaceDN w:val="0"/>
              <w:adjustRightInd w:val="0"/>
              <w:rPr>
                <w:b/>
                <w:bCs/>
                <w:szCs w:val="22"/>
                <w:lang w:val="en-GB"/>
              </w:rPr>
            </w:pPr>
            <w:r>
              <w:rPr>
                <w:b/>
                <w:bCs/>
                <w:szCs w:val="22"/>
                <w:lang w:val="en-GB"/>
              </w:rPr>
              <w:t>Hjerte</w:t>
            </w:r>
          </w:p>
        </w:tc>
        <w:tc>
          <w:tcPr>
            <w:tcW w:w="3032" w:type="dxa"/>
            <w:tcBorders>
              <w:top w:val="single" w:sz="4" w:space="0" w:color="auto"/>
              <w:left w:val="single" w:sz="4" w:space="0" w:color="auto"/>
              <w:bottom w:val="single" w:sz="4" w:space="0" w:color="auto"/>
              <w:right w:val="single" w:sz="4" w:space="0" w:color="auto"/>
            </w:tcBorders>
            <w:hideMark/>
          </w:tcPr>
          <w:p w14:paraId="12F627C3" w14:textId="77777777" w:rsidR="005553E4" w:rsidRDefault="005553E4">
            <w:pPr>
              <w:jc w:val="center"/>
              <w:rPr>
                <w:szCs w:val="22"/>
                <w:lang w:val="en-GB"/>
              </w:rPr>
            </w:pPr>
            <w:r>
              <w:rPr>
                <w:szCs w:val="22"/>
                <w:lang w:val="en-GB"/>
              </w:rPr>
              <w:t>Meget sjælden</w:t>
            </w:r>
          </w:p>
        </w:tc>
        <w:tc>
          <w:tcPr>
            <w:tcW w:w="3138" w:type="dxa"/>
            <w:tcBorders>
              <w:top w:val="single" w:sz="4" w:space="0" w:color="auto"/>
              <w:left w:val="single" w:sz="4" w:space="0" w:color="auto"/>
              <w:bottom w:val="single" w:sz="4" w:space="0" w:color="auto"/>
              <w:right w:val="single" w:sz="4" w:space="0" w:color="auto"/>
            </w:tcBorders>
            <w:hideMark/>
          </w:tcPr>
          <w:p w14:paraId="086028A1" w14:textId="77777777" w:rsidR="005553E4" w:rsidRDefault="005553E4">
            <w:pPr>
              <w:autoSpaceDE w:val="0"/>
              <w:autoSpaceDN w:val="0"/>
              <w:adjustRightInd w:val="0"/>
              <w:rPr>
                <w:szCs w:val="22"/>
                <w:lang w:val="en-GB"/>
              </w:rPr>
            </w:pPr>
            <w:r>
              <w:rPr>
                <w:szCs w:val="22"/>
                <w:lang w:val="en-GB"/>
              </w:rPr>
              <w:t>Takykardi, palpitationer</w:t>
            </w:r>
          </w:p>
        </w:tc>
      </w:tr>
      <w:tr w:rsidR="005553E4" w14:paraId="6DC56661" w14:textId="77777777" w:rsidTr="005553E4">
        <w:tc>
          <w:tcPr>
            <w:tcW w:w="0" w:type="auto"/>
            <w:vMerge/>
            <w:tcBorders>
              <w:top w:val="single" w:sz="4" w:space="0" w:color="auto"/>
              <w:left w:val="single" w:sz="4" w:space="0" w:color="auto"/>
              <w:bottom w:val="single" w:sz="4" w:space="0" w:color="auto"/>
              <w:right w:val="single" w:sz="4" w:space="0" w:color="auto"/>
            </w:tcBorders>
            <w:vAlign w:val="center"/>
            <w:hideMark/>
          </w:tcPr>
          <w:p w14:paraId="56763537" w14:textId="77777777" w:rsidR="005553E4" w:rsidRDefault="005553E4">
            <w:pPr>
              <w:rPr>
                <w:b/>
                <w:bCs/>
                <w:sz w:val="22"/>
                <w:szCs w:val="22"/>
                <w:lang w:val="en-GB"/>
              </w:rPr>
            </w:pPr>
          </w:p>
        </w:tc>
        <w:tc>
          <w:tcPr>
            <w:tcW w:w="3032" w:type="dxa"/>
            <w:tcBorders>
              <w:top w:val="single" w:sz="4" w:space="0" w:color="auto"/>
              <w:left w:val="single" w:sz="4" w:space="0" w:color="auto"/>
              <w:bottom w:val="single" w:sz="4" w:space="0" w:color="auto"/>
              <w:right w:val="single" w:sz="4" w:space="0" w:color="auto"/>
            </w:tcBorders>
            <w:hideMark/>
          </w:tcPr>
          <w:p w14:paraId="0FE45706" w14:textId="77777777" w:rsidR="005553E4" w:rsidRDefault="005553E4">
            <w:pPr>
              <w:jc w:val="center"/>
              <w:rPr>
                <w:szCs w:val="22"/>
                <w:lang w:val="en-GB"/>
              </w:rPr>
            </w:pPr>
            <w:r>
              <w:rPr>
                <w:szCs w:val="22"/>
                <w:lang w:val="en-GB"/>
              </w:rPr>
              <w:t>Ikke kendt</w:t>
            </w:r>
          </w:p>
        </w:tc>
        <w:tc>
          <w:tcPr>
            <w:tcW w:w="3138" w:type="dxa"/>
            <w:tcBorders>
              <w:top w:val="single" w:sz="4" w:space="0" w:color="auto"/>
              <w:left w:val="single" w:sz="4" w:space="0" w:color="auto"/>
              <w:bottom w:val="single" w:sz="4" w:space="0" w:color="auto"/>
              <w:right w:val="single" w:sz="4" w:space="0" w:color="auto"/>
            </w:tcBorders>
            <w:hideMark/>
          </w:tcPr>
          <w:p w14:paraId="45EB4511" w14:textId="77777777" w:rsidR="005553E4" w:rsidRDefault="005553E4">
            <w:pPr>
              <w:autoSpaceDE w:val="0"/>
              <w:autoSpaceDN w:val="0"/>
              <w:adjustRightInd w:val="0"/>
              <w:rPr>
                <w:szCs w:val="22"/>
                <w:lang w:val="en-GB"/>
              </w:rPr>
            </w:pPr>
            <w:r>
              <w:rPr>
                <w:szCs w:val="22"/>
                <w:lang w:val="en-GB"/>
              </w:rPr>
              <w:t>Forlænget QT</w:t>
            </w:r>
            <w:r>
              <w:rPr>
                <w:szCs w:val="22"/>
                <w:lang w:val="en-GB"/>
              </w:rPr>
              <w:noBreakHyphen/>
              <w:t>interval</w:t>
            </w:r>
          </w:p>
        </w:tc>
      </w:tr>
      <w:tr w:rsidR="005553E4" w14:paraId="3472510C" w14:textId="77777777" w:rsidTr="005553E4">
        <w:tc>
          <w:tcPr>
            <w:tcW w:w="3117" w:type="dxa"/>
            <w:vMerge w:val="restart"/>
            <w:tcBorders>
              <w:top w:val="single" w:sz="4" w:space="0" w:color="auto"/>
              <w:left w:val="single" w:sz="4" w:space="0" w:color="auto"/>
              <w:bottom w:val="single" w:sz="4" w:space="0" w:color="auto"/>
              <w:right w:val="single" w:sz="4" w:space="0" w:color="auto"/>
            </w:tcBorders>
            <w:hideMark/>
          </w:tcPr>
          <w:p w14:paraId="48F582D6" w14:textId="77777777" w:rsidR="005553E4" w:rsidRDefault="005553E4">
            <w:pPr>
              <w:autoSpaceDE w:val="0"/>
              <w:autoSpaceDN w:val="0"/>
              <w:adjustRightInd w:val="0"/>
              <w:rPr>
                <w:b/>
                <w:bCs/>
                <w:szCs w:val="22"/>
                <w:lang w:val="en-GB"/>
              </w:rPr>
            </w:pPr>
            <w:r>
              <w:rPr>
                <w:b/>
                <w:bCs/>
                <w:szCs w:val="22"/>
                <w:lang w:val="en-GB"/>
              </w:rPr>
              <w:t>Mave</w:t>
            </w:r>
            <w:r>
              <w:rPr>
                <w:b/>
                <w:bCs/>
                <w:szCs w:val="22"/>
                <w:lang w:val="en-GB"/>
              </w:rPr>
              <w:noBreakHyphen/>
              <w:t>tarm</w:t>
            </w:r>
            <w:r>
              <w:rPr>
                <w:b/>
                <w:bCs/>
                <w:szCs w:val="22"/>
                <w:lang w:val="en-GB"/>
              </w:rPr>
              <w:noBreakHyphen/>
              <w:t>kanalen</w:t>
            </w:r>
          </w:p>
        </w:tc>
        <w:tc>
          <w:tcPr>
            <w:tcW w:w="3032" w:type="dxa"/>
            <w:tcBorders>
              <w:top w:val="single" w:sz="4" w:space="0" w:color="auto"/>
              <w:left w:val="single" w:sz="4" w:space="0" w:color="auto"/>
              <w:bottom w:val="single" w:sz="4" w:space="0" w:color="auto"/>
              <w:right w:val="single" w:sz="4" w:space="0" w:color="auto"/>
            </w:tcBorders>
            <w:hideMark/>
          </w:tcPr>
          <w:p w14:paraId="0DA91F4A" w14:textId="77777777" w:rsidR="005553E4" w:rsidRDefault="005553E4">
            <w:pPr>
              <w:jc w:val="center"/>
              <w:rPr>
                <w:szCs w:val="22"/>
                <w:lang w:val="en-GB"/>
              </w:rPr>
            </w:pPr>
            <w:r>
              <w:rPr>
                <w:szCs w:val="22"/>
                <w:lang w:val="en-GB"/>
              </w:rPr>
              <w:t>Almindelig</w:t>
            </w:r>
          </w:p>
        </w:tc>
        <w:tc>
          <w:tcPr>
            <w:tcW w:w="3138" w:type="dxa"/>
            <w:tcBorders>
              <w:top w:val="single" w:sz="4" w:space="0" w:color="auto"/>
              <w:left w:val="single" w:sz="4" w:space="0" w:color="auto"/>
              <w:bottom w:val="single" w:sz="4" w:space="0" w:color="auto"/>
              <w:right w:val="single" w:sz="4" w:space="0" w:color="auto"/>
            </w:tcBorders>
            <w:hideMark/>
          </w:tcPr>
          <w:p w14:paraId="2C2221AA" w14:textId="77777777" w:rsidR="005553E4" w:rsidRDefault="005553E4">
            <w:pPr>
              <w:autoSpaceDE w:val="0"/>
              <w:autoSpaceDN w:val="0"/>
              <w:adjustRightInd w:val="0"/>
              <w:rPr>
                <w:szCs w:val="22"/>
                <w:lang w:val="en-GB"/>
              </w:rPr>
            </w:pPr>
            <w:r>
              <w:rPr>
                <w:szCs w:val="22"/>
                <w:lang w:val="en-GB"/>
              </w:rPr>
              <w:t>Mundtørhed</w:t>
            </w:r>
          </w:p>
        </w:tc>
      </w:tr>
      <w:tr w:rsidR="005553E4" w14:paraId="4F7AB6D2" w14:textId="77777777" w:rsidTr="005553E4">
        <w:tc>
          <w:tcPr>
            <w:tcW w:w="0" w:type="auto"/>
            <w:vMerge/>
            <w:tcBorders>
              <w:top w:val="single" w:sz="4" w:space="0" w:color="auto"/>
              <w:left w:val="single" w:sz="4" w:space="0" w:color="auto"/>
              <w:bottom w:val="single" w:sz="4" w:space="0" w:color="auto"/>
              <w:right w:val="single" w:sz="4" w:space="0" w:color="auto"/>
            </w:tcBorders>
            <w:vAlign w:val="center"/>
            <w:hideMark/>
          </w:tcPr>
          <w:p w14:paraId="209C0E7B" w14:textId="77777777" w:rsidR="005553E4" w:rsidRDefault="005553E4">
            <w:pPr>
              <w:rPr>
                <w:b/>
                <w:bCs/>
                <w:sz w:val="22"/>
                <w:szCs w:val="22"/>
                <w:lang w:val="en-GB"/>
              </w:rPr>
            </w:pPr>
          </w:p>
        </w:tc>
        <w:tc>
          <w:tcPr>
            <w:tcW w:w="3032" w:type="dxa"/>
            <w:tcBorders>
              <w:top w:val="single" w:sz="4" w:space="0" w:color="auto"/>
              <w:left w:val="single" w:sz="4" w:space="0" w:color="auto"/>
              <w:bottom w:val="single" w:sz="4" w:space="0" w:color="auto"/>
              <w:right w:val="single" w:sz="4" w:space="0" w:color="auto"/>
            </w:tcBorders>
            <w:hideMark/>
          </w:tcPr>
          <w:p w14:paraId="1DE44559" w14:textId="77777777" w:rsidR="005553E4" w:rsidRDefault="005553E4">
            <w:pPr>
              <w:jc w:val="center"/>
              <w:rPr>
                <w:szCs w:val="22"/>
                <w:lang w:val="en-GB"/>
              </w:rPr>
            </w:pPr>
            <w:r>
              <w:rPr>
                <w:szCs w:val="22"/>
                <w:lang w:val="en-GB"/>
              </w:rPr>
              <w:t>Meget sjælden</w:t>
            </w:r>
          </w:p>
        </w:tc>
        <w:tc>
          <w:tcPr>
            <w:tcW w:w="3138" w:type="dxa"/>
            <w:tcBorders>
              <w:top w:val="single" w:sz="4" w:space="0" w:color="auto"/>
              <w:left w:val="single" w:sz="4" w:space="0" w:color="auto"/>
              <w:bottom w:val="single" w:sz="4" w:space="0" w:color="auto"/>
              <w:right w:val="single" w:sz="4" w:space="0" w:color="auto"/>
            </w:tcBorders>
            <w:hideMark/>
          </w:tcPr>
          <w:p w14:paraId="594537CE" w14:textId="77777777" w:rsidR="005553E4" w:rsidRPr="005553E4" w:rsidRDefault="005553E4">
            <w:pPr>
              <w:autoSpaceDE w:val="0"/>
              <w:autoSpaceDN w:val="0"/>
              <w:adjustRightInd w:val="0"/>
              <w:rPr>
                <w:szCs w:val="22"/>
              </w:rPr>
            </w:pPr>
            <w:r w:rsidRPr="005553E4">
              <w:rPr>
                <w:szCs w:val="22"/>
              </w:rPr>
              <w:t>Abdominalsmerter, kvalme, opkastning, dyspepsi, diarré</w:t>
            </w:r>
          </w:p>
        </w:tc>
      </w:tr>
      <w:tr w:rsidR="005553E4" w14:paraId="7C4EEF6E" w14:textId="77777777" w:rsidTr="005553E4">
        <w:tc>
          <w:tcPr>
            <w:tcW w:w="3117" w:type="dxa"/>
            <w:vMerge w:val="restart"/>
            <w:tcBorders>
              <w:top w:val="single" w:sz="4" w:space="0" w:color="auto"/>
              <w:left w:val="single" w:sz="4" w:space="0" w:color="auto"/>
              <w:bottom w:val="single" w:sz="4" w:space="0" w:color="auto"/>
              <w:right w:val="single" w:sz="4" w:space="0" w:color="auto"/>
            </w:tcBorders>
            <w:hideMark/>
          </w:tcPr>
          <w:p w14:paraId="31C48017" w14:textId="77777777" w:rsidR="005553E4" w:rsidRDefault="005553E4">
            <w:pPr>
              <w:autoSpaceDE w:val="0"/>
              <w:autoSpaceDN w:val="0"/>
              <w:adjustRightInd w:val="0"/>
              <w:rPr>
                <w:szCs w:val="22"/>
                <w:lang w:val="en-GB"/>
              </w:rPr>
            </w:pPr>
            <w:r>
              <w:rPr>
                <w:b/>
                <w:bCs/>
                <w:szCs w:val="22"/>
                <w:lang w:val="en-GB"/>
              </w:rPr>
              <w:t>Lever og galdeveje</w:t>
            </w:r>
          </w:p>
        </w:tc>
        <w:tc>
          <w:tcPr>
            <w:tcW w:w="3032" w:type="dxa"/>
            <w:tcBorders>
              <w:top w:val="single" w:sz="4" w:space="0" w:color="auto"/>
              <w:left w:val="single" w:sz="4" w:space="0" w:color="auto"/>
              <w:bottom w:val="single" w:sz="4" w:space="0" w:color="auto"/>
              <w:right w:val="single" w:sz="4" w:space="0" w:color="auto"/>
            </w:tcBorders>
            <w:hideMark/>
          </w:tcPr>
          <w:p w14:paraId="5A72B81D" w14:textId="77777777" w:rsidR="005553E4" w:rsidRDefault="005553E4">
            <w:pPr>
              <w:jc w:val="center"/>
              <w:rPr>
                <w:szCs w:val="22"/>
                <w:lang w:val="en-GB"/>
              </w:rPr>
            </w:pPr>
            <w:r>
              <w:rPr>
                <w:szCs w:val="22"/>
                <w:lang w:val="en-GB"/>
              </w:rPr>
              <w:t>Meget sjælden</w:t>
            </w:r>
          </w:p>
        </w:tc>
        <w:tc>
          <w:tcPr>
            <w:tcW w:w="3138" w:type="dxa"/>
            <w:tcBorders>
              <w:top w:val="single" w:sz="4" w:space="0" w:color="auto"/>
              <w:left w:val="single" w:sz="4" w:space="0" w:color="auto"/>
              <w:bottom w:val="single" w:sz="4" w:space="0" w:color="auto"/>
              <w:right w:val="single" w:sz="4" w:space="0" w:color="auto"/>
            </w:tcBorders>
            <w:hideMark/>
          </w:tcPr>
          <w:p w14:paraId="7E0E0E7E" w14:textId="77777777" w:rsidR="005553E4" w:rsidRPr="005553E4" w:rsidRDefault="005553E4">
            <w:pPr>
              <w:autoSpaceDE w:val="0"/>
              <w:autoSpaceDN w:val="0"/>
              <w:adjustRightInd w:val="0"/>
              <w:rPr>
                <w:szCs w:val="22"/>
              </w:rPr>
            </w:pPr>
            <w:r w:rsidRPr="005553E4">
              <w:rPr>
                <w:szCs w:val="22"/>
              </w:rPr>
              <w:t>Forhøjede leverenzymer, forhøjet bilirubin, hepatitis</w:t>
            </w:r>
          </w:p>
        </w:tc>
      </w:tr>
      <w:tr w:rsidR="005553E4" w14:paraId="4CC809B3" w14:textId="77777777" w:rsidTr="005553E4">
        <w:tc>
          <w:tcPr>
            <w:tcW w:w="0" w:type="auto"/>
            <w:vMerge/>
            <w:tcBorders>
              <w:top w:val="single" w:sz="4" w:space="0" w:color="auto"/>
              <w:left w:val="single" w:sz="4" w:space="0" w:color="auto"/>
              <w:bottom w:val="single" w:sz="4" w:space="0" w:color="auto"/>
              <w:right w:val="single" w:sz="4" w:space="0" w:color="auto"/>
            </w:tcBorders>
            <w:vAlign w:val="center"/>
            <w:hideMark/>
          </w:tcPr>
          <w:p w14:paraId="7B44524F" w14:textId="77777777" w:rsidR="005553E4" w:rsidRPr="005553E4" w:rsidRDefault="005553E4">
            <w:pPr>
              <w:rPr>
                <w:sz w:val="22"/>
                <w:szCs w:val="22"/>
              </w:rPr>
            </w:pPr>
          </w:p>
        </w:tc>
        <w:tc>
          <w:tcPr>
            <w:tcW w:w="3032" w:type="dxa"/>
            <w:tcBorders>
              <w:top w:val="single" w:sz="4" w:space="0" w:color="auto"/>
              <w:left w:val="single" w:sz="4" w:space="0" w:color="auto"/>
              <w:bottom w:val="single" w:sz="4" w:space="0" w:color="auto"/>
              <w:right w:val="single" w:sz="4" w:space="0" w:color="auto"/>
            </w:tcBorders>
            <w:hideMark/>
          </w:tcPr>
          <w:p w14:paraId="07168A94" w14:textId="77777777" w:rsidR="005553E4" w:rsidRDefault="005553E4">
            <w:pPr>
              <w:jc w:val="center"/>
              <w:rPr>
                <w:szCs w:val="22"/>
                <w:lang w:val="en-GB"/>
              </w:rPr>
            </w:pPr>
            <w:r>
              <w:rPr>
                <w:szCs w:val="22"/>
                <w:lang w:val="en-GB"/>
              </w:rPr>
              <w:t>Ikke kendt</w:t>
            </w:r>
          </w:p>
        </w:tc>
        <w:tc>
          <w:tcPr>
            <w:tcW w:w="3138" w:type="dxa"/>
            <w:tcBorders>
              <w:top w:val="single" w:sz="4" w:space="0" w:color="auto"/>
              <w:left w:val="single" w:sz="4" w:space="0" w:color="auto"/>
              <w:bottom w:val="single" w:sz="4" w:space="0" w:color="auto"/>
              <w:right w:val="single" w:sz="4" w:space="0" w:color="auto"/>
            </w:tcBorders>
            <w:hideMark/>
          </w:tcPr>
          <w:p w14:paraId="06CEF635" w14:textId="77777777" w:rsidR="005553E4" w:rsidRDefault="005553E4">
            <w:pPr>
              <w:autoSpaceDE w:val="0"/>
              <w:autoSpaceDN w:val="0"/>
              <w:adjustRightInd w:val="0"/>
              <w:rPr>
                <w:szCs w:val="22"/>
                <w:lang w:val="en-GB"/>
              </w:rPr>
            </w:pPr>
            <w:r>
              <w:rPr>
                <w:szCs w:val="22"/>
                <w:lang w:val="en-GB"/>
              </w:rPr>
              <w:t>Gulsot</w:t>
            </w:r>
          </w:p>
        </w:tc>
      </w:tr>
      <w:tr w:rsidR="005553E4" w14:paraId="6E0603AE" w14:textId="77777777" w:rsidTr="005553E4">
        <w:tc>
          <w:tcPr>
            <w:tcW w:w="3117" w:type="dxa"/>
            <w:tcBorders>
              <w:top w:val="single" w:sz="4" w:space="0" w:color="auto"/>
              <w:left w:val="single" w:sz="4" w:space="0" w:color="auto"/>
              <w:bottom w:val="single" w:sz="4" w:space="0" w:color="auto"/>
              <w:right w:val="single" w:sz="4" w:space="0" w:color="auto"/>
            </w:tcBorders>
            <w:hideMark/>
          </w:tcPr>
          <w:p w14:paraId="3128E594" w14:textId="77777777" w:rsidR="005553E4" w:rsidRDefault="005553E4">
            <w:pPr>
              <w:autoSpaceDE w:val="0"/>
              <w:autoSpaceDN w:val="0"/>
              <w:adjustRightInd w:val="0"/>
              <w:rPr>
                <w:b/>
                <w:bCs/>
                <w:szCs w:val="22"/>
                <w:lang w:val="en-GB"/>
              </w:rPr>
            </w:pPr>
            <w:r>
              <w:rPr>
                <w:b/>
                <w:bCs/>
                <w:szCs w:val="22"/>
                <w:lang w:val="en-GB"/>
              </w:rPr>
              <w:t>Hud og subkutane væv</w:t>
            </w:r>
          </w:p>
        </w:tc>
        <w:tc>
          <w:tcPr>
            <w:tcW w:w="3032" w:type="dxa"/>
            <w:tcBorders>
              <w:top w:val="single" w:sz="4" w:space="0" w:color="auto"/>
              <w:left w:val="single" w:sz="4" w:space="0" w:color="auto"/>
              <w:bottom w:val="single" w:sz="4" w:space="0" w:color="auto"/>
              <w:right w:val="single" w:sz="4" w:space="0" w:color="auto"/>
            </w:tcBorders>
            <w:hideMark/>
          </w:tcPr>
          <w:p w14:paraId="08FC3889" w14:textId="77777777" w:rsidR="005553E4" w:rsidRDefault="005553E4">
            <w:pPr>
              <w:jc w:val="center"/>
              <w:rPr>
                <w:szCs w:val="22"/>
                <w:lang w:val="en-GB"/>
              </w:rPr>
            </w:pPr>
            <w:r>
              <w:rPr>
                <w:szCs w:val="22"/>
                <w:lang w:val="en-GB"/>
              </w:rPr>
              <w:t>Ikke kendt</w:t>
            </w:r>
          </w:p>
        </w:tc>
        <w:tc>
          <w:tcPr>
            <w:tcW w:w="3138" w:type="dxa"/>
            <w:tcBorders>
              <w:top w:val="single" w:sz="4" w:space="0" w:color="auto"/>
              <w:left w:val="single" w:sz="4" w:space="0" w:color="auto"/>
              <w:bottom w:val="single" w:sz="4" w:space="0" w:color="auto"/>
              <w:right w:val="single" w:sz="4" w:space="0" w:color="auto"/>
            </w:tcBorders>
            <w:hideMark/>
          </w:tcPr>
          <w:p w14:paraId="4F11841C" w14:textId="77777777" w:rsidR="005553E4" w:rsidRDefault="005553E4">
            <w:pPr>
              <w:autoSpaceDE w:val="0"/>
              <w:autoSpaceDN w:val="0"/>
              <w:adjustRightInd w:val="0"/>
              <w:rPr>
                <w:szCs w:val="22"/>
                <w:lang w:val="en-GB"/>
              </w:rPr>
            </w:pPr>
            <w:r>
              <w:rPr>
                <w:szCs w:val="22"/>
                <w:lang w:val="en-GB"/>
              </w:rPr>
              <w:t>Lysfølsomhed</w:t>
            </w:r>
          </w:p>
        </w:tc>
      </w:tr>
      <w:tr w:rsidR="005553E4" w14:paraId="5A2E08FD" w14:textId="77777777" w:rsidTr="005553E4">
        <w:tc>
          <w:tcPr>
            <w:tcW w:w="3117" w:type="dxa"/>
            <w:tcBorders>
              <w:top w:val="single" w:sz="4" w:space="0" w:color="auto"/>
              <w:left w:val="single" w:sz="4" w:space="0" w:color="auto"/>
              <w:bottom w:val="single" w:sz="4" w:space="0" w:color="auto"/>
              <w:right w:val="single" w:sz="4" w:space="0" w:color="auto"/>
            </w:tcBorders>
            <w:hideMark/>
          </w:tcPr>
          <w:p w14:paraId="77C81E6C" w14:textId="77777777" w:rsidR="005553E4" w:rsidRPr="005553E4" w:rsidRDefault="005553E4">
            <w:pPr>
              <w:autoSpaceDE w:val="0"/>
              <w:autoSpaceDN w:val="0"/>
              <w:adjustRightInd w:val="0"/>
              <w:rPr>
                <w:szCs w:val="22"/>
              </w:rPr>
            </w:pPr>
            <w:r w:rsidRPr="005553E4">
              <w:rPr>
                <w:b/>
                <w:bCs/>
                <w:szCs w:val="22"/>
              </w:rPr>
              <w:t>Knogler, led, muskler og bindevæv</w:t>
            </w:r>
          </w:p>
        </w:tc>
        <w:tc>
          <w:tcPr>
            <w:tcW w:w="3032" w:type="dxa"/>
            <w:tcBorders>
              <w:top w:val="single" w:sz="4" w:space="0" w:color="auto"/>
              <w:left w:val="single" w:sz="4" w:space="0" w:color="auto"/>
              <w:bottom w:val="single" w:sz="4" w:space="0" w:color="auto"/>
              <w:right w:val="single" w:sz="4" w:space="0" w:color="auto"/>
            </w:tcBorders>
            <w:hideMark/>
          </w:tcPr>
          <w:p w14:paraId="53440AF2" w14:textId="77777777" w:rsidR="005553E4" w:rsidRDefault="005553E4">
            <w:pPr>
              <w:jc w:val="center"/>
              <w:rPr>
                <w:szCs w:val="22"/>
                <w:lang w:val="en-GB"/>
              </w:rPr>
            </w:pPr>
            <w:r>
              <w:rPr>
                <w:szCs w:val="22"/>
                <w:lang w:val="en-GB"/>
              </w:rPr>
              <w:t>Meget sjælden</w:t>
            </w:r>
          </w:p>
        </w:tc>
        <w:tc>
          <w:tcPr>
            <w:tcW w:w="3138" w:type="dxa"/>
            <w:tcBorders>
              <w:top w:val="single" w:sz="4" w:space="0" w:color="auto"/>
              <w:left w:val="single" w:sz="4" w:space="0" w:color="auto"/>
              <w:bottom w:val="single" w:sz="4" w:space="0" w:color="auto"/>
              <w:right w:val="single" w:sz="4" w:space="0" w:color="auto"/>
            </w:tcBorders>
            <w:hideMark/>
          </w:tcPr>
          <w:p w14:paraId="7464CD89" w14:textId="77777777" w:rsidR="005553E4" w:rsidRDefault="005553E4">
            <w:pPr>
              <w:autoSpaceDE w:val="0"/>
              <w:autoSpaceDN w:val="0"/>
              <w:adjustRightInd w:val="0"/>
              <w:rPr>
                <w:szCs w:val="22"/>
                <w:lang w:val="en-GB"/>
              </w:rPr>
            </w:pPr>
            <w:r>
              <w:rPr>
                <w:szCs w:val="22"/>
                <w:lang w:val="en-GB"/>
              </w:rPr>
              <w:t>Myalgi</w:t>
            </w:r>
          </w:p>
        </w:tc>
      </w:tr>
      <w:tr w:rsidR="005553E4" w14:paraId="01B9EDE0" w14:textId="77777777" w:rsidTr="005553E4">
        <w:tc>
          <w:tcPr>
            <w:tcW w:w="3117" w:type="dxa"/>
            <w:vMerge w:val="restart"/>
            <w:tcBorders>
              <w:top w:val="single" w:sz="4" w:space="0" w:color="auto"/>
              <w:left w:val="single" w:sz="4" w:space="0" w:color="auto"/>
              <w:bottom w:val="single" w:sz="4" w:space="0" w:color="auto"/>
              <w:right w:val="single" w:sz="4" w:space="0" w:color="auto"/>
            </w:tcBorders>
            <w:hideMark/>
          </w:tcPr>
          <w:p w14:paraId="331BB471" w14:textId="77777777" w:rsidR="005553E4" w:rsidRPr="005553E4" w:rsidRDefault="005553E4">
            <w:pPr>
              <w:autoSpaceDE w:val="0"/>
              <w:autoSpaceDN w:val="0"/>
              <w:adjustRightInd w:val="0"/>
              <w:rPr>
                <w:szCs w:val="22"/>
              </w:rPr>
            </w:pPr>
            <w:r w:rsidRPr="005553E4">
              <w:rPr>
                <w:b/>
                <w:bCs/>
                <w:szCs w:val="22"/>
              </w:rPr>
              <w:t>Almene symptomer og reaktioner på administrationsstedet</w:t>
            </w:r>
          </w:p>
        </w:tc>
        <w:tc>
          <w:tcPr>
            <w:tcW w:w="3032" w:type="dxa"/>
            <w:tcBorders>
              <w:top w:val="single" w:sz="4" w:space="0" w:color="auto"/>
              <w:left w:val="single" w:sz="4" w:space="0" w:color="auto"/>
              <w:bottom w:val="single" w:sz="4" w:space="0" w:color="auto"/>
              <w:right w:val="single" w:sz="4" w:space="0" w:color="auto"/>
            </w:tcBorders>
            <w:hideMark/>
          </w:tcPr>
          <w:p w14:paraId="48E6276B" w14:textId="77777777" w:rsidR="005553E4" w:rsidRDefault="005553E4">
            <w:pPr>
              <w:keepNext/>
              <w:jc w:val="center"/>
              <w:rPr>
                <w:szCs w:val="22"/>
                <w:lang w:val="en-GB"/>
              </w:rPr>
            </w:pPr>
            <w:r>
              <w:rPr>
                <w:szCs w:val="22"/>
                <w:lang w:val="en-GB"/>
              </w:rPr>
              <w:t>Almindelig</w:t>
            </w:r>
          </w:p>
        </w:tc>
        <w:tc>
          <w:tcPr>
            <w:tcW w:w="3138" w:type="dxa"/>
            <w:tcBorders>
              <w:top w:val="single" w:sz="4" w:space="0" w:color="auto"/>
              <w:left w:val="single" w:sz="4" w:space="0" w:color="auto"/>
              <w:bottom w:val="single" w:sz="4" w:space="0" w:color="auto"/>
              <w:right w:val="single" w:sz="4" w:space="0" w:color="auto"/>
            </w:tcBorders>
            <w:hideMark/>
          </w:tcPr>
          <w:p w14:paraId="408321F1" w14:textId="77777777" w:rsidR="005553E4" w:rsidRDefault="005553E4">
            <w:pPr>
              <w:keepNext/>
              <w:autoSpaceDE w:val="0"/>
              <w:autoSpaceDN w:val="0"/>
              <w:adjustRightInd w:val="0"/>
              <w:rPr>
                <w:szCs w:val="22"/>
                <w:lang w:val="en-GB"/>
              </w:rPr>
            </w:pPr>
            <w:r>
              <w:rPr>
                <w:szCs w:val="22"/>
                <w:lang w:val="en-GB"/>
              </w:rPr>
              <w:t>Træthed</w:t>
            </w:r>
          </w:p>
        </w:tc>
      </w:tr>
      <w:tr w:rsidR="005553E4" w14:paraId="3BC25789" w14:textId="77777777" w:rsidTr="005553E4">
        <w:tc>
          <w:tcPr>
            <w:tcW w:w="0" w:type="auto"/>
            <w:vMerge/>
            <w:tcBorders>
              <w:top w:val="single" w:sz="4" w:space="0" w:color="auto"/>
              <w:left w:val="single" w:sz="4" w:space="0" w:color="auto"/>
              <w:bottom w:val="single" w:sz="4" w:space="0" w:color="auto"/>
              <w:right w:val="single" w:sz="4" w:space="0" w:color="auto"/>
            </w:tcBorders>
            <w:vAlign w:val="center"/>
            <w:hideMark/>
          </w:tcPr>
          <w:p w14:paraId="54E75D40" w14:textId="77777777" w:rsidR="005553E4" w:rsidRDefault="005553E4">
            <w:pPr>
              <w:rPr>
                <w:sz w:val="22"/>
                <w:szCs w:val="22"/>
                <w:lang w:val="en-GB"/>
              </w:rPr>
            </w:pPr>
          </w:p>
        </w:tc>
        <w:tc>
          <w:tcPr>
            <w:tcW w:w="3032" w:type="dxa"/>
            <w:tcBorders>
              <w:top w:val="single" w:sz="4" w:space="0" w:color="auto"/>
              <w:left w:val="single" w:sz="4" w:space="0" w:color="auto"/>
              <w:bottom w:val="single" w:sz="4" w:space="0" w:color="auto"/>
              <w:right w:val="single" w:sz="4" w:space="0" w:color="auto"/>
            </w:tcBorders>
            <w:hideMark/>
          </w:tcPr>
          <w:p w14:paraId="4AF146E7" w14:textId="77777777" w:rsidR="005553E4" w:rsidRDefault="005553E4">
            <w:pPr>
              <w:keepNext/>
              <w:jc w:val="center"/>
              <w:rPr>
                <w:szCs w:val="22"/>
                <w:lang w:val="en-GB"/>
              </w:rPr>
            </w:pPr>
            <w:r>
              <w:rPr>
                <w:szCs w:val="22"/>
                <w:lang w:val="en-GB"/>
              </w:rPr>
              <w:t>Meget sjælden</w:t>
            </w:r>
          </w:p>
        </w:tc>
        <w:tc>
          <w:tcPr>
            <w:tcW w:w="3138" w:type="dxa"/>
            <w:tcBorders>
              <w:top w:val="single" w:sz="4" w:space="0" w:color="auto"/>
              <w:left w:val="single" w:sz="4" w:space="0" w:color="auto"/>
              <w:bottom w:val="single" w:sz="4" w:space="0" w:color="auto"/>
              <w:right w:val="single" w:sz="4" w:space="0" w:color="auto"/>
            </w:tcBorders>
            <w:hideMark/>
          </w:tcPr>
          <w:p w14:paraId="2539F6EB" w14:textId="77777777" w:rsidR="005553E4" w:rsidRPr="005553E4" w:rsidRDefault="005553E4">
            <w:pPr>
              <w:keepNext/>
              <w:autoSpaceDE w:val="0"/>
              <w:autoSpaceDN w:val="0"/>
              <w:adjustRightInd w:val="0"/>
              <w:rPr>
                <w:szCs w:val="22"/>
              </w:rPr>
            </w:pPr>
            <w:r w:rsidRPr="005553E4">
              <w:rPr>
                <w:szCs w:val="22"/>
              </w:rPr>
              <w:t>Overfølsomhedsreaktioner (såsom anafylaksi, angioødem, dyspnø, kløe, udslæt og urticaria)</w:t>
            </w:r>
          </w:p>
        </w:tc>
      </w:tr>
      <w:tr w:rsidR="005553E4" w14:paraId="0805FB2F" w14:textId="77777777" w:rsidTr="005553E4">
        <w:tc>
          <w:tcPr>
            <w:tcW w:w="0" w:type="auto"/>
            <w:vMerge/>
            <w:tcBorders>
              <w:top w:val="single" w:sz="4" w:space="0" w:color="auto"/>
              <w:left w:val="single" w:sz="4" w:space="0" w:color="auto"/>
              <w:bottom w:val="single" w:sz="4" w:space="0" w:color="auto"/>
              <w:right w:val="single" w:sz="4" w:space="0" w:color="auto"/>
            </w:tcBorders>
            <w:vAlign w:val="center"/>
            <w:hideMark/>
          </w:tcPr>
          <w:p w14:paraId="29A4E528" w14:textId="77777777" w:rsidR="005553E4" w:rsidRPr="005553E4" w:rsidRDefault="005553E4">
            <w:pPr>
              <w:rPr>
                <w:sz w:val="22"/>
                <w:szCs w:val="22"/>
              </w:rPr>
            </w:pPr>
          </w:p>
        </w:tc>
        <w:tc>
          <w:tcPr>
            <w:tcW w:w="3032" w:type="dxa"/>
            <w:tcBorders>
              <w:top w:val="single" w:sz="4" w:space="0" w:color="auto"/>
              <w:left w:val="single" w:sz="4" w:space="0" w:color="auto"/>
              <w:bottom w:val="single" w:sz="4" w:space="0" w:color="auto"/>
              <w:right w:val="single" w:sz="4" w:space="0" w:color="auto"/>
            </w:tcBorders>
            <w:hideMark/>
          </w:tcPr>
          <w:p w14:paraId="35F806D3" w14:textId="77777777" w:rsidR="005553E4" w:rsidRDefault="005553E4">
            <w:pPr>
              <w:jc w:val="center"/>
              <w:rPr>
                <w:szCs w:val="22"/>
                <w:lang w:val="en-GB"/>
              </w:rPr>
            </w:pPr>
            <w:r>
              <w:rPr>
                <w:szCs w:val="22"/>
                <w:lang w:val="en-GB"/>
              </w:rPr>
              <w:t>Ikke kendt</w:t>
            </w:r>
          </w:p>
        </w:tc>
        <w:tc>
          <w:tcPr>
            <w:tcW w:w="3138" w:type="dxa"/>
            <w:tcBorders>
              <w:top w:val="single" w:sz="4" w:space="0" w:color="auto"/>
              <w:left w:val="single" w:sz="4" w:space="0" w:color="auto"/>
              <w:bottom w:val="single" w:sz="4" w:space="0" w:color="auto"/>
              <w:right w:val="single" w:sz="4" w:space="0" w:color="auto"/>
            </w:tcBorders>
            <w:hideMark/>
          </w:tcPr>
          <w:p w14:paraId="072A9796" w14:textId="77777777" w:rsidR="005553E4" w:rsidRDefault="005553E4">
            <w:pPr>
              <w:autoSpaceDE w:val="0"/>
              <w:autoSpaceDN w:val="0"/>
              <w:adjustRightInd w:val="0"/>
              <w:rPr>
                <w:szCs w:val="22"/>
                <w:lang w:val="en-GB"/>
              </w:rPr>
            </w:pPr>
            <w:r>
              <w:rPr>
                <w:szCs w:val="22"/>
                <w:lang w:val="en-GB"/>
              </w:rPr>
              <w:t>Asteni</w:t>
            </w:r>
          </w:p>
        </w:tc>
      </w:tr>
      <w:tr w:rsidR="005553E4" w14:paraId="32429D46" w14:textId="77777777" w:rsidTr="005553E4">
        <w:tc>
          <w:tcPr>
            <w:tcW w:w="3117" w:type="dxa"/>
            <w:tcBorders>
              <w:top w:val="single" w:sz="4" w:space="0" w:color="auto"/>
              <w:left w:val="single" w:sz="4" w:space="0" w:color="auto"/>
              <w:bottom w:val="single" w:sz="4" w:space="0" w:color="auto"/>
              <w:right w:val="single" w:sz="4" w:space="0" w:color="auto"/>
            </w:tcBorders>
            <w:hideMark/>
          </w:tcPr>
          <w:p w14:paraId="6881FB8F" w14:textId="77777777" w:rsidR="005553E4" w:rsidRDefault="005553E4">
            <w:pPr>
              <w:autoSpaceDE w:val="0"/>
              <w:autoSpaceDN w:val="0"/>
              <w:adjustRightInd w:val="0"/>
              <w:rPr>
                <w:b/>
                <w:bCs/>
                <w:szCs w:val="22"/>
                <w:lang w:val="en-GB"/>
              </w:rPr>
            </w:pPr>
            <w:r>
              <w:rPr>
                <w:b/>
                <w:bCs/>
                <w:szCs w:val="22"/>
                <w:lang w:val="en-GB"/>
              </w:rPr>
              <w:t>Undersøgelser</w:t>
            </w:r>
          </w:p>
        </w:tc>
        <w:tc>
          <w:tcPr>
            <w:tcW w:w="3032" w:type="dxa"/>
            <w:tcBorders>
              <w:top w:val="single" w:sz="4" w:space="0" w:color="auto"/>
              <w:left w:val="single" w:sz="4" w:space="0" w:color="auto"/>
              <w:bottom w:val="single" w:sz="4" w:space="0" w:color="auto"/>
              <w:right w:val="single" w:sz="4" w:space="0" w:color="auto"/>
            </w:tcBorders>
            <w:hideMark/>
          </w:tcPr>
          <w:p w14:paraId="5D9C93B6" w14:textId="77777777" w:rsidR="005553E4" w:rsidRDefault="005553E4">
            <w:pPr>
              <w:jc w:val="center"/>
              <w:rPr>
                <w:szCs w:val="22"/>
                <w:lang w:val="en-GB"/>
              </w:rPr>
            </w:pPr>
            <w:r>
              <w:rPr>
                <w:szCs w:val="22"/>
                <w:lang w:val="en-GB"/>
              </w:rPr>
              <w:t>Ikke kendt</w:t>
            </w:r>
          </w:p>
        </w:tc>
        <w:tc>
          <w:tcPr>
            <w:tcW w:w="3138" w:type="dxa"/>
            <w:tcBorders>
              <w:top w:val="single" w:sz="4" w:space="0" w:color="auto"/>
              <w:left w:val="single" w:sz="4" w:space="0" w:color="auto"/>
              <w:bottom w:val="single" w:sz="4" w:space="0" w:color="auto"/>
              <w:right w:val="single" w:sz="4" w:space="0" w:color="auto"/>
            </w:tcBorders>
            <w:hideMark/>
          </w:tcPr>
          <w:p w14:paraId="5ADB8322" w14:textId="77777777" w:rsidR="005553E4" w:rsidRDefault="005553E4">
            <w:pPr>
              <w:autoSpaceDE w:val="0"/>
              <w:autoSpaceDN w:val="0"/>
              <w:adjustRightInd w:val="0"/>
              <w:rPr>
                <w:szCs w:val="22"/>
                <w:lang w:val="en-GB"/>
              </w:rPr>
            </w:pPr>
            <w:r>
              <w:rPr>
                <w:szCs w:val="22"/>
                <w:lang w:val="en-GB"/>
              </w:rPr>
              <w:t>Vægtforøgelse</w:t>
            </w:r>
          </w:p>
        </w:tc>
      </w:tr>
    </w:tbl>
    <w:p w14:paraId="40984BD0" w14:textId="77777777" w:rsidR="005553E4" w:rsidRDefault="005553E4" w:rsidP="005553E4">
      <w:pPr>
        <w:rPr>
          <w:sz w:val="22"/>
          <w:szCs w:val="22"/>
          <w:u w:val="single"/>
        </w:rPr>
      </w:pPr>
    </w:p>
    <w:p w14:paraId="2DA14C0C" w14:textId="77777777" w:rsidR="005553E4" w:rsidRPr="005553E4" w:rsidRDefault="005553E4" w:rsidP="005553E4">
      <w:pPr>
        <w:autoSpaceDE w:val="0"/>
        <w:autoSpaceDN w:val="0"/>
        <w:adjustRightInd w:val="0"/>
        <w:ind w:left="851"/>
        <w:rPr>
          <w:sz w:val="24"/>
          <w:szCs w:val="24"/>
          <w:u w:val="single"/>
        </w:rPr>
      </w:pPr>
      <w:r w:rsidRPr="005553E4">
        <w:rPr>
          <w:sz w:val="24"/>
          <w:szCs w:val="24"/>
          <w:u w:val="single"/>
        </w:rPr>
        <w:t>Pædiatrisk population</w:t>
      </w:r>
    </w:p>
    <w:p w14:paraId="1FEF27E7" w14:textId="77777777" w:rsidR="005553E4" w:rsidRPr="005553E4" w:rsidRDefault="005553E4" w:rsidP="005553E4">
      <w:pPr>
        <w:autoSpaceDE w:val="0"/>
        <w:autoSpaceDN w:val="0"/>
        <w:adjustRightInd w:val="0"/>
        <w:ind w:left="851"/>
        <w:rPr>
          <w:sz w:val="24"/>
          <w:szCs w:val="24"/>
        </w:rPr>
      </w:pPr>
      <w:r w:rsidRPr="005553E4">
        <w:rPr>
          <w:sz w:val="24"/>
          <w:szCs w:val="24"/>
        </w:rPr>
        <w:t xml:space="preserve">Andre bivirkninger, der blev rapporteret i perioden efter markedsføring hos pædiatriske patienter med </w:t>
      </w:r>
      <w:r w:rsidRPr="005553E4">
        <w:rPr>
          <w:rFonts w:ascii="TimesNewRomanPSMT" w:hAnsi="TimesNewRomanPSMT" w:cs="TimesNewRomanPSMT"/>
          <w:sz w:val="24"/>
          <w:szCs w:val="24"/>
        </w:rPr>
        <w:t xml:space="preserve">frekvensen "ikke kendt", var </w:t>
      </w:r>
      <w:r w:rsidRPr="005553E4">
        <w:rPr>
          <w:sz w:val="24"/>
          <w:szCs w:val="24"/>
        </w:rPr>
        <w:t>arytmi og bradykardi.</w:t>
      </w:r>
    </w:p>
    <w:p w14:paraId="34DA7D98" w14:textId="77777777" w:rsidR="005553E4" w:rsidRPr="005553E4" w:rsidRDefault="005553E4" w:rsidP="005553E4">
      <w:pPr>
        <w:autoSpaceDE w:val="0"/>
        <w:autoSpaceDN w:val="0"/>
        <w:adjustRightInd w:val="0"/>
        <w:ind w:left="851"/>
        <w:rPr>
          <w:sz w:val="24"/>
          <w:szCs w:val="24"/>
        </w:rPr>
      </w:pPr>
    </w:p>
    <w:p w14:paraId="3D10FE4B" w14:textId="77777777" w:rsidR="005553E4" w:rsidRPr="005553E4" w:rsidRDefault="005553E4" w:rsidP="005553E4">
      <w:pPr>
        <w:autoSpaceDE w:val="0"/>
        <w:autoSpaceDN w:val="0"/>
        <w:adjustRightInd w:val="0"/>
        <w:ind w:left="851"/>
        <w:rPr>
          <w:iCs/>
          <w:sz w:val="24"/>
          <w:szCs w:val="24"/>
        </w:rPr>
      </w:pPr>
      <w:r w:rsidRPr="005553E4">
        <w:rPr>
          <w:sz w:val="24"/>
          <w:szCs w:val="24"/>
        </w:rPr>
        <w:t>Et retrospektivt observationssikkerhedsstudie viste en øget forekomst af nyopståede krampeanfald hos patienter i alderen 0 til 19 år, når de fik desloratadin sammenlignet med perioder, hvor de ikke fik desloratadin. Blandt børn i alderen 0</w:t>
      </w:r>
      <w:r w:rsidRPr="005553E4">
        <w:rPr>
          <w:sz w:val="24"/>
          <w:szCs w:val="24"/>
        </w:rPr>
        <w:noBreakHyphen/>
        <w:t>4 år var den justerede absolutte stigning 37,5 (95 % konfidensinterval (CI) 10,5</w:t>
      </w:r>
      <w:r w:rsidRPr="005553E4">
        <w:rPr>
          <w:sz w:val="24"/>
          <w:szCs w:val="24"/>
        </w:rPr>
        <w:noBreakHyphen/>
        <w:t xml:space="preserve">64,5) pr. 100.000 patientår med en baggrundsrate for nyopståede krampeanfald på 80,3 pr. 100.000 patientår. Blandt </w:t>
      </w:r>
      <w:r w:rsidRPr="005553E4">
        <w:rPr>
          <w:sz w:val="24"/>
          <w:szCs w:val="24"/>
        </w:rPr>
        <w:lastRenderedPageBreak/>
        <w:t>patienter i alderen 5</w:t>
      </w:r>
      <w:r w:rsidRPr="005553E4">
        <w:rPr>
          <w:sz w:val="24"/>
          <w:szCs w:val="24"/>
        </w:rPr>
        <w:noBreakHyphen/>
        <w:t>19 år var den justerede absolutte stigning 11,3 (95 % CI 2,3</w:t>
      </w:r>
      <w:r w:rsidRPr="005553E4">
        <w:rPr>
          <w:sz w:val="24"/>
          <w:szCs w:val="24"/>
        </w:rPr>
        <w:noBreakHyphen/>
        <w:t>20,2) pr. 100.000 patientår med en baggrundsrate på 36,4 pr. 100.000 patientår (se pkt. 4.4).</w:t>
      </w:r>
    </w:p>
    <w:p w14:paraId="4FF8676D" w14:textId="77777777" w:rsidR="005553E4" w:rsidRPr="005553E4" w:rsidRDefault="005553E4" w:rsidP="005553E4">
      <w:pPr>
        <w:ind w:left="851"/>
        <w:rPr>
          <w:i/>
          <w:sz w:val="24"/>
          <w:szCs w:val="24"/>
        </w:rPr>
      </w:pPr>
    </w:p>
    <w:p w14:paraId="07A494D2" w14:textId="77777777" w:rsidR="005553E4" w:rsidRPr="005553E4" w:rsidRDefault="005553E4" w:rsidP="005553E4">
      <w:pPr>
        <w:autoSpaceDE w:val="0"/>
        <w:autoSpaceDN w:val="0"/>
        <w:adjustRightInd w:val="0"/>
        <w:ind w:left="851"/>
        <w:rPr>
          <w:sz w:val="24"/>
          <w:szCs w:val="24"/>
          <w:u w:val="single"/>
        </w:rPr>
      </w:pPr>
      <w:r w:rsidRPr="005553E4">
        <w:rPr>
          <w:sz w:val="24"/>
          <w:szCs w:val="24"/>
          <w:u w:val="single"/>
        </w:rPr>
        <w:t>Indberetning af formodede bivirkninger</w:t>
      </w:r>
    </w:p>
    <w:p w14:paraId="4FEDF60F" w14:textId="797555AA" w:rsidR="005553E4" w:rsidRDefault="005553E4" w:rsidP="005553E4">
      <w:pPr>
        <w:autoSpaceDE w:val="0"/>
        <w:autoSpaceDN w:val="0"/>
        <w:adjustRightInd w:val="0"/>
        <w:ind w:left="851"/>
        <w:rPr>
          <w:sz w:val="24"/>
          <w:szCs w:val="24"/>
        </w:rPr>
      </w:pPr>
      <w:r w:rsidRPr="005553E4">
        <w:rPr>
          <w:sz w:val="24"/>
          <w:szCs w:val="24"/>
        </w:rPr>
        <w:t>Når lægemidlet er godkendt, er indberetning af formodede bivirkninger vigtig. Det muliggør løbende overvågning af benefit/risk-forholdet for lægemidlet. Sundhedspersoner anmodes om at indberette alle formodede bivirkninger via</w:t>
      </w:r>
      <w:r>
        <w:rPr>
          <w:sz w:val="24"/>
          <w:szCs w:val="24"/>
        </w:rPr>
        <w:t>:</w:t>
      </w:r>
    </w:p>
    <w:p w14:paraId="2564527F" w14:textId="77777777" w:rsidR="005553E4" w:rsidRPr="005553E4" w:rsidRDefault="005553E4" w:rsidP="005553E4">
      <w:pPr>
        <w:autoSpaceDE w:val="0"/>
        <w:autoSpaceDN w:val="0"/>
        <w:adjustRightInd w:val="0"/>
        <w:ind w:left="851"/>
        <w:rPr>
          <w:sz w:val="24"/>
          <w:szCs w:val="24"/>
        </w:rPr>
      </w:pPr>
    </w:p>
    <w:p w14:paraId="77057902" w14:textId="77777777" w:rsidR="005553E4" w:rsidRPr="005553E4" w:rsidRDefault="005553E4" w:rsidP="005553E4">
      <w:pPr>
        <w:tabs>
          <w:tab w:val="left" w:pos="567"/>
        </w:tabs>
        <w:autoSpaceDE w:val="0"/>
        <w:autoSpaceDN w:val="0"/>
        <w:adjustRightInd w:val="0"/>
        <w:ind w:left="851"/>
        <w:rPr>
          <w:sz w:val="24"/>
          <w:szCs w:val="24"/>
        </w:rPr>
      </w:pPr>
      <w:r w:rsidRPr="005553E4">
        <w:rPr>
          <w:sz w:val="24"/>
          <w:szCs w:val="24"/>
        </w:rPr>
        <w:t>Lægemiddelstyrelsen</w:t>
      </w:r>
    </w:p>
    <w:p w14:paraId="28004095" w14:textId="77777777" w:rsidR="005553E4" w:rsidRPr="005553E4" w:rsidRDefault="005553E4" w:rsidP="005553E4">
      <w:pPr>
        <w:tabs>
          <w:tab w:val="left" w:pos="567"/>
        </w:tabs>
        <w:autoSpaceDE w:val="0"/>
        <w:autoSpaceDN w:val="0"/>
        <w:adjustRightInd w:val="0"/>
        <w:ind w:left="851"/>
        <w:rPr>
          <w:sz w:val="24"/>
          <w:szCs w:val="24"/>
        </w:rPr>
      </w:pPr>
      <w:r w:rsidRPr="005553E4">
        <w:rPr>
          <w:sz w:val="24"/>
          <w:szCs w:val="24"/>
        </w:rPr>
        <w:t>Axel Heides Gade 1</w:t>
      </w:r>
    </w:p>
    <w:p w14:paraId="2CBA5B89" w14:textId="77777777" w:rsidR="005553E4" w:rsidRPr="005553E4" w:rsidRDefault="005553E4" w:rsidP="005553E4">
      <w:pPr>
        <w:tabs>
          <w:tab w:val="left" w:pos="567"/>
        </w:tabs>
        <w:autoSpaceDE w:val="0"/>
        <w:autoSpaceDN w:val="0"/>
        <w:adjustRightInd w:val="0"/>
        <w:ind w:left="851"/>
        <w:rPr>
          <w:sz w:val="24"/>
          <w:szCs w:val="24"/>
        </w:rPr>
      </w:pPr>
      <w:r w:rsidRPr="005553E4">
        <w:rPr>
          <w:sz w:val="24"/>
          <w:szCs w:val="24"/>
        </w:rPr>
        <w:t>DK</w:t>
      </w:r>
      <w:r w:rsidRPr="005553E4">
        <w:rPr>
          <w:sz w:val="24"/>
          <w:szCs w:val="24"/>
        </w:rPr>
        <w:noBreakHyphen/>
        <w:t>2300 København S</w:t>
      </w:r>
    </w:p>
    <w:p w14:paraId="04567495" w14:textId="4742981E" w:rsidR="005553E4" w:rsidRPr="005553E4" w:rsidRDefault="005553E4" w:rsidP="005553E4">
      <w:pPr>
        <w:tabs>
          <w:tab w:val="left" w:pos="567"/>
        </w:tabs>
        <w:autoSpaceDE w:val="0"/>
        <w:autoSpaceDN w:val="0"/>
        <w:adjustRightInd w:val="0"/>
        <w:ind w:left="851"/>
        <w:rPr>
          <w:sz w:val="24"/>
          <w:szCs w:val="24"/>
        </w:rPr>
      </w:pPr>
      <w:r w:rsidRPr="005553E4">
        <w:rPr>
          <w:sz w:val="24"/>
          <w:szCs w:val="24"/>
        </w:rPr>
        <w:t>Websted: www.meldenbivirkning.dk</w:t>
      </w:r>
    </w:p>
    <w:p w14:paraId="5A972BA6" w14:textId="77777777" w:rsidR="009260DE" w:rsidRPr="005553E4" w:rsidRDefault="009260DE" w:rsidP="005553E4">
      <w:pPr>
        <w:tabs>
          <w:tab w:val="left" w:pos="851"/>
        </w:tabs>
        <w:ind w:left="851"/>
        <w:rPr>
          <w:sz w:val="24"/>
          <w:szCs w:val="24"/>
        </w:rPr>
      </w:pPr>
    </w:p>
    <w:p w14:paraId="74725552" w14:textId="77777777" w:rsidR="009260DE" w:rsidRPr="00C84483" w:rsidRDefault="009260DE" w:rsidP="009260DE">
      <w:pPr>
        <w:tabs>
          <w:tab w:val="left" w:pos="851"/>
        </w:tabs>
        <w:ind w:left="851" w:hanging="851"/>
        <w:rPr>
          <w:b/>
          <w:sz w:val="24"/>
          <w:szCs w:val="24"/>
        </w:rPr>
      </w:pPr>
      <w:r w:rsidRPr="00C84483">
        <w:rPr>
          <w:b/>
          <w:sz w:val="24"/>
          <w:szCs w:val="24"/>
        </w:rPr>
        <w:t>4.9</w:t>
      </w:r>
      <w:r w:rsidRPr="00C84483">
        <w:rPr>
          <w:b/>
          <w:sz w:val="24"/>
          <w:szCs w:val="24"/>
        </w:rPr>
        <w:tab/>
        <w:t>Overdosering</w:t>
      </w:r>
    </w:p>
    <w:p w14:paraId="2699639A" w14:textId="77777777" w:rsidR="005553E4" w:rsidRPr="005553E4" w:rsidRDefault="005553E4" w:rsidP="005553E4">
      <w:pPr>
        <w:tabs>
          <w:tab w:val="left" w:pos="851"/>
        </w:tabs>
        <w:ind w:left="851"/>
        <w:rPr>
          <w:sz w:val="24"/>
          <w:szCs w:val="24"/>
        </w:rPr>
      </w:pPr>
      <w:r w:rsidRPr="005553E4">
        <w:rPr>
          <w:sz w:val="24"/>
          <w:szCs w:val="24"/>
        </w:rPr>
        <w:t>Bivirkningsprofilen set i forbindelse med overdosering post</w:t>
      </w:r>
      <w:r w:rsidRPr="005553E4">
        <w:rPr>
          <w:sz w:val="24"/>
          <w:szCs w:val="24"/>
        </w:rPr>
        <w:noBreakHyphen/>
        <w:t>marketing er sammenlignelig med bivirkningsprofilen set med terapeutiske doser, men bivirkningerne kan være mere udtalte.</w:t>
      </w:r>
    </w:p>
    <w:p w14:paraId="658ED319" w14:textId="77777777" w:rsidR="005553E4" w:rsidRPr="005553E4" w:rsidRDefault="005553E4" w:rsidP="005553E4">
      <w:pPr>
        <w:tabs>
          <w:tab w:val="left" w:pos="851"/>
        </w:tabs>
        <w:ind w:left="851"/>
        <w:rPr>
          <w:sz w:val="24"/>
          <w:szCs w:val="24"/>
        </w:rPr>
      </w:pPr>
    </w:p>
    <w:p w14:paraId="33456337" w14:textId="77777777" w:rsidR="005553E4" w:rsidRPr="005553E4" w:rsidRDefault="005553E4" w:rsidP="005553E4">
      <w:pPr>
        <w:tabs>
          <w:tab w:val="left" w:pos="851"/>
        </w:tabs>
        <w:ind w:left="851"/>
        <w:rPr>
          <w:sz w:val="24"/>
          <w:szCs w:val="24"/>
          <w:u w:val="single"/>
        </w:rPr>
      </w:pPr>
      <w:r w:rsidRPr="005553E4">
        <w:rPr>
          <w:sz w:val="24"/>
          <w:szCs w:val="24"/>
          <w:u w:val="single"/>
        </w:rPr>
        <w:t>Behandling</w:t>
      </w:r>
    </w:p>
    <w:p w14:paraId="07FBF57F" w14:textId="77777777" w:rsidR="005553E4" w:rsidRPr="005553E4" w:rsidRDefault="005553E4" w:rsidP="005553E4">
      <w:pPr>
        <w:tabs>
          <w:tab w:val="left" w:pos="851"/>
        </w:tabs>
        <w:ind w:left="851"/>
        <w:rPr>
          <w:sz w:val="24"/>
          <w:szCs w:val="24"/>
        </w:rPr>
      </w:pPr>
      <w:r w:rsidRPr="005553E4">
        <w:rPr>
          <w:sz w:val="24"/>
          <w:szCs w:val="24"/>
        </w:rPr>
        <w:t>I tilfælde af overdosering, skal standardbehandling til fjernelse af uabsorberet aktiv substans overvejes. Symptomatisk og understøttende behandling anbefales.</w:t>
      </w:r>
    </w:p>
    <w:p w14:paraId="6805CBAC" w14:textId="77777777" w:rsidR="005553E4" w:rsidRPr="005553E4" w:rsidRDefault="005553E4" w:rsidP="005553E4">
      <w:pPr>
        <w:tabs>
          <w:tab w:val="left" w:pos="851"/>
        </w:tabs>
        <w:ind w:left="851"/>
        <w:rPr>
          <w:sz w:val="24"/>
          <w:szCs w:val="24"/>
        </w:rPr>
      </w:pPr>
    </w:p>
    <w:p w14:paraId="41636AB6" w14:textId="77777777" w:rsidR="005553E4" w:rsidRPr="005553E4" w:rsidRDefault="005553E4" w:rsidP="005553E4">
      <w:pPr>
        <w:tabs>
          <w:tab w:val="left" w:pos="851"/>
        </w:tabs>
        <w:ind w:left="851"/>
        <w:rPr>
          <w:sz w:val="24"/>
          <w:szCs w:val="24"/>
        </w:rPr>
      </w:pPr>
      <w:r w:rsidRPr="005553E4">
        <w:rPr>
          <w:sz w:val="24"/>
          <w:szCs w:val="24"/>
        </w:rPr>
        <w:t>Desloratadin fjernes ikke ved hæmodialyse; det vides ikke, om det fjernes ved peritonealdialyse.</w:t>
      </w:r>
    </w:p>
    <w:p w14:paraId="1E01B12B" w14:textId="77777777" w:rsidR="005553E4" w:rsidRPr="005553E4" w:rsidRDefault="005553E4" w:rsidP="005553E4">
      <w:pPr>
        <w:tabs>
          <w:tab w:val="left" w:pos="851"/>
        </w:tabs>
        <w:ind w:left="851"/>
        <w:rPr>
          <w:sz w:val="24"/>
          <w:szCs w:val="24"/>
        </w:rPr>
      </w:pPr>
    </w:p>
    <w:p w14:paraId="41F68B6C" w14:textId="77777777" w:rsidR="005553E4" w:rsidRPr="005553E4" w:rsidRDefault="005553E4" w:rsidP="005553E4">
      <w:pPr>
        <w:tabs>
          <w:tab w:val="left" w:pos="851"/>
        </w:tabs>
        <w:ind w:left="851"/>
        <w:rPr>
          <w:sz w:val="24"/>
          <w:szCs w:val="24"/>
          <w:u w:val="single"/>
        </w:rPr>
      </w:pPr>
      <w:r w:rsidRPr="005553E4">
        <w:rPr>
          <w:sz w:val="24"/>
          <w:szCs w:val="24"/>
          <w:u w:val="single"/>
        </w:rPr>
        <w:t>Symptomer</w:t>
      </w:r>
    </w:p>
    <w:p w14:paraId="2A4F8F0B" w14:textId="77777777" w:rsidR="005553E4" w:rsidRPr="005553E4" w:rsidRDefault="005553E4" w:rsidP="005553E4">
      <w:pPr>
        <w:tabs>
          <w:tab w:val="left" w:pos="851"/>
        </w:tabs>
        <w:ind w:left="851"/>
        <w:rPr>
          <w:sz w:val="24"/>
          <w:szCs w:val="24"/>
        </w:rPr>
      </w:pPr>
      <w:r w:rsidRPr="005553E4">
        <w:rPr>
          <w:sz w:val="24"/>
          <w:szCs w:val="24"/>
        </w:rPr>
        <w:t>I et klinisk flerdosisstudie, hvor doser op til 45 mg desloratadin blev indgivet (ni gange den terapeutiske dosis), sås ingen klinisk relevante symptomer.</w:t>
      </w:r>
    </w:p>
    <w:p w14:paraId="492F668C" w14:textId="77777777" w:rsidR="005553E4" w:rsidRPr="005553E4" w:rsidRDefault="005553E4" w:rsidP="005553E4">
      <w:pPr>
        <w:tabs>
          <w:tab w:val="left" w:pos="851"/>
        </w:tabs>
        <w:ind w:left="851"/>
        <w:rPr>
          <w:sz w:val="24"/>
          <w:szCs w:val="24"/>
        </w:rPr>
      </w:pPr>
    </w:p>
    <w:p w14:paraId="3A7DE2A0" w14:textId="77777777" w:rsidR="005553E4" w:rsidRPr="005553E4" w:rsidRDefault="005553E4" w:rsidP="005553E4">
      <w:pPr>
        <w:tabs>
          <w:tab w:val="left" w:pos="851"/>
        </w:tabs>
        <w:ind w:left="851"/>
        <w:rPr>
          <w:sz w:val="24"/>
          <w:szCs w:val="24"/>
          <w:u w:val="single"/>
        </w:rPr>
      </w:pPr>
      <w:r w:rsidRPr="005553E4">
        <w:rPr>
          <w:sz w:val="24"/>
          <w:szCs w:val="24"/>
          <w:u w:val="single"/>
        </w:rPr>
        <w:t>Pædiatrisk population</w:t>
      </w:r>
    </w:p>
    <w:p w14:paraId="0A6BDED5" w14:textId="77777777" w:rsidR="005553E4" w:rsidRPr="005553E4" w:rsidRDefault="005553E4" w:rsidP="005553E4">
      <w:pPr>
        <w:tabs>
          <w:tab w:val="left" w:pos="851"/>
        </w:tabs>
        <w:ind w:left="851"/>
        <w:rPr>
          <w:sz w:val="24"/>
          <w:szCs w:val="24"/>
        </w:rPr>
      </w:pPr>
      <w:r w:rsidRPr="005553E4">
        <w:rPr>
          <w:sz w:val="24"/>
          <w:szCs w:val="24"/>
        </w:rPr>
        <w:t>Bivirkningsprofilen set i forbindelse med overdosering post-marketing er sammenlignelig med bivirkningsprofilen set med terapeutiske doser, men bivirkningerne kan være mere udtalte.</w:t>
      </w:r>
    </w:p>
    <w:p w14:paraId="7300C393" w14:textId="77777777" w:rsidR="009260DE" w:rsidRPr="00C84483" w:rsidRDefault="009260DE" w:rsidP="009260DE">
      <w:pPr>
        <w:tabs>
          <w:tab w:val="left" w:pos="851"/>
        </w:tabs>
        <w:ind w:left="851"/>
        <w:rPr>
          <w:sz w:val="24"/>
          <w:szCs w:val="24"/>
        </w:rPr>
      </w:pPr>
    </w:p>
    <w:p w14:paraId="7F5BC6D9" w14:textId="77777777" w:rsidR="009260DE" w:rsidRPr="00C84483" w:rsidRDefault="009260DE" w:rsidP="009260DE">
      <w:pPr>
        <w:tabs>
          <w:tab w:val="left" w:pos="851"/>
        </w:tabs>
        <w:ind w:left="851" w:hanging="851"/>
        <w:rPr>
          <w:b/>
          <w:sz w:val="24"/>
          <w:szCs w:val="24"/>
        </w:rPr>
      </w:pPr>
      <w:r w:rsidRPr="00C84483">
        <w:rPr>
          <w:b/>
          <w:sz w:val="24"/>
          <w:szCs w:val="24"/>
        </w:rPr>
        <w:t>4.10</w:t>
      </w:r>
      <w:r w:rsidRPr="00C84483">
        <w:rPr>
          <w:b/>
          <w:sz w:val="24"/>
          <w:szCs w:val="24"/>
        </w:rPr>
        <w:tab/>
        <w:t>Udlevering</w:t>
      </w:r>
    </w:p>
    <w:p w14:paraId="7EE87B20" w14:textId="0FD54E89" w:rsidR="009260DE" w:rsidRPr="00C84483" w:rsidRDefault="005E31EC" w:rsidP="009260DE">
      <w:pPr>
        <w:tabs>
          <w:tab w:val="left" w:pos="851"/>
        </w:tabs>
        <w:ind w:left="851"/>
        <w:rPr>
          <w:sz w:val="24"/>
          <w:szCs w:val="24"/>
        </w:rPr>
      </w:pPr>
      <w:r>
        <w:rPr>
          <w:sz w:val="24"/>
          <w:szCs w:val="24"/>
        </w:rPr>
        <w:t>HF</w:t>
      </w:r>
    </w:p>
    <w:p w14:paraId="37C8640D" w14:textId="77777777" w:rsidR="009260DE" w:rsidRPr="00C84483" w:rsidRDefault="009260DE" w:rsidP="009260DE">
      <w:pPr>
        <w:tabs>
          <w:tab w:val="left" w:pos="851"/>
        </w:tabs>
        <w:ind w:left="851"/>
        <w:rPr>
          <w:sz w:val="24"/>
          <w:szCs w:val="24"/>
        </w:rPr>
      </w:pPr>
    </w:p>
    <w:p w14:paraId="1DB31014" w14:textId="77777777" w:rsidR="009260DE" w:rsidRPr="00C84483" w:rsidRDefault="009260DE" w:rsidP="009260DE">
      <w:pPr>
        <w:tabs>
          <w:tab w:val="left" w:pos="851"/>
        </w:tabs>
        <w:ind w:left="851"/>
        <w:rPr>
          <w:sz w:val="24"/>
          <w:szCs w:val="24"/>
        </w:rPr>
      </w:pPr>
    </w:p>
    <w:p w14:paraId="797CA26F" w14:textId="77777777" w:rsidR="009260DE" w:rsidRPr="00C84483" w:rsidRDefault="009260DE" w:rsidP="009260DE">
      <w:pPr>
        <w:tabs>
          <w:tab w:val="left" w:pos="851"/>
        </w:tabs>
        <w:ind w:left="851" w:hanging="851"/>
        <w:rPr>
          <w:b/>
          <w:sz w:val="24"/>
          <w:szCs w:val="24"/>
        </w:rPr>
      </w:pPr>
      <w:r w:rsidRPr="00C84483">
        <w:rPr>
          <w:b/>
          <w:sz w:val="24"/>
          <w:szCs w:val="24"/>
        </w:rPr>
        <w:t>5.</w:t>
      </w:r>
      <w:r w:rsidRPr="00C84483">
        <w:rPr>
          <w:b/>
          <w:sz w:val="24"/>
          <w:szCs w:val="24"/>
        </w:rPr>
        <w:tab/>
        <w:t>FARMAKOLOGISKE EGENSKABER</w:t>
      </w:r>
    </w:p>
    <w:p w14:paraId="3D706DFE" w14:textId="77777777" w:rsidR="009260DE" w:rsidRPr="00C84483" w:rsidRDefault="009260DE" w:rsidP="009260DE">
      <w:pPr>
        <w:tabs>
          <w:tab w:val="left" w:pos="851"/>
        </w:tabs>
        <w:ind w:left="851"/>
        <w:rPr>
          <w:sz w:val="24"/>
          <w:szCs w:val="24"/>
        </w:rPr>
      </w:pPr>
    </w:p>
    <w:p w14:paraId="1D3871E2" w14:textId="77777777" w:rsidR="009260DE" w:rsidRPr="00C84483" w:rsidRDefault="009260DE" w:rsidP="009260DE">
      <w:pPr>
        <w:tabs>
          <w:tab w:val="num" w:pos="851"/>
        </w:tabs>
        <w:ind w:left="851" w:hanging="851"/>
        <w:rPr>
          <w:b/>
          <w:sz w:val="24"/>
          <w:szCs w:val="24"/>
        </w:rPr>
      </w:pPr>
      <w:r w:rsidRPr="00C84483">
        <w:rPr>
          <w:b/>
          <w:sz w:val="24"/>
          <w:szCs w:val="24"/>
        </w:rPr>
        <w:t>5.1</w:t>
      </w:r>
      <w:r w:rsidRPr="00C84483">
        <w:rPr>
          <w:b/>
          <w:sz w:val="24"/>
          <w:szCs w:val="24"/>
        </w:rPr>
        <w:tab/>
        <w:t>Farmakodynamiske egenskaber</w:t>
      </w:r>
    </w:p>
    <w:p w14:paraId="72996CB2" w14:textId="602CC109" w:rsidR="005E31EC" w:rsidRPr="005E31EC" w:rsidRDefault="005E31EC" w:rsidP="005E31EC">
      <w:pPr>
        <w:tabs>
          <w:tab w:val="left" w:pos="851"/>
        </w:tabs>
        <w:ind w:left="851"/>
        <w:rPr>
          <w:sz w:val="24"/>
          <w:szCs w:val="24"/>
        </w:rPr>
      </w:pPr>
      <w:r w:rsidRPr="005E31EC">
        <w:rPr>
          <w:sz w:val="24"/>
          <w:szCs w:val="24"/>
        </w:rPr>
        <w:t>Farmakoterapeutisk klassifikation: Antihistaminer til systemisk brug, andre antihistaminer til systemisk brug, ATC-kode: R06AX27</w:t>
      </w:r>
      <w:r>
        <w:rPr>
          <w:sz w:val="24"/>
          <w:szCs w:val="24"/>
        </w:rPr>
        <w:t>.</w:t>
      </w:r>
    </w:p>
    <w:p w14:paraId="02EBDDA2" w14:textId="77777777" w:rsidR="005E31EC" w:rsidRPr="005E31EC" w:rsidRDefault="005E31EC" w:rsidP="005E31EC">
      <w:pPr>
        <w:tabs>
          <w:tab w:val="left" w:pos="851"/>
        </w:tabs>
        <w:ind w:left="851"/>
        <w:rPr>
          <w:sz w:val="24"/>
          <w:szCs w:val="24"/>
        </w:rPr>
      </w:pPr>
    </w:p>
    <w:p w14:paraId="2DA231CC" w14:textId="77777777" w:rsidR="005E31EC" w:rsidRPr="005E31EC" w:rsidRDefault="005E31EC" w:rsidP="005E31EC">
      <w:pPr>
        <w:tabs>
          <w:tab w:val="left" w:pos="851"/>
        </w:tabs>
        <w:ind w:left="851"/>
        <w:rPr>
          <w:sz w:val="24"/>
          <w:szCs w:val="24"/>
          <w:u w:val="single"/>
        </w:rPr>
      </w:pPr>
      <w:r w:rsidRPr="005E31EC">
        <w:rPr>
          <w:sz w:val="24"/>
          <w:szCs w:val="24"/>
          <w:u w:val="single"/>
        </w:rPr>
        <w:t>Virkningsmekanisme</w:t>
      </w:r>
    </w:p>
    <w:p w14:paraId="093FBA6B" w14:textId="1AC78D2E" w:rsidR="005E31EC" w:rsidRPr="005E31EC" w:rsidRDefault="005E31EC" w:rsidP="005E31EC">
      <w:pPr>
        <w:tabs>
          <w:tab w:val="left" w:pos="851"/>
        </w:tabs>
        <w:ind w:left="851"/>
        <w:rPr>
          <w:sz w:val="24"/>
          <w:szCs w:val="24"/>
        </w:rPr>
      </w:pPr>
      <w:r w:rsidRPr="005E31EC">
        <w:rPr>
          <w:sz w:val="24"/>
          <w:szCs w:val="24"/>
        </w:rPr>
        <w:t>Desloratadin er en ikke</w:t>
      </w:r>
      <w:r w:rsidRPr="005E31EC">
        <w:rPr>
          <w:sz w:val="24"/>
          <w:szCs w:val="24"/>
        </w:rPr>
        <w:noBreakHyphen/>
        <w:t>sederende, langtidsvirkende histaminantagonist med selektiv perifer</w:t>
      </w:r>
      <w:r>
        <w:rPr>
          <w:sz w:val="24"/>
          <w:szCs w:val="24"/>
        </w:rPr>
        <w:t xml:space="preserve"> </w:t>
      </w:r>
      <w:r w:rsidRPr="005E31EC">
        <w:rPr>
          <w:sz w:val="24"/>
          <w:szCs w:val="24"/>
        </w:rPr>
        <w:t>H</w:t>
      </w:r>
      <w:r w:rsidRPr="005E31EC">
        <w:rPr>
          <w:sz w:val="24"/>
          <w:szCs w:val="24"/>
          <w:vertAlign w:val="subscript"/>
        </w:rPr>
        <w:t>1</w:t>
      </w:r>
      <w:r w:rsidRPr="005E31EC">
        <w:rPr>
          <w:sz w:val="24"/>
          <w:szCs w:val="24"/>
        </w:rPr>
        <w:noBreakHyphen/>
        <w:t>receptorantagonistaktivitet. Efter peroral indgift blokerer desloratadin selektivt perifere histamin</w:t>
      </w:r>
      <w:r w:rsidRPr="005E31EC">
        <w:rPr>
          <w:sz w:val="24"/>
          <w:szCs w:val="24"/>
        </w:rPr>
        <w:noBreakHyphen/>
        <w:t>H</w:t>
      </w:r>
      <w:r w:rsidRPr="005E31EC">
        <w:rPr>
          <w:sz w:val="24"/>
          <w:szCs w:val="24"/>
          <w:vertAlign w:val="subscript"/>
        </w:rPr>
        <w:t>1</w:t>
      </w:r>
      <w:r w:rsidRPr="005E31EC">
        <w:rPr>
          <w:sz w:val="24"/>
          <w:szCs w:val="24"/>
        </w:rPr>
        <w:noBreakHyphen/>
        <w:t>receptorer, fordi stoffet hindres i at trænge ind i centralnervesystemet.</w:t>
      </w:r>
    </w:p>
    <w:p w14:paraId="6CDF5517" w14:textId="77777777" w:rsidR="005E31EC" w:rsidRPr="005E31EC" w:rsidRDefault="005E31EC" w:rsidP="005E31EC">
      <w:pPr>
        <w:tabs>
          <w:tab w:val="left" w:pos="851"/>
        </w:tabs>
        <w:ind w:left="851"/>
        <w:rPr>
          <w:sz w:val="24"/>
          <w:szCs w:val="24"/>
        </w:rPr>
      </w:pPr>
    </w:p>
    <w:p w14:paraId="4ED0325D" w14:textId="77777777" w:rsidR="005E31EC" w:rsidRPr="005E31EC" w:rsidRDefault="005E31EC" w:rsidP="005E31EC">
      <w:pPr>
        <w:tabs>
          <w:tab w:val="left" w:pos="851"/>
        </w:tabs>
        <w:ind w:left="851"/>
        <w:rPr>
          <w:sz w:val="24"/>
          <w:szCs w:val="24"/>
        </w:rPr>
      </w:pPr>
      <w:r w:rsidRPr="005E31EC">
        <w:rPr>
          <w:sz w:val="24"/>
          <w:szCs w:val="24"/>
        </w:rPr>
        <w:t xml:space="preserve">Desloratadin har vist antiallergiske egenskaber i </w:t>
      </w:r>
      <w:r w:rsidRPr="005E31EC">
        <w:rPr>
          <w:i/>
          <w:iCs/>
          <w:sz w:val="24"/>
          <w:szCs w:val="24"/>
        </w:rPr>
        <w:t>in vitro</w:t>
      </w:r>
      <w:r w:rsidRPr="005E31EC">
        <w:rPr>
          <w:sz w:val="24"/>
          <w:szCs w:val="24"/>
        </w:rPr>
        <w:noBreakHyphen/>
        <w:t>studier. Disse omfatter hæmning af frigørelsen af proinflammatoriske cytokiner såsom IL</w:t>
      </w:r>
      <w:r w:rsidRPr="005E31EC">
        <w:rPr>
          <w:sz w:val="24"/>
          <w:szCs w:val="24"/>
        </w:rPr>
        <w:noBreakHyphen/>
        <w:t>4, IL</w:t>
      </w:r>
      <w:r w:rsidRPr="005E31EC">
        <w:rPr>
          <w:sz w:val="24"/>
          <w:szCs w:val="24"/>
        </w:rPr>
        <w:noBreakHyphen/>
        <w:t>6, IL</w:t>
      </w:r>
      <w:r w:rsidRPr="005E31EC">
        <w:rPr>
          <w:sz w:val="24"/>
          <w:szCs w:val="24"/>
        </w:rPr>
        <w:noBreakHyphen/>
        <w:t>8 og IL</w:t>
      </w:r>
      <w:r w:rsidRPr="005E31EC">
        <w:rPr>
          <w:sz w:val="24"/>
          <w:szCs w:val="24"/>
        </w:rPr>
        <w:noBreakHyphen/>
        <w:t xml:space="preserve">13 fra humane </w:t>
      </w:r>
      <w:r w:rsidRPr="005E31EC">
        <w:rPr>
          <w:sz w:val="24"/>
          <w:szCs w:val="24"/>
        </w:rPr>
        <w:lastRenderedPageBreak/>
        <w:t>mastceller/basofile, og ligeledes hæmning af ekspressionen af adhæsionsmolekylet P</w:t>
      </w:r>
      <w:r w:rsidRPr="005E31EC">
        <w:rPr>
          <w:sz w:val="24"/>
          <w:szCs w:val="24"/>
        </w:rPr>
        <w:noBreakHyphen/>
        <w:t>selectin på endothelceller. Den kliniske betydning af disse fund skal bekræftes.</w:t>
      </w:r>
    </w:p>
    <w:p w14:paraId="2428FFEA" w14:textId="77777777" w:rsidR="005E31EC" w:rsidRPr="005E31EC" w:rsidRDefault="005E31EC" w:rsidP="005E31EC">
      <w:pPr>
        <w:tabs>
          <w:tab w:val="left" w:pos="851"/>
        </w:tabs>
        <w:ind w:left="851"/>
        <w:rPr>
          <w:sz w:val="24"/>
          <w:szCs w:val="24"/>
        </w:rPr>
      </w:pPr>
    </w:p>
    <w:p w14:paraId="53EE7D96" w14:textId="77777777" w:rsidR="005E31EC" w:rsidRPr="005E31EC" w:rsidRDefault="005E31EC" w:rsidP="005E31EC">
      <w:pPr>
        <w:tabs>
          <w:tab w:val="left" w:pos="851"/>
        </w:tabs>
        <w:ind w:left="851"/>
        <w:rPr>
          <w:sz w:val="24"/>
          <w:szCs w:val="24"/>
          <w:u w:val="single"/>
        </w:rPr>
      </w:pPr>
      <w:r w:rsidRPr="005E31EC">
        <w:rPr>
          <w:sz w:val="24"/>
          <w:szCs w:val="24"/>
          <w:u w:val="single"/>
        </w:rPr>
        <w:t>Klinisk virkning og sikkerhed</w:t>
      </w:r>
    </w:p>
    <w:p w14:paraId="7F54CB90" w14:textId="77777777" w:rsidR="005E31EC" w:rsidRPr="005E31EC" w:rsidRDefault="005E31EC" w:rsidP="005E31EC">
      <w:pPr>
        <w:tabs>
          <w:tab w:val="left" w:pos="851"/>
        </w:tabs>
        <w:ind w:left="851"/>
        <w:rPr>
          <w:sz w:val="24"/>
          <w:szCs w:val="24"/>
        </w:rPr>
      </w:pPr>
      <w:r w:rsidRPr="005E31EC">
        <w:rPr>
          <w:sz w:val="24"/>
          <w:szCs w:val="24"/>
        </w:rPr>
        <w:t>I et flerdosisstudie var desloratadin smeltetabletter veltolereret.</w:t>
      </w:r>
    </w:p>
    <w:p w14:paraId="73125EFA" w14:textId="77777777" w:rsidR="005E31EC" w:rsidRPr="005E31EC" w:rsidRDefault="005E31EC" w:rsidP="005E31EC">
      <w:pPr>
        <w:tabs>
          <w:tab w:val="left" w:pos="851"/>
        </w:tabs>
        <w:ind w:left="851"/>
        <w:rPr>
          <w:sz w:val="24"/>
          <w:szCs w:val="24"/>
        </w:rPr>
      </w:pPr>
    </w:p>
    <w:p w14:paraId="22D28CD7" w14:textId="77777777" w:rsidR="005E31EC" w:rsidRPr="005E31EC" w:rsidRDefault="005E31EC" w:rsidP="005E31EC">
      <w:pPr>
        <w:tabs>
          <w:tab w:val="left" w:pos="851"/>
        </w:tabs>
        <w:ind w:left="851"/>
        <w:rPr>
          <w:sz w:val="24"/>
          <w:szCs w:val="24"/>
        </w:rPr>
      </w:pPr>
      <w:r w:rsidRPr="005E31EC">
        <w:rPr>
          <w:sz w:val="24"/>
          <w:szCs w:val="24"/>
        </w:rPr>
        <w:t>Ved den anbefalede dosis blev desloratadin 5 mg smeltetablet påvist at være bioækvivalent med desloratadin 5 mg som konventionel tabletformulering. Derfor forventes virkningen af desloratadin smeltetablet at være den samme som desloratadin tabletformulering.</w:t>
      </w:r>
    </w:p>
    <w:p w14:paraId="0271DCDD" w14:textId="77777777" w:rsidR="005E31EC" w:rsidRPr="005E31EC" w:rsidRDefault="005E31EC" w:rsidP="005E31EC">
      <w:pPr>
        <w:tabs>
          <w:tab w:val="left" w:pos="851"/>
        </w:tabs>
        <w:ind w:left="851"/>
        <w:rPr>
          <w:sz w:val="24"/>
          <w:szCs w:val="24"/>
        </w:rPr>
      </w:pPr>
    </w:p>
    <w:p w14:paraId="6532CC12" w14:textId="77777777" w:rsidR="005E31EC" w:rsidRPr="005E31EC" w:rsidRDefault="005E31EC" w:rsidP="005E31EC">
      <w:pPr>
        <w:tabs>
          <w:tab w:val="left" w:pos="851"/>
        </w:tabs>
        <w:ind w:left="851"/>
        <w:rPr>
          <w:sz w:val="24"/>
          <w:szCs w:val="24"/>
        </w:rPr>
      </w:pPr>
      <w:r w:rsidRPr="005E31EC">
        <w:rPr>
          <w:sz w:val="24"/>
          <w:szCs w:val="24"/>
        </w:rPr>
        <w:t>I et klinisk flerdosisstudie, hvor op til 20 mg desloratadin blev indgivet daglig i 14 dage, blev der ikke observeret nogen statistisk eller klinisk relevante kardiovaskulære virkninger. I et klinisk farmakologisk studie, hvor desloratadin blev indgivet i en dosering på 45 mg daglig (ni gange den terapeutiske dosis) i ti dage, sås ingen forlængelse af QTc</w:t>
      </w:r>
      <w:r w:rsidRPr="005E31EC">
        <w:rPr>
          <w:sz w:val="24"/>
          <w:szCs w:val="24"/>
        </w:rPr>
        <w:noBreakHyphen/>
        <w:t>intervallet.</w:t>
      </w:r>
    </w:p>
    <w:p w14:paraId="68CBBAD0" w14:textId="77777777" w:rsidR="005E31EC" w:rsidRPr="005E31EC" w:rsidRDefault="005E31EC" w:rsidP="005E31EC">
      <w:pPr>
        <w:tabs>
          <w:tab w:val="left" w:pos="851"/>
        </w:tabs>
        <w:ind w:left="851"/>
        <w:rPr>
          <w:sz w:val="24"/>
          <w:szCs w:val="24"/>
        </w:rPr>
      </w:pPr>
    </w:p>
    <w:p w14:paraId="6ACA9A19" w14:textId="77777777" w:rsidR="005E31EC" w:rsidRPr="005E31EC" w:rsidRDefault="005E31EC" w:rsidP="005E31EC">
      <w:pPr>
        <w:tabs>
          <w:tab w:val="left" w:pos="851"/>
        </w:tabs>
        <w:ind w:left="851"/>
        <w:rPr>
          <w:sz w:val="24"/>
          <w:szCs w:val="24"/>
        </w:rPr>
      </w:pPr>
      <w:r w:rsidRPr="005E31EC">
        <w:rPr>
          <w:sz w:val="24"/>
          <w:szCs w:val="24"/>
        </w:rPr>
        <w:t>Ingen klinisk relevante ændringer i desloratadin</w:t>
      </w:r>
      <w:r w:rsidRPr="005E31EC">
        <w:rPr>
          <w:sz w:val="24"/>
          <w:szCs w:val="24"/>
        </w:rPr>
        <w:noBreakHyphen/>
        <w:t>plasmakoncentrationerne blev set i flerdosis</w:t>
      </w:r>
      <w:r w:rsidRPr="005E31EC">
        <w:rPr>
          <w:sz w:val="24"/>
          <w:szCs w:val="24"/>
        </w:rPr>
        <w:noBreakHyphen/>
        <w:t>interaktionsstudier med ketoconazol og erythromycin.</w:t>
      </w:r>
    </w:p>
    <w:p w14:paraId="7986976E" w14:textId="77777777" w:rsidR="005E31EC" w:rsidRPr="005E31EC" w:rsidRDefault="005E31EC" w:rsidP="005E31EC">
      <w:pPr>
        <w:tabs>
          <w:tab w:val="left" w:pos="851"/>
        </w:tabs>
        <w:ind w:left="851"/>
        <w:rPr>
          <w:sz w:val="24"/>
          <w:szCs w:val="24"/>
        </w:rPr>
      </w:pPr>
    </w:p>
    <w:p w14:paraId="3B6C5BF6" w14:textId="77777777" w:rsidR="005E31EC" w:rsidRPr="005E31EC" w:rsidRDefault="005E31EC" w:rsidP="005E31EC">
      <w:pPr>
        <w:tabs>
          <w:tab w:val="left" w:pos="851"/>
        </w:tabs>
        <w:ind w:left="851"/>
        <w:rPr>
          <w:sz w:val="24"/>
          <w:szCs w:val="24"/>
          <w:u w:val="single"/>
        </w:rPr>
      </w:pPr>
      <w:r w:rsidRPr="005E31EC">
        <w:rPr>
          <w:sz w:val="24"/>
          <w:szCs w:val="24"/>
          <w:u w:val="single"/>
        </w:rPr>
        <w:t>Farmakodynamisk virkning</w:t>
      </w:r>
    </w:p>
    <w:p w14:paraId="4710AFBA" w14:textId="77777777" w:rsidR="005E31EC" w:rsidRPr="005E31EC" w:rsidRDefault="005E31EC" w:rsidP="005E31EC">
      <w:pPr>
        <w:tabs>
          <w:tab w:val="left" w:pos="851"/>
        </w:tabs>
        <w:ind w:left="851"/>
        <w:rPr>
          <w:sz w:val="24"/>
          <w:szCs w:val="24"/>
        </w:rPr>
      </w:pPr>
      <w:r w:rsidRPr="005E31EC">
        <w:rPr>
          <w:sz w:val="24"/>
          <w:szCs w:val="24"/>
        </w:rPr>
        <w:t>Desloratadin trænger ikke hurtigt ind i centralnervesystemet. I kliniske studier var der ingen overhyppighed af døsighed sammenlignet med placebo ved den anbefalede dosis på 5 mg daglig. Desloratadin</w:t>
      </w:r>
      <w:r w:rsidRPr="005E31EC">
        <w:rPr>
          <w:sz w:val="24"/>
          <w:szCs w:val="24"/>
        </w:rPr>
        <w:noBreakHyphen/>
        <w:t>tabletter, givet i en enkelt daglig dosis på 7,5 mg, påvirkede ikke den psykomotoriske præstationsevne i kliniske studier. I et enkeltdosisstudie hos voksne påvirkede desloratadin 5 mg hverken standardmålingerne for præstationsevne ved flyvning, herunder forværring af subjektiv søvnighed, eller flyvningsrelaterede opgaver.</w:t>
      </w:r>
    </w:p>
    <w:p w14:paraId="663257B9" w14:textId="77777777" w:rsidR="005E31EC" w:rsidRPr="005E31EC" w:rsidRDefault="005E31EC" w:rsidP="005E31EC">
      <w:pPr>
        <w:tabs>
          <w:tab w:val="left" w:pos="851"/>
        </w:tabs>
        <w:ind w:left="851"/>
        <w:rPr>
          <w:sz w:val="24"/>
          <w:szCs w:val="24"/>
        </w:rPr>
      </w:pPr>
    </w:p>
    <w:p w14:paraId="345C364A" w14:textId="77777777" w:rsidR="005E31EC" w:rsidRPr="005E31EC" w:rsidRDefault="005E31EC" w:rsidP="005E31EC">
      <w:pPr>
        <w:tabs>
          <w:tab w:val="left" w:pos="851"/>
        </w:tabs>
        <w:ind w:left="851"/>
        <w:rPr>
          <w:sz w:val="24"/>
          <w:szCs w:val="24"/>
        </w:rPr>
      </w:pPr>
      <w:r w:rsidRPr="005E31EC">
        <w:rPr>
          <w:sz w:val="24"/>
          <w:szCs w:val="24"/>
        </w:rPr>
        <w:t>I kliniske farmakologiske studier gav samtidig indgift med alkohol ikke en øgning af den alkoholinducerede forringelse af præstationsevnen eller øget søvnighed. Der blev ikke fundet signifikante forskelle i de psykomotoriske testresultater mellem desloratadin</w:t>
      </w:r>
      <w:r w:rsidRPr="005E31EC">
        <w:rPr>
          <w:sz w:val="24"/>
          <w:szCs w:val="24"/>
        </w:rPr>
        <w:noBreakHyphen/>
        <w:t xml:space="preserve"> og placebogruppen, hvad enten det blev indgivet alene eller sammen med alkohol.</w:t>
      </w:r>
    </w:p>
    <w:p w14:paraId="509B85CE" w14:textId="77777777" w:rsidR="005E31EC" w:rsidRPr="005E31EC" w:rsidRDefault="005E31EC" w:rsidP="005E31EC">
      <w:pPr>
        <w:tabs>
          <w:tab w:val="left" w:pos="851"/>
        </w:tabs>
        <w:ind w:left="851"/>
        <w:rPr>
          <w:sz w:val="24"/>
          <w:szCs w:val="24"/>
        </w:rPr>
      </w:pPr>
    </w:p>
    <w:p w14:paraId="79691044" w14:textId="77777777" w:rsidR="005E31EC" w:rsidRPr="005E31EC" w:rsidRDefault="005E31EC" w:rsidP="005E31EC">
      <w:pPr>
        <w:tabs>
          <w:tab w:val="left" w:pos="851"/>
        </w:tabs>
        <w:ind w:left="851"/>
        <w:rPr>
          <w:sz w:val="24"/>
          <w:szCs w:val="24"/>
        </w:rPr>
      </w:pPr>
      <w:r w:rsidRPr="005E31EC">
        <w:rPr>
          <w:sz w:val="24"/>
          <w:szCs w:val="24"/>
        </w:rPr>
        <w:t>Hos patienter med allergisk rhinitis lindrede desloratadin</w:t>
      </w:r>
      <w:r w:rsidRPr="005E31EC">
        <w:rPr>
          <w:sz w:val="24"/>
          <w:szCs w:val="24"/>
        </w:rPr>
        <w:noBreakHyphen/>
        <w:t xml:space="preserve">tabletter effektivt symptomer såsom nysen, næseflåd og </w:t>
      </w:r>
      <w:r w:rsidRPr="005E31EC">
        <w:rPr>
          <w:sz w:val="24"/>
          <w:szCs w:val="24"/>
        </w:rPr>
        <w:noBreakHyphen/>
        <w:t>kløe, samt øjenkløe, tåreflåd og rødme og kløe i ganen. Desloratadin</w:t>
      </w:r>
      <w:r w:rsidRPr="005E31EC">
        <w:rPr>
          <w:sz w:val="24"/>
          <w:szCs w:val="24"/>
        </w:rPr>
        <w:noBreakHyphen/>
        <w:t>tabletter regulerede effektivt symptomerne i 24 timer.</w:t>
      </w:r>
    </w:p>
    <w:p w14:paraId="65C858C6" w14:textId="77777777" w:rsidR="005E31EC" w:rsidRPr="005E31EC" w:rsidRDefault="005E31EC" w:rsidP="005E31EC">
      <w:pPr>
        <w:tabs>
          <w:tab w:val="left" w:pos="851"/>
        </w:tabs>
        <w:ind w:left="851"/>
        <w:rPr>
          <w:sz w:val="24"/>
          <w:szCs w:val="24"/>
        </w:rPr>
      </w:pPr>
    </w:p>
    <w:p w14:paraId="36B9453C" w14:textId="77777777" w:rsidR="005E31EC" w:rsidRPr="005E31EC" w:rsidRDefault="005E31EC" w:rsidP="005E31EC">
      <w:pPr>
        <w:tabs>
          <w:tab w:val="left" w:pos="851"/>
        </w:tabs>
        <w:ind w:left="851"/>
        <w:rPr>
          <w:sz w:val="24"/>
          <w:szCs w:val="24"/>
          <w:u w:val="single"/>
        </w:rPr>
      </w:pPr>
      <w:r w:rsidRPr="005E31EC">
        <w:rPr>
          <w:sz w:val="24"/>
          <w:szCs w:val="24"/>
          <w:u w:val="single"/>
        </w:rPr>
        <w:t>Pædiatrisk population</w:t>
      </w:r>
    </w:p>
    <w:p w14:paraId="7CA1E58F" w14:textId="77777777" w:rsidR="005E31EC" w:rsidRPr="005E31EC" w:rsidRDefault="005E31EC" w:rsidP="005E31EC">
      <w:pPr>
        <w:tabs>
          <w:tab w:val="left" w:pos="851"/>
        </w:tabs>
        <w:ind w:left="851"/>
        <w:rPr>
          <w:sz w:val="24"/>
          <w:szCs w:val="24"/>
        </w:rPr>
      </w:pPr>
      <w:r w:rsidRPr="005E31EC">
        <w:rPr>
          <w:sz w:val="24"/>
          <w:szCs w:val="24"/>
        </w:rPr>
        <w:t>Virkningen af desloratadin</w:t>
      </w:r>
      <w:r w:rsidRPr="005E31EC">
        <w:rPr>
          <w:sz w:val="24"/>
          <w:szCs w:val="24"/>
        </w:rPr>
        <w:noBreakHyphen/>
        <w:t>tabletter er ikke blevet tydeligt vist i studier med unge patienter i alderen fra 12 til og med 17 år.</w:t>
      </w:r>
    </w:p>
    <w:p w14:paraId="69F0AC30" w14:textId="77777777" w:rsidR="005E31EC" w:rsidRPr="005E31EC" w:rsidRDefault="005E31EC" w:rsidP="005E31EC">
      <w:pPr>
        <w:tabs>
          <w:tab w:val="left" w:pos="851"/>
        </w:tabs>
        <w:ind w:left="851"/>
        <w:rPr>
          <w:sz w:val="24"/>
          <w:szCs w:val="24"/>
        </w:rPr>
      </w:pPr>
    </w:p>
    <w:p w14:paraId="510A9669" w14:textId="77777777" w:rsidR="005E31EC" w:rsidRPr="005E31EC" w:rsidRDefault="005E31EC" w:rsidP="005E31EC">
      <w:pPr>
        <w:tabs>
          <w:tab w:val="left" w:pos="851"/>
        </w:tabs>
        <w:ind w:left="851"/>
        <w:rPr>
          <w:sz w:val="24"/>
          <w:szCs w:val="24"/>
        </w:rPr>
      </w:pPr>
      <w:r w:rsidRPr="005E31EC">
        <w:rPr>
          <w:sz w:val="24"/>
          <w:szCs w:val="24"/>
        </w:rPr>
        <w:t>Udover de etablerede klassifikationer sæsonbetinget og helårlig, kan allergisk rhinitis alternativt opdeles i intermitterende allergisk rhinitis og vedvarende allergisk rhinitis afhængig af symptomernes varighed. Intermitterende allergisk rhinitis er defineret som tilstedeværelse af symptomer i mindre end 4 dage per uge eller i mindre end 4 uger. Vedvarende allergisk rhinitis er defineret som tilstedeværelse af symptomer i 4 dage eller mere per uge og i mere end 4 uger.</w:t>
      </w:r>
    </w:p>
    <w:p w14:paraId="1E392658" w14:textId="77777777" w:rsidR="005E31EC" w:rsidRPr="005E31EC" w:rsidRDefault="005E31EC" w:rsidP="005E31EC">
      <w:pPr>
        <w:tabs>
          <w:tab w:val="left" w:pos="851"/>
        </w:tabs>
        <w:ind w:left="851"/>
        <w:rPr>
          <w:sz w:val="24"/>
          <w:szCs w:val="24"/>
        </w:rPr>
      </w:pPr>
    </w:p>
    <w:p w14:paraId="1180BC89" w14:textId="77777777" w:rsidR="005E31EC" w:rsidRPr="005E31EC" w:rsidRDefault="005E31EC" w:rsidP="005E31EC">
      <w:pPr>
        <w:tabs>
          <w:tab w:val="left" w:pos="851"/>
        </w:tabs>
        <w:ind w:left="851"/>
        <w:rPr>
          <w:sz w:val="24"/>
          <w:szCs w:val="24"/>
        </w:rPr>
      </w:pPr>
      <w:r w:rsidRPr="005E31EC">
        <w:rPr>
          <w:sz w:val="24"/>
          <w:szCs w:val="24"/>
        </w:rPr>
        <w:t>Desloratadin var effektivt til at lindre generne ved sæsonbetinget allergisk rhinitis, vist ved den totale score i rhino</w:t>
      </w:r>
      <w:r w:rsidRPr="005E31EC">
        <w:rPr>
          <w:sz w:val="24"/>
          <w:szCs w:val="24"/>
        </w:rPr>
        <w:noBreakHyphen/>
        <w:t>konjunktivitis</w:t>
      </w:r>
      <w:r w:rsidRPr="005E31EC">
        <w:rPr>
          <w:sz w:val="24"/>
          <w:szCs w:val="24"/>
        </w:rPr>
        <w:noBreakHyphen/>
        <w:t>livskvalitetsspørgeskemaet. Den største forbedring sås for områderne praktiske problemer og daglige aktiviteter, begrænset af symptomer.</w:t>
      </w:r>
    </w:p>
    <w:p w14:paraId="12CDA0F3" w14:textId="77777777" w:rsidR="005E31EC" w:rsidRPr="005E31EC" w:rsidRDefault="005E31EC" w:rsidP="005E31EC">
      <w:pPr>
        <w:tabs>
          <w:tab w:val="left" w:pos="851"/>
        </w:tabs>
        <w:ind w:left="851"/>
        <w:rPr>
          <w:sz w:val="24"/>
          <w:szCs w:val="24"/>
        </w:rPr>
      </w:pPr>
    </w:p>
    <w:p w14:paraId="75A44132" w14:textId="77777777" w:rsidR="005E31EC" w:rsidRPr="005E31EC" w:rsidRDefault="005E31EC" w:rsidP="005E31EC">
      <w:pPr>
        <w:tabs>
          <w:tab w:val="left" w:pos="851"/>
        </w:tabs>
        <w:ind w:left="851"/>
        <w:rPr>
          <w:sz w:val="24"/>
          <w:szCs w:val="24"/>
        </w:rPr>
      </w:pPr>
      <w:r w:rsidRPr="005E31EC">
        <w:rPr>
          <w:sz w:val="24"/>
          <w:szCs w:val="24"/>
        </w:rPr>
        <w:lastRenderedPageBreak/>
        <w:t>Kronisk idiopatisk urticaria er blevet undersøgt som en klinisk model for urticarialidelser, da den patofysiologi der ligger til grund herfor er tilsvarende uanset ætiologi, og fordi kroniske patienter lettere kan rekrutteres prospektivt. Da der er en sammenhæng mellem frigivelse af histamin og alle urticarialidelser, forventes det, at desloratadin giver effektiv symptomlindring ved andre urticarialidelser udover kronisk idiopatisk urticaria, som det anbefales i kliniske vejledninger.</w:t>
      </w:r>
    </w:p>
    <w:p w14:paraId="396620D6" w14:textId="77777777" w:rsidR="005E31EC" w:rsidRPr="005E31EC" w:rsidRDefault="005E31EC" w:rsidP="005E31EC">
      <w:pPr>
        <w:tabs>
          <w:tab w:val="left" w:pos="851"/>
        </w:tabs>
        <w:ind w:left="851"/>
        <w:rPr>
          <w:sz w:val="24"/>
          <w:szCs w:val="24"/>
        </w:rPr>
      </w:pPr>
    </w:p>
    <w:p w14:paraId="1E068D62" w14:textId="77777777" w:rsidR="005E31EC" w:rsidRPr="005E31EC" w:rsidRDefault="005E31EC" w:rsidP="005E31EC">
      <w:pPr>
        <w:tabs>
          <w:tab w:val="left" w:pos="851"/>
        </w:tabs>
        <w:ind w:left="851"/>
        <w:rPr>
          <w:sz w:val="24"/>
          <w:szCs w:val="24"/>
        </w:rPr>
      </w:pPr>
      <w:r w:rsidRPr="005E31EC">
        <w:rPr>
          <w:sz w:val="24"/>
          <w:szCs w:val="24"/>
        </w:rPr>
        <w:t>I to placebokontrollerede seks</w:t>
      </w:r>
      <w:r w:rsidRPr="005E31EC">
        <w:rPr>
          <w:sz w:val="24"/>
          <w:szCs w:val="24"/>
        </w:rPr>
        <w:noBreakHyphen/>
        <w:t>ugers studier hos patienter med kronisk idiopatisk urticaria var desloratadin effektivt til at lindre kløe og mindske størrelsen og antallet af kløende udslæt ved slutningen af det første doseringsinterval. I hvert studie var virkningerne vedvarende over doseringsintervallet på 24 timer. Som i andre antihistaminstudier ved kronisk idiopatisk urticaria blev de få patienter, der var identificeret som ikke</w:t>
      </w:r>
      <w:r w:rsidRPr="005E31EC">
        <w:rPr>
          <w:sz w:val="24"/>
          <w:szCs w:val="24"/>
        </w:rPr>
        <w:noBreakHyphen/>
        <w:t>responderende på antihistaminer, ekskluderet. En forbedring af kløe på mere end 50 % blev set hos 55 % af patienterne behandlet med desloratadin sammenlignet med 19 % af patienter behandlet med placebo. Behandling med desloratadin reducerede også signifikant påvirkningen af søvn og daglig funktionsevne, målt ved en fire</w:t>
      </w:r>
      <w:r w:rsidRPr="005E31EC">
        <w:rPr>
          <w:sz w:val="24"/>
          <w:szCs w:val="24"/>
        </w:rPr>
        <w:noBreakHyphen/>
        <w:t>points</w:t>
      </w:r>
      <w:r w:rsidRPr="005E31EC">
        <w:rPr>
          <w:sz w:val="24"/>
          <w:szCs w:val="24"/>
        </w:rPr>
        <w:noBreakHyphen/>
        <w:t>skala, der anvendtes for at vurdere disse parametre.</w:t>
      </w:r>
    </w:p>
    <w:p w14:paraId="7C6AA1B2" w14:textId="77777777" w:rsidR="005E31EC" w:rsidRPr="005E31EC" w:rsidRDefault="005E31EC" w:rsidP="005E31EC">
      <w:pPr>
        <w:tabs>
          <w:tab w:val="left" w:pos="851"/>
        </w:tabs>
        <w:ind w:left="851"/>
        <w:rPr>
          <w:sz w:val="24"/>
          <w:szCs w:val="24"/>
        </w:rPr>
      </w:pPr>
    </w:p>
    <w:p w14:paraId="050D6489" w14:textId="77777777" w:rsidR="009260DE" w:rsidRPr="00C84483" w:rsidRDefault="009260DE" w:rsidP="009260DE">
      <w:pPr>
        <w:tabs>
          <w:tab w:val="left" w:pos="851"/>
        </w:tabs>
        <w:ind w:left="851" w:hanging="851"/>
        <w:rPr>
          <w:b/>
          <w:sz w:val="24"/>
          <w:szCs w:val="24"/>
        </w:rPr>
      </w:pPr>
      <w:r w:rsidRPr="00C84483">
        <w:rPr>
          <w:b/>
          <w:sz w:val="24"/>
          <w:szCs w:val="24"/>
        </w:rPr>
        <w:t>5.2</w:t>
      </w:r>
      <w:r w:rsidRPr="00C84483">
        <w:rPr>
          <w:b/>
          <w:sz w:val="24"/>
          <w:szCs w:val="24"/>
        </w:rPr>
        <w:tab/>
        <w:t>Farmakokinetiske egenskaber</w:t>
      </w:r>
    </w:p>
    <w:p w14:paraId="6DAD499C" w14:textId="77777777" w:rsidR="00060478" w:rsidRPr="00E4046B" w:rsidRDefault="00060478" w:rsidP="00060478">
      <w:pPr>
        <w:tabs>
          <w:tab w:val="left" w:pos="851"/>
        </w:tabs>
        <w:ind w:left="851"/>
        <w:rPr>
          <w:sz w:val="24"/>
          <w:szCs w:val="24"/>
          <w:u w:val="single"/>
        </w:rPr>
      </w:pPr>
    </w:p>
    <w:p w14:paraId="25A193FB" w14:textId="19A86EBF" w:rsidR="00060478" w:rsidRPr="00E4046B" w:rsidRDefault="00060478" w:rsidP="00060478">
      <w:pPr>
        <w:tabs>
          <w:tab w:val="left" w:pos="851"/>
        </w:tabs>
        <w:ind w:left="851"/>
        <w:rPr>
          <w:sz w:val="24"/>
          <w:szCs w:val="24"/>
          <w:u w:val="single"/>
        </w:rPr>
      </w:pPr>
      <w:r w:rsidRPr="00E4046B">
        <w:rPr>
          <w:sz w:val="24"/>
          <w:szCs w:val="24"/>
          <w:u w:val="single"/>
        </w:rPr>
        <w:t>Absorption</w:t>
      </w:r>
    </w:p>
    <w:p w14:paraId="42B6BB08" w14:textId="77777777" w:rsidR="00060478" w:rsidRPr="00E4046B" w:rsidRDefault="00060478" w:rsidP="00060478">
      <w:pPr>
        <w:tabs>
          <w:tab w:val="left" w:pos="851"/>
        </w:tabs>
        <w:ind w:left="851"/>
        <w:rPr>
          <w:sz w:val="24"/>
          <w:szCs w:val="24"/>
        </w:rPr>
      </w:pPr>
      <w:r w:rsidRPr="00E4046B">
        <w:rPr>
          <w:sz w:val="24"/>
          <w:szCs w:val="24"/>
        </w:rPr>
        <w:t>Desloratadin</w:t>
      </w:r>
      <w:r w:rsidRPr="00E4046B">
        <w:rPr>
          <w:sz w:val="24"/>
          <w:szCs w:val="24"/>
        </w:rPr>
        <w:noBreakHyphen/>
        <w:t>plasmakoncentrationer kan påvises inden for 30 minutter efter indgift. Desloratadin bliver godt absorberet med maksimumkoncentration opnået efter cirka 3 timer; terminalfase</w:t>
      </w:r>
      <w:r w:rsidRPr="00E4046B">
        <w:rPr>
          <w:sz w:val="24"/>
          <w:szCs w:val="24"/>
        </w:rPr>
        <w:softHyphen/>
        <w:t>halveringstiden er cirka 27 timer. Graden af akkumulation for desloratadin var i overensstemmelse med dets halveringstid (cirka 27 timer) og doseringshyppigheden på én gang daglig. Biotilgængeligheden for desloratadin var dosisproportional over området 5 mg til 20 mg.</w:t>
      </w:r>
    </w:p>
    <w:p w14:paraId="7731FA3E" w14:textId="77777777" w:rsidR="00060478" w:rsidRPr="00E4046B" w:rsidRDefault="00060478" w:rsidP="00060478">
      <w:pPr>
        <w:tabs>
          <w:tab w:val="left" w:pos="851"/>
        </w:tabs>
        <w:ind w:left="851"/>
        <w:rPr>
          <w:sz w:val="24"/>
          <w:szCs w:val="24"/>
        </w:rPr>
      </w:pPr>
    </w:p>
    <w:p w14:paraId="02998FD3" w14:textId="77777777" w:rsidR="00C722DC" w:rsidRPr="00E4046B" w:rsidRDefault="00C722DC" w:rsidP="00C722DC">
      <w:pPr>
        <w:tabs>
          <w:tab w:val="left" w:pos="851"/>
        </w:tabs>
        <w:ind w:left="851"/>
        <w:rPr>
          <w:sz w:val="24"/>
          <w:szCs w:val="24"/>
        </w:rPr>
      </w:pPr>
      <w:r w:rsidRPr="00E4046B">
        <w:rPr>
          <w:sz w:val="24"/>
          <w:szCs w:val="24"/>
        </w:rPr>
        <w:t>I en række farmakokinetiske og kliniske studier nåede 6 % af patienterne en højere koncentration af desloratadin. Prævalensen af denne fænotype med dårlig metaboliseringsgrad var højere for sorte voksne end kaukasiske voksne (18 % vs. 2 %), men sikkerhedsprofilen for disse patienter var ikke forskellig fra den generelle population.</w:t>
      </w:r>
    </w:p>
    <w:p w14:paraId="43EFF32D" w14:textId="77777777" w:rsidR="00060478" w:rsidRPr="00E4046B" w:rsidRDefault="00060478" w:rsidP="00060478">
      <w:pPr>
        <w:tabs>
          <w:tab w:val="left" w:pos="851"/>
        </w:tabs>
        <w:ind w:left="851"/>
        <w:rPr>
          <w:sz w:val="24"/>
          <w:szCs w:val="24"/>
        </w:rPr>
      </w:pPr>
    </w:p>
    <w:p w14:paraId="6750DA04" w14:textId="77777777" w:rsidR="00060478" w:rsidRPr="00E4046B" w:rsidRDefault="00060478" w:rsidP="00060478">
      <w:pPr>
        <w:tabs>
          <w:tab w:val="left" w:pos="851"/>
        </w:tabs>
        <w:ind w:left="851"/>
        <w:rPr>
          <w:sz w:val="24"/>
          <w:szCs w:val="24"/>
        </w:rPr>
      </w:pPr>
      <w:r w:rsidRPr="00E4046B">
        <w:rPr>
          <w:sz w:val="24"/>
          <w:szCs w:val="24"/>
        </w:rPr>
        <w:t>I et farmakokinetisk flerdosisstudie udført med tabletformuleringen til raske voksne personer, var fire personer dårlige til at metabolisere desloratadin. Disse personer havde en C</w:t>
      </w:r>
      <w:r w:rsidRPr="00E4046B">
        <w:rPr>
          <w:sz w:val="24"/>
          <w:szCs w:val="24"/>
          <w:vertAlign w:val="subscript"/>
        </w:rPr>
        <w:t>max</w:t>
      </w:r>
      <w:r w:rsidRPr="00E4046B">
        <w:rPr>
          <w:sz w:val="24"/>
          <w:szCs w:val="24"/>
        </w:rPr>
        <w:noBreakHyphen/>
        <w:t>koncentration, der var omkring 3 gange højere ved cirka 7 timer og havde en halveringstid i terminalfasen på cirka 89 timer.</w:t>
      </w:r>
    </w:p>
    <w:p w14:paraId="23C8AF09" w14:textId="77777777" w:rsidR="00060478" w:rsidRPr="00E4046B" w:rsidRDefault="00060478" w:rsidP="00060478">
      <w:pPr>
        <w:tabs>
          <w:tab w:val="left" w:pos="851"/>
        </w:tabs>
        <w:ind w:left="851"/>
        <w:rPr>
          <w:sz w:val="24"/>
          <w:szCs w:val="24"/>
        </w:rPr>
      </w:pPr>
    </w:p>
    <w:p w14:paraId="64EFAF1B" w14:textId="77777777" w:rsidR="00060478" w:rsidRPr="00E4046B" w:rsidRDefault="00060478" w:rsidP="00060478">
      <w:pPr>
        <w:tabs>
          <w:tab w:val="left" w:pos="851"/>
        </w:tabs>
        <w:ind w:left="851"/>
        <w:rPr>
          <w:sz w:val="24"/>
          <w:szCs w:val="24"/>
          <w:u w:val="single"/>
        </w:rPr>
      </w:pPr>
      <w:r w:rsidRPr="00E4046B">
        <w:rPr>
          <w:sz w:val="24"/>
          <w:szCs w:val="24"/>
          <w:u w:val="single"/>
        </w:rPr>
        <w:t>Fordeling</w:t>
      </w:r>
    </w:p>
    <w:p w14:paraId="5A1D798C" w14:textId="77777777" w:rsidR="00060478" w:rsidRPr="00E4046B" w:rsidRDefault="00060478" w:rsidP="00060478">
      <w:pPr>
        <w:tabs>
          <w:tab w:val="left" w:pos="851"/>
        </w:tabs>
        <w:ind w:left="851"/>
        <w:rPr>
          <w:sz w:val="24"/>
          <w:szCs w:val="24"/>
        </w:rPr>
      </w:pPr>
      <w:r w:rsidRPr="00E4046B">
        <w:rPr>
          <w:sz w:val="24"/>
          <w:szCs w:val="24"/>
        </w:rPr>
        <w:t>Desloratadin er moderat bundet (83 % </w:t>
      </w:r>
      <w:r w:rsidRPr="00E4046B">
        <w:rPr>
          <w:sz w:val="24"/>
          <w:szCs w:val="24"/>
        </w:rPr>
        <w:noBreakHyphen/>
        <w:t> 87 %) til plasmaproteiner. Der er ikke noget, der tyder på klinisk relevant akkumulering af lægemidlet efter dosering en gang daglig med desloratadin (5 mg til 20 mg) i 14 dage.</w:t>
      </w:r>
    </w:p>
    <w:p w14:paraId="37CCC86D" w14:textId="77777777" w:rsidR="00060478" w:rsidRPr="00E4046B" w:rsidRDefault="00060478" w:rsidP="00060478">
      <w:pPr>
        <w:tabs>
          <w:tab w:val="left" w:pos="851"/>
        </w:tabs>
        <w:ind w:left="851"/>
        <w:rPr>
          <w:sz w:val="24"/>
          <w:szCs w:val="24"/>
        </w:rPr>
      </w:pPr>
    </w:p>
    <w:p w14:paraId="4631CBE6" w14:textId="77777777" w:rsidR="00060478" w:rsidRPr="00E4046B" w:rsidRDefault="00060478" w:rsidP="00060478">
      <w:pPr>
        <w:tabs>
          <w:tab w:val="left" w:pos="851"/>
        </w:tabs>
        <w:ind w:left="851"/>
        <w:rPr>
          <w:sz w:val="24"/>
          <w:szCs w:val="24"/>
        </w:rPr>
      </w:pPr>
      <w:r w:rsidRPr="00E4046B">
        <w:rPr>
          <w:sz w:val="24"/>
          <w:szCs w:val="24"/>
          <w:u w:val="single"/>
        </w:rPr>
        <w:t>Biotransformation</w:t>
      </w:r>
    </w:p>
    <w:p w14:paraId="7F680946" w14:textId="77777777" w:rsidR="00060478" w:rsidRPr="00E4046B" w:rsidRDefault="00060478" w:rsidP="00060478">
      <w:pPr>
        <w:tabs>
          <w:tab w:val="left" w:pos="851"/>
        </w:tabs>
        <w:ind w:left="851"/>
        <w:rPr>
          <w:sz w:val="24"/>
          <w:szCs w:val="24"/>
        </w:rPr>
      </w:pPr>
      <w:r w:rsidRPr="00E4046B">
        <w:rPr>
          <w:sz w:val="24"/>
          <w:szCs w:val="24"/>
        </w:rPr>
        <w:t xml:space="preserve">Enzymet, der er ansvarligt for metaboliseringen af desloratadin, er endnu ikke blevet identificeret, og nogle interaktioner med andre lægemidler kan derfor ikke fuldstændigt udelukkes. Desloratadin hæmmer ikke CYP3A4 </w:t>
      </w:r>
      <w:r w:rsidRPr="00E4046B">
        <w:rPr>
          <w:i/>
          <w:iCs/>
          <w:sz w:val="24"/>
          <w:szCs w:val="24"/>
        </w:rPr>
        <w:t>in vivo</w:t>
      </w:r>
      <w:r w:rsidRPr="00E4046B">
        <w:rPr>
          <w:sz w:val="24"/>
          <w:szCs w:val="24"/>
        </w:rPr>
        <w:t xml:space="preserve">, og </w:t>
      </w:r>
      <w:r w:rsidRPr="00E4046B">
        <w:rPr>
          <w:i/>
          <w:iCs/>
          <w:sz w:val="24"/>
          <w:szCs w:val="24"/>
        </w:rPr>
        <w:t>in vitro</w:t>
      </w:r>
      <w:r w:rsidRPr="00E4046B">
        <w:rPr>
          <w:sz w:val="24"/>
          <w:szCs w:val="24"/>
        </w:rPr>
        <w:noBreakHyphen/>
        <w:t>studier har vist, at lægemidlet ikke hæmmer CYP2D6 og hverken er et substrat for eller en hæmmer af P</w:t>
      </w:r>
      <w:r w:rsidRPr="00E4046B">
        <w:rPr>
          <w:sz w:val="24"/>
          <w:szCs w:val="24"/>
        </w:rPr>
        <w:noBreakHyphen/>
        <w:t>glycoprotein.</w:t>
      </w:r>
    </w:p>
    <w:p w14:paraId="5538B0A6" w14:textId="77777777" w:rsidR="00060478" w:rsidRPr="00E4046B" w:rsidRDefault="00060478" w:rsidP="00060478">
      <w:pPr>
        <w:tabs>
          <w:tab w:val="left" w:pos="851"/>
        </w:tabs>
        <w:ind w:left="851"/>
        <w:rPr>
          <w:sz w:val="24"/>
          <w:szCs w:val="24"/>
        </w:rPr>
      </w:pPr>
    </w:p>
    <w:p w14:paraId="7ADDB1A2" w14:textId="46118D8F" w:rsidR="00060478" w:rsidRPr="00E4046B" w:rsidRDefault="00060478" w:rsidP="00060478">
      <w:pPr>
        <w:tabs>
          <w:tab w:val="left" w:pos="851"/>
        </w:tabs>
        <w:ind w:left="851"/>
        <w:rPr>
          <w:sz w:val="24"/>
          <w:szCs w:val="24"/>
        </w:rPr>
      </w:pPr>
      <w:r w:rsidRPr="00E4046B">
        <w:rPr>
          <w:sz w:val="24"/>
          <w:szCs w:val="24"/>
        </w:rPr>
        <w:lastRenderedPageBreak/>
        <w:t>I et enkeltdosis</w:t>
      </w:r>
      <w:r w:rsidRPr="00E4046B">
        <w:rPr>
          <w:sz w:val="24"/>
          <w:szCs w:val="24"/>
        </w:rPr>
        <w:noBreakHyphen/>
        <w:t>overkrydsningsstudie af desloratadin 5 mg smeltetabletter med desloratadin 5 mg konventionelle tabletter var formuleringerne bioækvivalente</w:t>
      </w:r>
      <w:r w:rsidR="00C722DC" w:rsidRPr="00E4046B">
        <w:rPr>
          <w:sz w:val="24"/>
          <w:szCs w:val="24"/>
        </w:rPr>
        <w:t>.</w:t>
      </w:r>
    </w:p>
    <w:p w14:paraId="25F4922F" w14:textId="77777777" w:rsidR="00060478" w:rsidRPr="00E4046B" w:rsidRDefault="00060478" w:rsidP="00060478">
      <w:pPr>
        <w:tabs>
          <w:tab w:val="left" w:pos="851"/>
        </w:tabs>
        <w:ind w:left="851"/>
        <w:rPr>
          <w:sz w:val="24"/>
          <w:szCs w:val="24"/>
        </w:rPr>
      </w:pPr>
    </w:p>
    <w:p w14:paraId="3298D224" w14:textId="77777777" w:rsidR="00060478" w:rsidRPr="00E4046B" w:rsidRDefault="00060478" w:rsidP="00060478">
      <w:pPr>
        <w:tabs>
          <w:tab w:val="left" w:pos="851"/>
        </w:tabs>
        <w:ind w:left="851"/>
        <w:rPr>
          <w:sz w:val="24"/>
          <w:szCs w:val="24"/>
          <w:u w:val="single"/>
        </w:rPr>
      </w:pPr>
      <w:r w:rsidRPr="00E4046B">
        <w:rPr>
          <w:sz w:val="24"/>
          <w:szCs w:val="24"/>
          <w:u w:val="single"/>
        </w:rPr>
        <w:t>Elimination</w:t>
      </w:r>
    </w:p>
    <w:p w14:paraId="2BC28A58" w14:textId="77777777" w:rsidR="00060478" w:rsidRPr="00E4046B" w:rsidRDefault="00060478" w:rsidP="00060478">
      <w:pPr>
        <w:tabs>
          <w:tab w:val="left" w:pos="851"/>
        </w:tabs>
        <w:ind w:left="851"/>
        <w:rPr>
          <w:sz w:val="24"/>
          <w:szCs w:val="24"/>
        </w:rPr>
      </w:pPr>
      <w:r w:rsidRPr="00E4046B">
        <w:rPr>
          <w:sz w:val="24"/>
          <w:szCs w:val="24"/>
        </w:rPr>
        <w:t>Tilstedeværelsen af mad forlænger T</w:t>
      </w:r>
      <w:r w:rsidRPr="00E4046B">
        <w:rPr>
          <w:sz w:val="24"/>
          <w:szCs w:val="24"/>
          <w:vertAlign w:val="subscript"/>
        </w:rPr>
        <w:t xml:space="preserve">max </w:t>
      </w:r>
      <w:r w:rsidRPr="00E4046B">
        <w:rPr>
          <w:sz w:val="24"/>
          <w:szCs w:val="24"/>
        </w:rPr>
        <w:t>for desloratadin fra 2,5 til 4 timer og T</w:t>
      </w:r>
      <w:r w:rsidRPr="00E4046B">
        <w:rPr>
          <w:sz w:val="24"/>
          <w:szCs w:val="24"/>
          <w:vertAlign w:val="subscript"/>
        </w:rPr>
        <w:t>max</w:t>
      </w:r>
      <w:r w:rsidRPr="00E4046B">
        <w:rPr>
          <w:sz w:val="24"/>
          <w:szCs w:val="24"/>
        </w:rPr>
        <w:t xml:space="preserve"> for 3</w:t>
      </w:r>
      <w:r w:rsidRPr="00E4046B">
        <w:rPr>
          <w:sz w:val="24"/>
          <w:szCs w:val="24"/>
        </w:rPr>
        <w:noBreakHyphen/>
        <w:t>OH</w:t>
      </w:r>
      <w:r w:rsidRPr="00E4046B">
        <w:rPr>
          <w:sz w:val="24"/>
          <w:szCs w:val="24"/>
        </w:rPr>
        <w:noBreakHyphen/>
        <w:t>desloratadin fra 4 til 6 timer. I et separat studie havde grapefrugtjuice ingen indflydelse på metaboliseringen af desloratadin. Vand havde ingen indvirkning på biotilgængeligheden af desloratadin smeltetabletter.</w:t>
      </w:r>
    </w:p>
    <w:p w14:paraId="61420E96" w14:textId="77777777" w:rsidR="00060478" w:rsidRPr="00E4046B" w:rsidRDefault="00060478" w:rsidP="00060478">
      <w:pPr>
        <w:tabs>
          <w:tab w:val="left" w:pos="851"/>
        </w:tabs>
        <w:ind w:left="851"/>
        <w:rPr>
          <w:sz w:val="24"/>
          <w:szCs w:val="24"/>
        </w:rPr>
      </w:pPr>
    </w:p>
    <w:p w14:paraId="3E36684F" w14:textId="77777777" w:rsidR="00060478" w:rsidRPr="00E4046B" w:rsidRDefault="00060478" w:rsidP="00060478">
      <w:pPr>
        <w:tabs>
          <w:tab w:val="left" w:pos="851"/>
        </w:tabs>
        <w:ind w:left="851"/>
        <w:rPr>
          <w:sz w:val="24"/>
          <w:szCs w:val="24"/>
          <w:u w:val="single"/>
        </w:rPr>
      </w:pPr>
      <w:r w:rsidRPr="00E4046B">
        <w:rPr>
          <w:sz w:val="24"/>
          <w:szCs w:val="24"/>
          <w:u w:val="single"/>
        </w:rPr>
        <w:t>Patienter med nedsat nyrefunktion</w:t>
      </w:r>
    </w:p>
    <w:p w14:paraId="484C740B" w14:textId="77777777" w:rsidR="00060478" w:rsidRPr="00E4046B" w:rsidRDefault="00060478" w:rsidP="00060478">
      <w:pPr>
        <w:tabs>
          <w:tab w:val="left" w:pos="851"/>
        </w:tabs>
        <w:ind w:left="851"/>
        <w:rPr>
          <w:sz w:val="24"/>
          <w:szCs w:val="24"/>
        </w:rPr>
      </w:pPr>
      <w:r w:rsidRPr="00E4046B">
        <w:rPr>
          <w:sz w:val="24"/>
          <w:szCs w:val="24"/>
        </w:rPr>
        <w:t xml:space="preserve">Farmakokinetikken for desloratadin hos patienter med kronisk nyreinsufficiens (CRI) og raske personer blev sammenlignet i et enkeltdosisstudie og et flerdosisstudie. I enkeltdosisstudiet var eksponeringen for desloratadin ca. 2 gange højere hos patienter med let til moderat CRI og ca. 2,5 gange højere hos patienter med svær CRI sammenlignet med raske personer. I flerdosisstudiet blev </w:t>
      </w:r>
      <w:r w:rsidRPr="00E4046B">
        <w:rPr>
          <w:i/>
          <w:iCs/>
          <w:sz w:val="24"/>
          <w:szCs w:val="24"/>
        </w:rPr>
        <w:t xml:space="preserve">steady state </w:t>
      </w:r>
      <w:r w:rsidRPr="00E4046B">
        <w:rPr>
          <w:sz w:val="24"/>
          <w:szCs w:val="24"/>
        </w:rPr>
        <w:t>nået efter dag 11, og eksponeringen for desloratadin var ~1,5 gange højere hos patienter med mild til moderat CRI og ~2,5 gange højere hos patienter med svær CRI sammenlignet med raske personer. Ændringerne i eksponering (AUC og C</w:t>
      </w:r>
      <w:r w:rsidRPr="00E4046B">
        <w:rPr>
          <w:sz w:val="24"/>
          <w:szCs w:val="24"/>
          <w:vertAlign w:val="subscript"/>
        </w:rPr>
        <w:t>max</w:t>
      </w:r>
      <w:r w:rsidRPr="00E4046B">
        <w:rPr>
          <w:sz w:val="24"/>
          <w:szCs w:val="24"/>
        </w:rPr>
        <w:t>) for desloratadin og 3-hydroxydesloratadin var ikke klinisk relevante i nogen af studierne.</w:t>
      </w:r>
    </w:p>
    <w:p w14:paraId="59CC865F" w14:textId="77777777" w:rsidR="009260DE" w:rsidRPr="00E4046B" w:rsidRDefault="009260DE" w:rsidP="009260DE">
      <w:pPr>
        <w:tabs>
          <w:tab w:val="left" w:pos="851"/>
        </w:tabs>
        <w:ind w:left="851"/>
        <w:rPr>
          <w:sz w:val="24"/>
          <w:szCs w:val="24"/>
        </w:rPr>
      </w:pPr>
    </w:p>
    <w:p w14:paraId="164BC28E" w14:textId="77777777" w:rsidR="009260DE" w:rsidRPr="00E4046B" w:rsidRDefault="009260DE" w:rsidP="009260DE">
      <w:pPr>
        <w:tabs>
          <w:tab w:val="left" w:pos="851"/>
        </w:tabs>
        <w:ind w:left="851" w:hanging="851"/>
        <w:rPr>
          <w:b/>
          <w:sz w:val="24"/>
          <w:szCs w:val="24"/>
        </w:rPr>
      </w:pPr>
      <w:r w:rsidRPr="00E4046B">
        <w:rPr>
          <w:b/>
          <w:sz w:val="24"/>
          <w:szCs w:val="24"/>
        </w:rPr>
        <w:t>5.3</w:t>
      </w:r>
      <w:r w:rsidRPr="00E4046B">
        <w:rPr>
          <w:b/>
          <w:sz w:val="24"/>
          <w:szCs w:val="24"/>
        </w:rPr>
        <w:tab/>
      </w:r>
      <w:r w:rsidR="00BD7931" w:rsidRPr="00E4046B">
        <w:rPr>
          <w:b/>
          <w:sz w:val="24"/>
          <w:szCs w:val="24"/>
        </w:rPr>
        <w:t>Non-</w:t>
      </w:r>
      <w:r w:rsidRPr="00E4046B">
        <w:rPr>
          <w:b/>
          <w:sz w:val="24"/>
          <w:szCs w:val="24"/>
        </w:rPr>
        <w:t>kliniske sikkerhedsdata</w:t>
      </w:r>
    </w:p>
    <w:p w14:paraId="3176A944" w14:textId="77777777" w:rsidR="00060478" w:rsidRPr="00E4046B" w:rsidRDefault="00060478" w:rsidP="00060478">
      <w:pPr>
        <w:tabs>
          <w:tab w:val="left" w:pos="851"/>
        </w:tabs>
        <w:ind w:left="851"/>
        <w:rPr>
          <w:sz w:val="24"/>
          <w:szCs w:val="24"/>
        </w:rPr>
      </w:pPr>
      <w:r w:rsidRPr="00E4046B">
        <w:rPr>
          <w:sz w:val="24"/>
          <w:szCs w:val="24"/>
        </w:rPr>
        <w:t>Desloratadin er den primære aktive metabolit af loratadin. Non</w:t>
      </w:r>
      <w:r w:rsidRPr="00E4046B">
        <w:rPr>
          <w:sz w:val="24"/>
          <w:szCs w:val="24"/>
        </w:rPr>
        <w:noBreakHyphen/>
        <w:t>kliniske studier udført med desloratadin og loratadin viste, at der ikke var nogle kvalitative eller kvantitative forskelle i toksicitetsprofilen mellem desloratadin og loratadin ved sammenlignelig eksponering i forhold til desloratadin.</w:t>
      </w:r>
    </w:p>
    <w:p w14:paraId="30485984" w14:textId="77777777" w:rsidR="00060478" w:rsidRPr="00E4046B" w:rsidRDefault="00060478" w:rsidP="00060478">
      <w:pPr>
        <w:tabs>
          <w:tab w:val="left" w:pos="851"/>
        </w:tabs>
        <w:ind w:left="851"/>
        <w:rPr>
          <w:sz w:val="24"/>
          <w:szCs w:val="24"/>
        </w:rPr>
      </w:pPr>
    </w:p>
    <w:p w14:paraId="629EDF30" w14:textId="77777777" w:rsidR="00060478" w:rsidRPr="00E4046B" w:rsidRDefault="00060478" w:rsidP="00060478">
      <w:pPr>
        <w:tabs>
          <w:tab w:val="left" w:pos="851"/>
        </w:tabs>
        <w:ind w:left="851"/>
        <w:rPr>
          <w:sz w:val="24"/>
          <w:szCs w:val="24"/>
        </w:rPr>
      </w:pPr>
      <w:r w:rsidRPr="00E4046B">
        <w:rPr>
          <w:sz w:val="24"/>
          <w:szCs w:val="24"/>
        </w:rPr>
        <w:t>Non</w:t>
      </w:r>
      <w:r w:rsidRPr="00E4046B">
        <w:rPr>
          <w:sz w:val="24"/>
          <w:szCs w:val="24"/>
        </w:rPr>
        <w:noBreakHyphen/>
        <w:t>kliniske data viser ingen speciel risiko for mennesker vurderet ud fra konventionelle studier af sikkerhedsfarmakologi, toksicitet efter gentagne doser, genotoksicitet, karcinogent potentiale samt reproduktions</w:t>
      </w:r>
      <w:r w:rsidRPr="00E4046B">
        <w:rPr>
          <w:sz w:val="24"/>
          <w:szCs w:val="24"/>
        </w:rPr>
        <w:noBreakHyphen/>
        <w:t xml:space="preserve"> og udviklingstoksicitet. Den samlede analyse af non</w:t>
      </w:r>
      <w:r w:rsidRPr="00E4046B">
        <w:rPr>
          <w:sz w:val="24"/>
          <w:szCs w:val="24"/>
        </w:rPr>
        <w:noBreakHyphen/>
        <w:t>kliniske og kliniske irritationsstudier for smeltetabletten tyder på, at det er usandsynligt, at denne formulering udgør nogen risiko for lokal irritation ved klinisk anvendelse. Manglende karcinogent potentiale blev vist i studier med desloratadin og loratadin.</w:t>
      </w:r>
    </w:p>
    <w:p w14:paraId="3614DC91" w14:textId="2A707553" w:rsidR="00060478" w:rsidRPr="00E4046B" w:rsidRDefault="00060478">
      <w:pPr>
        <w:rPr>
          <w:sz w:val="24"/>
          <w:szCs w:val="24"/>
        </w:rPr>
      </w:pPr>
    </w:p>
    <w:p w14:paraId="5DE03DAF" w14:textId="77777777" w:rsidR="009260DE" w:rsidRPr="00E4046B" w:rsidRDefault="009260DE" w:rsidP="009260DE">
      <w:pPr>
        <w:tabs>
          <w:tab w:val="left" w:pos="851"/>
        </w:tabs>
        <w:ind w:left="851"/>
        <w:rPr>
          <w:sz w:val="24"/>
          <w:szCs w:val="24"/>
        </w:rPr>
      </w:pPr>
    </w:p>
    <w:p w14:paraId="595E8130" w14:textId="77777777" w:rsidR="009260DE" w:rsidRPr="00E4046B" w:rsidRDefault="009260DE" w:rsidP="009260DE">
      <w:pPr>
        <w:tabs>
          <w:tab w:val="left" w:pos="851"/>
        </w:tabs>
        <w:ind w:left="851" w:hanging="851"/>
        <w:rPr>
          <w:b/>
          <w:sz w:val="24"/>
          <w:szCs w:val="24"/>
        </w:rPr>
      </w:pPr>
      <w:r w:rsidRPr="00E4046B">
        <w:rPr>
          <w:b/>
          <w:sz w:val="24"/>
          <w:szCs w:val="24"/>
        </w:rPr>
        <w:t>6.</w:t>
      </w:r>
      <w:r w:rsidRPr="00E4046B">
        <w:rPr>
          <w:b/>
          <w:sz w:val="24"/>
          <w:szCs w:val="24"/>
        </w:rPr>
        <w:tab/>
        <w:t>FARMACEUTISKE OPLYSNINGER</w:t>
      </w:r>
    </w:p>
    <w:p w14:paraId="198EF877" w14:textId="77777777" w:rsidR="009260DE" w:rsidRPr="00E4046B" w:rsidRDefault="009260DE" w:rsidP="009260DE">
      <w:pPr>
        <w:tabs>
          <w:tab w:val="left" w:pos="851"/>
        </w:tabs>
        <w:ind w:left="851"/>
        <w:rPr>
          <w:sz w:val="24"/>
          <w:szCs w:val="24"/>
        </w:rPr>
      </w:pPr>
    </w:p>
    <w:p w14:paraId="1CDEA188" w14:textId="77777777" w:rsidR="009260DE" w:rsidRPr="00E4046B" w:rsidRDefault="009260DE" w:rsidP="009260DE">
      <w:pPr>
        <w:tabs>
          <w:tab w:val="left" w:pos="851"/>
        </w:tabs>
        <w:ind w:left="851" w:hanging="851"/>
        <w:rPr>
          <w:b/>
          <w:sz w:val="24"/>
          <w:szCs w:val="24"/>
        </w:rPr>
      </w:pPr>
      <w:r w:rsidRPr="00E4046B">
        <w:rPr>
          <w:b/>
          <w:sz w:val="24"/>
          <w:szCs w:val="24"/>
        </w:rPr>
        <w:t>6.1</w:t>
      </w:r>
      <w:r w:rsidRPr="00E4046B">
        <w:rPr>
          <w:b/>
          <w:sz w:val="24"/>
          <w:szCs w:val="24"/>
        </w:rPr>
        <w:tab/>
        <w:t>Hjælpestoffer</w:t>
      </w:r>
    </w:p>
    <w:p w14:paraId="7687DC3D" w14:textId="77777777" w:rsidR="00060478" w:rsidRPr="00E4046B" w:rsidRDefault="00060478" w:rsidP="00060478">
      <w:pPr>
        <w:tabs>
          <w:tab w:val="left" w:pos="851"/>
        </w:tabs>
        <w:ind w:left="851"/>
        <w:rPr>
          <w:sz w:val="24"/>
          <w:szCs w:val="24"/>
        </w:rPr>
      </w:pPr>
      <w:r w:rsidRPr="00E4046B">
        <w:rPr>
          <w:sz w:val="24"/>
          <w:szCs w:val="24"/>
        </w:rPr>
        <w:t>Mannitol (E421)</w:t>
      </w:r>
    </w:p>
    <w:p w14:paraId="5518FB88" w14:textId="77777777" w:rsidR="00060478" w:rsidRPr="00E4046B" w:rsidRDefault="00060478" w:rsidP="00060478">
      <w:pPr>
        <w:tabs>
          <w:tab w:val="left" w:pos="851"/>
        </w:tabs>
        <w:ind w:left="851"/>
        <w:rPr>
          <w:sz w:val="24"/>
          <w:szCs w:val="24"/>
        </w:rPr>
      </w:pPr>
      <w:r w:rsidRPr="00E4046B">
        <w:rPr>
          <w:sz w:val="24"/>
          <w:szCs w:val="24"/>
        </w:rPr>
        <w:t>Cellulose, mikrokrystallinsk</w:t>
      </w:r>
    </w:p>
    <w:p w14:paraId="3A76757C" w14:textId="77777777" w:rsidR="00060478" w:rsidRPr="00E4046B" w:rsidRDefault="00060478" w:rsidP="00060478">
      <w:pPr>
        <w:tabs>
          <w:tab w:val="left" w:pos="851"/>
        </w:tabs>
        <w:ind w:left="851"/>
        <w:rPr>
          <w:sz w:val="24"/>
          <w:szCs w:val="24"/>
        </w:rPr>
      </w:pPr>
      <w:r w:rsidRPr="00E4046B">
        <w:rPr>
          <w:sz w:val="24"/>
          <w:szCs w:val="24"/>
        </w:rPr>
        <w:t>Croscarmellosenatrium</w:t>
      </w:r>
    </w:p>
    <w:p w14:paraId="6D85F128" w14:textId="77777777" w:rsidR="00060478" w:rsidRPr="00E4046B" w:rsidRDefault="00060478" w:rsidP="00060478">
      <w:pPr>
        <w:tabs>
          <w:tab w:val="left" w:pos="851"/>
        </w:tabs>
        <w:ind w:left="851"/>
        <w:rPr>
          <w:sz w:val="24"/>
          <w:szCs w:val="24"/>
        </w:rPr>
      </w:pPr>
      <w:r w:rsidRPr="00E4046B">
        <w:rPr>
          <w:sz w:val="24"/>
          <w:szCs w:val="24"/>
        </w:rPr>
        <w:t>Majsstivelse</w:t>
      </w:r>
    </w:p>
    <w:p w14:paraId="468186F0" w14:textId="77777777" w:rsidR="00060478" w:rsidRPr="00E4046B" w:rsidRDefault="00060478" w:rsidP="00060478">
      <w:pPr>
        <w:tabs>
          <w:tab w:val="left" w:pos="851"/>
        </w:tabs>
        <w:ind w:left="851"/>
        <w:rPr>
          <w:sz w:val="24"/>
          <w:szCs w:val="24"/>
        </w:rPr>
      </w:pPr>
      <w:r w:rsidRPr="00E4046B">
        <w:rPr>
          <w:sz w:val="24"/>
          <w:szCs w:val="24"/>
        </w:rPr>
        <w:t>Rød jernoxid</w:t>
      </w:r>
    </w:p>
    <w:p w14:paraId="72228551" w14:textId="77777777" w:rsidR="00060478" w:rsidRPr="00E4046B" w:rsidRDefault="00060478" w:rsidP="00060478">
      <w:pPr>
        <w:tabs>
          <w:tab w:val="left" w:pos="851"/>
        </w:tabs>
        <w:ind w:left="851"/>
        <w:rPr>
          <w:sz w:val="24"/>
          <w:szCs w:val="24"/>
        </w:rPr>
      </w:pPr>
      <w:r w:rsidRPr="00E4046B">
        <w:rPr>
          <w:sz w:val="24"/>
          <w:szCs w:val="24"/>
        </w:rPr>
        <w:t>Polacrilinkalium</w:t>
      </w:r>
    </w:p>
    <w:p w14:paraId="3161765A" w14:textId="77777777" w:rsidR="00060478" w:rsidRPr="00E4046B" w:rsidRDefault="00060478" w:rsidP="00060478">
      <w:pPr>
        <w:tabs>
          <w:tab w:val="left" w:pos="851"/>
        </w:tabs>
        <w:ind w:left="851"/>
        <w:rPr>
          <w:sz w:val="24"/>
          <w:szCs w:val="24"/>
        </w:rPr>
      </w:pPr>
      <w:r w:rsidRPr="00E4046B">
        <w:rPr>
          <w:sz w:val="24"/>
          <w:szCs w:val="24"/>
        </w:rPr>
        <w:t xml:space="preserve">Citronsyre </w:t>
      </w:r>
    </w:p>
    <w:p w14:paraId="03063357" w14:textId="77777777" w:rsidR="00060478" w:rsidRPr="00E4046B" w:rsidRDefault="00060478" w:rsidP="00060478">
      <w:pPr>
        <w:tabs>
          <w:tab w:val="left" w:pos="851"/>
        </w:tabs>
        <w:ind w:left="851"/>
        <w:rPr>
          <w:sz w:val="24"/>
          <w:szCs w:val="24"/>
        </w:rPr>
      </w:pPr>
      <w:r w:rsidRPr="00E4046B">
        <w:rPr>
          <w:sz w:val="24"/>
          <w:szCs w:val="24"/>
        </w:rPr>
        <w:t>Pebermyntesmag (maltodextrin, akaciegummi, smagskomponenter)</w:t>
      </w:r>
    </w:p>
    <w:p w14:paraId="1FEC3F83" w14:textId="77777777" w:rsidR="00060478" w:rsidRPr="00E4046B" w:rsidRDefault="00060478" w:rsidP="00060478">
      <w:pPr>
        <w:tabs>
          <w:tab w:val="left" w:pos="851"/>
        </w:tabs>
        <w:ind w:left="851"/>
        <w:rPr>
          <w:sz w:val="24"/>
          <w:szCs w:val="24"/>
        </w:rPr>
      </w:pPr>
      <w:r w:rsidRPr="00E4046B">
        <w:rPr>
          <w:sz w:val="24"/>
          <w:szCs w:val="24"/>
        </w:rPr>
        <w:t>Aspartam (E951)</w:t>
      </w:r>
    </w:p>
    <w:p w14:paraId="454D5331" w14:textId="77777777" w:rsidR="00060478" w:rsidRPr="00E4046B" w:rsidRDefault="00060478" w:rsidP="00060478">
      <w:pPr>
        <w:tabs>
          <w:tab w:val="left" w:pos="851"/>
        </w:tabs>
        <w:ind w:left="851"/>
        <w:rPr>
          <w:sz w:val="24"/>
          <w:szCs w:val="24"/>
        </w:rPr>
      </w:pPr>
      <w:r w:rsidRPr="00E4046B">
        <w:rPr>
          <w:sz w:val="24"/>
          <w:szCs w:val="24"/>
        </w:rPr>
        <w:t>Magnesiumstearat</w:t>
      </w:r>
    </w:p>
    <w:p w14:paraId="0A57E8CA" w14:textId="77777777" w:rsidR="009260DE" w:rsidRPr="00E4046B" w:rsidRDefault="009260DE" w:rsidP="009260DE">
      <w:pPr>
        <w:tabs>
          <w:tab w:val="left" w:pos="851"/>
        </w:tabs>
        <w:ind w:left="851"/>
        <w:rPr>
          <w:sz w:val="24"/>
          <w:szCs w:val="24"/>
        </w:rPr>
      </w:pPr>
    </w:p>
    <w:p w14:paraId="698A395D" w14:textId="77777777" w:rsidR="009260DE" w:rsidRPr="00E4046B" w:rsidRDefault="009260DE" w:rsidP="009260DE">
      <w:pPr>
        <w:tabs>
          <w:tab w:val="left" w:pos="851"/>
        </w:tabs>
        <w:ind w:left="851" w:hanging="851"/>
        <w:rPr>
          <w:b/>
          <w:sz w:val="24"/>
          <w:szCs w:val="24"/>
        </w:rPr>
      </w:pPr>
      <w:r w:rsidRPr="00E4046B">
        <w:rPr>
          <w:b/>
          <w:sz w:val="24"/>
          <w:szCs w:val="24"/>
        </w:rPr>
        <w:t>6.2</w:t>
      </w:r>
      <w:r w:rsidRPr="00E4046B">
        <w:rPr>
          <w:b/>
          <w:sz w:val="24"/>
          <w:szCs w:val="24"/>
        </w:rPr>
        <w:tab/>
        <w:t>Uforligeligheder</w:t>
      </w:r>
    </w:p>
    <w:p w14:paraId="76C79686" w14:textId="685D3C1C" w:rsidR="009260DE" w:rsidRPr="00E4046B" w:rsidRDefault="00060478" w:rsidP="009260DE">
      <w:pPr>
        <w:tabs>
          <w:tab w:val="left" w:pos="851"/>
        </w:tabs>
        <w:ind w:left="851"/>
        <w:rPr>
          <w:sz w:val="24"/>
          <w:szCs w:val="24"/>
        </w:rPr>
      </w:pPr>
      <w:r w:rsidRPr="00E4046B">
        <w:rPr>
          <w:sz w:val="24"/>
          <w:szCs w:val="24"/>
        </w:rPr>
        <w:t>Ikke relevant.</w:t>
      </w:r>
    </w:p>
    <w:p w14:paraId="61E6888A" w14:textId="77777777" w:rsidR="009260DE" w:rsidRPr="00E4046B" w:rsidRDefault="009260DE" w:rsidP="009260DE">
      <w:pPr>
        <w:tabs>
          <w:tab w:val="left" w:pos="851"/>
        </w:tabs>
        <w:ind w:left="851"/>
        <w:rPr>
          <w:sz w:val="24"/>
          <w:szCs w:val="24"/>
        </w:rPr>
      </w:pPr>
    </w:p>
    <w:p w14:paraId="64110BB2" w14:textId="77777777" w:rsidR="009260DE" w:rsidRPr="00E4046B" w:rsidRDefault="009260DE" w:rsidP="009260DE">
      <w:pPr>
        <w:tabs>
          <w:tab w:val="left" w:pos="851"/>
        </w:tabs>
        <w:ind w:left="851" w:hanging="851"/>
        <w:rPr>
          <w:b/>
          <w:sz w:val="24"/>
          <w:szCs w:val="24"/>
        </w:rPr>
      </w:pPr>
      <w:r w:rsidRPr="00E4046B">
        <w:rPr>
          <w:b/>
          <w:sz w:val="24"/>
          <w:szCs w:val="24"/>
        </w:rPr>
        <w:t>6.3</w:t>
      </w:r>
      <w:r w:rsidRPr="00E4046B">
        <w:rPr>
          <w:b/>
          <w:sz w:val="24"/>
          <w:szCs w:val="24"/>
        </w:rPr>
        <w:tab/>
        <w:t>Opbevaringstid</w:t>
      </w:r>
    </w:p>
    <w:p w14:paraId="7CFA8546" w14:textId="51E14C59" w:rsidR="009260DE" w:rsidRPr="00E4046B" w:rsidRDefault="00060478" w:rsidP="0089346F">
      <w:pPr>
        <w:tabs>
          <w:tab w:val="left" w:pos="851"/>
        </w:tabs>
        <w:ind w:left="851"/>
        <w:rPr>
          <w:rFonts w:eastAsia="MS Mincho" w:hAnsi="MS Mincho"/>
          <w:noProof/>
          <w:sz w:val="24"/>
          <w:szCs w:val="24"/>
        </w:rPr>
      </w:pPr>
      <w:r w:rsidRPr="00E4046B">
        <w:rPr>
          <w:sz w:val="24"/>
          <w:szCs w:val="24"/>
        </w:rPr>
        <w:t>30 måneder.</w:t>
      </w:r>
    </w:p>
    <w:p w14:paraId="31D7D7ED" w14:textId="77777777" w:rsidR="009260DE" w:rsidRPr="00C84483" w:rsidRDefault="009260DE" w:rsidP="009260DE">
      <w:pPr>
        <w:tabs>
          <w:tab w:val="left" w:pos="851"/>
        </w:tabs>
        <w:ind w:left="851"/>
        <w:rPr>
          <w:sz w:val="24"/>
          <w:szCs w:val="24"/>
        </w:rPr>
      </w:pPr>
    </w:p>
    <w:p w14:paraId="40835E90" w14:textId="77777777" w:rsidR="009260DE" w:rsidRPr="00C84483" w:rsidRDefault="009260DE" w:rsidP="009260DE">
      <w:pPr>
        <w:tabs>
          <w:tab w:val="left" w:pos="851"/>
        </w:tabs>
        <w:ind w:left="851" w:hanging="851"/>
        <w:rPr>
          <w:b/>
          <w:sz w:val="24"/>
          <w:szCs w:val="24"/>
        </w:rPr>
      </w:pPr>
      <w:r w:rsidRPr="00C84483">
        <w:rPr>
          <w:b/>
          <w:sz w:val="24"/>
          <w:szCs w:val="24"/>
        </w:rPr>
        <w:t>6.4</w:t>
      </w:r>
      <w:r w:rsidRPr="00C84483">
        <w:rPr>
          <w:b/>
          <w:sz w:val="24"/>
          <w:szCs w:val="24"/>
        </w:rPr>
        <w:tab/>
        <w:t>Særlige opbevaringsforhold</w:t>
      </w:r>
    </w:p>
    <w:p w14:paraId="30259BA6" w14:textId="77777777" w:rsidR="00060478" w:rsidRPr="00060478" w:rsidRDefault="00060478" w:rsidP="00060478">
      <w:pPr>
        <w:tabs>
          <w:tab w:val="left" w:pos="851"/>
        </w:tabs>
        <w:ind w:left="851"/>
        <w:rPr>
          <w:sz w:val="24"/>
          <w:szCs w:val="24"/>
        </w:rPr>
      </w:pPr>
      <w:r w:rsidRPr="00060478">
        <w:rPr>
          <w:sz w:val="24"/>
          <w:szCs w:val="24"/>
        </w:rPr>
        <w:t>Dette lægemiddel kræver ingen særlige forholdsregler vedrørende opbevaringen.</w:t>
      </w:r>
    </w:p>
    <w:p w14:paraId="57DF8434" w14:textId="77777777" w:rsidR="009260DE" w:rsidRPr="00C84483" w:rsidRDefault="009260DE" w:rsidP="009260DE">
      <w:pPr>
        <w:tabs>
          <w:tab w:val="left" w:pos="851"/>
        </w:tabs>
        <w:ind w:left="851"/>
        <w:rPr>
          <w:sz w:val="24"/>
          <w:szCs w:val="24"/>
        </w:rPr>
      </w:pPr>
    </w:p>
    <w:p w14:paraId="341BD0EA" w14:textId="77777777" w:rsidR="009260DE" w:rsidRPr="00C84483" w:rsidRDefault="009260DE" w:rsidP="009260DE">
      <w:pPr>
        <w:tabs>
          <w:tab w:val="left" w:pos="851"/>
        </w:tabs>
        <w:ind w:left="851" w:hanging="851"/>
        <w:rPr>
          <w:b/>
          <w:sz w:val="24"/>
          <w:szCs w:val="24"/>
        </w:rPr>
      </w:pPr>
      <w:r w:rsidRPr="00C84483">
        <w:rPr>
          <w:b/>
          <w:sz w:val="24"/>
          <w:szCs w:val="24"/>
        </w:rPr>
        <w:t>6.5</w:t>
      </w:r>
      <w:r w:rsidRPr="00C84483">
        <w:rPr>
          <w:b/>
          <w:sz w:val="24"/>
          <w:szCs w:val="24"/>
        </w:rPr>
        <w:tab/>
        <w:t>Emballagetype og pakningsstørrelser</w:t>
      </w:r>
    </w:p>
    <w:p w14:paraId="71D7D3F0" w14:textId="7242D196" w:rsidR="00060478" w:rsidRDefault="00060478" w:rsidP="00060478">
      <w:pPr>
        <w:tabs>
          <w:tab w:val="left" w:pos="851"/>
        </w:tabs>
        <w:ind w:left="851"/>
        <w:rPr>
          <w:sz w:val="24"/>
          <w:szCs w:val="24"/>
        </w:rPr>
      </w:pPr>
      <w:r w:rsidRPr="00060478">
        <w:rPr>
          <w:sz w:val="24"/>
          <w:szCs w:val="24"/>
        </w:rPr>
        <w:t>Aluminium/aluminiumblister</w:t>
      </w:r>
    </w:p>
    <w:p w14:paraId="086F62FA" w14:textId="77777777" w:rsidR="00060478" w:rsidRPr="00060478" w:rsidRDefault="00060478" w:rsidP="00060478">
      <w:pPr>
        <w:tabs>
          <w:tab w:val="left" w:pos="851"/>
        </w:tabs>
        <w:ind w:left="851"/>
        <w:rPr>
          <w:sz w:val="24"/>
          <w:szCs w:val="24"/>
        </w:rPr>
      </w:pPr>
    </w:p>
    <w:p w14:paraId="7FEA9851" w14:textId="77777777" w:rsidR="00060478" w:rsidRPr="00060478" w:rsidRDefault="00060478" w:rsidP="00060478">
      <w:pPr>
        <w:tabs>
          <w:tab w:val="left" w:pos="851"/>
        </w:tabs>
        <w:ind w:left="851"/>
        <w:rPr>
          <w:sz w:val="24"/>
          <w:szCs w:val="24"/>
        </w:rPr>
      </w:pPr>
      <w:r w:rsidRPr="00060478">
        <w:rPr>
          <w:sz w:val="24"/>
          <w:szCs w:val="24"/>
        </w:rPr>
        <w:t>Pakningsstørrelser: 30, 90 og 100 smeltetabletter.</w:t>
      </w:r>
    </w:p>
    <w:p w14:paraId="65E25EA0" w14:textId="77777777" w:rsidR="00060478" w:rsidRPr="00060478" w:rsidRDefault="00060478" w:rsidP="00060478">
      <w:pPr>
        <w:tabs>
          <w:tab w:val="left" w:pos="851"/>
        </w:tabs>
        <w:ind w:left="851"/>
        <w:rPr>
          <w:sz w:val="24"/>
          <w:szCs w:val="24"/>
        </w:rPr>
      </w:pPr>
    </w:p>
    <w:p w14:paraId="3854FC10" w14:textId="77777777" w:rsidR="00060478" w:rsidRPr="00060478" w:rsidRDefault="00060478" w:rsidP="00060478">
      <w:pPr>
        <w:tabs>
          <w:tab w:val="left" w:pos="851"/>
        </w:tabs>
        <w:ind w:left="851"/>
        <w:rPr>
          <w:sz w:val="24"/>
          <w:szCs w:val="24"/>
        </w:rPr>
      </w:pPr>
      <w:r w:rsidRPr="00060478">
        <w:rPr>
          <w:sz w:val="24"/>
          <w:szCs w:val="24"/>
        </w:rPr>
        <w:t>Ikke alle pakningsstørrelser er nødvendigvis markedsført.</w:t>
      </w:r>
    </w:p>
    <w:p w14:paraId="3A672C20" w14:textId="77777777" w:rsidR="009260DE" w:rsidRPr="00C84483" w:rsidRDefault="009260DE" w:rsidP="009260DE">
      <w:pPr>
        <w:tabs>
          <w:tab w:val="left" w:pos="851"/>
        </w:tabs>
        <w:ind w:left="851"/>
        <w:rPr>
          <w:sz w:val="24"/>
          <w:szCs w:val="24"/>
        </w:rPr>
      </w:pPr>
    </w:p>
    <w:p w14:paraId="2314A151" w14:textId="77777777" w:rsidR="009260DE" w:rsidRPr="00C84483" w:rsidRDefault="009260DE" w:rsidP="009260DE">
      <w:pPr>
        <w:tabs>
          <w:tab w:val="left" w:pos="851"/>
        </w:tabs>
        <w:ind w:left="851" w:hanging="851"/>
        <w:rPr>
          <w:b/>
          <w:sz w:val="24"/>
          <w:szCs w:val="24"/>
        </w:rPr>
      </w:pPr>
      <w:r w:rsidRPr="00C84483">
        <w:rPr>
          <w:b/>
          <w:sz w:val="24"/>
          <w:szCs w:val="24"/>
        </w:rPr>
        <w:t>6.6</w:t>
      </w:r>
      <w:r w:rsidRPr="00C84483">
        <w:rPr>
          <w:b/>
          <w:sz w:val="24"/>
          <w:szCs w:val="24"/>
        </w:rPr>
        <w:tab/>
        <w:t xml:space="preserve">Regler for </w:t>
      </w:r>
      <w:r w:rsidR="00BD7931">
        <w:rPr>
          <w:b/>
          <w:sz w:val="24"/>
          <w:szCs w:val="24"/>
        </w:rPr>
        <w:t>bortskaffelse</w:t>
      </w:r>
      <w:r w:rsidRPr="00C84483">
        <w:rPr>
          <w:b/>
          <w:sz w:val="24"/>
          <w:szCs w:val="24"/>
        </w:rPr>
        <w:t xml:space="preserve"> og anden håndtering</w:t>
      </w:r>
    </w:p>
    <w:p w14:paraId="1602D2B4" w14:textId="77777777" w:rsidR="00060478" w:rsidRPr="00060478" w:rsidRDefault="00060478" w:rsidP="00060478">
      <w:pPr>
        <w:tabs>
          <w:tab w:val="left" w:pos="851"/>
        </w:tabs>
        <w:ind w:left="851"/>
        <w:rPr>
          <w:sz w:val="24"/>
          <w:szCs w:val="24"/>
        </w:rPr>
      </w:pPr>
      <w:r w:rsidRPr="00060478">
        <w:rPr>
          <w:sz w:val="24"/>
          <w:szCs w:val="24"/>
        </w:rPr>
        <w:t>Ikke anvendt lægemiddel samt affald heraf skal bortskaffes i henhold til lokale retningslinjer.</w:t>
      </w:r>
    </w:p>
    <w:p w14:paraId="0A785A88" w14:textId="77777777" w:rsidR="009260DE" w:rsidRPr="00C84483" w:rsidRDefault="009260DE" w:rsidP="000730CA">
      <w:pPr>
        <w:tabs>
          <w:tab w:val="left" w:pos="851"/>
        </w:tabs>
        <w:ind w:left="851"/>
        <w:rPr>
          <w:sz w:val="24"/>
          <w:szCs w:val="24"/>
        </w:rPr>
      </w:pPr>
    </w:p>
    <w:p w14:paraId="4635BA85" w14:textId="77777777" w:rsidR="009260DE" w:rsidRPr="00C84483" w:rsidRDefault="009260DE" w:rsidP="009260DE">
      <w:pPr>
        <w:tabs>
          <w:tab w:val="left" w:pos="851"/>
        </w:tabs>
        <w:ind w:left="851" w:hanging="851"/>
        <w:rPr>
          <w:b/>
          <w:sz w:val="24"/>
          <w:szCs w:val="24"/>
        </w:rPr>
      </w:pPr>
      <w:r w:rsidRPr="00C84483">
        <w:rPr>
          <w:b/>
          <w:sz w:val="24"/>
          <w:szCs w:val="24"/>
        </w:rPr>
        <w:t>7.</w:t>
      </w:r>
      <w:r w:rsidRPr="00C84483">
        <w:rPr>
          <w:b/>
          <w:sz w:val="24"/>
          <w:szCs w:val="24"/>
        </w:rPr>
        <w:tab/>
        <w:t>INDEHAVER AF MARKEDSFØRINGSTILLADELSEN</w:t>
      </w:r>
    </w:p>
    <w:p w14:paraId="7B9F326E" w14:textId="77777777" w:rsidR="00060478" w:rsidRPr="00C33A70" w:rsidRDefault="00060478" w:rsidP="00060478">
      <w:pPr>
        <w:tabs>
          <w:tab w:val="left" w:pos="851"/>
        </w:tabs>
        <w:ind w:left="851"/>
        <w:rPr>
          <w:sz w:val="24"/>
          <w:szCs w:val="24"/>
        </w:rPr>
      </w:pPr>
      <w:r w:rsidRPr="00C33A70">
        <w:rPr>
          <w:sz w:val="24"/>
          <w:szCs w:val="24"/>
        </w:rPr>
        <w:t>Orion Corporation</w:t>
      </w:r>
    </w:p>
    <w:p w14:paraId="255E8F9D" w14:textId="77777777" w:rsidR="00060478" w:rsidRPr="00C33A70" w:rsidRDefault="00060478" w:rsidP="00060478">
      <w:pPr>
        <w:tabs>
          <w:tab w:val="left" w:pos="851"/>
        </w:tabs>
        <w:ind w:left="851"/>
        <w:rPr>
          <w:sz w:val="24"/>
          <w:szCs w:val="24"/>
        </w:rPr>
      </w:pPr>
      <w:r w:rsidRPr="00C33A70">
        <w:rPr>
          <w:sz w:val="24"/>
          <w:szCs w:val="24"/>
        </w:rPr>
        <w:t>Orionintie 1</w:t>
      </w:r>
    </w:p>
    <w:p w14:paraId="37B83202" w14:textId="77777777" w:rsidR="00060478" w:rsidRPr="00060478" w:rsidRDefault="00060478" w:rsidP="00060478">
      <w:pPr>
        <w:tabs>
          <w:tab w:val="left" w:pos="851"/>
        </w:tabs>
        <w:ind w:left="851"/>
        <w:rPr>
          <w:sz w:val="24"/>
          <w:szCs w:val="24"/>
          <w:lang w:val="en-US"/>
        </w:rPr>
      </w:pPr>
      <w:r w:rsidRPr="00060478">
        <w:rPr>
          <w:sz w:val="24"/>
          <w:szCs w:val="24"/>
          <w:lang w:val="en-US"/>
        </w:rPr>
        <w:t>FI-02200 Espoo</w:t>
      </w:r>
    </w:p>
    <w:p w14:paraId="30634481" w14:textId="77777777" w:rsidR="00060478" w:rsidRPr="00060478" w:rsidRDefault="00060478" w:rsidP="00060478">
      <w:pPr>
        <w:tabs>
          <w:tab w:val="left" w:pos="851"/>
        </w:tabs>
        <w:ind w:left="851"/>
        <w:rPr>
          <w:sz w:val="24"/>
          <w:szCs w:val="24"/>
          <w:lang w:val="en-US"/>
        </w:rPr>
      </w:pPr>
      <w:r w:rsidRPr="00060478">
        <w:rPr>
          <w:sz w:val="24"/>
          <w:szCs w:val="24"/>
          <w:lang w:val="en-US"/>
        </w:rPr>
        <w:t>Finland</w:t>
      </w:r>
    </w:p>
    <w:p w14:paraId="6B47D12B" w14:textId="77777777" w:rsidR="00060478" w:rsidRPr="00060478" w:rsidRDefault="00060478" w:rsidP="00060478">
      <w:pPr>
        <w:tabs>
          <w:tab w:val="left" w:pos="851"/>
        </w:tabs>
        <w:ind w:left="851"/>
        <w:rPr>
          <w:sz w:val="24"/>
          <w:szCs w:val="24"/>
          <w:lang w:val="en-US"/>
        </w:rPr>
      </w:pPr>
    </w:p>
    <w:p w14:paraId="3D304353" w14:textId="77777777" w:rsidR="00060478" w:rsidRPr="00C33A70" w:rsidRDefault="00060478" w:rsidP="00060478">
      <w:pPr>
        <w:tabs>
          <w:tab w:val="left" w:pos="851"/>
        </w:tabs>
        <w:ind w:left="851"/>
        <w:rPr>
          <w:b/>
          <w:bCs/>
          <w:sz w:val="24"/>
          <w:szCs w:val="24"/>
          <w:lang w:val="en-US"/>
        </w:rPr>
      </w:pPr>
      <w:r w:rsidRPr="00C33A70">
        <w:rPr>
          <w:b/>
          <w:bCs/>
          <w:sz w:val="24"/>
          <w:szCs w:val="24"/>
          <w:lang w:val="en-US"/>
        </w:rPr>
        <w:t>Repræsentant</w:t>
      </w:r>
    </w:p>
    <w:p w14:paraId="7F93A5C9" w14:textId="77777777" w:rsidR="00060478" w:rsidRPr="00C33A70" w:rsidRDefault="00060478" w:rsidP="00060478">
      <w:pPr>
        <w:tabs>
          <w:tab w:val="left" w:pos="851"/>
        </w:tabs>
        <w:ind w:left="851"/>
        <w:rPr>
          <w:sz w:val="24"/>
          <w:szCs w:val="24"/>
          <w:lang w:val="en-US"/>
        </w:rPr>
      </w:pPr>
      <w:r w:rsidRPr="00C33A70">
        <w:rPr>
          <w:sz w:val="24"/>
          <w:szCs w:val="24"/>
          <w:lang w:val="en-US"/>
        </w:rPr>
        <w:t>Orion Pharma A/S</w:t>
      </w:r>
    </w:p>
    <w:p w14:paraId="5E4BF9AB" w14:textId="77777777" w:rsidR="00060478" w:rsidRPr="00060478" w:rsidRDefault="00060478" w:rsidP="00060478">
      <w:pPr>
        <w:tabs>
          <w:tab w:val="left" w:pos="851"/>
        </w:tabs>
        <w:ind w:left="851"/>
        <w:rPr>
          <w:sz w:val="24"/>
          <w:szCs w:val="24"/>
        </w:rPr>
      </w:pPr>
      <w:r w:rsidRPr="00060478">
        <w:rPr>
          <w:sz w:val="24"/>
          <w:szCs w:val="24"/>
        </w:rPr>
        <w:t>Ørestads Boulevard 73</w:t>
      </w:r>
    </w:p>
    <w:p w14:paraId="23B5F375" w14:textId="77777777" w:rsidR="00060478" w:rsidRPr="00060478" w:rsidRDefault="00060478" w:rsidP="00060478">
      <w:pPr>
        <w:tabs>
          <w:tab w:val="left" w:pos="851"/>
        </w:tabs>
        <w:ind w:left="851"/>
        <w:rPr>
          <w:sz w:val="24"/>
          <w:szCs w:val="24"/>
        </w:rPr>
      </w:pPr>
      <w:r w:rsidRPr="00060478">
        <w:rPr>
          <w:sz w:val="24"/>
          <w:szCs w:val="24"/>
        </w:rPr>
        <w:t>2300 København S</w:t>
      </w:r>
    </w:p>
    <w:p w14:paraId="40E5ECAB" w14:textId="77777777" w:rsidR="00641C65" w:rsidRPr="00641C65" w:rsidRDefault="00641C65" w:rsidP="009260DE">
      <w:pPr>
        <w:tabs>
          <w:tab w:val="left" w:pos="851"/>
        </w:tabs>
        <w:ind w:left="851"/>
        <w:rPr>
          <w:sz w:val="24"/>
          <w:szCs w:val="24"/>
        </w:rPr>
      </w:pPr>
    </w:p>
    <w:p w14:paraId="4FB53AD4" w14:textId="77777777" w:rsidR="009260DE" w:rsidRPr="00C84483" w:rsidRDefault="009260DE" w:rsidP="009260DE">
      <w:pPr>
        <w:tabs>
          <w:tab w:val="left" w:pos="851"/>
        </w:tabs>
        <w:ind w:left="851" w:hanging="851"/>
        <w:rPr>
          <w:b/>
          <w:sz w:val="24"/>
          <w:szCs w:val="24"/>
        </w:rPr>
      </w:pPr>
      <w:r w:rsidRPr="00C84483">
        <w:rPr>
          <w:b/>
          <w:sz w:val="24"/>
          <w:szCs w:val="24"/>
        </w:rPr>
        <w:t>8.</w:t>
      </w:r>
      <w:r w:rsidRPr="00C84483">
        <w:rPr>
          <w:b/>
          <w:sz w:val="24"/>
          <w:szCs w:val="24"/>
        </w:rPr>
        <w:tab/>
        <w:t>MARKEDSFØRINGSTILLADELSESNUMMER (</w:t>
      </w:r>
      <w:r w:rsidR="00BF6243">
        <w:rPr>
          <w:b/>
          <w:sz w:val="24"/>
          <w:szCs w:val="24"/>
        </w:rPr>
        <w:t>-</w:t>
      </w:r>
      <w:r w:rsidRPr="00C84483">
        <w:rPr>
          <w:b/>
          <w:sz w:val="24"/>
          <w:szCs w:val="24"/>
        </w:rPr>
        <w:t>NUMRE)</w:t>
      </w:r>
    </w:p>
    <w:p w14:paraId="769EC7A1" w14:textId="0DB438A2" w:rsidR="009260DE" w:rsidRPr="00C84483" w:rsidRDefault="00060478" w:rsidP="009260DE">
      <w:pPr>
        <w:tabs>
          <w:tab w:val="left" w:pos="851"/>
        </w:tabs>
        <w:ind w:left="851"/>
        <w:rPr>
          <w:sz w:val="24"/>
          <w:szCs w:val="24"/>
        </w:rPr>
      </w:pPr>
      <w:r>
        <w:rPr>
          <w:sz w:val="24"/>
          <w:szCs w:val="24"/>
        </w:rPr>
        <w:t>72</w:t>
      </w:r>
      <w:r w:rsidR="00C33A70">
        <w:rPr>
          <w:sz w:val="24"/>
          <w:szCs w:val="24"/>
        </w:rPr>
        <w:t>678</w:t>
      </w:r>
    </w:p>
    <w:p w14:paraId="445D6BEA" w14:textId="77777777" w:rsidR="009260DE" w:rsidRPr="00C84483" w:rsidRDefault="009260DE" w:rsidP="009260DE">
      <w:pPr>
        <w:tabs>
          <w:tab w:val="left" w:pos="851"/>
        </w:tabs>
        <w:ind w:left="851"/>
        <w:jc w:val="both"/>
        <w:rPr>
          <w:sz w:val="24"/>
          <w:szCs w:val="24"/>
        </w:rPr>
      </w:pPr>
    </w:p>
    <w:p w14:paraId="4F01D6BC" w14:textId="77777777" w:rsidR="009260DE" w:rsidRPr="00C84483" w:rsidRDefault="009260DE" w:rsidP="009260DE">
      <w:pPr>
        <w:tabs>
          <w:tab w:val="left" w:pos="851"/>
        </w:tabs>
        <w:ind w:left="851" w:hanging="851"/>
        <w:rPr>
          <w:b/>
          <w:sz w:val="24"/>
          <w:szCs w:val="24"/>
        </w:rPr>
      </w:pPr>
      <w:r w:rsidRPr="00C84483">
        <w:rPr>
          <w:b/>
          <w:sz w:val="24"/>
          <w:szCs w:val="24"/>
        </w:rPr>
        <w:t>9.</w:t>
      </w:r>
      <w:r w:rsidRPr="00C84483">
        <w:rPr>
          <w:b/>
          <w:sz w:val="24"/>
          <w:szCs w:val="24"/>
        </w:rPr>
        <w:tab/>
        <w:t>DATO FOR FØRSTE MARKEDSFØRINGSTILLADELSE</w:t>
      </w:r>
    </w:p>
    <w:p w14:paraId="1497C543" w14:textId="2C667A5F" w:rsidR="009260DE" w:rsidRPr="00C84483" w:rsidRDefault="00636826" w:rsidP="009260DE">
      <w:pPr>
        <w:tabs>
          <w:tab w:val="left" w:pos="851"/>
        </w:tabs>
        <w:ind w:left="851"/>
        <w:rPr>
          <w:sz w:val="24"/>
          <w:szCs w:val="24"/>
        </w:rPr>
      </w:pPr>
      <w:r>
        <w:rPr>
          <w:sz w:val="24"/>
          <w:szCs w:val="24"/>
        </w:rPr>
        <w:t>18. februar 2026</w:t>
      </w:r>
    </w:p>
    <w:p w14:paraId="1D776273" w14:textId="77777777" w:rsidR="009260DE" w:rsidRPr="00C84483" w:rsidRDefault="009260DE" w:rsidP="009260DE">
      <w:pPr>
        <w:tabs>
          <w:tab w:val="left" w:pos="851"/>
        </w:tabs>
        <w:ind w:left="851"/>
        <w:rPr>
          <w:sz w:val="24"/>
          <w:szCs w:val="24"/>
        </w:rPr>
      </w:pPr>
    </w:p>
    <w:p w14:paraId="080897B8" w14:textId="77777777" w:rsidR="009260DE" w:rsidRPr="00C84483" w:rsidRDefault="009260DE" w:rsidP="009260DE">
      <w:pPr>
        <w:tabs>
          <w:tab w:val="left" w:pos="851"/>
        </w:tabs>
        <w:ind w:left="851" w:hanging="851"/>
        <w:rPr>
          <w:b/>
          <w:sz w:val="24"/>
          <w:szCs w:val="24"/>
        </w:rPr>
      </w:pPr>
      <w:r w:rsidRPr="00C84483">
        <w:rPr>
          <w:b/>
          <w:sz w:val="24"/>
          <w:szCs w:val="24"/>
        </w:rPr>
        <w:t>10.</w:t>
      </w:r>
      <w:r w:rsidRPr="00C84483">
        <w:rPr>
          <w:b/>
          <w:sz w:val="24"/>
          <w:szCs w:val="24"/>
        </w:rPr>
        <w:tab/>
        <w:t>DATO FOR ÆNDRING AF TEKSTEN</w:t>
      </w:r>
    </w:p>
    <w:p w14:paraId="4CB11B53" w14:textId="51059B11" w:rsidR="009260DE" w:rsidRPr="00C84483" w:rsidRDefault="00060478" w:rsidP="009260DE">
      <w:pPr>
        <w:tabs>
          <w:tab w:val="left" w:pos="851"/>
        </w:tabs>
        <w:ind w:left="851"/>
        <w:rPr>
          <w:sz w:val="24"/>
          <w:szCs w:val="24"/>
        </w:rPr>
      </w:pPr>
      <w:r>
        <w:rPr>
          <w:sz w:val="24"/>
          <w:szCs w:val="24"/>
        </w:rPr>
        <w:t>-</w:t>
      </w:r>
    </w:p>
    <w:sectPr w:rsidR="009260DE" w:rsidRPr="00C84483" w:rsidSect="000259B9">
      <w:footerReference w:type="default" r:id="rId8"/>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57D97F" w14:textId="77777777" w:rsidR="00D336D9" w:rsidRDefault="00D336D9">
      <w:r>
        <w:separator/>
      </w:r>
    </w:p>
  </w:endnote>
  <w:endnote w:type="continuationSeparator" w:id="0">
    <w:p w14:paraId="56B1771A" w14:textId="77777777" w:rsidR="00D336D9" w:rsidRDefault="00D33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6669D" w14:textId="77777777" w:rsidR="000259B9" w:rsidRDefault="000259B9">
    <w:pPr>
      <w:pStyle w:val="Sidefod"/>
      <w:pBdr>
        <w:bottom w:val="single" w:sz="6" w:space="1" w:color="auto"/>
      </w:pBdr>
    </w:pPr>
  </w:p>
  <w:p w14:paraId="3DFB63C9" w14:textId="77777777" w:rsidR="000259B9" w:rsidRDefault="000259B9" w:rsidP="00C42586">
    <w:pPr>
      <w:pStyle w:val="Sidefod"/>
      <w:tabs>
        <w:tab w:val="clear" w:pos="4819"/>
        <w:tab w:val="left" w:pos="8505"/>
      </w:tabs>
      <w:rPr>
        <w:i/>
        <w:sz w:val="18"/>
        <w:szCs w:val="18"/>
      </w:rPr>
    </w:pPr>
  </w:p>
  <w:p w14:paraId="702FEC2F" w14:textId="03C3C018"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C33A70">
      <w:rPr>
        <w:i/>
        <w:noProof/>
        <w:sz w:val="18"/>
        <w:szCs w:val="18"/>
      </w:rPr>
      <w:t>Desloratadin Orion, smeltetabletter 5 mg</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961540" w14:textId="77777777" w:rsidR="00D336D9" w:rsidRDefault="00D336D9">
      <w:r>
        <w:separator/>
      </w:r>
    </w:p>
  </w:footnote>
  <w:footnote w:type="continuationSeparator" w:id="0">
    <w:p w14:paraId="2B6533B4" w14:textId="77777777" w:rsidR="00D336D9" w:rsidRDefault="00D336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14F96"/>
    <w:multiLevelType w:val="hybridMultilevel"/>
    <w:tmpl w:val="02FCE2E4"/>
    <w:lvl w:ilvl="0" w:tplc="85A2057E">
      <w:numFmt w:val="bullet"/>
      <w:lvlText w:val="-"/>
      <w:lvlJc w:val="left"/>
      <w:pPr>
        <w:ind w:left="720" w:hanging="360"/>
      </w:pPr>
      <w:rPr>
        <w:rFonts w:ascii="Times New Roman" w:eastAsia="Times New Roman" w:hAnsi="Times New Roman"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4"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5"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6D9"/>
    <w:rsid w:val="000259B9"/>
    <w:rsid w:val="00041491"/>
    <w:rsid w:val="00050D16"/>
    <w:rsid w:val="00060478"/>
    <w:rsid w:val="000730CA"/>
    <w:rsid w:val="00074F2A"/>
    <w:rsid w:val="000A1CA8"/>
    <w:rsid w:val="000A466B"/>
    <w:rsid w:val="000B058C"/>
    <w:rsid w:val="000D68B0"/>
    <w:rsid w:val="000E4EE6"/>
    <w:rsid w:val="001454E2"/>
    <w:rsid w:val="00206CE8"/>
    <w:rsid w:val="0021526C"/>
    <w:rsid w:val="00283A2B"/>
    <w:rsid w:val="002B30AD"/>
    <w:rsid w:val="002C1EC0"/>
    <w:rsid w:val="002C2C01"/>
    <w:rsid w:val="003A29AE"/>
    <w:rsid w:val="003A32D7"/>
    <w:rsid w:val="003B4074"/>
    <w:rsid w:val="003C769A"/>
    <w:rsid w:val="003D3A90"/>
    <w:rsid w:val="003F1838"/>
    <w:rsid w:val="004251C1"/>
    <w:rsid w:val="0045746C"/>
    <w:rsid w:val="0049104B"/>
    <w:rsid w:val="004E3B12"/>
    <w:rsid w:val="00532310"/>
    <w:rsid w:val="005553E4"/>
    <w:rsid w:val="00565F0F"/>
    <w:rsid w:val="00594A86"/>
    <w:rsid w:val="00596D86"/>
    <w:rsid w:val="005E31EC"/>
    <w:rsid w:val="00636826"/>
    <w:rsid w:val="00637F5A"/>
    <w:rsid w:val="00641C65"/>
    <w:rsid w:val="006560B1"/>
    <w:rsid w:val="006756DD"/>
    <w:rsid w:val="0071241E"/>
    <w:rsid w:val="00737275"/>
    <w:rsid w:val="00740EEC"/>
    <w:rsid w:val="0078011A"/>
    <w:rsid w:val="00782AF4"/>
    <w:rsid w:val="00790EE7"/>
    <w:rsid w:val="007B6649"/>
    <w:rsid w:val="0082576E"/>
    <w:rsid w:val="0089346F"/>
    <w:rsid w:val="00907F75"/>
    <w:rsid w:val="009260DE"/>
    <w:rsid w:val="0093258A"/>
    <w:rsid w:val="009C7BA3"/>
    <w:rsid w:val="009D1F5A"/>
    <w:rsid w:val="00A10294"/>
    <w:rsid w:val="00AC5383"/>
    <w:rsid w:val="00B003BF"/>
    <w:rsid w:val="00B373D7"/>
    <w:rsid w:val="00B55271"/>
    <w:rsid w:val="00BD7931"/>
    <w:rsid w:val="00BF6243"/>
    <w:rsid w:val="00C33A70"/>
    <w:rsid w:val="00C36276"/>
    <w:rsid w:val="00C42586"/>
    <w:rsid w:val="00C45F6B"/>
    <w:rsid w:val="00C60CCD"/>
    <w:rsid w:val="00C722DC"/>
    <w:rsid w:val="00C84483"/>
    <w:rsid w:val="00C95551"/>
    <w:rsid w:val="00CB20D7"/>
    <w:rsid w:val="00D020B0"/>
    <w:rsid w:val="00D11748"/>
    <w:rsid w:val="00D237F6"/>
    <w:rsid w:val="00D336D9"/>
    <w:rsid w:val="00D34D98"/>
    <w:rsid w:val="00D366CF"/>
    <w:rsid w:val="00D93992"/>
    <w:rsid w:val="00DD1A4E"/>
    <w:rsid w:val="00DF6C95"/>
    <w:rsid w:val="00E108AA"/>
    <w:rsid w:val="00E3749A"/>
    <w:rsid w:val="00E4046B"/>
    <w:rsid w:val="00E7437F"/>
    <w:rsid w:val="00E865B8"/>
    <w:rsid w:val="00EC0B9B"/>
    <w:rsid w:val="00ED5E9F"/>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621C1F"/>
  <w15:chartTrackingRefBased/>
  <w15:docId w15:val="{04AF93E1-B42A-4F68-9475-5B3A94A2F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Hyperlink">
    <w:name w:val="Hyperlink"/>
    <w:uiPriority w:val="99"/>
    <w:semiHidden/>
    <w:unhideWhenUsed/>
    <w:rsid w:val="005553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2671">
      <w:bodyDiv w:val="1"/>
      <w:marLeft w:val="0"/>
      <w:marRight w:val="0"/>
      <w:marTop w:val="0"/>
      <w:marBottom w:val="0"/>
      <w:divBdr>
        <w:top w:val="none" w:sz="0" w:space="0" w:color="auto"/>
        <w:left w:val="none" w:sz="0" w:space="0" w:color="auto"/>
        <w:bottom w:val="none" w:sz="0" w:space="0" w:color="auto"/>
        <w:right w:val="none" w:sz="0" w:space="0" w:color="auto"/>
      </w:divBdr>
      <w:divsChild>
        <w:div w:id="762265691">
          <w:marLeft w:val="0"/>
          <w:marRight w:val="0"/>
          <w:marTop w:val="0"/>
          <w:marBottom w:val="0"/>
          <w:divBdr>
            <w:top w:val="none" w:sz="0" w:space="0" w:color="auto"/>
            <w:left w:val="none" w:sz="0" w:space="0" w:color="auto"/>
            <w:bottom w:val="none" w:sz="0" w:space="0" w:color="auto"/>
            <w:right w:val="none" w:sz="0" w:space="0" w:color="auto"/>
          </w:divBdr>
          <w:divsChild>
            <w:div w:id="24091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55164">
      <w:bodyDiv w:val="1"/>
      <w:marLeft w:val="0"/>
      <w:marRight w:val="0"/>
      <w:marTop w:val="0"/>
      <w:marBottom w:val="0"/>
      <w:divBdr>
        <w:top w:val="none" w:sz="0" w:space="0" w:color="auto"/>
        <w:left w:val="none" w:sz="0" w:space="0" w:color="auto"/>
        <w:bottom w:val="none" w:sz="0" w:space="0" w:color="auto"/>
        <w:right w:val="none" w:sz="0" w:space="0" w:color="auto"/>
      </w:divBdr>
    </w:div>
    <w:div w:id="120270451">
      <w:bodyDiv w:val="1"/>
      <w:marLeft w:val="0"/>
      <w:marRight w:val="0"/>
      <w:marTop w:val="0"/>
      <w:marBottom w:val="0"/>
      <w:divBdr>
        <w:top w:val="none" w:sz="0" w:space="0" w:color="auto"/>
        <w:left w:val="none" w:sz="0" w:space="0" w:color="auto"/>
        <w:bottom w:val="none" w:sz="0" w:space="0" w:color="auto"/>
        <w:right w:val="none" w:sz="0" w:space="0" w:color="auto"/>
      </w:divBdr>
    </w:div>
    <w:div w:id="152914662">
      <w:bodyDiv w:val="1"/>
      <w:marLeft w:val="0"/>
      <w:marRight w:val="0"/>
      <w:marTop w:val="0"/>
      <w:marBottom w:val="0"/>
      <w:divBdr>
        <w:top w:val="none" w:sz="0" w:space="0" w:color="auto"/>
        <w:left w:val="none" w:sz="0" w:space="0" w:color="auto"/>
        <w:bottom w:val="none" w:sz="0" w:space="0" w:color="auto"/>
        <w:right w:val="none" w:sz="0" w:space="0" w:color="auto"/>
      </w:divBdr>
    </w:div>
    <w:div w:id="155923372">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75971935">
      <w:bodyDiv w:val="1"/>
      <w:marLeft w:val="0"/>
      <w:marRight w:val="0"/>
      <w:marTop w:val="0"/>
      <w:marBottom w:val="0"/>
      <w:divBdr>
        <w:top w:val="none" w:sz="0" w:space="0" w:color="auto"/>
        <w:left w:val="none" w:sz="0" w:space="0" w:color="auto"/>
        <w:bottom w:val="none" w:sz="0" w:space="0" w:color="auto"/>
        <w:right w:val="none" w:sz="0" w:space="0" w:color="auto"/>
      </w:divBdr>
    </w:div>
    <w:div w:id="205144020">
      <w:bodyDiv w:val="1"/>
      <w:marLeft w:val="0"/>
      <w:marRight w:val="0"/>
      <w:marTop w:val="0"/>
      <w:marBottom w:val="0"/>
      <w:divBdr>
        <w:top w:val="none" w:sz="0" w:space="0" w:color="auto"/>
        <w:left w:val="none" w:sz="0" w:space="0" w:color="auto"/>
        <w:bottom w:val="none" w:sz="0" w:space="0" w:color="auto"/>
        <w:right w:val="none" w:sz="0" w:space="0" w:color="auto"/>
      </w:divBdr>
    </w:div>
    <w:div w:id="258106105">
      <w:bodyDiv w:val="1"/>
      <w:marLeft w:val="0"/>
      <w:marRight w:val="0"/>
      <w:marTop w:val="0"/>
      <w:marBottom w:val="0"/>
      <w:divBdr>
        <w:top w:val="none" w:sz="0" w:space="0" w:color="auto"/>
        <w:left w:val="none" w:sz="0" w:space="0" w:color="auto"/>
        <w:bottom w:val="none" w:sz="0" w:space="0" w:color="auto"/>
        <w:right w:val="none" w:sz="0" w:space="0" w:color="auto"/>
      </w:divBdr>
    </w:div>
    <w:div w:id="263076913">
      <w:bodyDiv w:val="1"/>
      <w:marLeft w:val="0"/>
      <w:marRight w:val="0"/>
      <w:marTop w:val="0"/>
      <w:marBottom w:val="0"/>
      <w:divBdr>
        <w:top w:val="none" w:sz="0" w:space="0" w:color="auto"/>
        <w:left w:val="none" w:sz="0" w:space="0" w:color="auto"/>
        <w:bottom w:val="none" w:sz="0" w:space="0" w:color="auto"/>
        <w:right w:val="none" w:sz="0" w:space="0" w:color="auto"/>
      </w:divBdr>
    </w:div>
    <w:div w:id="270016659">
      <w:bodyDiv w:val="1"/>
      <w:marLeft w:val="0"/>
      <w:marRight w:val="0"/>
      <w:marTop w:val="0"/>
      <w:marBottom w:val="0"/>
      <w:divBdr>
        <w:top w:val="none" w:sz="0" w:space="0" w:color="auto"/>
        <w:left w:val="none" w:sz="0" w:space="0" w:color="auto"/>
        <w:bottom w:val="none" w:sz="0" w:space="0" w:color="auto"/>
        <w:right w:val="none" w:sz="0" w:space="0" w:color="auto"/>
      </w:divBdr>
      <w:divsChild>
        <w:div w:id="18744137">
          <w:marLeft w:val="0"/>
          <w:marRight w:val="0"/>
          <w:marTop w:val="0"/>
          <w:marBottom w:val="0"/>
          <w:divBdr>
            <w:top w:val="none" w:sz="0" w:space="0" w:color="auto"/>
            <w:left w:val="none" w:sz="0" w:space="0" w:color="auto"/>
            <w:bottom w:val="none" w:sz="0" w:space="0" w:color="auto"/>
            <w:right w:val="none" w:sz="0" w:space="0" w:color="auto"/>
          </w:divBdr>
          <w:divsChild>
            <w:div w:id="145178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536663">
      <w:bodyDiv w:val="1"/>
      <w:marLeft w:val="0"/>
      <w:marRight w:val="0"/>
      <w:marTop w:val="0"/>
      <w:marBottom w:val="0"/>
      <w:divBdr>
        <w:top w:val="none" w:sz="0" w:space="0" w:color="auto"/>
        <w:left w:val="none" w:sz="0" w:space="0" w:color="auto"/>
        <w:bottom w:val="none" w:sz="0" w:space="0" w:color="auto"/>
        <w:right w:val="none" w:sz="0" w:space="0" w:color="auto"/>
      </w:divBdr>
    </w:div>
    <w:div w:id="341669470">
      <w:bodyDiv w:val="1"/>
      <w:marLeft w:val="0"/>
      <w:marRight w:val="0"/>
      <w:marTop w:val="0"/>
      <w:marBottom w:val="0"/>
      <w:divBdr>
        <w:top w:val="none" w:sz="0" w:space="0" w:color="auto"/>
        <w:left w:val="none" w:sz="0" w:space="0" w:color="auto"/>
        <w:bottom w:val="none" w:sz="0" w:space="0" w:color="auto"/>
        <w:right w:val="none" w:sz="0" w:space="0" w:color="auto"/>
      </w:divBdr>
    </w:div>
    <w:div w:id="348072182">
      <w:bodyDiv w:val="1"/>
      <w:marLeft w:val="0"/>
      <w:marRight w:val="0"/>
      <w:marTop w:val="0"/>
      <w:marBottom w:val="0"/>
      <w:divBdr>
        <w:top w:val="none" w:sz="0" w:space="0" w:color="auto"/>
        <w:left w:val="none" w:sz="0" w:space="0" w:color="auto"/>
        <w:bottom w:val="none" w:sz="0" w:space="0" w:color="auto"/>
        <w:right w:val="none" w:sz="0" w:space="0" w:color="auto"/>
      </w:divBdr>
      <w:divsChild>
        <w:div w:id="528446099">
          <w:marLeft w:val="0"/>
          <w:marRight w:val="0"/>
          <w:marTop w:val="0"/>
          <w:marBottom w:val="0"/>
          <w:divBdr>
            <w:top w:val="none" w:sz="0" w:space="0" w:color="auto"/>
            <w:left w:val="none" w:sz="0" w:space="0" w:color="auto"/>
            <w:bottom w:val="none" w:sz="0" w:space="0" w:color="auto"/>
            <w:right w:val="none" w:sz="0" w:space="0" w:color="auto"/>
          </w:divBdr>
          <w:divsChild>
            <w:div w:id="172159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89862">
      <w:bodyDiv w:val="1"/>
      <w:marLeft w:val="0"/>
      <w:marRight w:val="0"/>
      <w:marTop w:val="0"/>
      <w:marBottom w:val="0"/>
      <w:divBdr>
        <w:top w:val="none" w:sz="0" w:space="0" w:color="auto"/>
        <w:left w:val="none" w:sz="0" w:space="0" w:color="auto"/>
        <w:bottom w:val="none" w:sz="0" w:space="0" w:color="auto"/>
        <w:right w:val="none" w:sz="0" w:space="0" w:color="auto"/>
      </w:divBdr>
    </w:div>
    <w:div w:id="449476976">
      <w:bodyDiv w:val="1"/>
      <w:marLeft w:val="0"/>
      <w:marRight w:val="0"/>
      <w:marTop w:val="0"/>
      <w:marBottom w:val="0"/>
      <w:divBdr>
        <w:top w:val="none" w:sz="0" w:space="0" w:color="auto"/>
        <w:left w:val="none" w:sz="0" w:space="0" w:color="auto"/>
        <w:bottom w:val="none" w:sz="0" w:space="0" w:color="auto"/>
        <w:right w:val="none" w:sz="0" w:space="0" w:color="auto"/>
      </w:divBdr>
    </w:div>
    <w:div w:id="466053790">
      <w:bodyDiv w:val="1"/>
      <w:marLeft w:val="0"/>
      <w:marRight w:val="0"/>
      <w:marTop w:val="0"/>
      <w:marBottom w:val="0"/>
      <w:divBdr>
        <w:top w:val="none" w:sz="0" w:space="0" w:color="auto"/>
        <w:left w:val="none" w:sz="0" w:space="0" w:color="auto"/>
        <w:bottom w:val="none" w:sz="0" w:space="0" w:color="auto"/>
        <w:right w:val="none" w:sz="0" w:space="0" w:color="auto"/>
      </w:divBdr>
    </w:div>
    <w:div w:id="583760851">
      <w:bodyDiv w:val="1"/>
      <w:marLeft w:val="0"/>
      <w:marRight w:val="0"/>
      <w:marTop w:val="0"/>
      <w:marBottom w:val="0"/>
      <w:divBdr>
        <w:top w:val="none" w:sz="0" w:space="0" w:color="auto"/>
        <w:left w:val="none" w:sz="0" w:space="0" w:color="auto"/>
        <w:bottom w:val="none" w:sz="0" w:space="0" w:color="auto"/>
        <w:right w:val="none" w:sz="0" w:space="0" w:color="auto"/>
      </w:divBdr>
    </w:div>
    <w:div w:id="709761683">
      <w:bodyDiv w:val="1"/>
      <w:marLeft w:val="0"/>
      <w:marRight w:val="0"/>
      <w:marTop w:val="0"/>
      <w:marBottom w:val="0"/>
      <w:divBdr>
        <w:top w:val="none" w:sz="0" w:space="0" w:color="auto"/>
        <w:left w:val="none" w:sz="0" w:space="0" w:color="auto"/>
        <w:bottom w:val="none" w:sz="0" w:space="0" w:color="auto"/>
        <w:right w:val="none" w:sz="0" w:space="0" w:color="auto"/>
      </w:divBdr>
    </w:div>
    <w:div w:id="794979925">
      <w:bodyDiv w:val="1"/>
      <w:marLeft w:val="0"/>
      <w:marRight w:val="0"/>
      <w:marTop w:val="0"/>
      <w:marBottom w:val="0"/>
      <w:divBdr>
        <w:top w:val="none" w:sz="0" w:space="0" w:color="auto"/>
        <w:left w:val="none" w:sz="0" w:space="0" w:color="auto"/>
        <w:bottom w:val="none" w:sz="0" w:space="0" w:color="auto"/>
        <w:right w:val="none" w:sz="0" w:space="0" w:color="auto"/>
      </w:divBdr>
    </w:div>
    <w:div w:id="810057465">
      <w:bodyDiv w:val="1"/>
      <w:marLeft w:val="0"/>
      <w:marRight w:val="0"/>
      <w:marTop w:val="0"/>
      <w:marBottom w:val="0"/>
      <w:divBdr>
        <w:top w:val="none" w:sz="0" w:space="0" w:color="auto"/>
        <w:left w:val="none" w:sz="0" w:space="0" w:color="auto"/>
        <w:bottom w:val="none" w:sz="0" w:space="0" w:color="auto"/>
        <w:right w:val="none" w:sz="0" w:space="0" w:color="auto"/>
      </w:divBdr>
    </w:div>
    <w:div w:id="904490041">
      <w:bodyDiv w:val="1"/>
      <w:marLeft w:val="0"/>
      <w:marRight w:val="0"/>
      <w:marTop w:val="0"/>
      <w:marBottom w:val="0"/>
      <w:divBdr>
        <w:top w:val="none" w:sz="0" w:space="0" w:color="auto"/>
        <w:left w:val="none" w:sz="0" w:space="0" w:color="auto"/>
        <w:bottom w:val="none" w:sz="0" w:space="0" w:color="auto"/>
        <w:right w:val="none" w:sz="0" w:space="0" w:color="auto"/>
      </w:divBdr>
    </w:div>
    <w:div w:id="1019818188">
      <w:bodyDiv w:val="1"/>
      <w:marLeft w:val="0"/>
      <w:marRight w:val="0"/>
      <w:marTop w:val="0"/>
      <w:marBottom w:val="0"/>
      <w:divBdr>
        <w:top w:val="none" w:sz="0" w:space="0" w:color="auto"/>
        <w:left w:val="none" w:sz="0" w:space="0" w:color="auto"/>
        <w:bottom w:val="none" w:sz="0" w:space="0" w:color="auto"/>
        <w:right w:val="none" w:sz="0" w:space="0" w:color="auto"/>
      </w:divBdr>
    </w:div>
    <w:div w:id="1118258386">
      <w:bodyDiv w:val="1"/>
      <w:marLeft w:val="0"/>
      <w:marRight w:val="0"/>
      <w:marTop w:val="0"/>
      <w:marBottom w:val="0"/>
      <w:divBdr>
        <w:top w:val="none" w:sz="0" w:space="0" w:color="auto"/>
        <w:left w:val="none" w:sz="0" w:space="0" w:color="auto"/>
        <w:bottom w:val="none" w:sz="0" w:space="0" w:color="auto"/>
        <w:right w:val="none" w:sz="0" w:space="0" w:color="auto"/>
      </w:divBdr>
    </w:div>
    <w:div w:id="1224488013">
      <w:bodyDiv w:val="1"/>
      <w:marLeft w:val="0"/>
      <w:marRight w:val="0"/>
      <w:marTop w:val="0"/>
      <w:marBottom w:val="0"/>
      <w:divBdr>
        <w:top w:val="none" w:sz="0" w:space="0" w:color="auto"/>
        <w:left w:val="none" w:sz="0" w:space="0" w:color="auto"/>
        <w:bottom w:val="none" w:sz="0" w:space="0" w:color="auto"/>
        <w:right w:val="none" w:sz="0" w:space="0" w:color="auto"/>
      </w:divBdr>
    </w:div>
    <w:div w:id="1366520176">
      <w:bodyDiv w:val="1"/>
      <w:marLeft w:val="0"/>
      <w:marRight w:val="0"/>
      <w:marTop w:val="0"/>
      <w:marBottom w:val="0"/>
      <w:divBdr>
        <w:top w:val="none" w:sz="0" w:space="0" w:color="auto"/>
        <w:left w:val="none" w:sz="0" w:space="0" w:color="auto"/>
        <w:bottom w:val="none" w:sz="0" w:space="0" w:color="auto"/>
        <w:right w:val="none" w:sz="0" w:space="0" w:color="auto"/>
      </w:divBdr>
    </w:div>
    <w:div w:id="1390301516">
      <w:bodyDiv w:val="1"/>
      <w:marLeft w:val="0"/>
      <w:marRight w:val="0"/>
      <w:marTop w:val="0"/>
      <w:marBottom w:val="0"/>
      <w:divBdr>
        <w:top w:val="none" w:sz="0" w:space="0" w:color="auto"/>
        <w:left w:val="none" w:sz="0" w:space="0" w:color="auto"/>
        <w:bottom w:val="none" w:sz="0" w:space="0" w:color="auto"/>
        <w:right w:val="none" w:sz="0" w:space="0" w:color="auto"/>
      </w:divBdr>
    </w:div>
    <w:div w:id="1458139777">
      <w:bodyDiv w:val="1"/>
      <w:marLeft w:val="0"/>
      <w:marRight w:val="0"/>
      <w:marTop w:val="0"/>
      <w:marBottom w:val="0"/>
      <w:divBdr>
        <w:top w:val="none" w:sz="0" w:space="0" w:color="auto"/>
        <w:left w:val="none" w:sz="0" w:space="0" w:color="auto"/>
        <w:bottom w:val="none" w:sz="0" w:space="0" w:color="auto"/>
        <w:right w:val="none" w:sz="0" w:space="0" w:color="auto"/>
      </w:divBdr>
    </w:div>
    <w:div w:id="1472868436">
      <w:bodyDiv w:val="1"/>
      <w:marLeft w:val="0"/>
      <w:marRight w:val="0"/>
      <w:marTop w:val="0"/>
      <w:marBottom w:val="0"/>
      <w:divBdr>
        <w:top w:val="none" w:sz="0" w:space="0" w:color="auto"/>
        <w:left w:val="none" w:sz="0" w:space="0" w:color="auto"/>
        <w:bottom w:val="none" w:sz="0" w:space="0" w:color="auto"/>
        <w:right w:val="none" w:sz="0" w:space="0" w:color="auto"/>
      </w:divBdr>
    </w:div>
    <w:div w:id="1491289648">
      <w:bodyDiv w:val="1"/>
      <w:marLeft w:val="0"/>
      <w:marRight w:val="0"/>
      <w:marTop w:val="0"/>
      <w:marBottom w:val="0"/>
      <w:divBdr>
        <w:top w:val="none" w:sz="0" w:space="0" w:color="auto"/>
        <w:left w:val="none" w:sz="0" w:space="0" w:color="auto"/>
        <w:bottom w:val="none" w:sz="0" w:space="0" w:color="auto"/>
        <w:right w:val="none" w:sz="0" w:space="0" w:color="auto"/>
      </w:divBdr>
    </w:div>
    <w:div w:id="1530676451">
      <w:bodyDiv w:val="1"/>
      <w:marLeft w:val="0"/>
      <w:marRight w:val="0"/>
      <w:marTop w:val="0"/>
      <w:marBottom w:val="0"/>
      <w:divBdr>
        <w:top w:val="none" w:sz="0" w:space="0" w:color="auto"/>
        <w:left w:val="none" w:sz="0" w:space="0" w:color="auto"/>
        <w:bottom w:val="none" w:sz="0" w:space="0" w:color="auto"/>
        <w:right w:val="none" w:sz="0" w:space="0" w:color="auto"/>
      </w:divBdr>
    </w:div>
    <w:div w:id="1564951463">
      <w:bodyDiv w:val="1"/>
      <w:marLeft w:val="0"/>
      <w:marRight w:val="0"/>
      <w:marTop w:val="0"/>
      <w:marBottom w:val="0"/>
      <w:divBdr>
        <w:top w:val="none" w:sz="0" w:space="0" w:color="auto"/>
        <w:left w:val="none" w:sz="0" w:space="0" w:color="auto"/>
        <w:bottom w:val="none" w:sz="0" w:space="0" w:color="auto"/>
        <w:right w:val="none" w:sz="0" w:space="0" w:color="auto"/>
      </w:divBdr>
    </w:div>
    <w:div w:id="1722366607">
      <w:bodyDiv w:val="1"/>
      <w:marLeft w:val="0"/>
      <w:marRight w:val="0"/>
      <w:marTop w:val="0"/>
      <w:marBottom w:val="0"/>
      <w:divBdr>
        <w:top w:val="none" w:sz="0" w:space="0" w:color="auto"/>
        <w:left w:val="none" w:sz="0" w:space="0" w:color="auto"/>
        <w:bottom w:val="none" w:sz="0" w:space="0" w:color="auto"/>
        <w:right w:val="none" w:sz="0" w:space="0" w:color="auto"/>
      </w:divBdr>
    </w:div>
    <w:div w:id="1739598591">
      <w:bodyDiv w:val="1"/>
      <w:marLeft w:val="0"/>
      <w:marRight w:val="0"/>
      <w:marTop w:val="0"/>
      <w:marBottom w:val="0"/>
      <w:divBdr>
        <w:top w:val="none" w:sz="0" w:space="0" w:color="auto"/>
        <w:left w:val="none" w:sz="0" w:space="0" w:color="auto"/>
        <w:bottom w:val="none" w:sz="0" w:space="0" w:color="auto"/>
        <w:right w:val="none" w:sz="0" w:space="0" w:color="auto"/>
      </w:divBdr>
    </w:div>
    <w:div w:id="1756708679">
      <w:bodyDiv w:val="1"/>
      <w:marLeft w:val="0"/>
      <w:marRight w:val="0"/>
      <w:marTop w:val="0"/>
      <w:marBottom w:val="0"/>
      <w:divBdr>
        <w:top w:val="none" w:sz="0" w:space="0" w:color="auto"/>
        <w:left w:val="none" w:sz="0" w:space="0" w:color="auto"/>
        <w:bottom w:val="none" w:sz="0" w:space="0" w:color="auto"/>
        <w:right w:val="none" w:sz="0" w:space="0" w:color="auto"/>
      </w:divBdr>
    </w:div>
    <w:div w:id="1776948621">
      <w:bodyDiv w:val="1"/>
      <w:marLeft w:val="0"/>
      <w:marRight w:val="0"/>
      <w:marTop w:val="0"/>
      <w:marBottom w:val="0"/>
      <w:divBdr>
        <w:top w:val="none" w:sz="0" w:space="0" w:color="auto"/>
        <w:left w:val="none" w:sz="0" w:space="0" w:color="auto"/>
        <w:bottom w:val="none" w:sz="0" w:space="0" w:color="auto"/>
        <w:right w:val="none" w:sz="0" w:space="0" w:color="auto"/>
      </w:divBdr>
    </w:div>
    <w:div w:id="1777871181">
      <w:bodyDiv w:val="1"/>
      <w:marLeft w:val="0"/>
      <w:marRight w:val="0"/>
      <w:marTop w:val="0"/>
      <w:marBottom w:val="0"/>
      <w:divBdr>
        <w:top w:val="none" w:sz="0" w:space="0" w:color="auto"/>
        <w:left w:val="none" w:sz="0" w:space="0" w:color="auto"/>
        <w:bottom w:val="none" w:sz="0" w:space="0" w:color="auto"/>
        <w:right w:val="none" w:sz="0" w:space="0" w:color="auto"/>
      </w:divBdr>
    </w:div>
    <w:div w:id="1923223670">
      <w:bodyDiv w:val="1"/>
      <w:marLeft w:val="0"/>
      <w:marRight w:val="0"/>
      <w:marTop w:val="0"/>
      <w:marBottom w:val="0"/>
      <w:divBdr>
        <w:top w:val="none" w:sz="0" w:space="0" w:color="auto"/>
        <w:left w:val="none" w:sz="0" w:space="0" w:color="auto"/>
        <w:bottom w:val="none" w:sz="0" w:space="0" w:color="auto"/>
        <w:right w:val="none" w:sz="0" w:space="0" w:color="auto"/>
      </w:divBdr>
    </w:div>
    <w:div w:id="2034182700">
      <w:bodyDiv w:val="1"/>
      <w:marLeft w:val="0"/>
      <w:marRight w:val="0"/>
      <w:marTop w:val="0"/>
      <w:marBottom w:val="0"/>
      <w:divBdr>
        <w:top w:val="none" w:sz="0" w:space="0" w:color="auto"/>
        <w:left w:val="none" w:sz="0" w:space="0" w:color="auto"/>
        <w:bottom w:val="none" w:sz="0" w:space="0" w:color="auto"/>
        <w:right w:val="none" w:sz="0" w:space="0" w:color="auto"/>
      </w:divBdr>
    </w:div>
    <w:div w:id="2045016643">
      <w:bodyDiv w:val="1"/>
      <w:marLeft w:val="0"/>
      <w:marRight w:val="0"/>
      <w:marTop w:val="0"/>
      <w:marBottom w:val="0"/>
      <w:divBdr>
        <w:top w:val="none" w:sz="0" w:space="0" w:color="auto"/>
        <w:left w:val="none" w:sz="0" w:space="0" w:color="auto"/>
        <w:bottom w:val="none" w:sz="0" w:space="0" w:color="auto"/>
        <w:right w:val="none" w:sz="0" w:space="0" w:color="auto"/>
      </w:divBdr>
    </w:div>
    <w:div w:id="2086485974">
      <w:bodyDiv w:val="1"/>
      <w:marLeft w:val="0"/>
      <w:marRight w:val="0"/>
      <w:marTop w:val="0"/>
      <w:marBottom w:val="0"/>
      <w:divBdr>
        <w:top w:val="none" w:sz="0" w:space="0" w:color="auto"/>
        <w:left w:val="none" w:sz="0" w:space="0" w:color="auto"/>
        <w:bottom w:val="none" w:sz="0" w:space="0" w:color="auto"/>
        <w:right w:val="none" w:sz="0" w:space="0" w:color="auto"/>
      </w:divBdr>
    </w:div>
    <w:div w:id="2108426756">
      <w:bodyDiv w:val="1"/>
      <w:marLeft w:val="0"/>
      <w:marRight w:val="0"/>
      <w:marTop w:val="0"/>
      <w:marBottom w:val="0"/>
      <w:divBdr>
        <w:top w:val="none" w:sz="0" w:space="0" w:color="auto"/>
        <w:left w:val="none" w:sz="0" w:space="0" w:color="auto"/>
        <w:bottom w:val="none" w:sz="0" w:space="0" w:color="auto"/>
        <w:right w:val="none" w:sz="0" w:space="0" w:color="auto"/>
      </w:divBdr>
      <w:divsChild>
        <w:div w:id="1712070208">
          <w:marLeft w:val="0"/>
          <w:marRight w:val="0"/>
          <w:marTop w:val="0"/>
          <w:marBottom w:val="0"/>
          <w:divBdr>
            <w:top w:val="none" w:sz="0" w:space="0" w:color="auto"/>
            <w:left w:val="none" w:sz="0" w:space="0" w:color="auto"/>
            <w:bottom w:val="none" w:sz="0" w:space="0" w:color="auto"/>
            <w:right w:val="none" w:sz="0" w:space="0" w:color="auto"/>
          </w:divBdr>
          <w:divsChild>
            <w:div w:id="139349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235930">
      <w:bodyDiv w:val="1"/>
      <w:marLeft w:val="0"/>
      <w:marRight w:val="0"/>
      <w:marTop w:val="0"/>
      <w:marBottom w:val="0"/>
      <w:divBdr>
        <w:top w:val="none" w:sz="0" w:space="0" w:color="auto"/>
        <w:left w:val="none" w:sz="0" w:space="0" w:color="auto"/>
        <w:bottom w:val="none" w:sz="0" w:space="0" w:color="auto"/>
        <w:right w:val="none" w:sz="0" w:space="0" w:color="auto"/>
      </w:divBdr>
    </w:div>
    <w:div w:id="214692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Template>
  <TotalTime>9</TotalTime>
  <Pages>9</Pages>
  <Words>2556</Words>
  <Characters>16718</Characters>
  <Application>Microsoft Office Word</Application>
  <DocSecurity>0</DocSecurity>
  <Lines>139</Lines>
  <Paragraphs>38</Paragraphs>
  <ScaleCrop>false</ScaleCrop>
  <HeadingPairs>
    <vt:vector size="2" baseType="variant">
      <vt:variant>
        <vt:lpstr>Titel</vt:lpstr>
      </vt:variant>
      <vt:variant>
        <vt:i4>1</vt:i4>
      </vt:variant>
    </vt:vector>
  </HeadingPairs>
  <TitlesOfParts>
    <vt:vector size="1" baseType="lpstr">
      <vt:lpstr>SPC Hum skabelon</vt:lpstr>
    </vt:vector>
  </TitlesOfParts>
  <Company/>
  <LinksUpToDate>false</LinksUpToDate>
  <CharactersWithSpaces>19236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Thy Iversen</dc:creator>
  <cp:keywords/>
  <dc:description>2024094150 mt</dc:description>
  <cp:lastModifiedBy>Hanne Thy Iversen</cp:lastModifiedBy>
  <cp:revision>8</cp:revision>
  <cp:lastPrinted>2012-08-22T08:53:00Z</cp:lastPrinted>
  <dcterms:created xsi:type="dcterms:W3CDTF">2026-02-10T13:48:00Z</dcterms:created>
  <dcterms:modified xsi:type="dcterms:W3CDTF">2026-02-18T09:14:00Z</dcterms:modified>
</cp:coreProperties>
</file>