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3FD3" w:rsidRPr="00955972" w:rsidRDefault="007F3FD3" w:rsidP="007F3FD3">
      <w:r>
        <w:rPr>
          <w:noProof/>
          <w:lang w:eastAsia="da-DK"/>
        </w:rPr>
        <w:drawing>
          <wp:inline distT="0" distB="0" distL="0" distR="0" wp14:anchorId="4F46555E" wp14:editId="5845D4E2">
            <wp:extent cx="2428875" cy="685800"/>
            <wp:effectExtent l="0" t="0" r="9525" b="0"/>
            <wp:docPr id="1" name="Billede 3" descr="C:\Users\marh\AppData\Local\Microsoft\Windows\Temporary Internet Files\Content.Outlook\3DQ1N8R9\LMST_auto_stor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lede 3" descr="C:\Users\marh\AppData\Local\Microsoft\Windows\Temporary Internet Files\Content.Outlook\3DQ1N8R9\LMST_auto_sto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88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F3FD3" w:rsidRDefault="007F3FD3" w:rsidP="007F3FD3">
      <w:pPr>
        <w:pStyle w:val="Titel"/>
        <w:tabs>
          <w:tab w:val="left" w:pos="8222"/>
        </w:tabs>
        <w:jc w:val="left"/>
        <w:rPr>
          <w:b w:val="0"/>
        </w:rPr>
      </w:pPr>
    </w:p>
    <w:p w:rsidR="007F3FD3" w:rsidRPr="00D653E6" w:rsidRDefault="003D3454" w:rsidP="007F3FD3">
      <w:pPr>
        <w:pStyle w:val="Titel"/>
        <w:tabs>
          <w:tab w:val="left" w:pos="8222"/>
        </w:tabs>
        <w:jc w:val="right"/>
      </w:pPr>
      <w:r>
        <w:t>24. oktober 2022</w:t>
      </w:r>
    </w:p>
    <w:p w:rsidR="007F3FD3" w:rsidRDefault="007F3FD3" w:rsidP="007F3FD3">
      <w:pPr>
        <w:pStyle w:val="Titel"/>
        <w:tabs>
          <w:tab w:val="left" w:pos="8222"/>
        </w:tabs>
        <w:jc w:val="left"/>
        <w:rPr>
          <w:b w:val="0"/>
        </w:rPr>
      </w:pPr>
    </w:p>
    <w:p w:rsidR="00815B80" w:rsidRDefault="00815B80" w:rsidP="007F3FD3">
      <w:pPr>
        <w:pStyle w:val="Titel"/>
        <w:tabs>
          <w:tab w:val="left" w:pos="8222"/>
        </w:tabs>
        <w:jc w:val="left"/>
        <w:rPr>
          <w:b w:val="0"/>
        </w:rPr>
      </w:pPr>
    </w:p>
    <w:p w:rsidR="007F3FD3" w:rsidRPr="00EC0B9B" w:rsidRDefault="007F3FD3" w:rsidP="007F3FD3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PRODUKTRESUMÉ</w:t>
      </w:r>
    </w:p>
    <w:p w:rsidR="007F3FD3" w:rsidRPr="00EC0B9B" w:rsidRDefault="007F3FD3" w:rsidP="007F3FD3">
      <w:pPr>
        <w:jc w:val="center"/>
        <w:rPr>
          <w:b/>
          <w:sz w:val="24"/>
          <w:szCs w:val="24"/>
        </w:rPr>
      </w:pPr>
    </w:p>
    <w:p w:rsidR="007F3FD3" w:rsidRPr="00EC0B9B" w:rsidRDefault="007F3FD3" w:rsidP="007F3FD3">
      <w:pPr>
        <w:jc w:val="center"/>
        <w:rPr>
          <w:b/>
          <w:sz w:val="24"/>
          <w:szCs w:val="24"/>
        </w:rPr>
      </w:pPr>
      <w:r w:rsidRPr="00EC0B9B">
        <w:rPr>
          <w:b/>
          <w:sz w:val="24"/>
          <w:szCs w:val="24"/>
        </w:rPr>
        <w:t>for</w:t>
      </w:r>
    </w:p>
    <w:p w:rsidR="007F3FD3" w:rsidRPr="00EC0B9B" w:rsidRDefault="007F3FD3" w:rsidP="007F3FD3">
      <w:pPr>
        <w:jc w:val="center"/>
        <w:rPr>
          <w:b/>
          <w:sz w:val="24"/>
          <w:szCs w:val="24"/>
        </w:rPr>
      </w:pPr>
    </w:p>
    <w:p w:rsidR="007F3FD3" w:rsidRPr="0049104B" w:rsidRDefault="007F3FD3" w:rsidP="007F3FD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Desloratadine "Sandoz", oral opløsning</w:t>
      </w:r>
    </w:p>
    <w:p w:rsidR="007F3FD3" w:rsidRPr="00EC0B9B" w:rsidRDefault="007F3FD3" w:rsidP="007F3FD3">
      <w:pPr>
        <w:jc w:val="both"/>
        <w:rPr>
          <w:sz w:val="24"/>
          <w:szCs w:val="24"/>
        </w:rPr>
      </w:pPr>
    </w:p>
    <w:p w:rsidR="007F3FD3" w:rsidRPr="00A05BED" w:rsidRDefault="007F3FD3" w:rsidP="007F3FD3">
      <w:pPr>
        <w:ind w:left="851" w:hanging="851"/>
        <w:jc w:val="both"/>
        <w:rPr>
          <w:sz w:val="24"/>
          <w:szCs w:val="24"/>
        </w:rPr>
      </w:pPr>
    </w:p>
    <w:p w:rsidR="007F3FD3" w:rsidRPr="00A05BED" w:rsidRDefault="007F3FD3" w:rsidP="007F3FD3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D.SP.NR.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  <w:r w:rsidRPr="00A05BED">
        <w:rPr>
          <w:sz w:val="24"/>
          <w:szCs w:val="24"/>
        </w:rPr>
        <w:tab/>
        <w:t>27701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LÆGEMIDLETS NAVN</w:t>
      </w:r>
    </w:p>
    <w:p w:rsidR="007F3FD3" w:rsidRPr="00A05BED" w:rsidRDefault="007F3FD3" w:rsidP="007F3FD3">
      <w:pPr>
        <w:ind w:left="851"/>
        <w:rPr>
          <w:sz w:val="24"/>
          <w:szCs w:val="24"/>
        </w:rPr>
      </w:pPr>
      <w:r w:rsidRPr="00A05BED">
        <w:rPr>
          <w:sz w:val="24"/>
          <w:szCs w:val="24"/>
        </w:rPr>
        <w:t xml:space="preserve">Desloratadine </w:t>
      </w:r>
      <w:r>
        <w:rPr>
          <w:sz w:val="24"/>
          <w:szCs w:val="24"/>
        </w:rPr>
        <w:t>"</w:t>
      </w:r>
      <w:r w:rsidRPr="00A05BED">
        <w:rPr>
          <w:sz w:val="24"/>
          <w:szCs w:val="24"/>
        </w:rPr>
        <w:t>Sandoz</w:t>
      </w:r>
      <w:r>
        <w:rPr>
          <w:sz w:val="24"/>
          <w:szCs w:val="24"/>
        </w:rPr>
        <w:t>"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  <w:r w:rsidRPr="00A05BED">
        <w:rPr>
          <w:sz w:val="24"/>
          <w:szCs w:val="24"/>
        </w:rPr>
        <w:tab/>
      </w:r>
    </w:p>
    <w:p w:rsidR="007F3FD3" w:rsidRPr="00A05BED" w:rsidRDefault="007F3FD3" w:rsidP="007F3FD3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KVALITATIV OG KVANTITATIV SAMMENSÆTNING</w:t>
      </w:r>
    </w:p>
    <w:p w:rsidR="007F3FD3" w:rsidRPr="00D653E6" w:rsidRDefault="007F3FD3" w:rsidP="007F3FD3">
      <w:pPr>
        <w:ind w:left="851"/>
        <w:rPr>
          <w:rFonts w:eastAsiaTheme="minorEastAsia"/>
          <w:sz w:val="24"/>
          <w:szCs w:val="24"/>
        </w:rPr>
      </w:pPr>
      <w:r w:rsidRPr="00D653E6">
        <w:rPr>
          <w:rFonts w:eastAsiaTheme="minorEastAsia"/>
          <w:sz w:val="24"/>
          <w:szCs w:val="24"/>
        </w:rPr>
        <w:t xml:space="preserve">Hver </w:t>
      </w:r>
      <w:r w:rsidRPr="00D653E6">
        <w:rPr>
          <w:rFonts w:eastAsiaTheme="minorEastAsia"/>
          <w:spacing w:val="-1"/>
          <w:sz w:val="24"/>
          <w:szCs w:val="24"/>
        </w:rPr>
        <w:t>ml</w:t>
      </w:r>
      <w:r w:rsidRPr="00D653E6">
        <w:rPr>
          <w:rFonts w:eastAsiaTheme="minorEastAsia"/>
          <w:spacing w:val="2"/>
          <w:sz w:val="24"/>
          <w:szCs w:val="24"/>
        </w:rPr>
        <w:t xml:space="preserve"> </w:t>
      </w:r>
      <w:r w:rsidRPr="00D653E6">
        <w:rPr>
          <w:rFonts w:eastAsiaTheme="minorEastAsia"/>
          <w:sz w:val="24"/>
          <w:szCs w:val="24"/>
        </w:rPr>
        <w:t xml:space="preserve">oral opløsning indeholder 0,5 </w:t>
      </w:r>
      <w:r w:rsidRPr="00D653E6">
        <w:rPr>
          <w:rFonts w:eastAsiaTheme="minorEastAsia"/>
          <w:spacing w:val="-1"/>
          <w:sz w:val="24"/>
          <w:szCs w:val="24"/>
        </w:rPr>
        <w:t>mg</w:t>
      </w:r>
      <w:r w:rsidRPr="00D653E6">
        <w:rPr>
          <w:rFonts w:eastAsiaTheme="minorEastAsia"/>
          <w:spacing w:val="2"/>
          <w:sz w:val="24"/>
          <w:szCs w:val="24"/>
        </w:rPr>
        <w:t xml:space="preserve"> </w:t>
      </w:r>
      <w:r w:rsidRPr="00D653E6">
        <w:rPr>
          <w:rFonts w:eastAsiaTheme="minorEastAsia"/>
          <w:sz w:val="24"/>
          <w:szCs w:val="24"/>
        </w:rPr>
        <w:t>desloratadin.</w:t>
      </w:r>
    </w:p>
    <w:p w:rsidR="007F3FD3" w:rsidRPr="00D653E6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314913" w:rsidRPr="00651AC3" w:rsidRDefault="00314913" w:rsidP="00314913">
      <w:pPr>
        <w:ind w:left="851"/>
        <w:rPr>
          <w:rFonts w:eastAsiaTheme="minorEastAsia"/>
          <w:sz w:val="24"/>
          <w:szCs w:val="24"/>
          <w:u w:val="single"/>
        </w:rPr>
      </w:pPr>
      <w:r w:rsidRPr="00651AC3">
        <w:rPr>
          <w:rFonts w:eastAsiaTheme="minorEastAsia"/>
          <w:sz w:val="24"/>
          <w:szCs w:val="24"/>
          <w:u w:val="single"/>
        </w:rPr>
        <w:t>Hjælpestoffer, som behandleren skal være opmærksom på</w:t>
      </w:r>
    </w:p>
    <w:p w:rsidR="00314913" w:rsidRDefault="00314913" w:rsidP="00314913">
      <w:pPr>
        <w:ind w:left="851"/>
        <w:rPr>
          <w:rFonts w:eastAsiaTheme="minorEastAsia"/>
          <w:sz w:val="24"/>
          <w:szCs w:val="24"/>
        </w:rPr>
      </w:pPr>
      <w:r w:rsidRPr="00D653E6">
        <w:rPr>
          <w:rFonts w:eastAsiaTheme="minorEastAsia"/>
          <w:sz w:val="24"/>
          <w:szCs w:val="24"/>
        </w:rPr>
        <w:t xml:space="preserve">Hver </w:t>
      </w:r>
      <w:r w:rsidRPr="00D653E6">
        <w:rPr>
          <w:rFonts w:eastAsiaTheme="minorEastAsia"/>
          <w:spacing w:val="-1"/>
          <w:sz w:val="24"/>
          <w:szCs w:val="24"/>
        </w:rPr>
        <w:t>ml</w:t>
      </w:r>
      <w:r w:rsidRPr="00D653E6">
        <w:rPr>
          <w:rFonts w:eastAsiaTheme="minorEastAsia"/>
          <w:spacing w:val="2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 xml:space="preserve">oral opløsning indeholder op til 97,5 </w:t>
      </w:r>
      <w:r>
        <w:rPr>
          <w:rFonts w:eastAsiaTheme="minorEastAsia"/>
          <w:spacing w:val="-1"/>
          <w:sz w:val="24"/>
          <w:szCs w:val="24"/>
        </w:rPr>
        <w:t>m</w:t>
      </w:r>
      <w:r>
        <w:rPr>
          <w:rFonts w:eastAsiaTheme="minorEastAsia"/>
          <w:sz w:val="24"/>
          <w:szCs w:val="24"/>
        </w:rPr>
        <w:t>g</w:t>
      </w:r>
      <w:r>
        <w:rPr>
          <w:rFonts w:eastAsiaTheme="minorEastAsia"/>
          <w:spacing w:val="2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sorbitol, 102,30 mg p</w:t>
      </w:r>
      <w:r w:rsidRPr="00A05BED">
        <w:rPr>
          <w:rFonts w:eastAsiaTheme="minorEastAsia"/>
          <w:sz w:val="24"/>
          <w:szCs w:val="24"/>
        </w:rPr>
        <w:t>rop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lengl</w:t>
      </w:r>
      <w:r w:rsidRPr="00A05BED">
        <w:rPr>
          <w:rFonts w:eastAsiaTheme="minorEastAsia"/>
          <w:spacing w:val="1"/>
          <w:sz w:val="24"/>
          <w:szCs w:val="24"/>
        </w:rPr>
        <w:t>y</w:t>
      </w:r>
      <w:r>
        <w:rPr>
          <w:rFonts w:eastAsiaTheme="minorEastAsia"/>
          <w:sz w:val="24"/>
          <w:szCs w:val="24"/>
        </w:rPr>
        <w:t>col</w:t>
      </w:r>
      <w:r w:rsidDel="006A303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og 0,167 mmol (3,85 mg) natrium.</w:t>
      </w:r>
    </w:p>
    <w:p w:rsidR="007F3FD3" w:rsidRPr="00D653E6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D653E6" w:rsidRDefault="007F3FD3" w:rsidP="007F3FD3">
      <w:pPr>
        <w:ind w:left="851"/>
        <w:rPr>
          <w:rFonts w:eastAsiaTheme="minorEastAsia"/>
          <w:sz w:val="24"/>
          <w:szCs w:val="24"/>
        </w:rPr>
      </w:pPr>
      <w:r w:rsidRPr="00D653E6">
        <w:rPr>
          <w:rFonts w:eastAsiaTheme="minorEastAsia"/>
          <w:sz w:val="24"/>
          <w:szCs w:val="24"/>
        </w:rPr>
        <w:t>Alle hjælpestoffer er anført under pkt. 6.1.</w:t>
      </w:r>
    </w:p>
    <w:p w:rsidR="007F3FD3" w:rsidRPr="00D653E6" w:rsidRDefault="007F3FD3" w:rsidP="007F3FD3">
      <w:pPr>
        <w:ind w:left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LÆGEMIDDELFORM</w:t>
      </w:r>
    </w:p>
    <w:p w:rsidR="007F3FD3" w:rsidRPr="00D653E6" w:rsidRDefault="007F3FD3" w:rsidP="007F3FD3">
      <w:pPr>
        <w:ind w:left="851"/>
        <w:rPr>
          <w:rFonts w:eastAsiaTheme="minorEastAsia"/>
          <w:sz w:val="24"/>
          <w:szCs w:val="24"/>
        </w:rPr>
      </w:pPr>
      <w:r w:rsidRPr="00D653E6">
        <w:rPr>
          <w:rFonts w:eastAsiaTheme="minorEastAsia"/>
          <w:sz w:val="24"/>
          <w:szCs w:val="24"/>
        </w:rPr>
        <w:t>Oral opløsning</w:t>
      </w:r>
    </w:p>
    <w:p w:rsidR="007F3FD3" w:rsidRPr="00D653E6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D653E6" w:rsidRDefault="007F3FD3" w:rsidP="007F3FD3">
      <w:pPr>
        <w:ind w:left="851"/>
        <w:rPr>
          <w:rFonts w:eastAsiaTheme="minorEastAsia"/>
          <w:sz w:val="24"/>
          <w:szCs w:val="24"/>
        </w:rPr>
      </w:pPr>
      <w:r w:rsidRPr="00D653E6">
        <w:rPr>
          <w:rFonts w:eastAsiaTheme="minorEastAsia"/>
          <w:sz w:val="24"/>
          <w:szCs w:val="24"/>
        </w:rPr>
        <w:t>Klar, farveløs opløsning.</w:t>
      </w:r>
    </w:p>
    <w:p w:rsidR="007F3FD3" w:rsidRPr="00D653E6" w:rsidRDefault="007F3FD3" w:rsidP="000434EB">
      <w:pPr>
        <w:rPr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KLINISKE OPLYSNINGER</w:t>
      </w:r>
    </w:p>
    <w:p w:rsidR="007F3FD3" w:rsidRPr="00A05BED" w:rsidRDefault="007F3FD3" w:rsidP="007F3FD3">
      <w:pPr>
        <w:ind w:left="851" w:hanging="851"/>
        <w:rPr>
          <w:b/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  <w:u w:val="single"/>
        </w:rPr>
      </w:pPr>
      <w:r w:rsidRPr="00A05BED">
        <w:rPr>
          <w:b/>
          <w:sz w:val="24"/>
          <w:szCs w:val="24"/>
        </w:rPr>
        <w:t>Terapeutiske indikationer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 xml:space="preserve">Desloratadine </w:t>
      </w:r>
      <w:r>
        <w:rPr>
          <w:rFonts w:eastAsiaTheme="minorEastAsia"/>
          <w:sz w:val="24"/>
          <w:szCs w:val="24"/>
        </w:rPr>
        <w:t>"Sandoz"</w:t>
      </w:r>
      <w:r w:rsidRPr="00A05BED">
        <w:rPr>
          <w:rFonts w:eastAsiaTheme="minorEastAsia"/>
          <w:sz w:val="24"/>
          <w:szCs w:val="24"/>
        </w:rPr>
        <w:t xml:space="preserve"> er indiceret </w:t>
      </w:r>
      <w:r w:rsidRPr="00EA77C8">
        <w:rPr>
          <w:rFonts w:eastAsia="TimesNewRoman"/>
          <w:sz w:val="24"/>
          <w:szCs w:val="24"/>
          <w:lang w:eastAsia="da-DK"/>
        </w:rPr>
        <w:t>hos voksne, unge</w:t>
      </w:r>
      <w:r>
        <w:rPr>
          <w:rFonts w:eastAsia="TimesNewRoman"/>
          <w:sz w:val="24"/>
          <w:szCs w:val="24"/>
          <w:lang w:eastAsia="da-DK"/>
        </w:rPr>
        <w:t xml:space="preserve"> og børn</w:t>
      </w:r>
      <w:r w:rsidRPr="00EA77C8">
        <w:rPr>
          <w:rFonts w:eastAsia="TimesNewRoman"/>
          <w:sz w:val="24"/>
          <w:szCs w:val="24"/>
          <w:lang w:eastAsia="da-DK"/>
        </w:rPr>
        <w:t xml:space="preserve"> i alderen 1 år og derover </w:t>
      </w:r>
      <w:r w:rsidRPr="00A05BED">
        <w:rPr>
          <w:rFonts w:eastAsiaTheme="minorEastAsia"/>
          <w:sz w:val="24"/>
          <w:szCs w:val="24"/>
        </w:rPr>
        <w:t>til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lindring i forbindelse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ed:</w:t>
      </w:r>
    </w:p>
    <w:p w:rsidR="007F3FD3" w:rsidRPr="000451CF" w:rsidRDefault="007F3FD3" w:rsidP="007F3FD3">
      <w:pPr>
        <w:pStyle w:val="Listeafsnit"/>
        <w:numPr>
          <w:ilvl w:val="0"/>
          <w:numId w:val="11"/>
        </w:numPr>
        <w:ind w:left="1276" w:hanging="425"/>
        <w:rPr>
          <w:rFonts w:eastAsiaTheme="minorEastAsia"/>
          <w:sz w:val="24"/>
          <w:szCs w:val="24"/>
        </w:rPr>
      </w:pPr>
      <w:r w:rsidRPr="000451CF">
        <w:rPr>
          <w:rFonts w:eastAsiaTheme="minorEastAsia"/>
          <w:sz w:val="24"/>
          <w:szCs w:val="24"/>
        </w:rPr>
        <w:t>allergisk rhinitis (se pkt. 5.1)</w:t>
      </w:r>
    </w:p>
    <w:p w:rsidR="007F3FD3" w:rsidRPr="000451CF" w:rsidRDefault="007F3FD3" w:rsidP="007F3FD3">
      <w:pPr>
        <w:pStyle w:val="Listeafsnit"/>
        <w:numPr>
          <w:ilvl w:val="0"/>
          <w:numId w:val="11"/>
        </w:numPr>
        <w:ind w:left="1276" w:hanging="425"/>
        <w:rPr>
          <w:rFonts w:eastAsiaTheme="minorEastAsia"/>
          <w:sz w:val="24"/>
          <w:szCs w:val="24"/>
        </w:rPr>
      </w:pPr>
      <w:r w:rsidRPr="000451CF">
        <w:rPr>
          <w:rFonts w:eastAsiaTheme="minorEastAsia"/>
          <w:sz w:val="24"/>
          <w:szCs w:val="24"/>
        </w:rPr>
        <w:t>urticaria (se pkt. 5.1)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Dosering og indgivelsesmåde</w:t>
      </w:r>
    </w:p>
    <w:p w:rsidR="007F3FD3" w:rsidRDefault="007F3FD3" w:rsidP="007F3FD3">
      <w:pPr>
        <w:ind w:left="851" w:hanging="851"/>
        <w:rPr>
          <w:sz w:val="24"/>
          <w:szCs w:val="24"/>
          <w:u w:val="single"/>
        </w:rPr>
      </w:pPr>
    </w:p>
    <w:p w:rsidR="007F3FD3" w:rsidRDefault="007F3FD3" w:rsidP="007F3FD3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Dosering</w:t>
      </w:r>
    </w:p>
    <w:p w:rsidR="00986260" w:rsidRDefault="00986260" w:rsidP="007F3FD3">
      <w:pPr>
        <w:autoSpaceDE w:val="0"/>
        <w:autoSpaceDN w:val="0"/>
        <w:adjustRightInd w:val="0"/>
        <w:ind w:firstLine="851"/>
        <w:rPr>
          <w:i/>
          <w:iCs/>
          <w:sz w:val="24"/>
          <w:szCs w:val="24"/>
          <w:lang w:eastAsia="da-DK"/>
        </w:rPr>
      </w:pPr>
    </w:p>
    <w:p w:rsidR="007F3FD3" w:rsidRPr="00EA77C8" w:rsidRDefault="007F3FD3" w:rsidP="007F3FD3">
      <w:pPr>
        <w:autoSpaceDE w:val="0"/>
        <w:autoSpaceDN w:val="0"/>
        <w:adjustRightInd w:val="0"/>
        <w:ind w:firstLine="851"/>
        <w:rPr>
          <w:rFonts w:eastAsia="TimesNewRoman"/>
          <w:sz w:val="24"/>
          <w:szCs w:val="24"/>
          <w:lang w:eastAsia="da-DK"/>
        </w:rPr>
      </w:pPr>
      <w:r w:rsidRPr="00EA77C8">
        <w:rPr>
          <w:i/>
          <w:iCs/>
          <w:sz w:val="24"/>
          <w:szCs w:val="24"/>
          <w:lang w:eastAsia="da-DK"/>
        </w:rPr>
        <w:t xml:space="preserve">Voksne og unge </w:t>
      </w:r>
      <w:r>
        <w:rPr>
          <w:i/>
          <w:iCs/>
          <w:sz w:val="24"/>
          <w:szCs w:val="24"/>
          <w:lang w:eastAsia="da-DK"/>
        </w:rPr>
        <w:t>(</w:t>
      </w:r>
      <w:r w:rsidRPr="00EA77C8">
        <w:rPr>
          <w:i/>
          <w:iCs/>
          <w:sz w:val="24"/>
          <w:szCs w:val="24"/>
          <w:lang w:eastAsia="da-DK"/>
        </w:rPr>
        <w:t>i alderen 12 år og derover</w:t>
      </w:r>
      <w:r>
        <w:rPr>
          <w:i/>
          <w:iCs/>
          <w:sz w:val="24"/>
          <w:szCs w:val="24"/>
          <w:lang w:eastAsia="da-DK"/>
        </w:rPr>
        <w:t>)</w:t>
      </w:r>
    </w:p>
    <w:p w:rsidR="007F3FD3" w:rsidRPr="00EA77C8" w:rsidRDefault="007F3FD3" w:rsidP="007F3FD3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EA77C8">
        <w:rPr>
          <w:rFonts w:eastAsia="TimesNewRoman"/>
          <w:sz w:val="24"/>
          <w:szCs w:val="24"/>
          <w:lang w:eastAsia="da-DK"/>
        </w:rPr>
        <w:t xml:space="preserve">Den anbefalede dosis Desloratadine </w:t>
      </w:r>
      <w:r>
        <w:rPr>
          <w:rFonts w:eastAsia="TimesNewRoman"/>
          <w:sz w:val="24"/>
          <w:szCs w:val="24"/>
          <w:lang w:eastAsia="da-DK"/>
        </w:rPr>
        <w:t>"</w:t>
      </w:r>
      <w:r w:rsidRPr="00EA77C8">
        <w:rPr>
          <w:rFonts w:eastAsia="TimesNewRoman"/>
          <w:sz w:val="24"/>
          <w:szCs w:val="24"/>
          <w:lang w:eastAsia="da-DK"/>
        </w:rPr>
        <w:t>Sandoz</w:t>
      </w:r>
      <w:r>
        <w:rPr>
          <w:rFonts w:eastAsia="TimesNewRoman"/>
          <w:sz w:val="24"/>
          <w:szCs w:val="24"/>
          <w:lang w:eastAsia="da-DK"/>
        </w:rPr>
        <w:t>"</w:t>
      </w:r>
      <w:r w:rsidRPr="00EA77C8">
        <w:rPr>
          <w:rFonts w:eastAsia="TimesNewRoman"/>
          <w:sz w:val="24"/>
          <w:szCs w:val="24"/>
          <w:lang w:eastAsia="da-DK"/>
        </w:rPr>
        <w:t xml:space="preserve"> er 10 ml (5 mg) oral opløsning en gang </w:t>
      </w:r>
      <w:r>
        <w:rPr>
          <w:rFonts w:eastAsia="TimesNewRoman"/>
          <w:sz w:val="24"/>
          <w:szCs w:val="24"/>
          <w:lang w:eastAsia="da-DK"/>
        </w:rPr>
        <w:t>daglig</w:t>
      </w:r>
      <w:r w:rsidRPr="00EA77C8">
        <w:rPr>
          <w:rFonts w:eastAsia="TimesNewRoman"/>
          <w:sz w:val="24"/>
          <w:szCs w:val="24"/>
          <w:lang w:eastAsia="da-DK"/>
        </w:rPr>
        <w:t>.</w:t>
      </w:r>
    </w:p>
    <w:p w:rsidR="007F3FD3" w:rsidRPr="00FC10C7" w:rsidRDefault="007F3FD3" w:rsidP="007F3FD3">
      <w:pPr>
        <w:ind w:left="851" w:hanging="851"/>
        <w:rPr>
          <w:rFonts w:eastAsia="TimesNewRoman"/>
          <w:iCs/>
          <w:sz w:val="24"/>
          <w:szCs w:val="24"/>
          <w:lang w:eastAsia="da-DK"/>
        </w:rPr>
      </w:pPr>
    </w:p>
    <w:p w:rsidR="007F3FD3" w:rsidRPr="007F7B32" w:rsidRDefault="007F3FD3" w:rsidP="007F3FD3">
      <w:pPr>
        <w:ind w:left="851"/>
        <w:rPr>
          <w:rFonts w:eastAsiaTheme="minorEastAsia"/>
          <w:sz w:val="24"/>
          <w:szCs w:val="24"/>
        </w:rPr>
      </w:pPr>
      <w:r w:rsidRPr="00EA77C8">
        <w:rPr>
          <w:rFonts w:eastAsia="TimesNewRoman"/>
          <w:i/>
          <w:iCs/>
          <w:sz w:val="24"/>
          <w:szCs w:val="24"/>
          <w:lang w:eastAsia="da-DK"/>
        </w:rPr>
        <w:t>Pædiatrisk population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Lægen bør være op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ærksom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på, at de fleste tilfælde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af rhinitis hos børn under 2 år sk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 xml:space="preserve">ldes infektioner (se pkt. 4.4) og at der ikke er nogen resultater, der understøtter brug af Desloratadine </w:t>
      </w:r>
      <w:r>
        <w:rPr>
          <w:rFonts w:eastAsiaTheme="minorEastAsia"/>
          <w:sz w:val="24"/>
          <w:szCs w:val="24"/>
        </w:rPr>
        <w:t>"Sandoz"</w:t>
      </w:r>
      <w:r w:rsidRPr="00A05BED">
        <w:rPr>
          <w:rFonts w:eastAsiaTheme="minorEastAsia"/>
          <w:sz w:val="24"/>
          <w:szCs w:val="24"/>
        </w:rPr>
        <w:t xml:space="preserve"> til behandling af infektiøs rhinitis.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Børn i alderen 1 til 5 år: 2,5 </w:t>
      </w:r>
      <w:r w:rsidRPr="00A05BED">
        <w:rPr>
          <w:rFonts w:eastAsiaTheme="minorEastAsia"/>
          <w:spacing w:val="-1"/>
          <w:sz w:val="24"/>
          <w:szCs w:val="24"/>
        </w:rPr>
        <w:t>ml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(1,25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g)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Desloratadine </w:t>
      </w:r>
      <w:r>
        <w:rPr>
          <w:rFonts w:eastAsiaTheme="minorEastAsia"/>
          <w:sz w:val="24"/>
          <w:szCs w:val="24"/>
        </w:rPr>
        <w:t>"Sandoz"</w:t>
      </w:r>
      <w:r w:rsidRPr="00A05BED">
        <w:rPr>
          <w:rFonts w:eastAsiaTheme="minorEastAsia"/>
          <w:sz w:val="24"/>
          <w:szCs w:val="24"/>
        </w:rPr>
        <w:t xml:space="preserve"> oral opløsning en gang daglig.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Børn i alderen 6 til 11 år: 5 </w:t>
      </w:r>
      <w:r w:rsidRPr="00A05BED">
        <w:rPr>
          <w:rFonts w:eastAsiaTheme="minorEastAsia"/>
          <w:spacing w:val="-1"/>
          <w:sz w:val="24"/>
          <w:szCs w:val="24"/>
        </w:rPr>
        <w:t>ml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(2,5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g)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Desloratadine </w:t>
      </w:r>
      <w:r>
        <w:rPr>
          <w:rFonts w:eastAsiaTheme="minorEastAsia"/>
          <w:sz w:val="24"/>
          <w:szCs w:val="24"/>
        </w:rPr>
        <w:t>"Sandoz"</w:t>
      </w:r>
      <w:r w:rsidRPr="00A05BED">
        <w:rPr>
          <w:rFonts w:eastAsiaTheme="minorEastAsia"/>
          <w:sz w:val="24"/>
          <w:szCs w:val="24"/>
        </w:rPr>
        <w:t xml:space="preserve"> oral opløsning en gang daglig.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DF3A13" w:rsidRDefault="007F3FD3" w:rsidP="007F3FD3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E60FEE">
        <w:rPr>
          <w:rFonts w:eastAsia="TimesNewRoman"/>
          <w:sz w:val="24"/>
          <w:szCs w:val="24"/>
          <w:lang w:eastAsia="da-DK"/>
        </w:rPr>
        <w:t xml:space="preserve">Sikkerhed og virkning af </w:t>
      </w:r>
      <w:r>
        <w:rPr>
          <w:rFonts w:eastAsia="TimesNewRoman"/>
          <w:sz w:val="24"/>
          <w:szCs w:val="24"/>
          <w:lang w:eastAsia="da-DK"/>
        </w:rPr>
        <w:t>Desloratadine "Sandoz"</w:t>
      </w:r>
      <w:r w:rsidRPr="00E60FEE">
        <w:rPr>
          <w:rFonts w:eastAsia="TimesNewRoman"/>
          <w:sz w:val="24"/>
          <w:szCs w:val="24"/>
          <w:lang w:eastAsia="da-DK"/>
        </w:rPr>
        <w:t xml:space="preserve"> </w:t>
      </w:r>
      <w:r>
        <w:rPr>
          <w:rFonts w:eastAsia="TimesNewRoman"/>
          <w:sz w:val="24"/>
          <w:szCs w:val="24"/>
          <w:lang w:eastAsia="da-DK"/>
        </w:rPr>
        <w:t>0,</w:t>
      </w:r>
      <w:r w:rsidRPr="00E60FEE">
        <w:rPr>
          <w:rFonts w:eastAsia="TimesNewRoman"/>
          <w:sz w:val="24"/>
          <w:szCs w:val="24"/>
          <w:lang w:eastAsia="da-DK"/>
        </w:rPr>
        <w:t>5 mg</w:t>
      </w:r>
      <w:r>
        <w:rPr>
          <w:rFonts w:eastAsia="TimesNewRoman"/>
          <w:sz w:val="24"/>
          <w:szCs w:val="24"/>
          <w:lang w:eastAsia="da-DK"/>
        </w:rPr>
        <w:t>/ml oral opløsning</w:t>
      </w:r>
      <w:r w:rsidRPr="00E60FEE">
        <w:rPr>
          <w:rFonts w:eastAsia="TimesNewRoman"/>
          <w:sz w:val="24"/>
          <w:szCs w:val="24"/>
          <w:lang w:eastAsia="da-DK"/>
        </w:rPr>
        <w:t xml:space="preserve"> hos børn under 1 år er ikke klarlagt.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DF3A13">
        <w:rPr>
          <w:rFonts w:eastAsia="TimesNewRoman"/>
          <w:sz w:val="24"/>
          <w:szCs w:val="24"/>
          <w:lang w:eastAsia="da-DK"/>
        </w:rPr>
        <w:t>Der foreligger ingen data.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 xml:space="preserve">Der er begrænset erfaring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klinisk effekt ved</w:t>
      </w:r>
      <w:r w:rsidRPr="00A05BED">
        <w:rPr>
          <w:rFonts w:eastAsiaTheme="minorEastAsia"/>
          <w:spacing w:val="-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brug af desloratadin til</w:t>
      </w:r>
      <w:r>
        <w:rPr>
          <w:rFonts w:eastAsiaTheme="minorEastAsia"/>
          <w:sz w:val="24"/>
          <w:szCs w:val="24"/>
        </w:rPr>
        <w:t xml:space="preserve"> børn mellem 1 og 11 år samt</w:t>
      </w:r>
      <w:r w:rsidRPr="00A05BED">
        <w:rPr>
          <w:rFonts w:eastAsiaTheme="minorEastAsia"/>
          <w:spacing w:val="55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unge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ellem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12 og 17 år (se </w:t>
      </w:r>
      <w:r>
        <w:rPr>
          <w:rFonts w:eastAsiaTheme="minorEastAsia"/>
          <w:sz w:val="24"/>
          <w:szCs w:val="24"/>
        </w:rPr>
        <w:t>pkt.</w:t>
      </w:r>
      <w:r w:rsidRPr="00A05BED">
        <w:rPr>
          <w:rFonts w:eastAsiaTheme="minorEastAsia"/>
          <w:sz w:val="24"/>
          <w:szCs w:val="24"/>
        </w:rPr>
        <w:t xml:space="preserve"> 4.8 og 5.1).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Inter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itterende allergisk rhinitis (tilstedeværelse af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er i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indre end 4 dage per uge eller i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indre end 4 uger) bør behandles i overensste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 xml:space="preserve">else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vurderingen af patientens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gdo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shistorie, og behandlingen kan afbr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des efter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erne er forsvundet og genoptages efter deres tilbagevenden. Ved vedvarende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allergisk rhinitis (tilstedeværelse af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er i 4 dage eller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ere per uge og i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ere end 4 uger) kan fortsat behan</w:t>
      </w:r>
      <w:r w:rsidRPr="00A05BED">
        <w:rPr>
          <w:rFonts w:eastAsiaTheme="minorEastAsia"/>
          <w:spacing w:val="-1"/>
          <w:sz w:val="24"/>
          <w:szCs w:val="24"/>
        </w:rPr>
        <w:t>d</w:t>
      </w:r>
      <w:r w:rsidRPr="00A05BED">
        <w:rPr>
          <w:rFonts w:eastAsiaTheme="minorEastAsia"/>
          <w:sz w:val="24"/>
          <w:szCs w:val="24"/>
        </w:rPr>
        <w:t xml:space="preserve">ling foreslås til patienterne under perioder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allergeneksponering.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442704" w:rsidRDefault="00314913" w:rsidP="007F3FD3">
      <w:pPr>
        <w:ind w:left="851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  <w:u w:val="single"/>
        </w:rPr>
        <w:t>Admini</w:t>
      </w:r>
      <w:r w:rsidR="00635287">
        <w:rPr>
          <w:rFonts w:eastAsiaTheme="minorEastAsia"/>
          <w:sz w:val="24"/>
          <w:szCs w:val="24"/>
          <w:u w:val="single"/>
        </w:rPr>
        <w:t>s</w:t>
      </w:r>
      <w:r>
        <w:rPr>
          <w:rFonts w:eastAsiaTheme="minorEastAsia"/>
          <w:sz w:val="24"/>
          <w:szCs w:val="24"/>
          <w:u w:val="single"/>
        </w:rPr>
        <w:t>tration</w:t>
      </w:r>
    </w:p>
    <w:p w:rsidR="007F3FD3" w:rsidRPr="00EA77C8" w:rsidRDefault="007F3FD3" w:rsidP="007F3FD3">
      <w:pPr>
        <w:autoSpaceDE w:val="0"/>
        <w:autoSpaceDN w:val="0"/>
        <w:adjustRightInd w:val="0"/>
        <w:ind w:firstLine="851"/>
        <w:rPr>
          <w:rFonts w:eastAsia="TimesNewRoman"/>
          <w:sz w:val="24"/>
          <w:szCs w:val="24"/>
          <w:lang w:eastAsia="da-DK"/>
        </w:rPr>
      </w:pPr>
      <w:r w:rsidRPr="00EA77C8">
        <w:rPr>
          <w:rFonts w:eastAsia="TimesNewRoman"/>
          <w:sz w:val="24"/>
          <w:szCs w:val="24"/>
          <w:lang w:eastAsia="da-DK"/>
        </w:rPr>
        <w:t>Oral anvendelse.</w:t>
      </w:r>
    </w:p>
    <w:p w:rsidR="007F3FD3" w:rsidRPr="00E60FEE" w:rsidRDefault="007F3FD3" w:rsidP="007F3FD3">
      <w:pPr>
        <w:ind w:left="851"/>
        <w:rPr>
          <w:rFonts w:eastAsiaTheme="minorEastAsia"/>
          <w:sz w:val="24"/>
          <w:szCs w:val="24"/>
        </w:rPr>
      </w:pPr>
      <w:r w:rsidRPr="00E60FEE">
        <w:rPr>
          <w:rFonts w:eastAsia="TimesNewRoman"/>
          <w:sz w:val="24"/>
          <w:szCs w:val="24"/>
          <w:lang w:eastAsia="da-DK"/>
        </w:rPr>
        <w:t>Dosis kan tages med eller uden mad.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Kontraindikationer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Overfølso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hed over for det aktive stof eller over for et eller flere af hjælpestofferne eller loratadin.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  <w:bookmarkStart w:id="0" w:name="page26"/>
      <w:bookmarkEnd w:id="0"/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Særlige advarsler og forsigtighedsregler vedrørende brugen</w:t>
      </w:r>
    </w:p>
    <w:p w:rsidR="007F3FD3" w:rsidRPr="001D41A8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1D41A8" w:rsidRDefault="007F3FD3" w:rsidP="007F3FD3">
      <w:pPr>
        <w:autoSpaceDE w:val="0"/>
        <w:autoSpaceDN w:val="0"/>
        <w:adjustRightInd w:val="0"/>
        <w:ind w:left="851"/>
        <w:rPr>
          <w:bCs/>
          <w:sz w:val="24"/>
          <w:szCs w:val="24"/>
          <w:u w:val="single"/>
          <w:lang w:eastAsia="da-DK"/>
        </w:rPr>
      </w:pPr>
      <w:r w:rsidRPr="001D41A8">
        <w:rPr>
          <w:bCs/>
          <w:sz w:val="24"/>
          <w:szCs w:val="24"/>
          <w:u w:val="single"/>
          <w:lang w:eastAsia="da-DK"/>
        </w:rPr>
        <w:t>Kramper</w:t>
      </w:r>
    </w:p>
    <w:p w:rsidR="007F3FD3" w:rsidRPr="001D41A8" w:rsidRDefault="007F3FD3" w:rsidP="007F3FD3">
      <w:pPr>
        <w:ind w:left="851"/>
        <w:rPr>
          <w:rFonts w:eastAsiaTheme="minorEastAsia"/>
          <w:sz w:val="24"/>
          <w:szCs w:val="24"/>
        </w:rPr>
      </w:pPr>
      <w:r w:rsidRPr="001D41A8">
        <w:rPr>
          <w:bCs/>
          <w:sz w:val="24"/>
          <w:szCs w:val="24"/>
          <w:lang w:eastAsia="da-DK"/>
        </w:rPr>
        <w:t>Desloratadin skal administreres med forsigtighed hos patienter med krampeanfald i anamnesen eller i familien og især hos små børn</w:t>
      </w:r>
      <w:r w:rsidR="00986260">
        <w:rPr>
          <w:bCs/>
          <w:sz w:val="24"/>
          <w:szCs w:val="24"/>
          <w:lang w:eastAsia="da-DK"/>
        </w:rPr>
        <w:t xml:space="preserve"> (se pkt. 4.8)</w:t>
      </w:r>
      <w:r w:rsidRPr="001D41A8">
        <w:rPr>
          <w:bCs/>
          <w:sz w:val="24"/>
          <w:szCs w:val="24"/>
          <w:lang w:eastAsia="da-DK"/>
        </w:rPr>
        <w:t>, der er mere tilbøjelige til at få nye krampeanfald under behandling med desloratadin. Sundhedspersonalet kan overveje at seponere desloratadin hos patienter, der oplever et krampeanfald under behandlingen.</w:t>
      </w:r>
    </w:p>
    <w:p w:rsidR="007F3FD3" w:rsidRPr="001D41A8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1D41A8" w:rsidRDefault="007F3FD3" w:rsidP="007F3FD3">
      <w:pPr>
        <w:ind w:left="851"/>
        <w:rPr>
          <w:rFonts w:eastAsiaTheme="minorEastAsia"/>
          <w:sz w:val="24"/>
          <w:szCs w:val="24"/>
        </w:rPr>
      </w:pPr>
      <w:r w:rsidRPr="001D41A8">
        <w:rPr>
          <w:rFonts w:eastAsiaTheme="minorEastAsia"/>
          <w:sz w:val="24"/>
          <w:szCs w:val="24"/>
          <w:u w:val="single"/>
        </w:rPr>
        <w:t>Pædiatrisk population</w:t>
      </w:r>
      <w:r w:rsidRPr="001D41A8">
        <w:rPr>
          <w:rFonts w:eastAsiaTheme="minorEastAsia"/>
          <w:sz w:val="24"/>
          <w:szCs w:val="24"/>
        </w:rPr>
        <w:t xml:space="preserve"> 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Diagnosen allergisk rhinitis er specielt vanskelig at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skelne fra andre t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per af rhinitis hos børn under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2 år. Udelukkelse af øvre luftvejsinfektion eller strukturelle abnor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aliteter bør, såvel som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gehistorie, f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siske undersøgelser og relevante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laboratorie- og hudprøver, tages i betragtning.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kring 6 % af voksne og børn i alderen 2 til 11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år er fænot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 xml:space="preserve">pisk dårlige til at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etabolisere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desloratadin og udviser højere eksponering (se pkt. 5.2). Sikkerheden af desloratadin hos børn i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alderen 2 til 11 år 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er dårlige til at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etabolisere, er den sa</w:t>
      </w:r>
      <w:r w:rsidRPr="00A05BED">
        <w:rPr>
          <w:rFonts w:eastAsiaTheme="minorEastAsia"/>
          <w:spacing w:val="-1"/>
          <w:sz w:val="24"/>
          <w:szCs w:val="24"/>
        </w:rPr>
        <w:t>mme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lastRenderedPageBreak/>
        <w:t>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for børn 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har en nor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al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evne til at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etabolisere. Effekten af desloratadin hos børn &lt; 2 år, der er dårlige til at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etabolisere, er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ikke undersøgt.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I tilfælde af svær n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 xml:space="preserve">reinsufficiens bør desloratadin anvendes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forsigtighed (se pkt. 5.2).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6D2FD6" w:rsidRPr="00651AC3" w:rsidRDefault="006D2FD6" w:rsidP="006D2FD6">
      <w:pPr>
        <w:ind w:left="851"/>
        <w:rPr>
          <w:rFonts w:eastAsiaTheme="minorEastAsia"/>
          <w:sz w:val="24"/>
          <w:szCs w:val="24"/>
          <w:u w:val="single"/>
        </w:rPr>
      </w:pPr>
      <w:r w:rsidRPr="00651AC3">
        <w:rPr>
          <w:rFonts w:eastAsiaTheme="minorEastAsia"/>
          <w:sz w:val="24"/>
          <w:szCs w:val="24"/>
          <w:u w:val="single"/>
        </w:rPr>
        <w:t>Dette læge</w:t>
      </w:r>
      <w:r w:rsidRPr="00651AC3">
        <w:rPr>
          <w:rFonts w:eastAsiaTheme="minorEastAsia"/>
          <w:spacing w:val="-1"/>
          <w:sz w:val="24"/>
          <w:szCs w:val="24"/>
          <w:u w:val="single"/>
        </w:rPr>
        <w:t>m</w:t>
      </w:r>
      <w:r w:rsidRPr="00651AC3">
        <w:rPr>
          <w:rFonts w:eastAsiaTheme="minorEastAsia"/>
          <w:sz w:val="24"/>
          <w:szCs w:val="24"/>
          <w:u w:val="single"/>
        </w:rPr>
        <w:t>iddel indeholder sorbitol</w:t>
      </w:r>
      <w:r>
        <w:rPr>
          <w:rFonts w:eastAsiaTheme="minorEastAsia"/>
          <w:sz w:val="24"/>
          <w:szCs w:val="24"/>
          <w:u w:val="single"/>
        </w:rPr>
        <w:t>, propylenglycol og natrium</w:t>
      </w:r>
      <w:r w:rsidRPr="00651AC3">
        <w:rPr>
          <w:rFonts w:eastAsiaTheme="minorEastAsia"/>
          <w:sz w:val="24"/>
          <w:szCs w:val="24"/>
          <w:u w:val="single"/>
        </w:rPr>
        <w:t xml:space="preserve"> </w:t>
      </w:r>
    </w:p>
    <w:p w:rsidR="006D2FD6" w:rsidRDefault="006D2FD6" w:rsidP="006D2FD6">
      <w:pPr>
        <w:ind w:left="851"/>
      </w:pPr>
      <w:r w:rsidRPr="006A3038">
        <w:rPr>
          <w:rFonts w:eastAsiaTheme="minorEastAsia"/>
          <w:sz w:val="24"/>
          <w:szCs w:val="24"/>
        </w:rPr>
        <w:t xml:space="preserve">Dette lægemiddel indeholder </w:t>
      </w:r>
      <w:r>
        <w:rPr>
          <w:rFonts w:eastAsiaTheme="minorEastAsia"/>
          <w:sz w:val="24"/>
          <w:szCs w:val="24"/>
        </w:rPr>
        <w:t>op til 97,5</w:t>
      </w:r>
      <w:r w:rsidRPr="006A3038">
        <w:rPr>
          <w:rFonts w:eastAsiaTheme="minorEastAsia"/>
          <w:sz w:val="24"/>
          <w:szCs w:val="24"/>
        </w:rPr>
        <w:t xml:space="preserve"> mg sorbitol pr.</w:t>
      </w:r>
      <w:r>
        <w:rPr>
          <w:rFonts w:eastAsiaTheme="minorEastAsia"/>
          <w:sz w:val="24"/>
          <w:szCs w:val="24"/>
        </w:rPr>
        <w:t xml:space="preserve"> ml</w:t>
      </w:r>
      <w:r w:rsidRPr="006A303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oral opløsning. Den additive virkning af samtidig administrerede produkter indeholdende sorbitol (eller fructose) og indtagelse af sorbitol (eller fructose) i kosten bør tages i betragtning.</w:t>
      </w:r>
    </w:p>
    <w:p w:rsidR="006D2FD6" w:rsidRDefault="006D2FD6" w:rsidP="006D2FD6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Indholdet af sorbitol i lægemidler til oral brug kan påvirke biotilgængeligheden af andre lægemidler til oral brug hvis indgivet samtidig.</w:t>
      </w:r>
    </w:p>
    <w:p w:rsidR="006D2FD6" w:rsidRDefault="006D2FD6" w:rsidP="006D2FD6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Patienter med hereditær fructoseintolerans (HFI) bør ikke tage/få dette lægemiddel.</w:t>
      </w:r>
    </w:p>
    <w:p w:rsidR="006D2FD6" w:rsidRDefault="006D2FD6" w:rsidP="006D2FD6">
      <w:pPr>
        <w:ind w:left="851"/>
        <w:rPr>
          <w:rFonts w:eastAsiaTheme="minorEastAsia"/>
          <w:sz w:val="24"/>
          <w:szCs w:val="24"/>
        </w:rPr>
      </w:pPr>
      <w:r w:rsidRPr="006A3038">
        <w:rPr>
          <w:rFonts w:eastAsiaTheme="minorEastAsia"/>
          <w:sz w:val="24"/>
          <w:szCs w:val="24"/>
        </w:rPr>
        <w:t xml:space="preserve">Dette lægemiddel indeholder </w:t>
      </w:r>
      <w:r>
        <w:rPr>
          <w:rFonts w:eastAsiaTheme="minorEastAsia"/>
          <w:sz w:val="24"/>
          <w:szCs w:val="24"/>
        </w:rPr>
        <w:t>102,30</w:t>
      </w:r>
      <w:r w:rsidRPr="006A3038">
        <w:rPr>
          <w:rFonts w:eastAsiaTheme="minorEastAsia"/>
          <w:sz w:val="24"/>
          <w:szCs w:val="24"/>
        </w:rPr>
        <w:t xml:space="preserve"> mg </w:t>
      </w:r>
      <w:r>
        <w:rPr>
          <w:rFonts w:eastAsiaTheme="minorEastAsia"/>
          <w:sz w:val="24"/>
          <w:szCs w:val="24"/>
        </w:rPr>
        <w:t>propylenglycol</w:t>
      </w:r>
      <w:r w:rsidRPr="006A3038">
        <w:rPr>
          <w:rFonts w:eastAsiaTheme="minorEastAsia"/>
          <w:sz w:val="24"/>
          <w:szCs w:val="24"/>
        </w:rPr>
        <w:t xml:space="preserve"> pr.</w:t>
      </w:r>
      <w:r>
        <w:rPr>
          <w:rFonts w:eastAsiaTheme="minorEastAsia"/>
          <w:sz w:val="24"/>
          <w:szCs w:val="24"/>
        </w:rPr>
        <w:t xml:space="preserve"> ml</w:t>
      </w:r>
      <w:r w:rsidRPr="006A303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oral opløsning.</w:t>
      </w:r>
    </w:p>
    <w:p w:rsidR="006D2FD6" w:rsidRDefault="006D2FD6" w:rsidP="006D2FD6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Dette lægemiddel indeholder 0,167 mmol (3,85 mg) natrium pr. ml</w:t>
      </w:r>
      <w:r w:rsidRPr="006A3038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oral opløsning svarende til 0,19 % af den WHO anbefalede maksimale daglige indtagelse af 2 g natrium for en voksen.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Interaktion med andre lægemidler og andre former for interaktion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 xml:space="preserve">Der blev i kliniske undersøgelser </w:t>
      </w:r>
      <w:r w:rsidRPr="00357782">
        <w:rPr>
          <w:rFonts w:eastAsiaTheme="minorEastAsia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desloratadin-tablett</w:t>
      </w:r>
      <w:r w:rsidRPr="00357782">
        <w:rPr>
          <w:rFonts w:eastAsiaTheme="minorEastAsia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>r, hvor er</w:t>
      </w:r>
      <w:r w:rsidRPr="00357782">
        <w:rPr>
          <w:rFonts w:eastAsiaTheme="minorEastAsia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thro</w:t>
      </w:r>
      <w:r w:rsidRPr="00357782">
        <w:rPr>
          <w:rFonts w:eastAsiaTheme="minorEastAsia"/>
          <w:sz w:val="24"/>
          <w:szCs w:val="24"/>
        </w:rPr>
        <w:t>my</w:t>
      </w:r>
      <w:r w:rsidRPr="00A05BED">
        <w:rPr>
          <w:rFonts w:eastAsiaTheme="minorEastAsia"/>
          <w:sz w:val="24"/>
          <w:szCs w:val="24"/>
        </w:rPr>
        <w:t>cin eller ketoconazol blev givet sa</w:t>
      </w:r>
      <w:r w:rsidRPr="00357782">
        <w:rPr>
          <w:rFonts w:eastAsiaTheme="minorEastAsia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tidigt, ikke observeret klinisk relevante interaktioner (se pkt. 5.1).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357782" w:rsidRDefault="007F3FD3" w:rsidP="007F3FD3">
      <w:pPr>
        <w:ind w:left="851"/>
        <w:rPr>
          <w:rFonts w:eastAsiaTheme="minorEastAsia"/>
          <w:sz w:val="24"/>
          <w:szCs w:val="24"/>
          <w:u w:val="single"/>
        </w:rPr>
      </w:pPr>
      <w:r w:rsidRPr="00357782">
        <w:rPr>
          <w:rFonts w:eastAsiaTheme="minorEastAsia"/>
          <w:sz w:val="24"/>
          <w:szCs w:val="24"/>
          <w:u w:val="single"/>
        </w:rPr>
        <w:t>Pædiatrisk population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  <w:r w:rsidRPr="009B0167">
        <w:rPr>
          <w:rFonts w:eastAsiaTheme="minorEastAsia"/>
          <w:sz w:val="24"/>
          <w:szCs w:val="24"/>
        </w:rPr>
        <w:t>Interaktionsstudier er kun udført hos voksne.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I en klinisk far</w:t>
      </w:r>
      <w:r w:rsidRPr="00357782">
        <w:rPr>
          <w:rFonts w:eastAsiaTheme="minorEastAsia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akologiundersøgelse forstærkede desloratadin-tabletter indtaget sa</w:t>
      </w:r>
      <w:r w:rsidRPr="00357782">
        <w:rPr>
          <w:rFonts w:eastAsiaTheme="minorEastAsia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 xml:space="preserve">en </w:t>
      </w:r>
      <w:r w:rsidRPr="00357782">
        <w:rPr>
          <w:rFonts w:eastAsiaTheme="minorEastAsia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alkohol ikke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de præstationshæ</w:t>
      </w:r>
      <w:r w:rsidRPr="00357782">
        <w:rPr>
          <w:rFonts w:eastAsiaTheme="minorEastAsia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>ende virkninger af alkohol (se pkt. 5.1).</w:t>
      </w:r>
      <w:r w:rsidRPr="00357782">
        <w:rPr>
          <w:rFonts w:eastAsiaTheme="minorEastAsia"/>
          <w:sz w:val="24"/>
          <w:szCs w:val="24"/>
        </w:rPr>
        <w:t xml:space="preserve"> </w:t>
      </w:r>
      <w:r w:rsidRPr="009B0167">
        <w:rPr>
          <w:rFonts w:eastAsiaTheme="minorEastAsia"/>
          <w:sz w:val="24"/>
          <w:szCs w:val="24"/>
        </w:rPr>
        <w:t>Der er dog rapporteret tilfælde af</w:t>
      </w:r>
      <w:r>
        <w:rPr>
          <w:rFonts w:eastAsiaTheme="minorEastAsia"/>
          <w:sz w:val="24"/>
          <w:szCs w:val="24"/>
        </w:rPr>
        <w:t xml:space="preserve"> </w:t>
      </w:r>
      <w:r w:rsidRPr="009B0167">
        <w:rPr>
          <w:rFonts w:eastAsiaTheme="minorEastAsia"/>
          <w:sz w:val="24"/>
          <w:szCs w:val="24"/>
        </w:rPr>
        <w:t>alkoholintolerans og alkoholforgiftning i forbindelse med brug efter markedsføring. Det anbefales</w:t>
      </w:r>
      <w:r>
        <w:rPr>
          <w:rFonts w:eastAsiaTheme="minorEastAsia"/>
          <w:sz w:val="24"/>
          <w:szCs w:val="24"/>
        </w:rPr>
        <w:t xml:space="preserve"> </w:t>
      </w:r>
      <w:r w:rsidRPr="009B0167">
        <w:rPr>
          <w:rFonts w:eastAsiaTheme="minorEastAsia"/>
          <w:sz w:val="24"/>
          <w:szCs w:val="24"/>
        </w:rPr>
        <w:t>derfor at udvise forsigtighed ved samtidig indtagelse af alkohol.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Graviditet og amning</w:t>
      </w:r>
    </w:p>
    <w:p w:rsidR="007F3FD3" w:rsidRDefault="007F3FD3" w:rsidP="007F3FD3">
      <w:pPr>
        <w:tabs>
          <w:tab w:val="left" w:pos="851"/>
        </w:tabs>
        <w:autoSpaceDE w:val="0"/>
        <w:autoSpaceDN w:val="0"/>
        <w:adjustRightInd w:val="0"/>
        <w:rPr>
          <w:rFonts w:eastAsia="TimesNewRoman"/>
          <w:sz w:val="24"/>
          <w:szCs w:val="24"/>
          <w:lang w:eastAsia="da-DK"/>
        </w:rPr>
      </w:pPr>
    </w:p>
    <w:p w:rsidR="007F3FD3" w:rsidRPr="00FC10C7" w:rsidRDefault="007F3FD3" w:rsidP="007F3FD3">
      <w:pPr>
        <w:autoSpaceDE w:val="0"/>
        <w:autoSpaceDN w:val="0"/>
        <w:adjustRightInd w:val="0"/>
        <w:ind w:firstLine="851"/>
        <w:rPr>
          <w:rFonts w:eastAsia="TimesNewRoman"/>
          <w:sz w:val="24"/>
          <w:szCs w:val="24"/>
          <w:u w:val="single"/>
          <w:lang w:eastAsia="da-DK"/>
        </w:rPr>
      </w:pPr>
      <w:r w:rsidRPr="00FC10C7">
        <w:rPr>
          <w:rFonts w:eastAsia="TimesNewRoman"/>
          <w:sz w:val="24"/>
          <w:szCs w:val="24"/>
          <w:u w:val="single"/>
          <w:lang w:eastAsia="da-DK"/>
        </w:rPr>
        <w:t>Fertilitet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EA77C8">
        <w:rPr>
          <w:rFonts w:eastAsia="TimesNewRoman"/>
          <w:sz w:val="24"/>
          <w:szCs w:val="24"/>
          <w:lang w:eastAsia="da-DK"/>
        </w:rPr>
        <w:t>Der foreligger ingen data vedrørende fertiliteten hos hanner og hunner.</w:t>
      </w:r>
    </w:p>
    <w:p w:rsidR="007F3FD3" w:rsidRDefault="007F3FD3" w:rsidP="007F3FD3">
      <w:pPr>
        <w:tabs>
          <w:tab w:val="left" w:pos="851"/>
        </w:tabs>
        <w:autoSpaceDE w:val="0"/>
        <w:autoSpaceDN w:val="0"/>
        <w:adjustRightInd w:val="0"/>
        <w:rPr>
          <w:rFonts w:eastAsia="TimesNewRoman"/>
          <w:sz w:val="24"/>
          <w:szCs w:val="24"/>
          <w:lang w:eastAsia="da-DK"/>
        </w:rPr>
      </w:pPr>
    </w:p>
    <w:p w:rsidR="007F3FD3" w:rsidRPr="00FC10C7" w:rsidRDefault="007F3FD3" w:rsidP="007F3FD3">
      <w:pPr>
        <w:tabs>
          <w:tab w:val="left" w:pos="851"/>
        </w:tabs>
        <w:autoSpaceDE w:val="0"/>
        <w:autoSpaceDN w:val="0"/>
        <w:adjustRightInd w:val="0"/>
        <w:rPr>
          <w:rFonts w:eastAsia="TimesNewRoman"/>
          <w:sz w:val="24"/>
          <w:szCs w:val="24"/>
          <w:u w:val="single"/>
          <w:lang w:eastAsia="da-DK"/>
        </w:rPr>
      </w:pPr>
      <w:r>
        <w:rPr>
          <w:rFonts w:eastAsia="TimesNewRoman"/>
          <w:sz w:val="24"/>
          <w:szCs w:val="24"/>
          <w:lang w:eastAsia="da-DK"/>
        </w:rPr>
        <w:tab/>
      </w:r>
      <w:r w:rsidRPr="00FC10C7">
        <w:rPr>
          <w:rFonts w:eastAsia="TimesNewRoman"/>
          <w:sz w:val="24"/>
          <w:szCs w:val="24"/>
          <w:u w:val="single"/>
          <w:lang w:eastAsia="da-DK"/>
        </w:rPr>
        <w:t>Graviditet</w:t>
      </w:r>
    </w:p>
    <w:p w:rsidR="007F3FD3" w:rsidRDefault="007F3FD3" w:rsidP="007F3FD3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9B0167">
        <w:rPr>
          <w:rFonts w:eastAsia="TimesNewRoman"/>
          <w:sz w:val="24"/>
          <w:szCs w:val="24"/>
          <w:lang w:eastAsia="da-DK"/>
        </w:rPr>
        <w:t>Data fra et stort antal gravide kvinder (flere end 1.000 gravide forsøgspersoner) indikerer hverken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9B0167">
        <w:rPr>
          <w:rFonts w:eastAsia="TimesNewRoman"/>
          <w:sz w:val="24"/>
          <w:szCs w:val="24"/>
          <w:lang w:eastAsia="da-DK"/>
        </w:rPr>
        <w:t>misdannelser eller føtal/neonatal toksicitet i forbindelse med desloratadin.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>Dyrestudier indikerer hverken direkte eller indirekte skadelige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 xml:space="preserve">virkninger hvad angår reproduktionstoksicitet (se pkt. 5.3). For en sikkerheds skyld bør </w:t>
      </w:r>
      <w:r>
        <w:rPr>
          <w:rFonts w:eastAsia="TimesNewRoman"/>
          <w:sz w:val="24"/>
          <w:szCs w:val="24"/>
          <w:lang w:eastAsia="da-DK"/>
        </w:rPr>
        <w:t>desloratadin</w:t>
      </w:r>
      <w:r w:rsidRPr="00E60FEE">
        <w:rPr>
          <w:rFonts w:eastAsia="TimesNewRoman"/>
          <w:sz w:val="24"/>
          <w:szCs w:val="24"/>
          <w:lang w:eastAsia="da-DK"/>
        </w:rPr>
        <w:t xml:space="preserve"> undgås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>under graviditet.</w:t>
      </w:r>
    </w:p>
    <w:p w:rsidR="007F3FD3" w:rsidRPr="00E60FEE" w:rsidRDefault="007F3FD3" w:rsidP="007F3FD3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</w:p>
    <w:p w:rsidR="007F3FD3" w:rsidRPr="00FC10C7" w:rsidRDefault="007F3FD3" w:rsidP="007F3FD3">
      <w:pPr>
        <w:autoSpaceDE w:val="0"/>
        <w:autoSpaceDN w:val="0"/>
        <w:adjustRightInd w:val="0"/>
        <w:ind w:firstLine="851"/>
        <w:rPr>
          <w:rFonts w:eastAsia="TimesNewRoman"/>
          <w:sz w:val="24"/>
          <w:szCs w:val="24"/>
          <w:u w:val="single"/>
          <w:lang w:eastAsia="da-DK"/>
        </w:rPr>
      </w:pPr>
      <w:r w:rsidRPr="00FC10C7">
        <w:rPr>
          <w:rFonts w:eastAsia="TimesNewRoman"/>
          <w:sz w:val="24"/>
          <w:szCs w:val="24"/>
          <w:u w:val="single"/>
          <w:lang w:eastAsia="da-DK"/>
        </w:rPr>
        <w:t>Amning</w:t>
      </w:r>
    </w:p>
    <w:p w:rsidR="007F3FD3" w:rsidRDefault="007F3FD3" w:rsidP="007F3FD3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E60FEE">
        <w:rPr>
          <w:rFonts w:eastAsia="TimesNewRoman"/>
          <w:sz w:val="24"/>
          <w:szCs w:val="24"/>
          <w:lang w:eastAsia="da-DK"/>
        </w:rPr>
        <w:t>Desloratadin er blevet sporet hos behandlede kvinders ammede nyfødte/spædbørn. Virkningen af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>desloratadin hos nyfødte/spædbørn er ikke kendt. Hvorvidt amningen skal fortsættes eller om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 xml:space="preserve">behandlingen med </w:t>
      </w:r>
      <w:r>
        <w:rPr>
          <w:rFonts w:eastAsia="TimesNewRoman"/>
          <w:sz w:val="24"/>
          <w:szCs w:val="24"/>
          <w:lang w:eastAsia="da-DK"/>
        </w:rPr>
        <w:t>desloratadin</w:t>
      </w:r>
      <w:r w:rsidRPr="00E60FEE">
        <w:rPr>
          <w:rFonts w:eastAsia="TimesNewRoman"/>
          <w:sz w:val="24"/>
          <w:szCs w:val="24"/>
          <w:lang w:eastAsia="da-DK"/>
        </w:rPr>
        <w:t xml:space="preserve"> skal seponeres/undlades skal vurderes ud fra afvejning af barnets fordele ved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E60FEE">
        <w:rPr>
          <w:rFonts w:eastAsia="TimesNewRoman"/>
          <w:sz w:val="24"/>
          <w:szCs w:val="24"/>
          <w:lang w:eastAsia="da-DK"/>
        </w:rPr>
        <w:t>amning og kvindens fordele ved behandling.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Virkninger på evnen til at føre motorkøretøj eller betjene maskiner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Ikke mærkning.</w:t>
      </w:r>
    </w:p>
    <w:p w:rsidR="007F3FD3" w:rsidRPr="00A55FDB" w:rsidRDefault="007F3FD3" w:rsidP="007F3FD3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A55FDB">
        <w:rPr>
          <w:rFonts w:eastAsia="TimesNewRoman"/>
          <w:sz w:val="24"/>
          <w:szCs w:val="24"/>
        </w:rPr>
        <w:lastRenderedPageBreak/>
        <w:t xml:space="preserve">Vurderet på baggrund af kliniske studier påvirker </w:t>
      </w:r>
      <w:r>
        <w:rPr>
          <w:rFonts w:eastAsia="TimesNewRoman"/>
          <w:sz w:val="24"/>
          <w:szCs w:val="24"/>
        </w:rPr>
        <w:t>desloratadin</w:t>
      </w:r>
      <w:r w:rsidRPr="00A55FDB">
        <w:rPr>
          <w:rFonts w:eastAsia="TimesNewRoman"/>
          <w:sz w:val="24"/>
          <w:szCs w:val="24"/>
        </w:rPr>
        <w:t xml:space="preserve"> ikke eller kun i ubetydelig grad evnen til at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føre motorkøretøj og betjene maskiner.</w:t>
      </w:r>
    </w:p>
    <w:p w:rsidR="007F3FD3" w:rsidRDefault="007F3FD3" w:rsidP="007F3FD3">
      <w:pPr>
        <w:ind w:left="851"/>
        <w:rPr>
          <w:rFonts w:eastAsia="TimesNewRoman"/>
          <w:sz w:val="24"/>
          <w:szCs w:val="24"/>
        </w:rPr>
      </w:pPr>
      <w:r w:rsidRPr="00A55FDB">
        <w:rPr>
          <w:rFonts w:eastAsia="TimesNewRoman"/>
          <w:sz w:val="24"/>
          <w:szCs w:val="24"/>
        </w:rPr>
        <w:t>Patienterne skal informeres om, at de fleste mennesker ikke oplever døsighed. Da der kan være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individuel respons på alle lægemidler, bør patienterne frarådes at beskæftige sig med aktiviteter, der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kræver mental årvågenhed, for eksempel køre bil og betjene maskiner, indtil den enkeltes respons på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lægemidlet er klarlagt.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Bivirkninger</w:t>
      </w:r>
    </w:p>
    <w:p w:rsidR="007F3FD3" w:rsidRPr="00FC61CB" w:rsidRDefault="007F3FD3" w:rsidP="007F3FD3">
      <w:pPr>
        <w:ind w:left="851"/>
        <w:rPr>
          <w:rFonts w:eastAsia="TimesNewRoman"/>
          <w:sz w:val="24"/>
          <w:szCs w:val="24"/>
          <w:u w:val="single"/>
          <w:lang w:eastAsia="da-DK"/>
        </w:rPr>
      </w:pPr>
    </w:p>
    <w:p w:rsidR="007F3FD3" w:rsidRPr="00FC61CB" w:rsidRDefault="007F3FD3" w:rsidP="007F3FD3">
      <w:pPr>
        <w:ind w:left="851"/>
        <w:rPr>
          <w:rFonts w:eastAsiaTheme="minorEastAsia"/>
          <w:sz w:val="24"/>
          <w:szCs w:val="24"/>
        </w:rPr>
      </w:pPr>
      <w:r w:rsidRPr="00FC61CB">
        <w:rPr>
          <w:rFonts w:eastAsia="TimesNewRoman"/>
          <w:sz w:val="24"/>
          <w:szCs w:val="24"/>
          <w:u w:val="single"/>
          <w:lang w:eastAsia="da-DK"/>
        </w:rPr>
        <w:t>Opsummering af sikkerhedsprofilen</w:t>
      </w:r>
      <w:r w:rsidRPr="00FC61CB">
        <w:rPr>
          <w:rFonts w:eastAsiaTheme="minorEastAsia"/>
          <w:sz w:val="24"/>
          <w:szCs w:val="24"/>
        </w:rPr>
        <w:t xml:space="preserve"> </w:t>
      </w:r>
    </w:p>
    <w:p w:rsidR="007F3FD3" w:rsidRPr="00FC61CB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357782" w:rsidRDefault="007F3FD3" w:rsidP="007F3FD3">
      <w:pPr>
        <w:ind w:left="851"/>
        <w:rPr>
          <w:rFonts w:eastAsia="TimesNewRoman"/>
          <w:sz w:val="24"/>
          <w:szCs w:val="24"/>
          <w:u w:val="single"/>
          <w:lang w:eastAsia="da-DK"/>
        </w:rPr>
      </w:pPr>
      <w:r w:rsidRPr="00357782">
        <w:rPr>
          <w:rFonts w:eastAsia="TimesNewRoman"/>
          <w:sz w:val="24"/>
          <w:szCs w:val="24"/>
          <w:u w:val="single"/>
          <w:lang w:eastAsia="da-DK"/>
        </w:rPr>
        <w:t>Pædiatrisk population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I kliniske undersøgelser i en pædiatrisk population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blev desloratadin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rupfor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uleringen anvendt til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i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alt 246 børn i alderen 6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åneder til 11 år. Den sa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lede</w:t>
      </w:r>
      <w:r w:rsidRPr="00A05BED">
        <w:rPr>
          <w:rFonts w:eastAsiaTheme="minorEastAsia"/>
          <w:spacing w:val="-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foreko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st af bivirkninger hos børn i alderen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2 til 11 år var sa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>enlignelig for desloratadin- og placebogrupperne. Hos spædbørn og s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åbørn i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alderen 6 til 23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åneder var de hyppigste bivirkninger, rapporteret oftere end ved placebo, diarré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(3,7 %), feber (2,3 %) og søvnløshed (2,3 %). Der blev ikke set bivirkninger i en 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derligere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undersøgelse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ed forsøgspersoner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ellem 6 og 11 år efter en enkelt 2,5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dosis desloratadin oral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opløsning.</w:t>
      </w:r>
    </w:p>
    <w:p w:rsidR="007F3FD3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  <w:r w:rsidRPr="009B0167">
        <w:rPr>
          <w:rFonts w:eastAsiaTheme="minorEastAsia"/>
          <w:sz w:val="24"/>
          <w:szCs w:val="24"/>
        </w:rPr>
        <w:t>I et klinisk studie med 578 unge patienter mellem 12 og 17 år var hovedpine den hyppigste bivirkning.</w:t>
      </w:r>
      <w:r>
        <w:rPr>
          <w:rFonts w:eastAsiaTheme="minorEastAsia"/>
          <w:sz w:val="24"/>
          <w:szCs w:val="24"/>
        </w:rPr>
        <w:t xml:space="preserve"> </w:t>
      </w:r>
      <w:r w:rsidRPr="009B0167">
        <w:rPr>
          <w:rFonts w:eastAsiaTheme="minorEastAsia"/>
          <w:sz w:val="24"/>
          <w:szCs w:val="24"/>
        </w:rPr>
        <w:t>Den forekom hos 5,9 % af de patienter, som blev behandlet med desloratadin, og hos 6,9 % af de</w:t>
      </w:r>
      <w:r>
        <w:rPr>
          <w:rFonts w:eastAsiaTheme="minorEastAsia"/>
          <w:sz w:val="24"/>
          <w:szCs w:val="24"/>
        </w:rPr>
        <w:t xml:space="preserve"> </w:t>
      </w:r>
      <w:r w:rsidRPr="009B0167">
        <w:rPr>
          <w:rFonts w:eastAsiaTheme="minorEastAsia"/>
          <w:sz w:val="24"/>
          <w:szCs w:val="24"/>
        </w:rPr>
        <w:t>patienter, som fik placebo.</w:t>
      </w:r>
    </w:p>
    <w:p w:rsidR="007F3FD3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357782" w:rsidRDefault="007F3FD3" w:rsidP="007F3FD3">
      <w:pPr>
        <w:ind w:left="851"/>
        <w:rPr>
          <w:rFonts w:eastAsia="TimesNewRoman"/>
          <w:sz w:val="24"/>
          <w:szCs w:val="24"/>
          <w:u w:val="single"/>
          <w:lang w:eastAsia="da-DK"/>
        </w:rPr>
      </w:pPr>
      <w:r w:rsidRPr="00357782">
        <w:rPr>
          <w:rFonts w:eastAsia="TimesNewRoman"/>
          <w:sz w:val="24"/>
          <w:szCs w:val="24"/>
          <w:u w:val="single"/>
          <w:lang w:eastAsia="da-DK"/>
        </w:rPr>
        <w:t>Voksne og unge</w:t>
      </w:r>
    </w:p>
    <w:p w:rsidR="007F3FD3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Ved den anbefalede dosis i </w:t>
      </w:r>
      <w:r w:rsidRPr="00A05BED">
        <w:rPr>
          <w:rFonts w:eastAsiaTheme="minorEastAsia"/>
          <w:spacing w:val="-1"/>
          <w:sz w:val="24"/>
          <w:szCs w:val="24"/>
        </w:rPr>
        <w:t>k</w:t>
      </w:r>
      <w:r w:rsidRPr="00A05BED">
        <w:rPr>
          <w:rFonts w:eastAsiaTheme="minorEastAsia"/>
          <w:sz w:val="24"/>
          <w:szCs w:val="24"/>
        </w:rPr>
        <w:t>liniske undersøgelser 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fattende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voksne og unge ved en række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indikationer 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fattende allergisk rhinitis og kronisk idiopatisk urticari</w:t>
      </w:r>
      <w:r w:rsidRPr="00A05BED">
        <w:rPr>
          <w:rFonts w:eastAsiaTheme="minorEastAsia"/>
          <w:spacing w:val="-1"/>
          <w:sz w:val="24"/>
          <w:szCs w:val="24"/>
        </w:rPr>
        <w:t>a,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blev bivirkninger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desloratadin rapporteret hos 3 % flere patienter end hos de</w:t>
      </w:r>
      <w:r w:rsidRPr="00A05BED">
        <w:rPr>
          <w:rFonts w:eastAsiaTheme="minorEastAsia"/>
          <w:spacing w:val="-1"/>
          <w:sz w:val="24"/>
          <w:szCs w:val="24"/>
        </w:rPr>
        <w:t>m,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der behandledes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placebo. De h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ppigste bivirkninger, rapporteret oftere end ved placebo var træthed (1,2 %),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undtørhed (0,8 %) og hovedpine (0,6 %). </w:t>
      </w:r>
    </w:p>
    <w:p w:rsidR="007F3FD3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55FDB" w:rsidRDefault="007F3FD3" w:rsidP="007F3FD3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u w:val="single"/>
        </w:rPr>
      </w:pPr>
      <w:r w:rsidRPr="00A55FDB">
        <w:rPr>
          <w:rFonts w:eastAsia="TimesNewRoman"/>
          <w:sz w:val="24"/>
          <w:szCs w:val="24"/>
          <w:u w:val="single"/>
        </w:rPr>
        <w:t>Bivirkningstabel</w:t>
      </w:r>
    </w:p>
    <w:p w:rsidR="007F3FD3" w:rsidRDefault="007F3FD3" w:rsidP="007F3FD3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</w:rPr>
      </w:pPr>
      <w:r w:rsidRPr="00A55FDB">
        <w:rPr>
          <w:rFonts w:eastAsia="TimesNewRoman"/>
          <w:sz w:val="24"/>
          <w:szCs w:val="24"/>
        </w:rPr>
        <w:t>Frekvenserne for bivirkninger, der er rapporteret ud over placebo i kliniske undersøgelser, og andre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bivirkninger, der er rapporteret efter markedsføring, fremgår af nedenstående tabel. Frekvenserne er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defineret således: Meget almindelig (≥ 1/10), Almindelig (≥ 1/100 til &lt; 1/10), Ikke almindelig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(≥ 1/1.000 til &lt; 1/100), Sjælden (≥ 1/10.000 til &lt; 1/1.000), Meget sjælden (&lt; 1/10.000) og Ikke kendt</w:t>
      </w:r>
      <w:r>
        <w:rPr>
          <w:rFonts w:eastAsia="TimesNewRoman"/>
          <w:sz w:val="24"/>
          <w:szCs w:val="24"/>
        </w:rPr>
        <w:t xml:space="preserve"> </w:t>
      </w:r>
      <w:r w:rsidRPr="00A55FDB">
        <w:rPr>
          <w:rFonts w:eastAsia="TimesNewRoman"/>
          <w:sz w:val="24"/>
          <w:szCs w:val="24"/>
        </w:rPr>
        <w:t>(kan ikke estimeres ud fra forhåndenværende data).</w:t>
      </w:r>
    </w:p>
    <w:p w:rsidR="007F3FD3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tbl>
      <w:tblPr>
        <w:tblW w:w="5000" w:type="pct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</w:tblBorders>
        <w:tblCellMar>
          <w:top w:w="20" w:type="dxa"/>
          <w:left w:w="107" w:type="dxa"/>
          <w:right w:w="0" w:type="dxa"/>
        </w:tblCellMar>
        <w:tblLook w:val="04A0" w:firstRow="1" w:lastRow="0" w:firstColumn="1" w:lastColumn="0" w:noHBand="0" w:noVBand="1"/>
      </w:tblPr>
      <w:tblGrid>
        <w:gridCol w:w="2622"/>
        <w:gridCol w:w="3820"/>
        <w:gridCol w:w="3190"/>
      </w:tblGrid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Systemorganklasse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Frekvens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Bivirkninger set med desloratadin</w:t>
            </w:r>
          </w:p>
        </w:tc>
      </w:tr>
      <w:tr w:rsidR="007F3FD3" w:rsidTr="003B4BCE">
        <w:trPr>
          <w:trHeight w:val="606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Metabolisme og ernæring 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Øget appetit</w:t>
            </w:r>
          </w:p>
        </w:tc>
      </w:tr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Psykiske forstyrrelser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Hallucinationer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eastAsia="da-DK"/>
              </w:rPr>
              <w:t>Unormal</w:t>
            </w:r>
            <w:r w:rsidRPr="00C76412">
              <w:rPr>
                <w:bCs/>
                <w:sz w:val="24"/>
                <w:szCs w:val="24"/>
                <w:lang w:eastAsia="da-DK"/>
              </w:rPr>
              <w:t xml:space="preserve"> </w:t>
            </w:r>
            <w:r>
              <w:rPr>
                <w:bCs/>
                <w:sz w:val="24"/>
                <w:szCs w:val="24"/>
                <w:lang w:eastAsia="da-DK"/>
              </w:rPr>
              <w:t>adfærd</w:t>
            </w:r>
            <w:r w:rsidRPr="00C76412">
              <w:rPr>
                <w:bCs/>
                <w:sz w:val="24"/>
                <w:szCs w:val="24"/>
                <w:lang w:eastAsia="da-DK"/>
              </w:rPr>
              <w:t xml:space="preserve">, </w:t>
            </w:r>
            <w:r w:rsidR="00C76412">
              <w:rPr>
                <w:rFonts w:eastAsiaTheme="minorEastAsia"/>
                <w:sz w:val="24"/>
                <w:szCs w:val="24"/>
              </w:rPr>
              <w:t>aggression, nedtrykt sindstilstand</w:t>
            </w:r>
          </w:p>
        </w:tc>
      </w:tr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Nervesystemet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Almindelig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Almindelig (børn under 2 år)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Hovedpine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Søvnbesvær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Svi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mm</w:t>
            </w:r>
            <w:r>
              <w:rPr>
                <w:rFonts w:eastAsiaTheme="minorEastAsia"/>
                <w:sz w:val="24"/>
                <w:szCs w:val="24"/>
              </w:rPr>
              <w:t>elhed, so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nolens, inso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ni, ps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ko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otorisk h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peraktivitet, anfald</w:t>
            </w:r>
          </w:p>
        </w:tc>
      </w:tr>
      <w:tr w:rsidR="00C76412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412" w:rsidRDefault="00C76412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lastRenderedPageBreak/>
              <w:t>Øjne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C76412" w:rsidRDefault="00417751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C76412" w:rsidRDefault="00417751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Øjentørhed</w:t>
            </w:r>
          </w:p>
        </w:tc>
      </w:tr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Hjerte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Tak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kardi, hjertebanken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Forlænget QT-interval</w:t>
            </w:r>
          </w:p>
        </w:tc>
      </w:tr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Mave-tarm-kanalen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Almindelig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Almindelig (børn under 2 år)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Mundtørhed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Diarré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Mavepine, kval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e, opkastning, d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spepsi, diarré</w:t>
            </w:r>
          </w:p>
        </w:tc>
      </w:tr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Lever og galdeveje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Ikke kendt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Forhøjede leverenz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er, forhøjet bilirubin, hepatitis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Gulsot</w:t>
            </w:r>
          </w:p>
        </w:tc>
      </w:tr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Hud og subkutane væv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Lysfølsomhed</w:t>
            </w:r>
          </w:p>
        </w:tc>
      </w:tr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Knogler, led, muskler og bindevæv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algi</w:t>
            </w:r>
          </w:p>
        </w:tc>
      </w:tr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>Almene symptomer og reaktioner på administrationsstedet</w:t>
            </w: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Almindelig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Almindelig (børn under 2 år)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Meget sjælden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="TimesNewRoman"/>
                <w:sz w:val="24"/>
                <w:szCs w:val="24"/>
              </w:rPr>
              <w:t>Ikke kendt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Træthed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Feber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Overfølso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</w:t>
            </w:r>
            <w:r>
              <w:rPr>
                <w:rFonts w:eastAsiaTheme="minorEastAsia"/>
                <w:sz w:val="24"/>
                <w:szCs w:val="24"/>
              </w:rPr>
              <w:t>hedsreaktioner (såsom</w:t>
            </w:r>
            <w:r>
              <w:rPr>
                <w:rFonts w:eastAsiaTheme="minorEastAsia"/>
                <w:spacing w:val="-1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anaf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laksi, angioøde</w:t>
            </w:r>
            <w:r>
              <w:rPr>
                <w:rFonts w:eastAsiaTheme="minorEastAsia"/>
                <w:spacing w:val="-1"/>
                <w:sz w:val="24"/>
                <w:szCs w:val="24"/>
              </w:rPr>
              <w:t>m,</w:t>
            </w:r>
            <w:r>
              <w:rPr>
                <w:rFonts w:eastAsiaTheme="minorEastAsia"/>
                <w:spacing w:val="2"/>
                <w:sz w:val="24"/>
                <w:szCs w:val="24"/>
              </w:rPr>
              <w:t xml:space="preserve"> </w:t>
            </w:r>
            <w:r>
              <w:rPr>
                <w:rFonts w:eastAsiaTheme="minorEastAsia"/>
                <w:sz w:val="24"/>
                <w:szCs w:val="24"/>
              </w:rPr>
              <w:t>d</w:t>
            </w:r>
            <w:r>
              <w:rPr>
                <w:rFonts w:eastAsiaTheme="minorEastAsia"/>
                <w:spacing w:val="1"/>
                <w:sz w:val="24"/>
                <w:szCs w:val="24"/>
              </w:rPr>
              <w:t>y</w:t>
            </w:r>
            <w:r>
              <w:rPr>
                <w:rFonts w:eastAsiaTheme="minorEastAsia"/>
                <w:sz w:val="24"/>
                <w:szCs w:val="24"/>
              </w:rPr>
              <w:t>spnø, kløe, udslæt og urticaria)</w:t>
            </w:r>
          </w:p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Asteni</w:t>
            </w:r>
          </w:p>
        </w:tc>
      </w:tr>
      <w:tr w:rsidR="007F3FD3" w:rsidTr="003B4BCE">
        <w:trPr>
          <w:trHeight w:val="20"/>
        </w:trPr>
        <w:tc>
          <w:tcPr>
            <w:tcW w:w="1361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  <w:r>
              <w:rPr>
                <w:rFonts w:eastAsiaTheme="minorEastAsia"/>
                <w:b/>
                <w:sz w:val="24"/>
                <w:szCs w:val="24"/>
              </w:rPr>
              <w:t xml:space="preserve">Undersøgelser </w:t>
            </w:r>
          </w:p>
          <w:p w:rsidR="007F3FD3" w:rsidRDefault="007F3FD3" w:rsidP="003B4BCE">
            <w:pPr>
              <w:rPr>
                <w:rFonts w:eastAsiaTheme="minorEastAsia"/>
                <w:b/>
                <w:sz w:val="24"/>
                <w:szCs w:val="24"/>
              </w:rPr>
            </w:pPr>
          </w:p>
        </w:tc>
        <w:tc>
          <w:tcPr>
            <w:tcW w:w="1983" w:type="pct"/>
            <w:tcBorders>
              <w:top w:val="single" w:sz="2" w:space="0" w:color="auto"/>
              <w:left w:val="nil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Ikke kendt</w:t>
            </w:r>
          </w:p>
        </w:tc>
        <w:tc>
          <w:tcPr>
            <w:tcW w:w="1656" w:type="pct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7F3FD3" w:rsidRDefault="007F3FD3" w:rsidP="003B4BCE">
            <w:pPr>
              <w:rPr>
                <w:rFonts w:eastAsiaTheme="minorEastAsia"/>
                <w:sz w:val="24"/>
                <w:szCs w:val="24"/>
              </w:rPr>
            </w:pPr>
            <w:r>
              <w:rPr>
                <w:rFonts w:eastAsiaTheme="minorEastAsia"/>
                <w:sz w:val="24"/>
                <w:szCs w:val="24"/>
              </w:rPr>
              <w:t>Vægtforøgelse</w:t>
            </w:r>
          </w:p>
        </w:tc>
      </w:tr>
    </w:tbl>
    <w:p w:rsidR="007F3FD3" w:rsidRDefault="007F3FD3" w:rsidP="007F3FD3">
      <w:pPr>
        <w:autoSpaceDE w:val="0"/>
        <w:autoSpaceDN w:val="0"/>
        <w:adjustRightInd w:val="0"/>
        <w:rPr>
          <w:rFonts w:ascii="TimesNewRoman" w:hAnsi="TimesNewRoman" w:cs="TimesNewRoman"/>
          <w:sz w:val="22"/>
          <w:szCs w:val="22"/>
          <w:lang w:val="en-US" w:eastAsia="da-DK"/>
        </w:rPr>
      </w:pPr>
    </w:p>
    <w:p w:rsidR="007F3FD3" w:rsidRDefault="007F3FD3" w:rsidP="007F3FD3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  <w:u w:val="single"/>
        </w:rPr>
      </w:pPr>
      <w:r>
        <w:rPr>
          <w:noProof/>
          <w:color w:val="000000" w:themeColor="text1"/>
          <w:sz w:val="24"/>
          <w:szCs w:val="24"/>
          <w:u w:val="single"/>
        </w:rPr>
        <w:t>Pædiatrisk population</w:t>
      </w:r>
    </w:p>
    <w:p w:rsidR="007F3FD3" w:rsidRDefault="007F3FD3" w:rsidP="007F3FD3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  <w:r>
        <w:rPr>
          <w:noProof/>
          <w:color w:val="000000" w:themeColor="text1"/>
          <w:sz w:val="24"/>
          <w:szCs w:val="24"/>
        </w:rPr>
        <w:t>Andre bivirkninger, der blev rapporteret i perioden efter markedsføring hos pædiatriske patienter med frekvensen "Ikke kendt", var forlænget QT-interval, arytmi, bradykardi, unormal adfærd, aggression, vægtforøgelse og øget appetit.</w:t>
      </w:r>
    </w:p>
    <w:p w:rsidR="009F6DDA" w:rsidRDefault="009F6DDA" w:rsidP="007F3FD3">
      <w:pPr>
        <w:autoSpaceDE w:val="0"/>
        <w:autoSpaceDN w:val="0"/>
        <w:adjustRightInd w:val="0"/>
        <w:ind w:left="851"/>
        <w:rPr>
          <w:noProof/>
          <w:color w:val="000000" w:themeColor="text1"/>
          <w:szCs w:val="24"/>
        </w:rPr>
      </w:pPr>
    </w:p>
    <w:p w:rsidR="009F6DDA" w:rsidRPr="00F87614" w:rsidRDefault="009F6DDA" w:rsidP="009F6DDA">
      <w:pPr>
        <w:autoSpaceDE w:val="0"/>
        <w:autoSpaceDN w:val="0"/>
        <w:adjustRightInd w:val="0"/>
        <w:ind w:left="851"/>
        <w:rPr>
          <w:noProof/>
          <w:color w:val="000000" w:themeColor="text1"/>
          <w:sz w:val="24"/>
          <w:szCs w:val="24"/>
        </w:rPr>
      </w:pPr>
      <w:r w:rsidRPr="008D7A94">
        <w:rPr>
          <w:noProof/>
          <w:color w:val="000000" w:themeColor="text1"/>
          <w:sz w:val="24"/>
          <w:szCs w:val="24"/>
        </w:rPr>
        <w:t>Et retrospektivt observationstudie viste en øget forekomst af nyopståede krampeanfald hos patienter i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D7A94">
        <w:rPr>
          <w:noProof/>
          <w:color w:val="000000" w:themeColor="text1"/>
          <w:sz w:val="24"/>
          <w:szCs w:val="24"/>
        </w:rPr>
        <w:t>alderen 0 til 19 år, når de fik desloratidin sammenlignet med perioder, hvor de ikke fik desloratidin.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D7A94">
        <w:rPr>
          <w:noProof/>
          <w:color w:val="000000" w:themeColor="text1"/>
          <w:sz w:val="24"/>
          <w:szCs w:val="24"/>
        </w:rPr>
        <w:t>Blandt børn i alderen 0-4 år var den justerede absolutte stigning 37,5 (95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D7A94">
        <w:rPr>
          <w:noProof/>
          <w:color w:val="000000" w:themeColor="text1"/>
          <w:sz w:val="24"/>
          <w:szCs w:val="24"/>
        </w:rPr>
        <w:t>% konfidensinterval (CI)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D7A94">
        <w:rPr>
          <w:noProof/>
          <w:color w:val="000000" w:themeColor="text1"/>
          <w:sz w:val="24"/>
          <w:szCs w:val="24"/>
        </w:rPr>
        <w:t>10,5-64,5) pr. 100.000 personår med en baggrundsrate for nyopståede krampeanfald på 80,3 pr.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D7A94">
        <w:rPr>
          <w:noProof/>
          <w:color w:val="000000" w:themeColor="text1"/>
          <w:sz w:val="24"/>
          <w:szCs w:val="24"/>
        </w:rPr>
        <w:t>100.000 patientår. Blandt patienter i alderen 5-19 år var den justerede absolutte stigning 11,3 (95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D7A94">
        <w:rPr>
          <w:noProof/>
          <w:color w:val="000000" w:themeColor="text1"/>
          <w:sz w:val="24"/>
          <w:szCs w:val="24"/>
        </w:rPr>
        <w:t>% CI</w:t>
      </w:r>
      <w:r>
        <w:rPr>
          <w:noProof/>
          <w:color w:val="000000" w:themeColor="text1"/>
          <w:sz w:val="24"/>
          <w:szCs w:val="24"/>
        </w:rPr>
        <w:t xml:space="preserve"> </w:t>
      </w:r>
      <w:r w:rsidRPr="008D7A94">
        <w:rPr>
          <w:noProof/>
          <w:color w:val="000000" w:themeColor="text1"/>
          <w:sz w:val="24"/>
          <w:szCs w:val="24"/>
        </w:rPr>
        <w:t>2,3-20,2) pr. 100.000 patientår med en baggrundsrate på 36,4 pr. 100.000 patientår (se pkt. 4.4).</w:t>
      </w:r>
    </w:p>
    <w:p w:rsidR="007F3FD3" w:rsidRDefault="007F3FD3" w:rsidP="009F6DDA">
      <w:pPr>
        <w:pStyle w:val="Sidehoved"/>
        <w:tabs>
          <w:tab w:val="clear" w:pos="4819"/>
          <w:tab w:val="clear" w:pos="9638"/>
        </w:tabs>
        <w:ind w:left="851"/>
        <w:rPr>
          <w:szCs w:val="24"/>
        </w:rPr>
      </w:pPr>
    </w:p>
    <w:p w:rsidR="00635287" w:rsidRPr="003952CE" w:rsidRDefault="00635287" w:rsidP="00635287">
      <w:pPr>
        <w:autoSpaceDE w:val="0"/>
        <w:autoSpaceDN w:val="0"/>
        <w:ind w:left="851"/>
        <w:rPr>
          <w:sz w:val="24"/>
          <w:szCs w:val="24"/>
          <w:u w:val="single"/>
        </w:rPr>
      </w:pPr>
      <w:r w:rsidRPr="003952CE">
        <w:rPr>
          <w:sz w:val="24"/>
          <w:szCs w:val="24"/>
          <w:u w:val="single"/>
        </w:rPr>
        <w:t>Indberetning af formodede bivirkninger</w:t>
      </w:r>
    </w:p>
    <w:p w:rsidR="00635287" w:rsidRPr="003952CE" w:rsidRDefault="00635287" w:rsidP="0063528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 xml:space="preserve">Når lægemidlet er godkendt, er indberetning af formodede bivirkninger vigtig. Det muliggør løbende overvågning af benefit/risk-forholdet for lægemidlet. </w:t>
      </w:r>
      <w:r w:rsidR="009F6DDA">
        <w:rPr>
          <w:sz w:val="24"/>
          <w:szCs w:val="24"/>
        </w:rPr>
        <w:t>Sundhedspersoner</w:t>
      </w:r>
      <w:r w:rsidR="00751F91">
        <w:rPr>
          <w:sz w:val="24"/>
          <w:szCs w:val="24"/>
        </w:rPr>
        <w:t xml:space="preserve"> </w:t>
      </w:r>
      <w:r w:rsidRPr="003952CE">
        <w:rPr>
          <w:sz w:val="24"/>
          <w:szCs w:val="24"/>
        </w:rPr>
        <w:t>anmodes om at indberette alle formodede bivirkninger via:</w:t>
      </w:r>
    </w:p>
    <w:p w:rsidR="00635287" w:rsidRPr="003952CE" w:rsidRDefault="00635287" w:rsidP="00635287">
      <w:pPr>
        <w:tabs>
          <w:tab w:val="left" w:pos="2440"/>
        </w:tabs>
        <w:ind w:left="851"/>
        <w:rPr>
          <w:sz w:val="24"/>
          <w:szCs w:val="24"/>
        </w:rPr>
      </w:pPr>
    </w:p>
    <w:p w:rsidR="00635287" w:rsidRPr="003952CE" w:rsidRDefault="00635287" w:rsidP="0063528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Lægemiddelstyrelsen</w:t>
      </w:r>
    </w:p>
    <w:p w:rsidR="00635287" w:rsidRPr="003952CE" w:rsidRDefault="00635287" w:rsidP="0063528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Axel Heides Gade 1</w:t>
      </w:r>
    </w:p>
    <w:p w:rsidR="00635287" w:rsidRPr="003952CE" w:rsidRDefault="00635287" w:rsidP="00635287">
      <w:pPr>
        <w:ind w:left="851"/>
        <w:rPr>
          <w:sz w:val="24"/>
          <w:szCs w:val="24"/>
        </w:rPr>
      </w:pPr>
      <w:r w:rsidRPr="003952CE">
        <w:rPr>
          <w:sz w:val="24"/>
          <w:szCs w:val="24"/>
        </w:rPr>
        <w:t>DK-2300 København S</w:t>
      </w:r>
    </w:p>
    <w:p w:rsidR="00635287" w:rsidRPr="00D85EBF" w:rsidRDefault="00635287" w:rsidP="00635287">
      <w:pPr>
        <w:ind w:left="851"/>
        <w:rPr>
          <w:sz w:val="24"/>
          <w:szCs w:val="24"/>
        </w:rPr>
      </w:pPr>
      <w:r w:rsidRPr="00D85EBF">
        <w:rPr>
          <w:sz w:val="24"/>
          <w:szCs w:val="24"/>
        </w:rPr>
        <w:t>Websted: www.meldenbivirkning.dk</w:t>
      </w:r>
    </w:p>
    <w:p w:rsidR="007F3FD3" w:rsidRPr="00D85EBF" w:rsidRDefault="007F3FD3" w:rsidP="007F3FD3">
      <w:pPr>
        <w:pStyle w:val="Sidehoved"/>
        <w:tabs>
          <w:tab w:val="clear" w:pos="4819"/>
          <w:tab w:val="clear" w:pos="9638"/>
        </w:tabs>
        <w:ind w:left="851" w:hanging="851"/>
        <w:rPr>
          <w:szCs w:val="24"/>
        </w:rPr>
      </w:pPr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Overdosering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  <w:r w:rsidRPr="001677A2">
        <w:rPr>
          <w:rFonts w:eastAsiaTheme="minorEastAsia"/>
          <w:sz w:val="24"/>
          <w:szCs w:val="24"/>
        </w:rPr>
        <w:t>Bivirkningsprofilen set i forbindelse med overdosering post-marketing er sammenlignelig med</w:t>
      </w:r>
      <w:r>
        <w:rPr>
          <w:rFonts w:eastAsiaTheme="minorEastAsia"/>
          <w:sz w:val="24"/>
          <w:szCs w:val="24"/>
        </w:rPr>
        <w:t xml:space="preserve"> </w:t>
      </w:r>
      <w:r w:rsidRPr="001677A2">
        <w:rPr>
          <w:rFonts w:eastAsiaTheme="minorEastAsia"/>
          <w:sz w:val="24"/>
          <w:szCs w:val="24"/>
        </w:rPr>
        <w:t>bivirkningsprofilen set med terapeutiske doser, men bivirkningerne kan være mere udtalte.</w:t>
      </w:r>
    </w:p>
    <w:p w:rsidR="004F2796" w:rsidRDefault="004F2796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7F3FD3" w:rsidRPr="001677A2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  <w:r w:rsidRPr="0029536B">
        <w:rPr>
          <w:rFonts w:eastAsiaTheme="minorEastAsia"/>
          <w:sz w:val="24"/>
          <w:szCs w:val="24"/>
          <w:u w:val="single"/>
        </w:rPr>
        <w:t>Behandling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I tilfælde af overdosering, skal standardbehandling for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at fjerne uabsorberet aktiv substans overvejes.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atisk og understøttende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behandling anbefales.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017B47" w:rsidRDefault="007F3FD3" w:rsidP="007F3FD3">
      <w:pPr>
        <w:ind w:left="851"/>
        <w:rPr>
          <w:rFonts w:eastAsiaTheme="minorEastAsia"/>
          <w:sz w:val="24"/>
          <w:szCs w:val="24"/>
        </w:rPr>
      </w:pPr>
      <w:r w:rsidRPr="00017B47">
        <w:rPr>
          <w:rFonts w:eastAsiaTheme="minorEastAsia"/>
          <w:sz w:val="24"/>
          <w:szCs w:val="24"/>
        </w:rPr>
        <w:t>Desloratadin fjernes ikke ved hæmodialyse; det vides ikke, om det fjernes ved peritoneal dialyse.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29536B">
        <w:rPr>
          <w:rFonts w:eastAsiaTheme="minorEastAsia"/>
          <w:sz w:val="24"/>
          <w:szCs w:val="24"/>
          <w:u w:val="single"/>
        </w:rPr>
        <w:t>Symptomer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På grundlag af en flerdosis klinisk undersøg</w:t>
      </w:r>
      <w:r w:rsidRPr="00A05BED">
        <w:rPr>
          <w:rFonts w:eastAsiaTheme="minorEastAsia"/>
          <w:spacing w:val="-1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 xml:space="preserve">lse, hos voksne og unge, i hvilken op til 45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desloratadin blev indgivet (ni gange den terapeuti</w:t>
      </w:r>
      <w:r w:rsidRPr="00A05BED">
        <w:rPr>
          <w:rFonts w:eastAsiaTheme="minorEastAsia"/>
          <w:spacing w:val="-1"/>
          <w:sz w:val="24"/>
          <w:szCs w:val="24"/>
        </w:rPr>
        <w:t>s</w:t>
      </w:r>
      <w:r w:rsidRPr="00A05BED">
        <w:rPr>
          <w:rFonts w:eastAsiaTheme="minorEastAsia"/>
          <w:sz w:val="24"/>
          <w:szCs w:val="24"/>
        </w:rPr>
        <w:t>ke dosis), sås ingen klinisk relevante virkninger.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29536B" w:rsidRDefault="007F3FD3" w:rsidP="007F3FD3">
      <w:pPr>
        <w:ind w:left="851"/>
        <w:rPr>
          <w:rFonts w:eastAsiaTheme="minorEastAsia"/>
          <w:sz w:val="24"/>
          <w:szCs w:val="24"/>
          <w:u w:val="single"/>
        </w:rPr>
      </w:pPr>
      <w:r w:rsidRPr="0029536B">
        <w:rPr>
          <w:rFonts w:eastAsiaTheme="minorEastAsia"/>
          <w:sz w:val="24"/>
          <w:szCs w:val="24"/>
          <w:u w:val="single"/>
        </w:rPr>
        <w:t>Pædiatrisk population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29536B">
        <w:rPr>
          <w:rFonts w:eastAsiaTheme="minorEastAsia"/>
          <w:sz w:val="24"/>
          <w:szCs w:val="24"/>
        </w:rPr>
        <w:t>Bivirkningsprofilen set i forbindelse med overdosering post-marketing er sammenlignelig med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bivirkningsprofilen set med terapeutiske doser, men bivirkningerne kan væ</w:t>
      </w:r>
      <w:r w:rsidRPr="00017B47">
        <w:rPr>
          <w:rFonts w:eastAsiaTheme="minorEastAsia"/>
          <w:sz w:val="24"/>
          <w:szCs w:val="24"/>
        </w:rPr>
        <w:t>re mere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udtalte.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Udlevering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  <w:r w:rsidRPr="00A05BED">
        <w:rPr>
          <w:sz w:val="24"/>
          <w:szCs w:val="24"/>
        </w:rPr>
        <w:tab/>
      </w:r>
      <w:r>
        <w:rPr>
          <w:sz w:val="24"/>
          <w:szCs w:val="24"/>
        </w:rPr>
        <w:t>HA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0"/>
          <w:numId w:val="1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FARMAKOLOGISKE EGENSKABER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0"/>
          <w:numId w:val="2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Terapeutisk klassifikation</w:t>
      </w:r>
    </w:p>
    <w:p w:rsidR="007F3FD3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sz w:val="24"/>
          <w:szCs w:val="24"/>
        </w:rPr>
        <w:tab/>
      </w:r>
      <w:r w:rsidRPr="00A05BED">
        <w:rPr>
          <w:rFonts w:eastAsiaTheme="minorEastAsia"/>
          <w:sz w:val="24"/>
          <w:szCs w:val="24"/>
        </w:rPr>
        <w:t>ATC-kode: R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06</w:t>
      </w:r>
      <w:r>
        <w:rPr>
          <w:rFonts w:eastAsiaTheme="minorEastAsia"/>
          <w:sz w:val="24"/>
          <w:szCs w:val="24"/>
        </w:rPr>
        <w:t xml:space="preserve"> A</w:t>
      </w:r>
      <w:r w:rsidRPr="00A05BED">
        <w:rPr>
          <w:rFonts w:eastAsiaTheme="minorEastAsia"/>
          <w:sz w:val="24"/>
          <w:szCs w:val="24"/>
        </w:rPr>
        <w:t>X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27</w:t>
      </w:r>
      <w:r>
        <w:rPr>
          <w:rFonts w:eastAsiaTheme="minorEastAsia"/>
          <w:sz w:val="24"/>
          <w:szCs w:val="24"/>
        </w:rPr>
        <w:t>. A</w:t>
      </w:r>
      <w:r w:rsidRPr="00A05BED">
        <w:rPr>
          <w:rFonts w:eastAsiaTheme="minorEastAsia"/>
          <w:sz w:val="24"/>
          <w:szCs w:val="24"/>
        </w:rPr>
        <w:t>ntihista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iner </w:t>
      </w:r>
      <w:r w:rsidR="00BF284A">
        <w:rPr>
          <w:rFonts w:eastAsiaTheme="minorEastAsia"/>
          <w:sz w:val="24"/>
          <w:szCs w:val="24"/>
        </w:rPr>
        <w:t>-</w:t>
      </w:r>
      <w:r>
        <w:rPr>
          <w:rFonts w:eastAsiaTheme="minorEastAsia"/>
          <w:sz w:val="24"/>
          <w:szCs w:val="24"/>
        </w:rPr>
        <w:t xml:space="preserve"> H</w:t>
      </w:r>
      <w:r w:rsidRPr="00DF3A13">
        <w:rPr>
          <w:rFonts w:eastAsiaTheme="minorEastAsia"/>
          <w:sz w:val="24"/>
          <w:szCs w:val="24"/>
          <w:vertAlign w:val="subscript"/>
        </w:rPr>
        <w:t>1</w:t>
      </w:r>
      <w:r>
        <w:rPr>
          <w:rFonts w:eastAsiaTheme="minorEastAsia"/>
          <w:sz w:val="24"/>
          <w:szCs w:val="24"/>
        </w:rPr>
        <w:t>-antagonist.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2"/>
        </w:numPr>
        <w:tabs>
          <w:tab w:val="clear" w:pos="2159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Farmakodynamiske egenskaber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442704" w:rsidRDefault="007F3FD3" w:rsidP="007F3FD3">
      <w:pPr>
        <w:ind w:left="851"/>
        <w:rPr>
          <w:rFonts w:eastAsiaTheme="minorEastAsia"/>
          <w:sz w:val="24"/>
          <w:szCs w:val="24"/>
          <w:u w:val="single"/>
        </w:rPr>
      </w:pPr>
      <w:r w:rsidRPr="00442704">
        <w:rPr>
          <w:rFonts w:eastAsiaTheme="minorEastAsia"/>
          <w:sz w:val="24"/>
          <w:szCs w:val="24"/>
          <w:u w:val="single"/>
        </w:rPr>
        <w:t>Virkningsmekanisme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Desloratadin er en ikke-sederende, langtidsvirkende hista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inantagonist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selektiv perifer H1-receptorantagonist aktivitet. Efter oral indgift b</w:t>
      </w:r>
      <w:r w:rsidRPr="00A05BED">
        <w:rPr>
          <w:rFonts w:eastAsiaTheme="minorEastAsia"/>
          <w:spacing w:val="-1"/>
          <w:sz w:val="24"/>
          <w:szCs w:val="24"/>
        </w:rPr>
        <w:t>l</w:t>
      </w:r>
      <w:r w:rsidRPr="00A05BED">
        <w:rPr>
          <w:rFonts w:eastAsiaTheme="minorEastAsia"/>
          <w:sz w:val="24"/>
          <w:szCs w:val="24"/>
        </w:rPr>
        <w:t>okerer desloratadin selektivt perifere hista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 H1-receptorer, fordi stoffet hindres i at trænge ind i centralnerves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ste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et.</w:t>
      </w:r>
    </w:p>
    <w:p w:rsidR="007F3FD3" w:rsidRPr="00A05BED" w:rsidRDefault="007F3FD3" w:rsidP="007F3FD3">
      <w:pPr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Desloratadin har vist antiallergiske egenskaber i </w:t>
      </w:r>
      <w:r w:rsidRPr="00A05BED">
        <w:rPr>
          <w:rFonts w:eastAsiaTheme="minorEastAsia"/>
          <w:i/>
          <w:sz w:val="24"/>
          <w:szCs w:val="24"/>
        </w:rPr>
        <w:t>in</w:t>
      </w:r>
      <w:r w:rsidRPr="00A05BED">
        <w:rPr>
          <w:rFonts w:eastAsiaTheme="minorEastAsia"/>
          <w:i/>
          <w:w w:val="89"/>
          <w:sz w:val="24"/>
          <w:szCs w:val="24"/>
        </w:rPr>
        <w:t xml:space="preserve"> </w:t>
      </w:r>
      <w:r w:rsidRPr="00A05BED">
        <w:rPr>
          <w:rFonts w:eastAsiaTheme="minorEastAsia"/>
          <w:i/>
          <w:sz w:val="24"/>
          <w:szCs w:val="24"/>
        </w:rPr>
        <w:t>vitro</w:t>
      </w:r>
      <w:r w:rsidRPr="00A05BED">
        <w:rPr>
          <w:rFonts w:eastAsiaTheme="minorEastAsia"/>
          <w:w w:val="89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undersøgelser. Disse 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fatter hæ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ning af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frigørelsen af proinfla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>atoriske c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tokiner såsom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IL-4, IL-6, IL-8 og IL-13 fra hu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ane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astceller/basofile, og ligeledes hæ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ning af ekspressionen af adhæsions</w:t>
      </w:r>
      <w:r>
        <w:rPr>
          <w:rFonts w:eastAsiaTheme="minorEastAsia"/>
          <w:sz w:val="24"/>
          <w:szCs w:val="24"/>
        </w:rPr>
        <w:softHyphen/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olek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let P-selectin på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endothelceller. Den kliniske betydning af disse fund skal bekræftes.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ab/>
      </w:r>
      <w:r w:rsidRPr="00442704">
        <w:rPr>
          <w:rFonts w:eastAsiaTheme="minorEastAsia"/>
          <w:sz w:val="24"/>
          <w:szCs w:val="24"/>
          <w:u w:val="single"/>
        </w:rPr>
        <w:t>Klinisk virkning og sikkerhed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  <w:u w:val="single"/>
        </w:rPr>
      </w:pPr>
    </w:p>
    <w:p w:rsidR="007F3FD3" w:rsidRPr="00BF284A" w:rsidRDefault="007F3FD3" w:rsidP="007F3FD3">
      <w:pPr>
        <w:ind w:left="851"/>
        <w:rPr>
          <w:rFonts w:eastAsiaTheme="minorEastAsia"/>
          <w:i/>
          <w:sz w:val="24"/>
          <w:szCs w:val="24"/>
        </w:rPr>
      </w:pPr>
      <w:r w:rsidRPr="00BF284A">
        <w:rPr>
          <w:rFonts w:eastAsiaTheme="minorEastAsia"/>
          <w:i/>
          <w:sz w:val="24"/>
          <w:szCs w:val="24"/>
        </w:rPr>
        <w:t>Pædiatrisk population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Effekten af desloratadin oral opløsning er ikke vurder</w:t>
      </w:r>
      <w:r w:rsidRPr="00A05BED">
        <w:rPr>
          <w:rFonts w:eastAsiaTheme="minorEastAsia"/>
          <w:spacing w:val="-1"/>
          <w:sz w:val="24"/>
          <w:szCs w:val="24"/>
        </w:rPr>
        <w:t>et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i særlige undersøgelser hos børn. Sikkerheden ved desloratadin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rup</w:t>
      </w:r>
      <w:r>
        <w:rPr>
          <w:rFonts w:eastAsiaTheme="minorEastAsia"/>
          <w:sz w:val="24"/>
          <w:szCs w:val="24"/>
        </w:rPr>
        <w:t>-</w:t>
      </w:r>
      <w:r w:rsidRPr="009B0167">
        <w:rPr>
          <w:rFonts w:eastAsiaTheme="minorEastAsia"/>
          <w:sz w:val="24"/>
          <w:szCs w:val="24"/>
        </w:rPr>
        <w:t>formuleringen</w:t>
      </w:r>
      <w:r w:rsidRPr="00A05BED">
        <w:rPr>
          <w:rFonts w:eastAsiaTheme="minorEastAsia"/>
          <w:sz w:val="24"/>
          <w:szCs w:val="24"/>
        </w:rPr>
        <w:t>, 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indeholder sa</w:t>
      </w:r>
      <w:r w:rsidRPr="00A05BED">
        <w:rPr>
          <w:rFonts w:eastAsiaTheme="minorEastAsia"/>
          <w:spacing w:val="-1"/>
          <w:sz w:val="24"/>
          <w:szCs w:val="24"/>
        </w:rPr>
        <w:t>mme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koncentration desloratadin, blev 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idlertid påvist i tre pædiatriske undersøgelser. Børn i alderen 1-11 år, 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havde behov for antihista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inbehandling, fik en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daglig desloratadin dosis på 1,25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(i alder</w:t>
      </w:r>
      <w:r w:rsidRPr="00A05BED">
        <w:rPr>
          <w:rFonts w:eastAsiaTheme="minorEastAsia"/>
          <w:spacing w:val="-1"/>
          <w:sz w:val="24"/>
          <w:szCs w:val="24"/>
        </w:rPr>
        <w:t>en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1 til 5 år) eller 2,5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(i alderen 6 til 11 år). Behandling var veltolereret, vist ved kliniske laboratorieundersøg</w:t>
      </w:r>
      <w:r w:rsidRPr="00A05BED">
        <w:rPr>
          <w:rFonts w:eastAsiaTheme="minorEastAsia"/>
          <w:spacing w:val="-1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>lser, vitale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gdo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stegn og EKG intervaldata, inklusive QTc. Ved indgift af 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anbefalede doser var plas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akoncentrationerne af desloratadin (se pkt. 5.2) sa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 xml:space="preserve">enlignelige for den pædiatriske population og voksenpopulationen. Da forløbet </w:t>
      </w:r>
      <w:r w:rsidRPr="00A05BED">
        <w:rPr>
          <w:rFonts w:eastAsiaTheme="minorEastAsia"/>
          <w:sz w:val="24"/>
          <w:szCs w:val="24"/>
        </w:rPr>
        <w:lastRenderedPageBreak/>
        <w:t>af allergisk rhinitis/kronisk idiopatisk urt</w:t>
      </w:r>
      <w:r w:rsidRPr="00A05BED">
        <w:rPr>
          <w:rFonts w:eastAsiaTheme="minorEastAsia"/>
          <w:spacing w:val="-1"/>
          <w:sz w:val="24"/>
          <w:szCs w:val="24"/>
        </w:rPr>
        <w:t>i</w:t>
      </w:r>
      <w:r w:rsidRPr="00A05BED">
        <w:rPr>
          <w:rFonts w:eastAsiaTheme="minorEastAsia"/>
          <w:sz w:val="24"/>
          <w:szCs w:val="24"/>
        </w:rPr>
        <w:t>caria og profilen af desloratadin således er ens hos voksne og pædiatriske patienter, kan data for desloratadins effekt hos voksne overføres til den pædiatriske population.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  <w:r w:rsidRPr="009B0167">
        <w:rPr>
          <w:rFonts w:eastAsiaTheme="minorEastAsia"/>
          <w:sz w:val="24"/>
          <w:szCs w:val="24"/>
        </w:rPr>
        <w:t xml:space="preserve">Virkningen af </w:t>
      </w:r>
      <w:r>
        <w:rPr>
          <w:rFonts w:eastAsiaTheme="minorEastAsia"/>
          <w:sz w:val="24"/>
          <w:szCs w:val="24"/>
        </w:rPr>
        <w:t>desloratadin</w:t>
      </w:r>
      <w:r w:rsidRPr="009B0167">
        <w:rPr>
          <w:rFonts w:eastAsiaTheme="minorEastAsia"/>
          <w:sz w:val="24"/>
          <w:szCs w:val="24"/>
        </w:rPr>
        <w:t xml:space="preserve"> syrup er ikke undersøgt i pædiatriske studier med børn under 12 år.</w:t>
      </w:r>
    </w:p>
    <w:p w:rsidR="007F3FD3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BF284A" w:rsidRDefault="007F3FD3" w:rsidP="007F3FD3">
      <w:pPr>
        <w:ind w:left="851"/>
        <w:rPr>
          <w:rFonts w:eastAsiaTheme="minorEastAsia"/>
          <w:i/>
          <w:sz w:val="24"/>
          <w:szCs w:val="24"/>
        </w:rPr>
      </w:pPr>
      <w:r w:rsidRPr="00BF284A">
        <w:rPr>
          <w:rFonts w:eastAsiaTheme="minorEastAsia"/>
          <w:i/>
          <w:sz w:val="24"/>
          <w:szCs w:val="24"/>
        </w:rPr>
        <w:t>Voksne og unge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I en flerdosis klinisk undersøgelse, hos voksne og unge, i hvilken op til 20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desloratadin blev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indgivet daglig i 14 dage, blev der ikke observeret nogen statistisk </w:t>
      </w:r>
      <w:r w:rsidRPr="00A05BED">
        <w:rPr>
          <w:rFonts w:eastAsiaTheme="minorEastAsia"/>
          <w:spacing w:val="-1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>ller klinisk relevant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kardiovaskulær virkning. I en klinisk far</w:t>
      </w:r>
      <w:r w:rsidRPr="00A05BED">
        <w:rPr>
          <w:rFonts w:eastAsiaTheme="minorEastAsia"/>
          <w:spacing w:val="-2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akologiundersøgelse, hos voksne og unge, i hvilken</w:t>
      </w:r>
      <w:bookmarkStart w:id="1" w:name="page28"/>
      <w:bookmarkEnd w:id="1"/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desloratadin blev indgivet i en dosering på 45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</w:t>
      </w:r>
      <w:r w:rsidRPr="00A05BED">
        <w:rPr>
          <w:rFonts w:eastAsiaTheme="minorEastAsia"/>
          <w:spacing w:val="-1"/>
          <w:sz w:val="24"/>
          <w:szCs w:val="24"/>
        </w:rPr>
        <w:t>a</w:t>
      </w:r>
      <w:r w:rsidRPr="00A05BED">
        <w:rPr>
          <w:rFonts w:eastAsiaTheme="minorEastAsia"/>
          <w:sz w:val="24"/>
          <w:szCs w:val="24"/>
        </w:rPr>
        <w:t>glig (9 gange den kliniske dosering) i ti dage, sås ingen forlængelse af QTc intervallet.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Desloratadin trænger ikke hurtigt ind i centraln</w:t>
      </w:r>
      <w:r w:rsidRPr="00A05BED">
        <w:rPr>
          <w:rFonts w:eastAsiaTheme="minorEastAsia"/>
          <w:spacing w:val="-1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>rves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ste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et. I kontrollerede kliniske undersøgelser,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hos voksne og unge var der ingen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overh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ppighed af døsighed sa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 xml:space="preserve">enlignet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placebo ved den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anbefalede dosis på 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daglig. Desloratadin-tabletter, givet i en enkelt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daglig dosis på 7,5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til voksne og unge, påvirkede ikke den ps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ko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otoriske præstationsevne i kliniske undersøgelser. I en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enkeltdosisundersøgelse hos voksne påvirkede desloratadin 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hverken standardtest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ålingerne for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præstationsevne ved fl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vning, herunder forværring af subjektiv søvnighed, eller fl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vningsrelaterede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opgaver.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I kliniske far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akologiundersøgelser hos voksne gav sa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tidig indgift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alkohol ikke en øgning af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den alkoholinducerede forringelse af præstationsevn</w:t>
      </w:r>
      <w:r w:rsidRPr="00A05BED">
        <w:rPr>
          <w:rFonts w:eastAsiaTheme="minorEastAsia"/>
          <w:spacing w:val="-1"/>
          <w:sz w:val="24"/>
          <w:szCs w:val="24"/>
        </w:rPr>
        <w:t>en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eller øget søvnighed. Der blev ikke fundet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signifikante forskelle i de ps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ko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otoriske testresultater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ellem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desloratadin- og placebogrupperne,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hvad enten det blev indgivet alene eller sa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 xml:space="preserve">en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alkohol.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Ingen klinisk relevante ændringer i desloratadin plas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akoncentrationerne blev set i flerdosis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ketoconazol og er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thro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cin interaktionsundersøgelser.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 xml:space="preserve">Hos voksne og unge patienter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allergisk rhinitis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lindrede desloratadin-tabletter effektivt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 såsom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n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sen, næseflåd og -kløe, sa</w:t>
      </w:r>
      <w:r w:rsidRPr="00A05BED">
        <w:rPr>
          <w:rFonts w:eastAsiaTheme="minorEastAsia"/>
          <w:spacing w:val="-1"/>
          <w:sz w:val="24"/>
          <w:szCs w:val="24"/>
        </w:rPr>
        <w:t>mt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øjenkløe, t</w:t>
      </w:r>
      <w:r w:rsidRPr="00A05BED">
        <w:rPr>
          <w:rFonts w:eastAsiaTheme="minorEastAsia"/>
          <w:spacing w:val="-1"/>
          <w:sz w:val="24"/>
          <w:szCs w:val="24"/>
        </w:rPr>
        <w:t>å</w:t>
      </w:r>
      <w:r w:rsidRPr="00A05BED">
        <w:rPr>
          <w:rFonts w:eastAsiaTheme="minorEastAsia"/>
          <w:sz w:val="24"/>
          <w:szCs w:val="24"/>
        </w:rPr>
        <w:t>reflåd og rød</w:t>
      </w:r>
      <w:r w:rsidRPr="00A05BED">
        <w:rPr>
          <w:rFonts w:eastAsiaTheme="minorEastAsia"/>
          <w:spacing w:val="-1"/>
          <w:sz w:val="24"/>
          <w:szCs w:val="24"/>
        </w:rPr>
        <w:t>me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sa</w:t>
      </w:r>
      <w:r w:rsidRPr="00A05BED">
        <w:rPr>
          <w:rFonts w:eastAsiaTheme="minorEastAsia"/>
          <w:spacing w:val="-1"/>
          <w:sz w:val="24"/>
          <w:szCs w:val="24"/>
        </w:rPr>
        <w:t>mt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kløe i ganen. Desloratadin regulerede effektivt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erne i 24 ti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er. Effekten af desloratadin-tabletter er ikke blevet t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 xml:space="preserve">deligt vist i undersøgelser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unge pati</w:t>
      </w:r>
      <w:r w:rsidRPr="00A05BED">
        <w:rPr>
          <w:rFonts w:eastAsiaTheme="minorEastAsia"/>
          <w:spacing w:val="-1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 xml:space="preserve">nter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ellem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12 og 17 år.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Udover de etablerede klassifikation</w:t>
      </w:r>
      <w:r w:rsidRPr="00A05BED">
        <w:rPr>
          <w:rFonts w:eastAsiaTheme="minorEastAsia"/>
          <w:spacing w:val="-1"/>
          <w:sz w:val="24"/>
          <w:szCs w:val="24"/>
        </w:rPr>
        <w:t>er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>
        <w:rPr>
          <w:rFonts w:eastAsiaTheme="minorEastAsia"/>
          <w:spacing w:val="1"/>
          <w:sz w:val="24"/>
          <w:szCs w:val="24"/>
        </w:rPr>
        <w:t xml:space="preserve">af </w:t>
      </w:r>
      <w:r w:rsidRPr="00A05BED">
        <w:rPr>
          <w:rFonts w:eastAsiaTheme="minorEastAsia"/>
          <w:sz w:val="24"/>
          <w:szCs w:val="24"/>
        </w:rPr>
        <w:t>sæsonbetinget og helårs allergi</w:t>
      </w:r>
      <w:r w:rsidRPr="00A05BED">
        <w:rPr>
          <w:rFonts w:eastAsiaTheme="minorEastAsia"/>
          <w:spacing w:val="-1"/>
          <w:sz w:val="24"/>
          <w:szCs w:val="24"/>
        </w:rPr>
        <w:t>sk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rhinitis, kan allergisk rhinitis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alternativt opdeles i inter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itterende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allergisk rhinitis og vedvarende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allergisk rhinitis afhængig af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ernes varighed. Inter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itterende allergisk rhinitis er defineret 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tilstedeværelse af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er i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indre end 4 dage per uge eller i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indre end 4 uger. Vedvarende allergisk rhinitis er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defineret 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tilstedeværelse af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 i 4 d</w:t>
      </w:r>
      <w:r w:rsidRPr="00A05BED">
        <w:rPr>
          <w:rFonts w:eastAsiaTheme="minorEastAsia"/>
          <w:spacing w:val="-1"/>
          <w:sz w:val="24"/>
          <w:szCs w:val="24"/>
        </w:rPr>
        <w:t>a</w:t>
      </w:r>
      <w:r w:rsidRPr="00A05BED">
        <w:rPr>
          <w:rFonts w:eastAsiaTheme="minorEastAsia"/>
          <w:sz w:val="24"/>
          <w:szCs w:val="24"/>
        </w:rPr>
        <w:t xml:space="preserve">ge eller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ere per uge og i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ere end 4 uger.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Desloratadin-tabletter lindrede effektivt generne ved sæsonbetonet allergisk rhinitis, vist ved den totale score i rhino-konjunktivitis livskvalitetsspørgeske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aet. Den største forbedring sås for 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råderne praktiske proble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 og daglige aktiviteter, begrænset af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Kronisk idiopatisk urticaria er blevet undersøgt som en klinisk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odel for urticarialidelser, da den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patof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siologi der ligger til grund herfor er tilsvarende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uanset ætiologi, og fordi kroniske patienter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lettere kan rekrutteres prospektivt. Da der er en sa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 xml:space="preserve">enhæng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ellem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frigivelse af hista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 og alle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urticarialidelser, forventes det, at desloratadin giver effektiv </w:t>
      </w:r>
      <w:r w:rsidRPr="00A05BED">
        <w:rPr>
          <w:rFonts w:eastAsiaTheme="minorEastAsia"/>
          <w:sz w:val="24"/>
          <w:szCs w:val="24"/>
        </w:rPr>
        <w:lastRenderedPageBreak/>
        <w:t>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pto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lindring ved andre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urticarialidelser udover kronisk idiopatisk urticari</w:t>
      </w:r>
      <w:r w:rsidRPr="00A05BED">
        <w:rPr>
          <w:rFonts w:eastAsiaTheme="minorEastAsia"/>
          <w:spacing w:val="-1"/>
          <w:sz w:val="24"/>
          <w:szCs w:val="24"/>
        </w:rPr>
        <w:t>a,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det anbefales i kliniske vejledninger.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I to placebokontrollerede seks-ugers undersøgelser hos patienter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k</w:t>
      </w:r>
      <w:r w:rsidRPr="00A05BED">
        <w:rPr>
          <w:rFonts w:eastAsiaTheme="minorEastAsia"/>
          <w:spacing w:val="-1"/>
          <w:sz w:val="24"/>
          <w:szCs w:val="24"/>
        </w:rPr>
        <w:t>r</w:t>
      </w:r>
      <w:r w:rsidRPr="00A05BED">
        <w:rPr>
          <w:rFonts w:eastAsiaTheme="minorEastAsia"/>
          <w:sz w:val="24"/>
          <w:szCs w:val="24"/>
        </w:rPr>
        <w:t>onisk idiopatisk urticaria var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desloratadin effektivt til at lindre kløe og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indske størr</w:t>
      </w:r>
      <w:r w:rsidRPr="00A05BED">
        <w:rPr>
          <w:rFonts w:eastAsiaTheme="minorEastAsia"/>
          <w:spacing w:val="-1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>lsen og antallet af kløende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udslæt ved slutningen af det første doseringsinterval. I hver undersøgelse var virkningerne vedvarende over 24 ti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ers doseringsintervallet. 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i andre antihista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</w:t>
      </w:r>
      <w:r>
        <w:rPr>
          <w:rFonts w:eastAsiaTheme="minorEastAsia"/>
          <w:sz w:val="24"/>
          <w:szCs w:val="24"/>
        </w:rPr>
        <w:softHyphen/>
      </w:r>
      <w:r w:rsidRPr="00A05BED">
        <w:rPr>
          <w:rFonts w:eastAsiaTheme="minorEastAsia"/>
          <w:sz w:val="24"/>
          <w:szCs w:val="24"/>
        </w:rPr>
        <w:t>undersøgelser ved kronisk idiopatisk urticaria blev de få patienter, der var identificeret som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ikke-responderende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på antihista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iner, ekskluderet. En forbedring af kløe på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ere end 50</w:t>
      </w:r>
      <w:r w:rsidR="00635287">
        <w:rPr>
          <w:rFonts w:eastAsiaTheme="minorEastAsia"/>
          <w:sz w:val="24"/>
          <w:szCs w:val="24"/>
        </w:rPr>
        <w:t> </w:t>
      </w:r>
      <w:r w:rsidRPr="00A05BED">
        <w:rPr>
          <w:rFonts w:eastAsiaTheme="minorEastAsia"/>
          <w:sz w:val="24"/>
          <w:szCs w:val="24"/>
        </w:rPr>
        <w:t>% blev set hos 55 % af p</w:t>
      </w:r>
      <w:r w:rsidRPr="00A05BED">
        <w:rPr>
          <w:rFonts w:eastAsiaTheme="minorEastAsia"/>
          <w:spacing w:val="-2"/>
          <w:sz w:val="24"/>
          <w:szCs w:val="24"/>
        </w:rPr>
        <w:t>a</w:t>
      </w:r>
      <w:r w:rsidRPr="00A05BED">
        <w:rPr>
          <w:rFonts w:eastAsiaTheme="minorEastAsia"/>
          <w:sz w:val="24"/>
          <w:szCs w:val="24"/>
        </w:rPr>
        <w:t xml:space="preserve">tienterne behandlet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desloratadin sa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 xml:space="preserve">enlignet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ed 19 % af patienter behandlet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placebo. B</w:t>
      </w:r>
      <w:r w:rsidRPr="00A05BED">
        <w:rPr>
          <w:rFonts w:eastAsiaTheme="minorEastAsia"/>
          <w:spacing w:val="-2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 xml:space="preserve">handling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ed desloratadin reducerede også signifikant påvirkningen af søvn og daglig funktionsevne,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ålt ved en fire-points skala, der anvendtes for at vurdere disse para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etre.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Farmakokinetiske egenskaber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sz w:val="24"/>
          <w:szCs w:val="24"/>
        </w:rPr>
        <w:tab/>
      </w:r>
    </w:p>
    <w:p w:rsidR="007F3FD3" w:rsidRPr="00442704" w:rsidRDefault="007F3FD3" w:rsidP="007F3FD3">
      <w:pPr>
        <w:ind w:left="851" w:hanging="851"/>
        <w:rPr>
          <w:rFonts w:eastAsiaTheme="minorEastAsia"/>
          <w:sz w:val="24"/>
          <w:szCs w:val="24"/>
          <w:u w:val="single"/>
        </w:rPr>
      </w:pPr>
      <w:r w:rsidRPr="00A05BED">
        <w:rPr>
          <w:rFonts w:eastAsiaTheme="minorEastAsia"/>
          <w:sz w:val="24"/>
          <w:szCs w:val="24"/>
        </w:rPr>
        <w:tab/>
      </w:r>
      <w:r w:rsidRPr="00442704">
        <w:rPr>
          <w:rFonts w:eastAsiaTheme="minorEastAsia"/>
          <w:sz w:val="24"/>
          <w:szCs w:val="24"/>
          <w:u w:val="single"/>
        </w:rPr>
        <w:t>Absorption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Desloratadin plas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akoncentrationer kan påvises inden for 30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inutter efter indgift hos voksne og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unge. Desloratadin bliver godt absorberet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ed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aksi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u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koncentration opnået efter cirka 3 ti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er;</w:t>
      </w:r>
      <w:r>
        <w:rPr>
          <w:rFonts w:eastAsiaTheme="minorEastAsia"/>
          <w:sz w:val="24"/>
          <w:szCs w:val="24"/>
        </w:rPr>
        <w:t xml:space="preserve"> t</w:t>
      </w:r>
      <w:r w:rsidRPr="00A05BED">
        <w:rPr>
          <w:rFonts w:eastAsiaTheme="minorEastAsia"/>
          <w:sz w:val="24"/>
          <w:szCs w:val="24"/>
        </w:rPr>
        <w:t>er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inalfase halveringstiden er cirka 27 ti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er. G</w:t>
      </w:r>
      <w:r w:rsidRPr="00A05BED">
        <w:rPr>
          <w:rFonts w:eastAsiaTheme="minorEastAsia"/>
          <w:spacing w:val="-1"/>
          <w:sz w:val="24"/>
          <w:szCs w:val="24"/>
        </w:rPr>
        <w:t>r</w:t>
      </w:r>
      <w:r w:rsidRPr="00A05BED">
        <w:rPr>
          <w:rFonts w:eastAsiaTheme="minorEastAsia"/>
          <w:sz w:val="24"/>
          <w:szCs w:val="24"/>
        </w:rPr>
        <w:t>aden af akku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ulation for desloratadin var i overensste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 xml:space="preserve">else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dets halveringstid (cirka 27 ti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er) og dosering</w:t>
      </w:r>
      <w:r w:rsidRPr="00A05BED">
        <w:rPr>
          <w:rFonts w:eastAsiaTheme="minorEastAsia"/>
          <w:spacing w:val="-1"/>
          <w:sz w:val="24"/>
          <w:szCs w:val="24"/>
        </w:rPr>
        <w:t>s</w:t>
      </w:r>
      <w:r w:rsidRPr="00A05BED">
        <w:rPr>
          <w:rFonts w:eastAsiaTheme="minorEastAsia"/>
          <w:sz w:val="24"/>
          <w:szCs w:val="24"/>
        </w:rPr>
        <w:t>h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ppigheden på en gang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daglig. Biotilgængeligheden for desloratadin var dosisproportional over 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rådet 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til 20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g.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I en række far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akokinetiske og kliniske undersøgelser nåede 6 % af patienterne en højere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koncentration af desloratadin. Prævalen</w:t>
      </w:r>
      <w:r>
        <w:rPr>
          <w:rFonts w:eastAsiaTheme="minorEastAsia"/>
          <w:sz w:val="24"/>
          <w:szCs w:val="24"/>
        </w:rPr>
        <w:t>s</w:t>
      </w:r>
      <w:r w:rsidRPr="00A05BED">
        <w:rPr>
          <w:rFonts w:eastAsiaTheme="minorEastAsia"/>
          <w:sz w:val="24"/>
          <w:szCs w:val="24"/>
        </w:rPr>
        <w:t>en af d</w:t>
      </w:r>
      <w:r w:rsidRPr="00A05BED">
        <w:rPr>
          <w:rFonts w:eastAsiaTheme="minorEastAsia"/>
          <w:spacing w:val="-2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>nne fænot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 xml:space="preserve">pe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ed dårlig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etaboliseringsgrad var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sa</w:t>
      </w:r>
      <w:r w:rsidRPr="00A05BED">
        <w:rPr>
          <w:rFonts w:eastAsiaTheme="minorEastAsia"/>
          <w:spacing w:val="-1"/>
          <w:sz w:val="24"/>
          <w:szCs w:val="24"/>
        </w:rPr>
        <w:t>mm</w:t>
      </w:r>
      <w:r w:rsidRPr="00A05BED">
        <w:rPr>
          <w:rFonts w:eastAsiaTheme="minorEastAsia"/>
          <w:sz w:val="24"/>
          <w:szCs w:val="24"/>
        </w:rPr>
        <w:t>enlignelig for voksne (6 %) og pædiatriske patien</w:t>
      </w:r>
      <w:r w:rsidRPr="00A05BED">
        <w:rPr>
          <w:rFonts w:eastAsiaTheme="minorEastAsia"/>
          <w:spacing w:val="-1"/>
          <w:sz w:val="24"/>
          <w:szCs w:val="24"/>
        </w:rPr>
        <w:t>t</w:t>
      </w:r>
      <w:r w:rsidRPr="00A05BED">
        <w:rPr>
          <w:rFonts w:eastAsiaTheme="minorEastAsia"/>
          <w:sz w:val="24"/>
          <w:szCs w:val="24"/>
        </w:rPr>
        <w:t>er i alderen 2 til 11 år (6 %) og højere for sorte (18 % for voksne, 16 % for børn) end kaukasiske (</w:t>
      </w:r>
      <w:r w:rsidRPr="00A05BED">
        <w:rPr>
          <w:rFonts w:eastAsiaTheme="minorEastAsia"/>
          <w:spacing w:val="1"/>
          <w:sz w:val="24"/>
          <w:szCs w:val="24"/>
        </w:rPr>
        <w:t>2 %</w:t>
      </w:r>
      <w:r w:rsidRPr="00A05BED">
        <w:rPr>
          <w:rFonts w:eastAsiaTheme="minorEastAsia"/>
          <w:spacing w:val="-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for voksne, 3 % for børn) i begge populationer.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I e</w:t>
      </w:r>
      <w:r>
        <w:rPr>
          <w:rFonts w:eastAsiaTheme="minorEastAsia"/>
          <w:sz w:val="24"/>
          <w:szCs w:val="24"/>
        </w:rPr>
        <w:t>n</w:t>
      </w:r>
      <w:r w:rsidRPr="00A05BED">
        <w:rPr>
          <w:rFonts w:eastAsiaTheme="minorEastAsia"/>
          <w:sz w:val="24"/>
          <w:szCs w:val="24"/>
        </w:rPr>
        <w:t xml:space="preserve"> flerdosis far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akokinetisk undersøgelse udført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tabletter og raske voksne personer, var fire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personer dårlige til at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etabolisere desloratadin. Disse personer havde en C</w:t>
      </w:r>
      <w:r w:rsidRPr="00190E0C">
        <w:rPr>
          <w:rFonts w:eastAsiaTheme="minorEastAsia"/>
          <w:spacing w:val="-2"/>
          <w:sz w:val="24"/>
          <w:szCs w:val="24"/>
          <w:vertAlign w:val="subscript"/>
        </w:rPr>
        <w:t>m</w:t>
      </w:r>
      <w:r w:rsidRPr="00190E0C">
        <w:rPr>
          <w:rFonts w:eastAsiaTheme="minorEastAsia"/>
          <w:sz w:val="24"/>
          <w:szCs w:val="24"/>
          <w:vertAlign w:val="subscript"/>
        </w:rPr>
        <w:t>ax</w:t>
      </w:r>
      <w:r w:rsidRPr="00A05BED">
        <w:rPr>
          <w:rFonts w:eastAsiaTheme="minorEastAsia"/>
          <w:sz w:val="24"/>
          <w:szCs w:val="24"/>
        </w:rPr>
        <w:t xml:space="preserve"> koncentration, der var 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kring 3 gange højere ved cirka 7 ti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 og havde en halveringstid i ter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inalfasen på cirka 89 ti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Lignende far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akokinetiske para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etre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blev fundet i en flerdosis far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akokinetisk undersøgelse, udført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s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rup til pædiatriske patienter i alderen 2 til 11</w:t>
      </w:r>
      <w:r w:rsidRPr="00A05BED">
        <w:rPr>
          <w:rFonts w:eastAsiaTheme="minorEastAsia"/>
          <w:spacing w:val="-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år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ed dårlig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etaboliseringsgrad med allergisk rhinitis. </w:t>
      </w:r>
      <w:r w:rsidRPr="00A05BED">
        <w:rPr>
          <w:sz w:val="24"/>
          <w:szCs w:val="24"/>
        </w:rPr>
        <w:t>Eksponering (AUC) for desloratadin var o</w:t>
      </w:r>
      <w:r w:rsidRPr="00A05BED">
        <w:rPr>
          <w:spacing w:val="-1"/>
          <w:sz w:val="24"/>
          <w:szCs w:val="24"/>
        </w:rPr>
        <w:t>m</w:t>
      </w:r>
      <w:r w:rsidRPr="00A05BED">
        <w:rPr>
          <w:sz w:val="24"/>
          <w:szCs w:val="24"/>
        </w:rPr>
        <w:t>kring 6 gange højere og C</w:t>
      </w:r>
      <w:r w:rsidRPr="00190E0C">
        <w:rPr>
          <w:sz w:val="24"/>
          <w:szCs w:val="24"/>
          <w:vertAlign w:val="subscript"/>
        </w:rPr>
        <w:t>max</w:t>
      </w:r>
      <w:r w:rsidRPr="00A05BED">
        <w:rPr>
          <w:rFonts w:eastAsiaTheme="minorEastAsia"/>
          <w:sz w:val="24"/>
          <w:szCs w:val="24"/>
        </w:rPr>
        <w:t xml:space="preserve"> og diagnosen var o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kring 3 til 4 gange højere ved 3-6 ti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en h</w:t>
      </w:r>
      <w:r w:rsidRPr="00A05BED">
        <w:rPr>
          <w:rFonts w:eastAsiaTheme="minorEastAsia"/>
          <w:spacing w:val="-2"/>
          <w:sz w:val="24"/>
          <w:szCs w:val="24"/>
        </w:rPr>
        <w:t>a</w:t>
      </w:r>
      <w:r w:rsidRPr="00A05BED">
        <w:rPr>
          <w:rFonts w:eastAsiaTheme="minorEastAsia"/>
          <w:sz w:val="24"/>
          <w:szCs w:val="24"/>
        </w:rPr>
        <w:t>lveringstid i ter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inalfasen på cirka 120 ti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Eksponeringen var den sa</w:t>
      </w:r>
      <w:r w:rsidRPr="00A05BED">
        <w:rPr>
          <w:rFonts w:eastAsiaTheme="minorEastAsia"/>
          <w:spacing w:val="-1"/>
          <w:sz w:val="24"/>
          <w:szCs w:val="24"/>
        </w:rPr>
        <w:t>mme</w:t>
      </w:r>
      <w:r w:rsidRPr="00A05BED">
        <w:rPr>
          <w:rFonts w:eastAsiaTheme="minorEastAsia"/>
          <w:spacing w:val="1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hos voksne og børn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ed dårlig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etaboliseringsgrad, når de blev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behandlet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aldersspecifikke doser. Den overordn</w:t>
      </w:r>
      <w:r w:rsidRPr="00A05BED">
        <w:rPr>
          <w:rFonts w:eastAsiaTheme="minorEastAsia"/>
          <w:spacing w:val="-2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>de sikkerhedsprofil hos disse patienter var ikke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forskellig fra den generelle befo</w:t>
      </w:r>
      <w:r w:rsidRPr="00A05BED">
        <w:rPr>
          <w:rFonts w:eastAsiaTheme="minorEastAsia"/>
          <w:spacing w:val="-1"/>
          <w:sz w:val="24"/>
          <w:szCs w:val="24"/>
        </w:rPr>
        <w:t>l</w:t>
      </w:r>
      <w:r w:rsidRPr="00A05BED">
        <w:rPr>
          <w:rFonts w:eastAsiaTheme="minorEastAsia"/>
          <w:sz w:val="24"/>
          <w:szCs w:val="24"/>
        </w:rPr>
        <w:t xml:space="preserve">kning. Effekten af desloratadin hos patienter &lt; 2 år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dårlig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etaboliseringsgrad er ikke undersøgt.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</w:r>
    </w:p>
    <w:p w:rsidR="007F3FD3" w:rsidRPr="00700F6E" w:rsidRDefault="007F3FD3" w:rsidP="007F3FD3">
      <w:pPr>
        <w:autoSpaceDE w:val="0"/>
        <w:autoSpaceDN w:val="0"/>
        <w:adjustRightInd w:val="0"/>
        <w:ind w:left="851"/>
        <w:rPr>
          <w:rFonts w:eastAsia="TimesNewRoman"/>
          <w:sz w:val="24"/>
          <w:szCs w:val="24"/>
          <w:lang w:eastAsia="da-DK"/>
        </w:rPr>
      </w:pPr>
      <w:r w:rsidRPr="00700F6E">
        <w:rPr>
          <w:rFonts w:eastAsia="TimesNewRoman"/>
          <w:sz w:val="24"/>
          <w:szCs w:val="24"/>
          <w:lang w:eastAsia="da-DK"/>
        </w:rPr>
        <w:t>I éndosisstudier med de anbefalede doser, havde pædiatriske patienter AUC og C</w:t>
      </w:r>
      <w:r w:rsidRPr="00FC61CB">
        <w:rPr>
          <w:rFonts w:eastAsia="TimesNewRoman"/>
          <w:sz w:val="24"/>
          <w:szCs w:val="24"/>
          <w:vertAlign w:val="subscript"/>
          <w:lang w:eastAsia="da-DK"/>
        </w:rPr>
        <w:t>max</w:t>
      </w:r>
      <w:r w:rsidRPr="00700F6E">
        <w:rPr>
          <w:rFonts w:eastAsia="TimesNewRoman"/>
          <w:sz w:val="24"/>
          <w:szCs w:val="24"/>
          <w:lang w:eastAsia="da-DK"/>
        </w:rPr>
        <w:t xml:space="preserve"> værdier af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700F6E">
        <w:rPr>
          <w:rFonts w:eastAsia="TimesNewRoman"/>
          <w:sz w:val="24"/>
          <w:szCs w:val="24"/>
          <w:lang w:eastAsia="da-DK"/>
        </w:rPr>
        <w:t>desloratadin, som var sammenlignelige med værdierne hos voksne, der fik en 5 mg dosis desloratadin</w:t>
      </w:r>
      <w:r>
        <w:rPr>
          <w:rFonts w:eastAsia="TimesNewRoman"/>
          <w:sz w:val="24"/>
          <w:szCs w:val="24"/>
          <w:lang w:eastAsia="da-DK"/>
        </w:rPr>
        <w:t xml:space="preserve"> </w:t>
      </w:r>
      <w:r w:rsidRPr="00700F6E">
        <w:rPr>
          <w:rFonts w:eastAsia="TimesNewRoman"/>
          <w:sz w:val="24"/>
          <w:szCs w:val="24"/>
          <w:lang w:eastAsia="da-DK"/>
        </w:rPr>
        <w:t>oral opløsning.</w:t>
      </w:r>
    </w:p>
    <w:p w:rsidR="00BF284A" w:rsidRDefault="00BF284A">
      <w:pPr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br w:type="page"/>
      </w:r>
    </w:p>
    <w:p w:rsidR="007F3FD3" w:rsidRPr="00700F6E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442704" w:rsidRDefault="007F3FD3" w:rsidP="007F3FD3">
      <w:pPr>
        <w:ind w:left="851" w:hanging="851"/>
        <w:rPr>
          <w:rFonts w:eastAsiaTheme="minorEastAsia"/>
          <w:sz w:val="24"/>
          <w:szCs w:val="24"/>
          <w:u w:val="single"/>
        </w:rPr>
      </w:pPr>
      <w:r w:rsidRPr="00A05BED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  <w:u w:val="single"/>
        </w:rPr>
        <w:t>Fordeling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Desloratadin er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oderat bundet (83 % - 87 %) til plas</w:t>
      </w:r>
      <w:r w:rsidRPr="00A05BED">
        <w:rPr>
          <w:rFonts w:eastAsiaTheme="minorEastAsia"/>
          <w:spacing w:val="-2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aproteiner. Der er ikke noget, der t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der på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>klinisk relevant akku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ulering af det aktive stof efter dosering til unge og voksne en gang daglig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</w:t>
      </w:r>
      <w:r>
        <w:rPr>
          <w:rFonts w:eastAsiaTheme="minorEastAsia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desloratadin (5 </w:t>
      </w:r>
      <w:r w:rsidRPr="00A05BED">
        <w:rPr>
          <w:rFonts w:eastAsiaTheme="minorEastAsia"/>
          <w:spacing w:val="-1"/>
          <w:sz w:val="24"/>
          <w:szCs w:val="24"/>
        </w:rPr>
        <w:t>mg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til 20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g) i 14 dage.</w:t>
      </w:r>
    </w:p>
    <w:p w:rsidR="007F3FD3" w:rsidRPr="00190E0C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190E0C" w:rsidRDefault="007F3FD3" w:rsidP="007F3FD3">
      <w:pPr>
        <w:ind w:left="851"/>
        <w:rPr>
          <w:sz w:val="24"/>
          <w:szCs w:val="24"/>
        </w:rPr>
      </w:pPr>
      <w:r w:rsidRPr="00190E0C">
        <w:rPr>
          <w:rFonts w:eastAsiaTheme="minorEastAsia"/>
          <w:sz w:val="24"/>
          <w:szCs w:val="24"/>
        </w:rPr>
        <w:t>I en éndosis overkr</w:t>
      </w:r>
      <w:r w:rsidRPr="00190E0C">
        <w:rPr>
          <w:rFonts w:eastAsiaTheme="minorEastAsia"/>
          <w:spacing w:val="1"/>
          <w:sz w:val="24"/>
          <w:szCs w:val="24"/>
        </w:rPr>
        <w:t>y</w:t>
      </w:r>
      <w:r w:rsidRPr="00190E0C">
        <w:rPr>
          <w:rFonts w:eastAsiaTheme="minorEastAsia"/>
          <w:sz w:val="24"/>
          <w:szCs w:val="24"/>
        </w:rPr>
        <w:t>dsningsundersøgelse af desloratadin blev tablet- og s</w:t>
      </w:r>
      <w:r w:rsidRPr="00190E0C">
        <w:rPr>
          <w:rFonts w:eastAsiaTheme="minorEastAsia"/>
          <w:spacing w:val="1"/>
          <w:sz w:val="24"/>
          <w:szCs w:val="24"/>
        </w:rPr>
        <w:t>y</w:t>
      </w:r>
      <w:r w:rsidRPr="00190E0C">
        <w:rPr>
          <w:rFonts w:eastAsiaTheme="minorEastAsia"/>
          <w:sz w:val="24"/>
          <w:szCs w:val="24"/>
        </w:rPr>
        <w:t>rup</w:t>
      </w:r>
      <w:r>
        <w:rPr>
          <w:rFonts w:eastAsiaTheme="minorEastAsia"/>
          <w:sz w:val="24"/>
          <w:szCs w:val="24"/>
        </w:rPr>
        <w:softHyphen/>
      </w:r>
      <w:r w:rsidRPr="00190E0C">
        <w:rPr>
          <w:rFonts w:eastAsiaTheme="minorEastAsia"/>
          <w:sz w:val="24"/>
          <w:szCs w:val="24"/>
        </w:rPr>
        <w:t>for</w:t>
      </w:r>
      <w:r w:rsidRPr="00190E0C">
        <w:rPr>
          <w:rFonts w:eastAsiaTheme="minorEastAsia"/>
          <w:spacing w:val="-1"/>
          <w:sz w:val="24"/>
          <w:szCs w:val="24"/>
        </w:rPr>
        <w:t>m</w:t>
      </w:r>
      <w:r w:rsidRPr="00190E0C">
        <w:rPr>
          <w:rFonts w:eastAsiaTheme="minorEastAsia"/>
          <w:sz w:val="24"/>
          <w:szCs w:val="24"/>
        </w:rPr>
        <w:t>uleringerne fundet værende bioækvivalente. Da desloratadin oral opløsning indeholder sa</w:t>
      </w:r>
      <w:r w:rsidRPr="00190E0C">
        <w:rPr>
          <w:rFonts w:eastAsiaTheme="minorEastAsia"/>
          <w:spacing w:val="-1"/>
          <w:sz w:val="24"/>
          <w:szCs w:val="24"/>
        </w:rPr>
        <w:t>mme</w:t>
      </w:r>
      <w:r w:rsidRPr="00190E0C">
        <w:rPr>
          <w:rFonts w:eastAsiaTheme="minorEastAsia"/>
          <w:spacing w:val="1"/>
          <w:sz w:val="24"/>
          <w:szCs w:val="24"/>
        </w:rPr>
        <w:t xml:space="preserve"> </w:t>
      </w:r>
      <w:r w:rsidRPr="00190E0C">
        <w:rPr>
          <w:rFonts w:eastAsiaTheme="minorEastAsia"/>
          <w:sz w:val="24"/>
          <w:szCs w:val="24"/>
        </w:rPr>
        <w:t>koncentration desloratadin, var</w:t>
      </w:r>
      <w:r w:rsidRPr="00190E0C">
        <w:rPr>
          <w:sz w:val="24"/>
          <w:szCs w:val="24"/>
        </w:rPr>
        <w:t xml:space="preserve"> et bioækvivalensstudie ikke nødvendigt, og det forventes at være ækvivalent 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>ed s</w:t>
      </w:r>
      <w:r w:rsidRPr="00190E0C">
        <w:rPr>
          <w:spacing w:val="1"/>
          <w:sz w:val="24"/>
          <w:szCs w:val="24"/>
        </w:rPr>
        <w:t>y</w:t>
      </w:r>
      <w:r w:rsidRPr="00190E0C">
        <w:rPr>
          <w:sz w:val="24"/>
          <w:szCs w:val="24"/>
        </w:rPr>
        <w:t>rupen og tabletten.</w:t>
      </w:r>
    </w:p>
    <w:p w:rsidR="007F3FD3" w:rsidRPr="00190E0C" w:rsidRDefault="007F3FD3" w:rsidP="007F3FD3">
      <w:pPr>
        <w:ind w:left="851"/>
        <w:rPr>
          <w:sz w:val="24"/>
          <w:szCs w:val="24"/>
        </w:rPr>
      </w:pPr>
    </w:p>
    <w:p w:rsidR="007F3FD3" w:rsidRPr="00FC10C7" w:rsidRDefault="007F3FD3" w:rsidP="007F3FD3">
      <w:pPr>
        <w:ind w:left="851"/>
        <w:rPr>
          <w:sz w:val="24"/>
          <w:szCs w:val="24"/>
          <w:u w:val="single"/>
        </w:rPr>
      </w:pPr>
      <w:r w:rsidRPr="00FC10C7">
        <w:rPr>
          <w:sz w:val="24"/>
          <w:szCs w:val="24"/>
          <w:u w:val="single"/>
        </w:rPr>
        <w:t>Biotransformation</w:t>
      </w:r>
    </w:p>
    <w:p w:rsidR="007F3FD3" w:rsidRPr="00190E0C" w:rsidRDefault="007F3FD3" w:rsidP="007F3FD3">
      <w:pPr>
        <w:ind w:left="851"/>
        <w:rPr>
          <w:sz w:val="24"/>
          <w:szCs w:val="24"/>
        </w:rPr>
      </w:pPr>
      <w:r w:rsidRPr="00190E0C">
        <w:rPr>
          <w:sz w:val="24"/>
          <w:szCs w:val="24"/>
        </w:rPr>
        <w:t>Enz</w:t>
      </w:r>
      <w:r w:rsidRPr="00190E0C">
        <w:rPr>
          <w:spacing w:val="1"/>
          <w:sz w:val="24"/>
          <w:szCs w:val="24"/>
        </w:rPr>
        <w:t>y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 xml:space="preserve">et, der er ansvarlig for 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 xml:space="preserve">etaboliseringen af desloratadin, er ikke blevet identificeret endnu, og nogle interaktioner 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>ed andre læge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>idler kan derfor ikke fuldstændigt udelukkes. Desloratadin hæ</w:t>
      </w:r>
      <w:r w:rsidRPr="00190E0C">
        <w:rPr>
          <w:spacing w:val="-1"/>
          <w:sz w:val="24"/>
          <w:szCs w:val="24"/>
        </w:rPr>
        <w:t>mm</w:t>
      </w:r>
      <w:r w:rsidRPr="00190E0C">
        <w:rPr>
          <w:sz w:val="24"/>
          <w:szCs w:val="24"/>
        </w:rPr>
        <w:t xml:space="preserve">er ikke CYP3A4 </w:t>
      </w:r>
      <w:r w:rsidRPr="00190E0C">
        <w:rPr>
          <w:i/>
          <w:sz w:val="24"/>
          <w:szCs w:val="24"/>
        </w:rPr>
        <w:t>in</w:t>
      </w:r>
      <w:r w:rsidRPr="00190E0C">
        <w:rPr>
          <w:i/>
          <w:w w:val="89"/>
          <w:sz w:val="24"/>
          <w:szCs w:val="24"/>
        </w:rPr>
        <w:t xml:space="preserve"> </w:t>
      </w:r>
      <w:r w:rsidRPr="00190E0C">
        <w:rPr>
          <w:i/>
          <w:w w:val="95"/>
          <w:sz w:val="24"/>
          <w:szCs w:val="24"/>
        </w:rPr>
        <w:t>viv</w:t>
      </w:r>
      <w:r w:rsidRPr="00190E0C">
        <w:rPr>
          <w:i/>
          <w:w w:val="89"/>
          <w:sz w:val="24"/>
          <w:szCs w:val="24"/>
        </w:rPr>
        <w:t>o</w:t>
      </w:r>
      <w:r w:rsidRPr="00190E0C">
        <w:rPr>
          <w:sz w:val="24"/>
          <w:szCs w:val="24"/>
        </w:rPr>
        <w:t xml:space="preserve">, og </w:t>
      </w:r>
      <w:r w:rsidRPr="00190E0C">
        <w:rPr>
          <w:i/>
          <w:sz w:val="24"/>
          <w:szCs w:val="24"/>
        </w:rPr>
        <w:t>in</w:t>
      </w:r>
      <w:r w:rsidRPr="00190E0C">
        <w:rPr>
          <w:i/>
          <w:w w:val="89"/>
          <w:sz w:val="24"/>
          <w:szCs w:val="24"/>
        </w:rPr>
        <w:t xml:space="preserve"> </w:t>
      </w:r>
      <w:r w:rsidRPr="00190E0C">
        <w:rPr>
          <w:i/>
          <w:sz w:val="24"/>
          <w:szCs w:val="24"/>
        </w:rPr>
        <w:t>vitro</w:t>
      </w:r>
      <w:r w:rsidRPr="00190E0C">
        <w:rPr>
          <w:w w:val="89"/>
          <w:sz w:val="24"/>
          <w:szCs w:val="24"/>
        </w:rPr>
        <w:t xml:space="preserve"> </w:t>
      </w:r>
      <w:r w:rsidRPr="00190E0C">
        <w:rPr>
          <w:sz w:val="24"/>
          <w:szCs w:val="24"/>
        </w:rPr>
        <w:t>undersøgelser har vist, at læge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>idlet ikke hæ</w:t>
      </w:r>
      <w:r w:rsidRPr="00190E0C">
        <w:rPr>
          <w:spacing w:val="-1"/>
          <w:sz w:val="24"/>
          <w:szCs w:val="24"/>
        </w:rPr>
        <w:t>mm</w:t>
      </w:r>
      <w:r w:rsidRPr="00190E0C">
        <w:rPr>
          <w:sz w:val="24"/>
          <w:szCs w:val="24"/>
        </w:rPr>
        <w:t>er CYP2D6 og hverken er et substrat for eller en hæ</w:t>
      </w:r>
      <w:r w:rsidRPr="00190E0C">
        <w:rPr>
          <w:spacing w:val="-1"/>
          <w:sz w:val="24"/>
          <w:szCs w:val="24"/>
        </w:rPr>
        <w:t>mm</w:t>
      </w:r>
      <w:r w:rsidRPr="00190E0C">
        <w:rPr>
          <w:sz w:val="24"/>
          <w:szCs w:val="24"/>
        </w:rPr>
        <w:t>er af P-gl</w:t>
      </w:r>
      <w:r w:rsidRPr="00190E0C">
        <w:rPr>
          <w:spacing w:val="1"/>
          <w:sz w:val="24"/>
          <w:szCs w:val="24"/>
        </w:rPr>
        <w:t>y</w:t>
      </w:r>
      <w:r w:rsidRPr="00190E0C">
        <w:rPr>
          <w:sz w:val="24"/>
          <w:szCs w:val="24"/>
        </w:rPr>
        <w:t>coprotein.</w:t>
      </w:r>
    </w:p>
    <w:p w:rsidR="007F3FD3" w:rsidRPr="00190E0C" w:rsidRDefault="007F3FD3" w:rsidP="007F3FD3">
      <w:pPr>
        <w:ind w:left="851"/>
        <w:rPr>
          <w:sz w:val="24"/>
          <w:szCs w:val="24"/>
        </w:rPr>
      </w:pPr>
    </w:p>
    <w:p w:rsidR="007F3FD3" w:rsidRPr="00EA77C8" w:rsidRDefault="007F3FD3" w:rsidP="007F3FD3">
      <w:pPr>
        <w:ind w:left="851"/>
        <w:rPr>
          <w:sz w:val="24"/>
          <w:szCs w:val="24"/>
          <w:u w:val="single"/>
        </w:rPr>
      </w:pPr>
      <w:r>
        <w:rPr>
          <w:sz w:val="24"/>
          <w:szCs w:val="24"/>
          <w:u w:val="single"/>
        </w:rPr>
        <w:t>Elimination</w:t>
      </w:r>
    </w:p>
    <w:p w:rsidR="007F3FD3" w:rsidRDefault="007F3FD3" w:rsidP="007F3FD3">
      <w:pPr>
        <w:ind w:left="851"/>
        <w:rPr>
          <w:sz w:val="24"/>
          <w:szCs w:val="24"/>
        </w:rPr>
      </w:pPr>
      <w:r w:rsidRPr="00190E0C">
        <w:rPr>
          <w:sz w:val="24"/>
          <w:szCs w:val="24"/>
        </w:rPr>
        <w:t xml:space="preserve">I en undersøgelse 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 xml:space="preserve">ed enkeltdosering på 7,5 </w:t>
      </w:r>
      <w:r w:rsidRPr="00190E0C">
        <w:rPr>
          <w:spacing w:val="-1"/>
          <w:sz w:val="24"/>
          <w:szCs w:val="24"/>
        </w:rPr>
        <w:t>mg</w:t>
      </w:r>
      <w:r w:rsidRPr="00190E0C">
        <w:rPr>
          <w:spacing w:val="1"/>
          <w:sz w:val="24"/>
          <w:szCs w:val="24"/>
        </w:rPr>
        <w:t xml:space="preserve"> </w:t>
      </w:r>
      <w:r w:rsidRPr="00190E0C">
        <w:rPr>
          <w:sz w:val="24"/>
          <w:szCs w:val="24"/>
        </w:rPr>
        <w:t>desloratadin var der ingen påvirkning af fødeindtagelse (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>orgen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 xml:space="preserve">ad 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>ed højt fedtindhold og højt kalorieindhold) på o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>sætningen af desloratadin. I en anden undersøgelse havde grapefrugtjuice ingen indfl</w:t>
      </w:r>
      <w:r w:rsidRPr="00190E0C">
        <w:rPr>
          <w:spacing w:val="1"/>
          <w:sz w:val="24"/>
          <w:szCs w:val="24"/>
        </w:rPr>
        <w:t>y</w:t>
      </w:r>
      <w:r w:rsidRPr="00190E0C">
        <w:rPr>
          <w:sz w:val="24"/>
          <w:szCs w:val="24"/>
        </w:rPr>
        <w:t>delse på o</w:t>
      </w:r>
      <w:r w:rsidRPr="00190E0C">
        <w:rPr>
          <w:spacing w:val="-1"/>
          <w:sz w:val="24"/>
          <w:szCs w:val="24"/>
        </w:rPr>
        <w:t>m</w:t>
      </w:r>
      <w:r w:rsidRPr="00190E0C">
        <w:rPr>
          <w:sz w:val="24"/>
          <w:szCs w:val="24"/>
        </w:rPr>
        <w:t>sætningen af desloratadin.</w:t>
      </w:r>
    </w:p>
    <w:p w:rsidR="007F3FD3" w:rsidRDefault="007F3FD3" w:rsidP="007F3FD3">
      <w:pPr>
        <w:ind w:left="851"/>
        <w:rPr>
          <w:sz w:val="24"/>
          <w:szCs w:val="24"/>
        </w:rPr>
      </w:pPr>
    </w:p>
    <w:p w:rsidR="007F3FD3" w:rsidRPr="0029536B" w:rsidRDefault="007F3FD3" w:rsidP="007F3FD3">
      <w:pPr>
        <w:ind w:left="851"/>
        <w:rPr>
          <w:rFonts w:eastAsiaTheme="minorEastAsia"/>
          <w:sz w:val="24"/>
          <w:szCs w:val="24"/>
          <w:u w:val="single"/>
        </w:rPr>
      </w:pPr>
      <w:r w:rsidRPr="0029536B">
        <w:rPr>
          <w:rFonts w:eastAsiaTheme="minorEastAsia"/>
          <w:sz w:val="24"/>
          <w:szCs w:val="24"/>
          <w:u w:val="single"/>
        </w:rPr>
        <w:t>Patienter med nedsat nyrefunktion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  <w:r w:rsidRPr="0029536B">
        <w:rPr>
          <w:rFonts w:eastAsiaTheme="minorEastAsia"/>
          <w:sz w:val="24"/>
          <w:szCs w:val="24"/>
        </w:rPr>
        <w:t>Farmakokinetikken for desloratadin hos patienter med kronisk nyreinsufficiens (CRI) og raske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personer blev sammenlignet i et enkeltdosisstudie og et flerdosisstudie. I enkelt</w:t>
      </w:r>
      <w:r>
        <w:rPr>
          <w:rFonts w:eastAsiaTheme="minorEastAsia"/>
          <w:sz w:val="24"/>
          <w:szCs w:val="24"/>
        </w:rPr>
        <w:softHyphen/>
      </w:r>
      <w:r w:rsidRPr="0029536B">
        <w:rPr>
          <w:rFonts w:eastAsiaTheme="minorEastAsia"/>
          <w:sz w:val="24"/>
          <w:szCs w:val="24"/>
        </w:rPr>
        <w:t>dosisstudiet var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eksponeringen for desloratadin ca. 2 gange højere hos patienter med let til moderat CRI og ca. 2,5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gange højere hos patienter med svær CRI sammenlignet med raske personer. I flerdosisstudiet blev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steady</w:t>
      </w:r>
      <w:r>
        <w:rPr>
          <w:rFonts w:eastAsiaTheme="minorEastAsia"/>
          <w:sz w:val="24"/>
          <w:szCs w:val="24"/>
        </w:rPr>
        <w:t>-</w:t>
      </w:r>
      <w:r w:rsidRPr="0029536B">
        <w:rPr>
          <w:rFonts w:eastAsiaTheme="minorEastAsia"/>
          <w:sz w:val="24"/>
          <w:szCs w:val="24"/>
        </w:rPr>
        <w:t>state nået efter dag 11, og eksponeringen for desloratadin var ~1,5 gange højere hos patienter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med let til moderat CRI og ~2,5 gange højere hos patienter med svær CRI sammenlignet med raske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personer. Ændringerne i eksponering (AUC og C</w:t>
      </w:r>
      <w:r w:rsidRPr="0029536B">
        <w:rPr>
          <w:rFonts w:eastAsiaTheme="minorEastAsia"/>
          <w:sz w:val="24"/>
          <w:szCs w:val="24"/>
          <w:vertAlign w:val="subscript"/>
        </w:rPr>
        <w:t>max</w:t>
      </w:r>
      <w:r w:rsidRPr="0029536B">
        <w:rPr>
          <w:rFonts w:eastAsiaTheme="minorEastAsia"/>
          <w:sz w:val="24"/>
          <w:szCs w:val="24"/>
        </w:rPr>
        <w:t>) for desloratadin og 3-hydroxydesloratadin var</w:t>
      </w:r>
      <w:r>
        <w:rPr>
          <w:rFonts w:eastAsiaTheme="minorEastAsia"/>
          <w:sz w:val="24"/>
          <w:szCs w:val="24"/>
        </w:rPr>
        <w:t xml:space="preserve"> </w:t>
      </w:r>
      <w:r w:rsidRPr="0029536B">
        <w:rPr>
          <w:rFonts w:eastAsiaTheme="minorEastAsia"/>
          <w:sz w:val="24"/>
          <w:szCs w:val="24"/>
        </w:rPr>
        <w:t>ikke klinisk relevante i nogen af studierne.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4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Prækliniske sikkerhedsdata</w:t>
      </w:r>
    </w:p>
    <w:p w:rsidR="007F3FD3" w:rsidRPr="007C39C8" w:rsidRDefault="007F3FD3" w:rsidP="007F3FD3">
      <w:pPr>
        <w:ind w:left="851"/>
        <w:rPr>
          <w:sz w:val="24"/>
          <w:szCs w:val="24"/>
        </w:rPr>
      </w:pPr>
      <w:r w:rsidRPr="007C39C8">
        <w:rPr>
          <w:sz w:val="24"/>
          <w:szCs w:val="24"/>
        </w:rPr>
        <w:t>Desloratadin er den pri</w:t>
      </w:r>
      <w:r w:rsidRPr="007C39C8">
        <w:rPr>
          <w:spacing w:val="-1"/>
          <w:sz w:val="24"/>
          <w:szCs w:val="24"/>
        </w:rPr>
        <w:t>m</w:t>
      </w:r>
      <w:r w:rsidRPr="007C39C8">
        <w:rPr>
          <w:sz w:val="24"/>
          <w:szCs w:val="24"/>
        </w:rPr>
        <w:t xml:space="preserve">ære aktive </w:t>
      </w:r>
      <w:r w:rsidRPr="007C39C8">
        <w:rPr>
          <w:spacing w:val="-1"/>
          <w:sz w:val="24"/>
          <w:szCs w:val="24"/>
        </w:rPr>
        <w:t>m</w:t>
      </w:r>
      <w:r w:rsidRPr="007C39C8">
        <w:rPr>
          <w:sz w:val="24"/>
          <w:szCs w:val="24"/>
        </w:rPr>
        <w:t xml:space="preserve">etabolit af loratadin. Prækliniske undersøgelser udført </w:t>
      </w:r>
      <w:r w:rsidRPr="007C39C8">
        <w:rPr>
          <w:spacing w:val="-1"/>
          <w:sz w:val="24"/>
          <w:szCs w:val="24"/>
        </w:rPr>
        <w:t>m</w:t>
      </w:r>
      <w:r w:rsidRPr="007C39C8">
        <w:rPr>
          <w:sz w:val="24"/>
          <w:szCs w:val="24"/>
        </w:rPr>
        <w:t>ed desloratadin og loratadin viste, at der ikke</w:t>
      </w:r>
      <w:r w:rsidRPr="007C39C8">
        <w:rPr>
          <w:spacing w:val="-2"/>
          <w:sz w:val="24"/>
          <w:szCs w:val="24"/>
        </w:rPr>
        <w:t xml:space="preserve"> </w:t>
      </w:r>
      <w:r w:rsidRPr="007C39C8">
        <w:rPr>
          <w:sz w:val="24"/>
          <w:szCs w:val="24"/>
        </w:rPr>
        <w:t xml:space="preserve">var nogle kvalitative eller kvantitative forskelle i toksicitetsprofilen </w:t>
      </w:r>
      <w:r w:rsidRPr="007C39C8">
        <w:rPr>
          <w:spacing w:val="-1"/>
          <w:sz w:val="24"/>
          <w:szCs w:val="24"/>
        </w:rPr>
        <w:t>m</w:t>
      </w:r>
      <w:r w:rsidRPr="007C39C8">
        <w:rPr>
          <w:sz w:val="24"/>
          <w:szCs w:val="24"/>
        </w:rPr>
        <w:t>ellem</w:t>
      </w:r>
      <w:r w:rsidRPr="007C39C8">
        <w:rPr>
          <w:spacing w:val="-1"/>
          <w:sz w:val="24"/>
          <w:szCs w:val="24"/>
        </w:rPr>
        <w:t xml:space="preserve"> </w:t>
      </w:r>
      <w:r w:rsidRPr="007C39C8">
        <w:rPr>
          <w:sz w:val="24"/>
          <w:szCs w:val="24"/>
        </w:rPr>
        <w:t>desloratadin og lorat</w:t>
      </w:r>
      <w:r w:rsidRPr="007C39C8">
        <w:rPr>
          <w:spacing w:val="-2"/>
          <w:sz w:val="24"/>
          <w:szCs w:val="24"/>
        </w:rPr>
        <w:t>a</w:t>
      </w:r>
      <w:r w:rsidRPr="007C39C8">
        <w:rPr>
          <w:sz w:val="24"/>
          <w:szCs w:val="24"/>
        </w:rPr>
        <w:t>din ved sa</w:t>
      </w:r>
      <w:r w:rsidRPr="007C39C8">
        <w:rPr>
          <w:spacing w:val="-1"/>
          <w:sz w:val="24"/>
          <w:szCs w:val="24"/>
        </w:rPr>
        <w:t>mm</w:t>
      </w:r>
      <w:r w:rsidRPr="007C39C8">
        <w:rPr>
          <w:sz w:val="24"/>
          <w:szCs w:val="24"/>
        </w:rPr>
        <w:t>enlignelig eksponering i forhold til desloratadin.</w:t>
      </w:r>
    </w:p>
    <w:p w:rsidR="007F3FD3" w:rsidRPr="007C39C8" w:rsidRDefault="007F3FD3" w:rsidP="007F3FD3">
      <w:pPr>
        <w:rPr>
          <w:sz w:val="24"/>
          <w:szCs w:val="24"/>
        </w:rPr>
      </w:pPr>
    </w:p>
    <w:p w:rsidR="007F3FD3" w:rsidRPr="007C39C8" w:rsidRDefault="007F3FD3" w:rsidP="007F3FD3">
      <w:pPr>
        <w:ind w:left="851"/>
        <w:rPr>
          <w:sz w:val="24"/>
          <w:szCs w:val="24"/>
        </w:rPr>
      </w:pPr>
      <w:r w:rsidRPr="007C39C8">
        <w:rPr>
          <w:sz w:val="24"/>
          <w:szCs w:val="24"/>
        </w:rPr>
        <w:t>De prækliniske data for desloratadin viser ingen s</w:t>
      </w:r>
      <w:r w:rsidRPr="007C39C8">
        <w:rPr>
          <w:spacing w:val="-1"/>
          <w:sz w:val="24"/>
          <w:szCs w:val="24"/>
        </w:rPr>
        <w:t>æ</w:t>
      </w:r>
      <w:r w:rsidRPr="007C39C8">
        <w:rPr>
          <w:sz w:val="24"/>
          <w:szCs w:val="24"/>
        </w:rPr>
        <w:t xml:space="preserve">rlig risiko for </w:t>
      </w:r>
      <w:r w:rsidRPr="007C39C8">
        <w:rPr>
          <w:spacing w:val="-1"/>
          <w:sz w:val="24"/>
          <w:szCs w:val="24"/>
        </w:rPr>
        <w:t>m</w:t>
      </w:r>
      <w:r w:rsidRPr="007C39C8">
        <w:rPr>
          <w:sz w:val="24"/>
          <w:szCs w:val="24"/>
        </w:rPr>
        <w:t>ennesker på basis af traditionelle undersøgelser af sikkerhedsfar</w:t>
      </w:r>
      <w:r w:rsidRPr="007C39C8">
        <w:rPr>
          <w:spacing w:val="-1"/>
          <w:sz w:val="24"/>
          <w:szCs w:val="24"/>
        </w:rPr>
        <w:t>m</w:t>
      </w:r>
      <w:r w:rsidRPr="007C39C8">
        <w:rPr>
          <w:sz w:val="24"/>
          <w:szCs w:val="24"/>
        </w:rPr>
        <w:t>akologi, g</w:t>
      </w:r>
      <w:r w:rsidRPr="007C39C8">
        <w:rPr>
          <w:spacing w:val="-1"/>
          <w:sz w:val="24"/>
          <w:szCs w:val="24"/>
        </w:rPr>
        <w:t>e</w:t>
      </w:r>
      <w:r w:rsidRPr="007C39C8">
        <w:rPr>
          <w:sz w:val="24"/>
          <w:szCs w:val="24"/>
        </w:rPr>
        <w:t>ntagen dosistoksicitet, genotoksicitet</w:t>
      </w:r>
      <w:r>
        <w:rPr>
          <w:sz w:val="24"/>
          <w:szCs w:val="24"/>
        </w:rPr>
        <w:t xml:space="preserve">, </w:t>
      </w:r>
      <w:r>
        <w:rPr>
          <w:rFonts w:eastAsiaTheme="minorEastAsia"/>
          <w:sz w:val="24"/>
          <w:szCs w:val="24"/>
        </w:rPr>
        <w:t>karcinogenicitet</w:t>
      </w:r>
      <w:r w:rsidRPr="00CD29B1">
        <w:rPr>
          <w:rFonts w:eastAsiaTheme="minorEastAsia"/>
          <w:sz w:val="24"/>
          <w:szCs w:val="24"/>
        </w:rPr>
        <w:t xml:space="preserve"> </w:t>
      </w:r>
      <w:r>
        <w:rPr>
          <w:rFonts w:eastAsiaTheme="minorEastAsia"/>
          <w:sz w:val="24"/>
          <w:szCs w:val="24"/>
        </w:rPr>
        <w:t>samt</w:t>
      </w:r>
      <w:r w:rsidRPr="007C39C8">
        <w:rPr>
          <w:sz w:val="24"/>
          <w:szCs w:val="24"/>
        </w:rPr>
        <w:t xml:space="preserve"> reproduktions</w:t>
      </w:r>
      <w:r>
        <w:rPr>
          <w:sz w:val="24"/>
          <w:szCs w:val="24"/>
        </w:rPr>
        <w:t>- og udviklings</w:t>
      </w:r>
      <w:r w:rsidRPr="007C39C8">
        <w:rPr>
          <w:sz w:val="24"/>
          <w:szCs w:val="24"/>
        </w:rPr>
        <w:t>toksicitet. Manglende karcinogent potentiale blev v</w:t>
      </w:r>
      <w:r w:rsidRPr="007C39C8">
        <w:rPr>
          <w:spacing w:val="-1"/>
          <w:sz w:val="24"/>
          <w:szCs w:val="24"/>
        </w:rPr>
        <w:t>i</w:t>
      </w:r>
      <w:r w:rsidRPr="007C39C8">
        <w:rPr>
          <w:sz w:val="24"/>
          <w:szCs w:val="24"/>
        </w:rPr>
        <w:t xml:space="preserve">st i undersøgelser </w:t>
      </w:r>
      <w:r w:rsidRPr="007C39C8">
        <w:rPr>
          <w:spacing w:val="-1"/>
          <w:sz w:val="24"/>
          <w:szCs w:val="24"/>
        </w:rPr>
        <w:t>m</w:t>
      </w:r>
      <w:r w:rsidRPr="007C39C8">
        <w:rPr>
          <w:sz w:val="24"/>
          <w:szCs w:val="24"/>
        </w:rPr>
        <w:t>ed desloratadin og loratadin.</w:t>
      </w:r>
    </w:p>
    <w:p w:rsidR="007F3FD3" w:rsidRPr="007C39C8" w:rsidRDefault="007F3FD3" w:rsidP="007F3FD3">
      <w:pPr>
        <w:rPr>
          <w:sz w:val="24"/>
          <w:szCs w:val="24"/>
        </w:rPr>
      </w:pPr>
    </w:p>
    <w:p w:rsidR="00BF284A" w:rsidRDefault="00BF284A">
      <w:pPr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7F3FD3" w:rsidRPr="007C39C8" w:rsidRDefault="007F3FD3" w:rsidP="007F3FD3">
      <w:pPr>
        <w:rPr>
          <w:sz w:val="24"/>
          <w:szCs w:val="24"/>
        </w:rPr>
      </w:pPr>
    </w:p>
    <w:p w:rsidR="007F3FD3" w:rsidRPr="00A05BED" w:rsidRDefault="007F3FD3" w:rsidP="007F3FD3">
      <w:pPr>
        <w:numPr>
          <w:ilvl w:val="0"/>
          <w:numId w:val="3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FARMACEUTISKE OPLYSNINGER</w:t>
      </w:r>
    </w:p>
    <w:p w:rsidR="007F3FD3" w:rsidRPr="00A05BED" w:rsidRDefault="007F3FD3" w:rsidP="007F3FD3">
      <w:pPr>
        <w:ind w:left="851" w:hanging="851"/>
        <w:rPr>
          <w:b/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Hjælpestoffer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sz w:val="24"/>
          <w:szCs w:val="24"/>
        </w:rPr>
        <w:tab/>
      </w:r>
      <w:r w:rsidRPr="00A05BED">
        <w:rPr>
          <w:rFonts w:eastAsiaTheme="minorEastAsia"/>
          <w:sz w:val="24"/>
          <w:szCs w:val="24"/>
        </w:rPr>
        <w:t>Sorbitol, flydende, ikke-krystalliserende (E0420)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Prop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lengl</w:t>
      </w:r>
      <w:r w:rsidRPr="00A05BED">
        <w:rPr>
          <w:rFonts w:eastAsiaTheme="minorEastAsia"/>
          <w:spacing w:val="1"/>
          <w:sz w:val="24"/>
          <w:szCs w:val="24"/>
        </w:rPr>
        <w:t>y</w:t>
      </w:r>
      <w:r>
        <w:rPr>
          <w:rFonts w:eastAsiaTheme="minorEastAsia"/>
          <w:sz w:val="24"/>
          <w:szCs w:val="24"/>
        </w:rPr>
        <w:t>col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Natriumcitrat 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H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pro</w:t>
      </w:r>
      <w:r w:rsidRPr="00A05BED">
        <w:rPr>
          <w:rFonts w:eastAsiaTheme="minorEastAsia"/>
          <w:spacing w:val="-1"/>
          <w:sz w:val="24"/>
          <w:szCs w:val="24"/>
        </w:rPr>
        <w:t>m</w:t>
      </w:r>
      <w:r>
        <w:rPr>
          <w:rFonts w:eastAsiaTheme="minorEastAsia"/>
          <w:sz w:val="24"/>
          <w:szCs w:val="24"/>
        </w:rPr>
        <w:t>ellose 2910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Sucralose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Dinatriu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edetat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</w:r>
      <w:r>
        <w:rPr>
          <w:rFonts w:eastAsiaTheme="minorEastAsia"/>
          <w:sz w:val="24"/>
          <w:szCs w:val="24"/>
        </w:rPr>
        <w:t>N</w:t>
      </w:r>
      <w:r w:rsidRPr="00A05BED">
        <w:rPr>
          <w:rFonts w:eastAsiaTheme="minorEastAsia"/>
          <w:sz w:val="24"/>
          <w:szCs w:val="24"/>
        </w:rPr>
        <w:t>atriu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citratdih</w:t>
      </w:r>
      <w:r w:rsidRPr="00A05BED">
        <w:rPr>
          <w:rFonts w:eastAsiaTheme="minorEastAsia"/>
          <w:spacing w:val="1"/>
          <w:sz w:val="24"/>
          <w:szCs w:val="24"/>
        </w:rPr>
        <w:t>y</w:t>
      </w:r>
      <w:r w:rsidRPr="00A05BED">
        <w:rPr>
          <w:rFonts w:eastAsiaTheme="minorEastAsia"/>
          <w:sz w:val="24"/>
          <w:szCs w:val="24"/>
        </w:rPr>
        <w:t>drat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Tutti-frutti s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agsstof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Renset vand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Uforligeligheder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sz w:val="24"/>
          <w:szCs w:val="24"/>
        </w:rPr>
        <w:tab/>
      </w:r>
      <w:r w:rsidRPr="00A05BED">
        <w:rPr>
          <w:rFonts w:eastAsiaTheme="minorEastAsia"/>
          <w:sz w:val="24"/>
          <w:szCs w:val="24"/>
        </w:rPr>
        <w:t>Ikke relevant.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Opbevaringstid</w:t>
      </w:r>
    </w:p>
    <w:p w:rsidR="007F3FD3" w:rsidRDefault="007F3FD3" w:rsidP="00BF284A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3 år.</w:t>
      </w:r>
    </w:p>
    <w:p w:rsidR="00BF284A" w:rsidRDefault="00BF284A" w:rsidP="00BF284A">
      <w:pPr>
        <w:ind w:left="851"/>
        <w:rPr>
          <w:rFonts w:eastAsiaTheme="minorEastAsia"/>
          <w:sz w:val="24"/>
          <w:szCs w:val="24"/>
        </w:rPr>
      </w:pPr>
    </w:p>
    <w:p w:rsidR="00BF284A" w:rsidRPr="00BF284A" w:rsidRDefault="007F3FD3" w:rsidP="00BF284A">
      <w:pPr>
        <w:ind w:left="851"/>
        <w:rPr>
          <w:rFonts w:eastAsiaTheme="minorEastAsia"/>
          <w:sz w:val="24"/>
          <w:szCs w:val="24"/>
          <w:u w:val="single"/>
        </w:rPr>
      </w:pPr>
      <w:r w:rsidRPr="00BF284A">
        <w:rPr>
          <w:rFonts w:eastAsiaTheme="minorEastAsia"/>
          <w:sz w:val="24"/>
          <w:szCs w:val="24"/>
          <w:u w:val="single"/>
        </w:rPr>
        <w:t>Efter åbning</w:t>
      </w:r>
    </w:p>
    <w:p w:rsidR="007F3FD3" w:rsidRPr="00A05BED" w:rsidRDefault="007F3FD3" w:rsidP="00BF284A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2 måneder</w:t>
      </w:r>
      <w:r>
        <w:rPr>
          <w:rFonts w:eastAsiaTheme="minorEastAsia"/>
          <w:sz w:val="24"/>
          <w:szCs w:val="24"/>
        </w:rPr>
        <w:t>.</w:t>
      </w:r>
    </w:p>
    <w:p w:rsidR="007F3FD3" w:rsidRDefault="00105917" w:rsidP="00BF284A">
      <w:pPr>
        <w:ind w:left="851"/>
        <w:rPr>
          <w:rFonts w:eastAsiaTheme="minorEastAsia"/>
          <w:sz w:val="24"/>
          <w:szCs w:val="24"/>
        </w:rPr>
      </w:pPr>
      <w:r w:rsidRPr="00EB0525">
        <w:rPr>
          <w:rFonts w:eastAsiaTheme="minorEastAsia"/>
          <w:sz w:val="24"/>
          <w:szCs w:val="24"/>
        </w:rPr>
        <w:t>Dette lægemiddel kræver ingen særlige forholdsregler vedrørende opbevaringen</w:t>
      </w:r>
      <w:r>
        <w:rPr>
          <w:rFonts w:eastAsiaTheme="minorEastAsia"/>
          <w:sz w:val="24"/>
          <w:szCs w:val="24"/>
        </w:rPr>
        <w:t>.</w:t>
      </w:r>
    </w:p>
    <w:p w:rsidR="00105917" w:rsidRPr="00A05BED" w:rsidRDefault="00105917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Særlige opbevaringsforhold</w:t>
      </w:r>
    </w:p>
    <w:p w:rsidR="00105917" w:rsidRDefault="00105917" w:rsidP="00105917">
      <w:pPr>
        <w:ind w:firstLine="851"/>
        <w:rPr>
          <w:rFonts w:eastAsiaTheme="minorEastAsia"/>
          <w:sz w:val="24"/>
          <w:szCs w:val="24"/>
        </w:rPr>
      </w:pPr>
      <w:r w:rsidRPr="00EB0525">
        <w:rPr>
          <w:rFonts w:eastAsiaTheme="minorEastAsia"/>
          <w:sz w:val="24"/>
          <w:szCs w:val="24"/>
        </w:rPr>
        <w:t>Dette lægemiddel kræver ingen særlige forholdsregler vedrørende opbevaringen</w:t>
      </w:r>
      <w:r>
        <w:rPr>
          <w:rFonts w:eastAsiaTheme="minorEastAsia"/>
          <w:sz w:val="24"/>
          <w:szCs w:val="24"/>
        </w:rPr>
        <w:t>.</w:t>
      </w:r>
    </w:p>
    <w:p w:rsidR="00105917" w:rsidRDefault="00105917" w:rsidP="00105917">
      <w:pPr>
        <w:ind w:firstLine="851"/>
        <w:rPr>
          <w:rFonts w:eastAsiaTheme="minorEastAsia"/>
          <w:sz w:val="24"/>
          <w:szCs w:val="24"/>
        </w:rPr>
      </w:pPr>
    </w:p>
    <w:p w:rsidR="00105917" w:rsidRPr="007C39C8" w:rsidRDefault="00105917" w:rsidP="00105917">
      <w:pPr>
        <w:ind w:firstLine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F</w:t>
      </w:r>
      <w:r w:rsidRPr="002601C6">
        <w:rPr>
          <w:rFonts w:eastAsiaTheme="minorEastAsia"/>
          <w:sz w:val="24"/>
          <w:szCs w:val="24"/>
        </w:rPr>
        <w:t>orholdsregler vedrørende opbevaringen</w:t>
      </w:r>
      <w:r>
        <w:rPr>
          <w:rFonts w:eastAsiaTheme="minorEastAsia"/>
          <w:sz w:val="24"/>
          <w:szCs w:val="24"/>
        </w:rPr>
        <w:t xml:space="preserve"> efter åbning, se pkt. 6.3.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Emballagetyper og pakningsstørrelser</w:t>
      </w:r>
    </w:p>
    <w:p w:rsidR="005504C2" w:rsidRDefault="007F3FD3" w:rsidP="00105917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sz w:val="24"/>
          <w:szCs w:val="24"/>
        </w:rPr>
        <w:tab/>
      </w:r>
      <w:r w:rsidR="00105917">
        <w:rPr>
          <w:rFonts w:eastAsiaTheme="minorEastAsia"/>
          <w:sz w:val="24"/>
          <w:szCs w:val="24"/>
        </w:rPr>
        <w:t>T</w:t>
      </w:r>
      <w:r w:rsidR="00105917" w:rsidRPr="00A05BED">
        <w:rPr>
          <w:rFonts w:eastAsiaTheme="minorEastAsia"/>
          <w:spacing w:val="1"/>
          <w:sz w:val="24"/>
          <w:szCs w:val="24"/>
        </w:rPr>
        <w:t>y</w:t>
      </w:r>
      <w:r w:rsidR="00105917" w:rsidRPr="00A05BED">
        <w:rPr>
          <w:rFonts w:eastAsiaTheme="minorEastAsia"/>
          <w:sz w:val="24"/>
          <w:szCs w:val="24"/>
        </w:rPr>
        <w:t xml:space="preserve">pe III ravgul glasflaske lukket </w:t>
      </w:r>
      <w:r w:rsidR="00105917" w:rsidRPr="00A05BED">
        <w:rPr>
          <w:rFonts w:eastAsiaTheme="minorEastAsia"/>
          <w:spacing w:val="-1"/>
          <w:sz w:val="24"/>
          <w:szCs w:val="24"/>
        </w:rPr>
        <w:t>m</w:t>
      </w:r>
      <w:r w:rsidR="00105917" w:rsidRPr="00A05BED">
        <w:rPr>
          <w:rFonts w:eastAsiaTheme="minorEastAsia"/>
          <w:sz w:val="24"/>
          <w:szCs w:val="24"/>
        </w:rPr>
        <w:t>ed et børnesikkert pol</w:t>
      </w:r>
      <w:r w:rsidR="00105917" w:rsidRPr="00A05BED">
        <w:rPr>
          <w:rFonts w:eastAsiaTheme="minorEastAsia"/>
          <w:spacing w:val="1"/>
          <w:sz w:val="24"/>
          <w:szCs w:val="24"/>
        </w:rPr>
        <w:t>y</w:t>
      </w:r>
      <w:r w:rsidR="00105917" w:rsidRPr="00A05BED">
        <w:rPr>
          <w:rFonts w:eastAsiaTheme="minorEastAsia"/>
          <w:sz w:val="24"/>
          <w:szCs w:val="24"/>
        </w:rPr>
        <w:t>prop</w:t>
      </w:r>
      <w:r w:rsidR="00105917" w:rsidRPr="00A05BED">
        <w:rPr>
          <w:rFonts w:eastAsiaTheme="minorEastAsia"/>
          <w:spacing w:val="1"/>
          <w:sz w:val="24"/>
          <w:szCs w:val="24"/>
        </w:rPr>
        <w:t>y</w:t>
      </w:r>
      <w:r w:rsidR="00105917" w:rsidRPr="00A05BED">
        <w:rPr>
          <w:rFonts w:eastAsiaTheme="minorEastAsia"/>
          <w:sz w:val="24"/>
          <w:szCs w:val="24"/>
        </w:rPr>
        <w:t xml:space="preserve">lenskruelåg </w:t>
      </w:r>
      <w:r w:rsidR="00105917" w:rsidRPr="00A05BED">
        <w:rPr>
          <w:rFonts w:eastAsiaTheme="minorEastAsia"/>
          <w:spacing w:val="-1"/>
          <w:sz w:val="24"/>
          <w:szCs w:val="24"/>
        </w:rPr>
        <w:t>m</w:t>
      </w:r>
      <w:r w:rsidR="00105917" w:rsidRPr="00A05BED">
        <w:rPr>
          <w:rFonts w:eastAsiaTheme="minorEastAsia"/>
          <w:sz w:val="24"/>
          <w:szCs w:val="24"/>
        </w:rPr>
        <w:t xml:space="preserve">ed en indsats af </w:t>
      </w:r>
      <w:r w:rsidR="00105917" w:rsidRPr="00A05BED">
        <w:rPr>
          <w:rFonts w:eastAsiaTheme="minorEastAsia"/>
          <w:spacing w:val="-1"/>
          <w:sz w:val="24"/>
          <w:szCs w:val="24"/>
        </w:rPr>
        <w:t>m</w:t>
      </w:r>
      <w:r w:rsidR="00105917" w:rsidRPr="00A05BED">
        <w:rPr>
          <w:rFonts w:eastAsiaTheme="minorEastAsia"/>
          <w:sz w:val="24"/>
          <w:szCs w:val="24"/>
        </w:rPr>
        <w:t>ulti-ply</w:t>
      </w:r>
      <w:r w:rsidR="00105917" w:rsidRPr="00A05BED">
        <w:rPr>
          <w:rFonts w:eastAsiaTheme="minorEastAsia"/>
          <w:spacing w:val="1"/>
          <w:sz w:val="24"/>
          <w:szCs w:val="24"/>
        </w:rPr>
        <w:t xml:space="preserve"> </w:t>
      </w:r>
      <w:r w:rsidR="00105917" w:rsidRPr="00A05BED">
        <w:rPr>
          <w:rFonts w:eastAsiaTheme="minorEastAsia"/>
          <w:sz w:val="24"/>
          <w:szCs w:val="24"/>
        </w:rPr>
        <w:t>pol</w:t>
      </w:r>
      <w:r w:rsidR="00105917" w:rsidRPr="00A05BED">
        <w:rPr>
          <w:rFonts w:eastAsiaTheme="minorEastAsia"/>
          <w:spacing w:val="1"/>
          <w:sz w:val="24"/>
          <w:szCs w:val="24"/>
        </w:rPr>
        <w:t>y</w:t>
      </w:r>
      <w:r w:rsidR="00105917" w:rsidRPr="00A05BED">
        <w:rPr>
          <w:rFonts w:eastAsiaTheme="minorEastAsia"/>
          <w:sz w:val="24"/>
          <w:szCs w:val="24"/>
        </w:rPr>
        <w:t>eth</w:t>
      </w:r>
      <w:r w:rsidR="00105917" w:rsidRPr="00A05BED">
        <w:rPr>
          <w:rFonts w:eastAsiaTheme="minorEastAsia"/>
          <w:spacing w:val="1"/>
          <w:sz w:val="24"/>
          <w:szCs w:val="24"/>
        </w:rPr>
        <w:t>y</w:t>
      </w:r>
      <w:r w:rsidR="00105917" w:rsidRPr="00A05BED">
        <w:rPr>
          <w:rFonts w:eastAsiaTheme="minorEastAsia"/>
          <w:sz w:val="24"/>
          <w:szCs w:val="24"/>
        </w:rPr>
        <w:t>len</w:t>
      </w:r>
      <w:r w:rsidR="005504C2">
        <w:rPr>
          <w:rFonts w:eastAsiaTheme="minorEastAsia"/>
          <w:sz w:val="24"/>
          <w:szCs w:val="24"/>
        </w:rPr>
        <w:t>, i</w:t>
      </w:r>
      <w:r w:rsidR="00105917" w:rsidRPr="00A05BED">
        <w:rPr>
          <w:rFonts w:eastAsiaTheme="minorEastAsia"/>
          <w:sz w:val="24"/>
          <w:szCs w:val="24"/>
        </w:rPr>
        <w:t xml:space="preserve"> æske</w:t>
      </w:r>
      <w:r w:rsidR="00105917">
        <w:rPr>
          <w:rFonts w:eastAsiaTheme="minorEastAsia"/>
          <w:sz w:val="24"/>
          <w:szCs w:val="24"/>
        </w:rPr>
        <w:t>.</w:t>
      </w:r>
    </w:p>
    <w:p w:rsidR="00105917" w:rsidRDefault="00105917" w:rsidP="005504C2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Alle pakninger </w:t>
      </w:r>
      <w:r w:rsidRPr="00A05BED">
        <w:rPr>
          <w:rFonts w:eastAsiaTheme="minorEastAsia"/>
          <w:sz w:val="24"/>
          <w:szCs w:val="24"/>
        </w:rPr>
        <w:t xml:space="preserve">leveres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ed en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åleske (CE 0373)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dosisin</w:t>
      </w:r>
      <w:r>
        <w:rPr>
          <w:rFonts w:eastAsiaTheme="minorEastAsia"/>
          <w:sz w:val="24"/>
          <w:szCs w:val="24"/>
        </w:rPr>
        <w:t>d</w:t>
      </w:r>
      <w:r w:rsidRPr="00A05BED">
        <w:rPr>
          <w:rFonts w:eastAsiaTheme="minorEastAsia"/>
          <w:sz w:val="24"/>
          <w:szCs w:val="24"/>
        </w:rPr>
        <w:t xml:space="preserve">delinger på 2,5 </w:t>
      </w:r>
      <w:r w:rsidRPr="00A05BED">
        <w:rPr>
          <w:rFonts w:eastAsiaTheme="minorEastAsia"/>
          <w:spacing w:val="-1"/>
          <w:sz w:val="24"/>
          <w:szCs w:val="24"/>
        </w:rPr>
        <w:t>ml</w:t>
      </w:r>
      <w:r w:rsidRPr="00A05BED">
        <w:rPr>
          <w:rFonts w:eastAsiaTheme="minorEastAsia"/>
          <w:spacing w:val="2"/>
          <w:sz w:val="24"/>
          <w:szCs w:val="24"/>
        </w:rPr>
        <w:t xml:space="preserve"> </w:t>
      </w:r>
      <w:r w:rsidRPr="00A05BED">
        <w:rPr>
          <w:rFonts w:eastAsiaTheme="minorEastAsia"/>
          <w:sz w:val="24"/>
          <w:szCs w:val="24"/>
        </w:rPr>
        <w:t xml:space="preserve">og 5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l eller en oral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 xml:space="preserve">ålesprøjte (CE 0373)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ed et volumen på 5 ml og inddelinger for hver 0,5 ml.</w:t>
      </w:r>
    </w:p>
    <w:p w:rsidR="00105917" w:rsidRDefault="00105917" w:rsidP="00105917">
      <w:pPr>
        <w:ind w:left="851"/>
        <w:rPr>
          <w:rFonts w:eastAsiaTheme="minorEastAsia"/>
          <w:sz w:val="24"/>
          <w:szCs w:val="24"/>
        </w:rPr>
      </w:pPr>
    </w:p>
    <w:p w:rsidR="00105917" w:rsidRPr="005504C2" w:rsidRDefault="00105917" w:rsidP="00105917">
      <w:pPr>
        <w:ind w:left="851"/>
        <w:rPr>
          <w:rFonts w:eastAsiaTheme="minorEastAsia"/>
          <w:sz w:val="24"/>
          <w:szCs w:val="24"/>
          <w:u w:val="single"/>
        </w:rPr>
      </w:pPr>
      <w:r w:rsidRPr="005504C2">
        <w:rPr>
          <w:rFonts w:eastAsiaTheme="minorEastAsia"/>
          <w:sz w:val="24"/>
          <w:szCs w:val="24"/>
          <w:u w:val="single"/>
        </w:rPr>
        <w:t>Pakningsstørrelser</w:t>
      </w:r>
    </w:p>
    <w:p w:rsidR="00105917" w:rsidRDefault="00105917" w:rsidP="00105917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 xml:space="preserve">50 ml, 60 ml, 100 ml, 120 ml og 150 ml. </w:t>
      </w:r>
    </w:p>
    <w:p w:rsidR="007F3FD3" w:rsidRPr="00A05BED" w:rsidRDefault="007F3FD3" w:rsidP="00105917">
      <w:pPr>
        <w:ind w:left="851" w:hanging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 xml:space="preserve">Ikke alle pakningsstørrelser er nødvendigvis </w:t>
      </w:r>
      <w:r w:rsidRPr="00A05BED">
        <w:rPr>
          <w:rFonts w:eastAsiaTheme="minorEastAsia"/>
          <w:spacing w:val="-1"/>
          <w:sz w:val="24"/>
          <w:szCs w:val="24"/>
        </w:rPr>
        <w:t>m</w:t>
      </w:r>
      <w:r w:rsidRPr="00A05BED">
        <w:rPr>
          <w:rFonts w:eastAsiaTheme="minorEastAsia"/>
          <w:sz w:val="24"/>
          <w:szCs w:val="24"/>
        </w:rPr>
        <w:t>arkedsført.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numPr>
          <w:ilvl w:val="1"/>
          <w:numId w:val="5"/>
        </w:numPr>
        <w:tabs>
          <w:tab w:val="clear" w:pos="855"/>
        </w:tabs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Regler for destruktion og anden håndtering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  <w:r>
        <w:rPr>
          <w:rFonts w:eastAsiaTheme="minorEastAsia"/>
          <w:sz w:val="24"/>
          <w:szCs w:val="24"/>
        </w:rPr>
        <w:t>Ikke anvendt lægemiddel samt affald heraf skal bortskaffes i henhold til lokale retningslinjer.</w:t>
      </w:r>
    </w:p>
    <w:p w:rsidR="007F3FD3" w:rsidRDefault="007F3FD3" w:rsidP="007F3FD3">
      <w:pPr>
        <w:ind w:left="851"/>
        <w:rPr>
          <w:rFonts w:eastAsiaTheme="minorEastAsia"/>
          <w:sz w:val="24"/>
          <w:szCs w:val="24"/>
        </w:rPr>
      </w:pP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>For at afmåle dosis skal den medfølgende ske eller orale sprøjt</w:t>
      </w:r>
      <w:r>
        <w:rPr>
          <w:rFonts w:eastAsiaTheme="minorEastAsia"/>
          <w:sz w:val="24"/>
          <w:szCs w:val="24"/>
        </w:rPr>
        <w:t>e</w:t>
      </w:r>
      <w:r w:rsidRPr="00A05BED">
        <w:rPr>
          <w:rFonts w:eastAsiaTheme="minorEastAsia"/>
          <w:sz w:val="24"/>
          <w:szCs w:val="24"/>
        </w:rPr>
        <w:t xml:space="preserve"> anvendes (se </w:t>
      </w:r>
      <w:r>
        <w:rPr>
          <w:rFonts w:eastAsiaTheme="minorEastAsia"/>
          <w:sz w:val="24"/>
          <w:szCs w:val="24"/>
        </w:rPr>
        <w:t>pkt.</w:t>
      </w:r>
      <w:r w:rsidRPr="00A05BED">
        <w:rPr>
          <w:rFonts w:eastAsiaTheme="minorEastAsia"/>
          <w:sz w:val="24"/>
          <w:szCs w:val="24"/>
        </w:rPr>
        <w:t xml:space="preserve"> 6.5)</w:t>
      </w:r>
      <w:r w:rsidR="00281DA2">
        <w:rPr>
          <w:rFonts w:eastAsiaTheme="minorEastAsia"/>
          <w:sz w:val="24"/>
          <w:szCs w:val="24"/>
        </w:rPr>
        <w:t>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</w:p>
    <w:p w:rsidR="007F3FD3" w:rsidRPr="00A9491C" w:rsidRDefault="007F3FD3" w:rsidP="007F3FD3">
      <w:pPr>
        <w:ind w:left="851" w:hanging="851"/>
        <w:rPr>
          <w:rFonts w:eastAsiaTheme="minorEastAsia"/>
          <w:sz w:val="24"/>
          <w:szCs w:val="24"/>
          <w:u w:val="single"/>
        </w:rPr>
      </w:pPr>
      <w:r>
        <w:rPr>
          <w:rFonts w:eastAsiaTheme="minorEastAsia"/>
          <w:sz w:val="24"/>
          <w:szCs w:val="24"/>
        </w:rPr>
        <w:tab/>
      </w:r>
      <w:r w:rsidRPr="00A9491C">
        <w:rPr>
          <w:rFonts w:eastAsiaTheme="minorEastAsia"/>
          <w:sz w:val="24"/>
          <w:szCs w:val="24"/>
          <w:u w:val="single"/>
        </w:rPr>
        <w:t>Håndtering af sprøjten</w:t>
      </w:r>
    </w:p>
    <w:p w:rsidR="007F3FD3" w:rsidRPr="00A05BED" w:rsidRDefault="007F3FD3" w:rsidP="007F3FD3">
      <w:pPr>
        <w:ind w:left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 xml:space="preserve">Efter åbning af flasken skal spidsen af den orale sprøjte puttes helt ned i opløsningen. Træk derefter stemplet op imod dig selv, indtil den ordinerede dosis er afpasset. Hvis der er luftbobler i sprøjten, efter at opløsningen er trukket op, skal sprøjten vendes, så spidsen er </w:t>
      </w:r>
      <w:r w:rsidRPr="00A05BED">
        <w:rPr>
          <w:rFonts w:eastAsiaTheme="minorEastAsia"/>
          <w:sz w:val="24"/>
          <w:szCs w:val="24"/>
        </w:rPr>
        <w:lastRenderedPageBreak/>
        <w:t>opad. Luften vil så bevæge sig op i toppen af sprøjten. Træk stemplet tilbage og skub det derefter forsigtigt tilbage for at slippe af med boblerne. Vær ikke bekymret for nogle få små bobler.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Opløsningen, der nu er i sprøjten, skal synkes direkte fra sprøjten.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  <w:t>Efter brug lukkes flasken og den tomme sprøjte renses med vand og kan derefter lufttørre.</w:t>
      </w:r>
    </w:p>
    <w:p w:rsidR="007F3FD3" w:rsidRPr="00A05BED" w:rsidRDefault="007F3FD3" w:rsidP="007F3FD3">
      <w:pPr>
        <w:ind w:left="851" w:hanging="851"/>
        <w:jc w:val="both"/>
        <w:rPr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7.</w:t>
      </w:r>
      <w:r w:rsidRPr="00A05BED">
        <w:rPr>
          <w:b/>
          <w:sz w:val="24"/>
          <w:szCs w:val="24"/>
        </w:rPr>
        <w:tab/>
        <w:t>INDEHAVER AF MARKEDSFØRINGSTILLADELSEN</w:t>
      </w:r>
    </w:p>
    <w:p w:rsidR="007F3FD3" w:rsidRPr="00EB603E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A05BED">
        <w:rPr>
          <w:rFonts w:eastAsiaTheme="minorEastAsia"/>
          <w:sz w:val="24"/>
          <w:szCs w:val="24"/>
        </w:rPr>
        <w:tab/>
      </w:r>
      <w:r w:rsidRPr="00EB603E">
        <w:rPr>
          <w:rFonts w:eastAsiaTheme="minorEastAsia"/>
          <w:sz w:val="24"/>
          <w:szCs w:val="24"/>
        </w:rPr>
        <w:t>Sandoz A/S</w:t>
      </w:r>
    </w:p>
    <w:p w:rsidR="007F3FD3" w:rsidRPr="00EB603E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EB603E">
        <w:rPr>
          <w:rFonts w:eastAsiaTheme="minorEastAsia"/>
          <w:sz w:val="24"/>
          <w:szCs w:val="24"/>
        </w:rPr>
        <w:tab/>
        <w:t>Edvard Thomsens Vej 14</w:t>
      </w:r>
    </w:p>
    <w:p w:rsidR="007F3FD3" w:rsidRPr="00A05BED" w:rsidRDefault="007F3FD3" w:rsidP="007F3FD3">
      <w:pPr>
        <w:ind w:left="851" w:hanging="851"/>
        <w:rPr>
          <w:rFonts w:eastAsiaTheme="minorEastAsia"/>
          <w:sz w:val="24"/>
          <w:szCs w:val="24"/>
        </w:rPr>
      </w:pPr>
      <w:r w:rsidRPr="00EB603E">
        <w:rPr>
          <w:rFonts w:eastAsiaTheme="minorEastAsia"/>
          <w:sz w:val="24"/>
          <w:szCs w:val="24"/>
        </w:rPr>
        <w:tab/>
      </w:r>
      <w:r w:rsidRPr="00A05BED">
        <w:rPr>
          <w:rFonts w:eastAsiaTheme="minorEastAsia"/>
          <w:sz w:val="24"/>
          <w:szCs w:val="24"/>
        </w:rPr>
        <w:t>2300 København S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8.</w:t>
      </w:r>
      <w:r w:rsidRPr="00A05BED">
        <w:rPr>
          <w:b/>
          <w:sz w:val="24"/>
          <w:szCs w:val="24"/>
        </w:rPr>
        <w:tab/>
        <w:t>MARKEDSFØRINGSTILLADELSESNUMMER (NUMRE)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  <w:r w:rsidRPr="00A05BED">
        <w:rPr>
          <w:sz w:val="24"/>
          <w:szCs w:val="24"/>
        </w:rPr>
        <w:tab/>
        <w:t>48330</w:t>
      </w:r>
    </w:p>
    <w:p w:rsidR="007F3FD3" w:rsidRPr="00A05BED" w:rsidRDefault="007F3FD3" w:rsidP="007F3FD3">
      <w:pPr>
        <w:ind w:left="851" w:hanging="851"/>
        <w:jc w:val="both"/>
        <w:rPr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9.</w:t>
      </w:r>
      <w:r w:rsidRPr="00A05BED">
        <w:rPr>
          <w:b/>
          <w:sz w:val="24"/>
          <w:szCs w:val="24"/>
        </w:rPr>
        <w:tab/>
        <w:t>DATO FOR FØRSTE MARKEDSFØRINGSTILLADELSE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  <w:r w:rsidRPr="00A05BED">
        <w:rPr>
          <w:sz w:val="24"/>
          <w:szCs w:val="24"/>
        </w:rPr>
        <w:tab/>
        <w:t>2. maj 2012</w:t>
      </w:r>
    </w:p>
    <w:p w:rsidR="007F3FD3" w:rsidRPr="00A05BED" w:rsidRDefault="007F3FD3" w:rsidP="007F3FD3">
      <w:pPr>
        <w:ind w:left="851" w:hanging="851"/>
        <w:rPr>
          <w:sz w:val="24"/>
          <w:szCs w:val="24"/>
        </w:rPr>
      </w:pPr>
    </w:p>
    <w:p w:rsidR="007F3FD3" w:rsidRPr="00A05BED" w:rsidRDefault="007F3FD3" w:rsidP="007F3FD3">
      <w:pPr>
        <w:ind w:left="851" w:hanging="851"/>
        <w:rPr>
          <w:b/>
          <w:sz w:val="24"/>
          <w:szCs w:val="24"/>
        </w:rPr>
      </w:pPr>
      <w:r w:rsidRPr="00A05BED">
        <w:rPr>
          <w:b/>
          <w:sz w:val="24"/>
          <w:szCs w:val="24"/>
        </w:rPr>
        <w:t>10.</w:t>
      </w:r>
      <w:r w:rsidRPr="00A05BED">
        <w:rPr>
          <w:b/>
          <w:sz w:val="24"/>
          <w:szCs w:val="24"/>
        </w:rPr>
        <w:tab/>
        <w:t>DATO FOR ÆNDRING AF TEKSTEN</w:t>
      </w:r>
    </w:p>
    <w:p w:rsidR="009260DE" w:rsidRPr="00D40804" w:rsidRDefault="007F3FD3" w:rsidP="00D40804">
      <w:pPr>
        <w:ind w:left="851" w:hanging="851"/>
        <w:rPr>
          <w:sz w:val="24"/>
          <w:szCs w:val="24"/>
        </w:rPr>
      </w:pPr>
      <w:r w:rsidRPr="00A05BED">
        <w:rPr>
          <w:sz w:val="24"/>
          <w:szCs w:val="24"/>
        </w:rPr>
        <w:tab/>
      </w:r>
      <w:r w:rsidR="003D3454">
        <w:rPr>
          <w:sz w:val="24"/>
          <w:szCs w:val="24"/>
        </w:rPr>
        <w:t>24. oktober 2022</w:t>
      </w:r>
      <w:bookmarkStart w:id="2" w:name="_GoBack"/>
      <w:bookmarkEnd w:id="2"/>
    </w:p>
    <w:sectPr w:rsidR="009260DE" w:rsidRPr="00D40804" w:rsidSect="000259B9">
      <w:footerReference w:type="default" r:id="rId8"/>
      <w:pgSz w:w="11906" w:h="16838" w:code="9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F3FD3" w:rsidRDefault="007F3FD3">
      <w:r>
        <w:separator/>
      </w:r>
    </w:p>
  </w:endnote>
  <w:endnote w:type="continuationSeparator" w:id="0">
    <w:p w:rsidR="007F3FD3" w:rsidRDefault="007F3F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00"/>
    <w:family w:val="roman"/>
    <w:notTrueType/>
    <w:pitch w:val="default"/>
    <w:sig w:usb0="00000083" w:usb1="08070000" w:usb2="00000010" w:usb3="00000000" w:csb0="0002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259B9" w:rsidRDefault="000259B9">
    <w:pPr>
      <w:pStyle w:val="Sidefod"/>
      <w:pBdr>
        <w:bottom w:val="single" w:sz="6" w:space="1" w:color="auto"/>
      </w:pBdr>
    </w:pPr>
  </w:p>
  <w:p w:rsidR="000259B9" w:rsidRDefault="000259B9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</w:p>
  <w:p w:rsidR="000259B9" w:rsidRPr="00B373D7" w:rsidRDefault="00782AF4" w:rsidP="00C42586">
    <w:pPr>
      <w:pStyle w:val="Sidefod"/>
      <w:tabs>
        <w:tab w:val="clear" w:pos="4819"/>
        <w:tab w:val="left" w:pos="8505"/>
      </w:tabs>
      <w:rPr>
        <w:i/>
        <w:sz w:val="18"/>
        <w:szCs w:val="18"/>
      </w:rPr>
    </w:pPr>
    <w:r w:rsidRPr="00B373D7">
      <w:rPr>
        <w:i/>
        <w:sz w:val="18"/>
        <w:szCs w:val="18"/>
      </w:rPr>
      <w:fldChar w:fldCharType="begin"/>
    </w:r>
    <w:r w:rsidR="000259B9" w:rsidRPr="00B373D7">
      <w:rPr>
        <w:i/>
        <w:sz w:val="18"/>
        <w:szCs w:val="18"/>
      </w:rPr>
      <w:instrText xml:space="preserve"> FILENAME </w:instrText>
    </w:r>
    <w:r w:rsidRPr="00B373D7">
      <w:rPr>
        <w:i/>
        <w:sz w:val="18"/>
        <w:szCs w:val="18"/>
      </w:rPr>
      <w:fldChar w:fldCharType="separate"/>
    </w:r>
    <w:r w:rsidR="000434EB">
      <w:rPr>
        <w:i/>
        <w:noProof/>
        <w:sz w:val="18"/>
        <w:szCs w:val="18"/>
      </w:rPr>
      <w:t>Desloratadine Sandoz, oral opløsning 0,5 mg-ml</w:t>
    </w:r>
    <w:r w:rsidRPr="00B373D7">
      <w:rPr>
        <w:i/>
        <w:sz w:val="18"/>
        <w:szCs w:val="18"/>
      </w:rPr>
      <w:fldChar w:fldCharType="end"/>
    </w:r>
    <w:r w:rsidR="000259B9" w:rsidRPr="00B373D7">
      <w:rPr>
        <w:i/>
        <w:sz w:val="18"/>
        <w:szCs w:val="18"/>
      </w:rPr>
      <w:tab/>
      <w:t xml:space="preserve">Side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PAGE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  <w:r w:rsidR="000259B9" w:rsidRPr="00B373D7">
      <w:rPr>
        <w:rStyle w:val="Sidetal"/>
        <w:i/>
        <w:sz w:val="18"/>
        <w:szCs w:val="18"/>
      </w:rPr>
      <w:t xml:space="preserve"> af </w:t>
    </w:r>
    <w:r w:rsidRPr="00B373D7">
      <w:rPr>
        <w:rStyle w:val="Sidetal"/>
        <w:i/>
        <w:sz w:val="18"/>
        <w:szCs w:val="18"/>
      </w:rPr>
      <w:fldChar w:fldCharType="begin"/>
    </w:r>
    <w:r w:rsidR="000259B9" w:rsidRPr="00B373D7">
      <w:rPr>
        <w:rStyle w:val="Sidetal"/>
        <w:i/>
        <w:sz w:val="18"/>
        <w:szCs w:val="18"/>
      </w:rPr>
      <w:instrText xml:space="preserve"> NUMPAGES </w:instrText>
    </w:r>
    <w:r w:rsidRPr="00B373D7">
      <w:rPr>
        <w:rStyle w:val="Sidetal"/>
        <w:i/>
        <w:sz w:val="18"/>
        <w:szCs w:val="18"/>
      </w:rPr>
      <w:fldChar w:fldCharType="separate"/>
    </w:r>
    <w:r w:rsidR="00C60CCD">
      <w:rPr>
        <w:rStyle w:val="Sidetal"/>
        <w:i/>
        <w:noProof/>
        <w:sz w:val="18"/>
        <w:szCs w:val="18"/>
      </w:rPr>
      <w:t>3</w:t>
    </w:r>
    <w:r w:rsidRPr="00B373D7">
      <w:rPr>
        <w:rStyle w:val="Sidetal"/>
        <w:i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F3FD3" w:rsidRDefault="007F3FD3">
      <w:r>
        <w:separator/>
      </w:r>
    </w:p>
  </w:footnote>
  <w:footnote w:type="continuationSeparator" w:id="0">
    <w:p w:rsidR="007F3FD3" w:rsidRDefault="007F3F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13F82"/>
    <w:multiLevelType w:val="hybridMultilevel"/>
    <w:tmpl w:val="5ACCCDA6"/>
    <w:lvl w:ilvl="0" w:tplc="9E129AE8">
      <w:numFmt w:val="bullet"/>
      <w:lvlText w:val="-"/>
      <w:lvlJc w:val="left"/>
      <w:pPr>
        <w:ind w:left="2603" w:hanging="1332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35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7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9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51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23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95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7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91" w:hanging="360"/>
      </w:pPr>
      <w:rPr>
        <w:rFonts w:ascii="Wingdings" w:hAnsi="Wingdings" w:hint="default"/>
      </w:rPr>
    </w:lvl>
  </w:abstractNum>
  <w:abstractNum w:abstractNumId="1" w15:restartNumberingAfterBreak="0">
    <w:nsid w:val="14C1732C"/>
    <w:multiLevelType w:val="multilevel"/>
    <w:tmpl w:val="7BE2F61C"/>
    <w:lvl w:ilvl="0">
      <w:start w:val="6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2" w15:restartNumberingAfterBreak="0">
    <w:nsid w:val="3397578A"/>
    <w:multiLevelType w:val="multilevel"/>
    <w:tmpl w:val="392232EE"/>
    <w:lvl w:ilvl="0">
      <w:start w:val="5"/>
      <w:numFmt w:val="decimal"/>
      <w:lvlText w:val="%1"/>
      <w:lvlJc w:val="left"/>
      <w:pPr>
        <w:tabs>
          <w:tab w:val="num" w:pos="855"/>
        </w:tabs>
        <w:ind w:left="855" w:hanging="855"/>
      </w:pPr>
    </w:lvl>
    <w:lvl w:ilvl="1">
      <w:start w:val="3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3" w15:restartNumberingAfterBreak="0">
    <w:nsid w:val="364660C3"/>
    <w:multiLevelType w:val="multilevel"/>
    <w:tmpl w:val="DAF0ED20"/>
    <w:lvl w:ilvl="0">
      <w:start w:val="5"/>
      <w:numFmt w:val="decimal"/>
      <w:lvlText w:val="%1.0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lvlText w:val="%1.%2"/>
      <w:lvlJc w:val="left"/>
      <w:pPr>
        <w:tabs>
          <w:tab w:val="num" w:pos="2159"/>
        </w:tabs>
        <w:ind w:left="2159" w:hanging="855"/>
      </w:pPr>
    </w:lvl>
    <w:lvl w:ilvl="2">
      <w:start w:val="1"/>
      <w:numFmt w:val="decimal"/>
      <w:lvlText w:val="%1.%2.%3"/>
      <w:lvlJc w:val="left"/>
      <w:pPr>
        <w:tabs>
          <w:tab w:val="num" w:pos="3463"/>
        </w:tabs>
        <w:ind w:left="3463" w:hanging="855"/>
      </w:pPr>
    </w:lvl>
    <w:lvl w:ilvl="3">
      <w:start w:val="1"/>
      <w:numFmt w:val="decimal"/>
      <w:lvlText w:val="%1.%2.%3.%4"/>
      <w:lvlJc w:val="left"/>
      <w:pPr>
        <w:tabs>
          <w:tab w:val="num" w:pos="4767"/>
        </w:tabs>
        <w:ind w:left="4767" w:hanging="855"/>
      </w:pPr>
    </w:lvl>
    <w:lvl w:ilvl="4">
      <w:start w:val="1"/>
      <w:numFmt w:val="decimal"/>
      <w:lvlText w:val="%1.%2.%3.%4.%5"/>
      <w:lvlJc w:val="left"/>
      <w:pPr>
        <w:tabs>
          <w:tab w:val="num" w:pos="6296"/>
        </w:tabs>
        <w:ind w:left="6296" w:hanging="1080"/>
      </w:pPr>
    </w:lvl>
    <w:lvl w:ilvl="5">
      <w:start w:val="1"/>
      <w:numFmt w:val="decimal"/>
      <w:lvlText w:val="%1.%2.%3.%4.%5.%6"/>
      <w:lvlJc w:val="left"/>
      <w:pPr>
        <w:tabs>
          <w:tab w:val="num" w:pos="7600"/>
        </w:tabs>
        <w:ind w:left="7600" w:hanging="1080"/>
      </w:pPr>
    </w:lvl>
    <w:lvl w:ilvl="6">
      <w:start w:val="1"/>
      <w:numFmt w:val="decimal"/>
      <w:lvlText w:val="%1.%2.%3.%4.%5.%6.%7"/>
      <w:lvlJc w:val="left"/>
      <w:pPr>
        <w:tabs>
          <w:tab w:val="num" w:pos="9264"/>
        </w:tabs>
        <w:ind w:left="9264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0568"/>
        </w:tabs>
        <w:ind w:left="10568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2232"/>
        </w:tabs>
        <w:ind w:left="12232" w:hanging="1800"/>
      </w:pPr>
    </w:lvl>
  </w:abstractNum>
  <w:abstractNum w:abstractNumId="4" w15:restartNumberingAfterBreak="0">
    <w:nsid w:val="405C5D3C"/>
    <w:multiLevelType w:val="multilevel"/>
    <w:tmpl w:val="9CBC71D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strike w:val="0"/>
        <w:dstrike w:val="0"/>
        <w:u w:val="none"/>
        <w:effect w:val="none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strike w:val="0"/>
        <w:dstrike w:val="0"/>
        <w:u w:val="none"/>
        <w:effect w:val="none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strike w:val="0"/>
        <w:dstrike w:val="0"/>
        <w:u w:val="none"/>
        <w:effect w:val="none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strike w:val="0"/>
        <w:dstrike w:val="0"/>
        <w:u w:val="none"/>
        <w:effect w:val="none"/>
      </w:rPr>
    </w:lvl>
  </w:abstractNum>
  <w:abstractNum w:abstractNumId="5" w15:restartNumberingAfterBreak="0">
    <w:nsid w:val="42E75ADD"/>
    <w:multiLevelType w:val="multilevel"/>
    <w:tmpl w:val="0F1048C4"/>
    <w:lvl w:ilvl="0">
      <w:start w:val="4"/>
      <w:numFmt w:val="decimal"/>
      <w:lvlText w:val="%1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50383D24"/>
    <w:multiLevelType w:val="hybridMultilevel"/>
    <w:tmpl w:val="ACBAF70C"/>
    <w:lvl w:ilvl="0" w:tplc="9E129AE8">
      <w:numFmt w:val="bullet"/>
      <w:lvlText w:val="-"/>
      <w:lvlJc w:val="left"/>
      <w:pPr>
        <w:ind w:left="1571" w:hanging="360"/>
      </w:pPr>
      <w:rPr>
        <w:rFonts w:ascii="Times New Roman" w:eastAsiaTheme="minorEastAsia" w:hAnsi="Times New Roman" w:cs="Times New Roman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7" w15:restartNumberingAfterBreak="0">
    <w:nsid w:val="507C7BE3"/>
    <w:multiLevelType w:val="multilevel"/>
    <w:tmpl w:val="2ABA71D4"/>
    <w:lvl w:ilvl="0">
      <w:start w:val="8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55542CAA"/>
    <w:multiLevelType w:val="multilevel"/>
    <w:tmpl w:val="6E481CAC"/>
    <w:lvl w:ilvl="0">
      <w:start w:val="5"/>
      <w:numFmt w:val="decimal"/>
      <w:lvlText w:val="%1."/>
      <w:lvlJc w:val="left"/>
      <w:pPr>
        <w:tabs>
          <w:tab w:val="num" w:pos="855"/>
        </w:tabs>
        <w:ind w:left="855" w:hanging="855"/>
      </w:pPr>
    </w:lvl>
    <w:lvl w:ilvl="1">
      <w:start w:val="2"/>
      <w:numFmt w:val="decimal"/>
      <w:lvlText w:val="%1.%2"/>
      <w:lvlJc w:val="left"/>
      <w:pPr>
        <w:tabs>
          <w:tab w:val="num" w:pos="855"/>
        </w:tabs>
        <w:ind w:left="855" w:hanging="855"/>
      </w:pPr>
    </w:lvl>
    <w:lvl w:ilvl="2">
      <w:start w:val="1"/>
      <w:numFmt w:val="decimal"/>
      <w:lvlText w:val="%1.%2.%3."/>
      <w:lvlJc w:val="left"/>
      <w:pPr>
        <w:tabs>
          <w:tab w:val="num" w:pos="855"/>
        </w:tabs>
        <w:ind w:left="855" w:hanging="855"/>
      </w:pPr>
    </w:lvl>
    <w:lvl w:ilvl="3">
      <w:start w:val="1"/>
      <w:numFmt w:val="decimal"/>
      <w:lvlText w:val="%1.%2.%3.%4."/>
      <w:lvlJc w:val="left"/>
      <w:pPr>
        <w:tabs>
          <w:tab w:val="num" w:pos="855"/>
        </w:tabs>
        <w:ind w:left="855" w:hanging="855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9" w15:restartNumberingAfterBreak="0">
    <w:nsid w:val="6030555F"/>
    <w:multiLevelType w:val="multilevel"/>
    <w:tmpl w:val="7D0813EC"/>
    <w:lvl w:ilvl="0">
      <w:numFmt w:val="decimal"/>
      <w:lvlText w:val="%1.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855"/>
        </w:tabs>
        <w:ind w:left="855" w:hanging="85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0" w15:restartNumberingAfterBreak="0">
    <w:nsid w:val="63354723"/>
    <w:multiLevelType w:val="hybridMultilevel"/>
    <w:tmpl w:val="BAB8BD5C"/>
    <w:lvl w:ilvl="0" w:tplc="6A6041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num w:numId="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5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</w:num>
  <w:num w:numId="7">
    <w:abstractNumId w:val="5"/>
  </w:num>
  <w:num w:numId="8">
    <w:abstractNumId w:val="7"/>
  </w:num>
  <w:num w:numId="9">
    <w:abstractNumId w:val="10"/>
  </w:num>
  <w:num w:numId="10">
    <w:abstractNumId w:val="0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FD3"/>
    <w:rsid w:val="000259B9"/>
    <w:rsid w:val="00041491"/>
    <w:rsid w:val="000434EB"/>
    <w:rsid w:val="00050D16"/>
    <w:rsid w:val="00074F2A"/>
    <w:rsid w:val="000A1CA8"/>
    <w:rsid w:val="000A466B"/>
    <w:rsid w:val="000B058C"/>
    <w:rsid w:val="000E4EE6"/>
    <w:rsid w:val="00105917"/>
    <w:rsid w:val="001152CE"/>
    <w:rsid w:val="001454E2"/>
    <w:rsid w:val="00206CE8"/>
    <w:rsid w:val="0021526C"/>
    <w:rsid w:val="002565DF"/>
    <w:rsid w:val="00281DA2"/>
    <w:rsid w:val="00283A2B"/>
    <w:rsid w:val="002B30AD"/>
    <w:rsid w:val="002C2C01"/>
    <w:rsid w:val="00314913"/>
    <w:rsid w:val="003A29AE"/>
    <w:rsid w:val="003A32D7"/>
    <w:rsid w:val="003B4074"/>
    <w:rsid w:val="003C769A"/>
    <w:rsid w:val="003D3454"/>
    <w:rsid w:val="003F1838"/>
    <w:rsid w:val="00417751"/>
    <w:rsid w:val="0045746C"/>
    <w:rsid w:val="0049104B"/>
    <w:rsid w:val="004E3B12"/>
    <w:rsid w:val="004F2796"/>
    <w:rsid w:val="00532310"/>
    <w:rsid w:val="005504C2"/>
    <w:rsid w:val="00560ECC"/>
    <w:rsid w:val="00565F0F"/>
    <w:rsid w:val="00594A86"/>
    <w:rsid w:val="00596D86"/>
    <w:rsid w:val="00635287"/>
    <w:rsid w:val="00637F5A"/>
    <w:rsid w:val="006560B1"/>
    <w:rsid w:val="006756DD"/>
    <w:rsid w:val="006D2FD6"/>
    <w:rsid w:val="00737275"/>
    <w:rsid w:val="00740EEC"/>
    <w:rsid w:val="00746417"/>
    <w:rsid w:val="00751F91"/>
    <w:rsid w:val="0078011A"/>
    <w:rsid w:val="00782AF4"/>
    <w:rsid w:val="00790EE7"/>
    <w:rsid w:val="007B6649"/>
    <w:rsid w:val="007F3FD3"/>
    <w:rsid w:val="0081546F"/>
    <w:rsid w:val="00815B80"/>
    <w:rsid w:val="0082576E"/>
    <w:rsid w:val="00872F0C"/>
    <w:rsid w:val="00907F75"/>
    <w:rsid w:val="009219DB"/>
    <w:rsid w:val="009260DE"/>
    <w:rsid w:val="0093258A"/>
    <w:rsid w:val="00986260"/>
    <w:rsid w:val="009C7BA3"/>
    <w:rsid w:val="009D1F5A"/>
    <w:rsid w:val="009F6DDA"/>
    <w:rsid w:val="00B003BF"/>
    <w:rsid w:val="00B373D7"/>
    <w:rsid w:val="00BF284A"/>
    <w:rsid w:val="00C36276"/>
    <w:rsid w:val="00C42586"/>
    <w:rsid w:val="00C60CCD"/>
    <w:rsid w:val="00C76412"/>
    <w:rsid w:val="00C84483"/>
    <w:rsid w:val="00C95551"/>
    <w:rsid w:val="00CB20D7"/>
    <w:rsid w:val="00D020B0"/>
    <w:rsid w:val="00D11748"/>
    <w:rsid w:val="00D366CF"/>
    <w:rsid w:val="00D40804"/>
    <w:rsid w:val="00D85EBF"/>
    <w:rsid w:val="00E108AA"/>
    <w:rsid w:val="00E31812"/>
    <w:rsid w:val="00E3749A"/>
    <w:rsid w:val="00E7437F"/>
    <w:rsid w:val="00E865B8"/>
    <w:rsid w:val="00EC0B9B"/>
    <w:rsid w:val="00ED5E9F"/>
    <w:rsid w:val="00F54D20"/>
    <w:rsid w:val="00F66D4F"/>
    <w:rsid w:val="00FB6D01"/>
    <w:rsid w:val="00FC4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C9EBDCD"/>
  <w15:chartTrackingRefBased/>
  <w15:docId w15:val="{9B41CB80-0A96-4A41-B024-1000C09D61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B6D01"/>
    <w:rPr>
      <w:sz w:val="23"/>
      <w:lang w:eastAsia="en-US"/>
    </w:rPr>
  </w:style>
  <w:style w:type="paragraph" w:styleId="Overskrift1">
    <w:name w:val="heading 1"/>
    <w:basedOn w:val="Normal"/>
    <w:next w:val="Normal"/>
    <w:qFormat/>
    <w:rsid w:val="00FB6D01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Overskrift3">
    <w:name w:val="heading 3"/>
    <w:basedOn w:val="Normal"/>
    <w:next w:val="Normal"/>
    <w:qFormat/>
    <w:rsid w:val="00FB6D01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Kommentartekst">
    <w:name w:val="annotation text"/>
    <w:basedOn w:val="Normal"/>
    <w:link w:val="KommentartekstTegn"/>
    <w:semiHidden/>
    <w:rsid w:val="00790EE7"/>
    <w:rPr>
      <w:sz w:val="20"/>
      <w:lang w:eastAsia="da-DK"/>
    </w:rPr>
  </w:style>
  <w:style w:type="paragraph" w:styleId="Sidehoved">
    <w:name w:val="header"/>
    <w:basedOn w:val="Normal"/>
    <w:link w:val="SidehovedTegn"/>
    <w:rsid w:val="00790EE7"/>
    <w:pPr>
      <w:tabs>
        <w:tab w:val="center" w:pos="4819"/>
        <w:tab w:val="right" w:pos="9638"/>
      </w:tabs>
    </w:pPr>
    <w:rPr>
      <w:sz w:val="24"/>
      <w:lang w:eastAsia="da-DK"/>
    </w:rPr>
  </w:style>
  <w:style w:type="paragraph" w:styleId="Titel">
    <w:name w:val="Title"/>
    <w:basedOn w:val="Normal"/>
    <w:link w:val="TitelTegn"/>
    <w:qFormat/>
    <w:rsid w:val="00790EE7"/>
    <w:pPr>
      <w:jc w:val="center"/>
    </w:pPr>
    <w:rPr>
      <w:b/>
      <w:sz w:val="24"/>
      <w:lang w:eastAsia="da-DK"/>
    </w:rPr>
  </w:style>
  <w:style w:type="character" w:styleId="Kommentarhenvisning">
    <w:name w:val="annotation reference"/>
    <w:semiHidden/>
    <w:rsid w:val="00790EE7"/>
    <w:rPr>
      <w:sz w:val="16"/>
      <w:szCs w:val="16"/>
    </w:rPr>
  </w:style>
  <w:style w:type="paragraph" w:styleId="Markeringsbobletekst">
    <w:name w:val="Balloon Text"/>
    <w:basedOn w:val="Normal"/>
    <w:semiHidden/>
    <w:rsid w:val="00790EE7"/>
    <w:rPr>
      <w:rFonts w:ascii="Tahoma" w:hAnsi="Tahoma" w:cs="Tahoma"/>
      <w:sz w:val="16"/>
      <w:szCs w:val="16"/>
    </w:rPr>
  </w:style>
  <w:style w:type="paragraph" w:styleId="Sidefod">
    <w:name w:val="footer"/>
    <w:basedOn w:val="Normal"/>
    <w:rsid w:val="00C42586"/>
    <w:pPr>
      <w:tabs>
        <w:tab w:val="center" w:pos="4819"/>
        <w:tab w:val="right" w:pos="9638"/>
      </w:tabs>
    </w:pPr>
  </w:style>
  <w:style w:type="character" w:styleId="Sidetal">
    <w:name w:val="page number"/>
    <w:basedOn w:val="Standardskrifttypeiafsnit"/>
    <w:rsid w:val="00C42586"/>
  </w:style>
  <w:style w:type="character" w:customStyle="1" w:styleId="KommentartekstTegn">
    <w:name w:val="Kommentartekst Tegn"/>
    <w:basedOn w:val="Standardskrifttypeiafsnit"/>
    <w:link w:val="Kommentartekst"/>
    <w:semiHidden/>
    <w:rsid w:val="00B003BF"/>
  </w:style>
  <w:style w:type="character" w:customStyle="1" w:styleId="SidehovedTegn">
    <w:name w:val="Sidehoved Tegn"/>
    <w:link w:val="Sidehoved"/>
    <w:rsid w:val="00B003BF"/>
    <w:rPr>
      <w:sz w:val="24"/>
    </w:rPr>
  </w:style>
  <w:style w:type="character" w:customStyle="1" w:styleId="TitelTegn">
    <w:name w:val="Titel Tegn"/>
    <w:link w:val="Titel"/>
    <w:rsid w:val="00B003BF"/>
    <w:rPr>
      <w:b/>
      <w:sz w:val="24"/>
    </w:rPr>
  </w:style>
  <w:style w:type="paragraph" w:styleId="Kommentaremne">
    <w:name w:val="annotation subject"/>
    <w:basedOn w:val="Kommentartekst"/>
    <w:next w:val="Kommentartekst"/>
    <w:link w:val="KommentaremneTegn"/>
    <w:semiHidden/>
    <w:unhideWhenUsed/>
    <w:rsid w:val="009260DE"/>
    <w:rPr>
      <w:b/>
      <w:bCs/>
      <w:lang w:eastAsia="en-US"/>
    </w:rPr>
  </w:style>
  <w:style w:type="character" w:customStyle="1" w:styleId="KommentaremneTegn">
    <w:name w:val="Kommentaremne Tegn"/>
    <w:basedOn w:val="KommentartekstTegn"/>
    <w:link w:val="Kommentaremne"/>
    <w:uiPriority w:val="99"/>
    <w:semiHidden/>
    <w:rsid w:val="009260DE"/>
    <w:rPr>
      <w:b/>
      <w:bCs/>
      <w:lang w:eastAsia="en-US"/>
    </w:rPr>
  </w:style>
  <w:style w:type="character" w:styleId="Pladsholdertekst">
    <w:name w:val="Placeholder Text"/>
    <w:basedOn w:val="Standardskrifttypeiafsnit"/>
    <w:uiPriority w:val="99"/>
    <w:semiHidden/>
    <w:rsid w:val="007F3FD3"/>
    <w:rPr>
      <w:color w:val="808080"/>
    </w:rPr>
  </w:style>
  <w:style w:type="character" w:styleId="Hyperlink">
    <w:name w:val="Hyperlink"/>
    <w:basedOn w:val="Standardskrifttypeiafsnit"/>
    <w:uiPriority w:val="99"/>
    <w:rsid w:val="007F3FD3"/>
    <w:rPr>
      <w:color w:val="0000FF"/>
      <w:u w:val="single"/>
    </w:rPr>
  </w:style>
  <w:style w:type="paragraph" w:styleId="Listeafsnit">
    <w:name w:val="List Paragraph"/>
    <w:basedOn w:val="Normal"/>
    <w:uiPriority w:val="34"/>
    <w:qFormat/>
    <w:rsid w:val="007F3F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41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GOD\SPC'er\_SPC%20Skabeloner\SPC%20Hum.dotm" TargetMode="Externa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SPC Hum</Template>
  <TotalTime>39</TotalTime>
  <Pages>11</Pages>
  <Words>3373</Words>
  <Characters>21032</Characters>
  <Application>Microsoft Office Word</Application>
  <DocSecurity>0</DocSecurity>
  <Lines>175</Lines>
  <Paragraphs>48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Hanne thy Iversen</dc:creator>
  <cp:keywords/>
  <dc:description>2022061520 var 44 psusa opdat</dc:description>
  <cp:lastModifiedBy>Hanne Thy Iversen</cp:lastModifiedBy>
  <cp:revision>13</cp:revision>
  <cp:lastPrinted>2012-08-22T08:53:00Z</cp:lastPrinted>
  <dcterms:created xsi:type="dcterms:W3CDTF">2020-04-21T07:27:00Z</dcterms:created>
  <dcterms:modified xsi:type="dcterms:W3CDTF">2022-10-24T12:52:00Z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ewTemplateConverted">
    <vt:lpwstr>SPC Hum.dotm</vt:lpwstr>
  </property>
  <property fmtid="{D5CDD505-2E9C-101B-9397-08002B2CF9AE}" pid="3" name="ConvertedFromMacroDocument">
    <vt:lpwstr>True</vt:lpwstr>
  </property>
</Properties>
</file>