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44895" w14:textId="6703732D" w:rsidR="009260DE" w:rsidRPr="00BB348B" w:rsidRDefault="0021526C" w:rsidP="00BB348B">
      <w:pPr>
        <w:rPr>
          <w:b/>
          <w:sz w:val="24"/>
          <w:szCs w:val="24"/>
        </w:rPr>
      </w:pPr>
      <w:bookmarkStart w:id="0" w:name="_GoBack"/>
      <w:bookmarkEnd w:id="0"/>
      <w:r w:rsidRPr="00BB348B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3A7E2A3" wp14:editId="7AAE5A4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BB348B">
        <w:rPr>
          <w:sz w:val="24"/>
          <w:szCs w:val="24"/>
        </w:rPr>
        <w:br w:type="textWrapping" w:clear="all"/>
      </w:r>
    </w:p>
    <w:p w14:paraId="4BE17570" w14:textId="7324EB2B" w:rsidR="009260DE" w:rsidRPr="00BB348B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BB348B">
        <w:rPr>
          <w:b w:val="0"/>
          <w:szCs w:val="24"/>
          <w:lang w:eastAsia="en-US"/>
        </w:rPr>
        <w:tab/>
      </w:r>
      <w:r w:rsidR="00605613">
        <w:rPr>
          <w:szCs w:val="24"/>
        </w:rPr>
        <w:t>18. december 2024</w:t>
      </w:r>
    </w:p>
    <w:p w14:paraId="23632687" w14:textId="77777777" w:rsidR="009260DE" w:rsidRPr="00BB348B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DC9BE8B" w14:textId="77777777" w:rsidR="009260DE" w:rsidRPr="00BB348B" w:rsidRDefault="009260DE" w:rsidP="009260DE">
      <w:pPr>
        <w:pStyle w:val="Titel"/>
        <w:jc w:val="left"/>
        <w:rPr>
          <w:b w:val="0"/>
          <w:szCs w:val="24"/>
        </w:rPr>
      </w:pPr>
    </w:p>
    <w:p w14:paraId="2F9FA87F" w14:textId="77777777" w:rsidR="009260DE" w:rsidRPr="00BB348B" w:rsidRDefault="009260DE" w:rsidP="009260DE">
      <w:pPr>
        <w:pStyle w:val="Titel"/>
        <w:jc w:val="left"/>
        <w:rPr>
          <w:b w:val="0"/>
          <w:szCs w:val="24"/>
        </w:rPr>
      </w:pPr>
    </w:p>
    <w:p w14:paraId="1B0FED5A" w14:textId="77777777" w:rsidR="009260DE" w:rsidRPr="00BB348B" w:rsidRDefault="009260DE" w:rsidP="009260DE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PRODUKTRESUMÉ</w:t>
      </w:r>
    </w:p>
    <w:p w14:paraId="4D1147AC" w14:textId="77777777" w:rsidR="009260DE" w:rsidRPr="00BB348B" w:rsidRDefault="009260DE" w:rsidP="009260DE">
      <w:pPr>
        <w:jc w:val="center"/>
        <w:rPr>
          <w:b/>
          <w:sz w:val="24"/>
          <w:szCs w:val="24"/>
        </w:rPr>
      </w:pPr>
    </w:p>
    <w:p w14:paraId="2AF7713F" w14:textId="77777777" w:rsidR="009260DE" w:rsidRPr="00BB348B" w:rsidRDefault="009260DE" w:rsidP="009260DE">
      <w:pPr>
        <w:jc w:val="center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for</w:t>
      </w:r>
    </w:p>
    <w:p w14:paraId="71C0369B" w14:textId="77777777" w:rsidR="000B058C" w:rsidRPr="00BB348B" w:rsidRDefault="000B058C" w:rsidP="009260DE">
      <w:pPr>
        <w:jc w:val="center"/>
        <w:rPr>
          <w:b/>
          <w:sz w:val="24"/>
          <w:szCs w:val="24"/>
        </w:rPr>
      </w:pPr>
    </w:p>
    <w:p w14:paraId="75FBC567" w14:textId="069CE78A" w:rsidR="009260DE" w:rsidRPr="00BB348B" w:rsidRDefault="005C5F7A" w:rsidP="009260DE">
      <w:pPr>
        <w:jc w:val="center"/>
        <w:rPr>
          <w:b/>
          <w:sz w:val="24"/>
          <w:szCs w:val="24"/>
        </w:rPr>
      </w:pPr>
      <w:proofErr w:type="spellStart"/>
      <w:r w:rsidRPr="00BB348B">
        <w:rPr>
          <w:b/>
          <w:sz w:val="24"/>
          <w:szCs w:val="24"/>
        </w:rPr>
        <w:t>Desmopressin</w:t>
      </w:r>
      <w:proofErr w:type="spellEnd"/>
      <w:r w:rsidRPr="00BB348B">
        <w:rPr>
          <w:b/>
          <w:sz w:val="24"/>
          <w:szCs w:val="24"/>
        </w:rPr>
        <w:t xml:space="preserve"> "Orifarm", frysetørrede sublinguale tabletter</w:t>
      </w:r>
    </w:p>
    <w:p w14:paraId="56D0EC3D" w14:textId="77777777" w:rsidR="009260DE" w:rsidRPr="00BB348B" w:rsidRDefault="009260DE" w:rsidP="009260DE">
      <w:pPr>
        <w:jc w:val="both"/>
        <w:rPr>
          <w:sz w:val="24"/>
          <w:szCs w:val="24"/>
        </w:rPr>
      </w:pPr>
    </w:p>
    <w:p w14:paraId="2803C8B0" w14:textId="77777777" w:rsidR="009260DE" w:rsidRPr="00BB348B" w:rsidRDefault="009260DE" w:rsidP="009260DE">
      <w:pPr>
        <w:jc w:val="both"/>
        <w:rPr>
          <w:sz w:val="24"/>
          <w:szCs w:val="24"/>
        </w:rPr>
      </w:pPr>
    </w:p>
    <w:p w14:paraId="3436CA53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0.</w:t>
      </w:r>
      <w:r w:rsidRPr="00BB348B">
        <w:rPr>
          <w:b/>
          <w:sz w:val="24"/>
          <w:szCs w:val="24"/>
        </w:rPr>
        <w:tab/>
        <w:t>D.SP.NR.</w:t>
      </w:r>
    </w:p>
    <w:p w14:paraId="34FCA972" w14:textId="00FBBFF6" w:rsidR="009260DE" w:rsidRPr="00BB348B" w:rsidRDefault="005C5F7A" w:rsidP="009260DE">
      <w:pPr>
        <w:tabs>
          <w:tab w:val="left" w:pos="851"/>
        </w:tabs>
        <w:ind w:left="851"/>
        <w:rPr>
          <w:sz w:val="24"/>
          <w:szCs w:val="24"/>
        </w:rPr>
      </w:pPr>
      <w:r w:rsidRPr="00BB348B">
        <w:rPr>
          <w:sz w:val="24"/>
          <w:szCs w:val="24"/>
        </w:rPr>
        <w:t>33515</w:t>
      </w:r>
    </w:p>
    <w:p w14:paraId="5BFD4557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5A0D06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1.</w:t>
      </w:r>
      <w:r w:rsidRPr="00BB348B">
        <w:rPr>
          <w:b/>
          <w:sz w:val="24"/>
          <w:szCs w:val="24"/>
        </w:rPr>
        <w:tab/>
        <w:t>LÆGEMIDLETS NAVN</w:t>
      </w:r>
    </w:p>
    <w:p w14:paraId="7FB260AA" w14:textId="65A761A4" w:rsidR="009260DE" w:rsidRPr="00BB348B" w:rsidRDefault="005C5F7A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"Orifarm"</w:t>
      </w:r>
    </w:p>
    <w:p w14:paraId="79335084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A4D469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2.</w:t>
      </w:r>
      <w:r w:rsidRPr="00BB348B">
        <w:rPr>
          <w:b/>
          <w:sz w:val="24"/>
          <w:szCs w:val="24"/>
        </w:rPr>
        <w:tab/>
        <w:t>KVALITATIV OG KVANTITATIV SAMMENSÆTNING</w:t>
      </w:r>
    </w:p>
    <w:p w14:paraId="74F71219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 xml:space="preserve">Hver frysetørret </w:t>
      </w:r>
      <w:proofErr w:type="spellStart"/>
      <w:r w:rsidRPr="00BB348B">
        <w:rPr>
          <w:sz w:val="24"/>
          <w:szCs w:val="24"/>
        </w:rPr>
        <w:t>sublingual</w:t>
      </w:r>
      <w:proofErr w:type="spellEnd"/>
      <w:r w:rsidRPr="00BB348B">
        <w:rPr>
          <w:sz w:val="24"/>
          <w:szCs w:val="24"/>
        </w:rPr>
        <w:t xml:space="preserve"> tablet indeholder 60 mikrogram, 120 mikrogram eller 240 mikrogram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(som </w:t>
      </w:r>
      <w:proofErr w:type="spellStart"/>
      <w:r w:rsidRPr="00BB348B">
        <w:rPr>
          <w:sz w:val="24"/>
          <w:szCs w:val="24"/>
        </w:rPr>
        <w:t>desmopressinacetat</w:t>
      </w:r>
      <w:proofErr w:type="spellEnd"/>
      <w:r w:rsidRPr="00BB348B">
        <w:rPr>
          <w:sz w:val="24"/>
          <w:szCs w:val="24"/>
        </w:rPr>
        <w:t>).</w:t>
      </w:r>
      <w:r w:rsidRPr="00BB348B">
        <w:rPr>
          <w:sz w:val="24"/>
          <w:szCs w:val="24"/>
        </w:rPr>
        <w:br/>
      </w:r>
    </w:p>
    <w:p w14:paraId="457E51AD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Alle hjælpestoffer er anført under pkt. 6.1.</w:t>
      </w:r>
    </w:p>
    <w:p w14:paraId="4EF1FD9E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9B7422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3.</w:t>
      </w:r>
      <w:r w:rsidRPr="00BB348B">
        <w:rPr>
          <w:b/>
          <w:sz w:val="24"/>
          <w:szCs w:val="24"/>
        </w:rPr>
        <w:tab/>
        <w:t>LÆGEMIDDELFORM</w:t>
      </w:r>
    </w:p>
    <w:p w14:paraId="6B846DF9" w14:textId="53B9FD90" w:rsidR="003772A0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Frysetørre</w:t>
      </w:r>
      <w:r w:rsidR="003772A0">
        <w:rPr>
          <w:sz w:val="24"/>
          <w:szCs w:val="24"/>
        </w:rPr>
        <w:t>de</w:t>
      </w:r>
      <w:r w:rsidRPr="00BB348B">
        <w:rPr>
          <w:sz w:val="24"/>
          <w:szCs w:val="24"/>
        </w:rPr>
        <w:t xml:space="preserve"> sublingual</w:t>
      </w:r>
      <w:r w:rsidR="003772A0">
        <w:rPr>
          <w:sz w:val="24"/>
          <w:szCs w:val="24"/>
        </w:rPr>
        <w:t>e</w:t>
      </w:r>
      <w:r w:rsidRPr="00BB348B">
        <w:rPr>
          <w:sz w:val="24"/>
          <w:szCs w:val="24"/>
        </w:rPr>
        <w:t xml:space="preserve"> tablet</w:t>
      </w:r>
      <w:r w:rsidR="003772A0">
        <w:rPr>
          <w:sz w:val="24"/>
          <w:szCs w:val="24"/>
        </w:rPr>
        <w:t>ter</w:t>
      </w:r>
    </w:p>
    <w:p w14:paraId="21415E46" w14:textId="77777777" w:rsidR="004865BE" w:rsidRDefault="004865BE" w:rsidP="00BB348B">
      <w:pPr>
        <w:ind w:left="851"/>
        <w:rPr>
          <w:sz w:val="24"/>
          <w:szCs w:val="24"/>
        </w:rPr>
      </w:pPr>
    </w:p>
    <w:p w14:paraId="30A66F37" w14:textId="77755680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>Hvide til råhvide tabletter, runde og hvælvede på den ene side.</w:t>
      </w:r>
    </w:p>
    <w:p w14:paraId="4AC31F1B" w14:textId="5F613E78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AD5F56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2F3AAF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</w:t>
      </w:r>
      <w:r w:rsidRPr="00BB348B">
        <w:rPr>
          <w:b/>
          <w:sz w:val="24"/>
          <w:szCs w:val="24"/>
        </w:rPr>
        <w:tab/>
        <w:t>KLINISKE OPLYSNINGER</w:t>
      </w:r>
    </w:p>
    <w:p w14:paraId="32EB409D" w14:textId="77777777" w:rsidR="009260DE" w:rsidRPr="00BB348B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61A963D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BB348B">
        <w:rPr>
          <w:b/>
          <w:sz w:val="24"/>
          <w:szCs w:val="24"/>
        </w:rPr>
        <w:t>4.1</w:t>
      </w:r>
      <w:r w:rsidRPr="00BB348B">
        <w:rPr>
          <w:b/>
          <w:sz w:val="24"/>
          <w:szCs w:val="24"/>
        </w:rPr>
        <w:tab/>
        <w:t>Terapeutiske indikationer</w:t>
      </w:r>
    </w:p>
    <w:p w14:paraId="76519D3D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 xml:space="preserve">Central diabetes </w:t>
      </w:r>
      <w:proofErr w:type="spellStart"/>
      <w:r w:rsidRPr="00BB348B">
        <w:rPr>
          <w:sz w:val="24"/>
          <w:szCs w:val="24"/>
        </w:rPr>
        <w:t>insipidus</w:t>
      </w:r>
      <w:proofErr w:type="spellEnd"/>
      <w:r w:rsidRPr="00BB348B">
        <w:rPr>
          <w:sz w:val="24"/>
          <w:szCs w:val="24"/>
        </w:rPr>
        <w:t>.</w:t>
      </w:r>
    </w:p>
    <w:p w14:paraId="340A2FB0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05D4369A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Primær </w:t>
      </w:r>
      <w:bookmarkStart w:id="1" w:name="_Hlk175818143"/>
      <w:proofErr w:type="spellStart"/>
      <w:r w:rsidRPr="00BB348B">
        <w:rPr>
          <w:sz w:val="24"/>
          <w:szCs w:val="24"/>
        </w:rPr>
        <w:t>enuresis</w:t>
      </w:r>
      <w:proofErr w:type="spellEnd"/>
      <w:r w:rsidRPr="00BB348B">
        <w:rPr>
          <w:sz w:val="24"/>
          <w:szCs w:val="24"/>
        </w:rPr>
        <w:t xml:space="preserve"> </w:t>
      </w:r>
      <w:proofErr w:type="spellStart"/>
      <w:r w:rsidRPr="00BB348B">
        <w:rPr>
          <w:sz w:val="24"/>
          <w:szCs w:val="24"/>
        </w:rPr>
        <w:t>nocturna</w:t>
      </w:r>
      <w:proofErr w:type="spellEnd"/>
      <w:r w:rsidRPr="00BB348B">
        <w:rPr>
          <w:sz w:val="24"/>
          <w:szCs w:val="24"/>
        </w:rPr>
        <w:t xml:space="preserve"> </w:t>
      </w:r>
      <w:bookmarkEnd w:id="1"/>
      <w:r w:rsidRPr="00BB348B">
        <w:rPr>
          <w:sz w:val="24"/>
          <w:szCs w:val="24"/>
        </w:rPr>
        <w:t>hos børn i alderen fra 5 år med normal evne til at koncentrere urinen.</w:t>
      </w:r>
    </w:p>
    <w:p w14:paraId="393F663F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5042507C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Symptomatisk behandling af </w:t>
      </w:r>
      <w:proofErr w:type="spellStart"/>
      <w:r w:rsidRPr="00BB348B">
        <w:rPr>
          <w:sz w:val="24"/>
          <w:szCs w:val="24"/>
        </w:rPr>
        <w:t>nykturi</w:t>
      </w:r>
      <w:proofErr w:type="spellEnd"/>
      <w:r w:rsidRPr="00BB348B">
        <w:rPr>
          <w:sz w:val="24"/>
          <w:szCs w:val="24"/>
        </w:rPr>
        <w:t xml:space="preserve"> hos voksne med natlig </w:t>
      </w:r>
      <w:proofErr w:type="spellStart"/>
      <w:r w:rsidRPr="00BB348B">
        <w:rPr>
          <w:sz w:val="24"/>
          <w:szCs w:val="24"/>
        </w:rPr>
        <w:t>polyuri</w:t>
      </w:r>
      <w:proofErr w:type="spellEnd"/>
      <w:r w:rsidRPr="00BB348B">
        <w:rPr>
          <w:sz w:val="24"/>
          <w:szCs w:val="24"/>
        </w:rPr>
        <w:t>, dvs. mængden af urin, der dannes i løbet af natten, overstiger blærens funktionelle volumen.</w:t>
      </w:r>
    </w:p>
    <w:p w14:paraId="05938047" w14:textId="7D37F768" w:rsidR="00F22D92" w:rsidRDefault="00F22D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1B455E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ACE330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4.2</w:t>
      </w:r>
      <w:r w:rsidRPr="00BB348B">
        <w:rPr>
          <w:b/>
          <w:sz w:val="24"/>
          <w:szCs w:val="24"/>
        </w:rPr>
        <w:tab/>
        <w:t xml:space="preserve">Dosering og </w:t>
      </w:r>
      <w:r w:rsidR="002C1EC0" w:rsidRPr="00BB348B">
        <w:rPr>
          <w:b/>
          <w:sz w:val="24"/>
          <w:szCs w:val="24"/>
        </w:rPr>
        <w:t>administration</w:t>
      </w:r>
    </w:p>
    <w:p w14:paraId="7607D26A" w14:textId="77777777" w:rsidR="003772A0" w:rsidRDefault="003772A0" w:rsidP="00BB348B">
      <w:pPr>
        <w:ind w:left="851"/>
        <w:rPr>
          <w:sz w:val="24"/>
          <w:szCs w:val="24"/>
        </w:rPr>
      </w:pPr>
    </w:p>
    <w:p w14:paraId="1D25F31C" w14:textId="527BE4DD" w:rsidR="005C5F7A" w:rsidRPr="003772A0" w:rsidRDefault="005C5F7A" w:rsidP="00BB348B">
      <w:pPr>
        <w:ind w:left="851"/>
        <w:rPr>
          <w:sz w:val="24"/>
          <w:szCs w:val="24"/>
          <w:u w:val="single"/>
          <w:lang w:eastAsia="da-DK"/>
        </w:rPr>
      </w:pPr>
      <w:r w:rsidRPr="003772A0">
        <w:rPr>
          <w:sz w:val="24"/>
          <w:szCs w:val="24"/>
          <w:u w:val="single"/>
        </w:rPr>
        <w:t>Dosering</w:t>
      </w:r>
    </w:p>
    <w:p w14:paraId="53EC295A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25FB33AB" w14:textId="77777777" w:rsidR="005C5F7A" w:rsidRPr="00BB348B" w:rsidRDefault="005C5F7A" w:rsidP="00BB348B">
      <w:pPr>
        <w:ind w:left="851"/>
        <w:rPr>
          <w:i/>
          <w:iCs/>
          <w:sz w:val="24"/>
          <w:szCs w:val="24"/>
        </w:rPr>
      </w:pPr>
      <w:r w:rsidRPr="00BB348B">
        <w:rPr>
          <w:i/>
          <w:iCs/>
          <w:sz w:val="24"/>
          <w:szCs w:val="24"/>
        </w:rPr>
        <w:t>Generelt</w:t>
      </w:r>
    </w:p>
    <w:p w14:paraId="30F9F606" w14:textId="77777777" w:rsidR="005C5F7A" w:rsidRPr="00BB348B" w:rsidRDefault="005C5F7A" w:rsidP="00BB348B">
      <w:pPr>
        <w:ind w:left="851"/>
        <w:rPr>
          <w:i/>
          <w:iCs/>
          <w:sz w:val="24"/>
          <w:szCs w:val="24"/>
        </w:rPr>
      </w:pPr>
    </w:p>
    <w:p w14:paraId="006001ED" w14:textId="77777777" w:rsidR="005C5F7A" w:rsidRPr="003772A0" w:rsidRDefault="005C5F7A" w:rsidP="00BB348B">
      <w:pPr>
        <w:ind w:left="851"/>
        <w:rPr>
          <w:sz w:val="24"/>
          <w:szCs w:val="24"/>
          <w:u w:val="single"/>
        </w:rPr>
      </w:pPr>
      <w:r w:rsidRPr="003772A0">
        <w:rPr>
          <w:sz w:val="24"/>
          <w:szCs w:val="24"/>
          <w:u w:val="single"/>
        </w:rPr>
        <w:t>Effekten af mad</w:t>
      </w:r>
    </w:p>
    <w:p w14:paraId="7E3687FB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Indtagelse af mad kan svække intensiteten og varigheden af den antidiuretiske virkning af lave doser af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(se pkt. 4.5).</w:t>
      </w:r>
    </w:p>
    <w:p w14:paraId="0D0BB2CE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14D74C0D" w14:textId="77777777" w:rsidR="005C5F7A" w:rsidRPr="003772A0" w:rsidRDefault="005C5F7A" w:rsidP="00BB348B">
      <w:pPr>
        <w:ind w:left="851"/>
        <w:rPr>
          <w:sz w:val="24"/>
          <w:szCs w:val="24"/>
          <w:u w:val="single"/>
        </w:rPr>
      </w:pPr>
      <w:proofErr w:type="spellStart"/>
      <w:r w:rsidRPr="003772A0">
        <w:rPr>
          <w:sz w:val="24"/>
          <w:szCs w:val="24"/>
          <w:u w:val="single"/>
        </w:rPr>
        <w:t>Seponering</w:t>
      </w:r>
      <w:proofErr w:type="spellEnd"/>
      <w:r w:rsidRPr="003772A0">
        <w:rPr>
          <w:sz w:val="24"/>
          <w:szCs w:val="24"/>
          <w:u w:val="single"/>
        </w:rPr>
        <w:t xml:space="preserve"> af behandling</w:t>
      </w:r>
    </w:p>
    <w:p w14:paraId="228D3F94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Hvis der opstår symptomer på væskeretention og/eller </w:t>
      </w:r>
      <w:proofErr w:type="spellStart"/>
      <w:r w:rsidRPr="00BB348B">
        <w:rPr>
          <w:sz w:val="24"/>
          <w:szCs w:val="24"/>
        </w:rPr>
        <w:t>hyponatriæmi</w:t>
      </w:r>
      <w:proofErr w:type="spellEnd"/>
      <w:r w:rsidRPr="00BB348B">
        <w:rPr>
          <w:sz w:val="24"/>
          <w:szCs w:val="24"/>
        </w:rPr>
        <w:t xml:space="preserve"> (hovedpine, kvalme/opkastning, vægtøgning og, i alvorlige tilfælde, kramper), bør behandlingen afbrydes, indtil patienten er kommet sig helt. Ved genudfordring skal præcise væskerestriktioner overholdes nøje (se pkt. 4.4).</w:t>
      </w:r>
    </w:p>
    <w:p w14:paraId="1FCCD4BA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1009B3BF" w14:textId="77777777" w:rsidR="005C5F7A" w:rsidRPr="003772A0" w:rsidRDefault="005C5F7A" w:rsidP="00BB348B">
      <w:pPr>
        <w:ind w:left="851"/>
        <w:rPr>
          <w:sz w:val="24"/>
          <w:szCs w:val="24"/>
          <w:u w:val="single"/>
        </w:rPr>
      </w:pPr>
      <w:r w:rsidRPr="003772A0">
        <w:rPr>
          <w:sz w:val="24"/>
          <w:szCs w:val="24"/>
          <w:u w:val="single"/>
        </w:rPr>
        <w:t>Behandlingens varighed</w:t>
      </w:r>
    </w:p>
    <w:p w14:paraId="5F41677F" w14:textId="5C49B208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Hvis der ikke opnås et tilstrækkeligt klinisk respons på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</w:t>
      </w:r>
      <w:r w:rsidR="00F22D92">
        <w:rPr>
          <w:sz w:val="24"/>
          <w:szCs w:val="24"/>
        </w:rPr>
        <w:t>"Orifarm"</w:t>
      </w:r>
      <w:r w:rsidRPr="00BB348B">
        <w:rPr>
          <w:sz w:val="24"/>
          <w:szCs w:val="24"/>
        </w:rPr>
        <w:t xml:space="preserve"> inden for 4 uger efter passende dosistitrering, skal behandlingen seponeres.</w:t>
      </w:r>
    </w:p>
    <w:p w14:paraId="6B2C6D6B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226E8C7F" w14:textId="77777777" w:rsidR="005C5F7A" w:rsidRPr="00BB348B" w:rsidRDefault="005C5F7A" w:rsidP="00BB348B">
      <w:pPr>
        <w:ind w:left="851"/>
        <w:rPr>
          <w:i/>
          <w:iCs/>
          <w:sz w:val="24"/>
          <w:szCs w:val="24"/>
        </w:rPr>
      </w:pPr>
      <w:r w:rsidRPr="00BB348B">
        <w:rPr>
          <w:i/>
          <w:iCs/>
          <w:sz w:val="24"/>
          <w:szCs w:val="24"/>
        </w:rPr>
        <w:t xml:space="preserve">Central diabetes </w:t>
      </w:r>
      <w:proofErr w:type="spellStart"/>
      <w:r w:rsidRPr="00BB348B">
        <w:rPr>
          <w:i/>
          <w:iCs/>
          <w:sz w:val="24"/>
          <w:szCs w:val="24"/>
        </w:rPr>
        <w:t>insipidus</w:t>
      </w:r>
      <w:proofErr w:type="spellEnd"/>
    </w:p>
    <w:p w14:paraId="0610A9E6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Ved behandling af central diabetes </w:t>
      </w:r>
      <w:proofErr w:type="spellStart"/>
      <w:r w:rsidRPr="00BB348B">
        <w:rPr>
          <w:sz w:val="24"/>
          <w:szCs w:val="24"/>
        </w:rPr>
        <w:t>insipidus</w:t>
      </w:r>
      <w:proofErr w:type="spellEnd"/>
      <w:r w:rsidRPr="00BB348B">
        <w:rPr>
          <w:sz w:val="24"/>
          <w:szCs w:val="24"/>
        </w:rPr>
        <w:t xml:space="preserve"> skal dosis tilpasses individuelt, men den normale daglige dosis varierer mellem 120 og 720 mikrogram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. En passende startdosis til børn og voksne er 60 mikrogram </w:t>
      </w:r>
      <w:proofErr w:type="spellStart"/>
      <w:r w:rsidRPr="00BB348B">
        <w:rPr>
          <w:sz w:val="24"/>
          <w:szCs w:val="24"/>
        </w:rPr>
        <w:t>sublingualt</w:t>
      </w:r>
      <w:proofErr w:type="spellEnd"/>
      <w:r w:rsidRPr="00BB348B">
        <w:rPr>
          <w:sz w:val="24"/>
          <w:szCs w:val="24"/>
        </w:rPr>
        <w:t xml:space="preserve"> 3 gange dagligt. Derefter justeres dosis i henhold til klinisk respons. For de fleste patienter er vedligeholdelsesdosis 60 til 120 mikrogram </w:t>
      </w:r>
      <w:proofErr w:type="spellStart"/>
      <w:r w:rsidRPr="00BB348B">
        <w:rPr>
          <w:sz w:val="24"/>
          <w:szCs w:val="24"/>
        </w:rPr>
        <w:t>sublingualt</w:t>
      </w:r>
      <w:proofErr w:type="spellEnd"/>
      <w:r w:rsidRPr="00BB348B">
        <w:rPr>
          <w:sz w:val="24"/>
          <w:szCs w:val="24"/>
        </w:rPr>
        <w:t xml:space="preserve"> 3 gange dagligt.</w:t>
      </w:r>
    </w:p>
    <w:p w14:paraId="48529427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230A6D78" w14:textId="77777777" w:rsidR="005C5F7A" w:rsidRPr="00BB348B" w:rsidRDefault="005C5F7A" w:rsidP="00BB348B">
      <w:pPr>
        <w:ind w:left="851"/>
        <w:rPr>
          <w:i/>
          <w:iCs/>
          <w:sz w:val="24"/>
          <w:szCs w:val="24"/>
        </w:rPr>
      </w:pPr>
      <w:r w:rsidRPr="00BB348B">
        <w:rPr>
          <w:i/>
          <w:iCs/>
          <w:sz w:val="24"/>
          <w:szCs w:val="24"/>
        </w:rPr>
        <w:t xml:space="preserve">Primær </w:t>
      </w:r>
      <w:proofErr w:type="spellStart"/>
      <w:r w:rsidRPr="00BB348B">
        <w:rPr>
          <w:i/>
          <w:iCs/>
          <w:sz w:val="24"/>
          <w:szCs w:val="24"/>
        </w:rPr>
        <w:t>enuresis</w:t>
      </w:r>
      <w:proofErr w:type="spellEnd"/>
      <w:r w:rsidRPr="00BB348B">
        <w:rPr>
          <w:i/>
          <w:iCs/>
          <w:sz w:val="24"/>
          <w:szCs w:val="24"/>
        </w:rPr>
        <w:t xml:space="preserve"> </w:t>
      </w:r>
      <w:proofErr w:type="spellStart"/>
      <w:r w:rsidRPr="00BB348B">
        <w:rPr>
          <w:i/>
          <w:iCs/>
          <w:sz w:val="24"/>
          <w:szCs w:val="24"/>
        </w:rPr>
        <w:t>nocturna</w:t>
      </w:r>
      <w:proofErr w:type="spellEnd"/>
      <w:r w:rsidRPr="00BB348B">
        <w:rPr>
          <w:i/>
          <w:iCs/>
          <w:sz w:val="24"/>
          <w:szCs w:val="24"/>
        </w:rPr>
        <w:t xml:space="preserve"> hos børn i alderen fra 5 år</w:t>
      </w:r>
    </w:p>
    <w:p w14:paraId="62164B24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Den anbefalede startdosis er 120 mikrogram </w:t>
      </w:r>
      <w:proofErr w:type="spellStart"/>
      <w:r w:rsidRPr="00BB348B">
        <w:rPr>
          <w:sz w:val="24"/>
          <w:szCs w:val="24"/>
        </w:rPr>
        <w:t>sublingualt</w:t>
      </w:r>
      <w:proofErr w:type="spellEnd"/>
      <w:r w:rsidRPr="00BB348B">
        <w:rPr>
          <w:sz w:val="24"/>
          <w:szCs w:val="24"/>
        </w:rPr>
        <w:t xml:space="preserve"> ved sengetid. Dosis kan øges op til 240 mikrogram </w:t>
      </w:r>
      <w:proofErr w:type="spellStart"/>
      <w:r w:rsidRPr="00BB348B">
        <w:rPr>
          <w:sz w:val="24"/>
          <w:szCs w:val="24"/>
        </w:rPr>
        <w:t>sublingualt</w:t>
      </w:r>
      <w:proofErr w:type="spellEnd"/>
      <w:r w:rsidRPr="00BB348B">
        <w:rPr>
          <w:sz w:val="24"/>
          <w:szCs w:val="24"/>
        </w:rPr>
        <w:t>, hvis den lavere dosis ikke er tilstrækkeligt effektiv. Væskerestriktioner skal håndhæves. Behovet for fortsat behandling bør vurderes hver tredje måned ved hjælp af mindst en uges afbrydelse af behandlingen.</w:t>
      </w:r>
    </w:p>
    <w:p w14:paraId="0C4D86E9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153D6287" w14:textId="77777777" w:rsidR="005C5F7A" w:rsidRPr="00BB348B" w:rsidRDefault="005C5F7A" w:rsidP="00BB348B">
      <w:pPr>
        <w:ind w:left="851"/>
        <w:rPr>
          <w:i/>
          <w:iCs/>
          <w:sz w:val="24"/>
          <w:szCs w:val="24"/>
        </w:rPr>
      </w:pPr>
      <w:proofErr w:type="spellStart"/>
      <w:r w:rsidRPr="00BB348B">
        <w:rPr>
          <w:i/>
          <w:iCs/>
          <w:sz w:val="24"/>
          <w:szCs w:val="24"/>
        </w:rPr>
        <w:t>Nykturi</w:t>
      </w:r>
      <w:proofErr w:type="spellEnd"/>
      <w:r w:rsidRPr="00BB348B">
        <w:rPr>
          <w:i/>
          <w:iCs/>
          <w:sz w:val="24"/>
          <w:szCs w:val="24"/>
        </w:rPr>
        <w:t xml:space="preserve"> hos voksne</w:t>
      </w:r>
    </w:p>
    <w:p w14:paraId="6EF98C43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Natlig </w:t>
      </w:r>
      <w:proofErr w:type="spellStart"/>
      <w:r w:rsidRPr="00BB348B">
        <w:rPr>
          <w:sz w:val="24"/>
          <w:szCs w:val="24"/>
        </w:rPr>
        <w:t>polyuri</w:t>
      </w:r>
      <w:proofErr w:type="spellEnd"/>
      <w:r w:rsidRPr="00BB348B">
        <w:rPr>
          <w:sz w:val="24"/>
          <w:szCs w:val="24"/>
        </w:rPr>
        <w:t xml:space="preserve"> bør diagnosticeres ved at føre dagbog over urinhyppighed og -mængde i mindst 2 dage før behandlingsstart. Hvis den natlige urinproduktion overstiger blærens funktionelle volumen eller udgør mere end 1/3 af den daglige urinmængde, betragtes det som natlig </w:t>
      </w:r>
      <w:proofErr w:type="spellStart"/>
      <w:r w:rsidRPr="00BB348B">
        <w:rPr>
          <w:sz w:val="24"/>
          <w:szCs w:val="24"/>
        </w:rPr>
        <w:t>polyuri</w:t>
      </w:r>
      <w:proofErr w:type="spellEnd"/>
      <w:r w:rsidRPr="00BB348B">
        <w:rPr>
          <w:sz w:val="24"/>
          <w:szCs w:val="24"/>
        </w:rPr>
        <w:t>.</w:t>
      </w:r>
    </w:p>
    <w:p w14:paraId="7686E185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Den anbefalede startdosis er 60 mikrogram </w:t>
      </w:r>
      <w:proofErr w:type="spellStart"/>
      <w:r w:rsidRPr="00BB348B">
        <w:rPr>
          <w:sz w:val="24"/>
          <w:szCs w:val="24"/>
        </w:rPr>
        <w:t>sublingualt</w:t>
      </w:r>
      <w:proofErr w:type="spellEnd"/>
      <w:r w:rsidRPr="00BB348B">
        <w:rPr>
          <w:sz w:val="24"/>
          <w:szCs w:val="24"/>
        </w:rPr>
        <w:t xml:space="preserve"> ved sengetid.</w:t>
      </w:r>
    </w:p>
    <w:p w14:paraId="2F869CD6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Hvis denne dosis ikke er tilstrækkeligt effektiv efter en uge, kan dosis øges til 120 mikrogram </w:t>
      </w:r>
      <w:proofErr w:type="spellStart"/>
      <w:r w:rsidRPr="00BB348B">
        <w:rPr>
          <w:sz w:val="24"/>
          <w:szCs w:val="24"/>
        </w:rPr>
        <w:t>sublingualt</w:t>
      </w:r>
      <w:proofErr w:type="spellEnd"/>
      <w:r w:rsidRPr="00BB348B">
        <w:rPr>
          <w:sz w:val="24"/>
          <w:szCs w:val="24"/>
        </w:rPr>
        <w:t xml:space="preserve"> og derefter til 240 mikrogram </w:t>
      </w:r>
      <w:proofErr w:type="spellStart"/>
      <w:r w:rsidRPr="00BB348B">
        <w:rPr>
          <w:sz w:val="24"/>
          <w:szCs w:val="24"/>
        </w:rPr>
        <w:t>sublingualt</w:t>
      </w:r>
      <w:proofErr w:type="spellEnd"/>
      <w:r w:rsidRPr="00BB348B">
        <w:rPr>
          <w:sz w:val="24"/>
          <w:szCs w:val="24"/>
        </w:rPr>
        <w:t xml:space="preserve"> ved at øge dosis en gang om ugen. Væskerestriktioner bør overholdes.</w:t>
      </w:r>
    </w:p>
    <w:p w14:paraId="5A3B7869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3687369A" w14:textId="77777777" w:rsidR="005C5F7A" w:rsidRPr="003772A0" w:rsidRDefault="005C5F7A" w:rsidP="00BB348B">
      <w:pPr>
        <w:ind w:left="851"/>
        <w:rPr>
          <w:sz w:val="24"/>
          <w:szCs w:val="24"/>
          <w:u w:val="single"/>
        </w:rPr>
      </w:pPr>
      <w:r w:rsidRPr="003772A0">
        <w:rPr>
          <w:sz w:val="24"/>
          <w:szCs w:val="24"/>
          <w:u w:val="single"/>
        </w:rPr>
        <w:t>Særlige populationer</w:t>
      </w:r>
    </w:p>
    <w:p w14:paraId="7C467F58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37904529" w14:textId="77777777" w:rsidR="005C5F7A" w:rsidRPr="00BB348B" w:rsidRDefault="005C5F7A" w:rsidP="00BB348B">
      <w:pPr>
        <w:ind w:left="851"/>
        <w:rPr>
          <w:i/>
          <w:iCs/>
          <w:sz w:val="24"/>
          <w:szCs w:val="24"/>
        </w:rPr>
      </w:pPr>
      <w:r w:rsidRPr="00BB348B">
        <w:rPr>
          <w:i/>
          <w:iCs/>
          <w:sz w:val="24"/>
          <w:szCs w:val="24"/>
        </w:rPr>
        <w:t>Ældre</w:t>
      </w:r>
    </w:p>
    <w:p w14:paraId="34BA08D7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Det anbefales ikke at påbegynde behandling af patienter i alderen ≥ 65 år. Hvis lægen beslutter at påbegynde behandling med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hos denne population, bør serumnatrium måles før påbegyndelse af behandling og 3 dage efter påbegyndelse af </w:t>
      </w:r>
      <w:r w:rsidRPr="00BB348B">
        <w:rPr>
          <w:sz w:val="24"/>
          <w:szCs w:val="24"/>
        </w:rPr>
        <w:lastRenderedPageBreak/>
        <w:t>behandling eller dosisforøgelse. Det samme gælder på andre tidspunkter under behandlingen, når den behandlende læge skønner det nødvendigt.</w:t>
      </w:r>
    </w:p>
    <w:p w14:paraId="5FF1FCDD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617EA58A" w14:textId="77777777" w:rsidR="005C5F7A" w:rsidRPr="00BB348B" w:rsidRDefault="005C5F7A" w:rsidP="00BB348B">
      <w:pPr>
        <w:ind w:left="851"/>
        <w:rPr>
          <w:i/>
          <w:iCs/>
          <w:sz w:val="24"/>
          <w:szCs w:val="24"/>
        </w:rPr>
      </w:pPr>
      <w:r w:rsidRPr="00BB348B">
        <w:rPr>
          <w:i/>
          <w:iCs/>
          <w:sz w:val="24"/>
          <w:szCs w:val="24"/>
        </w:rPr>
        <w:t>Nedsat nyrefunktion</w:t>
      </w:r>
    </w:p>
    <w:p w14:paraId="52A1979E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Dosering og gennemførlighed af behandling bør evalueres individuelt; se pkt. 4.3 og 5.2.</w:t>
      </w:r>
    </w:p>
    <w:p w14:paraId="1C42653D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3A328AA9" w14:textId="77777777" w:rsidR="005C5F7A" w:rsidRPr="00BB348B" w:rsidRDefault="005C5F7A" w:rsidP="00BB348B">
      <w:pPr>
        <w:ind w:left="851"/>
        <w:rPr>
          <w:i/>
          <w:iCs/>
          <w:sz w:val="24"/>
          <w:szCs w:val="24"/>
        </w:rPr>
      </w:pPr>
      <w:r w:rsidRPr="00BB348B">
        <w:rPr>
          <w:i/>
          <w:iCs/>
          <w:sz w:val="24"/>
          <w:szCs w:val="24"/>
        </w:rPr>
        <w:t>Nedsat leverfunktion</w:t>
      </w:r>
    </w:p>
    <w:p w14:paraId="3FFE4365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Der er ikke udført studier af </w:t>
      </w:r>
      <w:proofErr w:type="spellStart"/>
      <w:r w:rsidRPr="00BB348B">
        <w:rPr>
          <w:sz w:val="24"/>
          <w:szCs w:val="24"/>
        </w:rPr>
        <w:t>desmopressindosering</w:t>
      </w:r>
      <w:proofErr w:type="spellEnd"/>
      <w:r w:rsidRPr="00BB348B">
        <w:rPr>
          <w:sz w:val="24"/>
          <w:szCs w:val="24"/>
        </w:rPr>
        <w:t xml:space="preserve"> hos patienter med nedsat leverfunktion. Ingen signifikant mængde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</w:t>
      </w:r>
      <w:proofErr w:type="spellStart"/>
      <w:r w:rsidRPr="00BB348B">
        <w:rPr>
          <w:sz w:val="24"/>
          <w:szCs w:val="24"/>
        </w:rPr>
        <w:t>metaboliseres</w:t>
      </w:r>
      <w:proofErr w:type="spellEnd"/>
      <w:r w:rsidRPr="00BB348B">
        <w:rPr>
          <w:sz w:val="24"/>
          <w:szCs w:val="24"/>
        </w:rPr>
        <w:t xml:space="preserve"> i leveren. Individuel dosisjustering er påkrævet hos patienter med nedsat leverfunktion; se pkt. 4.5 og 5.2.</w:t>
      </w:r>
    </w:p>
    <w:p w14:paraId="186C56E8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0F4EB443" w14:textId="77777777" w:rsidR="005C5F7A" w:rsidRPr="00BB348B" w:rsidRDefault="005C5F7A" w:rsidP="00BB348B">
      <w:pPr>
        <w:ind w:left="851"/>
        <w:rPr>
          <w:i/>
          <w:iCs/>
          <w:sz w:val="24"/>
          <w:szCs w:val="24"/>
        </w:rPr>
      </w:pPr>
      <w:r w:rsidRPr="00BB348B">
        <w:rPr>
          <w:i/>
          <w:iCs/>
          <w:sz w:val="24"/>
          <w:szCs w:val="24"/>
        </w:rPr>
        <w:t>Pædiatrisk population</w:t>
      </w:r>
    </w:p>
    <w:p w14:paraId="596627BC" w14:textId="35717F99" w:rsidR="005C5F7A" w:rsidRPr="00BB348B" w:rsidRDefault="005C5F7A" w:rsidP="00BB348B">
      <w:pPr>
        <w:ind w:left="851"/>
        <w:rPr>
          <w:sz w:val="24"/>
          <w:szCs w:val="24"/>
        </w:rPr>
      </w:pP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</w:t>
      </w:r>
      <w:r w:rsidR="00F22D92">
        <w:rPr>
          <w:sz w:val="24"/>
          <w:szCs w:val="24"/>
        </w:rPr>
        <w:t>"Orifarm"</w:t>
      </w:r>
      <w:r w:rsidRPr="00BB348B">
        <w:rPr>
          <w:sz w:val="24"/>
          <w:szCs w:val="24"/>
        </w:rPr>
        <w:t xml:space="preserve"> er indiceret til central diabetes </w:t>
      </w:r>
      <w:proofErr w:type="spellStart"/>
      <w:r w:rsidRPr="00BB348B">
        <w:rPr>
          <w:sz w:val="24"/>
          <w:szCs w:val="24"/>
        </w:rPr>
        <w:t>insipidus</w:t>
      </w:r>
      <w:proofErr w:type="spellEnd"/>
      <w:r w:rsidRPr="00BB348B">
        <w:rPr>
          <w:sz w:val="24"/>
          <w:szCs w:val="24"/>
        </w:rPr>
        <w:t xml:space="preserve"> og primær </w:t>
      </w:r>
      <w:proofErr w:type="spellStart"/>
      <w:r w:rsidRPr="00BB348B">
        <w:rPr>
          <w:sz w:val="24"/>
          <w:szCs w:val="24"/>
        </w:rPr>
        <w:t>enuresis</w:t>
      </w:r>
      <w:proofErr w:type="spellEnd"/>
      <w:r w:rsidRPr="00BB348B">
        <w:rPr>
          <w:sz w:val="24"/>
          <w:szCs w:val="24"/>
        </w:rPr>
        <w:t xml:space="preserve"> </w:t>
      </w:r>
      <w:proofErr w:type="spellStart"/>
      <w:r w:rsidRPr="00BB348B">
        <w:rPr>
          <w:sz w:val="24"/>
          <w:szCs w:val="24"/>
        </w:rPr>
        <w:t>nocturna</w:t>
      </w:r>
      <w:proofErr w:type="spellEnd"/>
      <w:r w:rsidRPr="00BB348B">
        <w:rPr>
          <w:sz w:val="24"/>
          <w:szCs w:val="24"/>
        </w:rPr>
        <w:t xml:space="preserve"> (se pkt. 5.1 og indikationsspecifikke oplysninger ovenfor i pkt. 4.2). Doseringsanbefalingerne er de samme som for voksne.</w:t>
      </w:r>
    </w:p>
    <w:p w14:paraId="3F0F3662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45A61455" w14:textId="77777777" w:rsidR="005C5F7A" w:rsidRPr="003772A0" w:rsidRDefault="005C5F7A" w:rsidP="00BB348B">
      <w:pPr>
        <w:ind w:left="851"/>
        <w:rPr>
          <w:sz w:val="24"/>
          <w:szCs w:val="24"/>
          <w:u w:val="single"/>
        </w:rPr>
      </w:pPr>
      <w:r w:rsidRPr="003772A0">
        <w:rPr>
          <w:sz w:val="24"/>
          <w:szCs w:val="24"/>
          <w:u w:val="single"/>
        </w:rPr>
        <w:t>Administration</w:t>
      </w:r>
    </w:p>
    <w:p w14:paraId="0F66ECB4" w14:textId="4604FFBF" w:rsidR="005C5F7A" w:rsidRPr="00BB348B" w:rsidRDefault="005C5F7A" w:rsidP="00BB348B">
      <w:pPr>
        <w:ind w:left="851"/>
        <w:rPr>
          <w:sz w:val="24"/>
          <w:szCs w:val="24"/>
        </w:rPr>
      </w:pP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</w:t>
      </w:r>
      <w:r w:rsidR="00F22D92">
        <w:rPr>
          <w:sz w:val="24"/>
          <w:szCs w:val="24"/>
        </w:rPr>
        <w:t>"Orifarm"</w:t>
      </w:r>
      <w:r w:rsidRPr="00BB348B">
        <w:rPr>
          <w:sz w:val="24"/>
          <w:szCs w:val="24"/>
        </w:rPr>
        <w:t xml:space="preserve"> placeres under tungen. Tabletten behøver ikke at blive taget med vand; den opløses under tungen.</w:t>
      </w:r>
    </w:p>
    <w:p w14:paraId="21AE47AB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002830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4.3</w:t>
      </w:r>
      <w:r w:rsidRPr="00BB348B">
        <w:rPr>
          <w:b/>
          <w:sz w:val="24"/>
          <w:szCs w:val="24"/>
        </w:rPr>
        <w:tab/>
        <w:t>Kontraindikationer</w:t>
      </w:r>
    </w:p>
    <w:p w14:paraId="1CB5523F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>Overfølsomhed over for det aktive stof eller over for et eller flere af hjælpestofferne anført i pkt. 6.1.</w:t>
      </w:r>
    </w:p>
    <w:p w14:paraId="7321080F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553F2B19" w14:textId="0BF8527F" w:rsidR="005C5F7A" w:rsidRPr="00BB348B" w:rsidRDefault="005C5F7A" w:rsidP="00BB348B">
      <w:pPr>
        <w:ind w:left="851"/>
        <w:rPr>
          <w:sz w:val="24"/>
          <w:szCs w:val="24"/>
        </w:rPr>
      </w:pP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</w:t>
      </w:r>
      <w:r w:rsidR="00F22D92">
        <w:rPr>
          <w:sz w:val="24"/>
          <w:szCs w:val="24"/>
        </w:rPr>
        <w:t>"Orifarm"</w:t>
      </w:r>
      <w:r w:rsidRPr="00BB348B">
        <w:rPr>
          <w:sz w:val="24"/>
          <w:szCs w:val="24"/>
        </w:rPr>
        <w:t xml:space="preserve"> er kontraindiceret ved en eller flere af følgende tilstande:</w:t>
      </w:r>
    </w:p>
    <w:p w14:paraId="73653D77" w14:textId="77777777" w:rsidR="005C5F7A" w:rsidRPr="003D3D25" w:rsidRDefault="005C5F7A" w:rsidP="003D3D25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r w:rsidRPr="003D3D25">
        <w:rPr>
          <w:szCs w:val="24"/>
        </w:rPr>
        <w:t>Habituel eller psykogen polydipsi (daglig urinmængde på over 40 ml/kg/24 timer)</w:t>
      </w:r>
    </w:p>
    <w:p w14:paraId="0DF3E0D7" w14:textId="77777777" w:rsidR="005C5F7A" w:rsidRPr="003D3D25" w:rsidRDefault="005C5F7A" w:rsidP="003D3D25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r w:rsidRPr="003D3D25">
        <w:rPr>
          <w:szCs w:val="24"/>
        </w:rPr>
        <w:t xml:space="preserve">Kendt eller mistænkt hjerteinsufficiens eller andre tilstande, der kræver behandling med </w:t>
      </w:r>
      <w:proofErr w:type="spellStart"/>
      <w:r w:rsidRPr="003D3D25">
        <w:rPr>
          <w:szCs w:val="24"/>
        </w:rPr>
        <w:t>diuretika</w:t>
      </w:r>
      <w:proofErr w:type="spellEnd"/>
    </w:p>
    <w:p w14:paraId="60054D14" w14:textId="77777777" w:rsidR="005C5F7A" w:rsidRPr="003D3D25" w:rsidRDefault="005C5F7A" w:rsidP="003D3D25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r w:rsidRPr="003D3D25">
        <w:rPr>
          <w:szCs w:val="24"/>
        </w:rPr>
        <w:t>Moderat til svær nyreinsufficiens (</w:t>
      </w:r>
      <w:proofErr w:type="spellStart"/>
      <w:r w:rsidRPr="003D3D25">
        <w:rPr>
          <w:szCs w:val="24"/>
        </w:rPr>
        <w:t>kreatininclearance</w:t>
      </w:r>
      <w:proofErr w:type="spellEnd"/>
      <w:r w:rsidRPr="003D3D25">
        <w:rPr>
          <w:szCs w:val="24"/>
        </w:rPr>
        <w:t xml:space="preserve"> mindre end 50 ml/min)</w:t>
      </w:r>
    </w:p>
    <w:p w14:paraId="466AE237" w14:textId="77777777" w:rsidR="005C5F7A" w:rsidRPr="003D3D25" w:rsidRDefault="005C5F7A" w:rsidP="003D3D25">
      <w:pPr>
        <w:pStyle w:val="Listeafsnit"/>
        <w:numPr>
          <w:ilvl w:val="0"/>
          <w:numId w:val="9"/>
        </w:numPr>
        <w:ind w:left="1276" w:hanging="425"/>
        <w:rPr>
          <w:szCs w:val="24"/>
        </w:rPr>
      </w:pPr>
      <w:r w:rsidRPr="003D3D25">
        <w:rPr>
          <w:szCs w:val="24"/>
        </w:rPr>
        <w:t xml:space="preserve">Kendt </w:t>
      </w:r>
      <w:proofErr w:type="spellStart"/>
      <w:r w:rsidRPr="003D3D25">
        <w:rPr>
          <w:szCs w:val="24"/>
        </w:rPr>
        <w:t>hyponatriæmi</w:t>
      </w:r>
      <w:proofErr w:type="spellEnd"/>
      <w:r w:rsidRPr="003D3D25">
        <w:rPr>
          <w:szCs w:val="24"/>
        </w:rPr>
        <w:t xml:space="preserve"> eller kendt disposition for </w:t>
      </w:r>
      <w:proofErr w:type="spellStart"/>
      <w:r w:rsidRPr="003D3D25">
        <w:rPr>
          <w:szCs w:val="24"/>
        </w:rPr>
        <w:t>hyponatriæmi</w:t>
      </w:r>
      <w:proofErr w:type="spellEnd"/>
    </w:p>
    <w:p w14:paraId="0D752BAE" w14:textId="77777777" w:rsidR="005C5F7A" w:rsidRPr="003D3D25" w:rsidRDefault="005C5F7A" w:rsidP="003D3D25">
      <w:pPr>
        <w:pStyle w:val="Listeafsnit"/>
        <w:numPr>
          <w:ilvl w:val="0"/>
          <w:numId w:val="9"/>
        </w:numPr>
        <w:ind w:left="1276" w:hanging="425"/>
        <w:rPr>
          <w:szCs w:val="24"/>
          <w:lang w:val="en-GB"/>
        </w:rPr>
      </w:pPr>
      <w:r w:rsidRPr="003D3D25">
        <w:rPr>
          <w:szCs w:val="24"/>
          <w:lang w:val="en-GB"/>
        </w:rPr>
        <w:t>Syndrome of inappropriate antidiuretic hormone ADH release (SIADH).</w:t>
      </w:r>
    </w:p>
    <w:p w14:paraId="46DF7A02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0658768C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4.4</w:t>
      </w:r>
      <w:r w:rsidRPr="00BB348B">
        <w:rPr>
          <w:b/>
          <w:sz w:val="24"/>
          <w:szCs w:val="24"/>
        </w:rPr>
        <w:tab/>
        <w:t>Særlige advarsler og forsigtighedsregler vedrørende brugen</w:t>
      </w:r>
    </w:p>
    <w:p w14:paraId="55DD436F" w14:textId="77777777" w:rsidR="000679F0" w:rsidRDefault="000679F0" w:rsidP="00BB348B">
      <w:pPr>
        <w:ind w:left="851"/>
        <w:rPr>
          <w:sz w:val="24"/>
          <w:szCs w:val="24"/>
        </w:rPr>
      </w:pPr>
    </w:p>
    <w:p w14:paraId="4A3B9147" w14:textId="3E8D82BC" w:rsidR="005C5F7A" w:rsidRPr="000679F0" w:rsidRDefault="005C5F7A" w:rsidP="00BB348B">
      <w:pPr>
        <w:ind w:left="851"/>
        <w:rPr>
          <w:sz w:val="24"/>
          <w:szCs w:val="24"/>
          <w:u w:val="single"/>
          <w:lang w:eastAsia="da-DK"/>
        </w:rPr>
      </w:pPr>
      <w:r w:rsidRPr="000679F0">
        <w:rPr>
          <w:sz w:val="24"/>
          <w:szCs w:val="24"/>
          <w:u w:val="single"/>
        </w:rPr>
        <w:t>Advarsler</w:t>
      </w:r>
    </w:p>
    <w:p w14:paraId="6A4134AC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Ved behandling af primær </w:t>
      </w:r>
      <w:proofErr w:type="spellStart"/>
      <w:r w:rsidRPr="00BB348B">
        <w:rPr>
          <w:sz w:val="24"/>
          <w:szCs w:val="24"/>
        </w:rPr>
        <w:t>enuresis</w:t>
      </w:r>
      <w:proofErr w:type="spellEnd"/>
      <w:r w:rsidRPr="00BB348B">
        <w:rPr>
          <w:sz w:val="24"/>
          <w:szCs w:val="24"/>
        </w:rPr>
        <w:t xml:space="preserve"> </w:t>
      </w:r>
      <w:proofErr w:type="spellStart"/>
      <w:r w:rsidRPr="00BB348B">
        <w:rPr>
          <w:sz w:val="24"/>
          <w:szCs w:val="24"/>
        </w:rPr>
        <w:t>nocturna</w:t>
      </w:r>
      <w:proofErr w:type="spellEnd"/>
      <w:r w:rsidRPr="00BB348B">
        <w:rPr>
          <w:sz w:val="24"/>
          <w:szCs w:val="24"/>
        </w:rPr>
        <w:t xml:space="preserve"> og </w:t>
      </w:r>
      <w:proofErr w:type="spellStart"/>
      <w:r w:rsidRPr="00BB348B">
        <w:rPr>
          <w:sz w:val="24"/>
          <w:szCs w:val="24"/>
        </w:rPr>
        <w:t>nykturi</w:t>
      </w:r>
      <w:proofErr w:type="spellEnd"/>
      <w:r w:rsidRPr="00BB348B">
        <w:rPr>
          <w:sz w:val="24"/>
          <w:szCs w:val="24"/>
        </w:rPr>
        <w:t xml:space="preserve"> skal væskeindtaget begrænses mindst fra 1 time før og indtil 8 timer efter administration. Uden samtidig reduktion af væskeindtaget kan behandlingen føre til væskeretention og/eller </w:t>
      </w:r>
      <w:proofErr w:type="spellStart"/>
      <w:r w:rsidRPr="00BB348B">
        <w:rPr>
          <w:sz w:val="24"/>
          <w:szCs w:val="24"/>
        </w:rPr>
        <w:t>hyponatriæmi</w:t>
      </w:r>
      <w:proofErr w:type="spellEnd"/>
      <w:r w:rsidRPr="00BB348B">
        <w:rPr>
          <w:sz w:val="24"/>
          <w:szCs w:val="24"/>
        </w:rPr>
        <w:t xml:space="preserve"> med eller uden advarselstegn og symptomer (hovedpine, kvalme/opkastning, vægtøgning og, i alvorlige tilfælde, kramper) (se pkt. 4.8). Alle patienter og, hvor det er relevant, deres omsorgspersoner skal instrueres omhyggeligt i at være opmærksomme på væskerestriktion.</w:t>
      </w:r>
    </w:p>
    <w:p w14:paraId="628E8931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11320D6C" w14:textId="77777777" w:rsidR="005C5F7A" w:rsidRPr="000679F0" w:rsidRDefault="005C5F7A" w:rsidP="00BB348B">
      <w:pPr>
        <w:ind w:left="851"/>
        <w:rPr>
          <w:sz w:val="24"/>
          <w:szCs w:val="24"/>
          <w:u w:val="single"/>
        </w:rPr>
      </w:pPr>
      <w:r w:rsidRPr="000679F0">
        <w:rPr>
          <w:sz w:val="24"/>
          <w:szCs w:val="24"/>
          <w:u w:val="single"/>
        </w:rPr>
        <w:t>Forholdsregler</w:t>
      </w:r>
    </w:p>
    <w:p w14:paraId="48399BEF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Alvorlig blæredysfunktion og udløbsobstruktion skal udelukkes, før behandlingen påbegyndes.</w:t>
      </w:r>
    </w:p>
    <w:p w14:paraId="65200666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Der er øget risiko for </w:t>
      </w:r>
      <w:proofErr w:type="spellStart"/>
      <w:r w:rsidRPr="00BB348B">
        <w:rPr>
          <w:sz w:val="24"/>
          <w:szCs w:val="24"/>
        </w:rPr>
        <w:t>hyponatriæmi</w:t>
      </w:r>
      <w:proofErr w:type="spellEnd"/>
      <w:r w:rsidRPr="00BB348B">
        <w:rPr>
          <w:sz w:val="24"/>
          <w:szCs w:val="24"/>
        </w:rPr>
        <w:t xml:space="preserve"> hos ældre med natriumniveauer i den lave del af normalområdet. Behandling med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bør seponeres ved akutte sygdomme, der er karakteriseret ved væske- og/eller elektrolytubalance (f.eks. systemiske infektioner, feber eller </w:t>
      </w:r>
      <w:proofErr w:type="spellStart"/>
      <w:r w:rsidRPr="00BB348B">
        <w:rPr>
          <w:sz w:val="24"/>
          <w:szCs w:val="24"/>
        </w:rPr>
        <w:t>gastroenteritis</w:t>
      </w:r>
      <w:proofErr w:type="spellEnd"/>
      <w:r w:rsidRPr="00BB348B">
        <w:rPr>
          <w:sz w:val="24"/>
          <w:szCs w:val="24"/>
        </w:rPr>
        <w:t>).</w:t>
      </w:r>
    </w:p>
    <w:p w14:paraId="18A26A72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29DA66C4" w14:textId="1C411944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lastRenderedPageBreak/>
        <w:t xml:space="preserve">Der skal tages forholdsregler hos patienter med risiko for øget </w:t>
      </w:r>
      <w:proofErr w:type="spellStart"/>
      <w:r w:rsidRPr="00BB348B">
        <w:rPr>
          <w:sz w:val="24"/>
          <w:szCs w:val="24"/>
        </w:rPr>
        <w:t>intrakranielt</w:t>
      </w:r>
      <w:proofErr w:type="spellEnd"/>
      <w:r w:rsidRPr="00BB348B">
        <w:rPr>
          <w:sz w:val="24"/>
          <w:szCs w:val="24"/>
        </w:rPr>
        <w:t xml:space="preserve"> tryk.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bør anvendes med forsigtighed til patienter med tilstande, der påvirker væske- og/eller elektrolytbalancen. Forholdsregler for at undgå </w:t>
      </w:r>
      <w:proofErr w:type="spellStart"/>
      <w:r w:rsidRPr="00BB348B">
        <w:rPr>
          <w:sz w:val="24"/>
          <w:szCs w:val="24"/>
        </w:rPr>
        <w:t>hyponatriæmi</w:t>
      </w:r>
      <w:proofErr w:type="spellEnd"/>
      <w:r w:rsidRPr="00BB348B">
        <w:rPr>
          <w:sz w:val="24"/>
          <w:szCs w:val="24"/>
        </w:rPr>
        <w:t xml:space="preserve">, herunder omhyggelig opmærksomhed på væskeretention og hyppigere overvågning af serumnatrium, skal især tages i tilfælde af samtidig behandling med lægemidler, der vides at inducere SIADH, f.eks. tricykliske </w:t>
      </w:r>
      <w:proofErr w:type="spellStart"/>
      <w:r w:rsidRPr="00BB348B">
        <w:rPr>
          <w:sz w:val="24"/>
          <w:szCs w:val="24"/>
        </w:rPr>
        <w:t>antidepressiva</w:t>
      </w:r>
      <w:proofErr w:type="spellEnd"/>
      <w:r w:rsidRPr="00BB348B">
        <w:rPr>
          <w:sz w:val="24"/>
          <w:szCs w:val="24"/>
        </w:rPr>
        <w:t xml:space="preserve">, selektive </w:t>
      </w:r>
      <w:proofErr w:type="spellStart"/>
      <w:r w:rsidRPr="00BB348B">
        <w:rPr>
          <w:sz w:val="24"/>
          <w:szCs w:val="24"/>
        </w:rPr>
        <w:t>serotoningenoptags</w:t>
      </w:r>
      <w:r w:rsidR="00F22D92">
        <w:rPr>
          <w:sz w:val="24"/>
          <w:szCs w:val="24"/>
        </w:rPr>
        <w:softHyphen/>
      </w:r>
      <w:r w:rsidRPr="00BB348B">
        <w:rPr>
          <w:sz w:val="24"/>
          <w:szCs w:val="24"/>
        </w:rPr>
        <w:t>hæmmere</w:t>
      </w:r>
      <w:proofErr w:type="spellEnd"/>
      <w:r w:rsidRPr="00BB348B">
        <w:rPr>
          <w:sz w:val="24"/>
          <w:szCs w:val="24"/>
        </w:rPr>
        <w:t xml:space="preserve">, </w:t>
      </w:r>
      <w:proofErr w:type="spellStart"/>
      <w:r w:rsidRPr="00BB348B">
        <w:rPr>
          <w:sz w:val="24"/>
          <w:szCs w:val="24"/>
        </w:rPr>
        <w:t>chlorpromazin</w:t>
      </w:r>
      <w:proofErr w:type="spellEnd"/>
      <w:r w:rsidRPr="00BB348B">
        <w:rPr>
          <w:sz w:val="24"/>
          <w:szCs w:val="24"/>
        </w:rPr>
        <w:t xml:space="preserve"> og </w:t>
      </w:r>
      <w:proofErr w:type="spellStart"/>
      <w:r w:rsidRPr="00BB348B">
        <w:rPr>
          <w:sz w:val="24"/>
          <w:szCs w:val="24"/>
        </w:rPr>
        <w:t>carbamazepin</w:t>
      </w:r>
      <w:proofErr w:type="spellEnd"/>
      <w:r w:rsidRPr="00BB348B">
        <w:rPr>
          <w:sz w:val="24"/>
          <w:szCs w:val="24"/>
        </w:rPr>
        <w:t xml:space="preserve">, samt ved samtidig behandling med </w:t>
      </w:r>
      <w:proofErr w:type="spellStart"/>
      <w:r w:rsidRPr="00BB348B">
        <w:rPr>
          <w:sz w:val="24"/>
          <w:szCs w:val="24"/>
        </w:rPr>
        <w:t>NSAID'er</w:t>
      </w:r>
      <w:proofErr w:type="spellEnd"/>
      <w:r w:rsidRPr="00BB348B">
        <w:rPr>
          <w:sz w:val="24"/>
          <w:szCs w:val="24"/>
        </w:rPr>
        <w:t xml:space="preserve"> (se pkt. 4.5).</w:t>
      </w:r>
    </w:p>
    <w:p w14:paraId="4A1018AC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8F68F5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4.5</w:t>
      </w:r>
      <w:r w:rsidRPr="00BB348B">
        <w:rPr>
          <w:b/>
          <w:sz w:val="24"/>
          <w:szCs w:val="24"/>
        </w:rPr>
        <w:tab/>
        <w:t>Interaktion med andre lægemidler og andre former for interaktion</w:t>
      </w:r>
    </w:p>
    <w:p w14:paraId="0DF381A8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 xml:space="preserve">Stoffer, som vides at inducere SIADH, f.eks. tricykliske </w:t>
      </w:r>
      <w:proofErr w:type="spellStart"/>
      <w:r w:rsidRPr="00BB348B">
        <w:rPr>
          <w:sz w:val="24"/>
          <w:szCs w:val="24"/>
        </w:rPr>
        <w:t>antidepressiva</w:t>
      </w:r>
      <w:proofErr w:type="spellEnd"/>
      <w:r w:rsidRPr="00BB348B">
        <w:rPr>
          <w:sz w:val="24"/>
          <w:szCs w:val="24"/>
        </w:rPr>
        <w:t xml:space="preserve">, selektive </w:t>
      </w:r>
      <w:proofErr w:type="spellStart"/>
      <w:r w:rsidRPr="00BB348B">
        <w:rPr>
          <w:sz w:val="24"/>
          <w:szCs w:val="24"/>
        </w:rPr>
        <w:t>serotoningenoptagshæmmere</w:t>
      </w:r>
      <w:proofErr w:type="spellEnd"/>
      <w:r w:rsidRPr="00BB348B">
        <w:rPr>
          <w:sz w:val="24"/>
          <w:szCs w:val="24"/>
        </w:rPr>
        <w:t xml:space="preserve">, </w:t>
      </w:r>
      <w:proofErr w:type="spellStart"/>
      <w:r w:rsidRPr="00BB348B">
        <w:rPr>
          <w:sz w:val="24"/>
          <w:szCs w:val="24"/>
        </w:rPr>
        <w:t>chlorpromazin</w:t>
      </w:r>
      <w:proofErr w:type="spellEnd"/>
      <w:r w:rsidRPr="00BB348B">
        <w:rPr>
          <w:sz w:val="24"/>
          <w:szCs w:val="24"/>
        </w:rPr>
        <w:t xml:space="preserve"> og </w:t>
      </w:r>
      <w:proofErr w:type="spellStart"/>
      <w:r w:rsidRPr="00BB348B">
        <w:rPr>
          <w:sz w:val="24"/>
          <w:szCs w:val="24"/>
        </w:rPr>
        <w:t>carbamazepin</w:t>
      </w:r>
      <w:proofErr w:type="spellEnd"/>
      <w:r w:rsidRPr="00BB348B">
        <w:rPr>
          <w:sz w:val="24"/>
          <w:szCs w:val="24"/>
        </w:rPr>
        <w:t xml:space="preserve">, samt diabetesmedicin i </w:t>
      </w:r>
      <w:proofErr w:type="spellStart"/>
      <w:r w:rsidRPr="00BB348B">
        <w:rPr>
          <w:sz w:val="24"/>
          <w:szCs w:val="24"/>
        </w:rPr>
        <w:t>sulfonylurinstofgruppen</w:t>
      </w:r>
      <w:proofErr w:type="spellEnd"/>
      <w:r w:rsidRPr="00BB348B">
        <w:rPr>
          <w:sz w:val="24"/>
          <w:szCs w:val="24"/>
        </w:rPr>
        <w:t xml:space="preserve">, især </w:t>
      </w:r>
      <w:proofErr w:type="spellStart"/>
      <w:r w:rsidRPr="00BB348B">
        <w:rPr>
          <w:sz w:val="24"/>
          <w:szCs w:val="24"/>
        </w:rPr>
        <w:t>chlorpropamid</w:t>
      </w:r>
      <w:proofErr w:type="spellEnd"/>
      <w:r w:rsidRPr="00BB348B">
        <w:rPr>
          <w:sz w:val="24"/>
          <w:szCs w:val="24"/>
        </w:rPr>
        <w:t>, kan forårsage en additiv antidiuretisk effekt og øge risikoen for væskeretention/</w:t>
      </w:r>
      <w:proofErr w:type="spellStart"/>
      <w:r w:rsidRPr="00BB348B">
        <w:rPr>
          <w:sz w:val="24"/>
          <w:szCs w:val="24"/>
        </w:rPr>
        <w:t>hyponatriæmi</w:t>
      </w:r>
      <w:proofErr w:type="spellEnd"/>
      <w:r w:rsidRPr="00BB348B">
        <w:rPr>
          <w:sz w:val="24"/>
          <w:szCs w:val="24"/>
        </w:rPr>
        <w:t xml:space="preserve"> (se pkt. 4.4).</w:t>
      </w:r>
    </w:p>
    <w:p w14:paraId="51C1BE1B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10A6F4DE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Anti-inflammatoriske lægemidler (</w:t>
      </w:r>
      <w:proofErr w:type="spellStart"/>
      <w:r w:rsidRPr="00BB348B">
        <w:rPr>
          <w:sz w:val="24"/>
          <w:szCs w:val="24"/>
        </w:rPr>
        <w:t>NSAID'er</w:t>
      </w:r>
      <w:proofErr w:type="spellEnd"/>
      <w:r w:rsidRPr="00BB348B">
        <w:rPr>
          <w:sz w:val="24"/>
          <w:szCs w:val="24"/>
        </w:rPr>
        <w:t>) kan inducere væskeretention/</w:t>
      </w:r>
      <w:proofErr w:type="spellStart"/>
      <w:r w:rsidRPr="00BB348B">
        <w:rPr>
          <w:sz w:val="24"/>
          <w:szCs w:val="24"/>
        </w:rPr>
        <w:t>hyponatriæmi</w:t>
      </w:r>
      <w:proofErr w:type="spellEnd"/>
      <w:r w:rsidRPr="00BB348B">
        <w:rPr>
          <w:sz w:val="24"/>
          <w:szCs w:val="24"/>
        </w:rPr>
        <w:t xml:space="preserve"> (se pkt. 4.4).</w:t>
      </w:r>
    </w:p>
    <w:p w14:paraId="700CA111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2F8C00C3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Samtidig behandling med </w:t>
      </w:r>
      <w:proofErr w:type="spellStart"/>
      <w:r w:rsidRPr="00BB348B">
        <w:rPr>
          <w:sz w:val="24"/>
          <w:szCs w:val="24"/>
        </w:rPr>
        <w:t>loperamid</w:t>
      </w:r>
      <w:proofErr w:type="spellEnd"/>
      <w:r w:rsidRPr="00BB348B">
        <w:rPr>
          <w:sz w:val="24"/>
          <w:szCs w:val="24"/>
        </w:rPr>
        <w:t xml:space="preserve"> kan resultere i en tredobbelt stigning i plasmakoncentrationen af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>, hvilket kan føre til en øget risiko for væskeretention/</w:t>
      </w:r>
      <w:proofErr w:type="spellStart"/>
      <w:r w:rsidRPr="00BB348B">
        <w:rPr>
          <w:sz w:val="24"/>
          <w:szCs w:val="24"/>
        </w:rPr>
        <w:t>hyponatriæmi</w:t>
      </w:r>
      <w:proofErr w:type="spellEnd"/>
      <w:r w:rsidRPr="00BB348B">
        <w:rPr>
          <w:sz w:val="24"/>
          <w:szCs w:val="24"/>
        </w:rPr>
        <w:t>.</w:t>
      </w:r>
    </w:p>
    <w:p w14:paraId="29060EC9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Selvom det ikke er undersøgt, kan andre lægemidler, der bremser tarmtransporten, desuden have samme effekt.</w:t>
      </w:r>
    </w:p>
    <w:p w14:paraId="6871F59B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76E82B2C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Det er usandsynligt, at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interagerer med lægemidler, som påvirker levermetabolismen, da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ikke udviser signifikant levermetabolisme i humane </w:t>
      </w:r>
      <w:proofErr w:type="spellStart"/>
      <w:r w:rsidRPr="00BB348B">
        <w:rPr>
          <w:sz w:val="24"/>
          <w:szCs w:val="24"/>
        </w:rPr>
        <w:t>mikrosomer</w:t>
      </w:r>
      <w:proofErr w:type="spellEnd"/>
      <w:r w:rsidRPr="00BB348B">
        <w:rPr>
          <w:sz w:val="24"/>
          <w:szCs w:val="24"/>
        </w:rPr>
        <w:t xml:space="preserve"> </w:t>
      </w:r>
      <w:r w:rsidRPr="00BB348B">
        <w:rPr>
          <w:i/>
          <w:iCs/>
          <w:sz w:val="24"/>
          <w:szCs w:val="24"/>
        </w:rPr>
        <w:t xml:space="preserve">in </w:t>
      </w:r>
      <w:proofErr w:type="spellStart"/>
      <w:r w:rsidRPr="00BB348B">
        <w:rPr>
          <w:i/>
          <w:iCs/>
          <w:sz w:val="24"/>
          <w:szCs w:val="24"/>
        </w:rPr>
        <w:t>vitro</w:t>
      </w:r>
      <w:proofErr w:type="spellEnd"/>
      <w:r w:rsidRPr="00BB348B">
        <w:rPr>
          <w:i/>
          <w:iCs/>
          <w:sz w:val="24"/>
          <w:szCs w:val="24"/>
        </w:rPr>
        <w:t>.</w:t>
      </w:r>
      <w:r w:rsidRPr="00BB348B">
        <w:rPr>
          <w:sz w:val="24"/>
          <w:szCs w:val="24"/>
        </w:rPr>
        <w:t xml:space="preserve"> Der er dog ikke udført </w:t>
      </w:r>
      <w:r w:rsidRPr="00BB348B">
        <w:rPr>
          <w:i/>
          <w:iCs/>
          <w:sz w:val="24"/>
          <w:szCs w:val="24"/>
        </w:rPr>
        <w:t xml:space="preserve">in </w:t>
      </w:r>
      <w:proofErr w:type="spellStart"/>
      <w:r w:rsidRPr="00BB348B">
        <w:rPr>
          <w:i/>
          <w:iCs/>
          <w:sz w:val="24"/>
          <w:szCs w:val="24"/>
        </w:rPr>
        <w:t>vivo</w:t>
      </w:r>
      <w:proofErr w:type="spellEnd"/>
      <w:r w:rsidRPr="00BB348B">
        <w:rPr>
          <w:i/>
          <w:iCs/>
          <w:sz w:val="24"/>
          <w:szCs w:val="24"/>
        </w:rPr>
        <w:t>-</w:t>
      </w:r>
      <w:r w:rsidRPr="00BB348B">
        <w:rPr>
          <w:sz w:val="24"/>
          <w:szCs w:val="24"/>
        </w:rPr>
        <w:t>interaktionsstudier.</w:t>
      </w:r>
    </w:p>
    <w:p w14:paraId="43CD3E74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33E1D191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Samtidig fødeindtagelse har ikke været undersøgt med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frysetørret </w:t>
      </w:r>
      <w:proofErr w:type="spellStart"/>
      <w:r w:rsidRPr="00BB348B">
        <w:rPr>
          <w:sz w:val="24"/>
          <w:szCs w:val="24"/>
        </w:rPr>
        <w:t>sublingual</w:t>
      </w:r>
      <w:proofErr w:type="spellEnd"/>
      <w:r w:rsidRPr="00BB348B">
        <w:rPr>
          <w:sz w:val="24"/>
          <w:szCs w:val="24"/>
        </w:rPr>
        <w:t xml:space="preserve"> tablet, kun med </w:t>
      </w:r>
      <w:proofErr w:type="spellStart"/>
      <w:r w:rsidRPr="00BB348B">
        <w:rPr>
          <w:sz w:val="24"/>
          <w:szCs w:val="24"/>
        </w:rPr>
        <w:t>desmopressintabletter</w:t>
      </w:r>
      <w:proofErr w:type="spellEnd"/>
      <w:r w:rsidRPr="00BB348B">
        <w:rPr>
          <w:sz w:val="24"/>
          <w:szCs w:val="24"/>
        </w:rPr>
        <w:t xml:space="preserve">. Et standardiseret måltid med 27 % fedt nedsatte </w:t>
      </w:r>
      <w:proofErr w:type="gramStart"/>
      <w:r w:rsidRPr="00BB348B">
        <w:rPr>
          <w:sz w:val="24"/>
          <w:szCs w:val="24"/>
        </w:rPr>
        <w:t>signifikant absorptionen</w:t>
      </w:r>
      <w:proofErr w:type="gramEnd"/>
      <w:r w:rsidRPr="00BB348B">
        <w:rPr>
          <w:sz w:val="24"/>
          <w:szCs w:val="24"/>
        </w:rPr>
        <w:t xml:space="preserve"> af konventionelle </w:t>
      </w:r>
      <w:proofErr w:type="spellStart"/>
      <w:r w:rsidRPr="00BB348B">
        <w:rPr>
          <w:sz w:val="24"/>
          <w:szCs w:val="24"/>
        </w:rPr>
        <w:t>desmopressintabletter</w:t>
      </w:r>
      <w:proofErr w:type="spellEnd"/>
      <w:r w:rsidRPr="00BB348B">
        <w:rPr>
          <w:sz w:val="24"/>
          <w:szCs w:val="24"/>
        </w:rPr>
        <w:t xml:space="preserve"> (absorptionshastighed og -omfang). Der blev ikke observeret nogen signifikant effekt med hensyn til </w:t>
      </w:r>
      <w:proofErr w:type="spellStart"/>
      <w:r w:rsidRPr="00BB348B">
        <w:rPr>
          <w:sz w:val="24"/>
          <w:szCs w:val="24"/>
        </w:rPr>
        <w:t>farmakodynamiske</w:t>
      </w:r>
      <w:proofErr w:type="spellEnd"/>
      <w:r w:rsidRPr="00BB348B">
        <w:rPr>
          <w:sz w:val="24"/>
          <w:szCs w:val="24"/>
        </w:rPr>
        <w:t xml:space="preserve"> egenskaber (urinproduktion eller </w:t>
      </w:r>
      <w:proofErr w:type="spellStart"/>
      <w:r w:rsidRPr="00BB348B">
        <w:rPr>
          <w:sz w:val="24"/>
          <w:szCs w:val="24"/>
        </w:rPr>
        <w:t>osmolalitet</w:t>
      </w:r>
      <w:proofErr w:type="spellEnd"/>
      <w:r w:rsidRPr="00BB348B">
        <w:rPr>
          <w:sz w:val="24"/>
          <w:szCs w:val="24"/>
        </w:rPr>
        <w:t>).</w:t>
      </w:r>
    </w:p>
    <w:p w14:paraId="793170F4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78C73334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Samtidig fødeindtagelse kan reducere intensiteten og varigheden af den antidiuretiske effekt ved lave orale doser af </w:t>
      </w:r>
      <w:proofErr w:type="spellStart"/>
      <w:r w:rsidRPr="00BB348B">
        <w:rPr>
          <w:sz w:val="24"/>
          <w:szCs w:val="24"/>
        </w:rPr>
        <w:t>desmopressintabletter</w:t>
      </w:r>
      <w:proofErr w:type="spellEnd"/>
      <w:r w:rsidRPr="00BB348B">
        <w:rPr>
          <w:sz w:val="24"/>
          <w:szCs w:val="24"/>
        </w:rPr>
        <w:t>.</w:t>
      </w:r>
    </w:p>
    <w:p w14:paraId="569300C5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915A3C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4.6</w:t>
      </w:r>
      <w:r w:rsidRPr="00BB348B">
        <w:rPr>
          <w:b/>
          <w:sz w:val="24"/>
          <w:szCs w:val="24"/>
        </w:rPr>
        <w:tab/>
      </w:r>
      <w:r w:rsidR="0071241E" w:rsidRPr="00BB348B">
        <w:rPr>
          <w:b/>
          <w:sz w:val="24"/>
          <w:szCs w:val="24"/>
        </w:rPr>
        <w:t>Fertilitet, g</w:t>
      </w:r>
      <w:r w:rsidRPr="00BB348B">
        <w:rPr>
          <w:b/>
          <w:sz w:val="24"/>
          <w:szCs w:val="24"/>
        </w:rPr>
        <w:t>raviditet og amning</w:t>
      </w:r>
    </w:p>
    <w:p w14:paraId="161CF28C" w14:textId="77777777" w:rsidR="000679F0" w:rsidRDefault="000679F0" w:rsidP="00BB348B">
      <w:pPr>
        <w:ind w:left="851"/>
        <w:rPr>
          <w:sz w:val="24"/>
          <w:szCs w:val="24"/>
        </w:rPr>
      </w:pPr>
    </w:p>
    <w:p w14:paraId="64D943DB" w14:textId="2470CAB3" w:rsidR="005C5F7A" w:rsidRPr="000679F0" w:rsidRDefault="005C5F7A" w:rsidP="00BB348B">
      <w:pPr>
        <w:ind w:left="851"/>
        <w:rPr>
          <w:sz w:val="24"/>
          <w:szCs w:val="24"/>
          <w:u w:val="single"/>
          <w:lang w:eastAsia="da-DK"/>
        </w:rPr>
      </w:pPr>
      <w:r w:rsidRPr="000679F0">
        <w:rPr>
          <w:sz w:val="24"/>
          <w:szCs w:val="24"/>
          <w:u w:val="single"/>
        </w:rPr>
        <w:t>Graviditet</w:t>
      </w:r>
    </w:p>
    <w:p w14:paraId="7E0D16C6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Data fra et begrænset antal (n=53) gravide kvinder behandlet med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for diabetes </w:t>
      </w:r>
      <w:proofErr w:type="spellStart"/>
      <w:r w:rsidRPr="00BB348B">
        <w:rPr>
          <w:sz w:val="24"/>
          <w:szCs w:val="24"/>
        </w:rPr>
        <w:t>insipidus</w:t>
      </w:r>
      <w:proofErr w:type="spellEnd"/>
      <w:r w:rsidRPr="00BB348B">
        <w:rPr>
          <w:sz w:val="24"/>
          <w:szCs w:val="24"/>
        </w:rPr>
        <w:t xml:space="preserve">, samt data fra et begrænset antal (n=54) gravide kvinder med von Willebrands sygdom, viser ingen skadelige virkninger af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på graviditet eller fostrets/det nyfødte barns helbred. Der er ingen andre tilgængelige relevante epidemiologiske data. Dyreforsøg viser ikke direkte eller indirekte skadelige virkninger med hensyn til drægtighed, </w:t>
      </w:r>
      <w:proofErr w:type="spellStart"/>
      <w:r w:rsidRPr="00BB348B">
        <w:rPr>
          <w:sz w:val="24"/>
          <w:szCs w:val="24"/>
        </w:rPr>
        <w:t>embryoføtal</w:t>
      </w:r>
      <w:proofErr w:type="spellEnd"/>
      <w:r w:rsidRPr="00BB348B">
        <w:rPr>
          <w:sz w:val="24"/>
          <w:szCs w:val="24"/>
        </w:rPr>
        <w:t xml:space="preserve"> udvikling, fødsel eller </w:t>
      </w:r>
      <w:proofErr w:type="spellStart"/>
      <w:r w:rsidRPr="00BB348B">
        <w:rPr>
          <w:sz w:val="24"/>
          <w:szCs w:val="24"/>
        </w:rPr>
        <w:t>postnatal</w:t>
      </w:r>
      <w:proofErr w:type="spellEnd"/>
      <w:r w:rsidRPr="00BB348B">
        <w:rPr>
          <w:sz w:val="24"/>
          <w:szCs w:val="24"/>
        </w:rPr>
        <w:t xml:space="preserve"> udvikling.</w:t>
      </w:r>
    </w:p>
    <w:p w14:paraId="572FB18C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5BBB3F5E" w14:textId="417A2118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Der skal udvises forsigtighed ved ordination af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</w:t>
      </w:r>
      <w:r w:rsidR="00F22D92">
        <w:rPr>
          <w:sz w:val="24"/>
          <w:szCs w:val="24"/>
        </w:rPr>
        <w:t>"Orifarm"</w:t>
      </w:r>
      <w:r w:rsidRPr="00BB348B">
        <w:rPr>
          <w:sz w:val="24"/>
          <w:szCs w:val="24"/>
        </w:rPr>
        <w:t xml:space="preserve"> til gravide kvinder.</w:t>
      </w:r>
    </w:p>
    <w:p w14:paraId="397AEE7D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3C1BF61F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lastRenderedPageBreak/>
        <w:t xml:space="preserve">Der er ikke udført undersøgelser under graviditet. </w:t>
      </w:r>
      <w:r w:rsidRPr="00BB348B">
        <w:rPr>
          <w:i/>
          <w:iCs/>
          <w:sz w:val="24"/>
          <w:szCs w:val="24"/>
        </w:rPr>
        <w:t xml:space="preserve">In </w:t>
      </w:r>
      <w:proofErr w:type="spellStart"/>
      <w:r w:rsidRPr="00BB348B">
        <w:rPr>
          <w:i/>
          <w:iCs/>
          <w:sz w:val="24"/>
          <w:szCs w:val="24"/>
        </w:rPr>
        <w:t>vitro</w:t>
      </w:r>
      <w:proofErr w:type="spellEnd"/>
      <w:r w:rsidRPr="00BB348B">
        <w:rPr>
          <w:sz w:val="24"/>
          <w:szCs w:val="24"/>
        </w:rPr>
        <w:t xml:space="preserve">-studier i humane </w:t>
      </w:r>
      <w:proofErr w:type="spellStart"/>
      <w:r w:rsidRPr="00BB348B">
        <w:rPr>
          <w:sz w:val="24"/>
          <w:szCs w:val="24"/>
        </w:rPr>
        <w:t>cotyledon</w:t>
      </w:r>
      <w:proofErr w:type="spellEnd"/>
      <w:r w:rsidRPr="00BB348B">
        <w:rPr>
          <w:sz w:val="24"/>
          <w:szCs w:val="24"/>
        </w:rPr>
        <w:t xml:space="preserve">-modeller har vist, at </w:t>
      </w:r>
      <w:proofErr w:type="spellStart"/>
      <w:r w:rsidRPr="00BB348B">
        <w:rPr>
          <w:sz w:val="24"/>
          <w:szCs w:val="24"/>
        </w:rPr>
        <w:t>transplacental</w:t>
      </w:r>
      <w:proofErr w:type="spellEnd"/>
      <w:r w:rsidRPr="00BB348B">
        <w:rPr>
          <w:sz w:val="24"/>
          <w:szCs w:val="24"/>
        </w:rPr>
        <w:t xml:space="preserve"> transport af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er fraværende, når det administreres i terapeutiske koncentrationer svarende til de anbefalede doser.</w:t>
      </w:r>
    </w:p>
    <w:p w14:paraId="17BDCC65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6756FCF4" w14:textId="77777777" w:rsidR="005C5F7A" w:rsidRPr="000679F0" w:rsidRDefault="005C5F7A" w:rsidP="00BB348B">
      <w:pPr>
        <w:ind w:left="851"/>
        <w:rPr>
          <w:sz w:val="24"/>
          <w:szCs w:val="24"/>
          <w:u w:val="single"/>
        </w:rPr>
      </w:pPr>
      <w:r w:rsidRPr="000679F0">
        <w:rPr>
          <w:sz w:val="24"/>
          <w:szCs w:val="24"/>
          <w:u w:val="single"/>
        </w:rPr>
        <w:t>Amning</w:t>
      </w:r>
    </w:p>
    <w:p w14:paraId="0F331AAC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Resultater fra analyser af modermælk fra mødre, der har fået høje doser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(300 mikrogram intranasalt), viser, at mængden af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>, der kan overføres til barnet, er væsentligt lavere end de mængder, der kræves for at forårsage antidiurese.</w:t>
      </w:r>
    </w:p>
    <w:p w14:paraId="7905B312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B3BAA3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4.7</w:t>
      </w:r>
      <w:r w:rsidRPr="00BB348B">
        <w:rPr>
          <w:b/>
          <w:sz w:val="24"/>
          <w:szCs w:val="24"/>
        </w:rPr>
        <w:tab/>
        <w:t xml:space="preserve">Virkning på evnen til at føre motorkøretøj </w:t>
      </w:r>
      <w:r w:rsidR="0071241E" w:rsidRPr="00BB348B">
        <w:rPr>
          <w:b/>
          <w:sz w:val="24"/>
          <w:szCs w:val="24"/>
        </w:rPr>
        <w:t>og</w:t>
      </w:r>
      <w:r w:rsidRPr="00BB348B">
        <w:rPr>
          <w:b/>
          <w:sz w:val="24"/>
          <w:szCs w:val="24"/>
        </w:rPr>
        <w:t xml:space="preserve"> betjene maskiner</w:t>
      </w:r>
    </w:p>
    <w:p w14:paraId="5A95805B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>Ikke mærkning.</w:t>
      </w:r>
    </w:p>
    <w:p w14:paraId="346A1241" w14:textId="127C7BCE" w:rsidR="005C5F7A" w:rsidRPr="00BB348B" w:rsidRDefault="005C5F7A" w:rsidP="00BB348B">
      <w:pPr>
        <w:ind w:left="851"/>
        <w:rPr>
          <w:sz w:val="24"/>
          <w:szCs w:val="24"/>
        </w:rPr>
      </w:pP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</w:t>
      </w:r>
      <w:r w:rsidR="00F22D92">
        <w:rPr>
          <w:rStyle w:val="Bodytext1"/>
          <w:sz w:val="24"/>
          <w:szCs w:val="24"/>
          <w:lang w:bidi="en-GB"/>
        </w:rPr>
        <w:t>"Orifarm"</w:t>
      </w:r>
      <w:r w:rsidRPr="00BB348B">
        <w:rPr>
          <w:rStyle w:val="Bodytext1"/>
          <w:sz w:val="24"/>
          <w:szCs w:val="24"/>
          <w:lang w:bidi="en-GB"/>
        </w:rPr>
        <w:t xml:space="preserve"> </w:t>
      </w:r>
      <w:r w:rsidRPr="00BB348B">
        <w:rPr>
          <w:sz w:val="24"/>
          <w:szCs w:val="24"/>
        </w:rPr>
        <w:t>påvirker ikke eller kun i ubetydelig grad evnen til at føre motorkøretøj og betjene maskiner.</w:t>
      </w:r>
    </w:p>
    <w:p w14:paraId="43247F9D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4078A2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4.8</w:t>
      </w:r>
      <w:r w:rsidRPr="00BB348B">
        <w:rPr>
          <w:b/>
          <w:sz w:val="24"/>
          <w:szCs w:val="24"/>
        </w:rPr>
        <w:tab/>
        <w:t>Bivirkninger</w:t>
      </w:r>
    </w:p>
    <w:p w14:paraId="4048C482" w14:textId="77777777" w:rsidR="000679F0" w:rsidRDefault="000679F0" w:rsidP="00BB348B">
      <w:pPr>
        <w:ind w:left="851"/>
        <w:rPr>
          <w:rStyle w:val="Bodytext1"/>
          <w:sz w:val="24"/>
          <w:szCs w:val="24"/>
          <w:u w:val="single"/>
          <w:lang w:bidi="en-GB"/>
        </w:rPr>
      </w:pPr>
    </w:p>
    <w:p w14:paraId="0362AC8B" w14:textId="6F919D34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rStyle w:val="Bodytext1"/>
          <w:sz w:val="24"/>
          <w:szCs w:val="24"/>
          <w:u w:val="single"/>
          <w:lang w:bidi="en-GB"/>
        </w:rPr>
        <w:t>Resumé af sikkerhedsprofilen</w:t>
      </w:r>
    </w:p>
    <w:p w14:paraId="7B8211FB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rStyle w:val="Bodytext1"/>
          <w:sz w:val="24"/>
          <w:szCs w:val="24"/>
          <w:lang w:bidi="en-GB"/>
        </w:rPr>
        <w:t xml:space="preserve">Den mest alvorlige uønskede virkning af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er </w:t>
      </w:r>
      <w:proofErr w:type="spellStart"/>
      <w:r w:rsidRPr="00BB348B">
        <w:rPr>
          <w:rStyle w:val="Bodytext1"/>
          <w:sz w:val="24"/>
          <w:szCs w:val="24"/>
          <w:lang w:bidi="en-GB"/>
        </w:rPr>
        <w:t>hyponatriæmi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, som kan forårsage hovedpine, mavesmerter, kvalme, opkastninger, vægtøgning, svimmelhed, konfusion, utilpashed, hukommelsessvækkelse, </w:t>
      </w:r>
      <w:proofErr w:type="spellStart"/>
      <w:r w:rsidRPr="00BB348B">
        <w:rPr>
          <w:rStyle w:val="Bodytext1"/>
          <w:sz w:val="24"/>
          <w:szCs w:val="24"/>
          <w:lang w:bidi="en-GB"/>
        </w:rPr>
        <w:t>vertigo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, faldtendens og i alvorlige tilfælde kramper og koma. Hos størstedelen af de voksne, der blev behandlet for </w:t>
      </w:r>
      <w:proofErr w:type="spellStart"/>
      <w:r w:rsidRPr="00BB348B">
        <w:rPr>
          <w:rStyle w:val="Bodytext1"/>
          <w:sz w:val="24"/>
          <w:szCs w:val="24"/>
          <w:lang w:bidi="en-GB"/>
        </w:rPr>
        <w:t>nykturi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, og som efterfølgende udviklede </w:t>
      </w:r>
      <w:proofErr w:type="spellStart"/>
      <w:r w:rsidRPr="00BB348B">
        <w:rPr>
          <w:rStyle w:val="Bodytext1"/>
          <w:sz w:val="24"/>
          <w:szCs w:val="24"/>
          <w:lang w:bidi="en-GB"/>
        </w:rPr>
        <w:t>hyponatriæmi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, faldt natriumniveauet i serum inden for 3 dages administration. Hos voksne øges risikoen for </w:t>
      </w:r>
      <w:proofErr w:type="spellStart"/>
      <w:r w:rsidRPr="00BB348B">
        <w:rPr>
          <w:rStyle w:val="Bodytext1"/>
          <w:sz w:val="24"/>
          <w:szCs w:val="24"/>
          <w:lang w:bidi="en-GB"/>
        </w:rPr>
        <w:t>hyponatriæmi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med stigende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desmopressindosis</w:t>
      </w:r>
      <w:proofErr w:type="spellEnd"/>
      <w:r w:rsidRPr="00BB348B">
        <w:rPr>
          <w:rStyle w:val="Bodytext1"/>
          <w:sz w:val="24"/>
          <w:szCs w:val="24"/>
          <w:lang w:bidi="en-GB"/>
        </w:rPr>
        <w:t>, og kvinder er i større risiko end mænd.</w:t>
      </w:r>
    </w:p>
    <w:p w14:paraId="304DA255" w14:textId="77777777" w:rsidR="000679F0" w:rsidRDefault="000679F0" w:rsidP="00BB348B">
      <w:pPr>
        <w:ind w:left="851"/>
        <w:rPr>
          <w:rStyle w:val="Bodytext1"/>
          <w:sz w:val="24"/>
          <w:szCs w:val="24"/>
          <w:lang w:bidi="en-GB"/>
        </w:rPr>
      </w:pPr>
    </w:p>
    <w:p w14:paraId="47F8C0F2" w14:textId="42A7895E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rStyle w:val="Bodytext1"/>
          <w:sz w:val="24"/>
          <w:szCs w:val="24"/>
          <w:lang w:bidi="en-GB"/>
        </w:rPr>
        <w:t xml:space="preserve">Hos voksne var hovedpine (12 %) den mest rapporterede bivirkning under behandlingen. Andre almindelige bivirkninger var </w:t>
      </w:r>
      <w:proofErr w:type="spellStart"/>
      <w:r w:rsidRPr="00BB348B">
        <w:rPr>
          <w:rStyle w:val="Bodytext1"/>
          <w:sz w:val="24"/>
          <w:szCs w:val="24"/>
          <w:lang w:bidi="en-GB"/>
        </w:rPr>
        <w:t>hyponatriæmi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(6 %), svimmelhed (3 %), hypertension (2 %) og </w:t>
      </w:r>
      <w:proofErr w:type="spellStart"/>
      <w:r w:rsidRPr="00BB348B">
        <w:rPr>
          <w:rStyle w:val="Bodytext1"/>
          <w:sz w:val="24"/>
          <w:szCs w:val="24"/>
          <w:lang w:bidi="en-GB"/>
        </w:rPr>
        <w:t>gastrointestinale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forstyrrelser (kvalme (4 %), opkastninger (1 %), mavesmerter (3 %), diarré (2 %) og forstoppelse (1 %)). Ikke almindelige bivirkninger var søvn- og bevidsthedsforstyrrelser i form af søvnløshed (0,96 %), </w:t>
      </w:r>
      <w:proofErr w:type="spellStart"/>
      <w:r w:rsidRPr="00BB348B">
        <w:rPr>
          <w:rStyle w:val="Bodytext1"/>
          <w:sz w:val="24"/>
          <w:szCs w:val="24"/>
          <w:lang w:bidi="en-GB"/>
        </w:rPr>
        <w:t>somnolens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(0,4 %) eller asteni (0,06 %). </w:t>
      </w:r>
      <w:proofErr w:type="spellStart"/>
      <w:r w:rsidRPr="00BB348B">
        <w:rPr>
          <w:rStyle w:val="Bodytext1"/>
          <w:sz w:val="24"/>
          <w:szCs w:val="24"/>
          <w:lang w:bidi="en-GB"/>
        </w:rPr>
        <w:t>Anafylaktiske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reaktioner er ikke blevet observeret i kliniske studier, men der er modtaget spontane rapporter. </w:t>
      </w:r>
    </w:p>
    <w:p w14:paraId="58BC71BE" w14:textId="77777777" w:rsidR="000679F0" w:rsidRDefault="000679F0" w:rsidP="00BB348B">
      <w:pPr>
        <w:ind w:left="851"/>
        <w:rPr>
          <w:rStyle w:val="Bodytext1"/>
          <w:sz w:val="24"/>
          <w:szCs w:val="24"/>
          <w:lang w:bidi="en-GB"/>
        </w:rPr>
      </w:pPr>
      <w:bookmarkStart w:id="2" w:name="_Hlk155258041"/>
    </w:p>
    <w:p w14:paraId="2D0EDA02" w14:textId="2D595FC9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 xml:space="preserve">Hos børn var hovedpine (1 %) den mest rapporterede bivirkning under behandlingen. </w:t>
      </w:r>
      <w:r w:rsidRPr="00BB348B">
        <w:rPr>
          <w:sz w:val="24"/>
          <w:szCs w:val="24"/>
          <w:lang w:bidi="en-GB"/>
        </w:rPr>
        <w:t xml:space="preserve">Mindre almindelige bivirkninger var </w:t>
      </w:r>
      <w:r w:rsidRPr="00BB348B">
        <w:rPr>
          <w:rStyle w:val="Bodytext1"/>
          <w:sz w:val="24"/>
          <w:szCs w:val="24"/>
          <w:lang w:bidi="en-GB"/>
        </w:rPr>
        <w:t xml:space="preserve">psykiske forstyrrelser (affektlabilitet (0,1 %), aggression (0,1 %), angstsymptomer (0,05 %), humørsvingninger (0,05 %) og mareridt (0,05 %)), som normalt ophørte efter </w:t>
      </w:r>
      <w:proofErr w:type="spellStart"/>
      <w:r w:rsidRPr="00BB348B">
        <w:rPr>
          <w:rStyle w:val="Bodytext1"/>
          <w:sz w:val="24"/>
          <w:szCs w:val="24"/>
          <w:lang w:bidi="en-GB"/>
        </w:rPr>
        <w:t>behandlingsseponering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, og </w:t>
      </w:r>
      <w:proofErr w:type="spellStart"/>
      <w:r w:rsidRPr="00BB348B">
        <w:rPr>
          <w:rStyle w:val="Bodytext1"/>
          <w:sz w:val="24"/>
          <w:szCs w:val="24"/>
          <w:lang w:bidi="en-GB"/>
        </w:rPr>
        <w:t>gastrointestinale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forstyrrelser (mavesmerter (0,65 %), kvalme (0,35 %), opkastninger (0,2 %) og diarré (0,15 %)). </w:t>
      </w:r>
    </w:p>
    <w:p w14:paraId="2DCE4D41" w14:textId="77777777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 xml:space="preserve">Der er ikke observeret </w:t>
      </w:r>
      <w:proofErr w:type="spellStart"/>
      <w:r w:rsidRPr="00BB348B">
        <w:rPr>
          <w:rStyle w:val="Bodytext1"/>
          <w:sz w:val="24"/>
          <w:szCs w:val="24"/>
          <w:lang w:bidi="en-GB"/>
        </w:rPr>
        <w:t>anafylaktiske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reaktioner i kliniske studier, men der er modtaget spontane rapporter.</w:t>
      </w:r>
      <w:bookmarkEnd w:id="2"/>
    </w:p>
    <w:p w14:paraId="5E7677E0" w14:textId="77777777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</w:p>
    <w:p w14:paraId="01E1AE3C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rStyle w:val="Bodytext1"/>
          <w:sz w:val="24"/>
          <w:szCs w:val="24"/>
          <w:u w:val="single"/>
          <w:lang w:bidi="en-GB"/>
        </w:rPr>
        <w:t>Opsummering af bivirkninger</w:t>
      </w:r>
    </w:p>
    <w:p w14:paraId="49E5EFD0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rStyle w:val="Bodytext1"/>
          <w:sz w:val="24"/>
          <w:szCs w:val="24"/>
          <w:u w:val="single"/>
          <w:lang w:bidi="en-GB"/>
        </w:rPr>
        <w:t>Voksne</w:t>
      </w:r>
    </w:p>
    <w:p w14:paraId="152DEB5D" w14:textId="77777777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bookmarkStart w:id="3" w:name="_Hlk175826026"/>
      <w:r w:rsidRPr="00BB348B">
        <w:rPr>
          <w:rStyle w:val="Bodytext1"/>
          <w:sz w:val="24"/>
          <w:szCs w:val="24"/>
          <w:lang w:bidi="en-GB"/>
        </w:rPr>
        <w:t xml:space="preserve">Nedenstående tabel er baseret på hyppigheden af bivirkninger rapporteret i kliniske studier med oral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udført hos voksne til behandling af </w:t>
      </w:r>
      <w:proofErr w:type="spellStart"/>
      <w:r w:rsidRPr="00BB348B">
        <w:rPr>
          <w:rStyle w:val="Bodytext1"/>
          <w:sz w:val="24"/>
          <w:szCs w:val="24"/>
          <w:lang w:bidi="en-GB"/>
        </w:rPr>
        <w:t>nykturi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(N=1557) kombineret med indberetninger efter markedsføring for alle indikationer for voksne (inklusive central diabetes </w:t>
      </w:r>
      <w:proofErr w:type="spellStart"/>
      <w:r w:rsidRPr="00BB348B">
        <w:rPr>
          <w:rStyle w:val="Bodytext1"/>
          <w:sz w:val="24"/>
          <w:szCs w:val="24"/>
          <w:lang w:bidi="en-GB"/>
        </w:rPr>
        <w:t>insipidus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). </w:t>
      </w:r>
    </w:p>
    <w:p w14:paraId="1DAB0F60" w14:textId="32E73CC2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>Bivirkninger, der kun er rapporteret efter markedsføring, er blevet tilføjet til kolonnen "Ikke kendt (kan ikke estimeres ud fra forhåndenværende data)".</w:t>
      </w:r>
    </w:p>
    <w:p w14:paraId="6C12BA69" w14:textId="77777777" w:rsidR="00BB348B" w:rsidRPr="00BB348B" w:rsidRDefault="00BB348B" w:rsidP="00BB348B">
      <w:pPr>
        <w:ind w:left="851"/>
        <w:rPr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4"/>
        <w:gridCol w:w="1153"/>
        <w:gridCol w:w="1492"/>
        <w:gridCol w:w="1706"/>
        <w:gridCol w:w="1271"/>
        <w:gridCol w:w="1552"/>
      </w:tblGrid>
      <w:tr w:rsidR="005C5F7A" w:rsidRPr="000679F0" w14:paraId="3AE13F72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bookmarkEnd w:id="3"/>
          <w:p w14:paraId="46799F61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b/>
                <w:bCs/>
                <w:lang w:bidi="en-GB"/>
              </w:rPr>
              <w:lastRenderedPageBreak/>
              <w:t xml:space="preserve">Systemorgan-klasser i henhold til </w:t>
            </w:r>
            <w:proofErr w:type="spellStart"/>
            <w:r w:rsidRPr="000679F0">
              <w:rPr>
                <w:b/>
                <w:bCs/>
                <w:lang w:bidi="en-GB"/>
              </w:rPr>
              <w:t>MedDRA</w:t>
            </w:r>
            <w:proofErr w:type="spellEnd"/>
            <w:r w:rsidRPr="000679F0">
              <w:rPr>
                <w:b/>
                <w:bCs/>
                <w:lang w:bidi="en-GB"/>
              </w:rPr>
              <w:t>-databasen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E42D58" w14:textId="77777777" w:rsidR="005C5F7A" w:rsidRPr="000679F0" w:rsidRDefault="005C5F7A" w:rsidP="000679F0">
            <w:pPr>
              <w:pStyle w:val="Other10"/>
              <w:spacing w:after="0"/>
              <w:rPr>
                <w:b/>
              </w:rPr>
            </w:pPr>
            <w:r w:rsidRPr="000679F0">
              <w:rPr>
                <w:rStyle w:val="Other1"/>
                <w:b/>
                <w:u w:val="single"/>
                <w:lang w:bidi="en-GB"/>
              </w:rPr>
              <w:t>Meget almindelig (≥1/10)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AC7265" w14:textId="77777777" w:rsidR="005C5F7A" w:rsidRPr="000679F0" w:rsidRDefault="005C5F7A" w:rsidP="000679F0">
            <w:pPr>
              <w:pStyle w:val="Other10"/>
              <w:spacing w:after="0"/>
              <w:rPr>
                <w:b/>
              </w:rPr>
            </w:pPr>
            <w:r w:rsidRPr="000679F0">
              <w:rPr>
                <w:rStyle w:val="Other1"/>
                <w:b/>
                <w:u w:val="single"/>
                <w:lang w:bidi="en-GB"/>
              </w:rPr>
              <w:t>Almindelig (≥1/100 til &lt;1/10</w:t>
            </w:r>
            <w:r w:rsidRPr="000679F0">
              <w:rPr>
                <w:rStyle w:val="Other1"/>
                <w:b/>
                <w:lang w:bidi="en-GB"/>
              </w:rPr>
              <w:t>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0AD55F8" w14:textId="77777777" w:rsidR="005C5F7A" w:rsidRPr="000679F0" w:rsidRDefault="005C5F7A" w:rsidP="000679F0">
            <w:pPr>
              <w:pStyle w:val="Other10"/>
              <w:spacing w:after="0"/>
              <w:rPr>
                <w:b/>
              </w:rPr>
            </w:pPr>
            <w:r w:rsidRPr="000679F0">
              <w:rPr>
                <w:b/>
                <w:u w:val="single"/>
                <w:lang w:bidi="en-GB"/>
              </w:rPr>
              <w:t xml:space="preserve">Ikke almindelig </w:t>
            </w:r>
            <w:r w:rsidRPr="000679F0">
              <w:rPr>
                <w:rStyle w:val="Other1"/>
                <w:b/>
                <w:u w:val="single"/>
                <w:lang w:bidi="en-GB"/>
              </w:rPr>
              <w:t>(≥1/1.000 til &lt;1/100)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4C7FDA8" w14:textId="77777777" w:rsidR="005C5F7A" w:rsidRPr="000679F0" w:rsidRDefault="005C5F7A" w:rsidP="000679F0">
            <w:pPr>
              <w:pStyle w:val="Other10"/>
              <w:spacing w:after="0"/>
              <w:rPr>
                <w:b/>
              </w:rPr>
            </w:pPr>
            <w:r w:rsidRPr="000679F0">
              <w:rPr>
                <w:rStyle w:val="Other1"/>
                <w:b/>
                <w:u w:val="single"/>
                <w:lang w:bidi="en-GB"/>
              </w:rPr>
              <w:t>Sjælden (≥1/10.000 til &lt;1/1 000)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5B0BD2" w14:textId="77777777" w:rsidR="005C5F7A" w:rsidRPr="000679F0" w:rsidRDefault="005C5F7A" w:rsidP="000679F0">
            <w:pPr>
              <w:pStyle w:val="Other10"/>
              <w:spacing w:after="0"/>
              <w:rPr>
                <w:b/>
              </w:rPr>
            </w:pPr>
            <w:r w:rsidRPr="000679F0">
              <w:rPr>
                <w:b/>
                <w:u w:val="single"/>
                <w:lang w:bidi="en-GB"/>
              </w:rPr>
              <w:t xml:space="preserve">Ikke kendt </w:t>
            </w:r>
            <w:r w:rsidRPr="000679F0">
              <w:rPr>
                <w:rStyle w:val="Other1"/>
                <w:b/>
                <w:u w:val="single"/>
                <w:lang w:bidi="en-GB"/>
              </w:rPr>
              <w:t xml:space="preserve">(kan ikke estimeres ud fra </w:t>
            </w:r>
            <w:proofErr w:type="spellStart"/>
            <w:r w:rsidRPr="000679F0">
              <w:rPr>
                <w:b/>
                <w:u w:val="single"/>
                <w:lang w:bidi="en-GB"/>
              </w:rPr>
              <w:t>forhånden-værende</w:t>
            </w:r>
            <w:proofErr w:type="spellEnd"/>
            <w:r w:rsidRPr="000679F0">
              <w:rPr>
                <w:b/>
                <w:u w:val="single"/>
                <w:lang w:bidi="en-GB"/>
              </w:rPr>
              <w:t xml:space="preserve"> </w:t>
            </w:r>
            <w:r w:rsidRPr="000679F0">
              <w:rPr>
                <w:rStyle w:val="Other1"/>
                <w:b/>
                <w:u w:val="single"/>
                <w:lang w:bidi="en-GB"/>
              </w:rPr>
              <w:t>data)</w:t>
            </w:r>
          </w:p>
        </w:tc>
      </w:tr>
      <w:tr w:rsidR="005C5F7A" w:rsidRPr="000679F0" w14:paraId="676EC1D5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4BCF2E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>Immunsystemet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57FE9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EA977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82681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9E86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555A1C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Anafylaktisk</w:t>
            </w:r>
            <w:proofErr w:type="spellEnd"/>
            <w:r w:rsidRPr="000679F0">
              <w:rPr>
                <w:rStyle w:val="Other1"/>
                <w:lang w:bidi="en-GB"/>
              </w:rPr>
              <w:t xml:space="preserve"> reaktion</w:t>
            </w:r>
          </w:p>
        </w:tc>
      </w:tr>
      <w:tr w:rsidR="005C5F7A" w:rsidRPr="000679F0" w14:paraId="734B0399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0EE42B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 xml:space="preserve">Metabolisme og ernæring 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540CA8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8764400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Hyponatriæmi</w:t>
            </w:r>
            <w:proofErr w:type="spellEnd"/>
            <w:r w:rsidRPr="000679F0">
              <w:rPr>
                <w:rStyle w:val="Other1"/>
                <w:lang w:bidi="en-GB"/>
              </w:rPr>
              <w:t>*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1B8BF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D56603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74E7D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 xml:space="preserve">Dehydrering**, </w:t>
            </w:r>
            <w:proofErr w:type="spellStart"/>
            <w:r w:rsidRPr="000679F0">
              <w:rPr>
                <w:rStyle w:val="Other1"/>
                <w:lang w:bidi="en-GB"/>
              </w:rPr>
              <w:t>hypernatriæmi</w:t>
            </w:r>
            <w:proofErr w:type="spellEnd"/>
            <w:r w:rsidRPr="000679F0">
              <w:rPr>
                <w:rStyle w:val="Other1"/>
                <w:lang w:bidi="en-GB"/>
              </w:rPr>
              <w:t>**</w:t>
            </w:r>
          </w:p>
        </w:tc>
      </w:tr>
      <w:tr w:rsidR="005C5F7A" w:rsidRPr="000679F0" w14:paraId="262CE2DD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FD5FDE5" w14:textId="77777777" w:rsidR="005C5F7A" w:rsidRPr="000679F0" w:rsidRDefault="005C5F7A" w:rsidP="000679F0">
            <w:pPr>
              <w:pStyle w:val="Titel"/>
              <w:jc w:val="left"/>
              <w:rPr>
                <w:b w:val="0"/>
                <w:noProof/>
                <w:sz w:val="22"/>
                <w:szCs w:val="22"/>
                <w:lang w:val="nb-NO"/>
              </w:rPr>
            </w:pPr>
            <w:r w:rsidRPr="000679F0">
              <w:rPr>
                <w:b w:val="0"/>
                <w:noProof/>
                <w:sz w:val="22"/>
                <w:szCs w:val="22"/>
                <w:lang w:val="nb-NO"/>
              </w:rPr>
              <w:t xml:space="preserve">Psykiske forstyrrelser </w:t>
            </w:r>
          </w:p>
          <w:p w14:paraId="6F79F0A9" w14:textId="77777777" w:rsidR="005C5F7A" w:rsidRPr="000679F0" w:rsidRDefault="005C5F7A" w:rsidP="000679F0">
            <w:pPr>
              <w:pStyle w:val="Other10"/>
              <w:spacing w:after="0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2859F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9CF2E9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1FBFCB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Søvnløshed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0D9ED9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Konfusion *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3A4F9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5ACD7357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07FC2C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bCs/>
                <w:lang w:bidi="en-GB"/>
              </w:rPr>
              <w:t>Nervesystemet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61ED31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Hovedpine*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BD53609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Svimmelhed*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86CAD0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Somnolens</w:t>
            </w:r>
            <w:proofErr w:type="spellEnd"/>
            <w:r w:rsidRPr="000679F0">
              <w:rPr>
                <w:rStyle w:val="Other1"/>
                <w:lang w:bidi="en-GB"/>
              </w:rPr>
              <w:t xml:space="preserve">, </w:t>
            </w:r>
            <w:proofErr w:type="spellStart"/>
            <w:r w:rsidRPr="000679F0">
              <w:rPr>
                <w:rStyle w:val="Other1"/>
                <w:lang w:bidi="en-GB"/>
              </w:rPr>
              <w:t>paræstesi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1F7BB5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9A931" w14:textId="77777777" w:rsidR="005C5F7A" w:rsidRPr="000679F0" w:rsidRDefault="005C5F7A" w:rsidP="000679F0">
            <w:pPr>
              <w:pStyle w:val="Other10"/>
              <w:spacing w:after="0"/>
              <w:rPr>
                <w:rStyle w:val="Other1"/>
                <w:lang w:bidi="en-GB"/>
              </w:rPr>
            </w:pPr>
            <w:r w:rsidRPr="000679F0">
              <w:rPr>
                <w:rStyle w:val="Other1"/>
                <w:lang w:bidi="en-GB"/>
              </w:rPr>
              <w:t xml:space="preserve">Kramper*, asteni**, </w:t>
            </w:r>
          </w:p>
          <w:p w14:paraId="323C9FDB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koma*</w:t>
            </w:r>
          </w:p>
        </w:tc>
      </w:tr>
      <w:tr w:rsidR="005C5F7A" w:rsidRPr="000679F0" w14:paraId="14E64AB3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6CEC832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Øjne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E2D5BF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2EC0FA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AE0054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Synsforstyrrelser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4F5142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D3A6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10C31005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CC813A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Øre og labyrint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8683DB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7D5714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82711B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Vertigo</w:t>
            </w:r>
            <w:proofErr w:type="spellEnd"/>
            <w:r w:rsidRPr="000679F0">
              <w:rPr>
                <w:rStyle w:val="Other1"/>
                <w:lang w:bidi="en-GB"/>
              </w:rPr>
              <w:t>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3A06A8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1E1973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7A5CA2A9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4A4EFC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Hjerte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C4D1BF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AF48B5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78503B3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Palpitationer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EBA97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21AD8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68F24122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D93790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Vaskulære</w:t>
            </w:r>
            <w:proofErr w:type="spellEnd"/>
            <w:r w:rsidRPr="000679F0">
              <w:rPr>
                <w:rStyle w:val="Other1"/>
                <w:lang w:bidi="en-GB"/>
              </w:rPr>
              <w:t xml:space="preserve"> </w:t>
            </w:r>
            <w:r w:rsidRPr="000679F0">
              <w:rPr>
                <w:lang w:bidi="en-GB"/>
              </w:rPr>
              <w:t>sygdomme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35670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BF5276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Hypertension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CB52B6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Ortostatisk</w:t>
            </w:r>
            <w:proofErr w:type="spellEnd"/>
            <w:r w:rsidRPr="000679F0">
              <w:rPr>
                <w:rStyle w:val="Other1"/>
                <w:lang w:bidi="en-GB"/>
              </w:rPr>
              <w:t xml:space="preserve"> hypotension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30BB6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31DF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69020613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B9A778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 xml:space="preserve">Luftveje, thorax og </w:t>
            </w:r>
            <w:proofErr w:type="spellStart"/>
            <w:r w:rsidRPr="000679F0">
              <w:rPr>
                <w:rStyle w:val="Other1"/>
                <w:lang w:bidi="en-GB"/>
              </w:rPr>
              <w:t>mediastinum</w:t>
            </w:r>
            <w:proofErr w:type="spellEnd"/>
            <w:r w:rsidRPr="000679F0">
              <w:rPr>
                <w:rStyle w:val="Other1"/>
                <w:lang w:bidi="en-GB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5A7292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EA2BEB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FA3D141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Dyspnø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9F8043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82F0F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06D49097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AFE684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>Mave-tarm-kanalen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2B00B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C821A2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Kvalme*, mavesmerter*, diarré, forstoppelse, opkastninger*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BF2EED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 xml:space="preserve">Dyspepsi, </w:t>
            </w:r>
            <w:proofErr w:type="spellStart"/>
            <w:r w:rsidRPr="000679F0">
              <w:rPr>
                <w:rStyle w:val="Other1"/>
                <w:lang w:bidi="en-GB"/>
              </w:rPr>
              <w:t>flatulens</w:t>
            </w:r>
            <w:proofErr w:type="spellEnd"/>
            <w:r w:rsidRPr="000679F0">
              <w:rPr>
                <w:rStyle w:val="Other1"/>
                <w:lang w:bidi="en-GB"/>
              </w:rPr>
              <w:t xml:space="preserve">, oppustethed og </w:t>
            </w:r>
            <w:proofErr w:type="spellStart"/>
            <w:r w:rsidRPr="000679F0">
              <w:rPr>
                <w:rStyle w:val="Other1"/>
                <w:lang w:bidi="en-GB"/>
              </w:rPr>
              <w:t>udspilethed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8034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238C91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5AAC4FAE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BB925A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lang w:val="de-DE" w:bidi="en-GB"/>
              </w:rPr>
              <w:t>Hud</w:t>
            </w:r>
            <w:proofErr w:type="spellEnd"/>
            <w:r w:rsidRPr="000679F0">
              <w:rPr>
                <w:lang w:val="de-DE" w:bidi="en-GB"/>
              </w:rPr>
              <w:t xml:space="preserve"> og subkutane </w:t>
            </w:r>
            <w:proofErr w:type="spellStart"/>
            <w:r w:rsidRPr="000679F0">
              <w:rPr>
                <w:lang w:val="de-DE" w:bidi="en-GB"/>
              </w:rPr>
              <w:t>væv</w:t>
            </w:r>
            <w:proofErr w:type="spell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EA419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E30EDA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BDA8AB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Svedtendens, kløe, udslæt, nældefeber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1FCA267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 xml:space="preserve">Allergisk </w:t>
            </w:r>
            <w:proofErr w:type="spellStart"/>
            <w:r w:rsidRPr="000679F0">
              <w:rPr>
                <w:rStyle w:val="Other1"/>
                <w:lang w:bidi="en-GB"/>
              </w:rPr>
              <w:t>dermatitis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F340B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4E6ACAA4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799D34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>Knogler, led, muskler og bindevæv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0A950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C183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FA9C27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Muskelspasmer, myalgi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53C4B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E99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026F6096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ECC2B7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>Nyrer og urinveje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6D36E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19DAA1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Symptomer fra blære og urinrør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E5511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65C4D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6E2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2BAA18EE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FDF0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>Almene symptomer og reaktioner på administrationsstedet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071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2EFC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Ødem</w:t>
            </w:r>
          </w:p>
          <w:p w14:paraId="6B63527C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Træthed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5030" w14:textId="77777777" w:rsidR="005C5F7A" w:rsidRPr="000679F0" w:rsidRDefault="005C5F7A" w:rsidP="000679F0">
            <w:pPr>
              <w:pStyle w:val="Other10"/>
              <w:spacing w:after="0"/>
              <w:rPr>
                <w:rStyle w:val="Other1"/>
                <w:lang w:bidi="en-GB"/>
              </w:rPr>
            </w:pPr>
            <w:r w:rsidRPr="000679F0">
              <w:rPr>
                <w:rStyle w:val="Other1"/>
                <w:lang w:bidi="en-GB"/>
              </w:rPr>
              <w:t xml:space="preserve">Utilpashed*, </w:t>
            </w:r>
          </w:p>
          <w:p w14:paraId="75F12610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brystsmerter, influenzalignende symptomer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1D8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307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4D7C0CA4" w14:textId="77777777" w:rsidTr="000679F0">
        <w:trPr>
          <w:trHeight w:val="20"/>
          <w:jc w:val="center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8B1D95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Undersøgelser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A9CAA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92729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401E0C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 xml:space="preserve">Vægtøgning*, stigning i leverenzymer, </w:t>
            </w:r>
            <w:proofErr w:type="spellStart"/>
            <w:r w:rsidRPr="000679F0">
              <w:rPr>
                <w:rStyle w:val="Other1"/>
                <w:lang w:bidi="en-GB"/>
              </w:rPr>
              <w:t>hypokaliæmi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D7725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968B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</w:tbl>
    <w:p w14:paraId="2AFDC79F" w14:textId="0E605045" w:rsidR="005C5F7A" w:rsidRPr="00BB348B" w:rsidRDefault="005C5F7A" w:rsidP="000679F0">
      <w:pPr>
        <w:ind w:left="426" w:hanging="426"/>
        <w:rPr>
          <w:sz w:val="24"/>
          <w:szCs w:val="24"/>
        </w:rPr>
      </w:pPr>
      <w:r w:rsidRPr="00BB348B">
        <w:rPr>
          <w:rStyle w:val="Tablecaption1"/>
          <w:sz w:val="24"/>
          <w:szCs w:val="24"/>
          <w:lang w:bidi="en-GB"/>
        </w:rPr>
        <w:t>*</w:t>
      </w:r>
      <w:r w:rsidR="000679F0">
        <w:rPr>
          <w:rStyle w:val="Tablecaption1"/>
          <w:sz w:val="24"/>
          <w:szCs w:val="24"/>
          <w:lang w:bidi="en-GB"/>
        </w:rPr>
        <w:tab/>
      </w:r>
      <w:proofErr w:type="spellStart"/>
      <w:r w:rsidRPr="00BB348B">
        <w:rPr>
          <w:rStyle w:val="Tablecaption1"/>
          <w:sz w:val="24"/>
          <w:szCs w:val="24"/>
          <w:lang w:bidi="en-GB"/>
        </w:rPr>
        <w:t>Hyponatriæmi</w:t>
      </w:r>
      <w:proofErr w:type="spellEnd"/>
      <w:r w:rsidRPr="00BB348B">
        <w:rPr>
          <w:rStyle w:val="Tablecaption1"/>
          <w:sz w:val="24"/>
          <w:szCs w:val="24"/>
          <w:lang w:bidi="en-GB"/>
        </w:rPr>
        <w:t xml:space="preserve"> kan forårsage hovedpine, mavesmerter, kvalme, opkastninger, vægtøgning, svimmelhed, konfusion, utilpashed, hukommelsessvækkelse, </w:t>
      </w:r>
      <w:proofErr w:type="spellStart"/>
      <w:r w:rsidRPr="00BB348B">
        <w:rPr>
          <w:rStyle w:val="Tablecaption1"/>
          <w:sz w:val="24"/>
          <w:szCs w:val="24"/>
          <w:lang w:bidi="en-GB"/>
        </w:rPr>
        <w:t>vertigo</w:t>
      </w:r>
      <w:proofErr w:type="spellEnd"/>
      <w:r w:rsidRPr="00BB348B">
        <w:rPr>
          <w:rStyle w:val="Tablecaption1"/>
          <w:sz w:val="24"/>
          <w:szCs w:val="24"/>
          <w:lang w:bidi="en-GB"/>
        </w:rPr>
        <w:t>, faldtendens og i alvorlige tilfælde kramper og koma.</w:t>
      </w:r>
    </w:p>
    <w:p w14:paraId="64DFE2A5" w14:textId="1FF4142D" w:rsidR="005C5F7A" w:rsidRPr="00BB348B" w:rsidRDefault="005C5F7A" w:rsidP="000679F0">
      <w:pPr>
        <w:ind w:left="426" w:hanging="426"/>
        <w:rPr>
          <w:sz w:val="24"/>
          <w:szCs w:val="24"/>
        </w:rPr>
      </w:pPr>
      <w:r w:rsidRPr="00BB348B">
        <w:rPr>
          <w:rStyle w:val="Tablecaption1"/>
          <w:sz w:val="24"/>
          <w:szCs w:val="24"/>
          <w:lang w:bidi="en-GB"/>
        </w:rPr>
        <w:t>**</w:t>
      </w:r>
      <w:r w:rsidR="000679F0">
        <w:rPr>
          <w:rStyle w:val="Tablecaption1"/>
          <w:sz w:val="24"/>
          <w:szCs w:val="24"/>
          <w:lang w:bidi="en-GB"/>
        </w:rPr>
        <w:tab/>
      </w:r>
      <w:r w:rsidRPr="00BB348B">
        <w:rPr>
          <w:rStyle w:val="Tablecaption1"/>
          <w:sz w:val="24"/>
          <w:szCs w:val="24"/>
          <w:lang w:bidi="en-GB"/>
        </w:rPr>
        <w:t xml:space="preserve">Observeres kun ved central diabetes </w:t>
      </w:r>
      <w:proofErr w:type="spellStart"/>
      <w:r w:rsidRPr="00BB348B">
        <w:rPr>
          <w:rStyle w:val="Tablecaption1"/>
          <w:sz w:val="24"/>
          <w:szCs w:val="24"/>
          <w:lang w:bidi="en-GB"/>
        </w:rPr>
        <w:t>insipidus</w:t>
      </w:r>
      <w:proofErr w:type="spellEnd"/>
      <w:r w:rsidRPr="00BB348B">
        <w:rPr>
          <w:rStyle w:val="Tablecaption1"/>
          <w:sz w:val="24"/>
          <w:szCs w:val="24"/>
          <w:lang w:bidi="en-GB"/>
        </w:rPr>
        <w:t>.</w:t>
      </w:r>
    </w:p>
    <w:p w14:paraId="7C06C382" w14:textId="77777777" w:rsidR="005C5F7A" w:rsidRPr="00BB348B" w:rsidRDefault="005C5F7A" w:rsidP="00BB348B">
      <w:pPr>
        <w:ind w:left="851"/>
        <w:rPr>
          <w:rStyle w:val="Bodytext1"/>
          <w:sz w:val="24"/>
          <w:szCs w:val="24"/>
          <w:u w:val="single"/>
          <w:lang w:bidi="en-GB"/>
        </w:rPr>
      </w:pPr>
    </w:p>
    <w:p w14:paraId="2A873DD3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rStyle w:val="Bodytext1"/>
          <w:sz w:val="24"/>
          <w:szCs w:val="24"/>
          <w:u w:val="single"/>
          <w:lang w:bidi="en-GB"/>
        </w:rPr>
        <w:t>Pædiatrisk population</w:t>
      </w:r>
    </w:p>
    <w:p w14:paraId="215B9B33" w14:textId="567E6DB4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 xml:space="preserve">Baseret på hyppigheden af bivirkninger rapporteret i kliniske studier med oral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udført hos børn og unge til behandling af primær </w:t>
      </w:r>
      <w:proofErr w:type="spellStart"/>
      <w:r w:rsidRPr="00BB348B">
        <w:rPr>
          <w:rStyle w:val="Bodytext1"/>
          <w:sz w:val="24"/>
          <w:szCs w:val="24"/>
          <w:lang w:bidi="en-GB"/>
        </w:rPr>
        <w:t>enuresis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</w:t>
      </w:r>
      <w:proofErr w:type="spellStart"/>
      <w:r w:rsidRPr="00BB348B">
        <w:rPr>
          <w:rStyle w:val="Bodytext1"/>
          <w:sz w:val="24"/>
          <w:szCs w:val="24"/>
          <w:lang w:bidi="en-GB"/>
        </w:rPr>
        <w:t>nocturna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(N=1923). Bivirkninger, der først er rapporteret efter markedsføringen, er blevet tilføjet i kolonnen "Ikke kendt (kan ikke estimeres ud fra forhåndenværende data)".</w:t>
      </w:r>
    </w:p>
    <w:p w14:paraId="4B438089" w14:textId="50818995" w:rsidR="00F22D92" w:rsidRDefault="00F22D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8802DB" w14:textId="77777777" w:rsidR="00BB348B" w:rsidRPr="00BB348B" w:rsidRDefault="00BB348B" w:rsidP="00BB348B">
      <w:pPr>
        <w:ind w:left="851"/>
        <w:rPr>
          <w:sz w:val="24"/>
          <w:szCs w:val="24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3"/>
        <w:gridCol w:w="852"/>
        <w:gridCol w:w="1096"/>
        <w:gridCol w:w="1346"/>
        <w:gridCol w:w="2074"/>
        <w:gridCol w:w="2617"/>
      </w:tblGrid>
      <w:tr w:rsidR="005C5F7A" w:rsidRPr="000679F0" w14:paraId="139AA476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5DBB4F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b/>
                <w:bCs/>
                <w:lang w:bidi="en-GB"/>
              </w:rPr>
              <w:t xml:space="preserve">Systemorgan-klasser i henhold til </w:t>
            </w:r>
            <w:proofErr w:type="spellStart"/>
            <w:r w:rsidRPr="000679F0">
              <w:rPr>
                <w:b/>
                <w:bCs/>
                <w:lang w:bidi="en-GB"/>
              </w:rPr>
              <w:t>MedDRA</w:t>
            </w:r>
            <w:proofErr w:type="spellEnd"/>
            <w:r w:rsidRPr="000679F0">
              <w:rPr>
                <w:b/>
                <w:bCs/>
                <w:lang w:bidi="en-GB"/>
              </w:rPr>
              <w:t>-databasen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0E79FFC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b/>
                <w:u w:val="single"/>
                <w:lang w:bidi="en-GB"/>
              </w:rPr>
              <w:t xml:space="preserve">Meget </w:t>
            </w:r>
            <w:proofErr w:type="spellStart"/>
            <w:r w:rsidRPr="000679F0">
              <w:rPr>
                <w:rStyle w:val="Other1"/>
                <w:b/>
                <w:u w:val="single"/>
                <w:lang w:bidi="en-GB"/>
              </w:rPr>
              <w:t>alminde-lig</w:t>
            </w:r>
            <w:proofErr w:type="spellEnd"/>
            <w:r w:rsidRPr="000679F0">
              <w:rPr>
                <w:rStyle w:val="Other1"/>
                <w:b/>
                <w:u w:val="single"/>
                <w:lang w:bidi="en-GB"/>
              </w:rPr>
              <w:t xml:space="preserve"> (≥1/10)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F18208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b/>
                <w:u w:val="single"/>
                <w:lang w:bidi="en-GB"/>
              </w:rPr>
              <w:t>Almindelig (≥1/100 til &lt;1/10</w:t>
            </w:r>
            <w:r w:rsidRPr="000679F0">
              <w:rPr>
                <w:rStyle w:val="Other1"/>
                <w:b/>
                <w:lang w:bidi="en-GB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162D92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b/>
                <w:u w:val="single"/>
                <w:lang w:bidi="en-GB"/>
              </w:rPr>
              <w:t xml:space="preserve">Ikke almindelig </w:t>
            </w:r>
            <w:r w:rsidRPr="000679F0">
              <w:rPr>
                <w:rStyle w:val="Other1"/>
                <w:b/>
                <w:u w:val="single"/>
                <w:lang w:bidi="en-GB"/>
              </w:rPr>
              <w:t>(≥1/1 000, &lt;1/100)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DF0A84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b/>
                <w:u w:val="single"/>
                <w:lang w:bidi="en-GB"/>
              </w:rPr>
              <w:t>Sjælden (≥1/10 000,</w:t>
            </w:r>
          </w:p>
          <w:p w14:paraId="4CA32C0A" w14:textId="77777777" w:rsidR="005C5F7A" w:rsidRPr="000679F0" w:rsidRDefault="005C5F7A" w:rsidP="000679F0">
            <w:pPr>
              <w:pStyle w:val="Other10"/>
              <w:spacing w:after="0"/>
              <w:rPr>
                <w:rStyle w:val="Other1"/>
                <w:b/>
                <w:u w:val="single"/>
                <w:lang w:bidi="en-GB"/>
              </w:rPr>
            </w:pPr>
            <w:r w:rsidRPr="000679F0">
              <w:rPr>
                <w:rStyle w:val="Other1"/>
                <w:b/>
                <w:u w:val="single"/>
                <w:lang w:bidi="en-GB"/>
              </w:rPr>
              <w:t>&lt;1/1 000)</w:t>
            </w:r>
          </w:p>
          <w:p w14:paraId="2ADD5D6A" w14:textId="77777777" w:rsidR="005C5F7A" w:rsidRPr="000679F0" w:rsidRDefault="005C5F7A" w:rsidP="000679F0">
            <w:pPr>
              <w:pStyle w:val="Other10"/>
              <w:spacing w:after="0"/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5586ED" w14:textId="77777777" w:rsidR="005C5F7A" w:rsidRPr="000679F0" w:rsidRDefault="005C5F7A" w:rsidP="000679F0">
            <w:pPr>
              <w:pStyle w:val="Other10"/>
              <w:spacing w:after="0"/>
              <w:rPr>
                <w:b/>
                <w:u w:val="single"/>
                <w:lang w:bidi="en-GB"/>
              </w:rPr>
            </w:pPr>
            <w:r w:rsidRPr="000679F0">
              <w:rPr>
                <w:b/>
                <w:u w:val="single"/>
                <w:lang w:bidi="en-GB"/>
              </w:rPr>
              <w:t xml:space="preserve">Ikke kendt </w:t>
            </w:r>
            <w:r w:rsidRPr="000679F0">
              <w:rPr>
                <w:rStyle w:val="Other1"/>
                <w:b/>
                <w:u w:val="single"/>
                <w:lang w:bidi="en-GB"/>
              </w:rPr>
              <w:t xml:space="preserve">(kan ikke estimeres ud fra </w:t>
            </w:r>
            <w:r w:rsidRPr="000679F0">
              <w:rPr>
                <w:b/>
                <w:u w:val="single"/>
                <w:lang w:bidi="en-GB"/>
              </w:rPr>
              <w:t>forhånden-</w:t>
            </w:r>
          </w:p>
          <w:p w14:paraId="3125D64A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b/>
                <w:u w:val="single"/>
                <w:lang w:bidi="en-GB"/>
              </w:rPr>
              <w:t xml:space="preserve">værende </w:t>
            </w:r>
            <w:r w:rsidRPr="000679F0">
              <w:rPr>
                <w:rStyle w:val="Other1"/>
                <w:b/>
                <w:u w:val="single"/>
                <w:lang w:bidi="en-GB"/>
              </w:rPr>
              <w:t>data)</w:t>
            </w:r>
          </w:p>
        </w:tc>
      </w:tr>
      <w:tr w:rsidR="005C5F7A" w:rsidRPr="000679F0" w14:paraId="6034E2E5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A3F299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>Immunsystemet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9EA61B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7416E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76212E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E3C43F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C52E5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Anafylaktisk</w:t>
            </w:r>
            <w:proofErr w:type="spellEnd"/>
            <w:r w:rsidRPr="000679F0">
              <w:rPr>
                <w:rStyle w:val="Other1"/>
                <w:lang w:bidi="en-GB"/>
              </w:rPr>
              <w:t xml:space="preserve"> reaktion</w:t>
            </w:r>
          </w:p>
        </w:tc>
      </w:tr>
      <w:tr w:rsidR="005C5F7A" w:rsidRPr="000679F0" w14:paraId="6D1447BE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7F164DF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 xml:space="preserve">Metabolisme og ernæring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B7BE9E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1873B0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1AFAEF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196E0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FD0A5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Hyponatriæmi</w:t>
            </w:r>
            <w:proofErr w:type="spellEnd"/>
            <w:r w:rsidRPr="000679F0">
              <w:rPr>
                <w:rStyle w:val="Other1"/>
                <w:lang w:bidi="en-GB"/>
              </w:rPr>
              <w:t>*</w:t>
            </w:r>
          </w:p>
        </w:tc>
      </w:tr>
      <w:tr w:rsidR="005C5F7A" w:rsidRPr="000679F0" w14:paraId="708112F6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E114354" w14:textId="77777777" w:rsidR="005C5F7A" w:rsidRPr="000679F0" w:rsidRDefault="005C5F7A" w:rsidP="000679F0">
            <w:pPr>
              <w:pStyle w:val="Titel"/>
              <w:jc w:val="left"/>
              <w:rPr>
                <w:b w:val="0"/>
                <w:noProof/>
                <w:sz w:val="22"/>
                <w:szCs w:val="22"/>
                <w:lang w:val="nb-NO"/>
              </w:rPr>
            </w:pPr>
            <w:r w:rsidRPr="000679F0">
              <w:rPr>
                <w:b w:val="0"/>
                <w:noProof/>
                <w:sz w:val="22"/>
                <w:szCs w:val="22"/>
                <w:lang w:val="nb-NO"/>
              </w:rPr>
              <w:t>Psykiske forstyrrelser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50B85F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BDD999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518831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A</w:t>
            </w:r>
            <w:r w:rsidRPr="000679F0">
              <w:rPr>
                <w:rStyle w:val="Other1"/>
              </w:rPr>
              <w:t>ffekt-labilitet</w:t>
            </w:r>
            <w:r w:rsidRPr="000679F0">
              <w:rPr>
                <w:rStyle w:val="Other1"/>
                <w:lang w:bidi="en-GB"/>
              </w:rPr>
              <w:t>**, aggression***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E28FD4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Angstsymptomer, mareridt*, humørsvingninger****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B46B31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Unormal adfærd, følelsesmæssige forstyrrelser, depression, hallucinationer, søvnløshed</w:t>
            </w:r>
          </w:p>
        </w:tc>
      </w:tr>
      <w:tr w:rsidR="005C5F7A" w:rsidRPr="000679F0" w14:paraId="5DF55A61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C1513E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Nervesystemet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568453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B1F44F6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Hovedpine*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A55EEA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373724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Søvnighed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4B046B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 xml:space="preserve">Opmærksomhedsforstyrrelse, </w:t>
            </w:r>
            <w:proofErr w:type="spellStart"/>
            <w:r w:rsidRPr="000679F0">
              <w:rPr>
                <w:rStyle w:val="Other1"/>
                <w:lang w:bidi="en-GB"/>
              </w:rPr>
              <w:t>psykomotorisk</w:t>
            </w:r>
            <w:proofErr w:type="spellEnd"/>
            <w:r w:rsidRPr="000679F0">
              <w:rPr>
                <w:rStyle w:val="Other1"/>
                <w:lang w:bidi="en-GB"/>
              </w:rPr>
              <w:t xml:space="preserve"> hyperaktivitet, kramper*</w:t>
            </w:r>
          </w:p>
        </w:tc>
      </w:tr>
      <w:tr w:rsidR="005C5F7A" w:rsidRPr="000679F0" w14:paraId="23D28D92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992F74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rStyle w:val="Other1"/>
                <w:lang w:bidi="en-GB"/>
              </w:rPr>
              <w:t>Vaskulære</w:t>
            </w:r>
            <w:proofErr w:type="spellEnd"/>
            <w:r w:rsidRPr="000679F0">
              <w:rPr>
                <w:rStyle w:val="Other1"/>
                <w:lang w:bidi="en-GB"/>
              </w:rPr>
              <w:t xml:space="preserve"> </w:t>
            </w:r>
            <w:r w:rsidRPr="000679F0">
              <w:rPr>
                <w:lang w:bidi="en-GB"/>
              </w:rPr>
              <w:t>sygdomme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E446B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53771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0C8C5E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671B1EB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H</w:t>
            </w:r>
            <w:r w:rsidRPr="000679F0">
              <w:rPr>
                <w:rStyle w:val="Other1"/>
              </w:rPr>
              <w:t>ypertension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C3279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3CA231D8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8DD8FA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 xml:space="preserve">Luftveje, thorax og </w:t>
            </w:r>
            <w:proofErr w:type="spellStart"/>
            <w:r w:rsidRPr="000679F0">
              <w:rPr>
                <w:lang w:bidi="en-GB"/>
              </w:rPr>
              <w:t>mediastinum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C9DED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76A6C9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E94E35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69EAEB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6624E4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Næseblod</w:t>
            </w:r>
          </w:p>
        </w:tc>
      </w:tr>
      <w:tr w:rsidR="005C5F7A" w:rsidRPr="000679F0" w14:paraId="1100C5C2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5EFE6A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 xml:space="preserve">Mave-tarm-kanalen  </w:t>
            </w:r>
            <w:r w:rsidRPr="000679F0">
              <w:rPr>
                <w:lang w:val="el-GR" w:bidi="en-GB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3054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DFCF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DE3B7E" w14:textId="77777777" w:rsidR="005C5F7A" w:rsidRPr="000679F0" w:rsidRDefault="005C5F7A" w:rsidP="000679F0">
            <w:pPr>
              <w:pStyle w:val="Other10"/>
              <w:spacing w:after="0"/>
              <w:rPr>
                <w:lang w:val="nb-NO"/>
              </w:rPr>
            </w:pPr>
            <w:r w:rsidRPr="000679F0">
              <w:rPr>
                <w:rStyle w:val="Other1"/>
                <w:lang w:val="nb-NO" w:bidi="en-GB"/>
              </w:rPr>
              <w:t>Mavesmerter*, kvalme*, opkastninge</w:t>
            </w:r>
            <w:r w:rsidRPr="000679F0">
              <w:rPr>
                <w:rStyle w:val="Other1"/>
                <w:lang w:val="nb-NO"/>
              </w:rPr>
              <w:t>r</w:t>
            </w:r>
            <w:r w:rsidRPr="000679F0">
              <w:rPr>
                <w:rStyle w:val="Other1"/>
                <w:lang w:val="nb-NO" w:bidi="en-GB"/>
              </w:rPr>
              <w:t>*, diarré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D073F" w14:textId="77777777" w:rsidR="005C5F7A" w:rsidRPr="000679F0" w:rsidRDefault="005C5F7A" w:rsidP="000679F0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7C1" w14:textId="77777777" w:rsidR="005C5F7A" w:rsidRPr="000679F0" w:rsidRDefault="005C5F7A" w:rsidP="000679F0">
            <w:pPr>
              <w:rPr>
                <w:sz w:val="22"/>
                <w:szCs w:val="22"/>
                <w:lang w:val="nb-NO"/>
              </w:rPr>
            </w:pPr>
          </w:p>
        </w:tc>
      </w:tr>
      <w:tr w:rsidR="005C5F7A" w:rsidRPr="000679F0" w14:paraId="23369A48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AF5141" w14:textId="77777777" w:rsidR="005C5F7A" w:rsidRPr="000679F0" w:rsidRDefault="005C5F7A" w:rsidP="000679F0">
            <w:pPr>
              <w:pStyle w:val="Other10"/>
              <w:spacing w:after="0"/>
            </w:pPr>
            <w:proofErr w:type="spellStart"/>
            <w:r w:rsidRPr="000679F0">
              <w:rPr>
                <w:lang w:val="de-DE" w:bidi="en-GB"/>
              </w:rPr>
              <w:t>Hud</w:t>
            </w:r>
            <w:proofErr w:type="spellEnd"/>
            <w:r w:rsidRPr="000679F0">
              <w:rPr>
                <w:lang w:val="de-DE" w:bidi="en-GB"/>
              </w:rPr>
              <w:t xml:space="preserve"> og subkutane </w:t>
            </w:r>
            <w:proofErr w:type="spellStart"/>
            <w:r w:rsidRPr="000679F0">
              <w:rPr>
                <w:lang w:val="de-DE" w:bidi="en-GB"/>
              </w:rPr>
              <w:t>væv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D2A25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D686C4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CBEF4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687DB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C814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 xml:space="preserve">Allergisk </w:t>
            </w:r>
            <w:proofErr w:type="spellStart"/>
            <w:r w:rsidRPr="000679F0">
              <w:rPr>
                <w:rStyle w:val="Other1"/>
                <w:lang w:bidi="en-GB"/>
              </w:rPr>
              <w:t>dermatitis</w:t>
            </w:r>
            <w:proofErr w:type="spellEnd"/>
            <w:r w:rsidRPr="000679F0">
              <w:rPr>
                <w:rStyle w:val="Other1"/>
                <w:lang w:bidi="en-GB"/>
              </w:rPr>
              <w:t>, udslæt, svedtendens, nældefeber</w:t>
            </w:r>
          </w:p>
        </w:tc>
      </w:tr>
      <w:tr w:rsidR="005C5F7A" w:rsidRPr="000679F0" w14:paraId="6CEEFECE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8F08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>Nyrer og urinveje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D556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D43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4A30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Symptomer fra blære og urinrør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EBC8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10C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  <w:tr w:rsidR="005C5F7A" w:rsidRPr="000679F0" w14:paraId="189BABA9" w14:textId="77777777" w:rsidTr="000679F0">
        <w:trPr>
          <w:trHeight w:val="20"/>
          <w:jc w:val="center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B21202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lang w:bidi="en-GB"/>
              </w:rPr>
              <w:t>Almene symptomer og reaktioner på administrations-stedet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9A33A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7D35D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649B2E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Perifert ødem, træthed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A2326A" w14:textId="77777777" w:rsidR="005C5F7A" w:rsidRPr="000679F0" w:rsidRDefault="005C5F7A" w:rsidP="000679F0">
            <w:pPr>
              <w:pStyle w:val="Other10"/>
              <w:spacing w:after="0"/>
            </w:pPr>
            <w:r w:rsidRPr="000679F0">
              <w:rPr>
                <w:rStyle w:val="Other1"/>
                <w:lang w:bidi="en-GB"/>
              </w:rPr>
              <w:t>Irritation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EC57" w14:textId="77777777" w:rsidR="005C5F7A" w:rsidRPr="000679F0" w:rsidRDefault="005C5F7A" w:rsidP="000679F0">
            <w:pPr>
              <w:rPr>
                <w:sz w:val="22"/>
                <w:szCs w:val="22"/>
              </w:rPr>
            </w:pPr>
          </w:p>
        </w:tc>
      </w:tr>
    </w:tbl>
    <w:p w14:paraId="27153502" w14:textId="2D947367" w:rsidR="005C5F7A" w:rsidRPr="00BB348B" w:rsidRDefault="005C5F7A" w:rsidP="000679F0">
      <w:pPr>
        <w:ind w:left="709" w:hanging="709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>*</w:t>
      </w:r>
      <w:r w:rsidR="000679F0">
        <w:rPr>
          <w:rStyle w:val="Bodytext1"/>
          <w:sz w:val="24"/>
          <w:szCs w:val="24"/>
          <w:lang w:bidi="en-GB"/>
        </w:rPr>
        <w:tab/>
      </w:r>
      <w:proofErr w:type="spellStart"/>
      <w:r w:rsidRPr="00BB348B">
        <w:rPr>
          <w:rStyle w:val="Bodytext1"/>
          <w:sz w:val="24"/>
          <w:szCs w:val="24"/>
          <w:lang w:bidi="en-GB"/>
        </w:rPr>
        <w:t>Hyponatriæmi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kan forårsage hovedpine, mavesmerter, kvalme, opkastninger, vægtøgning, svimmelhed, konfusion, utilpashed, hukommelsessvækkelse, </w:t>
      </w:r>
      <w:proofErr w:type="spellStart"/>
      <w:r w:rsidRPr="00BB348B">
        <w:rPr>
          <w:rStyle w:val="Bodytext1"/>
          <w:sz w:val="24"/>
          <w:szCs w:val="24"/>
          <w:lang w:bidi="en-GB"/>
        </w:rPr>
        <w:t>vertigo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, faldtendens og i alvorlige tilfælde kramper og koma. </w:t>
      </w:r>
    </w:p>
    <w:p w14:paraId="739F538F" w14:textId="331BFFC6" w:rsidR="005C5F7A" w:rsidRPr="00BB348B" w:rsidRDefault="005C5F7A" w:rsidP="000679F0">
      <w:pPr>
        <w:ind w:left="709" w:hanging="709"/>
        <w:rPr>
          <w:sz w:val="24"/>
          <w:szCs w:val="24"/>
        </w:rPr>
      </w:pPr>
      <w:r w:rsidRPr="00BB348B">
        <w:rPr>
          <w:rStyle w:val="Bodytext1"/>
          <w:sz w:val="24"/>
          <w:szCs w:val="24"/>
          <w:lang w:bidi="en-GB"/>
        </w:rPr>
        <w:t>**</w:t>
      </w:r>
      <w:r w:rsidR="000679F0">
        <w:rPr>
          <w:rStyle w:val="Bodytext1"/>
          <w:sz w:val="24"/>
          <w:szCs w:val="24"/>
          <w:lang w:bidi="en-GB"/>
        </w:rPr>
        <w:tab/>
      </w:r>
      <w:r w:rsidRPr="00BB348B">
        <w:rPr>
          <w:rStyle w:val="Bodytext1"/>
          <w:sz w:val="24"/>
          <w:szCs w:val="24"/>
          <w:lang w:bidi="en-GB"/>
        </w:rPr>
        <w:t>Rapporter efter markedsføring, samme hyppighed hos børn og unge (&lt;18 år).</w:t>
      </w:r>
    </w:p>
    <w:p w14:paraId="4BCF0D67" w14:textId="77777777" w:rsidR="000679F0" w:rsidRDefault="005C5F7A" w:rsidP="000679F0">
      <w:pPr>
        <w:ind w:left="709" w:hanging="709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>***</w:t>
      </w:r>
      <w:r w:rsidR="000679F0">
        <w:rPr>
          <w:rStyle w:val="Bodytext1"/>
          <w:sz w:val="24"/>
          <w:szCs w:val="24"/>
          <w:lang w:bidi="en-GB"/>
        </w:rPr>
        <w:tab/>
      </w:r>
      <w:r w:rsidRPr="00BB348B">
        <w:rPr>
          <w:rStyle w:val="Bodytext1"/>
          <w:sz w:val="24"/>
          <w:szCs w:val="24"/>
          <w:lang w:bidi="en-GB"/>
        </w:rPr>
        <w:t>Rapporter efter markedsføring, næsten udelukkende hos børn og unge (&lt;18 år).</w:t>
      </w:r>
    </w:p>
    <w:p w14:paraId="425579E1" w14:textId="6141FAC3" w:rsidR="005C5F7A" w:rsidRPr="00BB348B" w:rsidRDefault="005C5F7A" w:rsidP="000679F0">
      <w:pPr>
        <w:ind w:left="709" w:hanging="709"/>
        <w:rPr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>****</w:t>
      </w:r>
      <w:r w:rsidR="000679F0">
        <w:rPr>
          <w:rStyle w:val="Bodytext1"/>
          <w:sz w:val="24"/>
          <w:szCs w:val="24"/>
          <w:lang w:bidi="en-GB"/>
        </w:rPr>
        <w:tab/>
      </w:r>
      <w:r w:rsidRPr="00BB348B">
        <w:rPr>
          <w:rStyle w:val="Bodytext1"/>
          <w:sz w:val="24"/>
          <w:szCs w:val="24"/>
          <w:lang w:bidi="en-GB"/>
        </w:rPr>
        <w:t>Rapporteret efter markedsføring, hovedsageligt hos børn (&lt;12 år).</w:t>
      </w:r>
    </w:p>
    <w:p w14:paraId="3009AFA0" w14:textId="77777777" w:rsidR="000679F0" w:rsidRDefault="000679F0" w:rsidP="00BB348B">
      <w:pPr>
        <w:ind w:left="851"/>
        <w:rPr>
          <w:rStyle w:val="Bodytext1"/>
          <w:sz w:val="24"/>
          <w:szCs w:val="24"/>
          <w:u w:val="single"/>
          <w:lang w:bidi="en-GB"/>
        </w:rPr>
      </w:pPr>
    </w:p>
    <w:p w14:paraId="643179FD" w14:textId="69EC79CD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rStyle w:val="Bodytext1"/>
          <w:sz w:val="24"/>
          <w:szCs w:val="24"/>
          <w:u w:val="single"/>
          <w:lang w:bidi="en-GB"/>
        </w:rPr>
        <w:t>Beskrivelse af udvalgte bivirkninger</w:t>
      </w:r>
    </w:p>
    <w:p w14:paraId="5921C32A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rStyle w:val="Bodytext1"/>
          <w:sz w:val="24"/>
          <w:szCs w:val="24"/>
          <w:lang w:bidi="en-GB"/>
        </w:rPr>
        <w:t xml:space="preserve">Den alvorligste uønskede virkning af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er </w:t>
      </w:r>
      <w:proofErr w:type="spellStart"/>
      <w:r w:rsidRPr="00BB348B">
        <w:rPr>
          <w:rStyle w:val="Bodytext1"/>
          <w:sz w:val="24"/>
          <w:szCs w:val="24"/>
          <w:lang w:bidi="en-GB"/>
        </w:rPr>
        <w:t>hyponatriæmi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, som kan forårsage hovedpine, mavesmerter, kvalme, opkastninger, vægtøgning, svimmelhed, konfusion, utilpashed, hukommelsessvækkelse, </w:t>
      </w:r>
      <w:proofErr w:type="spellStart"/>
      <w:r w:rsidRPr="00BB348B">
        <w:rPr>
          <w:rStyle w:val="Bodytext1"/>
          <w:sz w:val="24"/>
          <w:szCs w:val="24"/>
          <w:lang w:bidi="en-GB"/>
        </w:rPr>
        <w:t>vertigo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, faldtendens og i alvorlige tilfælde kramper og koma. Årsagen til potentiel </w:t>
      </w:r>
      <w:proofErr w:type="spellStart"/>
      <w:r w:rsidRPr="00BB348B">
        <w:rPr>
          <w:rStyle w:val="Bodytext1"/>
          <w:sz w:val="24"/>
          <w:szCs w:val="24"/>
          <w:lang w:bidi="en-GB"/>
        </w:rPr>
        <w:t>hyponatriæmi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er den forventede antidiuretiske effekt. </w:t>
      </w:r>
      <w:proofErr w:type="spellStart"/>
      <w:r w:rsidRPr="00BB348B">
        <w:rPr>
          <w:rStyle w:val="Bodytext1"/>
          <w:sz w:val="24"/>
          <w:szCs w:val="24"/>
          <w:lang w:bidi="en-GB"/>
        </w:rPr>
        <w:t>Hyponatriæmien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er reversibel, og hos børn ses det ofte, at den forekommer i forbindelse med ændringer i daglige rutiner, som påvirker væskeindtag og/eller svedtendens. Størstedelen af de voksne, der blev behandlet for </w:t>
      </w:r>
      <w:proofErr w:type="spellStart"/>
      <w:r w:rsidRPr="00BB348B">
        <w:rPr>
          <w:rStyle w:val="Bodytext1"/>
          <w:sz w:val="24"/>
          <w:szCs w:val="24"/>
          <w:lang w:bidi="en-GB"/>
        </w:rPr>
        <w:t>nykturi</w:t>
      </w:r>
      <w:proofErr w:type="spellEnd"/>
      <w:r w:rsidRPr="00BB348B">
        <w:rPr>
          <w:rStyle w:val="Bodytext1"/>
          <w:sz w:val="24"/>
          <w:szCs w:val="24"/>
          <w:lang w:bidi="en-GB"/>
        </w:rPr>
        <w:t>, udviklede lave serumnatriumniveauer inden for de første par dage af behandlingen eller efter dosisforøgelse. Hos både børn og voksne skal man være særlig opmærksom på de forholdsregler, der er beskrevet i pkt. 4.4.</w:t>
      </w:r>
    </w:p>
    <w:p w14:paraId="540FAFA0" w14:textId="40E24A59" w:rsidR="00F22D92" w:rsidRDefault="00F22D92">
      <w:pPr>
        <w:rPr>
          <w:rStyle w:val="Bodytext1"/>
          <w:sz w:val="24"/>
          <w:szCs w:val="24"/>
          <w:u w:val="single"/>
          <w:lang w:bidi="en-GB"/>
        </w:rPr>
      </w:pPr>
      <w:r>
        <w:rPr>
          <w:rStyle w:val="Bodytext1"/>
          <w:sz w:val="24"/>
          <w:szCs w:val="24"/>
          <w:u w:val="single"/>
          <w:lang w:bidi="en-GB"/>
        </w:rPr>
        <w:br w:type="page"/>
      </w:r>
    </w:p>
    <w:p w14:paraId="444B1A6A" w14:textId="77777777" w:rsidR="000679F0" w:rsidRDefault="000679F0" w:rsidP="00BB348B">
      <w:pPr>
        <w:ind w:left="851"/>
        <w:rPr>
          <w:rStyle w:val="Bodytext1"/>
          <w:sz w:val="24"/>
          <w:szCs w:val="24"/>
          <w:u w:val="single"/>
          <w:lang w:bidi="en-GB"/>
        </w:rPr>
      </w:pPr>
    </w:p>
    <w:p w14:paraId="7F48FD71" w14:textId="3B3DFC95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rStyle w:val="Bodytext1"/>
          <w:sz w:val="24"/>
          <w:szCs w:val="24"/>
          <w:u w:val="single"/>
          <w:lang w:bidi="en-GB"/>
        </w:rPr>
        <w:t>Særlige populationer</w:t>
      </w:r>
    </w:p>
    <w:p w14:paraId="2E2FDA6D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rStyle w:val="Bodytext1"/>
          <w:sz w:val="24"/>
          <w:szCs w:val="24"/>
          <w:lang w:bidi="en-GB"/>
        </w:rPr>
        <w:t xml:space="preserve">Ældre patienter og patienter med natriumniveauer i den lave ende af normalområdet kan have en øget risiko for at udvikle </w:t>
      </w:r>
      <w:proofErr w:type="spellStart"/>
      <w:r w:rsidRPr="00BB348B">
        <w:rPr>
          <w:rStyle w:val="Bodytext1"/>
          <w:sz w:val="24"/>
          <w:szCs w:val="24"/>
          <w:lang w:bidi="en-GB"/>
        </w:rPr>
        <w:t>hyponatriæmi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(se pkt. 4.4).</w:t>
      </w:r>
    </w:p>
    <w:p w14:paraId="188C93AF" w14:textId="77777777" w:rsidR="000679F0" w:rsidRDefault="000679F0" w:rsidP="00BB348B">
      <w:pPr>
        <w:ind w:left="851"/>
        <w:rPr>
          <w:sz w:val="24"/>
          <w:szCs w:val="24"/>
          <w:u w:val="single"/>
        </w:rPr>
      </w:pPr>
    </w:p>
    <w:p w14:paraId="7CDB6388" w14:textId="78D1829C" w:rsidR="005C5F7A" w:rsidRPr="00BB348B" w:rsidRDefault="005C5F7A" w:rsidP="00BB348B">
      <w:pPr>
        <w:ind w:left="851"/>
        <w:rPr>
          <w:sz w:val="24"/>
          <w:szCs w:val="24"/>
          <w:u w:val="single"/>
        </w:rPr>
      </w:pPr>
      <w:r w:rsidRPr="00BB348B">
        <w:rPr>
          <w:sz w:val="24"/>
          <w:szCs w:val="24"/>
          <w:u w:val="single"/>
        </w:rPr>
        <w:t>Indberetning af formodede bivirkninger</w:t>
      </w:r>
    </w:p>
    <w:p w14:paraId="078653BE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BB348B">
        <w:rPr>
          <w:sz w:val="24"/>
          <w:szCs w:val="24"/>
        </w:rPr>
        <w:t>risk</w:t>
      </w:r>
      <w:proofErr w:type="spellEnd"/>
      <w:r w:rsidRPr="00BB348B">
        <w:rPr>
          <w:sz w:val="24"/>
          <w:szCs w:val="24"/>
        </w:rPr>
        <w:t>-forholdet for lægemidlet. Sundhedspersoner anmodes om at indberette alle formodede bivirkninger via:</w:t>
      </w:r>
    </w:p>
    <w:p w14:paraId="474752E6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16442836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Lægemiddelstyrelsen</w:t>
      </w:r>
    </w:p>
    <w:p w14:paraId="4FC74D3F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Axel Heides Gade 1</w:t>
      </w:r>
    </w:p>
    <w:p w14:paraId="2BEB5B7B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DK-2300 København S</w:t>
      </w:r>
    </w:p>
    <w:p w14:paraId="7F213F3E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Websted: www.meldenbivirkning.dk</w:t>
      </w:r>
    </w:p>
    <w:p w14:paraId="0AB66C27" w14:textId="77777777" w:rsidR="009260DE" w:rsidRPr="00BB348B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135FD090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4.9</w:t>
      </w:r>
      <w:r w:rsidRPr="00BB348B">
        <w:rPr>
          <w:b/>
          <w:sz w:val="24"/>
          <w:szCs w:val="24"/>
        </w:rPr>
        <w:tab/>
        <w:t>Overdosering</w:t>
      </w:r>
    </w:p>
    <w:p w14:paraId="7FFDD89A" w14:textId="24ADE300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 xml:space="preserve">Overdosering af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</w:t>
      </w:r>
      <w:r w:rsidR="00F22D92">
        <w:rPr>
          <w:sz w:val="24"/>
          <w:szCs w:val="24"/>
        </w:rPr>
        <w:t>"Orifarm"</w:t>
      </w:r>
      <w:r w:rsidRPr="00BB348B">
        <w:rPr>
          <w:sz w:val="24"/>
          <w:szCs w:val="24"/>
        </w:rPr>
        <w:t xml:space="preserve"> frysetørrede tabletter fører til forlænget virkningsvarighed med øget risiko for væskeretention og </w:t>
      </w:r>
      <w:proofErr w:type="spellStart"/>
      <w:r w:rsidRPr="00BB348B">
        <w:rPr>
          <w:sz w:val="24"/>
          <w:szCs w:val="24"/>
        </w:rPr>
        <w:t>hyponatriæmi</w:t>
      </w:r>
      <w:proofErr w:type="spellEnd"/>
      <w:r w:rsidRPr="00BB348B">
        <w:rPr>
          <w:sz w:val="24"/>
          <w:szCs w:val="24"/>
        </w:rPr>
        <w:t>.</w:t>
      </w:r>
    </w:p>
    <w:p w14:paraId="486B913E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61AFD6C1" w14:textId="77777777" w:rsidR="005C5F7A" w:rsidRPr="00BB348B" w:rsidRDefault="005C5F7A" w:rsidP="00BB348B">
      <w:pPr>
        <w:ind w:left="851"/>
        <w:rPr>
          <w:sz w:val="24"/>
          <w:szCs w:val="24"/>
          <w:u w:val="single"/>
        </w:rPr>
      </w:pPr>
      <w:r w:rsidRPr="00BB348B">
        <w:rPr>
          <w:sz w:val="24"/>
          <w:szCs w:val="24"/>
          <w:u w:val="single"/>
        </w:rPr>
        <w:t>Behandling</w:t>
      </w:r>
    </w:p>
    <w:p w14:paraId="31CEA526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Behandling af </w:t>
      </w:r>
      <w:proofErr w:type="spellStart"/>
      <w:r w:rsidRPr="00BB348B">
        <w:rPr>
          <w:sz w:val="24"/>
          <w:szCs w:val="24"/>
        </w:rPr>
        <w:t>hyponatriæmi</w:t>
      </w:r>
      <w:proofErr w:type="spellEnd"/>
      <w:r w:rsidRPr="00BB348B">
        <w:rPr>
          <w:sz w:val="24"/>
          <w:szCs w:val="24"/>
        </w:rPr>
        <w:t xml:space="preserve"> bør individualiseres, men følgende generelle retningslinjer kan gives: seponer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behandlingen, begræns væskeindtaget, samt symptomatisk behandling såfremt dette er nødvendigt.</w:t>
      </w:r>
    </w:p>
    <w:p w14:paraId="3243576A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7D51F3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4.10</w:t>
      </w:r>
      <w:r w:rsidRPr="00BB348B">
        <w:rPr>
          <w:b/>
          <w:sz w:val="24"/>
          <w:szCs w:val="24"/>
        </w:rPr>
        <w:tab/>
        <w:t>Udlevering</w:t>
      </w:r>
    </w:p>
    <w:p w14:paraId="4EBDCC51" w14:textId="734A8903" w:rsidR="009260DE" w:rsidRPr="00BB348B" w:rsidRDefault="005C5F7A" w:rsidP="009260DE">
      <w:pPr>
        <w:tabs>
          <w:tab w:val="left" w:pos="851"/>
        </w:tabs>
        <w:ind w:left="851"/>
        <w:rPr>
          <w:sz w:val="24"/>
          <w:szCs w:val="24"/>
        </w:rPr>
      </w:pPr>
      <w:r w:rsidRPr="00BB348B">
        <w:rPr>
          <w:sz w:val="24"/>
          <w:szCs w:val="24"/>
        </w:rPr>
        <w:t>B</w:t>
      </w:r>
    </w:p>
    <w:p w14:paraId="62540EA0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C1E9BD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30DACB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5.</w:t>
      </w:r>
      <w:r w:rsidRPr="00BB348B">
        <w:rPr>
          <w:b/>
          <w:sz w:val="24"/>
          <w:szCs w:val="24"/>
        </w:rPr>
        <w:tab/>
        <w:t>FARMAKOLOGISKE EGENSKABER</w:t>
      </w:r>
    </w:p>
    <w:p w14:paraId="24465D23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6FD4D1" w14:textId="77777777" w:rsidR="009260DE" w:rsidRPr="00BB348B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5.1</w:t>
      </w:r>
      <w:r w:rsidRPr="00BB348B">
        <w:rPr>
          <w:b/>
          <w:sz w:val="24"/>
          <w:szCs w:val="24"/>
        </w:rPr>
        <w:tab/>
      </w:r>
      <w:proofErr w:type="spellStart"/>
      <w:r w:rsidRPr="00BB348B">
        <w:rPr>
          <w:b/>
          <w:sz w:val="24"/>
          <w:szCs w:val="24"/>
        </w:rPr>
        <w:t>Farmakodynamiske</w:t>
      </w:r>
      <w:proofErr w:type="spellEnd"/>
      <w:r w:rsidRPr="00BB348B">
        <w:rPr>
          <w:b/>
          <w:sz w:val="24"/>
          <w:szCs w:val="24"/>
        </w:rPr>
        <w:t xml:space="preserve"> egenskaber</w:t>
      </w:r>
    </w:p>
    <w:p w14:paraId="3080DFC7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proofErr w:type="spellStart"/>
      <w:r w:rsidRPr="00BB348B">
        <w:rPr>
          <w:sz w:val="24"/>
          <w:szCs w:val="24"/>
        </w:rPr>
        <w:t>Farmakoterapeutisk</w:t>
      </w:r>
      <w:proofErr w:type="spellEnd"/>
      <w:r w:rsidRPr="00BB348B">
        <w:rPr>
          <w:sz w:val="24"/>
          <w:szCs w:val="24"/>
        </w:rPr>
        <w:t xml:space="preserve"> klassifikation: </w:t>
      </w:r>
      <w:proofErr w:type="spellStart"/>
      <w:r w:rsidRPr="00BB348B">
        <w:rPr>
          <w:sz w:val="24"/>
          <w:szCs w:val="24"/>
        </w:rPr>
        <w:t>Vasopressin</w:t>
      </w:r>
      <w:proofErr w:type="spellEnd"/>
      <w:r w:rsidRPr="00BB348B">
        <w:rPr>
          <w:sz w:val="24"/>
          <w:szCs w:val="24"/>
        </w:rPr>
        <w:t xml:space="preserve"> og </w:t>
      </w:r>
      <w:proofErr w:type="spellStart"/>
      <w:r w:rsidRPr="00BB348B">
        <w:rPr>
          <w:sz w:val="24"/>
          <w:szCs w:val="24"/>
        </w:rPr>
        <w:t>analoger</w:t>
      </w:r>
      <w:proofErr w:type="spellEnd"/>
      <w:r w:rsidRPr="00BB348B">
        <w:rPr>
          <w:sz w:val="24"/>
          <w:szCs w:val="24"/>
        </w:rPr>
        <w:t>, ATC-kode: H01BA02</w:t>
      </w:r>
    </w:p>
    <w:p w14:paraId="5B15A23E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67FE1344" w14:textId="77777777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er en strukturel analog til det naturlige hypofysehormon </w:t>
      </w:r>
      <w:proofErr w:type="spellStart"/>
      <w:r w:rsidRPr="00BB348B">
        <w:rPr>
          <w:rStyle w:val="Bodytext1"/>
          <w:sz w:val="24"/>
          <w:szCs w:val="24"/>
          <w:lang w:bidi="en-GB"/>
        </w:rPr>
        <w:t>argininvasopressin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. Det adskiller sig fra </w:t>
      </w:r>
      <w:proofErr w:type="spellStart"/>
      <w:r w:rsidRPr="00BB348B">
        <w:rPr>
          <w:rStyle w:val="Bodytext1"/>
          <w:sz w:val="24"/>
          <w:szCs w:val="24"/>
          <w:lang w:bidi="en-GB"/>
        </w:rPr>
        <w:t>argininvasopressin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ved, at aminogruppen i </w:t>
      </w:r>
      <w:proofErr w:type="spellStart"/>
      <w:r w:rsidRPr="00BB348B">
        <w:rPr>
          <w:rStyle w:val="Bodytext1"/>
          <w:sz w:val="24"/>
          <w:szCs w:val="24"/>
          <w:lang w:bidi="en-GB"/>
        </w:rPr>
        <w:t>cystein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er blevet fjernet, og L-</w:t>
      </w:r>
      <w:proofErr w:type="spellStart"/>
      <w:r w:rsidRPr="00BB348B">
        <w:rPr>
          <w:rStyle w:val="Bodytext1"/>
          <w:sz w:val="24"/>
          <w:szCs w:val="24"/>
          <w:lang w:bidi="en-GB"/>
        </w:rPr>
        <w:t>arginin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er blevet erstattet af D-</w:t>
      </w:r>
      <w:proofErr w:type="spellStart"/>
      <w:r w:rsidRPr="00BB348B">
        <w:rPr>
          <w:rStyle w:val="Bodytext1"/>
          <w:sz w:val="24"/>
          <w:szCs w:val="24"/>
          <w:lang w:bidi="en-GB"/>
        </w:rPr>
        <w:t>arginin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. Dette resulterer i en væsentligt forlænget virkningsvarighed og et fuldstændigt fravær af </w:t>
      </w:r>
      <w:proofErr w:type="spellStart"/>
      <w:r w:rsidRPr="00BB348B">
        <w:rPr>
          <w:rStyle w:val="Bodytext1"/>
          <w:sz w:val="24"/>
          <w:szCs w:val="24"/>
          <w:lang w:bidi="en-GB"/>
        </w:rPr>
        <w:t>pressoreffekt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ved kliniske doser.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øger </w:t>
      </w:r>
      <w:proofErr w:type="spellStart"/>
      <w:r w:rsidRPr="00BB348B">
        <w:rPr>
          <w:rStyle w:val="Bodytext1"/>
          <w:sz w:val="24"/>
          <w:szCs w:val="24"/>
          <w:lang w:bidi="en-GB"/>
        </w:rPr>
        <w:t>reabsorptionen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af vand i nyrerne, hvorved urinen koncentreres, og den samlede urinproduktion mindskes. </w:t>
      </w:r>
    </w:p>
    <w:p w14:paraId="7D4CB11D" w14:textId="77777777" w:rsidR="000679F0" w:rsidRDefault="000679F0" w:rsidP="00BB348B">
      <w:pPr>
        <w:ind w:left="851"/>
        <w:rPr>
          <w:rStyle w:val="Bodytext1"/>
          <w:sz w:val="24"/>
          <w:szCs w:val="24"/>
          <w:lang w:bidi="en-GB"/>
        </w:rPr>
      </w:pPr>
    </w:p>
    <w:p w14:paraId="19360361" w14:textId="640A6189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 xml:space="preserve">Kliniske studier med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desmopressintabletter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til behandling af </w:t>
      </w:r>
      <w:proofErr w:type="spellStart"/>
      <w:r w:rsidRPr="00BB348B">
        <w:rPr>
          <w:rStyle w:val="Bodytext1"/>
          <w:sz w:val="24"/>
          <w:szCs w:val="24"/>
          <w:lang w:bidi="en-GB"/>
        </w:rPr>
        <w:t>nykturi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har vist følgende:</w:t>
      </w:r>
    </w:p>
    <w:p w14:paraId="482C5463" w14:textId="77777777" w:rsidR="005C5F7A" w:rsidRPr="000679F0" w:rsidRDefault="005C5F7A" w:rsidP="000679F0">
      <w:pPr>
        <w:pStyle w:val="Listeafsnit"/>
        <w:numPr>
          <w:ilvl w:val="0"/>
          <w:numId w:val="10"/>
        </w:numPr>
        <w:ind w:left="1276" w:hanging="425"/>
        <w:rPr>
          <w:rStyle w:val="Bodytext1"/>
          <w:sz w:val="24"/>
          <w:szCs w:val="24"/>
          <w:lang w:bidi="en-GB"/>
        </w:rPr>
      </w:pPr>
      <w:r w:rsidRPr="000679F0">
        <w:rPr>
          <w:rStyle w:val="Bodytext1"/>
          <w:sz w:val="24"/>
          <w:szCs w:val="24"/>
          <w:lang w:bidi="en-GB"/>
        </w:rPr>
        <w:t xml:space="preserve">Det gennemsnitlige antal natlige vandladninger blev reduceret med mindst 50 % hos 39 % af patienterne i </w:t>
      </w:r>
      <w:proofErr w:type="spellStart"/>
      <w:r w:rsidRPr="000679F0">
        <w:rPr>
          <w:rStyle w:val="Bodytext1"/>
          <w:sz w:val="24"/>
          <w:szCs w:val="24"/>
          <w:lang w:bidi="en-GB"/>
        </w:rPr>
        <w:t>desmopressingruppen</w:t>
      </w:r>
      <w:proofErr w:type="spellEnd"/>
      <w:r w:rsidRPr="000679F0">
        <w:rPr>
          <w:rStyle w:val="Bodytext1"/>
          <w:sz w:val="24"/>
          <w:szCs w:val="24"/>
          <w:lang w:bidi="en-GB"/>
        </w:rPr>
        <w:t xml:space="preserve"> sammenlignet med 5 % i placebogruppen (p&lt;0,0001).</w:t>
      </w:r>
    </w:p>
    <w:p w14:paraId="67AE43FC" w14:textId="77777777" w:rsidR="005C5F7A" w:rsidRPr="000679F0" w:rsidRDefault="005C5F7A" w:rsidP="000679F0">
      <w:pPr>
        <w:pStyle w:val="Listeafsnit"/>
        <w:numPr>
          <w:ilvl w:val="0"/>
          <w:numId w:val="10"/>
        </w:numPr>
        <w:ind w:left="1276" w:hanging="425"/>
        <w:rPr>
          <w:rStyle w:val="Bodytext1"/>
          <w:sz w:val="24"/>
          <w:szCs w:val="24"/>
          <w:lang w:bidi="en-GB"/>
        </w:rPr>
      </w:pPr>
      <w:r w:rsidRPr="000679F0">
        <w:rPr>
          <w:rStyle w:val="Bodytext1"/>
          <w:sz w:val="24"/>
          <w:szCs w:val="24"/>
          <w:lang w:bidi="en-GB"/>
        </w:rPr>
        <w:t xml:space="preserve">Det gennemsnitlige antal natlige vandladninger blev reduceret med 44 % i </w:t>
      </w:r>
      <w:proofErr w:type="spellStart"/>
      <w:r w:rsidRPr="000679F0">
        <w:rPr>
          <w:rStyle w:val="Bodytext1"/>
          <w:sz w:val="24"/>
          <w:szCs w:val="24"/>
          <w:lang w:bidi="en-GB"/>
        </w:rPr>
        <w:t>desmopressingruppen</w:t>
      </w:r>
      <w:proofErr w:type="spellEnd"/>
      <w:r w:rsidRPr="000679F0">
        <w:rPr>
          <w:rStyle w:val="Bodytext1"/>
          <w:sz w:val="24"/>
          <w:szCs w:val="24"/>
          <w:lang w:bidi="en-GB"/>
        </w:rPr>
        <w:t xml:space="preserve"> sammenlignet med 15 % i placebogruppen (p&lt;0,0001).</w:t>
      </w:r>
    </w:p>
    <w:p w14:paraId="23731B93" w14:textId="77777777" w:rsidR="005C5F7A" w:rsidRPr="000679F0" w:rsidRDefault="005C5F7A" w:rsidP="000679F0">
      <w:pPr>
        <w:pStyle w:val="Listeafsnit"/>
        <w:numPr>
          <w:ilvl w:val="0"/>
          <w:numId w:val="10"/>
        </w:numPr>
        <w:ind w:left="1276" w:hanging="425"/>
        <w:rPr>
          <w:rStyle w:val="Bodytext1"/>
          <w:sz w:val="24"/>
          <w:szCs w:val="24"/>
          <w:lang w:bidi="en-GB"/>
        </w:rPr>
      </w:pPr>
      <w:r w:rsidRPr="000679F0">
        <w:rPr>
          <w:rStyle w:val="Bodytext1"/>
          <w:sz w:val="24"/>
          <w:szCs w:val="24"/>
          <w:lang w:bidi="en-GB"/>
        </w:rPr>
        <w:t xml:space="preserve">Medianvarigheden af den første uforstyrrede søvnperiode steg med 64 % i </w:t>
      </w:r>
      <w:proofErr w:type="spellStart"/>
      <w:r w:rsidRPr="000679F0">
        <w:rPr>
          <w:rStyle w:val="Bodytext1"/>
          <w:sz w:val="24"/>
          <w:szCs w:val="24"/>
          <w:lang w:bidi="en-GB"/>
        </w:rPr>
        <w:t>desmopressingruppen</w:t>
      </w:r>
      <w:proofErr w:type="spellEnd"/>
      <w:r w:rsidRPr="000679F0">
        <w:rPr>
          <w:rStyle w:val="Bodytext1"/>
          <w:sz w:val="24"/>
          <w:szCs w:val="24"/>
          <w:lang w:bidi="en-GB"/>
        </w:rPr>
        <w:t xml:space="preserve"> sammenlignet med 20 % i placebogruppen (p&lt;0,0001).</w:t>
      </w:r>
    </w:p>
    <w:p w14:paraId="11F5A801" w14:textId="77777777" w:rsidR="005C5F7A" w:rsidRPr="000679F0" w:rsidRDefault="005C5F7A" w:rsidP="000679F0">
      <w:pPr>
        <w:pStyle w:val="Listeafsnit"/>
        <w:numPr>
          <w:ilvl w:val="0"/>
          <w:numId w:val="10"/>
        </w:numPr>
        <w:ind w:left="1276" w:hanging="425"/>
        <w:rPr>
          <w:rStyle w:val="Bodytext1"/>
          <w:sz w:val="24"/>
          <w:szCs w:val="24"/>
          <w:lang w:bidi="en-GB"/>
        </w:rPr>
      </w:pPr>
      <w:r w:rsidRPr="000679F0">
        <w:rPr>
          <w:rStyle w:val="Bodytext1"/>
          <w:sz w:val="24"/>
          <w:szCs w:val="24"/>
          <w:lang w:bidi="en-GB"/>
        </w:rPr>
        <w:t xml:space="preserve">Den gennemsnitlige varighed af den første uforstyrrede søvnperiode steg med to timer i </w:t>
      </w:r>
      <w:proofErr w:type="spellStart"/>
      <w:r w:rsidRPr="000679F0">
        <w:rPr>
          <w:rStyle w:val="Bodytext1"/>
          <w:sz w:val="24"/>
          <w:szCs w:val="24"/>
          <w:lang w:bidi="en-GB"/>
        </w:rPr>
        <w:t>desmopressingruppen</w:t>
      </w:r>
      <w:proofErr w:type="spellEnd"/>
      <w:r w:rsidRPr="000679F0">
        <w:rPr>
          <w:rStyle w:val="Bodytext1"/>
          <w:sz w:val="24"/>
          <w:szCs w:val="24"/>
          <w:lang w:bidi="en-GB"/>
        </w:rPr>
        <w:t xml:space="preserve"> sammenlignet med 31 minutter i placebogruppen (p&lt;0,0001).</w:t>
      </w:r>
    </w:p>
    <w:p w14:paraId="183ADA6D" w14:textId="77777777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</w:p>
    <w:p w14:paraId="24DA3395" w14:textId="615F4E65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lastRenderedPageBreak/>
        <w:t xml:space="preserve">Effekten af behandling med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desmopressintabletter</w:t>
      </w:r>
      <w:proofErr w:type="spellEnd"/>
      <w:r w:rsidRPr="00BB348B">
        <w:rPr>
          <w:rStyle w:val="Bodytext1"/>
          <w:sz w:val="24"/>
          <w:szCs w:val="24"/>
          <w:lang w:bidi="en-GB"/>
        </w:rPr>
        <w:t>, når individuelt tilpassede orale doser på 0,1 til 0,4 mg blev brugt i 3 uger, sammenlignet med placebo (indsamlede data)</w:t>
      </w:r>
      <w:r w:rsidR="004439C4">
        <w:rPr>
          <w:rStyle w:val="Bodytext1"/>
          <w:sz w:val="24"/>
          <w:szCs w:val="24"/>
          <w:lang w:bidi="en-GB"/>
        </w:rPr>
        <w:t>.</w:t>
      </w:r>
    </w:p>
    <w:tbl>
      <w:tblPr>
        <w:tblpPr w:leftFromText="141" w:rightFromText="141" w:vertAnchor="text" w:tblpY="-74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0"/>
        <w:gridCol w:w="1326"/>
        <w:gridCol w:w="1607"/>
        <w:gridCol w:w="1326"/>
        <w:gridCol w:w="1607"/>
        <w:gridCol w:w="2022"/>
      </w:tblGrid>
      <w:tr w:rsidR="005C5F7A" w:rsidRPr="004439C4" w14:paraId="70BE76F3" w14:textId="77777777" w:rsidTr="004439C4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A681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98BA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proofErr w:type="spellStart"/>
            <w:r w:rsidRPr="004439C4">
              <w:rPr>
                <w:rStyle w:val="Other1"/>
                <w:lang w:bidi="en-GB"/>
              </w:rPr>
              <w:t>Desmopressin</w:t>
            </w:r>
            <w:proofErr w:type="spellEnd"/>
          </w:p>
        </w:tc>
        <w:tc>
          <w:tcPr>
            <w:tcW w:w="1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E6B2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Placebo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0D50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Statistisk signifikans/placebo (t-test)</w:t>
            </w:r>
          </w:p>
        </w:tc>
      </w:tr>
      <w:tr w:rsidR="004439C4" w:rsidRPr="004439C4" w14:paraId="7F7C97F1" w14:textId="77777777" w:rsidTr="004439C4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2DA8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Variabel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56BA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Baseline, gennemsnit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0F77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Gennemsnitlig værdi over 3 ugers behandling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FF4E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Baseline, gennemsnit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1A37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Gennemsnitlig værdi over 3 ugers behandling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9BD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</w:p>
        </w:tc>
      </w:tr>
      <w:tr w:rsidR="004439C4" w:rsidRPr="004439C4" w14:paraId="6C221F4C" w14:textId="77777777" w:rsidTr="004439C4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E20C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Antallet af natlige vandladninger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DCFA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2,97 (0,84)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048A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1,68 (0,86)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F1EE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3,03 (1,10)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30D9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2,54 (1,05)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B233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p&lt;0,0001</w:t>
            </w:r>
          </w:p>
        </w:tc>
      </w:tr>
      <w:tr w:rsidR="004439C4" w:rsidRPr="004439C4" w14:paraId="54D3BD91" w14:textId="77777777" w:rsidTr="004439C4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9F77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Natlig urinp</w:t>
            </w:r>
            <w:r w:rsidRPr="004439C4">
              <w:rPr>
                <w:rStyle w:val="Other1"/>
              </w:rPr>
              <w:t>roduktion</w:t>
            </w:r>
            <w:r w:rsidRPr="004439C4">
              <w:rPr>
                <w:rStyle w:val="Other1"/>
                <w:lang w:bidi="en-GB"/>
              </w:rPr>
              <w:t xml:space="preserve"> (ml/min)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97FC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1,51 (0,55)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6CD9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0,87 (0,34)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938D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1,55 (0,57)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7672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1,44 (0,57)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AE62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p&lt;0,0001</w:t>
            </w:r>
          </w:p>
        </w:tc>
      </w:tr>
      <w:tr w:rsidR="004439C4" w:rsidRPr="004439C4" w14:paraId="245ADD9A" w14:textId="77777777" w:rsidTr="004439C4">
        <w:trPr>
          <w:trHeight w:val="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46F4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Varighed af den første uforstyrrede søvnperiode (min)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F255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152 (51)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6BBD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270 (95)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08BA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147 (54)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3F5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178 (70)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C66A" w14:textId="77777777" w:rsidR="005C5F7A" w:rsidRPr="004439C4" w:rsidRDefault="005C5F7A" w:rsidP="004439C4">
            <w:pPr>
              <w:ind w:left="122" w:right="169"/>
              <w:rPr>
                <w:sz w:val="22"/>
                <w:szCs w:val="22"/>
              </w:rPr>
            </w:pPr>
            <w:r w:rsidRPr="004439C4">
              <w:rPr>
                <w:rStyle w:val="Other1"/>
                <w:lang w:bidi="en-GB"/>
              </w:rPr>
              <w:t>p&lt;0,0001</w:t>
            </w:r>
          </w:p>
        </w:tc>
      </w:tr>
    </w:tbl>
    <w:p w14:paraId="4CF4119F" w14:textId="77777777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 xml:space="preserve"> </w:t>
      </w:r>
    </w:p>
    <w:p w14:paraId="4A54CED6" w14:textId="77777777" w:rsidR="005C5F7A" w:rsidRPr="00BB348B" w:rsidRDefault="005C5F7A" w:rsidP="00BB348B">
      <w:pPr>
        <w:ind w:left="851"/>
        <w:rPr>
          <w:bCs/>
          <w:noProof/>
          <w:sz w:val="24"/>
          <w:szCs w:val="24"/>
        </w:rPr>
      </w:pPr>
      <w:r w:rsidRPr="00BB348B">
        <w:rPr>
          <w:rStyle w:val="Bodytext1"/>
          <w:sz w:val="24"/>
          <w:szCs w:val="24"/>
          <w:lang w:bidi="en-GB"/>
        </w:rPr>
        <w:t xml:space="preserve">8 % af patienterne ophørte med behandling i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-titreringsfasen på grund af bivirkninger og 2 % af patienterne i den efterfølgende dobbeltblindede fase (0,63 % med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og 1,45 % med placebo).</w:t>
      </w:r>
    </w:p>
    <w:p w14:paraId="256229F5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F050FA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5.2</w:t>
      </w:r>
      <w:r w:rsidRPr="00BB348B">
        <w:rPr>
          <w:b/>
          <w:sz w:val="24"/>
          <w:szCs w:val="24"/>
        </w:rPr>
        <w:tab/>
      </w:r>
      <w:proofErr w:type="spellStart"/>
      <w:r w:rsidRPr="00BB348B">
        <w:rPr>
          <w:b/>
          <w:sz w:val="24"/>
          <w:szCs w:val="24"/>
        </w:rPr>
        <w:t>Farmakokinetiske</w:t>
      </w:r>
      <w:proofErr w:type="spellEnd"/>
      <w:r w:rsidRPr="00BB348B">
        <w:rPr>
          <w:b/>
          <w:sz w:val="24"/>
          <w:szCs w:val="24"/>
        </w:rPr>
        <w:t xml:space="preserve"> egenskaber</w:t>
      </w:r>
    </w:p>
    <w:p w14:paraId="0A4B95BD" w14:textId="77777777" w:rsidR="004523E2" w:rsidRDefault="004523E2" w:rsidP="00BB348B">
      <w:pPr>
        <w:ind w:left="851"/>
        <w:rPr>
          <w:sz w:val="24"/>
          <w:szCs w:val="24"/>
        </w:rPr>
      </w:pPr>
    </w:p>
    <w:p w14:paraId="1FD0401E" w14:textId="3C2FA14B" w:rsidR="005C5F7A" w:rsidRPr="004523E2" w:rsidRDefault="005C5F7A" w:rsidP="00BB348B">
      <w:pPr>
        <w:ind w:left="851"/>
        <w:rPr>
          <w:sz w:val="24"/>
          <w:szCs w:val="24"/>
          <w:u w:val="single"/>
          <w:lang w:eastAsia="da-DK"/>
        </w:rPr>
      </w:pPr>
      <w:r w:rsidRPr="004523E2">
        <w:rPr>
          <w:sz w:val="24"/>
          <w:szCs w:val="24"/>
          <w:u w:val="single"/>
        </w:rPr>
        <w:t>Absorption</w:t>
      </w:r>
    </w:p>
    <w:p w14:paraId="13387C7E" w14:textId="77777777" w:rsidR="005C5F7A" w:rsidRPr="00BB348B" w:rsidRDefault="005C5F7A" w:rsidP="00BB348B">
      <w:pPr>
        <w:ind w:left="851"/>
        <w:rPr>
          <w:sz w:val="24"/>
          <w:szCs w:val="24"/>
        </w:rPr>
      </w:pPr>
      <w:bookmarkStart w:id="4" w:name="_Hlk155259674"/>
      <w:r w:rsidRPr="00BB348B">
        <w:rPr>
          <w:rStyle w:val="Bodytext1"/>
          <w:sz w:val="24"/>
          <w:szCs w:val="24"/>
          <w:lang w:bidi="en-GB"/>
        </w:rPr>
        <w:t xml:space="preserve">Den gennemsnitlige absolutte biotilgængelighed af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efter </w:t>
      </w:r>
      <w:proofErr w:type="spellStart"/>
      <w:r w:rsidRPr="00BB348B">
        <w:rPr>
          <w:rStyle w:val="Bodytext1"/>
          <w:sz w:val="24"/>
          <w:szCs w:val="24"/>
          <w:lang w:bidi="en-GB"/>
        </w:rPr>
        <w:t>sublingual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administration af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frysetørret </w:t>
      </w:r>
      <w:proofErr w:type="spellStart"/>
      <w:r w:rsidRPr="00BB348B">
        <w:rPr>
          <w:rStyle w:val="Bodytext1"/>
          <w:sz w:val="24"/>
          <w:szCs w:val="24"/>
          <w:lang w:bidi="en-GB"/>
        </w:rPr>
        <w:t>sublingual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tablet</w:t>
      </w:r>
      <w:r w:rsidRPr="00BB348B">
        <w:rPr>
          <w:noProof/>
          <w:sz w:val="24"/>
          <w:szCs w:val="24"/>
        </w:rPr>
        <w:t xml:space="preserve"> </w:t>
      </w:r>
      <w:r w:rsidRPr="00BB348B">
        <w:rPr>
          <w:rStyle w:val="Bodytext1"/>
          <w:sz w:val="24"/>
          <w:szCs w:val="24"/>
          <w:lang w:bidi="en-GB"/>
        </w:rPr>
        <w:t xml:space="preserve">i doser på 200, 400 og 800 mikrogram er 0,25 % (CI 95 % 0,21-0,31 %). Efter administration af doser på 200, 400 og 800 mikrogram </w:t>
      </w:r>
      <w:r w:rsidRPr="00BB348B">
        <w:rPr>
          <w:sz w:val="24"/>
          <w:szCs w:val="24"/>
          <w:lang w:bidi="en-GB"/>
        </w:rPr>
        <w:t xml:space="preserve">var </w:t>
      </w:r>
      <w:proofErr w:type="spellStart"/>
      <w:r w:rsidRPr="00BB348B">
        <w:rPr>
          <w:sz w:val="24"/>
          <w:szCs w:val="24"/>
        </w:rPr>
        <w:t>C</w:t>
      </w:r>
      <w:r w:rsidRPr="00BB348B">
        <w:rPr>
          <w:sz w:val="24"/>
          <w:szCs w:val="24"/>
          <w:vertAlign w:val="subscript"/>
        </w:rPr>
        <w:t>max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henholdsvis </w:t>
      </w:r>
      <w:r w:rsidRPr="00BB348B">
        <w:rPr>
          <w:sz w:val="24"/>
          <w:szCs w:val="24"/>
          <w:lang w:bidi="en-GB"/>
        </w:rPr>
        <w:t>14</w:t>
      </w:r>
      <w:r w:rsidRPr="00BB348B">
        <w:rPr>
          <w:rStyle w:val="Bodytext1"/>
          <w:sz w:val="24"/>
          <w:szCs w:val="24"/>
          <w:lang w:bidi="en-GB"/>
        </w:rPr>
        <w:t>, 30 og 65 </w:t>
      </w:r>
      <w:proofErr w:type="spellStart"/>
      <w:r w:rsidRPr="00BB348B">
        <w:rPr>
          <w:rStyle w:val="Bodytext1"/>
          <w:sz w:val="24"/>
          <w:szCs w:val="24"/>
          <w:lang w:bidi="en-GB"/>
        </w:rPr>
        <w:t>pg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/ml. </w:t>
      </w:r>
      <w:proofErr w:type="spellStart"/>
      <w:r w:rsidRPr="00BB348B">
        <w:rPr>
          <w:sz w:val="24"/>
          <w:szCs w:val="24"/>
        </w:rPr>
        <w:t>T</w:t>
      </w:r>
      <w:r w:rsidRPr="00BB348B">
        <w:rPr>
          <w:sz w:val="24"/>
          <w:szCs w:val="24"/>
          <w:vertAlign w:val="subscript"/>
        </w:rPr>
        <w:t>max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blev nået efter 0,5-2 timer.</w:t>
      </w:r>
    </w:p>
    <w:bookmarkEnd w:id="4"/>
    <w:p w14:paraId="790CAD16" w14:textId="77777777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 xml:space="preserve">Samtidig fødeindtagelse er ikke undersøgt med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frysetørret </w:t>
      </w:r>
      <w:proofErr w:type="spellStart"/>
      <w:r w:rsidRPr="00BB348B">
        <w:rPr>
          <w:rStyle w:val="Bodytext1"/>
          <w:sz w:val="24"/>
          <w:szCs w:val="24"/>
          <w:lang w:bidi="en-GB"/>
        </w:rPr>
        <w:t>sublingual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tablet, men med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desmopressintablet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falder absorptionshastigheden og -omfanget med 40 %.</w:t>
      </w:r>
    </w:p>
    <w:p w14:paraId="7659117C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5200C2D9" w14:textId="77777777" w:rsidR="005C5F7A" w:rsidRPr="00BB348B" w:rsidRDefault="005C5F7A" w:rsidP="00BB348B">
      <w:pPr>
        <w:ind w:left="851"/>
        <w:rPr>
          <w:rStyle w:val="Tablecaption1"/>
          <w:sz w:val="24"/>
          <w:szCs w:val="24"/>
          <w:lang w:bidi="en-GB"/>
        </w:rPr>
      </w:pPr>
      <w:r w:rsidRPr="00BB348B">
        <w:rPr>
          <w:rStyle w:val="Tablecaption1"/>
          <w:sz w:val="24"/>
          <w:szCs w:val="24"/>
          <w:lang w:bidi="en-GB"/>
        </w:rPr>
        <w:t xml:space="preserve">En </w:t>
      </w:r>
      <w:proofErr w:type="spellStart"/>
      <w:r w:rsidRPr="00BB348B">
        <w:rPr>
          <w:rStyle w:val="Tablecaption1"/>
          <w:sz w:val="24"/>
          <w:szCs w:val="24"/>
          <w:lang w:bidi="en-GB"/>
        </w:rPr>
        <w:t>desmopressintablet</w:t>
      </w:r>
      <w:proofErr w:type="spellEnd"/>
      <w:r w:rsidRPr="00BB348B">
        <w:rPr>
          <w:rStyle w:val="Tablecaption1"/>
          <w:sz w:val="24"/>
          <w:szCs w:val="24"/>
          <w:lang w:bidi="en-GB"/>
        </w:rPr>
        <w:t xml:space="preserve"> versus en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frysetørret </w:t>
      </w:r>
      <w:proofErr w:type="spellStart"/>
      <w:r w:rsidRPr="00BB348B">
        <w:rPr>
          <w:rStyle w:val="Bodytext1"/>
          <w:sz w:val="24"/>
          <w:szCs w:val="24"/>
          <w:lang w:bidi="en-GB"/>
        </w:rPr>
        <w:t>sublingual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tablet</w:t>
      </w:r>
      <w:r w:rsidRPr="00BB348B">
        <w:rPr>
          <w:rStyle w:val="Tablecaption1"/>
          <w:sz w:val="24"/>
          <w:szCs w:val="24"/>
          <w:lang w:bidi="en-GB"/>
        </w:rPr>
        <w:t>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4"/>
        <w:gridCol w:w="2263"/>
        <w:gridCol w:w="2411"/>
        <w:gridCol w:w="2850"/>
      </w:tblGrid>
      <w:tr w:rsidR="005C5F7A" w:rsidRPr="00BB348B" w14:paraId="6B7C312B" w14:textId="77777777" w:rsidTr="004523E2">
        <w:trPr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23FE1F7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proofErr w:type="spellStart"/>
            <w:r w:rsidRPr="00BB348B">
              <w:rPr>
                <w:rStyle w:val="Other1"/>
                <w:b/>
                <w:sz w:val="24"/>
                <w:szCs w:val="24"/>
                <w:lang w:bidi="en-GB"/>
              </w:rPr>
              <w:t>Desmopressin</w:t>
            </w:r>
            <w:proofErr w:type="spellEnd"/>
            <w:r w:rsidRPr="00BB348B">
              <w:rPr>
                <w:rStyle w:val="Other1"/>
                <w:b/>
                <w:sz w:val="24"/>
                <w:szCs w:val="24"/>
                <w:lang w:bidi="en-GB"/>
              </w:rPr>
              <w:t>- tablet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7CC801E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proofErr w:type="spellStart"/>
            <w:r w:rsidRPr="00BB348B">
              <w:rPr>
                <w:rStyle w:val="Other1"/>
                <w:b/>
                <w:sz w:val="24"/>
                <w:szCs w:val="24"/>
                <w:lang w:bidi="en-GB"/>
              </w:rPr>
              <w:t>Desmopressintablet</w:t>
            </w:r>
            <w:proofErr w:type="spellEnd"/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B5BF25E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proofErr w:type="spellStart"/>
            <w:r w:rsidRPr="00BB348B">
              <w:rPr>
                <w:rStyle w:val="Other1"/>
                <w:b/>
                <w:sz w:val="24"/>
                <w:szCs w:val="24"/>
                <w:lang w:bidi="en-GB"/>
              </w:rPr>
              <w:t>Desmopressin</w:t>
            </w:r>
            <w:proofErr w:type="spellEnd"/>
            <w:r w:rsidRPr="00BB348B">
              <w:rPr>
                <w:rStyle w:val="Other1"/>
                <w:b/>
                <w:sz w:val="24"/>
                <w:szCs w:val="24"/>
                <w:lang w:bidi="en-GB"/>
              </w:rPr>
              <w:t xml:space="preserve"> frysetørret </w:t>
            </w:r>
            <w:proofErr w:type="spellStart"/>
            <w:r w:rsidRPr="00BB348B">
              <w:rPr>
                <w:rStyle w:val="Other1"/>
                <w:b/>
                <w:sz w:val="24"/>
                <w:szCs w:val="24"/>
                <w:lang w:bidi="en-GB"/>
              </w:rPr>
              <w:t>sublingual</w:t>
            </w:r>
            <w:proofErr w:type="spellEnd"/>
            <w:r w:rsidRPr="00BB348B">
              <w:rPr>
                <w:rStyle w:val="Other1"/>
                <w:b/>
                <w:sz w:val="24"/>
                <w:szCs w:val="24"/>
                <w:lang w:bidi="en-GB"/>
              </w:rPr>
              <w:t xml:space="preserve"> tablet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DC71C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proofErr w:type="spellStart"/>
            <w:r w:rsidRPr="00BB348B">
              <w:rPr>
                <w:b/>
                <w:bCs/>
                <w:sz w:val="24"/>
                <w:szCs w:val="24"/>
              </w:rPr>
              <w:t>Desmopressin</w:t>
            </w:r>
            <w:proofErr w:type="spellEnd"/>
            <w:r w:rsidRPr="00BB348B">
              <w:rPr>
                <w:b/>
                <w:bCs/>
                <w:sz w:val="24"/>
                <w:szCs w:val="24"/>
              </w:rPr>
              <w:t xml:space="preserve"> frysetørret </w:t>
            </w:r>
            <w:proofErr w:type="spellStart"/>
            <w:r w:rsidRPr="00BB348B">
              <w:rPr>
                <w:b/>
                <w:bCs/>
                <w:sz w:val="24"/>
                <w:szCs w:val="24"/>
              </w:rPr>
              <w:t>sublingual</w:t>
            </w:r>
            <w:proofErr w:type="spellEnd"/>
            <w:r w:rsidRPr="00BB348B">
              <w:rPr>
                <w:b/>
                <w:bCs/>
                <w:sz w:val="24"/>
                <w:szCs w:val="24"/>
              </w:rPr>
              <w:t xml:space="preserve"> tablet</w:t>
            </w:r>
          </w:p>
        </w:tc>
      </w:tr>
      <w:tr w:rsidR="005C5F7A" w:rsidRPr="00BB348B" w14:paraId="43E90A46" w14:textId="77777777" w:rsidTr="004523E2">
        <w:trPr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774113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proofErr w:type="spellStart"/>
            <w:r w:rsidRPr="00BB348B">
              <w:rPr>
                <w:rStyle w:val="Other1"/>
                <w:sz w:val="24"/>
                <w:szCs w:val="24"/>
                <w:lang w:bidi="en-GB"/>
              </w:rPr>
              <w:t>Desmopressinacetat</w:t>
            </w:r>
            <w:proofErr w:type="spellEnd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083E0E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proofErr w:type="spellStart"/>
            <w:r w:rsidRPr="00BB348B">
              <w:rPr>
                <w:rStyle w:val="Other1"/>
                <w:sz w:val="24"/>
                <w:szCs w:val="24"/>
                <w:lang w:bidi="en-GB"/>
              </w:rPr>
              <w:t>Desmopressin</w:t>
            </w:r>
            <w:proofErr w:type="spellEnd"/>
            <w:r w:rsidRPr="00BB348B">
              <w:rPr>
                <w:rStyle w:val="Other1"/>
                <w:sz w:val="24"/>
                <w:szCs w:val="24"/>
                <w:lang w:bidi="en-GB"/>
              </w:rPr>
              <w:t>, fri base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419C37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proofErr w:type="spellStart"/>
            <w:r w:rsidRPr="00BB348B">
              <w:rPr>
                <w:rStyle w:val="Other1"/>
                <w:sz w:val="24"/>
                <w:szCs w:val="24"/>
                <w:lang w:bidi="en-GB"/>
              </w:rPr>
              <w:t>Desmopressin</w:t>
            </w:r>
            <w:proofErr w:type="spellEnd"/>
            <w:r w:rsidRPr="00BB348B">
              <w:rPr>
                <w:rStyle w:val="Other1"/>
                <w:sz w:val="24"/>
                <w:szCs w:val="24"/>
                <w:lang w:bidi="en-GB"/>
              </w:rPr>
              <w:t>, fri base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12D102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proofErr w:type="spellStart"/>
            <w:r w:rsidRPr="00BB348B">
              <w:rPr>
                <w:rStyle w:val="Other1"/>
                <w:sz w:val="24"/>
                <w:szCs w:val="24"/>
                <w:lang w:bidi="en-GB"/>
              </w:rPr>
              <w:t>Desmopressinacetat</w:t>
            </w:r>
            <w:proofErr w:type="spellEnd"/>
          </w:p>
        </w:tc>
      </w:tr>
      <w:tr w:rsidR="005C5F7A" w:rsidRPr="00BB348B" w14:paraId="728725D7" w14:textId="77777777" w:rsidTr="004523E2">
        <w:trPr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E3C0362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0,1 mg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F5AAC48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89 mikrogram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900C4B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60 mikrogram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5344D51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Ca. 67 </w:t>
            </w:r>
            <w:r w:rsidRPr="00BB348B">
              <w:rPr>
                <w:rStyle w:val="Bodytext1"/>
                <w:sz w:val="24"/>
                <w:szCs w:val="24"/>
                <w:lang w:bidi="en-GB"/>
              </w:rPr>
              <w:t xml:space="preserve">mikrogram </w:t>
            </w:r>
            <w:r w:rsidRPr="00BB348B">
              <w:rPr>
                <w:rStyle w:val="Other1"/>
                <w:sz w:val="24"/>
                <w:szCs w:val="24"/>
                <w:lang w:bidi="en-GB"/>
              </w:rPr>
              <w:t>*.</w:t>
            </w:r>
          </w:p>
        </w:tc>
      </w:tr>
      <w:tr w:rsidR="005C5F7A" w:rsidRPr="00BB348B" w14:paraId="4D9B963B" w14:textId="77777777" w:rsidTr="004523E2">
        <w:trPr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C3AE67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0,2 mg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0684A6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178 mikrogram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1BCF56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120 mikrogram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EDF9F9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Ca. 135 mikrogram *.</w:t>
            </w:r>
          </w:p>
        </w:tc>
      </w:tr>
      <w:tr w:rsidR="005C5F7A" w:rsidRPr="00BB348B" w14:paraId="58BC9EAF" w14:textId="77777777" w:rsidTr="004523E2">
        <w:trPr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4DF27ED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0,4 mg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00BAEC6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356 mikrogram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3CCF8D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240 mikrogram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32419" w14:textId="77777777" w:rsidR="005C5F7A" w:rsidRPr="00BB348B" w:rsidRDefault="005C5F7A">
            <w:pPr>
              <w:pStyle w:val="Other10"/>
              <w:spacing w:after="0"/>
              <w:rPr>
                <w:sz w:val="24"/>
                <w:szCs w:val="24"/>
              </w:rPr>
            </w:pPr>
            <w:r w:rsidRPr="00BB348B">
              <w:rPr>
                <w:rStyle w:val="Other1"/>
                <w:sz w:val="24"/>
                <w:szCs w:val="24"/>
                <w:lang w:bidi="en-GB"/>
              </w:rPr>
              <w:t>Ca. 270 mikrogram *.</w:t>
            </w:r>
          </w:p>
        </w:tc>
      </w:tr>
    </w:tbl>
    <w:p w14:paraId="572083FA" w14:textId="77777777" w:rsidR="005C5F7A" w:rsidRPr="00BB348B" w:rsidRDefault="005C5F7A" w:rsidP="004523E2">
      <w:pPr>
        <w:rPr>
          <w:sz w:val="24"/>
          <w:szCs w:val="24"/>
        </w:rPr>
      </w:pPr>
      <w:r w:rsidRPr="00BB348B">
        <w:rPr>
          <w:rStyle w:val="Tablecaption1"/>
          <w:sz w:val="24"/>
          <w:szCs w:val="24"/>
          <w:lang w:bidi="en-GB"/>
        </w:rPr>
        <w:t>* udregnet til sammenligning</w:t>
      </w:r>
    </w:p>
    <w:p w14:paraId="1573F6F3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1CD575B0" w14:textId="77777777" w:rsidR="005C5F7A" w:rsidRPr="00BB348B" w:rsidRDefault="005C5F7A" w:rsidP="00BB348B">
      <w:pPr>
        <w:ind w:left="851"/>
        <w:rPr>
          <w:sz w:val="24"/>
          <w:szCs w:val="24"/>
          <w:u w:val="single"/>
        </w:rPr>
      </w:pPr>
      <w:r w:rsidRPr="00BB348B">
        <w:rPr>
          <w:sz w:val="24"/>
          <w:szCs w:val="24"/>
          <w:u w:val="single"/>
        </w:rPr>
        <w:t>Fordeling</w:t>
      </w:r>
    </w:p>
    <w:p w14:paraId="44109743" w14:textId="77777777" w:rsidR="005C5F7A" w:rsidRPr="00BB348B" w:rsidRDefault="005C5F7A" w:rsidP="00BB348B">
      <w:pPr>
        <w:ind w:left="851"/>
        <w:rPr>
          <w:rStyle w:val="Bodytext1"/>
          <w:sz w:val="24"/>
          <w:szCs w:val="24"/>
          <w:lang w:bidi="en-GB"/>
        </w:rPr>
      </w:pPr>
      <w:r w:rsidRPr="00BB348B">
        <w:rPr>
          <w:rStyle w:val="Bodytext1"/>
          <w:sz w:val="24"/>
          <w:szCs w:val="24"/>
          <w:lang w:bidi="en-GB"/>
        </w:rPr>
        <w:t xml:space="preserve">Fordelingen af </w:t>
      </w:r>
      <w:proofErr w:type="spellStart"/>
      <w:r w:rsidRPr="00BB348B">
        <w:rPr>
          <w:rStyle w:val="Bodytext1"/>
          <w:sz w:val="24"/>
          <w:szCs w:val="24"/>
          <w:lang w:bidi="en-GB"/>
        </w:rPr>
        <w:t>desmopressin</w:t>
      </w:r>
      <w:proofErr w:type="spellEnd"/>
      <w:r w:rsidRPr="00BB348B">
        <w:rPr>
          <w:rStyle w:val="Bodytext1"/>
          <w:sz w:val="24"/>
          <w:szCs w:val="24"/>
          <w:lang w:bidi="en-GB"/>
        </w:rPr>
        <w:t xml:space="preserve"> beskrives bedst som en fordelingsmodel med to kamre med et fordelingsvolumen i eliminationsfasen på 0,3-0,5 l/kg.</w:t>
      </w:r>
    </w:p>
    <w:p w14:paraId="4B87B344" w14:textId="1041256F" w:rsidR="00F22D92" w:rsidRDefault="00F22D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45CD65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2FF50DF2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  <w:u w:val="single"/>
        </w:rPr>
        <w:t>Metabolisme</w:t>
      </w:r>
    </w:p>
    <w:p w14:paraId="6724D960" w14:textId="77777777" w:rsidR="005C5F7A" w:rsidRPr="00BB348B" w:rsidRDefault="005C5F7A" w:rsidP="00BB348B">
      <w:pPr>
        <w:ind w:left="851"/>
        <w:rPr>
          <w:sz w:val="24"/>
          <w:szCs w:val="24"/>
        </w:rPr>
      </w:pPr>
      <w:proofErr w:type="spellStart"/>
      <w:r w:rsidRPr="00BB348B">
        <w:rPr>
          <w:sz w:val="24"/>
          <w:szCs w:val="24"/>
        </w:rPr>
        <w:t>Metaboliseringen</w:t>
      </w:r>
      <w:proofErr w:type="spellEnd"/>
      <w:r w:rsidRPr="00BB348B">
        <w:rPr>
          <w:sz w:val="24"/>
          <w:szCs w:val="24"/>
        </w:rPr>
        <w:t xml:space="preserve"> af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er ikke blevet undersøgt </w:t>
      </w:r>
      <w:r w:rsidRPr="00BB348B">
        <w:rPr>
          <w:i/>
          <w:iCs/>
          <w:sz w:val="24"/>
          <w:szCs w:val="24"/>
        </w:rPr>
        <w:t xml:space="preserve">in </w:t>
      </w:r>
      <w:proofErr w:type="spellStart"/>
      <w:r w:rsidRPr="00BB348B">
        <w:rPr>
          <w:i/>
          <w:iCs/>
          <w:sz w:val="24"/>
          <w:szCs w:val="24"/>
        </w:rPr>
        <w:t>vivo</w:t>
      </w:r>
      <w:proofErr w:type="spellEnd"/>
      <w:r w:rsidRPr="00BB348B">
        <w:rPr>
          <w:sz w:val="24"/>
          <w:szCs w:val="24"/>
        </w:rPr>
        <w:t xml:space="preserve">. </w:t>
      </w:r>
      <w:r w:rsidRPr="00BB348B">
        <w:rPr>
          <w:i/>
          <w:iCs/>
          <w:sz w:val="24"/>
          <w:szCs w:val="24"/>
        </w:rPr>
        <w:t xml:space="preserve">In </w:t>
      </w:r>
      <w:proofErr w:type="spellStart"/>
      <w:r w:rsidRPr="00BB348B">
        <w:rPr>
          <w:i/>
          <w:iCs/>
          <w:sz w:val="24"/>
          <w:szCs w:val="24"/>
        </w:rPr>
        <w:t>vitro</w:t>
      </w:r>
      <w:proofErr w:type="spellEnd"/>
      <w:r w:rsidRPr="00BB348B">
        <w:rPr>
          <w:sz w:val="24"/>
          <w:szCs w:val="24"/>
        </w:rPr>
        <w:t xml:space="preserve">-studier med humane </w:t>
      </w:r>
      <w:proofErr w:type="spellStart"/>
      <w:r w:rsidRPr="00BB348B">
        <w:rPr>
          <w:sz w:val="24"/>
          <w:szCs w:val="24"/>
        </w:rPr>
        <w:t>levermikrosomer</w:t>
      </w:r>
      <w:proofErr w:type="spellEnd"/>
      <w:r w:rsidRPr="00BB348B">
        <w:rPr>
          <w:sz w:val="24"/>
          <w:szCs w:val="24"/>
        </w:rPr>
        <w:t xml:space="preserve"> har vist, at der ikke </w:t>
      </w:r>
      <w:proofErr w:type="spellStart"/>
      <w:r w:rsidRPr="00BB348B">
        <w:rPr>
          <w:sz w:val="24"/>
          <w:szCs w:val="24"/>
        </w:rPr>
        <w:t>metaboliseres</w:t>
      </w:r>
      <w:proofErr w:type="spellEnd"/>
      <w:r w:rsidRPr="00BB348B">
        <w:rPr>
          <w:sz w:val="24"/>
          <w:szCs w:val="24"/>
        </w:rPr>
        <w:t xml:space="preserve"> nogen signifikant mængde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i leveren af </w:t>
      </w:r>
      <w:proofErr w:type="spellStart"/>
      <w:r w:rsidRPr="00BB348B">
        <w:rPr>
          <w:sz w:val="24"/>
          <w:szCs w:val="24"/>
        </w:rPr>
        <w:t>cytokrom</w:t>
      </w:r>
      <w:proofErr w:type="spellEnd"/>
      <w:r w:rsidRPr="00BB348B">
        <w:rPr>
          <w:sz w:val="24"/>
          <w:szCs w:val="24"/>
        </w:rPr>
        <w:t xml:space="preserve"> P450-systemet. Det er derfor usandsynligt, at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</w:t>
      </w:r>
      <w:proofErr w:type="spellStart"/>
      <w:r w:rsidRPr="00BB348B">
        <w:rPr>
          <w:sz w:val="24"/>
          <w:szCs w:val="24"/>
        </w:rPr>
        <w:t>metaboliseres</w:t>
      </w:r>
      <w:proofErr w:type="spellEnd"/>
      <w:r w:rsidRPr="00BB348B">
        <w:rPr>
          <w:sz w:val="24"/>
          <w:szCs w:val="24"/>
        </w:rPr>
        <w:t xml:space="preserve"> i leveren af </w:t>
      </w:r>
      <w:proofErr w:type="spellStart"/>
      <w:r w:rsidRPr="00BB348B">
        <w:rPr>
          <w:sz w:val="24"/>
          <w:szCs w:val="24"/>
        </w:rPr>
        <w:t>cytokrom</w:t>
      </w:r>
      <w:proofErr w:type="spellEnd"/>
      <w:r w:rsidRPr="00BB348B">
        <w:rPr>
          <w:sz w:val="24"/>
          <w:szCs w:val="24"/>
        </w:rPr>
        <w:t xml:space="preserve"> P450-systemet hos mennesker. </w:t>
      </w:r>
      <w:proofErr w:type="spellStart"/>
      <w:r w:rsidRPr="00BB348B">
        <w:rPr>
          <w:sz w:val="24"/>
          <w:szCs w:val="24"/>
        </w:rPr>
        <w:t>Desmopressins</w:t>
      </w:r>
      <w:proofErr w:type="spellEnd"/>
      <w:r w:rsidRPr="00BB348B">
        <w:rPr>
          <w:sz w:val="24"/>
          <w:szCs w:val="24"/>
        </w:rPr>
        <w:t xml:space="preserve"> effekt på andre lægemidlers farmakokinetik er sandsynligvis minimal på grund af dets manglende hæmning af </w:t>
      </w:r>
      <w:proofErr w:type="spellStart"/>
      <w:r w:rsidRPr="00BB348B">
        <w:rPr>
          <w:sz w:val="24"/>
          <w:szCs w:val="24"/>
        </w:rPr>
        <w:t>cytokrom</w:t>
      </w:r>
      <w:proofErr w:type="spellEnd"/>
      <w:r w:rsidRPr="00BB348B">
        <w:rPr>
          <w:sz w:val="24"/>
          <w:szCs w:val="24"/>
        </w:rPr>
        <w:t xml:space="preserve"> P450-lægemiddelmetaboliseringssystemet.</w:t>
      </w:r>
    </w:p>
    <w:p w14:paraId="0BB41743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16ED2196" w14:textId="77777777" w:rsidR="005C5F7A" w:rsidRPr="00BB348B" w:rsidRDefault="005C5F7A" w:rsidP="00BB348B">
      <w:pPr>
        <w:ind w:left="851"/>
        <w:rPr>
          <w:sz w:val="24"/>
          <w:szCs w:val="24"/>
          <w:u w:val="single"/>
        </w:rPr>
      </w:pPr>
      <w:r w:rsidRPr="00BB348B">
        <w:rPr>
          <w:sz w:val="24"/>
          <w:szCs w:val="24"/>
          <w:u w:val="single"/>
        </w:rPr>
        <w:t>Elimination</w:t>
      </w:r>
    </w:p>
    <w:p w14:paraId="222E2C78" w14:textId="77777777" w:rsidR="005C5F7A" w:rsidRPr="00BB348B" w:rsidRDefault="005C5F7A" w:rsidP="00BB348B">
      <w:pPr>
        <w:ind w:left="851"/>
        <w:rPr>
          <w:sz w:val="24"/>
          <w:szCs w:val="24"/>
        </w:rPr>
      </w:pPr>
      <w:proofErr w:type="spellStart"/>
      <w:r w:rsidRPr="00BB348B">
        <w:rPr>
          <w:sz w:val="24"/>
          <w:szCs w:val="24"/>
        </w:rPr>
        <w:t>Desmopressins</w:t>
      </w:r>
      <w:proofErr w:type="spellEnd"/>
      <w:r w:rsidRPr="00BB348B">
        <w:rPr>
          <w:sz w:val="24"/>
          <w:szCs w:val="24"/>
        </w:rPr>
        <w:t xml:space="preserve"> totale </w:t>
      </w:r>
      <w:proofErr w:type="spellStart"/>
      <w:r w:rsidRPr="00BB348B">
        <w:rPr>
          <w:sz w:val="24"/>
          <w:szCs w:val="24"/>
        </w:rPr>
        <w:t>clearance</w:t>
      </w:r>
      <w:proofErr w:type="spellEnd"/>
      <w:r w:rsidRPr="00BB348B">
        <w:rPr>
          <w:sz w:val="24"/>
          <w:szCs w:val="24"/>
        </w:rPr>
        <w:t xml:space="preserve"> er beregnet til at være 7,6 l/time. </w:t>
      </w:r>
      <w:proofErr w:type="spellStart"/>
      <w:r w:rsidRPr="00BB348B">
        <w:rPr>
          <w:sz w:val="24"/>
          <w:szCs w:val="24"/>
        </w:rPr>
        <w:t>Desmopressins</w:t>
      </w:r>
      <w:proofErr w:type="spellEnd"/>
      <w:r w:rsidRPr="00BB348B">
        <w:rPr>
          <w:sz w:val="24"/>
          <w:szCs w:val="24"/>
        </w:rPr>
        <w:t xml:space="preserve"> terminale halveringstid er estimeret til 2,8 timer. Hos raske forsøgspersoner var den udskilte fraktion uændret 52 % (44-60 %).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udskilles hovedsageligt uændret i urinen.</w:t>
      </w:r>
    </w:p>
    <w:p w14:paraId="606CBB2D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4655A768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  <w:u w:val="single"/>
        </w:rPr>
        <w:t>Linearitet/non-linearitet</w:t>
      </w:r>
    </w:p>
    <w:p w14:paraId="5F04167F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Der er ingen tegn på non-linearitet i nogen af de </w:t>
      </w:r>
      <w:proofErr w:type="spellStart"/>
      <w:r w:rsidRPr="00BB348B">
        <w:rPr>
          <w:sz w:val="24"/>
          <w:szCs w:val="24"/>
        </w:rPr>
        <w:t>farmakokinetiske</w:t>
      </w:r>
      <w:proofErr w:type="spellEnd"/>
      <w:r w:rsidRPr="00BB348B">
        <w:rPr>
          <w:sz w:val="24"/>
          <w:szCs w:val="24"/>
        </w:rPr>
        <w:t xml:space="preserve"> parametre for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>.</w:t>
      </w:r>
    </w:p>
    <w:p w14:paraId="3ADFFE8C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3E3516BA" w14:textId="77777777" w:rsidR="005C5F7A" w:rsidRPr="00BB348B" w:rsidRDefault="005C5F7A" w:rsidP="00BB348B">
      <w:pPr>
        <w:ind w:left="851"/>
        <w:rPr>
          <w:sz w:val="24"/>
          <w:szCs w:val="24"/>
          <w:u w:val="single"/>
        </w:rPr>
      </w:pPr>
      <w:r w:rsidRPr="00BB348B">
        <w:rPr>
          <w:sz w:val="24"/>
          <w:szCs w:val="24"/>
          <w:u w:val="single"/>
        </w:rPr>
        <w:t>Særlige populationer</w:t>
      </w:r>
    </w:p>
    <w:p w14:paraId="15B5BD8E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i/>
          <w:iCs/>
          <w:sz w:val="24"/>
          <w:szCs w:val="24"/>
        </w:rPr>
        <w:t>Nedsat nyrefunktion</w:t>
      </w:r>
    </w:p>
    <w:p w14:paraId="7835BE35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Afhængigt af stadiet af nedsat nyrefunktion øges AUC og halveringstiden med sværhedsgraden af nedsat nyrefunktion.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er kontraindiceret hos patienter med moderat til svært nedsat nyrefunktion (</w:t>
      </w:r>
      <w:proofErr w:type="spellStart"/>
      <w:r w:rsidRPr="00BB348B">
        <w:rPr>
          <w:sz w:val="24"/>
          <w:szCs w:val="24"/>
        </w:rPr>
        <w:t>kreatininclearance</w:t>
      </w:r>
      <w:proofErr w:type="spellEnd"/>
      <w:r w:rsidRPr="00BB348B">
        <w:rPr>
          <w:sz w:val="24"/>
          <w:szCs w:val="24"/>
        </w:rPr>
        <w:t xml:space="preserve"> mindre end 50 ml/min).</w:t>
      </w:r>
    </w:p>
    <w:p w14:paraId="40CEFE5A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6000895A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i/>
          <w:iCs/>
          <w:sz w:val="24"/>
          <w:szCs w:val="24"/>
        </w:rPr>
        <w:t>Nedsat leverfunktion</w:t>
      </w:r>
    </w:p>
    <w:p w14:paraId="0FA2268D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Der er ikke udført undersøgelser af </w:t>
      </w:r>
      <w:proofErr w:type="spellStart"/>
      <w:r w:rsidRPr="00BB348B">
        <w:rPr>
          <w:sz w:val="24"/>
          <w:szCs w:val="24"/>
        </w:rPr>
        <w:t>desmopressins</w:t>
      </w:r>
      <w:proofErr w:type="spellEnd"/>
      <w:r w:rsidRPr="00BB348B">
        <w:rPr>
          <w:sz w:val="24"/>
          <w:szCs w:val="24"/>
        </w:rPr>
        <w:t xml:space="preserve"> farmakokinetik hos patienter med nedsat leverfunktion.</w:t>
      </w:r>
    </w:p>
    <w:p w14:paraId="5AADB56E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55161E5E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i/>
          <w:iCs/>
          <w:sz w:val="24"/>
          <w:szCs w:val="24"/>
        </w:rPr>
        <w:t>Pædiatrisk population</w:t>
      </w:r>
    </w:p>
    <w:p w14:paraId="4C97DB15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Populationsfarmakokinetikken for </w:t>
      </w:r>
      <w:proofErr w:type="spellStart"/>
      <w:r w:rsidRPr="00BB348B">
        <w:rPr>
          <w:sz w:val="24"/>
          <w:szCs w:val="24"/>
        </w:rPr>
        <w:t>desmopressintabletter</w:t>
      </w:r>
      <w:proofErr w:type="spellEnd"/>
      <w:r w:rsidRPr="00BB348B">
        <w:rPr>
          <w:sz w:val="24"/>
          <w:szCs w:val="24"/>
        </w:rPr>
        <w:t xml:space="preserve"> blev undersøgt hos børn, der blev behandlet for primær </w:t>
      </w:r>
      <w:proofErr w:type="spellStart"/>
      <w:r w:rsidRPr="00BB348B">
        <w:rPr>
          <w:sz w:val="24"/>
          <w:szCs w:val="24"/>
        </w:rPr>
        <w:t>enuresis</w:t>
      </w:r>
      <w:proofErr w:type="spellEnd"/>
      <w:r w:rsidRPr="00BB348B">
        <w:rPr>
          <w:sz w:val="24"/>
          <w:szCs w:val="24"/>
        </w:rPr>
        <w:t xml:space="preserve"> </w:t>
      </w:r>
      <w:proofErr w:type="spellStart"/>
      <w:r w:rsidRPr="00BB348B">
        <w:rPr>
          <w:sz w:val="24"/>
          <w:szCs w:val="24"/>
        </w:rPr>
        <w:t>nocturna</w:t>
      </w:r>
      <w:proofErr w:type="spellEnd"/>
      <w:r w:rsidRPr="00BB348B">
        <w:rPr>
          <w:sz w:val="24"/>
          <w:szCs w:val="24"/>
        </w:rPr>
        <w:t>. Der blev ikke fundet nogen signifikante forskelle i forhold til voksne.</w:t>
      </w:r>
    </w:p>
    <w:p w14:paraId="57760943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4E250E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5.3</w:t>
      </w:r>
      <w:r w:rsidRPr="00BB348B">
        <w:rPr>
          <w:b/>
          <w:sz w:val="24"/>
          <w:szCs w:val="24"/>
        </w:rPr>
        <w:tab/>
      </w:r>
      <w:r w:rsidR="00BD7931" w:rsidRPr="00BB348B">
        <w:rPr>
          <w:b/>
          <w:sz w:val="24"/>
          <w:szCs w:val="24"/>
        </w:rPr>
        <w:t>Non-</w:t>
      </w:r>
      <w:r w:rsidRPr="00BB348B">
        <w:rPr>
          <w:b/>
          <w:sz w:val="24"/>
          <w:szCs w:val="24"/>
        </w:rPr>
        <w:t>kliniske sikkerhedsdata</w:t>
      </w:r>
    </w:p>
    <w:p w14:paraId="73FEEE81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>Non-kliniske data viser ingen speciel risiko for mennesker vurderet ud fra konventionelle studier af sikkerhedsfarmakologi, toksicitet efter gentagne doser, genotoksicitet samt reproduktionstoksicitet.</w:t>
      </w:r>
    </w:p>
    <w:p w14:paraId="1610D170" w14:textId="77777777" w:rsidR="005C5F7A" w:rsidRPr="00BB348B" w:rsidRDefault="005C5F7A" w:rsidP="00BB348B">
      <w:pPr>
        <w:ind w:left="851"/>
        <w:rPr>
          <w:sz w:val="24"/>
          <w:szCs w:val="24"/>
        </w:rPr>
      </w:pPr>
    </w:p>
    <w:p w14:paraId="1E3F71DB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Der er ikke udført studier af </w:t>
      </w:r>
      <w:proofErr w:type="spellStart"/>
      <w:r w:rsidRPr="00BB348B">
        <w:rPr>
          <w:sz w:val="24"/>
          <w:szCs w:val="24"/>
        </w:rPr>
        <w:t>carcinogenicitet</w:t>
      </w:r>
      <w:proofErr w:type="spellEnd"/>
      <w:r w:rsidRPr="00BB348B">
        <w:rPr>
          <w:sz w:val="24"/>
          <w:szCs w:val="24"/>
        </w:rPr>
        <w:t xml:space="preserve">, fordi </w:t>
      </w:r>
      <w:proofErr w:type="spellStart"/>
      <w:r w:rsidRPr="00BB348B">
        <w:rPr>
          <w:sz w:val="24"/>
          <w:szCs w:val="24"/>
        </w:rPr>
        <w:t>desmopressin</w:t>
      </w:r>
      <w:proofErr w:type="spellEnd"/>
      <w:r w:rsidRPr="00BB348B">
        <w:rPr>
          <w:sz w:val="24"/>
          <w:szCs w:val="24"/>
        </w:rPr>
        <w:t xml:space="preserve"> er nært beslægtet med det naturligt forekommende peptidhormon.</w:t>
      </w:r>
    </w:p>
    <w:p w14:paraId="4BCB1801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64BE59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E729F5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6.</w:t>
      </w:r>
      <w:r w:rsidRPr="00BB348B">
        <w:rPr>
          <w:b/>
          <w:sz w:val="24"/>
          <w:szCs w:val="24"/>
        </w:rPr>
        <w:tab/>
        <w:t>FARMACEUTISKE OPLYSNINGER</w:t>
      </w:r>
    </w:p>
    <w:p w14:paraId="17417CBD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5B253E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6.1</w:t>
      </w:r>
      <w:r w:rsidRPr="00BB348B">
        <w:rPr>
          <w:b/>
          <w:sz w:val="24"/>
          <w:szCs w:val="24"/>
        </w:rPr>
        <w:tab/>
        <w:t>Hjælpestoffer</w:t>
      </w:r>
    </w:p>
    <w:p w14:paraId="49DCCC8D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 xml:space="preserve">Citronsyre, vandfri (E330) </w:t>
      </w:r>
    </w:p>
    <w:p w14:paraId="36A01A49" w14:textId="77777777" w:rsidR="005C5F7A" w:rsidRPr="00BB348B" w:rsidRDefault="005C5F7A" w:rsidP="00BB348B">
      <w:pPr>
        <w:ind w:left="851"/>
        <w:rPr>
          <w:sz w:val="24"/>
          <w:szCs w:val="24"/>
          <w:lang w:val="en-US"/>
        </w:rPr>
      </w:pPr>
      <w:r w:rsidRPr="00BB348B">
        <w:rPr>
          <w:sz w:val="24"/>
          <w:szCs w:val="24"/>
          <w:lang w:val="en-US"/>
        </w:rPr>
        <w:t>Dextran 70</w:t>
      </w:r>
    </w:p>
    <w:p w14:paraId="371D2CED" w14:textId="77777777" w:rsidR="005C5F7A" w:rsidRPr="00BB348B" w:rsidRDefault="005C5F7A" w:rsidP="00BB348B">
      <w:pPr>
        <w:ind w:left="851"/>
        <w:rPr>
          <w:sz w:val="24"/>
          <w:szCs w:val="24"/>
          <w:lang w:val="en-US"/>
        </w:rPr>
      </w:pPr>
      <w:proofErr w:type="spellStart"/>
      <w:r w:rsidRPr="00BB348B">
        <w:rPr>
          <w:sz w:val="24"/>
          <w:szCs w:val="24"/>
          <w:lang w:val="en-US"/>
        </w:rPr>
        <w:t>Xanthangummi</w:t>
      </w:r>
      <w:proofErr w:type="spellEnd"/>
      <w:r w:rsidRPr="00BB348B">
        <w:rPr>
          <w:sz w:val="24"/>
          <w:szCs w:val="24"/>
          <w:lang w:val="en-US"/>
        </w:rPr>
        <w:t xml:space="preserve"> (E415)</w:t>
      </w:r>
    </w:p>
    <w:p w14:paraId="755141BB" w14:textId="77777777" w:rsidR="005C5F7A" w:rsidRPr="00BB348B" w:rsidRDefault="005C5F7A" w:rsidP="00BB348B">
      <w:pPr>
        <w:ind w:left="851"/>
        <w:rPr>
          <w:sz w:val="24"/>
          <w:szCs w:val="24"/>
          <w:lang w:val="en-US"/>
        </w:rPr>
      </w:pPr>
      <w:r w:rsidRPr="00BB348B">
        <w:rPr>
          <w:sz w:val="24"/>
          <w:szCs w:val="24"/>
          <w:lang w:val="en-US"/>
        </w:rPr>
        <w:t xml:space="preserve">Macrogol 15 </w:t>
      </w:r>
      <w:proofErr w:type="spellStart"/>
      <w:r w:rsidRPr="00BB348B">
        <w:rPr>
          <w:sz w:val="24"/>
          <w:szCs w:val="24"/>
          <w:lang w:val="en-US"/>
        </w:rPr>
        <w:t>hydroxystearat</w:t>
      </w:r>
      <w:proofErr w:type="spellEnd"/>
    </w:p>
    <w:p w14:paraId="4953A7A2" w14:textId="77777777" w:rsidR="005C5F7A" w:rsidRPr="00BB348B" w:rsidRDefault="005C5F7A" w:rsidP="00BB348B">
      <w:pPr>
        <w:ind w:left="851"/>
        <w:rPr>
          <w:sz w:val="24"/>
          <w:szCs w:val="24"/>
          <w:lang w:val="en-US"/>
        </w:rPr>
      </w:pPr>
      <w:r w:rsidRPr="00BB348B">
        <w:rPr>
          <w:sz w:val="24"/>
          <w:szCs w:val="24"/>
          <w:lang w:val="en-US"/>
        </w:rPr>
        <w:t>Mannitol (E421)</w:t>
      </w:r>
    </w:p>
    <w:p w14:paraId="5EFA1B79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3BFCD1FD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lastRenderedPageBreak/>
        <w:t>6.2</w:t>
      </w:r>
      <w:r w:rsidRPr="00BB348B">
        <w:rPr>
          <w:b/>
          <w:sz w:val="24"/>
          <w:szCs w:val="24"/>
        </w:rPr>
        <w:tab/>
        <w:t>Uforligeligheder</w:t>
      </w:r>
    </w:p>
    <w:p w14:paraId="6C6883C3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>Ikke relevant.</w:t>
      </w:r>
    </w:p>
    <w:p w14:paraId="35A4188D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4EA51F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6.3</w:t>
      </w:r>
      <w:r w:rsidRPr="00BB348B">
        <w:rPr>
          <w:b/>
          <w:sz w:val="24"/>
          <w:szCs w:val="24"/>
        </w:rPr>
        <w:tab/>
        <w:t>Opbevaringstid</w:t>
      </w:r>
    </w:p>
    <w:p w14:paraId="6165CC93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>2 år.</w:t>
      </w:r>
    </w:p>
    <w:p w14:paraId="429904C6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58F534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6.4</w:t>
      </w:r>
      <w:r w:rsidRPr="00BB348B">
        <w:rPr>
          <w:b/>
          <w:sz w:val="24"/>
          <w:szCs w:val="24"/>
        </w:rPr>
        <w:tab/>
        <w:t>Særlige opbevaringsforhold</w:t>
      </w:r>
    </w:p>
    <w:p w14:paraId="7B52E0CE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>Må ikke opbevares ved temperaturer over 25 °C.</w:t>
      </w:r>
    </w:p>
    <w:p w14:paraId="134ADE39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3BE814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6.5</w:t>
      </w:r>
      <w:r w:rsidRPr="00BB348B">
        <w:rPr>
          <w:b/>
          <w:sz w:val="24"/>
          <w:szCs w:val="24"/>
        </w:rPr>
        <w:tab/>
        <w:t>Emballagetype og pakningsstørrelser</w:t>
      </w:r>
    </w:p>
    <w:p w14:paraId="0F524BC4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>Æsker med 30×1 eller 100×1 tabletter i PVC/OPA/</w:t>
      </w:r>
      <w:proofErr w:type="spellStart"/>
      <w:r w:rsidRPr="00BB348B">
        <w:rPr>
          <w:sz w:val="24"/>
          <w:szCs w:val="24"/>
        </w:rPr>
        <w:t>Alu</w:t>
      </w:r>
      <w:proofErr w:type="spellEnd"/>
      <w:r w:rsidRPr="00BB348B">
        <w:rPr>
          <w:sz w:val="24"/>
          <w:szCs w:val="24"/>
        </w:rPr>
        <w:t>/OPA/PVC med perforerede enkeltdosisblistre af aluminiumsfolie.</w:t>
      </w:r>
    </w:p>
    <w:p w14:paraId="6331537A" w14:textId="77777777" w:rsidR="005C5F7A" w:rsidRPr="00BB348B" w:rsidRDefault="005C5F7A" w:rsidP="00BB348B">
      <w:pPr>
        <w:ind w:left="851"/>
        <w:rPr>
          <w:sz w:val="24"/>
          <w:szCs w:val="24"/>
        </w:rPr>
      </w:pPr>
      <w:r w:rsidRPr="00BB348B">
        <w:rPr>
          <w:sz w:val="24"/>
          <w:szCs w:val="24"/>
        </w:rPr>
        <w:t>Ikke alle pakningsstørrelser er nødvendigvis markedsført.</w:t>
      </w:r>
    </w:p>
    <w:p w14:paraId="56AFEB17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DAB310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6.6</w:t>
      </w:r>
      <w:r w:rsidRPr="00BB348B">
        <w:rPr>
          <w:b/>
          <w:sz w:val="24"/>
          <w:szCs w:val="24"/>
        </w:rPr>
        <w:tab/>
        <w:t xml:space="preserve">Regler for </w:t>
      </w:r>
      <w:r w:rsidR="00BD7931" w:rsidRPr="00BB348B">
        <w:rPr>
          <w:b/>
          <w:sz w:val="24"/>
          <w:szCs w:val="24"/>
        </w:rPr>
        <w:t>bortskaffelse</w:t>
      </w:r>
      <w:r w:rsidRPr="00BB348B">
        <w:rPr>
          <w:b/>
          <w:sz w:val="24"/>
          <w:szCs w:val="24"/>
        </w:rPr>
        <w:t xml:space="preserve"> og anden håndtering</w:t>
      </w:r>
    </w:p>
    <w:p w14:paraId="7A4C8012" w14:textId="77777777" w:rsidR="005C5F7A" w:rsidRPr="00BB348B" w:rsidRDefault="005C5F7A" w:rsidP="00BB348B">
      <w:pPr>
        <w:ind w:left="851"/>
        <w:rPr>
          <w:sz w:val="24"/>
          <w:szCs w:val="24"/>
          <w:lang w:eastAsia="da-DK"/>
        </w:rPr>
      </w:pPr>
      <w:r w:rsidRPr="00BB348B">
        <w:rPr>
          <w:sz w:val="24"/>
          <w:szCs w:val="24"/>
        </w:rPr>
        <w:t>Ingen særlige forholdsregler.</w:t>
      </w:r>
    </w:p>
    <w:p w14:paraId="7E184FA6" w14:textId="77777777" w:rsidR="009260DE" w:rsidRPr="00BB348B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5B488DF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7.</w:t>
      </w:r>
      <w:r w:rsidRPr="00BB348B">
        <w:rPr>
          <w:b/>
          <w:sz w:val="24"/>
          <w:szCs w:val="24"/>
        </w:rPr>
        <w:tab/>
        <w:t>INDEHAVER AF MARKEDSFØRINGSTILLADELSEN</w:t>
      </w:r>
    </w:p>
    <w:p w14:paraId="2FBB8445" w14:textId="77777777" w:rsidR="005C5F7A" w:rsidRPr="00605613" w:rsidRDefault="005C5F7A" w:rsidP="00BB348B">
      <w:pPr>
        <w:ind w:left="851"/>
        <w:rPr>
          <w:sz w:val="24"/>
          <w:szCs w:val="24"/>
          <w:lang w:val="en-US" w:eastAsia="de-DE"/>
        </w:rPr>
      </w:pPr>
      <w:r w:rsidRPr="00605613">
        <w:rPr>
          <w:sz w:val="24"/>
          <w:szCs w:val="24"/>
          <w:lang w:val="en-US"/>
        </w:rPr>
        <w:t>Orifarm Healthcare A/S</w:t>
      </w:r>
    </w:p>
    <w:p w14:paraId="47CE26DA" w14:textId="77777777" w:rsidR="005C5F7A" w:rsidRPr="00605613" w:rsidRDefault="005C5F7A" w:rsidP="00BB348B">
      <w:pPr>
        <w:ind w:left="851"/>
        <w:rPr>
          <w:sz w:val="24"/>
          <w:szCs w:val="24"/>
          <w:lang w:val="en-US" w:eastAsia="de-DE"/>
        </w:rPr>
      </w:pPr>
      <w:proofErr w:type="spellStart"/>
      <w:r w:rsidRPr="00605613">
        <w:rPr>
          <w:sz w:val="24"/>
          <w:szCs w:val="24"/>
          <w:lang w:val="en-US"/>
        </w:rPr>
        <w:t>Energivej</w:t>
      </w:r>
      <w:proofErr w:type="spellEnd"/>
      <w:r w:rsidRPr="00605613">
        <w:rPr>
          <w:sz w:val="24"/>
          <w:szCs w:val="24"/>
          <w:lang w:val="en-US"/>
        </w:rPr>
        <w:t xml:space="preserve"> 15</w:t>
      </w:r>
    </w:p>
    <w:p w14:paraId="4AB56697" w14:textId="77777777" w:rsidR="005C5F7A" w:rsidRPr="00BB348B" w:rsidRDefault="005C5F7A" w:rsidP="00BB348B">
      <w:pPr>
        <w:ind w:left="851"/>
        <w:rPr>
          <w:sz w:val="24"/>
          <w:szCs w:val="24"/>
          <w:lang w:eastAsia="de-DE"/>
        </w:rPr>
      </w:pPr>
      <w:r w:rsidRPr="00BB348B">
        <w:rPr>
          <w:sz w:val="24"/>
          <w:szCs w:val="24"/>
        </w:rPr>
        <w:t>5260 Odense S</w:t>
      </w:r>
    </w:p>
    <w:p w14:paraId="641FB702" w14:textId="77777777" w:rsidR="00641C65" w:rsidRPr="00BB348B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BCBCEA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8.</w:t>
      </w:r>
      <w:r w:rsidRPr="00BB348B">
        <w:rPr>
          <w:b/>
          <w:sz w:val="24"/>
          <w:szCs w:val="24"/>
        </w:rPr>
        <w:tab/>
        <w:t>MARKEDSFØRINGSTILLADELSESNUMMER (</w:t>
      </w:r>
      <w:r w:rsidR="00BF6243" w:rsidRPr="00BB348B">
        <w:rPr>
          <w:b/>
          <w:sz w:val="24"/>
          <w:szCs w:val="24"/>
        </w:rPr>
        <w:t>-</w:t>
      </w:r>
      <w:r w:rsidRPr="00BB348B">
        <w:rPr>
          <w:b/>
          <w:sz w:val="24"/>
          <w:szCs w:val="24"/>
        </w:rPr>
        <w:t>NUMRE)</w:t>
      </w:r>
    </w:p>
    <w:p w14:paraId="76A83A24" w14:textId="16BD4508" w:rsidR="009260DE" w:rsidRPr="00BB348B" w:rsidRDefault="005C5F7A" w:rsidP="004523E2">
      <w:pPr>
        <w:tabs>
          <w:tab w:val="left" w:pos="851"/>
          <w:tab w:val="left" w:pos="2835"/>
        </w:tabs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60 mikrogram: </w:t>
      </w:r>
      <w:r w:rsidR="004523E2">
        <w:rPr>
          <w:sz w:val="24"/>
          <w:szCs w:val="24"/>
        </w:rPr>
        <w:tab/>
      </w:r>
      <w:r w:rsidRPr="00BB348B">
        <w:rPr>
          <w:sz w:val="24"/>
          <w:szCs w:val="24"/>
        </w:rPr>
        <w:t>69789</w:t>
      </w:r>
    </w:p>
    <w:p w14:paraId="25C488DB" w14:textId="760E0B3C" w:rsidR="005C5F7A" w:rsidRPr="00BB348B" w:rsidRDefault="005C5F7A" w:rsidP="004523E2">
      <w:pPr>
        <w:tabs>
          <w:tab w:val="left" w:pos="851"/>
          <w:tab w:val="left" w:pos="2835"/>
        </w:tabs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120 mikrogram: </w:t>
      </w:r>
      <w:r w:rsidR="004523E2">
        <w:rPr>
          <w:sz w:val="24"/>
          <w:szCs w:val="24"/>
        </w:rPr>
        <w:tab/>
      </w:r>
      <w:r w:rsidRPr="00BB348B">
        <w:rPr>
          <w:sz w:val="24"/>
          <w:szCs w:val="24"/>
        </w:rPr>
        <w:t>69790</w:t>
      </w:r>
    </w:p>
    <w:p w14:paraId="5CA670F0" w14:textId="13D1FA01" w:rsidR="005C5F7A" w:rsidRPr="00BB348B" w:rsidRDefault="005C5F7A" w:rsidP="004523E2">
      <w:pPr>
        <w:tabs>
          <w:tab w:val="left" w:pos="851"/>
          <w:tab w:val="left" w:pos="2835"/>
        </w:tabs>
        <w:ind w:left="851"/>
        <w:rPr>
          <w:sz w:val="24"/>
          <w:szCs w:val="24"/>
        </w:rPr>
      </w:pPr>
      <w:r w:rsidRPr="00BB348B">
        <w:rPr>
          <w:sz w:val="24"/>
          <w:szCs w:val="24"/>
        </w:rPr>
        <w:t xml:space="preserve">240 mikrogram: </w:t>
      </w:r>
      <w:r w:rsidR="004523E2">
        <w:rPr>
          <w:sz w:val="24"/>
          <w:szCs w:val="24"/>
        </w:rPr>
        <w:tab/>
      </w:r>
      <w:r w:rsidRPr="00BB348B">
        <w:rPr>
          <w:sz w:val="24"/>
          <w:szCs w:val="24"/>
        </w:rPr>
        <w:t>69791</w:t>
      </w:r>
    </w:p>
    <w:p w14:paraId="2ECB6ED1" w14:textId="77777777" w:rsidR="009260DE" w:rsidRPr="00BB348B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D670597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9.</w:t>
      </w:r>
      <w:r w:rsidRPr="00BB348B">
        <w:rPr>
          <w:b/>
          <w:sz w:val="24"/>
          <w:szCs w:val="24"/>
        </w:rPr>
        <w:tab/>
        <w:t>DATO FOR FØRSTE MARKEDSFØRINGSTILLADELSE</w:t>
      </w:r>
    </w:p>
    <w:p w14:paraId="044E5E81" w14:textId="4013133A" w:rsidR="009260DE" w:rsidRPr="00BB348B" w:rsidRDefault="0060561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18. december 2024</w:t>
      </w:r>
    </w:p>
    <w:p w14:paraId="4D8C3CE0" w14:textId="77777777" w:rsidR="009260DE" w:rsidRPr="00BB348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083831" w14:textId="77777777" w:rsidR="009260DE" w:rsidRPr="00BB348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B348B">
        <w:rPr>
          <w:b/>
          <w:sz w:val="24"/>
          <w:szCs w:val="24"/>
        </w:rPr>
        <w:t>10.</w:t>
      </w:r>
      <w:r w:rsidRPr="00BB348B">
        <w:rPr>
          <w:b/>
          <w:sz w:val="24"/>
          <w:szCs w:val="24"/>
        </w:rPr>
        <w:tab/>
        <w:t>DATO FOR ÆNDRING AF TEKSTEN</w:t>
      </w:r>
    </w:p>
    <w:p w14:paraId="0E6068F9" w14:textId="200B952C" w:rsidR="009260DE" w:rsidRPr="00BB348B" w:rsidRDefault="005C5F7A" w:rsidP="009260DE">
      <w:pPr>
        <w:tabs>
          <w:tab w:val="left" w:pos="851"/>
        </w:tabs>
        <w:ind w:left="851"/>
        <w:rPr>
          <w:sz w:val="24"/>
          <w:szCs w:val="24"/>
        </w:rPr>
      </w:pPr>
      <w:r w:rsidRPr="00BB348B">
        <w:rPr>
          <w:sz w:val="24"/>
          <w:szCs w:val="24"/>
        </w:rPr>
        <w:t>-</w:t>
      </w:r>
    </w:p>
    <w:sectPr w:rsidR="009260DE" w:rsidRPr="00BB348B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8149B" w14:textId="77777777" w:rsidR="00124E4F" w:rsidRDefault="00124E4F">
      <w:r>
        <w:separator/>
      </w:r>
    </w:p>
  </w:endnote>
  <w:endnote w:type="continuationSeparator" w:id="0">
    <w:p w14:paraId="618BCC4A" w14:textId="77777777" w:rsidR="00124E4F" w:rsidRDefault="0012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E9FD" w14:textId="77777777" w:rsidR="000259B9" w:rsidRDefault="000259B9">
    <w:pPr>
      <w:pStyle w:val="Sidefod"/>
      <w:pBdr>
        <w:bottom w:val="single" w:sz="6" w:space="1" w:color="auto"/>
      </w:pBdr>
    </w:pPr>
  </w:p>
  <w:p w14:paraId="6BE131C0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93E7E59" w14:textId="55CD0FDB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C39B1">
      <w:rPr>
        <w:i/>
        <w:noProof/>
        <w:sz w:val="18"/>
        <w:szCs w:val="18"/>
      </w:rPr>
      <w:t>Desmopressin Orifarm, frysetørrede sublinguale tabletter 60 mikg, 120 mikg og 240 mikg.docx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B24A1" w14:textId="77777777" w:rsidR="00124E4F" w:rsidRDefault="00124E4F">
      <w:r>
        <w:separator/>
      </w:r>
    </w:p>
  </w:footnote>
  <w:footnote w:type="continuationSeparator" w:id="0">
    <w:p w14:paraId="56F25BEE" w14:textId="77777777" w:rsidR="00124E4F" w:rsidRDefault="0012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D1A082E"/>
    <w:multiLevelType w:val="hybridMultilevel"/>
    <w:tmpl w:val="F45C2CC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4803D00"/>
    <w:multiLevelType w:val="hybridMultilevel"/>
    <w:tmpl w:val="DE2CF59A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11623E9"/>
    <w:multiLevelType w:val="hybridMultilevel"/>
    <w:tmpl w:val="BF220D54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DA85BB3"/>
    <w:multiLevelType w:val="hybridMultilevel"/>
    <w:tmpl w:val="5BA2CA32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4F"/>
    <w:rsid w:val="000259B9"/>
    <w:rsid w:val="00041491"/>
    <w:rsid w:val="00050D16"/>
    <w:rsid w:val="000679F0"/>
    <w:rsid w:val="000730CA"/>
    <w:rsid w:val="00074F2A"/>
    <w:rsid w:val="000A1CA8"/>
    <w:rsid w:val="000A466B"/>
    <w:rsid w:val="000B058C"/>
    <w:rsid w:val="000C39B1"/>
    <w:rsid w:val="000D68B0"/>
    <w:rsid w:val="000E4EE6"/>
    <w:rsid w:val="00124E4F"/>
    <w:rsid w:val="001454E2"/>
    <w:rsid w:val="00206CE8"/>
    <w:rsid w:val="0021526C"/>
    <w:rsid w:val="00283A2B"/>
    <w:rsid w:val="002B30AD"/>
    <w:rsid w:val="002C1EC0"/>
    <w:rsid w:val="002C2C01"/>
    <w:rsid w:val="003772A0"/>
    <w:rsid w:val="003A29AE"/>
    <w:rsid w:val="003A32D7"/>
    <w:rsid w:val="003B4074"/>
    <w:rsid w:val="003C769A"/>
    <w:rsid w:val="003D3A90"/>
    <w:rsid w:val="003D3D25"/>
    <w:rsid w:val="003F1838"/>
    <w:rsid w:val="004251C1"/>
    <w:rsid w:val="004439C4"/>
    <w:rsid w:val="004523E2"/>
    <w:rsid w:val="0045746C"/>
    <w:rsid w:val="004865BE"/>
    <w:rsid w:val="0049104B"/>
    <w:rsid w:val="004E3B12"/>
    <w:rsid w:val="00532310"/>
    <w:rsid w:val="00565F0F"/>
    <w:rsid w:val="00594A86"/>
    <w:rsid w:val="00596D86"/>
    <w:rsid w:val="005C5F7A"/>
    <w:rsid w:val="00605613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76D66"/>
    <w:rsid w:val="00BB348B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F22D92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58BB"/>
  <w15:chartTrackingRefBased/>
  <w15:docId w15:val="{D8300D43-2D61-422D-A830-95BEFF8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C5F7A"/>
    <w:pPr>
      <w:ind w:left="720"/>
      <w:contextualSpacing/>
    </w:pPr>
    <w:rPr>
      <w:sz w:val="24"/>
      <w:lang w:eastAsia="da-DK"/>
    </w:rPr>
  </w:style>
  <w:style w:type="character" w:customStyle="1" w:styleId="Bodytext1">
    <w:name w:val="Body text|1_"/>
    <w:basedOn w:val="Standardskrifttypeiafsnit"/>
    <w:link w:val="Bodytext10"/>
    <w:locked/>
    <w:rsid w:val="005C5F7A"/>
    <w:rPr>
      <w:sz w:val="22"/>
      <w:szCs w:val="22"/>
    </w:rPr>
  </w:style>
  <w:style w:type="paragraph" w:customStyle="1" w:styleId="Bodytext10">
    <w:name w:val="Body text|1"/>
    <w:basedOn w:val="Normal"/>
    <w:link w:val="Bodytext1"/>
    <w:rsid w:val="005C5F7A"/>
    <w:pPr>
      <w:widowControl w:val="0"/>
      <w:spacing w:after="240"/>
    </w:pPr>
    <w:rPr>
      <w:sz w:val="22"/>
      <w:szCs w:val="22"/>
      <w:lang w:eastAsia="da-DK"/>
    </w:rPr>
  </w:style>
  <w:style w:type="character" w:customStyle="1" w:styleId="Other1">
    <w:name w:val="Other|1_"/>
    <w:basedOn w:val="Standardskrifttypeiafsnit"/>
    <w:link w:val="Other10"/>
    <w:locked/>
    <w:rsid w:val="005C5F7A"/>
    <w:rPr>
      <w:sz w:val="22"/>
      <w:szCs w:val="22"/>
    </w:rPr>
  </w:style>
  <w:style w:type="paragraph" w:customStyle="1" w:styleId="Other10">
    <w:name w:val="Other|1"/>
    <w:basedOn w:val="Normal"/>
    <w:link w:val="Other1"/>
    <w:rsid w:val="005C5F7A"/>
    <w:pPr>
      <w:widowControl w:val="0"/>
      <w:spacing w:after="240"/>
    </w:pPr>
    <w:rPr>
      <w:sz w:val="22"/>
      <w:szCs w:val="22"/>
      <w:lang w:eastAsia="da-DK"/>
    </w:rPr>
  </w:style>
  <w:style w:type="character" w:customStyle="1" w:styleId="Tablecaption1">
    <w:name w:val="Table caption|1_"/>
    <w:basedOn w:val="Standardskrifttypeiafsnit"/>
    <w:link w:val="Tablecaption10"/>
    <w:locked/>
    <w:rsid w:val="005C5F7A"/>
    <w:rPr>
      <w:sz w:val="22"/>
      <w:szCs w:val="22"/>
    </w:rPr>
  </w:style>
  <w:style w:type="paragraph" w:customStyle="1" w:styleId="Tablecaption10">
    <w:name w:val="Table caption|1"/>
    <w:basedOn w:val="Normal"/>
    <w:link w:val="Tablecaption1"/>
    <w:rsid w:val="005C5F7A"/>
    <w:pPr>
      <w:widowControl w:val="0"/>
    </w:pPr>
    <w:rPr>
      <w:sz w:val="22"/>
      <w:szCs w:val="22"/>
      <w:lang w:eastAsia="da-DK"/>
    </w:rPr>
  </w:style>
  <w:style w:type="character" w:customStyle="1" w:styleId="Heading11">
    <w:name w:val="Heading #1|1_"/>
    <w:basedOn w:val="Standardskrifttypeiafsnit"/>
    <w:link w:val="Heading110"/>
    <w:locked/>
    <w:rsid w:val="005C5F7A"/>
    <w:rPr>
      <w:b/>
      <w:bCs/>
      <w:sz w:val="22"/>
      <w:szCs w:val="22"/>
    </w:rPr>
  </w:style>
  <w:style w:type="paragraph" w:customStyle="1" w:styleId="Heading110">
    <w:name w:val="Heading #1|1"/>
    <w:basedOn w:val="Normal"/>
    <w:link w:val="Heading11"/>
    <w:rsid w:val="005C5F7A"/>
    <w:pPr>
      <w:widowControl w:val="0"/>
      <w:spacing w:after="240"/>
      <w:outlineLvl w:val="0"/>
    </w:pPr>
    <w:rPr>
      <w:b/>
      <w:bCs/>
      <w:sz w:val="22"/>
      <w:szCs w:val="22"/>
      <w:lang w:eastAsia="da-DK"/>
    </w:rPr>
  </w:style>
  <w:style w:type="paragraph" w:customStyle="1" w:styleId="Text">
    <w:name w:val="Text"/>
    <w:aliases w:val="Plain"/>
    <w:basedOn w:val="Normal"/>
    <w:rsid w:val="005C5F7A"/>
    <w:pPr>
      <w:keepLines/>
      <w:tabs>
        <w:tab w:val="left" w:pos="284"/>
      </w:tabs>
      <w:spacing w:before="60" w:after="60"/>
    </w:pPr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226</TotalTime>
  <Pages>11</Pages>
  <Words>2864</Words>
  <Characters>19777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2023062467, MT</dc:description>
  <cp:lastModifiedBy>Gitte Jørgensen</cp:lastModifiedBy>
  <cp:revision>11</cp:revision>
  <cp:lastPrinted>2012-08-22T08:53:00Z</cp:lastPrinted>
  <dcterms:created xsi:type="dcterms:W3CDTF">2024-12-18T07:59:00Z</dcterms:created>
  <dcterms:modified xsi:type="dcterms:W3CDTF">2024-12-18T12:29:00Z</dcterms:modified>
</cp:coreProperties>
</file>