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7F4FE" w14:textId="026CF789" w:rsidR="009260DE" w:rsidRPr="00E032CA" w:rsidRDefault="0021526C" w:rsidP="0059175C">
      <w:pPr>
        <w:rPr>
          <w:b/>
          <w:sz w:val="24"/>
          <w:szCs w:val="24"/>
        </w:rPr>
      </w:pPr>
      <w:r w:rsidRPr="00E032CA">
        <w:rPr>
          <w:noProof/>
          <w:sz w:val="24"/>
          <w:szCs w:val="24"/>
          <w:lang w:eastAsia="da-DK"/>
        </w:rPr>
        <w:drawing>
          <wp:anchor distT="0" distB="0" distL="114300" distR="114300" simplePos="0" relativeHeight="251658240" behindDoc="0" locked="0" layoutInCell="1" allowOverlap="1" wp14:anchorId="012273DA" wp14:editId="21C32513">
            <wp:simplePos x="0" y="0"/>
            <wp:positionH relativeFrom="column">
              <wp:posOffset>0</wp:posOffset>
            </wp:positionH>
            <wp:positionV relativeFrom="paragraph">
              <wp:posOffset>76200</wp:posOffset>
            </wp:positionV>
            <wp:extent cx="2428875" cy="685800"/>
            <wp:effectExtent l="0" t="0" r="9525" b="0"/>
            <wp:wrapSquare wrapText="bothSides"/>
            <wp:docPr id="1" name="Billede 3" descr="C:\Users\marh\AppData\Local\Microsoft\Windows\Temporary Internet Files\Content.Outlook\3DQ1N8R9\LMST_auto_sto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illede 3" descr="C:\Users\marh\AppData\Local\Microsoft\Windows\Temporary Internet Files\Content.Outlook\3DQ1N8R9\LMST_auto_stor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60CCD" w:rsidRPr="00E032CA">
        <w:rPr>
          <w:sz w:val="24"/>
          <w:szCs w:val="24"/>
        </w:rPr>
        <w:br w:type="textWrapping" w:clear="all"/>
      </w:r>
    </w:p>
    <w:p w14:paraId="079EA62B" w14:textId="1B66750E" w:rsidR="009260DE" w:rsidRPr="00E032CA" w:rsidRDefault="009260DE" w:rsidP="009260DE">
      <w:pPr>
        <w:pStyle w:val="Titel"/>
        <w:tabs>
          <w:tab w:val="right" w:pos="9356"/>
        </w:tabs>
        <w:jc w:val="left"/>
        <w:rPr>
          <w:b w:val="0"/>
          <w:szCs w:val="24"/>
          <w:lang w:eastAsia="en-US"/>
        </w:rPr>
      </w:pPr>
      <w:r w:rsidRPr="00E032CA">
        <w:rPr>
          <w:b w:val="0"/>
          <w:szCs w:val="24"/>
          <w:lang w:eastAsia="en-US"/>
        </w:rPr>
        <w:tab/>
      </w:r>
      <w:r w:rsidR="00D87C25">
        <w:rPr>
          <w:szCs w:val="24"/>
        </w:rPr>
        <w:t>13</w:t>
      </w:r>
      <w:r w:rsidR="009D2819">
        <w:rPr>
          <w:szCs w:val="24"/>
        </w:rPr>
        <w:t xml:space="preserve">. </w:t>
      </w:r>
      <w:r w:rsidR="00D87C25">
        <w:rPr>
          <w:szCs w:val="24"/>
        </w:rPr>
        <w:t xml:space="preserve">januar </w:t>
      </w:r>
      <w:r w:rsidR="009D2819">
        <w:rPr>
          <w:szCs w:val="24"/>
        </w:rPr>
        <w:t>202</w:t>
      </w:r>
      <w:r w:rsidR="00D87C25">
        <w:rPr>
          <w:szCs w:val="24"/>
        </w:rPr>
        <w:t>5</w:t>
      </w:r>
    </w:p>
    <w:p w14:paraId="3F2B518C" w14:textId="655A3D14" w:rsidR="009260DE" w:rsidRDefault="009260DE" w:rsidP="009260DE">
      <w:pPr>
        <w:pStyle w:val="Titel"/>
        <w:jc w:val="left"/>
        <w:rPr>
          <w:b w:val="0"/>
          <w:szCs w:val="24"/>
        </w:rPr>
      </w:pPr>
    </w:p>
    <w:p w14:paraId="51E61DFA" w14:textId="77777777" w:rsidR="00D87C25" w:rsidRPr="00E032CA" w:rsidRDefault="00D87C25" w:rsidP="009260DE">
      <w:pPr>
        <w:pStyle w:val="Titel"/>
        <w:jc w:val="left"/>
        <w:rPr>
          <w:b w:val="0"/>
          <w:szCs w:val="24"/>
        </w:rPr>
      </w:pPr>
    </w:p>
    <w:p w14:paraId="7BE43B67" w14:textId="77777777" w:rsidR="009260DE" w:rsidRPr="00E032CA" w:rsidRDefault="009260DE" w:rsidP="009260DE">
      <w:pPr>
        <w:pStyle w:val="Titel"/>
        <w:jc w:val="left"/>
        <w:rPr>
          <w:b w:val="0"/>
          <w:szCs w:val="24"/>
        </w:rPr>
      </w:pPr>
    </w:p>
    <w:p w14:paraId="7DC7CC8F" w14:textId="77777777" w:rsidR="009260DE" w:rsidRPr="00E032CA" w:rsidRDefault="009260DE" w:rsidP="009260DE">
      <w:pPr>
        <w:jc w:val="center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PRODUKTRESUMÉ</w:t>
      </w:r>
    </w:p>
    <w:p w14:paraId="74FF8AC0" w14:textId="77777777" w:rsidR="009260DE" w:rsidRPr="00E032CA" w:rsidRDefault="009260DE" w:rsidP="009260DE">
      <w:pPr>
        <w:jc w:val="center"/>
        <w:rPr>
          <w:b/>
          <w:sz w:val="24"/>
          <w:szCs w:val="24"/>
        </w:rPr>
      </w:pPr>
    </w:p>
    <w:p w14:paraId="0A7ACAE2" w14:textId="77777777" w:rsidR="009260DE" w:rsidRPr="00E032CA" w:rsidRDefault="009260DE" w:rsidP="009260DE">
      <w:pPr>
        <w:jc w:val="center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for</w:t>
      </w:r>
    </w:p>
    <w:p w14:paraId="23C5FF91" w14:textId="77777777" w:rsidR="000B058C" w:rsidRPr="00E032CA" w:rsidRDefault="000B058C" w:rsidP="009260DE">
      <w:pPr>
        <w:jc w:val="center"/>
        <w:rPr>
          <w:b/>
          <w:sz w:val="24"/>
          <w:szCs w:val="24"/>
        </w:rPr>
      </w:pPr>
    </w:p>
    <w:p w14:paraId="7DEA31BE" w14:textId="03D2EC3E" w:rsidR="009260DE" w:rsidRPr="00E032CA" w:rsidRDefault="0059175C" w:rsidP="009260DE">
      <w:pPr>
        <w:jc w:val="center"/>
        <w:rPr>
          <w:b/>
          <w:sz w:val="24"/>
          <w:szCs w:val="24"/>
        </w:rPr>
      </w:pPr>
      <w:proofErr w:type="spellStart"/>
      <w:r w:rsidRPr="00E032CA">
        <w:rPr>
          <w:b/>
          <w:sz w:val="24"/>
          <w:szCs w:val="24"/>
        </w:rPr>
        <w:t>Desmopressin</w:t>
      </w:r>
      <w:proofErr w:type="spellEnd"/>
      <w:r w:rsidRPr="00E032CA">
        <w:rPr>
          <w:b/>
          <w:sz w:val="24"/>
          <w:szCs w:val="24"/>
        </w:rPr>
        <w:t xml:space="preserve"> </w:t>
      </w:r>
      <w:r w:rsidR="00144840">
        <w:rPr>
          <w:b/>
          <w:sz w:val="24"/>
          <w:szCs w:val="24"/>
        </w:rPr>
        <w:t>"</w:t>
      </w:r>
      <w:r w:rsidRPr="00E032CA">
        <w:rPr>
          <w:b/>
          <w:sz w:val="24"/>
          <w:szCs w:val="24"/>
        </w:rPr>
        <w:t>Orion</w:t>
      </w:r>
      <w:r w:rsidR="00144840">
        <w:rPr>
          <w:b/>
          <w:sz w:val="24"/>
          <w:szCs w:val="24"/>
        </w:rPr>
        <w:t>"</w:t>
      </w:r>
      <w:r w:rsidRPr="00E032CA">
        <w:rPr>
          <w:b/>
          <w:sz w:val="24"/>
          <w:szCs w:val="24"/>
        </w:rPr>
        <w:t xml:space="preserve">, </w:t>
      </w:r>
      <w:proofErr w:type="spellStart"/>
      <w:r w:rsidRPr="00E032CA">
        <w:rPr>
          <w:b/>
          <w:sz w:val="24"/>
          <w:szCs w:val="24"/>
        </w:rPr>
        <w:t>s</w:t>
      </w:r>
      <w:r w:rsidR="00E032CA">
        <w:rPr>
          <w:b/>
          <w:sz w:val="24"/>
          <w:szCs w:val="24"/>
        </w:rPr>
        <w:t>u</w:t>
      </w:r>
      <w:r w:rsidRPr="00E032CA">
        <w:rPr>
          <w:b/>
          <w:sz w:val="24"/>
          <w:szCs w:val="24"/>
        </w:rPr>
        <w:t>blinguale</w:t>
      </w:r>
      <w:proofErr w:type="spellEnd"/>
      <w:r w:rsidRPr="00E032CA">
        <w:rPr>
          <w:b/>
          <w:sz w:val="24"/>
          <w:szCs w:val="24"/>
        </w:rPr>
        <w:t xml:space="preserve"> </w:t>
      </w:r>
      <w:proofErr w:type="spellStart"/>
      <w:r w:rsidRPr="00E032CA">
        <w:rPr>
          <w:b/>
          <w:sz w:val="24"/>
          <w:szCs w:val="24"/>
        </w:rPr>
        <w:t>resoribletter</w:t>
      </w:r>
      <w:proofErr w:type="spellEnd"/>
    </w:p>
    <w:p w14:paraId="1C833E96" w14:textId="77777777" w:rsidR="009260DE" w:rsidRPr="00E032CA" w:rsidRDefault="009260DE" w:rsidP="009260DE">
      <w:pPr>
        <w:jc w:val="both"/>
        <w:rPr>
          <w:sz w:val="24"/>
          <w:szCs w:val="24"/>
        </w:rPr>
      </w:pPr>
    </w:p>
    <w:p w14:paraId="7204BE01" w14:textId="77777777" w:rsidR="009260DE" w:rsidRPr="00E032CA" w:rsidRDefault="009260DE" w:rsidP="009260DE">
      <w:pPr>
        <w:jc w:val="both"/>
        <w:rPr>
          <w:sz w:val="24"/>
          <w:szCs w:val="24"/>
        </w:rPr>
      </w:pPr>
    </w:p>
    <w:p w14:paraId="3AFA3170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0.</w:t>
      </w:r>
      <w:r w:rsidRPr="00E032CA">
        <w:rPr>
          <w:b/>
          <w:sz w:val="24"/>
          <w:szCs w:val="24"/>
        </w:rPr>
        <w:tab/>
        <w:t>D.SP.NR.</w:t>
      </w:r>
    </w:p>
    <w:p w14:paraId="2B475FF1" w14:textId="42DB7054" w:rsidR="009260DE" w:rsidRPr="00E032CA" w:rsidRDefault="0059175C" w:rsidP="009260DE">
      <w:pPr>
        <w:tabs>
          <w:tab w:val="left" w:pos="851"/>
        </w:tabs>
        <w:ind w:left="851"/>
        <w:rPr>
          <w:sz w:val="24"/>
          <w:szCs w:val="24"/>
        </w:rPr>
      </w:pPr>
      <w:r w:rsidRPr="00E032CA">
        <w:rPr>
          <w:sz w:val="24"/>
          <w:szCs w:val="24"/>
        </w:rPr>
        <w:t>32986</w:t>
      </w:r>
    </w:p>
    <w:p w14:paraId="6C387A9D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DC4BF9D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1.</w:t>
      </w:r>
      <w:r w:rsidRPr="00E032CA">
        <w:rPr>
          <w:b/>
          <w:sz w:val="24"/>
          <w:szCs w:val="24"/>
        </w:rPr>
        <w:tab/>
        <w:t>LÆGEMIDLETS NAVN</w:t>
      </w:r>
    </w:p>
    <w:p w14:paraId="0FF7B724" w14:textId="5FB0FDF8" w:rsidR="009260DE" w:rsidRPr="00E032CA" w:rsidRDefault="0059175C" w:rsidP="009260DE">
      <w:pPr>
        <w:tabs>
          <w:tab w:val="left" w:pos="851"/>
        </w:tabs>
        <w:ind w:left="851"/>
        <w:rPr>
          <w:sz w:val="24"/>
          <w:szCs w:val="24"/>
        </w:rPr>
      </w:pP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</w:t>
      </w:r>
      <w:r w:rsidR="00144840">
        <w:rPr>
          <w:sz w:val="24"/>
          <w:szCs w:val="24"/>
        </w:rPr>
        <w:t>"</w:t>
      </w:r>
      <w:r w:rsidRPr="00E032CA">
        <w:rPr>
          <w:sz w:val="24"/>
          <w:szCs w:val="24"/>
        </w:rPr>
        <w:t>Orion</w:t>
      </w:r>
      <w:r w:rsidR="00144840">
        <w:rPr>
          <w:sz w:val="24"/>
          <w:szCs w:val="24"/>
        </w:rPr>
        <w:t>"</w:t>
      </w:r>
    </w:p>
    <w:p w14:paraId="2D399009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4576657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2.</w:t>
      </w:r>
      <w:r w:rsidRPr="00E032CA">
        <w:rPr>
          <w:b/>
          <w:sz w:val="24"/>
          <w:szCs w:val="24"/>
        </w:rPr>
        <w:tab/>
        <w:t>KVALITATIV OG KVANTITATIV SAMMENSÆTNING</w:t>
      </w:r>
    </w:p>
    <w:p w14:paraId="7769437E" w14:textId="79792C9B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i/>
          <w:iCs/>
          <w:sz w:val="24"/>
          <w:szCs w:val="24"/>
        </w:rPr>
        <w:t>Desmopressin</w:t>
      </w:r>
      <w:proofErr w:type="spellEnd"/>
      <w:r w:rsidRPr="00E032CA">
        <w:rPr>
          <w:i/>
          <w:iCs/>
          <w:sz w:val="24"/>
          <w:szCs w:val="24"/>
        </w:rPr>
        <w:t xml:space="preserve"> </w:t>
      </w:r>
      <w:r w:rsidR="00144840">
        <w:rPr>
          <w:i/>
          <w:iCs/>
          <w:sz w:val="24"/>
          <w:szCs w:val="24"/>
        </w:rPr>
        <w:t>"</w:t>
      </w:r>
      <w:r w:rsidRPr="00E032CA">
        <w:rPr>
          <w:i/>
          <w:iCs/>
          <w:sz w:val="24"/>
          <w:szCs w:val="24"/>
        </w:rPr>
        <w:t>Orion</w:t>
      </w:r>
      <w:r w:rsidR="00144840">
        <w:rPr>
          <w:i/>
          <w:iCs/>
          <w:sz w:val="24"/>
          <w:szCs w:val="24"/>
        </w:rPr>
        <w:t>"</w:t>
      </w:r>
      <w:r w:rsidRPr="00E032CA">
        <w:rPr>
          <w:i/>
          <w:iCs/>
          <w:sz w:val="24"/>
          <w:szCs w:val="24"/>
        </w:rPr>
        <w:t xml:space="preserve"> 60 mikrog</w:t>
      </w:r>
      <w:r w:rsidR="00144840">
        <w:rPr>
          <w:i/>
          <w:iCs/>
          <w:sz w:val="24"/>
          <w:szCs w:val="24"/>
        </w:rPr>
        <w:t>ram</w:t>
      </w:r>
      <w:r w:rsidRPr="00E032CA">
        <w:rPr>
          <w:i/>
          <w:iCs/>
          <w:sz w:val="24"/>
          <w:szCs w:val="24"/>
        </w:rPr>
        <w:t xml:space="preserve">: </w:t>
      </w:r>
      <w:r w:rsidRPr="00E032CA">
        <w:rPr>
          <w:sz w:val="24"/>
          <w:szCs w:val="24"/>
        </w:rPr>
        <w:t xml:space="preserve">Hver </w:t>
      </w:r>
      <w:proofErr w:type="spellStart"/>
      <w:r w:rsidRPr="00E032CA">
        <w:rPr>
          <w:sz w:val="24"/>
          <w:szCs w:val="24"/>
        </w:rPr>
        <w:t>sublingual</w:t>
      </w:r>
      <w:proofErr w:type="spellEnd"/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resoriblet</w:t>
      </w:r>
      <w:proofErr w:type="spellEnd"/>
      <w:r w:rsidRPr="00E032CA">
        <w:rPr>
          <w:sz w:val="24"/>
          <w:szCs w:val="24"/>
        </w:rPr>
        <w:t xml:space="preserve"> indeholder </w:t>
      </w:r>
      <w:proofErr w:type="spellStart"/>
      <w:r w:rsidRPr="00E032CA">
        <w:rPr>
          <w:sz w:val="24"/>
          <w:szCs w:val="24"/>
        </w:rPr>
        <w:t>desmopressinacetat</w:t>
      </w:r>
      <w:proofErr w:type="spellEnd"/>
      <w:r w:rsidRPr="00E032CA">
        <w:rPr>
          <w:sz w:val="24"/>
          <w:szCs w:val="24"/>
        </w:rPr>
        <w:t xml:space="preserve"> svarende til 60 mikrog</w:t>
      </w:r>
      <w:r w:rsidR="00144840">
        <w:rPr>
          <w:sz w:val="24"/>
          <w:szCs w:val="24"/>
        </w:rPr>
        <w:t>ram</w:t>
      </w:r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>.</w:t>
      </w:r>
    </w:p>
    <w:p w14:paraId="7EED061F" w14:textId="77777777" w:rsidR="00F14656" w:rsidRDefault="00F14656" w:rsidP="0059175C">
      <w:pPr>
        <w:ind w:left="851"/>
        <w:rPr>
          <w:i/>
          <w:iCs/>
          <w:sz w:val="24"/>
          <w:szCs w:val="24"/>
        </w:rPr>
      </w:pPr>
    </w:p>
    <w:p w14:paraId="1C4F244C" w14:textId="0A0E17E5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i/>
          <w:iCs/>
          <w:sz w:val="24"/>
          <w:szCs w:val="24"/>
        </w:rPr>
        <w:t>Desmopressin</w:t>
      </w:r>
      <w:proofErr w:type="spellEnd"/>
      <w:r w:rsidRPr="00E032CA">
        <w:rPr>
          <w:i/>
          <w:iCs/>
          <w:sz w:val="24"/>
          <w:szCs w:val="24"/>
        </w:rPr>
        <w:t xml:space="preserve"> </w:t>
      </w:r>
      <w:r w:rsidR="00144840">
        <w:rPr>
          <w:i/>
          <w:iCs/>
          <w:sz w:val="24"/>
          <w:szCs w:val="24"/>
        </w:rPr>
        <w:t>"</w:t>
      </w:r>
      <w:r w:rsidRPr="00E032CA">
        <w:rPr>
          <w:i/>
          <w:iCs/>
          <w:sz w:val="24"/>
          <w:szCs w:val="24"/>
        </w:rPr>
        <w:t>Orion</w:t>
      </w:r>
      <w:r w:rsidR="00144840">
        <w:rPr>
          <w:i/>
          <w:iCs/>
          <w:sz w:val="24"/>
          <w:szCs w:val="24"/>
        </w:rPr>
        <w:t>"</w:t>
      </w:r>
      <w:r w:rsidRPr="00E032CA">
        <w:rPr>
          <w:i/>
          <w:iCs/>
          <w:sz w:val="24"/>
          <w:szCs w:val="24"/>
        </w:rPr>
        <w:t xml:space="preserve"> 120 mikrog</w:t>
      </w:r>
      <w:r w:rsidR="00144840">
        <w:rPr>
          <w:i/>
          <w:iCs/>
          <w:sz w:val="24"/>
          <w:szCs w:val="24"/>
        </w:rPr>
        <w:t>ram</w:t>
      </w:r>
      <w:r w:rsidRPr="00E032CA">
        <w:rPr>
          <w:i/>
          <w:iCs/>
          <w:sz w:val="24"/>
          <w:szCs w:val="24"/>
        </w:rPr>
        <w:t xml:space="preserve">: </w:t>
      </w:r>
      <w:r w:rsidRPr="00E032CA">
        <w:rPr>
          <w:sz w:val="24"/>
          <w:szCs w:val="24"/>
        </w:rPr>
        <w:t xml:space="preserve">Hver </w:t>
      </w:r>
      <w:proofErr w:type="spellStart"/>
      <w:r w:rsidRPr="00E032CA">
        <w:rPr>
          <w:sz w:val="24"/>
          <w:szCs w:val="24"/>
        </w:rPr>
        <w:t>sublingual</w:t>
      </w:r>
      <w:proofErr w:type="spellEnd"/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resoriblet</w:t>
      </w:r>
      <w:proofErr w:type="spellEnd"/>
      <w:r w:rsidRPr="00E032CA">
        <w:rPr>
          <w:sz w:val="24"/>
          <w:szCs w:val="24"/>
        </w:rPr>
        <w:t xml:space="preserve"> indeholder </w:t>
      </w:r>
      <w:proofErr w:type="spellStart"/>
      <w:r w:rsidRPr="00E032CA">
        <w:rPr>
          <w:sz w:val="24"/>
          <w:szCs w:val="24"/>
        </w:rPr>
        <w:t>desmopressinacetat</w:t>
      </w:r>
      <w:proofErr w:type="spellEnd"/>
      <w:r w:rsidRPr="00E032CA">
        <w:rPr>
          <w:sz w:val="24"/>
          <w:szCs w:val="24"/>
        </w:rPr>
        <w:t xml:space="preserve"> svarende til 120 </w:t>
      </w:r>
      <w:r w:rsidR="00144840">
        <w:rPr>
          <w:sz w:val="24"/>
          <w:szCs w:val="24"/>
        </w:rPr>
        <w:t>mikrogram</w:t>
      </w:r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>.</w:t>
      </w:r>
    </w:p>
    <w:p w14:paraId="308CF6F5" w14:textId="77777777" w:rsidR="00F14656" w:rsidRDefault="00F14656" w:rsidP="0059175C">
      <w:pPr>
        <w:ind w:left="851"/>
        <w:rPr>
          <w:i/>
          <w:iCs/>
          <w:sz w:val="24"/>
          <w:szCs w:val="24"/>
        </w:rPr>
      </w:pPr>
    </w:p>
    <w:p w14:paraId="23304443" w14:textId="637400BB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i/>
          <w:iCs/>
          <w:sz w:val="24"/>
          <w:szCs w:val="24"/>
        </w:rPr>
        <w:t>Desmopressin</w:t>
      </w:r>
      <w:proofErr w:type="spellEnd"/>
      <w:r w:rsidRPr="00E032CA">
        <w:rPr>
          <w:i/>
          <w:iCs/>
          <w:sz w:val="24"/>
          <w:szCs w:val="24"/>
        </w:rPr>
        <w:t xml:space="preserve"> </w:t>
      </w:r>
      <w:r w:rsidR="00144840">
        <w:rPr>
          <w:i/>
          <w:iCs/>
          <w:sz w:val="24"/>
          <w:szCs w:val="24"/>
        </w:rPr>
        <w:t>"</w:t>
      </w:r>
      <w:r w:rsidRPr="00E032CA">
        <w:rPr>
          <w:i/>
          <w:iCs/>
          <w:sz w:val="24"/>
          <w:szCs w:val="24"/>
        </w:rPr>
        <w:t>Orion</w:t>
      </w:r>
      <w:r w:rsidR="00144840">
        <w:rPr>
          <w:i/>
          <w:iCs/>
          <w:sz w:val="24"/>
          <w:szCs w:val="24"/>
        </w:rPr>
        <w:t>"</w:t>
      </w:r>
      <w:r w:rsidRPr="00E032CA">
        <w:rPr>
          <w:i/>
          <w:iCs/>
          <w:sz w:val="24"/>
          <w:szCs w:val="24"/>
        </w:rPr>
        <w:t xml:space="preserve"> 240 </w:t>
      </w:r>
      <w:r w:rsidR="00144840">
        <w:rPr>
          <w:i/>
          <w:iCs/>
          <w:sz w:val="24"/>
          <w:szCs w:val="24"/>
        </w:rPr>
        <w:t>mikrogram</w:t>
      </w:r>
      <w:r w:rsidRPr="00E032CA">
        <w:rPr>
          <w:i/>
          <w:iCs/>
          <w:sz w:val="24"/>
          <w:szCs w:val="24"/>
        </w:rPr>
        <w:t xml:space="preserve">: </w:t>
      </w:r>
      <w:r w:rsidRPr="00E032CA">
        <w:rPr>
          <w:sz w:val="24"/>
          <w:szCs w:val="24"/>
        </w:rPr>
        <w:t xml:space="preserve">Hver </w:t>
      </w:r>
      <w:proofErr w:type="spellStart"/>
      <w:r w:rsidRPr="00E032CA">
        <w:rPr>
          <w:sz w:val="24"/>
          <w:szCs w:val="24"/>
        </w:rPr>
        <w:t>sublingual</w:t>
      </w:r>
      <w:proofErr w:type="spellEnd"/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resoriblet</w:t>
      </w:r>
      <w:proofErr w:type="spellEnd"/>
      <w:r w:rsidRPr="00E032CA">
        <w:rPr>
          <w:sz w:val="24"/>
          <w:szCs w:val="24"/>
        </w:rPr>
        <w:t xml:space="preserve"> indeholder </w:t>
      </w:r>
      <w:proofErr w:type="spellStart"/>
      <w:r w:rsidRPr="00E032CA">
        <w:rPr>
          <w:sz w:val="24"/>
          <w:szCs w:val="24"/>
        </w:rPr>
        <w:t>desmopressinacetat</w:t>
      </w:r>
      <w:proofErr w:type="spellEnd"/>
      <w:r w:rsidRPr="00E032CA">
        <w:rPr>
          <w:sz w:val="24"/>
          <w:szCs w:val="24"/>
        </w:rPr>
        <w:t xml:space="preserve"> svarende til 240 </w:t>
      </w:r>
      <w:r w:rsidR="00144840">
        <w:rPr>
          <w:sz w:val="24"/>
          <w:szCs w:val="24"/>
        </w:rPr>
        <w:t>mikrogram</w:t>
      </w:r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>.</w:t>
      </w:r>
    </w:p>
    <w:p w14:paraId="0DB79137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564A9A69" w14:textId="77777777" w:rsidR="0059175C" w:rsidRPr="00E032CA" w:rsidRDefault="0059175C" w:rsidP="0059175C">
      <w:pPr>
        <w:ind w:left="851"/>
        <w:rPr>
          <w:sz w:val="24"/>
          <w:szCs w:val="24"/>
          <w:u w:val="single"/>
        </w:rPr>
      </w:pPr>
      <w:r w:rsidRPr="00E032CA">
        <w:rPr>
          <w:sz w:val="24"/>
          <w:szCs w:val="24"/>
          <w:u w:val="single"/>
        </w:rPr>
        <w:t>Hjælpestof, som behandleren skal være opmærksom på</w:t>
      </w:r>
    </w:p>
    <w:p w14:paraId="0712872A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Hver </w:t>
      </w:r>
      <w:proofErr w:type="spellStart"/>
      <w:r w:rsidRPr="00E032CA">
        <w:rPr>
          <w:sz w:val="24"/>
          <w:szCs w:val="24"/>
        </w:rPr>
        <w:t>sublingual</w:t>
      </w:r>
      <w:proofErr w:type="spellEnd"/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resoriblet</w:t>
      </w:r>
      <w:proofErr w:type="spellEnd"/>
      <w:r w:rsidRPr="00E032CA">
        <w:rPr>
          <w:sz w:val="24"/>
          <w:szCs w:val="24"/>
        </w:rPr>
        <w:t xml:space="preserve"> indeholder 62 mg </w:t>
      </w:r>
      <w:proofErr w:type="spellStart"/>
      <w:r w:rsidRPr="00E032CA">
        <w:rPr>
          <w:sz w:val="24"/>
          <w:szCs w:val="24"/>
        </w:rPr>
        <w:t>lactose</w:t>
      </w:r>
      <w:proofErr w:type="spellEnd"/>
      <w:r w:rsidRPr="00E032CA">
        <w:rPr>
          <w:sz w:val="24"/>
          <w:szCs w:val="24"/>
        </w:rPr>
        <w:t xml:space="preserve"> (som monohydrat).</w:t>
      </w:r>
    </w:p>
    <w:p w14:paraId="6CD801A4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35C3D0F0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Alle hjælpestoffer er anført under pkt. 6.1.</w:t>
      </w:r>
    </w:p>
    <w:p w14:paraId="5E9B53D8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7EC5D5D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3.</w:t>
      </w:r>
      <w:r w:rsidRPr="00E032CA">
        <w:rPr>
          <w:b/>
          <w:sz w:val="24"/>
          <w:szCs w:val="24"/>
        </w:rPr>
        <w:tab/>
        <w:t>LÆGEMIDDELFORM</w:t>
      </w:r>
    </w:p>
    <w:p w14:paraId="60D88B49" w14:textId="702B649F" w:rsidR="0059175C" w:rsidRPr="00E032CA" w:rsidRDefault="00F14656" w:rsidP="0059175C">
      <w:pPr>
        <w:ind w:left="851"/>
        <w:rPr>
          <w:sz w:val="24"/>
          <w:szCs w:val="24"/>
        </w:rPr>
      </w:pPr>
      <w:r>
        <w:rPr>
          <w:sz w:val="24"/>
          <w:szCs w:val="24"/>
        </w:rPr>
        <w:t>Sublinguale r</w:t>
      </w:r>
      <w:r w:rsidR="0059175C" w:rsidRPr="00E032CA">
        <w:rPr>
          <w:sz w:val="24"/>
          <w:szCs w:val="24"/>
        </w:rPr>
        <w:t>esoribletter</w:t>
      </w:r>
    </w:p>
    <w:p w14:paraId="6E644C0E" w14:textId="77777777" w:rsidR="0059175C" w:rsidRPr="00E032CA" w:rsidRDefault="0059175C" w:rsidP="0059175C">
      <w:pPr>
        <w:ind w:left="851"/>
        <w:rPr>
          <w:i/>
          <w:iCs/>
          <w:sz w:val="24"/>
          <w:szCs w:val="24"/>
        </w:rPr>
      </w:pPr>
    </w:p>
    <w:p w14:paraId="18C69B71" w14:textId="499B0244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i/>
          <w:iCs/>
          <w:sz w:val="24"/>
          <w:szCs w:val="24"/>
        </w:rPr>
        <w:t>Desmopressin</w:t>
      </w:r>
      <w:proofErr w:type="spellEnd"/>
      <w:r w:rsidRPr="00E032CA">
        <w:rPr>
          <w:i/>
          <w:iCs/>
          <w:sz w:val="24"/>
          <w:szCs w:val="24"/>
        </w:rPr>
        <w:t xml:space="preserve"> </w:t>
      </w:r>
      <w:r w:rsidR="00144840">
        <w:rPr>
          <w:i/>
          <w:iCs/>
          <w:sz w:val="24"/>
          <w:szCs w:val="24"/>
        </w:rPr>
        <w:t>"</w:t>
      </w:r>
      <w:r w:rsidRPr="00E032CA">
        <w:rPr>
          <w:i/>
          <w:iCs/>
          <w:sz w:val="24"/>
          <w:szCs w:val="24"/>
        </w:rPr>
        <w:t>Orion</w:t>
      </w:r>
      <w:r w:rsidR="00144840">
        <w:rPr>
          <w:i/>
          <w:iCs/>
          <w:sz w:val="24"/>
          <w:szCs w:val="24"/>
        </w:rPr>
        <w:t>"</w:t>
      </w:r>
      <w:r w:rsidRPr="00E032CA">
        <w:rPr>
          <w:i/>
          <w:iCs/>
          <w:sz w:val="24"/>
          <w:szCs w:val="24"/>
        </w:rPr>
        <w:t xml:space="preserve"> 60 </w:t>
      </w:r>
      <w:r w:rsidR="00144840">
        <w:rPr>
          <w:i/>
          <w:iCs/>
          <w:sz w:val="24"/>
          <w:szCs w:val="24"/>
        </w:rPr>
        <w:t>mikrogram</w:t>
      </w:r>
      <w:r w:rsidRPr="00E032CA">
        <w:rPr>
          <w:i/>
          <w:iCs/>
          <w:sz w:val="24"/>
          <w:szCs w:val="24"/>
        </w:rPr>
        <w:t xml:space="preserve">: </w:t>
      </w:r>
      <w:r w:rsidRPr="00E032CA">
        <w:rPr>
          <w:sz w:val="24"/>
          <w:szCs w:val="24"/>
        </w:rPr>
        <w:t xml:space="preserve">Hvid til råhvid, rund, </w:t>
      </w:r>
      <w:proofErr w:type="spellStart"/>
      <w:r w:rsidRPr="00E032CA">
        <w:rPr>
          <w:sz w:val="24"/>
          <w:szCs w:val="24"/>
        </w:rPr>
        <w:t>bikonveks</w:t>
      </w:r>
      <w:proofErr w:type="spellEnd"/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resoriblet</w:t>
      </w:r>
      <w:proofErr w:type="spellEnd"/>
      <w:r w:rsidRPr="00E032CA">
        <w:rPr>
          <w:sz w:val="24"/>
          <w:szCs w:val="24"/>
        </w:rPr>
        <w:t xml:space="preserve"> præget med ‘I’ på den ene side og glat på den anden side, og med en diameter på ca. 7 mm.</w:t>
      </w:r>
    </w:p>
    <w:p w14:paraId="26487ACA" w14:textId="77777777" w:rsidR="00F14656" w:rsidRDefault="00F14656" w:rsidP="0059175C">
      <w:pPr>
        <w:ind w:left="851"/>
        <w:rPr>
          <w:i/>
          <w:iCs/>
          <w:sz w:val="24"/>
          <w:szCs w:val="24"/>
        </w:rPr>
      </w:pPr>
    </w:p>
    <w:p w14:paraId="1645F653" w14:textId="18614C34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i/>
          <w:iCs/>
          <w:sz w:val="24"/>
          <w:szCs w:val="24"/>
        </w:rPr>
        <w:t>Desmopressin</w:t>
      </w:r>
      <w:proofErr w:type="spellEnd"/>
      <w:r w:rsidRPr="00E032CA">
        <w:rPr>
          <w:i/>
          <w:iCs/>
          <w:sz w:val="24"/>
          <w:szCs w:val="24"/>
        </w:rPr>
        <w:t xml:space="preserve"> </w:t>
      </w:r>
      <w:r w:rsidR="00144840">
        <w:rPr>
          <w:i/>
          <w:iCs/>
          <w:sz w:val="24"/>
          <w:szCs w:val="24"/>
        </w:rPr>
        <w:t>"</w:t>
      </w:r>
      <w:r w:rsidRPr="00E032CA">
        <w:rPr>
          <w:i/>
          <w:iCs/>
          <w:sz w:val="24"/>
          <w:szCs w:val="24"/>
        </w:rPr>
        <w:t>Orion</w:t>
      </w:r>
      <w:r w:rsidR="00144840">
        <w:rPr>
          <w:i/>
          <w:iCs/>
          <w:sz w:val="24"/>
          <w:szCs w:val="24"/>
        </w:rPr>
        <w:t>"</w:t>
      </w:r>
      <w:r w:rsidRPr="00E032CA">
        <w:rPr>
          <w:i/>
          <w:iCs/>
          <w:sz w:val="24"/>
          <w:szCs w:val="24"/>
        </w:rPr>
        <w:t xml:space="preserve"> 120 </w:t>
      </w:r>
      <w:r w:rsidR="00144840">
        <w:rPr>
          <w:i/>
          <w:iCs/>
          <w:sz w:val="24"/>
          <w:szCs w:val="24"/>
        </w:rPr>
        <w:t>mikrogram</w:t>
      </w:r>
      <w:r w:rsidRPr="00E032CA">
        <w:rPr>
          <w:i/>
          <w:iCs/>
          <w:sz w:val="24"/>
          <w:szCs w:val="24"/>
        </w:rPr>
        <w:t xml:space="preserve">: </w:t>
      </w:r>
      <w:r w:rsidRPr="00E032CA">
        <w:rPr>
          <w:sz w:val="24"/>
          <w:szCs w:val="24"/>
        </w:rPr>
        <w:t xml:space="preserve">Hvid til råhvid, ottekantet, </w:t>
      </w:r>
      <w:proofErr w:type="spellStart"/>
      <w:r w:rsidRPr="00E032CA">
        <w:rPr>
          <w:sz w:val="24"/>
          <w:szCs w:val="24"/>
        </w:rPr>
        <w:t>bikonveks</w:t>
      </w:r>
      <w:proofErr w:type="spellEnd"/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resoriblet</w:t>
      </w:r>
      <w:proofErr w:type="spellEnd"/>
      <w:r w:rsidRPr="00E032CA">
        <w:rPr>
          <w:sz w:val="24"/>
          <w:szCs w:val="24"/>
        </w:rPr>
        <w:t xml:space="preserve"> præget med ‘II’ på den ene side og glat på den anden side, og med en diameter på ca. 7 mm.</w:t>
      </w:r>
    </w:p>
    <w:p w14:paraId="74202E3C" w14:textId="77777777" w:rsidR="00F14656" w:rsidRDefault="00F14656" w:rsidP="0059175C">
      <w:pPr>
        <w:ind w:left="851"/>
        <w:rPr>
          <w:i/>
          <w:iCs/>
          <w:sz w:val="24"/>
          <w:szCs w:val="24"/>
        </w:rPr>
      </w:pPr>
    </w:p>
    <w:p w14:paraId="15079171" w14:textId="2BFA8037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i/>
          <w:iCs/>
          <w:sz w:val="24"/>
          <w:szCs w:val="24"/>
        </w:rPr>
        <w:t>Desmopressin</w:t>
      </w:r>
      <w:proofErr w:type="spellEnd"/>
      <w:r w:rsidRPr="00E032CA">
        <w:rPr>
          <w:i/>
          <w:iCs/>
          <w:sz w:val="24"/>
          <w:szCs w:val="24"/>
        </w:rPr>
        <w:t xml:space="preserve"> </w:t>
      </w:r>
      <w:r w:rsidR="00144840">
        <w:rPr>
          <w:i/>
          <w:iCs/>
          <w:sz w:val="24"/>
          <w:szCs w:val="24"/>
        </w:rPr>
        <w:t>"</w:t>
      </w:r>
      <w:r w:rsidRPr="00E032CA">
        <w:rPr>
          <w:i/>
          <w:iCs/>
          <w:sz w:val="24"/>
          <w:szCs w:val="24"/>
        </w:rPr>
        <w:t>Orion</w:t>
      </w:r>
      <w:r w:rsidR="00144840">
        <w:rPr>
          <w:i/>
          <w:iCs/>
          <w:sz w:val="24"/>
          <w:szCs w:val="24"/>
        </w:rPr>
        <w:t>"</w:t>
      </w:r>
      <w:r w:rsidRPr="00E032CA">
        <w:rPr>
          <w:i/>
          <w:iCs/>
          <w:sz w:val="24"/>
          <w:szCs w:val="24"/>
        </w:rPr>
        <w:t xml:space="preserve"> 240 </w:t>
      </w:r>
      <w:r w:rsidR="00144840">
        <w:rPr>
          <w:i/>
          <w:iCs/>
          <w:sz w:val="24"/>
          <w:szCs w:val="24"/>
        </w:rPr>
        <w:t>mikrogram</w:t>
      </w:r>
      <w:r w:rsidRPr="00E032CA">
        <w:rPr>
          <w:i/>
          <w:iCs/>
          <w:sz w:val="24"/>
          <w:szCs w:val="24"/>
        </w:rPr>
        <w:t xml:space="preserve">: </w:t>
      </w:r>
      <w:r w:rsidRPr="00E032CA">
        <w:rPr>
          <w:sz w:val="24"/>
          <w:szCs w:val="24"/>
        </w:rPr>
        <w:t xml:space="preserve">Hvid til råhvid, firkantet, </w:t>
      </w:r>
      <w:proofErr w:type="spellStart"/>
      <w:r w:rsidRPr="00E032CA">
        <w:rPr>
          <w:sz w:val="24"/>
          <w:szCs w:val="24"/>
        </w:rPr>
        <w:t>bikonveks</w:t>
      </w:r>
      <w:proofErr w:type="spellEnd"/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resoriblet</w:t>
      </w:r>
      <w:proofErr w:type="spellEnd"/>
      <w:r w:rsidRPr="00E032CA">
        <w:rPr>
          <w:sz w:val="24"/>
          <w:szCs w:val="24"/>
        </w:rPr>
        <w:t xml:space="preserve"> præget med ‘III’ på den ene side og glat på den anden side. Tabletdimensioner er ca. 6 ×6 mm.</w:t>
      </w:r>
    </w:p>
    <w:p w14:paraId="0492F3BF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49DAAE0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FB10799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4.</w:t>
      </w:r>
      <w:r w:rsidRPr="00E032CA">
        <w:rPr>
          <w:b/>
          <w:sz w:val="24"/>
          <w:szCs w:val="24"/>
        </w:rPr>
        <w:tab/>
        <w:t>KLINISKE OPLYSNINGER</w:t>
      </w:r>
    </w:p>
    <w:p w14:paraId="457D6993" w14:textId="77777777" w:rsidR="009260DE" w:rsidRPr="00E032CA" w:rsidRDefault="009260DE" w:rsidP="009260DE">
      <w:pPr>
        <w:tabs>
          <w:tab w:val="left" w:pos="851"/>
        </w:tabs>
        <w:ind w:left="851"/>
        <w:rPr>
          <w:b/>
          <w:sz w:val="24"/>
          <w:szCs w:val="24"/>
        </w:rPr>
      </w:pPr>
    </w:p>
    <w:p w14:paraId="774802F1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  <w:u w:val="single"/>
        </w:rPr>
      </w:pPr>
      <w:r w:rsidRPr="00E032CA">
        <w:rPr>
          <w:b/>
          <w:sz w:val="24"/>
          <w:szCs w:val="24"/>
        </w:rPr>
        <w:t>4.1</w:t>
      </w:r>
      <w:r w:rsidRPr="00E032CA">
        <w:rPr>
          <w:b/>
          <w:sz w:val="24"/>
          <w:szCs w:val="24"/>
        </w:rPr>
        <w:tab/>
        <w:t>Terapeutiske indikationer</w:t>
      </w:r>
    </w:p>
    <w:p w14:paraId="33D406DD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Central diabetes </w:t>
      </w:r>
      <w:proofErr w:type="spellStart"/>
      <w:r w:rsidRPr="00E032CA">
        <w:rPr>
          <w:sz w:val="24"/>
          <w:szCs w:val="24"/>
        </w:rPr>
        <w:t>insipidus</w:t>
      </w:r>
      <w:proofErr w:type="spellEnd"/>
      <w:r w:rsidRPr="00E032CA">
        <w:rPr>
          <w:sz w:val="24"/>
          <w:szCs w:val="24"/>
        </w:rPr>
        <w:t>.</w:t>
      </w:r>
    </w:p>
    <w:p w14:paraId="681828F8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01E8A663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Primær </w:t>
      </w:r>
      <w:proofErr w:type="spellStart"/>
      <w:r w:rsidRPr="00E032CA">
        <w:rPr>
          <w:sz w:val="24"/>
          <w:szCs w:val="24"/>
        </w:rPr>
        <w:t>enuresis</w:t>
      </w:r>
      <w:proofErr w:type="spellEnd"/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nocturna</w:t>
      </w:r>
      <w:proofErr w:type="spellEnd"/>
      <w:r w:rsidRPr="00E032CA">
        <w:rPr>
          <w:sz w:val="24"/>
          <w:szCs w:val="24"/>
        </w:rPr>
        <w:t xml:space="preserve"> hos patienter fra 5 år med normal evne til at koncentrere urin. Hvis der ikke observeres virkning inden for én måned, bør behandlingen seponeres. Behandlingen kan genstartes efter seks måneder.</w:t>
      </w:r>
    </w:p>
    <w:p w14:paraId="5543D3D8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2622E1EF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Symptomatisk behandling af </w:t>
      </w:r>
      <w:proofErr w:type="spellStart"/>
      <w:r w:rsidRPr="00E032CA">
        <w:rPr>
          <w:sz w:val="24"/>
          <w:szCs w:val="24"/>
        </w:rPr>
        <w:t>nocturi</w:t>
      </w:r>
      <w:proofErr w:type="spellEnd"/>
      <w:r w:rsidRPr="00E032CA">
        <w:rPr>
          <w:sz w:val="24"/>
          <w:szCs w:val="24"/>
        </w:rPr>
        <w:t xml:space="preserve"> hos voksne med natlig </w:t>
      </w:r>
      <w:proofErr w:type="spellStart"/>
      <w:r w:rsidRPr="00E032CA">
        <w:rPr>
          <w:sz w:val="24"/>
          <w:szCs w:val="24"/>
        </w:rPr>
        <w:t>polyuri</w:t>
      </w:r>
      <w:proofErr w:type="spellEnd"/>
      <w:r w:rsidRPr="00E032CA">
        <w:rPr>
          <w:sz w:val="24"/>
          <w:szCs w:val="24"/>
        </w:rPr>
        <w:t>, dvs. natlig urinproduktion, der overstiger blærekapaciteten.</w:t>
      </w:r>
    </w:p>
    <w:p w14:paraId="14250684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B77C1A1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4.2</w:t>
      </w:r>
      <w:r w:rsidRPr="00E032CA">
        <w:rPr>
          <w:b/>
          <w:sz w:val="24"/>
          <w:szCs w:val="24"/>
        </w:rPr>
        <w:tab/>
        <w:t xml:space="preserve">Dosering og </w:t>
      </w:r>
      <w:r w:rsidR="002C1EC0" w:rsidRPr="00E032CA">
        <w:rPr>
          <w:b/>
          <w:sz w:val="24"/>
          <w:szCs w:val="24"/>
        </w:rPr>
        <w:t>administration</w:t>
      </w:r>
    </w:p>
    <w:p w14:paraId="74B0AFEC" w14:textId="77777777" w:rsidR="00F14656" w:rsidRDefault="00F14656" w:rsidP="0059175C">
      <w:pPr>
        <w:ind w:left="851"/>
        <w:rPr>
          <w:sz w:val="24"/>
          <w:szCs w:val="24"/>
        </w:rPr>
      </w:pPr>
    </w:p>
    <w:p w14:paraId="0AA5CDE3" w14:textId="119AA4CB" w:rsidR="0059175C" w:rsidRPr="00F14656" w:rsidRDefault="0059175C" w:rsidP="0059175C">
      <w:pPr>
        <w:ind w:left="851"/>
        <w:rPr>
          <w:sz w:val="24"/>
          <w:szCs w:val="24"/>
          <w:u w:val="single"/>
        </w:rPr>
      </w:pPr>
      <w:r w:rsidRPr="00F14656">
        <w:rPr>
          <w:sz w:val="24"/>
          <w:szCs w:val="24"/>
          <w:u w:val="single"/>
        </w:rPr>
        <w:t>Generelt</w:t>
      </w:r>
    </w:p>
    <w:p w14:paraId="15D84613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Såfremt der optræder tegn eller symptomer på væskeretention og/eller </w:t>
      </w:r>
      <w:proofErr w:type="spellStart"/>
      <w:r w:rsidRPr="00E032CA">
        <w:rPr>
          <w:sz w:val="24"/>
          <w:szCs w:val="24"/>
        </w:rPr>
        <w:t>hyponatriæmi</w:t>
      </w:r>
      <w:proofErr w:type="spellEnd"/>
      <w:r w:rsidRPr="00E032CA">
        <w:rPr>
          <w:sz w:val="24"/>
          <w:szCs w:val="24"/>
        </w:rPr>
        <w:t xml:space="preserve"> (hovedpine, kvalme/opkastning, vægtøgning og, i de mest alvorlige tilfælde, kramper), bør behandlingen afbrydes, indtil patienten er kommet sig helt. Når behandlingen genstartes, skal begrænset væskeindtag nøje overholdes.</w:t>
      </w:r>
    </w:p>
    <w:p w14:paraId="2504FAC1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4B148C43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Hvis der ikke opnås et tilstrækkeligt klinisk respons inden for fire ugers behandling med passende dosistitrering, bør behandlingen stoppes.</w:t>
      </w:r>
    </w:p>
    <w:p w14:paraId="6E55D17C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6D527882" w14:textId="77777777" w:rsidR="0059175C" w:rsidRPr="00F14656" w:rsidRDefault="0059175C" w:rsidP="0059175C">
      <w:pPr>
        <w:ind w:left="851"/>
        <w:rPr>
          <w:sz w:val="24"/>
          <w:szCs w:val="24"/>
          <w:u w:val="single"/>
        </w:rPr>
      </w:pPr>
      <w:r w:rsidRPr="00F14656">
        <w:rPr>
          <w:sz w:val="24"/>
          <w:szCs w:val="24"/>
          <w:u w:val="single"/>
        </w:rPr>
        <w:t>Dosering</w:t>
      </w:r>
    </w:p>
    <w:p w14:paraId="0FE5F3D0" w14:textId="77777777" w:rsidR="0059175C" w:rsidRPr="00E032CA" w:rsidRDefault="0059175C" w:rsidP="0059175C">
      <w:pPr>
        <w:ind w:left="851"/>
        <w:rPr>
          <w:i/>
          <w:iCs/>
          <w:sz w:val="24"/>
          <w:szCs w:val="24"/>
        </w:rPr>
      </w:pPr>
      <w:r w:rsidRPr="00E032CA">
        <w:rPr>
          <w:i/>
          <w:iCs/>
          <w:sz w:val="24"/>
          <w:szCs w:val="24"/>
        </w:rPr>
        <w:t xml:space="preserve">Central diabetes </w:t>
      </w:r>
      <w:proofErr w:type="spellStart"/>
      <w:r w:rsidRPr="00E032CA">
        <w:rPr>
          <w:i/>
          <w:iCs/>
          <w:sz w:val="24"/>
          <w:szCs w:val="24"/>
        </w:rPr>
        <w:t>insipidus</w:t>
      </w:r>
      <w:proofErr w:type="spellEnd"/>
      <w:r w:rsidRPr="00E032CA">
        <w:rPr>
          <w:i/>
          <w:iCs/>
          <w:sz w:val="24"/>
          <w:szCs w:val="24"/>
        </w:rPr>
        <w:t xml:space="preserve"> – Voksne, unge og børn i alderen ≥ 5 år </w:t>
      </w:r>
    </w:p>
    <w:p w14:paraId="03C72B4A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Doseringen ved behandling af central diabetes </w:t>
      </w:r>
      <w:proofErr w:type="spellStart"/>
      <w:r w:rsidRPr="00E032CA">
        <w:rPr>
          <w:sz w:val="24"/>
          <w:szCs w:val="24"/>
        </w:rPr>
        <w:t>insipidus</w:t>
      </w:r>
      <w:proofErr w:type="spellEnd"/>
      <w:r w:rsidRPr="00E032CA">
        <w:rPr>
          <w:sz w:val="24"/>
          <w:szCs w:val="24"/>
        </w:rPr>
        <w:t xml:space="preserve"> er individuel, men sædvanligvis ligger den daglige dosis mellem 120 mikrogram og 720 mikrogram. En passende startdosis til børn og voksne er 60 mikrogram </w:t>
      </w:r>
      <w:proofErr w:type="spellStart"/>
      <w:r w:rsidRPr="00E032CA">
        <w:rPr>
          <w:sz w:val="24"/>
          <w:szCs w:val="24"/>
        </w:rPr>
        <w:t>sublingualt</w:t>
      </w:r>
      <w:proofErr w:type="spellEnd"/>
      <w:r w:rsidRPr="00E032CA">
        <w:rPr>
          <w:sz w:val="24"/>
          <w:szCs w:val="24"/>
        </w:rPr>
        <w:t xml:space="preserve"> 3 gange dagligt. Doseringen bør herefter justeres i henhold til patientens respons. For de fleste patienter er den daglige vedligeholdelsesdosis 60 mikrogram til 120 mikrogram </w:t>
      </w:r>
      <w:proofErr w:type="spellStart"/>
      <w:r w:rsidRPr="00E032CA">
        <w:rPr>
          <w:sz w:val="24"/>
          <w:szCs w:val="24"/>
        </w:rPr>
        <w:t>sublingualt</w:t>
      </w:r>
      <w:proofErr w:type="spellEnd"/>
      <w:r w:rsidRPr="00E032CA">
        <w:rPr>
          <w:sz w:val="24"/>
          <w:szCs w:val="24"/>
        </w:rPr>
        <w:t xml:space="preserve"> 3 gange dagligt.</w:t>
      </w:r>
    </w:p>
    <w:p w14:paraId="0AD45641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0EFDC113" w14:textId="77777777" w:rsidR="0059175C" w:rsidRPr="00E032CA" w:rsidRDefault="0059175C" w:rsidP="0059175C">
      <w:pPr>
        <w:ind w:left="851"/>
        <w:rPr>
          <w:i/>
          <w:iCs/>
          <w:sz w:val="24"/>
          <w:szCs w:val="24"/>
        </w:rPr>
      </w:pPr>
      <w:r w:rsidRPr="00E032CA">
        <w:rPr>
          <w:i/>
          <w:iCs/>
          <w:sz w:val="24"/>
          <w:szCs w:val="24"/>
        </w:rPr>
        <w:t xml:space="preserve">Primær </w:t>
      </w:r>
      <w:proofErr w:type="spellStart"/>
      <w:r w:rsidRPr="00E032CA">
        <w:rPr>
          <w:i/>
          <w:iCs/>
          <w:sz w:val="24"/>
          <w:szCs w:val="24"/>
        </w:rPr>
        <w:t>enuresis</w:t>
      </w:r>
      <w:proofErr w:type="spellEnd"/>
      <w:r w:rsidRPr="00E032CA">
        <w:rPr>
          <w:i/>
          <w:iCs/>
          <w:sz w:val="24"/>
          <w:szCs w:val="24"/>
        </w:rPr>
        <w:t xml:space="preserve"> </w:t>
      </w:r>
      <w:proofErr w:type="spellStart"/>
      <w:r w:rsidRPr="00E032CA">
        <w:rPr>
          <w:i/>
          <w:iCs/>
          <w:sz w:val="24"/>
          <w:szCs w:val="24"/>
        </w:rPr>
        <w:t>nocturna</w:t>
      </w:r>
      <w:proofErr w:type="spellEnd"/>
      <w:r w:rsidRPr="00E032CA">
        <w:rPr>
          <w:i/>
          <w:iCs/>
          <w:sz w:val="24"/>
          <w:szCs w:val="24"/>
        </w:rPr>
        <w:t xml:space="preserve"> – Unge og børn i alderen ≥ 5 år</w:t>
      </w:r>
    </w:p>
    <w:p w14:paraId="37E4B7FD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Den anbefalede startdosis er 120 mikrogram </w:t>
      </w:r>
      <w:proofErr w:type="spellStart"/>
      <w:r w:rsidRPr="00E032CA">
        <w:rPr>
          <w:sz w:val="24"/>
          <w:szCs w:val="24"/>
        </w:rPr>
        <w:t>sublingualt</w:t>
      </w:r>
      <w:proofErr w:type="spellEnd"/>
      <w:r w:rsidRPr="00E032CA">
        <w:rPr>
          <w:sz w:val="24"/>
          <w:szCs w:val="24"/>
        </w:rPr>
        <w:t xml:space="preserve"> ved sengetid. Dosis kan øges til 240 mikrogram </w:t>
      </w:r>
      <w:proofErr w:type="spellStart"/>
      <w:r w:rsidRPr="00E032CA">
        <w:rPr>
          <w:sz w:val="24"/>
          <w:szCs w:val="24"/>
        </w:rPr>
        <w:t>sublingualt</w:t>
      </w:r>
      <w:proofErr w:type="spellEnd"/>
      <w:r w:rsidRPr="00E032CA">
        <w:rPr>
          <w:sz w:val="24"/>
          <w:szCs w:val="24"/>
        </w:rPr>
        <w:t>, hvis den lavere dosis ikke er tilstrækkelig effektiv. Væskebegrænsningen bør overholdes.</w:t>
      </w:r>
    </w:p>
    <w:p w14:paraId="5C7346B1" w14:textId="7601475C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</w:t>
      </w:r>
      <w:r w:rsidR="00144840">
        <w:rPr>
          <w:sz w:val="24"/>
          <w:szCs w:val="24"/>
        </w:rPr>
        <w:t>"</w:t>
      </w:r>
      <w:r w:rsidRPr="00E032CA">
        <w:rPr>
          <w:sz w:val="24"/>
          <w:szCs w:val="24"/>
        </w:rPr>
        <w:t>Orion</w:t>
      </w:r>
      <w:r w:rsidR="00144840">
        <w:rPr>
          <w:sz w:val="24"/>
          <w:szCs w:val="24"/>
        </w:rPr>
        <w:t>"</w:t>
      </w:r>
      <w:r w:rsidRPr="00E032CA">
        <w:rPr>
          <w:sz w:val="24"/>
          <w:szCs w:val="24"/>
        </w:rPr>
        <w:t xml:space="preserve"> er beregnet til behandlingsperioder på op til 3 måneder. Behovet for fortsat behandling bør revurderes ved indskydelse af mindst én uges pausering af behandlingen med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</w:t>
      </w:r>
      <w:r w:rsidR="00144840">
        <w:rPr>
          <w:sz w:val="24"/>
          <w:szCs w:val="24"/>
        </w:rPr>
        <w:t>"</w:t>
      </w:r>
      <w:r w:rsidRPr="00E032CA">
        <w:rPr>
          <w:sz w:val="24"/>
          <w:szCs w:val="24"/>
        </w:rPr>
        <w:t>Orion</w:t>
      </w:r>
      <w:r w:rsidR="00144840">
        <w:rPr>
          <w:sz w:val="24"/>
          <w:szCs w:val="24"/>
        </w:rPr>
        <w:t>"</w:t>
      </w:r>
      <w:r w:rsidRPr="00E032CA">
        <w:rPr>
          <w:sz w:val="24"/>
          <w:szCs w:val="24"/>
        </w:rPr>
        <w:t>.</w:t>
      </w:r>
    </w:p>
    <w:p w14:paraId="4D6BCFB6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3C0C6A09" w14:textId="77777777" w:rsidR="0059175C" w:rsidRPr="00E032CA" w:rsidRDefault="0059175C" w:rsidP="0059175C">
      <w:pPr>
        <w:ind w:left="851"/>
        <w:rPr>
          <w:i/>
          <w:iCs/>
          <w:sz w:val="24"/>
          <w:szCs w:val="24"/>
        </w:rPr>
      </w:pPr>
      <w:proofErr w:type="spellStart"/>
      <w:r w:rsidRPr="00E032CA">
        <w:rPr>
          <w:i/>
          <w:iCs/>
          <w:sz w:val="24"/>
          <w:szCs w:val="24"/>
        </w:rPr>
        <w:t>Nocturi</w:t>
      </w:r>
      <w:proofErr w:type="spellEnd"/>
      <w:r w:rsidRPr="00E032CA">
        <w:rPr>
          <w:i/>
          <w:iCs/>
          <w:sz w:val="24"/>
          <w:szCs w:val="24"/>
        </w:rPr>
        <w:t xml:space="preserve"> ‒ Voksne</w:t>
      </w:r>
    </w:p>
    <w:p w14:paraId="434CAAD8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Natlig </w:t>
      </w:r>
      <w:proofErr w:type="spellStart"/>
      <w:r w:rsidRPr="00E032CA">
        <w:rPr>
          <w:sz w:val="24"/>
          <w:szCs w:val="24"/>
        </w:rPr>
        <w:t>polyuri</w:t>
      </w:r>
      <w:proofErr w:type="spellEnd"/>
      <w:r w:rsidRPr="00E032CA">
        <w:rPr>
          <w:sz w:val="24"/>
          <w:szCs w:val="24"/>
        </w:rPr>
        <w:t xml:space="preserve"> bør diagnosticeres ud fra bestemmelse af vandladningshyppighed og urinvolumen mindst 2 dage før behandlingsstart ved brug af en urindagbog. Hvis nattens urinproduktion overstiger blærens kapacitet eller overstiger 1/3 af urinproduktionen på et døgn, er der tale om natlig </w:t>
      </w:r>
      <w:proofErr w:type="spellStart"/>
      <w:r w:rsidRPr="00E032CA">
        <w:rPr>
          <w:sz w:val="24"/>
          <w:szCs w:val="24"/>
        </w:rPr>
        <w:t>polyuri</w:t>
      </w:r>
      <w:proofErr w:type="spellEnd"/>
      <w:r w:rsidRPr="00E032CA">
        <w:rPr>
          <w:sz w:val="24"/>
          <w:szCs w:val="24"/>
        </w:rPr>
        <w:t>.</w:t>
      </w:r>
    </w:p>
    <w:p w14:paraId="6F42F68F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Den anbefalede startdosis er 60 mikrogram </w:t>
      </w:r>
      <w:proofErr w:type="spellStart"/>
      <w:r w:rsidRPr="00E032CA">
        <w:rPr>
          <w:sz w:val="24"/>
          <w:szCs w:val="24"/>
        </w:rPr>
        <w:t>sublingualt</w:t>
      </w:r>
      <w:proofErr w:type="spellEnd"/>
      <w:r w:rsidRPr="00E032CA">
        <w:rPr>
          <w:sz w:val="24"/>
          <w:szCs w:val="24"/>
        </w:rPr>
        <w:t xml:space="preserve"> ved sengetid.</w:t>
      </w:r>
    </w:p>
    <w:p w14:paraId="76F9C0D6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Hvis der ikke ses effekt inden for en uge med denne dosis, kan dosis øges til 120 mikrogram </w:t>
      </w:r>
      <w:proofErr w:type="spellStart"/>
      <w:r w:rsidRPr="00E032CA">
        <w:rPr>
          <w:sz w:val="24"/>
          <w:szCs w:val="24"/>
        </w:rPr>
        <w:t>sublingualt</w:t>
      </w:r>
      <w:proofErr w:type="spellEnd"/>
      <w:r w:rsidRPr="00E032CA">
        <w:rPr>
          <w:sz w:val="24"/>
          <w:szCs w:val="24"/>
        </w:rPr>
        <w:t xml:space="preserve"> og herefter til 240 mikrogram </w:t>
      </w:r>
      <w:proofErr w:type="spellStart"/>
      <w:r w:rsidRPr="00E032CA">
        <w:rPr>
          <w:sz w:val="24"/>
          <w:szCs w:val="24"/>
        </w:rPr>
        <w:t>sublingualt</w:t>
      </w:r>
      <w:proofErr w:type="spellEnd"/>
      <w:r w:rsidRPr="00E032CA">
        <w:rPr>
          <w:sz w:val="24"/>
          <w:szCs w:val="24"/>
        </w:rPr>
        <w:t xml:space="preserve"> ved ugentlige dosisøgninger. Væskebegrænsningen bør overholdes.</w:t>
      </w:r>
    </w:p>
    <w:p w14:paraId="6667B95E" w14:textId="38B121D5" w:rsidR="00144840" w:rsidRDefault="0014484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7E6BB507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343F2D15" w14:textId="77777777" w:rsidR="0059175C" w:rsidRPr="00F14656" w:rsidRDefault="0059175C" w:rsidP="0059175C">
      <w:pPr>
        <w:ind w:left="851"/>
        <w:rPr>
          <w:sz w:val="24"/>
          <w:szCs w:val="24"/>
          <w:u w:val="single"/>
        </w:rPr>
      </w:pPr>
      <w:r w:rsidRPr="00F14656">
        <w:rPr>
          <w:sz w:val="24"/>
          <w:szCs w:val="24"/>
          <w:u w:val="single"/>
        </w:rPr>
        <w:t>Særlige populationer</w:t>
      </w:r>
    </w:p>
    <w:p w14:paraId="76B1419D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092F0CB7" w14:textId="77777777" w:rsidR="0059175C" w:rsidRPr="00E032CA" w:rsidRDefault="0059175C" w:rsidP="0059175C">
      <w:pPr>
        <w:ind w:left="851"/>
        <w:rPr>
          <w:i/>
          <w:iCs/>
          <w:sz w:val="24"/>
          <w:szCs w:val="24"/>
        </w:rPr>
      </w:pPr>
      <w:r w:rsidRPr="00E032CA">
        <w:rPr>
          <w:i/>
          <w:iCs/>
          <w:sz w:val="24"/>
          <w:szCs w:val="24"/>
        </w:rPr>
        <w:t>Ældre</w:t>
      </w:r>
    </w:p>
    <w:p w14:paraId="6D077283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Det frarådes at påbegynde behandling hos patienter &gt; 65 år. Hvis lægen alligevel beslutter at starte behandling med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hos disse patienter, bør serumnatriumniveauet måles før behandlingsstart og derudover 3 dage efter behandlingsstart eller ved dosisøgning samt hvis den behandlende læge skønner det nødvendigt på andre tidspunkter under behandlingen.</w:t>
      </w:r>
    </w:p>
    <w:p w14:paraId="51C107F8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755BA303" w14:textId="77777777" w:rsidR="0059175C" w:rsidRPr="00E032CA" w:rsidRDefault="0059175C" w:rsidP="0059175C">
      <w:pPr>
        <w:ind w:left="851"/>
        <w:rPr>
          <w:i/>
          <w:iCs/>
          <w:sz w:val="24"/>
          <w:szCs w:val="24"/>
        </w:rPr>
      </w:pPr>
      <w:r w:rsidRPr="00E032CA">
        <w:rPr>
          <w:i/>
          <w:iCs/>
          <w:sz w:val="24"/>
          <w:szCs w:val="24"/>
        </w:rPr>
        <w:t>Nedsat nyrefunktion</w:t>
      </w:r>
    </w:p>
    <w:p w14:paraId="578995D6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Doseringen og behandlingsmuligheden bør vurderes individuelt. Se pkt. 4.3 og 5.2.</w:t>
      </w:r>
    </w:p>
    <w:p w14:paraId="5446145F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1F88745A" w14:textId="77777777" w:rsidR="0059175C" w:rsidRPr="00E032CA" w:rsidRDefault="0059175C" w:rsidP="0059175C">
      <w:pPr>
        <w:ind w:left="851"/>
        <w:rPr>
          <w:i/>
          <w:iCs/>
          <w:sz w:val="24"/>
          <w:szCs w:val="24"/>
        </w:rPr>
      </w:pPr>
      <w:r w:rsidRPr="00E032CA">
        <w:rPr>
          <w:i/>
          <w:iCs/>
          <w:sz w:val="24"/>
          <w:szCs w:val="24"/>
        </w:rPr>
        <w:t>Nedsat leverfunktion</w:t>
      </w:r>
    </w:p>
    <w:p w14:paraId="50E4737E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Doseringen af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er ikke blevet undersøgt hos patienter med nedsat leverfunktion.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metaboliseres</w:t>
      </w:r>
      <w:proofErr w:type="spellEnd"/>
      <w:r w:rsidRPr="00E032CA">
        <w:rPr>
          <w:sz w:val="24"/>
          <w:szCs w:val="24"/>
        </w:rPr>
        <w:t xml:space="preserve"> ikke i leveren i væsentlig grad. Doseringen bør bestemmes individuelt hos patienter med nedsat leverfunktion. Se pkt. 4.5 og 5.2.</w:t>
      </w:r>
    </w:p>
    <w:p w14:paraId="672F7799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230C05B8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i/>
          <w:sz w:val="24"/>
          <w:szCs w:val="24"/>
        </w:rPr>
        <w:t>Pædiatrisk population</w:t>
      </w:r>
    </w:p>
    <w:p w14:paraId="1F443538" w14:textId="257701AE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</w:t>
      </w:r>
      <w:r w:rsidR="00144840">
        <w:rPr>
          <w:sz w:val="24"/>
          <w:szCs w:val="24"/>
        </w:rPr>
        <w:t>"</w:t>
      </w:r>
      <w:r w:rsidRPr="00E032CA">
        <w:rPr>
          <w:sz w:val="24"/>
          <w:szCs w:val="24"/>
        </w:rPr>
        <w:t>Orion</w:t>
      </w:r>
      <w:r w:rsidR="00144840">
        <w:rPr>
          <w:sz w:val="24"/>
          <w:szCs w:val="24"/>
        </w:rPr>
        <w:t>"</w:t>
      </w:r>
      <w:r w:rsidRPr="00E032CA">
        <w:rPr>
          <w:sz w:val="24"/>
          <w:szCs w:val="24"/>
        </w:rPr>
        <w:t xml:space="preserve"> er indiceret til central diabetes </w:t>
      </w:r>
      <w:proofErr w:type="spellStart"/>
      <w:r w:rsidRPr="00E032CA">
        <w:rPr>
          <w:sz w:val="24"/>
          <w:szCs w:val="24"/>
        </w:rPr>
        <w:t>insipidus</w:t>
      </w:r>
      <w:proofErr w:type="spellEnd"/>
      <w:r w:rsidRPr="00E032CA">
        <w:rPr>
          <w:sz w:val="24"/>
          <w:szCs w:val="24"/>
        </w:rPr>
        <w:t xml:space="preserve"> og primær </w:t>
      </w:r>
      <w:proofErr w:type="spellStart"/>
      <w:r w:rsidRPr="00E032CA">
        <w:rPr>
          <w:sz w:val="24"/>
          <w:szCs w:val="24"/>
        </w:rPr>
        <w:t>enuresis</w:t>
      </w:r>
      <w:proofErr w:type="spellEnd"/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nocturna</w:t>
      </w:r>
      <w:proofErr w:type="spellEnd"/>
      <w:r w:rsidRPr="00E032CA">
        <w:rPr>
          <w:sz w:val="24"/>
          <w:szCs w:val="24"/>
        </w:rPr>
        <w:t xml:space="preserve"> (se pkt. 4.1 og 5.1). Dosisanbefalingerne er de samme som for voksne.</w:t>
      </w:r>
    </w:p>
    <w:p w14:paraId="16BA62DD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076F70A3" w14:textId="77777777" w:rsidR="0059175C" w:rsidRPr="00F14656" w:rsidRDefault="0059175C" w:rsidP="0059175C">
      <w:pPr>
        <w:ind w:left="851"/>
        <w:rPr>
          <w:sz w:val="24"/>
          <w:szCs w:val="24"/>
          <w:u w:val="single"/>
        </w:rPr>
      </w:pPr>
      <w:r w:rsidRPr="00F14656">
        <w:rPr>
          <w:sz w:val="24"/>
          <w:szCs w:val="24"/>
          <w:u w:val="single"/>
        </w:rPr>
        <w:t>Administration</w:t>
      </w:r>
    </w:p>
    <w:p w14:paraId="5940C11B" w14:textId="35CABCA8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sz w:val="24"/>
          <w:szCs w:val="24"/>
        </w:rPr>
        <w:t>Sublingual</w:t>
      </w:r>
      <w:proofErr w:type="spellEnd"/>
      <w:r w:rsidRPr="00E032CA">
        <w:rPr>
          <w:sz w:val="24"/>
          <w:szCs w:val="24"/>
        </w:rPr>
        <w:t xml:space="preserve"> anvendelse.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</w:t>
      </w:r>
      <w:r w:rsidR="00144840">
        <w:rPr>
          <w:sz w:val="24"/>
          <w:szCs w:val="24"/>
        </w:rPr>
        <w:t>"</w:t>
      </w:r>
      <w:r w:rsidRPr="00E032CA">
        <w:rPr>
          <w:sz w:val="24"/>
          <w:szCs w:val="24"/>
        </w:rPr>
        <w:t>Orion</w:t>
      </w:r>
      <w:r w:rsidR="00144840">
        <w:rPr>
          <w:sz w:val="24"/>
          <w:szCs w:val="24"/>
        </w:rPr>
        <w:t>"</w:t>
      </w:r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resoriblet</w:t>
      </w:r>
      <w:proofErr w:type="spellEnd"/>
      <w:r w:rsidRPr="00E032CA">
        <w:rPr>
          <w:sz w:val="24"/>
          <w:szCs w:val="24"/>
        </w:rPr>
        <w:t xml:space="preserve"> bør placeres under tungen, hvor den opløses, uden der er behov for vand.</w:t>
      </w:r>
    </w:p>
    <w:p w14:paraId="243D02E0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53A40B96" w14:textId="77777777" w:rsidR="0059175C" w:rsidRPr="00F14656" w:rsidRDefault="0059175C" w:rsidP="0059175C">
      <w:pPr>
        <w:ind w:left="851"/>
        <w:rPr>
          <w:sz w:val="24"/>
          <w:szCs w:val="24"/>
          <w:u w:val="single"/>
        </w:rPr>
      </w:pPr>
      <w:r w:rsidRPr="00F14656">
        <w:rPr>
          <w:sz w:val="24"/>
          <w:szCs w:val="24"/>
          <w:u w:val="single"/>
        </w:rPr>
        <w:t>Effekt af føde</w:t>
      </w:r>
    </w:p>
    <w:p w14:paraId="575D6CE1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Fødeindtagelse kan reducere intensiteten og varigheden af den antidiuretiske effekt ved lave doser af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(se pkt. 4.5 og 5.2).</w:t>
      </w:r>
    </w:p>
    <w:p w14:paraId="40C86500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D78C30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4.3</w:t>
      </w:r>
      <w:r w:rsidRPr="00E032CA">
        <w:rPr>
          <w:b/>
          <w:sz w:val="24"/>
          <w:szCs w:val="24"/>
        </w:rPr>
        <w:tab/>
        <w:t>Kontraindikationer</w:t>
      </w:r>
    </w:p>
    <w:p w14:paraId="18AA0D2D" w14:textId="2B5D6A3C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</w:t>
      </w:r>
      <w:r w:rsidR="00144840">
        <w:rPr>
          <w:sz w:val="24"/>
          <w:szCs w:val="24"/>
        </w:rPr>
        <w:t>"</w:t>
      </w:r>
      <w:r w:rsidRPr="00E032CA">
        <w:rPr>
          <w:sz w:val="24"/>
          <w:szCs w:val="24"/>
        </w:rPr>
        <w:t>Orion</w:t>
      </w:r>
      <w:r w:rsidR="00144840">
        <w:rPr>
          <w:sz w:val="24"/>
          <w:szCs w:val="24"/>
        </w:rPr>
        <w:t>"</w:t>
      </w:r>
      <w:r w:rsidRPr="00E032CA">
        <w:rPr>
          <w:sz w:val="24"/>
          <w:szCs w:val="24"/>
        </w:rPr>
        <w:t xml:space="preserve"> er kontraindiceret i tilfælde af følgende:</w:t>
      </w:r>
    </w:p>
    <w:p w14:paraId="4EC82FEB" w14:textId="77777777" w:rsidR="0059175C" w:rsidRPr="0087113A" w:rsidRDefault="0059175C" w:rsidP="0087113A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87113A">
        <w:rPr>
          <w:sz w:val="24"/>
          <w:szCs w:val="24"/>
        </w:rPr>
        <w:t>Overfølsomhed over for det aktive stof eller over for et eller flere af hjælpestofferne anført i pkt. 6.1.</w:t>
      </w:r>
    </w:p>
    <w:p w14:paraId="70E32987" w14:textId="77777777" w:rsidR="0059175C" w:rsidRPr="0087113A" w:rsidRDefault="0059175C" w:rsidP="0087113A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87113A">
        <w:rPr>
          <w:sz w:val="24"/>
          <w:szCs w:val="24"/>
        </w:rPr>
        <w:t>Habituel eller psykogen polydipsi (urinproduktion på over 40 ml/kg/24 timer).</w:t>
      </w:r>
    </w:p>
    <w:p w14:paraId="55BD141B" w14:textId="77777777" w:rsidR="0059175C" w:rsidRPr="0087113A" w:rsidRDefault="0059175C" w:rsidP="0087113A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87113A">
        <w:rPr>
          <w:sz w:val="24"/>
          <w:szCs w:val="24"/>
        </w:rPr>
        <w:t xml:space="preserve">Tidligere diagnosticeret eller mistænkt hjerteinsufficiens eller andre tilstande, der kræver behandling med </w:t>
      </w:r>
      <w:proofErr w:type="spellStart"/>
      <w:r w:rsidRPr="0087113A">
        <w:rPr>
          <w:sz w:val="24"/>
          <w:szCs w:val="24"/>
        </w:rPr>
        <w:t>diuretika</w:t>
      </w:r>
      <w:proofErr w:type="spellEnd"/>
      <w:r w:rsidRPr="0087113A">
        <w:rPr>
          <w:sz w:val="24"/>
          <w:szCs w:val="24"/>
        </w:rPr>
        <w:t>.</w:t>
      </w:r>
    </w:p>
    <w:p w14:paraId="51B93795" w14:textId="77777777" w:rsidR="0059175C" w:rsidRPr="0087113A" w:rsidRDefault="0059175C" w:rsidP="0087113A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87113A">
        <w:rPr>
          <w:sz w:val="24"/>
          <w:szCs w:val="24"/>
        </w:rPr>
        <w:t>Moderat eller svært nedsat nyrefunktion (</w:t>
      </w:r>
      <w:proofErr w:type="spellStart"/>
      <w:r w:rsidRPr="0087113A">
        <w:rPr>
          <w:sz w:val="24"/>
          <w:szCs w:val="24"/>
        </w:rPr>
        <w:t>kreatininclearance</w:t>
      </w:r>
      <w:proofErr w:type="spellEnd"/>
      <w:r w:rsidRPr="0087113A">
        <w:rPr>
          <w:sz w:val="24"/>
          <w:szCs w:val="24"/>
        </w:rPr>
        <w:t xml:space="preserve"> under 50 ml/min).</w:t>
      </w:r>
    </w:p>
    <w:p w14:paraId="49963EEC" w14:textId="77777777" w:rsidR="0059175C" w:rsidRPr="0087113A" w:rsidRDefault="0059175C" w:rsidP="0087113A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87113A">
        <w:rPr>
          <w:sz w:val="24"/>
          <w:szCs w:val="24"/>
        </w:rPr>
        <w:t xml:space="preserve">Kendt </w:t>
      </w:r>
      <w:proofErr w:type="spellStart"/>
      <w:r w:rsidRPr="0087113A">
        <w:rPr>
          <w:sz w:val="24"/>
          <w:szCs w:val="24"/>
        </w:rPr>
        <w:t>hyponatriæmi</w:t>
      </w:r>
      <w:proofErr w:type="spellEnd"/>
      <w:r w:rsidRPr="0087113A">
        <w:rPr>
          <w:sz w:val="24"/>
          <w:szCs w:val="24"/>
        </w:rPr>
        <w:t xml:space="preserve"> eller kendt modtagelighed over for </w:t>
      </w:r>
      <w:proofErr w:type="spellStart"/>
      <w:r w:rsidRPr="0087113A">
        <w:rPr>
          <w:sz w:val="24"/>
          <w:szCs w:val="24"/>
        </w:rPr>
        <w:t>hyponatriæmi</w:t>
      </w:r>
      <w:proofErr w:type="spellEnd"/>
      <w:r w:rsidRPr="0087113A">
        <w:rPr>
          <w:sz w:val="24"/>
          <w:szCs w:val="24"/>
        </w:rPr>
        <w:t>.</w:t>
      </w:r>
    </w:p>
    <w:p w14:paraId="23F8BDE0" w14:textId="77777777" w:rsidR="0059175C" w:rsidRPr="0087113A" w:rsidRDefault="0059175C" w:rsidP="0087113A">
      <w:pPr>
        <w:pStyle w:val="Listeafsnit"/>
        <w:numPr>
          <w:ilvl w:val="0"/>
          <w:numId w:val="8"/>
        </w:numPr>
        <w:ind w:left="1276" w:hanging="425"/>
        <w:rPr>
          <w:sz w:val="24"/>
          <w:szCs w:val="24"/>
        </w:rPr>
      </w:pPr>
      <w:r w:rsidRPr="0087113A">
        <w:rPr>
          <w:sz w:val="24"/>
          <w:szCs w:val="24"/>
        </w:rPr>
        <w:t>Syndrom med uhensigtsmæssig sekretion af antidiuretisk hormon (SIADH).</w:t>
      </w:r>
    </w:p>
    <w:p w14:paraId="1CEDBCB8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76D8D73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4.4</w:t>
      </w:r>
      <w:r w:rsidRPr="00E032CA">
        <w:rPr>
          <w:b/>
          <w:sz w:val="24"/>
          <w:szCs w:val="24"/>
        </w:rPr>
        <w:tab/>
        <w:t>Særlige advarsler og forsigtighedsregler vedrørende brugen</w:t>
      </w:r>
    </w:p>
    <w:p w14:paraId="67577024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Ved behandling af primær </w:t>
      </w:r>
      <w:proofErr w:type="spellStart"/>
      <w:r w:rsidRPr="00E032CA">
        <w:rPr>
          <w:sz w:val="24"/>
          <w:szCs w:val="24"/>
        </w:rPr>
        <w:t>enuresis</w:t>
      </w:r>
      <w:proofErr w:type="spellEnd"/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nocturna</w:t>
      </w:r>
      <w:proofErr w:type="spellEnd"/>
      <w:r w:rsidRPr="00E032CA">
        <w:rPr>
          <w:sz w:val="24"/>
          <w:szCs w:val="24"/>
        </w:rPr>
        <w:t xml:space="preserve"> og </w:t>
      </w:r>
      <w:proofErr w:type="spellStart"/>
      <w:r w:rsidRPr="00E032CA">
        <w:rPr>
          <w:sz w:val="24"/>
          <w:szCs w:val="24"/>
        </w:rPr>
        <w:t>nocturi</w:t>
      </w:r>
      <w:proofErr w:type="spellEnd"/>
      <w:r w:rsidRPr="00E032CA">
        <w:rPr>
          <w:sz w:val="24"/>
          <w:szCs w:val="24"/>
        </w:rPr>
        <w:t xml:space="preserve"> skal væskeindtaget begrænses i mindst 1 time før og 8 timer efter administration. Ved behandling uden samtidigt begrænset væskeindtag kan det føre til væskeretention og/eller </w:t>
      </w:r>
      <w:proofErr w:type="spellStart"/>
      <w:r w:rsidRPr="00E032CA">
        <w:rPr>
          <w:sz w:val="24"/>
          <w:szCs w:val="24"/>
        </w:rPr>
        <w:t>hyponatriæmi</w:t>
      </w:r>
      <w:proofErr w:type="spellEnd"/>
      <w:r w:rsidRPr="00E032CA">
        <w:rPr>
          <w:sz w:val="24"/>
          <w:szCs w:val="24"/>
        </w:rPr>
        <w:t xml:space="preserve"> med eller uden advarselstegn og symptomer (hovedpine, kvalme/opkastning, vægtøgning og, i de mest alvorlige tilfælde, kramper). Patienterne eller, om nødvendigt, deres omsorgspersoner bør nøje instrueres i at følge begrænsningerne i væskeindtag.</w:t>
      </w:r>
    </w:p>
    <w:p w14:paraId="2075FB48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6935C9B4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Alvorlig dysfunktion af blæren og afløbshindring bør udelukkes før behandlingsstart. Høj alder og serumnatrium i den lave ende af normalområdet kan prædisponere for </w:t>
      </w:r>
      <w:proofErr w:type="spellStart"/>
      <w:r w:rsidRPr="00E032CA">
        <w:rPr>
          <w:sz w:val="24"/>
          <w:szCs w:val="24"/>
        </w:rPr>
        <w:lastRenderedPageBreak/>
        <w:t>hyponatriæmi</w:t>
      </w:r>
      <w:proofErr w:type="spellEnd"/>
      <w:r w:rsidRPr="00E032CA">
        <w:rPr>
          <w:sz w:val="24"/>
          <w:szCs w:val="24"/>
        </w:rPr>
        <w:t xml:space="preserve">. Behandling med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bør afbrydes i tilfælde af akutte sygdomme forbundet med forstyrrelser i væske- og/eller elektrolytbalancen (såsom systemiske infektioner, feber, </w:t>
      </w:r>
      <w:proofErr w:type="spellStart"/>
      <w:r w:rsidRPr="00E032CA">
        <w:rPr>
          <w:sz w:val="24"/>
          <w:szCs w:val="24"/>
        </w:rPr>
        <w:t>gastroenteritis</w:t>
      </w:r>
      <w:proofErr w:type="spellEnd"/>
      <w:r w:rsidRPr="00E032CA">
        <w:rPr>
          <w:sz w:val="24"/>
          <w:szCs w:val="24"/>
        </w:rPr>
        <w:t>).</w:t>
      </w:r>
    </w:p>
    <w:p w14:paraId="4F87E258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2B032FA6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Der bør udvises forsigtighed hos patienter med risiko for øget </w:t>
      </w:r>
      <w:proofErr w:type="spellStart"/>
      <w:r w:rsidRPr="00E032CA">
        <w:rPr>
          <w:sz w:val="24"/>
          <w:szCs w:val="24"/>
        </w:rPr>
        <w:t>intrakranielt</w:t>
      </w:r>
      <w:proofErr w:type="spellEnd"/>
      <w:r w:rsidRPr="00E032CA">
        <w:rPr>
          <w:sz w:val="24"/>
          <w:szCs w:val="24"/>
        </w:rPr>
        <w:t xml:space="preserve"> tryk.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bør anvendes med forsigtighed hos patienter med tilstande, der påvirker væske- og/eller elektrolytbalancen. Der bør udvises forsigtighed for at undgå </w:t>
      </w:r>
      <w:proofErr w:type="spellStart"/>
      <w:r w:rsidRPr="00E032CA">
        <w:rPr>
          <w:sz w:val="24"/>
          <w:szCs w:val="24"/>
        </w:rPr>
        <w:t>hyponatriæmi</w:t>
      </w:r>
      <w:proofErr w:type="spellEnd"/>
      <w:r w:rsidRPr="00E032CA">
        <w:rPr>
          <w:sz w:val="24"/>
          <w:szCs w:val="24"/>
        </w:rPr>
        <w:t xml:space="preserve">, herunder begrænsning af væskeindtag og hyppig overvågning af serumnatriumniveau, især ved samtidig behandling med lægemidler, som vides at inducere SIADH, f.eks. tricykliske </w:t>
      </w:r>
      <w:proofErr w:type="spellStart"/>
      <w:r w:rsidRPr="00E032CA">
        <w:rPr>
          <w:sz w:val="24"/>
          <w:szCs w:val="24"/>
        </w:rPr>
        <w:t>antidepressiva</w:t>
      </w:r>
      <w:proofErr w:type="spellEnd"/>
      <w:r w:rsidRPr="00E032CA">
        <w:rPr>
          <w:sz w:val="24"/>
          <w:szCs w:val="24"/>
        </w:rPr>
        <w:t xml:space="preserve">, selektive </w:t>
      </w:r>
      <w:proofErr w:type="spellStart"/>
      <w:r w:rsidRPr="00E032CA">
        <w:rPr>
          <w:sz w:val="24"/>
          <w:szCs w:val="24"/>
        </w:rPr>
        <w:t>serotoningenoptagelseshæmmere</w:t>
      </w:r>
      <w:proofErr w:type="spellEnd"/>
      <w:r w:rsidRPr="00E032CA">
        <w:rPr>
          <w:sz w:val="24"/>
          <w:szCs w:val="24"/>
        </w:rPr>
        <w:t xml:space="preserve"> (</w:t>
      </w:r>
      <w:proofErr w:type="spellStart"/>
      <w:r w:rsidRPr="00E032CA">
        <w:rPr>
          <w:sz w:val="24"/>
          <w:szCs w:val="24"/>
        </w:rPr>
        <w:t>SSRI’er</w:t>
      </w:r>
      <w:proofErr w:type="spellEnd"/>
      <w:r w:rsidRPr="00E032CA">
        <w:rPr>
          <w:sz w:val="24"/>
          <w:szCs w:val="24"/>
        </w:rPr>
        <w:t xml:space="preserve">), </w:t>
      </w:r>
      <w:proofErr w:type="spellStart"/>
      <w:r w:rsidRPr="00E032CA">
        <w:rPr>
          <w:sz w:val="24"/>
          <w:szCs w:val="24"/>
        </w:rPr>
        <w:t>chlorpromazin</w:t>
      </w:r>
      <w:proofErr w:type="spellEnd"/>
      <w:r w:rsidRPr="00E032CA">
        <w:rPr>
          <w:sz w:val="24"/>
          <w:szCs w:val="24"/>
        </w:rPr>
        <w:t xml:space="preserve"> og </w:t>
      </w:r>
      <w:proofErr w:type="spellStart"/>
      <w:r w:rsidRPr="00E032CA">
        <w:rPr>
          <w:sz w:val="24"/>
          <w:szCs w:val="24"/>
        </w:rPr>
        <w:t>carbamazepin</w:t>
      </w:r>
      <w:proofErr w:type="spellEnd"/>
      <w:r w:rsidRPr="00E032CA">
        <w:rPr>
          <w:sz w:val="24"/>
          <w:szCs w:val="24"/>
        </w:rPr>
        <w:t>, og ved samtidig behandling med non-</w:t>
      </w:r>
      <w:proofErr w:type="spellStart"/>
      <w:r w:rsidRPr="00E032CA">
        <w:rPr>
          <w:sz w:val="24"/>
          <w:szCs w:val="24"/>
        </w:rPr>
        <w:t>steroide</w:t>
      </w:r>
      <w:proofErr w:type="spellEnd"/>
      <w:r w:rsidRPr="00E032CA">
        <w:rPr>
          <w:sz w:val="24"/>
          <w:szCs w:val="24"/>
        </w:rPr>
        <w:t xml:space="preserve"> antiinflammatoriske midler (</w:t>
      </w:r>
      <w:proofErr w:type="spellStart"/>
      <w:r w:rsidRPr="00E032CA">
        <w:rPr>
          <w:sz w:val="24"/>
          <w:szCs w:val="24"/>
        </w:rPr>
        <w:t>NSAID’er</w:t>
      </w:r>
      <w:proofErr w:type="spellEnd"/>
      <w:r w:rsidRPr="00E032CA">
        <w:rPr>
          <w:sz w:val="24"/>
          <w:szCs w:val="24"/>
        </w:rPr>
        <w:t>).</w:t>
      </w:r>
    </w:p>
    <w:p w14:paraId="3447B970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3EA1D820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Dette lægemiddel bør ikke anvendes til patienter med hereditær </w:t>
      </w:r>
      <w:proofErr w:type="spellStart"/>
      <w:r w:rsidRPr="00E032CA">
        <w:rPr>
          <w:sz w:val="24"/>
          <w:szCs w:val="24"/>
        </w:rPr>
        <w:t>galactoseintolerans</w:t>
      </w:r>
      <w:proofErr w:type="spellEnd"/>
      <w:r w:rsidRPr="00E032CA">
        <w:rPr>
          <w:sz w:val="24"/>
          <w:szCs w:val="24"/>
        </w:rPr>
        <w:t xml:space="preserve">, total </w:t>
      </w:r>
      <w:proofErr w:type="spellStart"/>
      <w:r w:rsidRPr="00E032CA">
        <w:rPr>
          <w:sz w:val="24"/>
          <w:szCs w:val="24"/>
        </w:rPr>
        <w:t>lactasemangel</w:t>
      </w:r>
      <w:proofErr w:type="spellEnd"/>
      <w:r w:rsidRPr="00E032CA">
        <w:rPr>
          <w:sz w:val="24"/>
          <w:szCs w:val="24"/>
        </w:rPr>
        <w:t xml:space="preserve"> eller </w:t>
      </w:r>
      <w:proofErr w:type="spellStart"/>
      <w:r w:rsidRPr="00E032CA">
        <w:rPr>
          <w:sz w:val="24"/>
          <w:szCs w:val="24"/>
        </w:rPr>
        <w:t>glucose</w:t>
      </w:r>
      <w:proofErr w:type="spellEnd"/>
      <w:r w:rsidRPr="00E032CA">
        <w:rPr>
          <w:sz w:val="24"/>
          <w:szCs w:val="24"/>
        </w:rPr>
        <w:t>/</w:t>
      </w:r>
      <w:proofErr w:type="spellStart"/>
      <w:r w:rsidRPr="00E032CA">
        <w:rPr>
          <w:sz w:val="24"/>
          <w:szCs w:val="24"/>
        </w:rPr>
        <w:t>galactosemalabsorption</w:t>
      </w:r>
      <w:proofErr w:type="spellEnd"/>
      <w:r w:rsidRPr="00E032CA">
        <w:rPr>
          <w:sz w:val="24"/>
          <w:szCs w:val="24"/>
        </w:rPr>
        <w:t>.</w:t>
      </w:r>
    </w:p>
    <w:p w14:paraId="61ED26AE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61F1BFFE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Dette lægemiddel indeholder mindre end 1 mmol (23 mg) natrium pr. </w:t>
      </w:r>
      <w:proofErr w:type="spellStart"/>
      <w:r w:rsidRPr="00E032CA">
        <w:rPr>
          <w:sz w:val="24"/>
          <w:szCs w:val="24"/>
        </w:rPr>
        <w:t>sublingual</w:t>
      </w:r>
      <w:proofErr w:type="spellEnd"/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resoriblet</w:t>
      </w:r>
      <w:proofErr w:type="spellEnd"/>
      <w:r w:rsidRPr="00E032CA">
        <w:rPr>
          <w:sz w:val="24"/>
          <w:szCs w:val="24"/>
        </w:rPr>
        <w:t>, dvs. det er i det væsentlige natriumfrit.</w:t>
      </w:r>
    </w:p>
    <w:p w14:paraId="38A28EA9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F47C688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4.5</w:t>
      </w:r>
      <w:r w:rsidRPr="00E032CA">
        <w:rPr>
          <w:b/>
          <w:sz w:val="24"/>
          <w:szCs w:val="24"/>
        </w:rPr>
        <w:tab/>
        <w:t>Interaktion med andre lægemidler og andre former for interaktion</w:t>
      </w:r>
    </w:p>
    <w:p w14:paraId="4A31D71A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Lægemidler, som vides at inducere SIADH, f.eks. tricykliske </w:t>
      </w:r>
      <w:proofErr w:type="spellStart"/>
      <w:r w:rsidRPr="00E032CA">
        <w:rPr>
          <w:sz w:val="24"/>
          <w:szCs w:val="24"/>
        </w:rPr>
        <w:t>antidepressiva</w:t>
      </w:r>
      <w:proofErr w:type="spellEnd"/>
      <w:r w:rsidRPr="00E032CA">
        <w:rPr>
          <w:sz w:val="24"/>
          <w:szCs w:val="24"/>
        </w:rPr>
        <w:t xml:space="preserve">, </w:t>
      </w:r>
      <w:proofErr w:type="spellStart"/>
      <w:r w:rsidRPr="00E032CA">
        <w:rPr>
          <w:sz w:val="24"/>
          <w:szCs w:val="24"/>
        </w:rPr>
        <w:t>SSRI’er</w:t>
      </w:r>
      <w:proofErr w:type="spellEnd"/>
      <w:r w:rsidRPr="00E032CA">
        <w:rPr>
          <w:sz w:val="24"/>
          <w:szCs w:val="24"/>
        </w:rPr>
        <w:t xml:space="preserve">, </w:t>
      </w:r>
      <w:proofErr w:type="spellStart"/>
      <w:r w:rsidRPr="00E032CA">
        <w:rPr>
          <w:sz w:val="24"/>
          <w:szCs w:val="24"/>
        </w:rPr>
        <w:t>chlorpromazin</w:t>
      </w:r>
      <w:proofErr w:type="spellEnd"/>
      <w:r w:rsidRPr="00E032CA">
        <w:rPr>
          <w:sz w:val="24"/>
          <w:szCs w:val="24"/>
        </w:rPr>
        <w:t xml:space="preserve"> og </w:t>
      </w:r>
      <w:proofErr w:type="spellStart"/>
      <w:r w:rsidRPr="00E032CA">
        <w:rPr>
          <w:sz w:val="24"/>
          <w:szCs w:val="24"/>
        </w:rPr>
        <w:t>carbamazepin</w:t>
      </w:r>
      <w:proofErr w:type="spellEnd"/>
      <w:r w:rsidRPr="00E032CA">
        <w:rPr>
          <w:sz w:val="24"/>
          <w:szCs w:val="24"/>
        </w:rPr>
        <w:t xml:space="preserve">, samt visse former for </w:t>
      </w:r>
      <w:proofErr w:type="spellStart"/>
      <w:r w:rsidRPr="00E032CA">
        <w:rPr>
          <w:sz w:val="24"/>
          <w:szCs w:val="24"/>
        </w:rPr>
        <w:t>antidiabetika</w:t>
      </w:r>
      <w:proofErr w:type="spellEnd"/>
      <w:r w:rsidRPr="00E032CA">
        <w:rPr>
          <w:sz w:val="24"/>
          <w:szCs w:val="24"/>
        </w:rPr>
        <w:t xml:space="preserve"> i </w:t>
      </w:r>
      <w:proofErr w:type="spellStart"/>
      <w:r w:rsidRPr="00E032CA">
        <w:rPr>
          <w:sz w:val="24"/>
          <w:szCs w:val="24"/>
        </w:rPr>
        <w:t>sulfonylurin</w:t>
      </w:r>
      <w:proofErr w:type="spellEnd"/>
      <w:r w:rsidRPr="00E032CA">
        <w:rPr>
          <w:sz w:val="24"/>
          <w:szCs w:val="24"/>
        </w:rPr>
        <w:t xml:space="preserve">-gruppen, især </w:t>
      </w:r>
      <w:proofErr w:type="spellStart"/>
      <w:r w:rsidRPr="00E032CA">
        <w:rPr>
          <w:sz w:val="24"/>
          <w:szCs w:val="24"/>
        </w:rPr>
        <w:t>chlorpropamid</w:t>
      </w:r>
      <w:proofErr w:type="spellEnd"/>
      <w:r w:rsidRPr="00E032CA">
        <w:rPr>
          <w:sz w:val="24"/>
          <w:szCs w:val="24"/>
        </w:rPr>
        <w:t>, kan forstærke den antidiuretiske effekt og øge risikoen for væskeretention/</w:t>
      </w:r>
      <w:proofErr w:type="spellStart"/>
      <w:r w:rsidRPr="00E032CA">
        <w:rPr>
          <w:sz w:val="24"/>
          <w:szCs w:val="24"/>
        </w:rPr>
        <w:t>hyponatriæmi</w:t>
      </w:r>
      <w:proofErr w:type="spellEnd"/>
      <w:r w:rsidRPr="00E032CA">
        <w:rPr>
          <w:sz w:val="24"/>
          <w:szCs w:val="24"/>
        </w:rPr>
        <w:t xml:space="preserve"> (se pkt. 4.4).</w:t>
      </w:r>
    </w:p>
    <w:p w14:paraId="7515DDA7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62E54E5F" w14:textId="77777777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sz w:val="24"/>
          <w:szCs w:val="24"/>
        </w:rPr>
        <w:t>NSAID’er</w:t>
      </w:r>
      <w:proofErr w:type="spellEnd"/>
      <w:r w:rsidRPr="00E032CA">
        <w:rPr>
          <w:sz w:val="24"/>
          <w:szCs w:val="24"/>
        </w:rPr>
        <w:t xml:space="preserve"> kan inducere væskeretention/</w:t>
      </w:r>
      <w:proofErr w:type="spellStart"/>
      <w:r w:rsidRPr="00E032CA">
        <w:rPr>
          <w:sz w:val="24"/>
          <w:szCs w:val="24"/>
        </w:rPr>
        <w:t>hyponatriæmi</w:t>
      </w:r>
      <w:proofErr w:type="spellEnd"/>
      <w:r w:rsidRPr="00E032CA">
        <w:rPr>
          <w:sz w:val="24"/>
          <w:szCs w:val="24"/>
        </w:rPr>
        <w:t xml:space="preserve"> (se pkt. 4.4).</w:t>
      </w:r>
    </w:p>
    <w:p w14:paraId="11FC7259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1CBB8006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Samtidig behandling med </w:t>
      </w:r>
      <w:proofErr w:type="spellStart"/>
      <w:r w:rsidRPr="00E032CA">
        <w:rPr>
          <w:sz w:val="24"/>
          <w:szCs w:val="24"/>
        </w:rPr>
        <w:t>loperamid</w:t>
      </w:r>
      <w:proofErr w:type="spellEnd"/>
      <w:r w:rsidRPr="00E032CA">
        <w:rPr>
          <w:sz w:val="24"/>
          <w:szCs w:val="24"/>
        </w:rPr>
        <w:t xml:space="preserve"> kan føre til en tredobling i plasmakoncentrationen af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>, hvilket kan øge risikoen for væskeretention/</w:t>
      </w:r>
      <w:proofErr w:type="spellStart"/>
      <w:r w:rsidRPr="00E032CA">
        <w:rPr>
          <w:sz w:val="24"/>
          <w:szCs w:val="24"/>
        </w:rPr>
        <w:t>hyponatriæmi</w:t>
      </w:r>
      <w:proofErr w:type="spellEnd"/>
      <w:r w:rsidRPr="00E032CA">
        <w:rPr>
          <w:sz w:val="24"/>
          <w:szCs w:val="24"/>
        </w:rPr>
        <w:t>. Andre lægemidler, der forsinker tarmpassagen, kan også have samme effekt. Dette er dog ikke blevet undersøgt.</w:t>
      </w:r>
    </w:p>
    <w:p w14:paraId="602B28CA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72C8B994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Det er usandsynligt, at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vil interagere med lægemidler, som påvirker levermetabolismen, da </w:t>
      </w:r>
      <w:r w:rsidRPr="00E032CA">
        <w:rPr>
          <w:i/>
          <w:iCs/>
          <w:sz w:val="24"/>
          <w:szCs w:val="24"/>
        </w:rPr>
        <w:t>in </w:t>
      </w:r>
      <w:proofErr w:type="spellStart"/>
      <w:r w:rsidRPr="00E032CA">
        <w:rPr>
          <w:i/>
          <w:iCs/>
          <w:sz w:val="24"/>
          <w:szCs w:val="24"/>
        </w:rPr>
        <w:t>vitro</w:t>
      </w:r>
      <w:proofErr w:type="spellEnd"/>
      <w:r w:rsidRPr="00E032CA">
        <w:rPr>
          <w:sz w:val="24"/>
          <w:szCs w:val="24"/>
        </w:rPr>
        <w:t xml:space="preserve">-studier med humane </w:t>
      </w:r>
      <w:proofErr w:type="spellStart"/>
      <w:r w:rsidRPr="00E032CA">
        <w:rPr>
          <w:sz w:val="24"/>
          <w:szCs w:val="24"/>
        </w:rPr>
        <w:t>mikrosomer</w:t>
      </w:r>
      <w:proofErr w:type="spellEnd"/>
      <w:r w:rsidRPr="00E032CA">
        <w:rPr>
          <w:sz w:val="24"/>
          <w:szCs w:val="24"/>
        </w:rPr>
        <w:t xml:space="preserve"> ikke har vist signifikant metabolisme i leveren. Der er dog ikke udført formelle </w:t>
      </w:r>
      <w:r w:rsidRPr="00E032CA">
        <w:rPr>
          <w:i/>
          <w:iCs/>
          <w:sz w:val="24"/>
          <w:szCs w:val="24"/>
        </w:rPr>
        <w:t>in </w:t>
      </w:r>
      <w:proofErr w:type="spellStart"/>
      <w:r w:rsidRPr="00E032CA">
        <w:rPr>
          <w:i/>
          <w:iCs/>
          <w:sz w:val="24"/>
          <w:szCs w:val="24"/>
        </w:rPr>
        <w:t>vivo</w:t>
      </w:r>
      <w:proofErr w:type="spellEnd"/>
      <w:r w:rsidRPr="00E032CA">
        <w:rPr>
          <w:sz w:val="24"/>
          <w:szCs w:val="24"/>
        </w:rPr>
        <w:t>-interaktionsstudier.</w:t>
      </w:r>
    </w:p>
    <w:p w14:paraId="198447B2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02BF44EB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Effekten af samtidig fødeindtagelse er ikke blevet undersøgt med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sublinguale</w:t>
      </w:r>
      <w:proofErr w:type="spellEnd"/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resoribletter</w:t>
      </w:r>
      <w:proofErr w:type="spellEnd"/>
      <w:r w:rsidRPr="00E032CA">
        <w:rPr>
          <w:sz w:val="24"/>
          <w:szCs w:val="24"/>
        </w:rPr>
        <w:t xml:space="preserve">. Et standardiseret måltid med 27 % fedt nedsatte absorptionshastigheden af almindelige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-tabletter (hastighed og omfang). Der blev imidlertid ikke observeret signifikant påvirkning af </w:t>
      </w:r>
      <w:proofErr w:type="spellStart"/>
      <w:r w:rsidRPr="00E032CA">
        <w:rPr>
          <w:sz w:val="24"/>
          <w:szCs w:val="24"/>
        </w:rPr>
        <w:t>farmakodynamikken</w:t>
      </w:r>
      <w:proofErr w:type="spellEnd"/>
      <w:r w:rsidRPr="00E032CA">
        <w:rPr>
          <w:sz w:val="24"/>
          <w:szCs w:val="24"/>
        </w:rPr>
        <w:t xml:space="preserve"> (urinproduktion eller </w:t>
      </w:r>
      <w:proofErr w:type="spellStart"/>
      <w:r w:rsidRPr="00E032CA">
        <w:rPr>
          <w:sz w:val="24"/>
          <w:szCs w:val="24"/>
        </w:rPr>
        <w:t>osmolalitet</w:t>
      </w:r>
      <w:proofErr w:type="spellEnd"/>
      <w:r w:rsidRPr="00E032CA">
        <w:rPr>
          <w:sz w:val="24"/>
          <w:szCs w:val="24"/>
        </w:rPr>
        <w:t xml:space="preserve">). Fødeindtagelse kan reducere intensiteten og varigheden af den antidiuretiske effekt af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taget i lave doser.</w:t>
      </w:r>
    </w:p>
    <w:p w14:paraId="5A2E562C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EACB4B2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4.6</w:t>
      </w:r>
      <w:r w:rsidRPr="00E032CA">
        <w:rPr>
          <w:b/>
          <w:sz w:val="24"/>
          <w:szCs w:val="24"/>
        </w:rPr>
        <w:tab/>
      </w:r>
      <w:r w:rsidR="0071241E" w:rsidRPr="00E032CA">
        <w:rPr>
          <w:b/>
          <w:sz w:val="24"/>
          <w:szCs w:val="24"/>
        </w:rPr>
        <w:t>Fertilitet, g</w:t>
      </w:r>
      <w:r w:rsidRPr="00E032CA">
        <w:rPr>
          <w:b/>
          <w:sz w:val="24"/>
          <w:szCs w:val="24"/>
        </w:rPr>
        <w:t>raviditet og amning</w:t>
      </w:r>
    </w:p>
    <w:p w14:paraId="1527FC7E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3A0E3076" w14:textId="77777777" w:rsidR="0059175C" w:rsidRPr="00E032CA" w:rsidRDefault="0059175C" w:rsidP="0059175C">
      <w:pPr>
        <w:ind w:left="851"/>
        <w:rPr>
          <w:sz w:val="24"/>
          <w:szCs w:val="24"/>
          <w:u w:val="single"/>
        </w:rPr>
      </w:pPr>
      <w:r w:rsidRPr="00E032CA">
        <w:rPr>
          <w:sz w:val="24"/>
          <w:szCs w:val="24"/>
          <w:u w:val="single"/>
        </w:rPr>
        <w:t>Graviditet</w:t>
      </w:r>
    </w:p>
    <w:p w14:paraId="4D65EBAB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Data fra et begrænset antal (n = 53) kvinder behandlet med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for diabetes </w:t>
      </w:r>
      <w:proofErr w:type="spellStart"/>
      <w:r w:rsidRPr="00E032CA">
        <w:rPr>
          <w:sz w:val="24"/>
          <w:szCs w:val="24"/>
        </w:rPr>
        <w:t>insipidus</w:t>
      </w:r>
      <w:proofErr w:type="spellEnd"/>
      <w:r w:rsidRPr="00E032CA">
        <w:rPr>
          <w:sz w:val="24"/>
          <w:szCs w:val="24"/>
        </w:rPr>
        <w:t xml:space="preserve"> under graviditeten, og data fra et begrænset antal (n = 54) gravide kvinder med von Willebrands sygdom, viser ingen bivirkninger af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på graviditeten eller fostrets/det nyfødte barns helbred. Til dato er ingen yderligere relevante epidemiologiske data tilgængelige. Dyrestudier indikerer hverken direkte eller indirekte skadelige </w:t>
      </w:r>
      <w:r w:rsidRPr="00E032CA">
        <w:rPr>
          <w:sz w:val="24"/>
          <w:szCs w:val="24"/>
        </w:rPr>
        <w:lastRenderedPageBreak/>
        <w:t>virkninger hvad angår graviditet, embryonal/</w:t>
      </w:r>
      <w:proofErr w:type="spellStart"/>
      <w:r w:rsidRPr="00E032CA">
        <w:rPr>
          <w:sz w:val="24"/>
          <w:szCs w:val="24"/>
        </w:rPr>
        <w:t>føtal</w:t>
      </w:r>
      <w:proofErr w:type="spellEnd"/>
      <w:r w:rsidRPr="00E032CA">
        <w:rPr>
          <w:sz w:val="24"/>
          <w:szCs w:val="24"/>
        </w:rPr>
        <w:t xml:space="preserve"> udvikling, fødsel eller </w:t>
      </w:r>
      <w:proofErr w:type="spellStart"/>
      <w:r w:rsidRPr="00E032CA">
        <w:rPr>
          <w:sz w:val="24"/>
          <w:szCs w:val="24"/>
        </w:rPr>
        <w:t>postnatal</w:t>
      </w:r>
      <w:proofErr w:type="spellEnd"/>
      <w:r w:rsidRPr="00E032CA">
        <w:rPr>
          <w:sz w:val="24"/>
          <w:szCs w:val="24"/>
        </w:rPr>
        <w:t xml:space="preserve"> udvikling.</w:t>
      </w:r>
    </w:p>
    <w:p w14:paraId="5A0EDFED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07B17B04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Der bør udvises forsigtighed ved ordination af lægemidlet til gravide kvinder.</w:t>
      </w:r>
    </w:p>
    <w:p w14:paraId="3EC8FBDB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3F72CB43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Der er ikke udført studier under graviditet.</w:t>
      </w:r>
      <w:r w:rsidRPr="00E032CA">
        <w:rPr>
          <w:i/>
          <w:sz w:val="24"/>
          <w:szCs w:val="24"/>
        </w:rPr>
        <w:t xml:space="preserve"> In </w:t>
      </w:r>
      <w:proofErr w:type="spellStart"/>
      <w:r w:rsidRPr="00E032CA">
        <w:rPr>
          <w:i/>
          <w:sz w:val="24"/>
          <w:szCs w:val="24"/>
        </w:rPr>
        <w:t>vitro</w:t>
      </w:r>
      <w:proofErr w:type="spellEnd"/>
      <w:r w:rsidRPr="00E032CA">
        <w:rPr>
          <w:sz w:val="24"/>
          <w:szCs w:val="24"/>
        </w:rPr>
        <w:t xml:space="preserve">-studier med humant </w:t>
      </w:r>
      <w:proofErr w:type="spellStart"/>
      <w:r w:rsidRPr="00E032CA">
        <w:rPr>
          <w:sz w:val="24"/>
          <w:szCs w:val="24"/>
        </w:rPr>
        <w:t>cotyledon</w:t>
      </w:r>
      <w:proofErr w:type="spellEnd"/>
      <w:r w:rsidRPr="00E032CA">
        <w:rPr>
          <w:sz w:val="24"/>
          <w:szCs w:val="24"/>
        </w:rPr>
        <w:t xml:space="preserve"> har vist, at der ikke sker </w:t>
      </w:r>
      <w:proofErr w:type="spellStart"/>
      <w:r w:rsidRPr="00E032CA">
        <w:rPr>
          <w:sz w:val="24"/>
          <w:szCs w:val="24"/>
        </w:rPr>
        <w:t>transplacental</w:t>
      </w:r>
      <w:proofErr w:type="spellEnd"/>
      <w:r w:rsidRPr="00E032CA">
        <w:rPr>
          <w:sz w:val="24"/>
          <w:szCs w:val="24"/>
        </w:rPr>
        <w:t xml:space="preserve"> transport af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>, når det administreres ved de anbefalede terapeutiske doser.</w:t>
      </w:r>
    </w:p>
    <w:p w14:paraId="31ECA6DA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5EC9C70B" w14:textId="77777777" w:rsidR="0059175C" w:rsidRPr="00E032CA" w:rsidRDefault="0059175C" w:rsidP="0059175C">
      <w:pPr>
        <w:ind w:left="851"/>
        <w:rPr>
          <w:sz w:val="24"/>
          <w:szCs w:val="24"/>
          <w:u w:val="single"/>
        </w:rPr>
      </w:pPr>
      <w:r w:rsidRPr="00E032CA">
        <w:rPr>
          <w:sz w:val="24"/>
          <w:szCs w:val="24"/>
          <w:u w:val="single"/>
        </w:rPr>
        <w:t>Amning</w:t>
      </w:r>
    </w:p>
    <w:p w14:paraId="7DE5E6A1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Resultater fra analyser udført på mælk fra mødre, der fik høje doser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(300 </w:t>
      </w:r>
      <w:proofErr w:type="spellStart"/>
      <w:r w:rsidRPr="00E032CA">
        <w:rPr>
          <w:sz w:val="24"/>
          <w:szCs w:val="24"/>
        </w:rPr>
        <w:t>mikrog</w:t>
      </w:r>
      <w:proofErr w:type="spellEnd"/>
      <w:r w:rsidRPr="00E032CA">
        <w:rPr>
          <w:sz w:val="24"/>
          <w:szCs w:val="24"/>
        </w:rPr>
        <w:t xml:space="preserve"> intranasalt) har vist, at mængden af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>, der kan overføres til barnet, er væsentligt mindre end den mængde, der skal til for at påvirke diuresen.</w:t>
      </w:r>
    </w:p>
    <w:p w14:paraId="5687436F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E32DFE8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4.7</w:t>
      </w:r>
      <w:r w:rsidRPr="00E032CA">
        <w:rPr>
          <w:b/>
          <w:sz w:val="24"/>
          <w:szCs w:val="24"/>
        </w:rPr>
        <w:tab/>
        <w:t xml:space="preserve">Virkning på evnen til at føre motorkøretøj </w:t>
      </w:r>
      <w:r w:rsidR="0071241E" w:rsidRPr="00E032CA">
        <w:rPr>
          <w:b/>
          <w:sz w:val="24"/>
          <w:szCs w:val="24"/>
        </w:rPr>
        <w:t>og</w:t>
      </w:r>
      <w:r w:rsidRPr="00E032CA">
        <w:rPr>
          <w:b/>
          <w:sz w:val="24"/>
          <w:szCs w:val="24"/>
        </w:rPr>
        <w:t xml:space="preserve"> betjene maskiner</w:t>
      </w:r>
    </w:p>
    <w:p w14:paraId="5324107E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Ikke mærkning</w:t>
      </w:r>
    </w:p>
    <w:p w14:paraId="29999880" w14:textId="77777777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påvirker ikke eller kun i ubetydelig grad evnen til at føre motorkøretøj og betjene maskiner.</w:t>
      </w:r>
    </w:p>
    <w:p w14:paraId="2E2D2490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4E06A54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4.8</w:t>
      </w:r>
      <w:r w:rsidRPr="00E032CA">
        <w:rPr>
          <w:b/>
          <w:sz w:val="24"/>
          <w:szCs w:val="24"/>
        </w:rPr>
        <w:tab/>
        <w:t>Bivirkninger</w:t>
      </w:r>
    </w:p>
    <w:p w14:paraId="0ABAA29D" w14:textId="77777777" w:rsidR="0087113A" w:rsidRDefault="0087113A" w:rsidP="0059175C">
      <w:pPr>
        <w:ind w:left="851"/>
        <w:rPr>
          <w:sz w:val="24"/>
          <w:szCs w:val="24"/>
        </w:rPr>
      </w:pPr>
    </w:p>
    <w:p w14:paraId="3D31C48C" w14:textId="27CD5174" w:rsidR="0059175C" w:rsidRPr="0087113A" w:rsidRDefault="0059175C" w:rsidP="0059175C">
      <w:pPr>
        <w:ind w:left="851"/>
        <w:rPr>
          <w:sz w:val="24"/>
          <w:szCs w:val="24"/>
          <w:u w:val="single"/>
        </w:rPr>
      </w:pPr>
      <w:r w:rsidRPr="0087113A">
        <w:rPr>
          <w:sz w:val="24"/>
          <w:szCs w:val="24"/>
          <w:u w:val="single"/>
        </w:rPr>
        <w:t>Resumé af sikkerhedsprofilen</w:t>
      </w:r>
    </w:p>
    <w:p w14:paraId="394E04F4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Den mest alvorlige bivirkning med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er </w:t>
      </w:r>
      <w:proofErr w:type="spellStart"/>
      <w:r w:rsidRPr="00E032CA">
        <w:rPr>
          <w:sz w:val="24"/>
          <w:szCs w:val="24"/>
        </w:rPr>
        <w:t>hyponatriæmi</w:t>
      </w:r>
      <w:proofErr w:type="spellEnd"/>
      <w:r w:rsidRPr="00E032CA">
        <w:rPr>
          <w:sz w:val="24"/>
          <w:szCs w:val="24"/>
        </w:rPr>
        <w:t xml:space="preserve">, der kan forårsage hovedpine, mavesmerter, kvalme, opkastning, vægtøgning, svimmelhed, konfusion, utilpashed, glemsomhed, </w:t>
      </w:r>
      <w:proofErr w:type="spellStart"/>
      <w:r w:rsidRPr="00E032CA">
        <w:rPr>
          <w:sz w:val="24"/>
          <w:szCs w:val="24"/>
        </w:rPr>
        <w:t>vertigo</w:t>
      </w:r>
      <w:proofErr w:type="spellEnd"/>
      <w:r w:rsidRPr="00E032CA">
        <w:rPr>
          <w:sz w:val="24"/>
          <w:szCs w:val="24"/>
        </w:rPr>
        <w:t xml:space="preserve">, fald og, i alvorlige tilfælde, kramper og koma. Størstedelen af voksne behandlet for </w:t>
      </w:r>
      <w:proofErr w:type="spellStart"/>
      <w:r w:rsidRPr="00E032CA">
        <w:rPr>
          <w:sz w:val="24"/>
          <w:szCs w:val="24"/>
        </w:rPr>
        <w:t>nocturi</w:t>
      </w:r>
      <w:proofErr w:type="spellEnd"/>
      <w:r w:rsidRPr="00E032CA">
        <w:rPr>
          <w:sz w:val="24"/>
          <w:szCs w:val="24"/>
        </w:rPr>
        <w:t xml:space="preserve">, som udviklede </w:t>
      </w:r>
      <w:proofErr w:type="spellStart"/>
      <w:r w:rsidRPr="00E032CA">
        <w:rPr>
          <w:sz w:val="24"/>
          <w:szCs w:val="24"/>
        </w:rPr>
        <w:t>hyponatriæmi</w:t>
      </w:r>
      <w:proofErr w:type="spellEnd"/>
      <w:r w:rsidRPr="00E032CA">
        <w:rPr>
          <w:sz w:val="24"/>
          <w:szCs w:val="24"/>
        </w:rPr>
        <w:t xml:space="preserve">, udviste lavt serumnatrium efter tre dages administration. Hos voksne øges risikoen for </w:t>
      </w:r>
      <w:proofErr w:type="spellStart"/>
      <w:r w:rsidRPr="00E032CA">
        <w:rPr>
          <w:sz w:val="24"/>
          <w:szCs w:val="24"/>
        </w:rPr>
        <w:t>hyponatriæmi</w:t>
      </w:r>
      <w:proofErr w:type="spellEnd"/>
      <w:r w:rsidRPr="00E032CA">
        <w:rPr>
          <w:sz w:val="24"/>
          <w:szCs w:val="24"/>
        </w:rPr>
        <w:t xml:space="preserve"> med øget dosis af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>, og det er påvist, at kvinder har en højere risiko.</w:t>
      </w:r>
    </w:p>
    <w:p w14:paraId="0120D32B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6351D9E2" w14:textId="77777777" w:rsidR="0059175C" w:rsidRPr="00E032CA" w:rsidRDefault="0059175C" w:rsidP="0059175C">
      <w:pPr>
        <w:ind w:left="851"/>
        <w:rPr>
          <w:i/>
          <w:iCs/>
          <w:sz w:val="24"/>
          <w:szCs w:val="24"/>
        </w:rPr>
      </w:pPr>
      <w:r w:rsidRPr="00E032CA">
        <w:rPr>
          <w:i/>
          <w:iCs/>
          <w:sz w:val="24"/>
          <w:szCs w:val="24"/>
        </w:rPr>
        <w:t>Voksne</w:t>
      </w:r>
    </w:p>
    <w:p w14:paraId="562094F5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Hovedpine (12%) var den hyppigst rapporterede bivirkning i forbindelse med behandling hos voksne. Andre almindelige bivirkninger var </w:t>
      </w:r>
      <w:proofErr w:type="spellStart"/>
      <w:r w:rsidRPr="00E032CA">
        <w:rPr>
          <w:sz w:val="24"/>
          <w:szCs w:val="24"/>
        </w:rPr>
        <w:t>hyponatriæmi</w:t>
      </w:r>
      <w:proofErr w:type="spellEnd"/>
      <w:r w:rsidRPr="00E032CA">
        <w:rPr>
          <w:sz w:val="24"/>
          <w:szCs w:val="24"/>
        </w:rPr>
        <w:t xml:space="preserve"> (6 %), svimmelhed (3 %), hypertension (2 %) og forstyrrelser i mave-tarm-kanalen (kvalme (4 %), opkastning (1 %), mavesmerter (3 %), diarré (2 %), og forstoppelse (1 %)). Påvirkning af søvn eller bevidsthedsniveau, der kom til udtryk som f.eks. søvnløshed (0,96 %), </w:t>
      </w:r>
      <w:proofErr w:type="spellStart"/>
      <w:r w:rsidRPr="00E032CA">
        <w:rPr>
          <w:sz w:val="24"/>
          <w:szCs w:val="24"/>
        </w:rPr>
        <w:t>somnolens</w:t>
      </w:r>
      <w:proofErr w:type="spellEnd"/>
      <w:r w:rsidRPr="00E032CA">
        <w:rPr>
          <w:sz w:val="24"/>
          <w:szCs w:val="24"/>
        </w:rPr>
        <w:t xml:space="preserve"> (0,4 %) eller asteni (0,06 %) var rapporterede som ikke almindelige bivirkninger. Der er ikke blevet observeret </w:t>
      </w:r>
      <w:proofErr w:type="spellStart"/>
      <w:r w:rsidRPr="00E032CA">
        <w:rPr>
          <w:sz w:val="24"/>
          <w:szCs w:val="24"/>
        </w:rPr>
        <w:t>anafylaktiske</w:t>
      </w:r>
      <w:proofErr w:type="spellEnd"/>
      <w:r w:rsidRPr="00E032CA">
        <w:rPr>
          <w:sz w:val="24"/>
          <w:szCs w:val="24"/>
        </w:rPr>
        <w:t xml:space="preserve"> reaktioner i kliniske studier, dog er der modtaget spontane rapporter.</w:t>
      </w:r>
    </w:p>
    <w:p w14:paraId="3AFF68D9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7366319C" w14:textId="77777777" w:rsidR="0059175C" w:rsidRPr="00E032CA" w:rsidRDefault="0059175C" w:rsidP="0059175C">
      <w:pPr>
        <w:ind w:left="851"/>
        <w:rPr>
          <w:i/>
          <w:iCs/>
          <w:sz w:val="24"/>
          <w:szCs w:val="24"/>
        </w:rPr>
      </w:pPr>
      <w:r w:rsidRPr="00E032CA">
        <w:rPr>
          <w:i/>
          <w:iCs/>
          <w:sz w:val="24"/>
          <w:szCs w:val="24"/>
        </w:rPr>
        <w:t>Pædiatrisk population</w:t>
      </w:r>
    </w:p>
    <w:p w14:paraId="328A1347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Hovedpine (1%) var den hyppigst rapporterede bivirkning i forbindelse med behandling hovedpine (1 %) hos børn, efterfulgt af psykiske forstyrrelser (affektlabilitet (0,1 %), aggression (0,1 %), angst (0,05 %), humørsvingninger (0,05 %) og mareridt (0,05 %)), som sædvanligvis ophørte efter </w:t>
      </w:r>
      <w:proofErr w:type="spellStart"/>
      <w:r w:rsidRPr="00E032CA">
        <w:rPr>
          <w:sz w:val="24"/>
          <w:szCs w:val="24"/>
        </w:rPr>
        <w:t>seponering</w:t>
      </w:r>
      <w:proofErr w:type="spellEnd"/>
      <w:r w:rsidRPr="00E032CA">
        <w:rPr>
          <w:sz w:val="24"/>
          <w:szCs w:val="24"/>
        </w:rPr>
        <w:t xml:space="preserve"> af behandlingen, og forstyrrelser i mave-tarm-kanalen (mavesmerter (0,65 %), kvalme (0,35 %), opkastning (0,2 %) og diarré (0,15 %)). Der er ikke blevet observeret </w:t>
      </w:r>
      <w:proofErr w:type="spellStart"/>
      <w:r w:rsidRPr="00E032CA">
        <w:rPr>
          <w:sz w:val="24"/>
          <w:szCs w:val="24"/>
        </w:rPr>
        <w:t>anafylaktiske</w:t>
      </w:r>
      <w:proofErr w:type="spellEnd"/>
      <w:r w:rsidRPr="00E032CA">
        <w:rPr>
          <w:sz w:val="24"/>
          <w:szCs w:val="24"/>
        </w:rPr>
        <w:t xml:space="preserve"> reaktioner i kliniske studier, dog er der modtaget spontane rapporter.</w:t>
      </w:r>
    </w:p>
    <w:p w14:paraId="761249F4" w14:textId="050CC6C8" w:rsidR="00144840" w:rsidRDefault="00144840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14:paraId="5632963C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36AC1A90" w14:textId="77777777" w:rsidR="0059175C" w:rsidRPr="0087113A" w:rsidRDefault="0059175C" w:rsidP="0059175C">
      <w:pPr>
        <w:ind w:left="851"/>
        <w:rPr>
          <w:sz w:val="24"/>
          <w:szCs w:val="24"/>
          <w:u w:val="single"/>
        </w:rPr>
      </w:pPr>
      <w:r w:rsidRPr="0087113A">
        <w:rPr>
          <w:sz w:val="24"/>
          <w:szCs w:val="24"/>
          <w:u w:val="single"/>
        </w:rPr>
        <w:t>Sammenfatning af bivirkninger</w:t>
      </w:r>
    </w:p>
    <w:p w14:paraId="0383E926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7693FA51" w14:textId="77777777" w:rsidR="0059175C" w:rsidRPr="00E032CA" w:rsidRDefault="0059175C" w:rsidP="0059175C">
      <w:pPr>
        <w:ind w:left="851"/>
        <w:rPr>
          <w:i/>
          <w:iCs/>
          <w:sz w:val="24"/>
          <w:szCs w:val="24"/>
        </w:rPr>
      </w:pPr>
      <w:r w:rsidRPr="00E032CA">
        <w:rPr>
          <w:i/>
          <w:iCs/>
          <w:sz w:val="24"/>
          <w:szCs w:val="24"/>
        </w:rPr>
        <w:t>Voksne</w:t>
      </w:r>
    </w:p>
    <w:p w14:paraId="25F6F960" w14:textId="67A3C2B2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Tabellen nedenfor er baseret på hyppigheden af bivirkninger rapporteret med oral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i kliniske studier hos voksne ved behandling af </w:t>
      </w:r>
      <w:proofErr w:type="spellStart"/>
      <w:r w:rsidRPr="00E032CA">
        <w:rPr>
          <w:sz w:val="24"/>
          <w:szCs w:val="24"/>
        </w:rPr>
        <w:t>nocturi</w:t>
      </w:r>
      <w:proofErr w:type="spellEnd"/>
      <w:r w:rsidRPr="00E032CA">
        <w:rPr>
          <w:sz w:val="24"/>
          <w:szCs w:val="24"/>
        </w:rPr>
        <w:t xml:space="preserve"> (n = 1 557) og erfaring efter markedsføring hos voksne ved alle indikationer (herunder central diabetes </w:t>
      </w:r>
      <w:proofErr w:type="spellStart"/>
      <w:r w:rsidRPr="00E032CA">
        <w:rPr>
          <w:sz w:val="24"/>
          <w:szCs w:val="24"/>
        </w:rPr>
        <w:t>insipidus</w:t>
      </w:r>
      <w:proofErr w:type="spellEnd"/>
      <w:r w:rsidRPr="00E032CA">
        <w:rPr>
          <w:sz w:val="24"/>
          <w:szCs w:val="24"/>
        </w:rPr>
        <w:t xml:space="preserve">). Bivirkninger, der kun er observeret efter markedsføring, er anført i kolonnen </w:t>
      </w:r>
      <w:r w:rsidR="00144840">
        <w:rPr>
          <w:sz w:val="24"/>
          <w:szCs w:val="24"/>
        </w:rPr>
        <w:t>"</w:t>
      </w:r>
      <w:r w:rsidRPr="00E032CA">
        <w:rPr>
          <w:sz w:val="24"/>
          <w:szCs w:val="24"/>
        </w:rPr>
        <w:t>Ikke kendt</w:t>
      </w:r>
      <w:r w:rsidR="00144840">
        <w:rPr>
          <w:sz w:val="24"/>
          <w:szCs w:val="24"/>
        </w:rPr>
        <w:t>"</w:t>
      </w:r>
      <w:r w:rsidRPr="00E032CA">
        <w:rPr>
          <w:sz w:val="24"/>
          <w:szCs w:val="24"/>
        </w:rPr>
        <w:t>.</w:t>
      </w:r>
    </w:p>
    <w:p w14:paraId="0EC9ACC6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69F5D3B0" w14:textId="77777777" w:rsidR="0059175C" w:rsidRPr="00E032CA" w:rsidRDefault="0059175C" w:rsidP="0059175C">
      <w:pPr>
        <w:keepNext/>
        <w:rPr>
          <w:b/>
          <w:bCs/>
          <w:sz w:val="24"/>
          <w:szCs w:val="24"/>
        </w:rPr>
      </w:pPr>
      <w:r w:rsidRPr="00E032CA">
        <w:rPr>
          <w:b/>
          <w:bCs/>
          <w:sz w:val="24"/>
          <w:szCs w:val="24"/>
        </w:rPr>
        <w:t>Tabel 1. Oversigt over bivirkninger hos voksne i tabelform.</w:t>
      </w:r>
    </w:p>
    <w:tbl>
      <w:tblPr>
        <w:tblW w:w="5000" w:type="pct"/>
        <w:tblCellMar>
          <w:top w:w="12" w:type="dxa"/>
          <w:left w:w="105" w:type="dxa"/>
          <w:right w:w="53" w:type="dxa"/>
        </w:tblCellMar>
        <w:tblLook w:val="04A0" w:firstRow="1" w:lastRow="0" w:firstColumn="1" w:lastColumn="0" w:noHBand="0" w:noVBand="1"/>
      </w:tblPr>
      <w:tblGrid>
        <w:gridCol w:w="2187"/>
        <w:gridCol w:w="1274"/>
        <w:gridCol w:w="1604"/>
        <w:gridCol w:w="1662"/>
        <w:gridCol w:w="1239"/>
        <w:gridCol w:w="1662"/>
      </w:tblGrid>
      <w:tr w:rsidR="0059175C" w:rsidRPr="00144840" w14:paraId="52C049B4" w14:textId="77777777" w:rsidTr="0059175C">
        <w:trPr>
          <w:cantSplit/>
          <w:trHeight w:val="1274"/>
          <w:tblHeader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6C6E3C7" w14:textId="77777777" w:rsidR="0059175C" w:rsidRPr="00144840" w:rsidRDefault="0059175C">
            <w:pPr>
              <w:keepNext/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 xml:space="preserve"> Systemorgan-klasse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71CFECA" w14:textId="77777777" w:rsidR="0059175C" w:rsidRPr="00144840" w:rsidRDefault="0059175C">
            <w:pPr>
              <w:keepNext/>
              <w:rPr>
                <w:b/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Meget almindelig</w:t>
            </w:r>
          </w:p>
          <w:p w14:paraId="5E677FBF" w14:textId="77777777" w:rsidR="0059175C" w:rsidRPr="00144840" w:rsidRDefault="0059175C">
            <w:pPr>
              <w:keepNext/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(≥ 1/10)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39C9F99" w14:textId="77777777" w:rsidR="0059175C" w:rsidRPr="00144840" w:rsidRDefault="0059175C">
            <w:pPr>
              <w:keepNext/>
              <w:rPr>
                <w:b/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Almindelig</w:t>
            </w:r>
          </w:p>
          <w:p w14:paraId="6AA388EC" w14:textId="77777777" w:rsidR="0059175C" w:rsidRPr="00144840" w:rsidRDefault="0059175C">
            <w:pPr>
              <w:keepNext/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(≥ 1/100, &lt; 1/10)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C8A57F" w14:textId="77777777" w:rsidR="0059175C" w:rsidRPr="00144840" w:rsidRDefault="0059175C">
            <w:pPr>
              <w:keepNext/>
              <w:rPr>
                <w:b/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Ikke almindelig</w:t>
            </w:r>
          </w:p>
          <w:p w14:paraId="1281B1DC" w14:textId="77777777" w:rsidR="0059175C" w:rsidRPr="00144840" w:rsidRDefault="0059175C">
            <w:pPr>
              <w:keepNext/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(≥ 1/1 000, &lt; 1/100)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910BA8" w14:textId="77777777" w:rsidR="0059175C" w:rsidRPr="00144840" w:rsidRDefault="0059175C">
            <w:pPr>
              <w:keepNext/>
              <w:rPr>
                <w:b/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Sjælden</w:t>
            </w:r>
          </w:p>
          <w:p w14:paraId="1B78F17E" w14:textId="77777777" w:rsidR="0059175C" w:rsidRPr="00144840" w:rsidRDefault="0059175C">
            <w:pPr>
              <w:keepNext/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(≥ 1/10 000, &lt; 1/1 000)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9D530DD" w14:textId="226B2942" w:rsidR="0059175C" w:rsidRPr="00144840" w:rsidRDefault="0059175C">
            <w:pPr>
              <w:keepNext/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Ikke kendt (kan ikke estimeres ud fra forhånden</w:t>
            </w:r>
            <w:r w:rsidR="00144840" w:rsidRPr="00144840">
              <w:rPr>
                <w:b/>
                <w:sz w:val="22"/>
                <w:szCs w:val="22"/>
              </w:rPr>
              <w:softHyphen/>
            </w:r>
            <w:r w:rsidRPr="00144840">
              <w:rPr>
                <w:b/>
                <w:sz w:val="22"/>
                <w:szCs w:val="22"/>
              </w:rPr>
              <w:t>værende data)</w:t>
            </w:r>
          </w:p>
        </w:tc>
      </w:tr>
      <w:tr w:rsidR="0059175C" w:rsidRPr="00144840" w14:paraId="28FE5941" w14:textId="77777777" w:rsidTr="0059175C">
        <w:trPr>
          <w:cantSplit/>
          <w:trHeight w:val="516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D859CE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Immunsystemet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F9FE64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111E7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8A103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5BE9D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AEE74A8" w14:textId="77777777" w:rsidR="0059175C" w:rsidRPr="00144840" w:rsidRDefault="0059175C">
            <w:pPr>
              <w:rPr>
                <w:sz w:val="22"/>
                <w:szCs w:val="22"/>
              </w:rPr>
            </w:pPr>
            <w:proofErr w:type="spellStart"/>
            <w:r w:rsidRPr="00144840">
              <w:rPr>
                <w:sz w:val="22"/>
                <w:szCs w:val="22"/>
              </w:rPr>
              <w:t>Anafylaktisk</w:t>
            </w:r>
            <w:proofErr w:type="spellEnd"/>
            <w:r w:rsidRPr="00144840">
              <w:rPr>
                <w:sz w:val="22"/>
                <w:szCs w:val="22"/>
              </w:rPr>
              <w:t xml:space="preserve"> reaktion</w:t>
            </w:r>
          </w:p>
        </w:tc>
      </w:tr>
      <w:tr w:rsidR="0059175C" w:rsidRPr="00144840" w14:paraId="41952269" w14:textId="77777777" w:rsidTr="0059175C">
        <w:trPr>
          <w:cantSplit/>
          <w:trHeight w:val="513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B2CEC8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Metabolisme og ernæring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A307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20B40" w14:textId="77777777" w:rsidR="0059175C" w:rsidRPr="00144840" w:rsidRDefault="0059175C">
            <w:pPr>
              <w:rPr>
                <w:sz w:val="22"/>
                <w:szCs w:val="22"/>
              </w:rPr>
            </w:pPr>
            <w:proofErr w:type="spellStart"/>
            <w:r w:rsidRPr="00144840">
              <w:rPr>
                <w:sz w:val="22"/>
                <w:szCs w:val="22"/>
              </w:rPr>
              <w:t>Hyponatriæmi</w:t>
            </w:r>
            <w:proofErr w:type="spellEnd"/>
            <w:r w:rsidRPr="00144840">
              <w:rPr>
                <w:sz w:val="22"/>
                <w:szCs w:val="22"/>
              </w:rPr>
              <w:t>*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F66993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3CDF47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4E8D72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 xml:space="preserve">Dehydrering**, </w:t>
            </w:r>
            <w:proofErr w:type="spellStart"/>
            <w:r w:rsidRPr="00144840">
              <w:rPr>
                <w:sz w:val="22"/>
                <w:szCs w:val="22"/>
              </w:rPr>
              <w:t>hypernatriæmi</w:t>
            </w:r>
            <w:proofErr w:type="spellEnd"/>
            <w:r w:rsidRPr="00144840">
              <w:rPr>
                <w:sz w:val="22"/>
                <w:szCs w:val="22"/>
              </w:rPr>
              <w:t>**</w:t>
            </w:r>
          </w:p>
        </w:tc>
      </w:tr>
      <w:tr w:rsidR="0059175C" w:rsidRPr="00144840" w14:paraId="6D51D9CF" w14:textId="77777777" w:rsidTr="0059175C">
        <w:trPr>
          <w:cantSplit/>
          <w:trHeight w:val="516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155E160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Psykiske forstyrrelser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B3E170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DC5D0D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EAB3FB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Søvnløshed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C07927A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Konfusion*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B3A8B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</w:tr>
      <w:tr w:rsidR="0059175C" w:rsidRPr="00144840" w14:paraId="77ED02BE" w14:textId="77777777" w:rsidTr="0059175C">
        <w:trPr>
          <w:cantSplit/>
          <w:trHeight w:val="443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1DC904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Nervesystemet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B5912C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Hovedpine*</w:t>
            </w: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58EFC0F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Svimmelhed*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89255" w14:textId="77777777" w:rsidR="0059175C" w:rsidRPr="00144840" w:rsidRDefault="0059175C">
            <w:pPr>
              <w:rPr>
                <w:sz w:val="22"/>
                <w:szCs w:val="22"/>
              </w:rPr>
            </w:pPr>
            <w:proofErr w:type="spellStart"/>
            <w:r w:rsidRPr="00144840">
              <w:rPr>
                <w:sz w:val="22"/>
                <w:szCs w:val="22"/>
              </w:rPr>
              <w:t>Somnolens</w:t>
            </w:r>
            <w:proofErr w:type="spellEnd"/>
            <w:r w:rsidRPr="00144840">
              <w:rPr>
                <w:sz w:val="22"/>
                <w:szCs w:val="22"/>
              </w:rPr>
              <w:t xml:space="preserve">, </w:t>
            </w:r>
            <w:proofErr w:type="spellStart"/>
            <w:r w:rsidRPr="00144840">
              <w:rPr>
                <w:sz w:val="22"/>
                <w:szCs w:val="22"/>
              </w:rPr>
              <w:t>paræstesi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29A46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3A54FA4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Kramper*, asteni**, koma*</w:t>
            </w:r>
          </w:p>
        </w:tc>
      </w:tr>
      <w:tr w:rsidR="0059175C" w:rsidRPr="00144840" w14:paraId="2A71E373" w14:textId="77777777" w:rsidTr="0059175C">
        <w:trPr>
          <w:cantSplit/>
          <w:trHeight w:val="195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8F2DC1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Øjne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B3355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4D2524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9680B6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Synsforstyrrelser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D4AD85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9444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</w:tr>
      <w:tr w:rsidR="0059175C" w:rsidRPr="00144840" w14:paraId="27254D23" w14:textId="77777777" w:rsidTr="0059175C">
        <w:trPr>
          <w:cantSplit/>
          <w:trHeight w:val="214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E2F7815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Øre og labyrint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1EBE82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F44E2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9829320" w14:textId="77777777" w:rsidR="0059175C" w:rsidRPr="00144840" w:rsidRDefault="0059175C">
            <w:pPr>
              <w:rPr>
                <w:sz w:val="22"/>
                <w:szCs w:val="22"/>
              </w:rPr>
            </w:pPr>
            <w:proofErr w:type="spellStart"/>
            <w:r w:rsidRPr="00144840">
              <w:rPr>
                <w:sz w:val="22"/>
                <w:szCs w:val="22"/>
              </w:rPr>
              <w:t>Vertigo</w:t>
            </w:r>
            <w:proofErr w:type="spellEnd"/>
            <w:r w:rsidRPr="00144840">
              <w:rPr>
                <w:sz w:val="22"/>
                <w:szCs w:val="22"/>
              </w:rPr>
              <w:t>*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532ABC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B4EA7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</w:tr>
      <w:tr w:rsidR="0059175C" w:rsidRPr="00144840" w14:paraId="26628301" w14:textId="77777777" w:rsidTr="0059175C">
        <w:trPr>
          <w:cantSplit/>
          <w:trHeight w:val="217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D0D03EA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Hjerte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C1DCB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EFE345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EE7E79" w14:textId="77777777" w:rsidR="0059175C" w:rsidRPr="00144840" w:rsidRDefault="0059175C">
            <w:pPr>
              <w:rPr>
                <w:sz w:val="22"/>
                <w:szCs w:val="22"/>
              </w:rPr>
            </w:pPr>
            <w:proofErr w:type="spellStart"/>
            <w:r w:rsidRPr="00144840">
              <w:rPr>
                <w:sz w:val="22"/>
                <w:szCs w:val="22"/>
              </w:rPr>
              <w:t>Palpitationer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6A878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29EC7F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</w:tr>
      <w:tr w:rsidR="0059175C" w:rsidRPr="00144840" w14:paraId="5605665B" w14:textId="77777777" w:rsidTr="0059175C">
        <w:trPr>
          <w:cantSplit/>
          <w:trHeight w:val="516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48800D" w14:textId="77777777" w:rsidR="0059175C" w:rsidRPr="00144840" w:rsidRDefault="0059175C">
            <w:pPr>
              <w:rPr>
                <w:sz w:val="22"/>
                <w:szCs w:val="22"/>
              </w:rPr>
            </w:pPr>
            <w:proofErr w:type="spellStart"/>
            <w:r w:rsidRPr="00144840">
              <w:rPr>
                <w:b/>
                <w:sz w:val="22"/>
                <w:szCs w:val="22"/>
              </w:rPr>
              <w:t>Vaskulære</w:t>
            </w:r>
            <w:proofErr w:type="spellEnd"/>
            <w:r w:rsidRPr="00144840">
              <w:rPr>
                <w:b/>
                <w:sz w:val="22"/>
                <w:szCs w:val="22"/>
              </w:rPr>
              <w:t xml:space="preserve"> sygdomme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653F85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B42D87C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Hypertension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E7800F5" w14:textId="77777777" w:rsidR="0059175C" w:rsidRPr="00144840" w:rsidRDefault="0059175C">
            <w:pPr>
              <w:rPr>
                <w:sz w:val="22"/>
                <w:szCs w:val="22"/>
              </w:rPr>
            </w:pPr>
            <w:proofErr w:type="spellStart"/>
            <w:r w:rsidRPr="00144840">
              <w:rPr>
                <w:sz w:val="22"/>
                <w:szCs w:val="22"/>
              </w:rPr>
              <w:t>Ortostatisk</w:t>
            </w:r>
            <w:proofErr w:type="spellEnd"/>
            <w:r w:rsidRPr="00144840">
              <w:rPr>
                <w:sz w:val="22"/>
                <w:szCs w:val="22"/>
              </w:rPr>
              <w:t xml:space="preserve"> hypotension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C9B734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863E00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</w:tr>
      <w:tr w:rsidR="0059175C" w:rsidRPr="00144840" w14:paraId="6DC8275A" w14:textId="77777777" w:rsidTr="0059175C">
        <w:trPr>
          <w:cantSplit/>
          <w:trHeight w:val="528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34A187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 xml:space="preserve">Luftveje, thorax og </w:t>
            </w:r>
            <w:proofErr w:type="spellStart"/>
            <w:r w:rsidRPr="00144840">
              <w:rPr>
                <w:b/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5842D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4C5470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3503F54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Dyspnø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9A4FE8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F861AD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</w:tr>
      <w:tr w:rsidR="0059175C" w:rsidRPr="00144840" w14:paraId="45067875" w14:textId="77777777" w:rsidTr="0059175C">
        <w:trPr>
          <w:cantSplit/>
          <w:trHeight w:val="1257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29A8B0D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 xml:space="preserve">Mave-tarm-kanalen 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5462A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9F1AE4C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Kvalme*, mavesmerter*, diarré, forstoppelse, opkastning*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7B868F6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 xml:space="preserve">Dyspepsi, </w:t>
            </w:r>
            <w:proofErr w:type="spellStart"/>
            <w:r w:rsidRPr="00144840">
              <w:rPr>
                <w:sz w:val="22"/>
                <w:szCs w:val="22"/>
              </w:rPr>
              <w:t>flatulens</w:t>
            </w:r>
            <w:proofErr w:type="spellEnd"/>
            <w:r w:rsidRPr="00144840">
              <w:rPr>
                <w:sz w:val="22"/>
                <w:szCs w:val="22"/>
              </w:rPr>
              <w:t>, oppustethed og udspilning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9F668E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E3079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</w:tr>
      <w:tr w:rsidR="0059175C" w:rsidRPr="00144840" w14:paraId="2160715A" w14:textId="77777777" w:rsidTr="0059175C">
        <w:trPr>
          <w:cantSplit/>
          <w:trHeight w:val="681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480CED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Hud og subkutane væv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24B391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09A8DA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F9F91AD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 xml:space="preserve">Svedtendens, </w:t>
            </w:r>
            <w:proofErr w:type="spellStart"/>
            <w:r w:rsidRPr="00144840">
              <w:rPr>
                <w:sz w:val="22"/>
                <w:szCs w:val="22"/>
              </w:rPr>
              <w:t>pruritus</w:t>
            </w:r>
            <w:proofErr w:type="spellEnd"/>
            <w:r w:rsidRPr="00144840">
              <w:rPr>
                <w:sz w:val="22"/>
                <w:szCs w:val="22"/>
              </w:rPr>
              <w:t xml:space="preserve">, udslæt, </w:t>
            </w:r>
            <w:proofErr w:type="spellStart"/>
            <w:r w:rsidRPr="00144840">
              <w:rPr>
                <w:sz w:val="22"/>
                <w:szCs w:val="22"/>
              </w:rPr>
              <w:t>urticaria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A49BEC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 xml:space="preserve">Allergisk </w:t>
            </w:r>
            <w:proofErr w:type="spellStart"/>
            <w:r w:rsidRPr="00144840">
              <w:rPr>
                <w:sz w:val="22"/>
                <w:szCs w:val="22"/>
              </w:rPr>
              <w:t>dermatitis</w:t>
            </w:r>
            <w:proofErr w:type="spellEnd"/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E9329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</w:tr>
      <w:tr w:rsidR="0059175C" w:rsidRPr="00144840" w14:paraId="1F4810B1" w14:textId="77777777" w:rsidTr="0059175C">
        <w:trPr>
          <w:cantSplit/>
          <w:trHeight w:val="465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BE93AED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Knogler, led, muskler og bindevæv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86568A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B2A7B3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D86760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Muskelspasmer, myalgi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02B6B3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27CF49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</w:tr>
      <w:tr w:rsidR="0059175C" w:rsidRPr="00144840" w14:paraId="6B595CB3" w14:textId="77777777" w:rsidTr="0059175C">
        <w:trPr>
          <w:cantSplit/>
          <w:trHeight w:val="770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AB522CE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Nyrer og urinveje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4FDC6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4884C9B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Symptomer fra blære og urinveje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EF8836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96F69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43E948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</w:tr>
      <w:tr w:rsidR="0059175C" w:rsidRPr="00144840" w14:paraId="67F44550" w14:textId="77777777" w:rsidTr="0059175C">
        <w:trPr>
          <w:cantSplit/>
          <w:trHeight w:val="1274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E462E72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Almene symptomer og reaktioner på administrationsstedet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0A926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E15F990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Ødem, træthed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13CC38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Utilpashed*, brystsmerter, influenza-lignende sygdom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E886A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41EF3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</w:tr>
      <w:tr w:rsidR="0059175C" w:rsidRPr="00144840" w14:paraId="62BDEABC" w14:textId="77777777" w:rsidTr="0059175C">
        <w:trPr>
          <w:cantSplit/>
          <w:trHeight w:val="1002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1403A1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Undersøgelser</w:t>
            </w:r>
          </w:p>
        </w:tc>
        <w:tc>
          <w:tcPr>
            <w:tcW w:w="71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BEABE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88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937CA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46E2623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 xml:space="preserve">Vægtøgning*, forhøjede leverenzymer, </w:t>
            </w:r>
            <w:proofErr w:type="spellStart"/>
            <w:r w:rsidRPr="00144840">
              <w:rPr>
                <w:sz w:val="22"/>
                <w:szCs w:val="22"/>
              </w:rPr>
              <w:t>hypokaliæmi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9D9F7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EBBCFD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</w:tr>
    </w:tbl>
    <w:p w14:paraId="2AE30A4F" w14:textId="2E89ACBA" w:rsidR="0059175C" w:rsidRPr="00E032CA" w:rsidRDefault="0059175C" w:rsidP="0087113A">
      <w:pPr>
        <w:ind w:left="567" w:hanging="567"/>
        <w:rPr>
          <w:sz w:val="24"/>
          <w:szCs w:val="24"/>
        </w:rPr>
      </w:pPr>
      <w:r w:rsidRPr="00E032CA">
        <w:rPr>
          <w:sz w:val="24"/>
          <w:szCs w:val="24"/>
        </w:rPr>
        <w:lastRenderedPageBreak/>
        <w:t xml:space="preserve">* </w:t>
      </w:r>
      <w:r w:rsidR="0087113A">
        <w:rPr>
          <w:sz w:val="24"/>
          <w:szCs w:val="24"/>
        </w:rPr>
        <w:tab/>
      </w:r>
      <w:proofErr w:type="spellStart"/>
      <w:r w:rsidRPr="00E032CA">
        <w:rPr>
          <w:sz w:val="24"/>
          <w:szCs w:val="24"/>
        </w:rPr>
        <w:t>Hyponatriæmi</w:t>
      </w:r>
      <w:proofErr w:type="spellEnd"/>
      <w:r w:rsidRPr="00E032CA">
        <w:rPr>
          <w:sz w:val="24"/>
          <w:szCs w:val="24"/>
        </w:rPr>
        <w:t xml:space="preserve"> kan forårsage hovedpine, mavesmerter, kvalme, opkastning, vægtøgning, svimmelhed, konfusion, utilpashed, glemsomhed, </w:t>
      </w:r>
      <w:proofErr w:type="spellStart"/>
      <w:r w:rsidRPr="00E032CA">
        <w:rPr>
          <w:sz w:val="24"/>
          <w:szCs w:val="24"/>
        </w:rPr>
        <w:t>vertigo</w:t>
      </w:r>
      <w:proofErr w:type="spellEnd"/>
      <w:r w:rsidRPr="00E032CA">
        <w:rPr>
          <w:sz w:val="24"/>
          <w:szCs w:val="24"/>
        </w:rPr>
        <w:t>, fald og, i alvorlige tilfælde, kramper og koma</w:t>
      </w:r>
    </w:p>
    <w:p w14:paraId="630F54A2" w14:textId="72B41AE2" w:rsidR="0059175C" w:rsidRPr="00E032CA" w:rsidRDefault="0059175C" w:rsidP="0087113A">
      <w:pPr>
        <w:ind w:left="567" w:hanging="567"/>
        <w:rPr>
          <w:sz w:val="24"/>
          <w:szCs w:val="24"/>
        </w:rPr>
      </w:pPr>
      <w:r w:rsidRPr="00E032CA">
        <w:rPr>
          <w:sz w:val="24"/>
          <w:szCs w:val="24"/>
        </w:rPr>
        <w:t xml:space="preserve">** </w:t>
      </w:r>
      <w:r w:rsidR="0087113A">
        <w:rPr>
          <w:sz w:val="24"/>
          <w:szCs w:val="24"/>
        </w:rPr>
        <w:tab/>
      </w:r>
      <w:r w:rsidRPr="00E032CA">
        <w:rPr>
          <w:sz w:val="24"/>
          <w:szCs w:val="24"/>
        </w:rPr>
        <w:t xml:space="preserve">Kun observeret ved central diabetes </w:t>
      </w:r>
      <w:proofErr w:type="spellStart"/>
      <w:r w:rsidRPr="00E032CA">
        <w:rPr>
          <w:sz w:val="24"/>
          <w:szCs w:val="24"/>
        </w:rPr>
        <w:t>insipidus</w:t>
      </w:r>
      <w:proofErr w:type="spellEnd"/>
    </w:p>
    <w:p w14:paraId="5E2EC62F" w14:textId="77777777" w:rsidR="0059175C" w:rsidRPr="00E032CA" w:rsidRDefault="0059175C" w:rsidP="0059175C">
      <w:pPr>
        <w:rPr>
          <w:sz w:val="24"/>
          <w:szCs w:val="24"/>
        </w:rPr>
      </w:pPr>
    </w:p>
    <w:p w14:paraId="4375D22A" w14:textId="77777777" w:rsidR="0059175C" w:rsidRPr="0087113A" w:rsidRDefault="0059175C" w:rsidP="0059175C">
      <w:pPr>
        <w:ind w:left="851"/>
        <w:rPr>
          <w:i/>
          <w:sz w:val="24"/>
          <w:szCs w:val="24"/>
        </w:rPr>
      </w:pPr>
      <w:r w:rsidRPr="0087113A">
        <w:rPr>
          <w:i/>
          <w:sz w:val="24"/>
          <w:szCs w:val="24"/>
        </w:rPr>
        <w:t>Børn og unge</w:t>
      </w:r>
    </w:p>
    <w:p w14:paraId="1A0C6DFA" w14:textId="0F4E00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Baseret på hyppigheden af bivirkninger rapporteret hos børn og unge i kliniske studier med oral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ved behandling af primær </w:t>
      </w:r>
      <w:proofErr w:type="spellStart"/>
      <w:r w:rsidRPr="00E032CA">
        <w:rPr>
          <w:sz w:val="24"/>
          <w:szCs w:val="24"/>
        </w:rPr>
        <w:t>enuresis</w:t>
      </w:r>
      <w:proofErr w:type="spellEnd"/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nocturna</w:t>
      </w:r>
      <w:proofErr w:type="spellEnd"/>
      <w:r w:rsidRPr="00E032CA">
        <w:rPr>
          <w:sz w:val="24"/>
          <w:szCs w:val="24"/>
        </w:rPr>
        <w:t xml:space="preserve"> (n = 1 923). Bivirkninger, der kun er observeret efter markedsføring, er anført i kolonnen </w:t>
      </w:r>
      <w:r w:rsidR="00144840">
        <w:rPr>
          <w:sz w:val="24"/>
          <w:szCs w:val="24"/>
        </w:rPr>
        <w:t>"</w:t>
      </w:r>
      <w:r w:rsidRPr="00E032CA">
        <w:rPr>
          <w:sz w:val="24"/>
          <w:szCs w:val="24"/>
        </w:rPr>
        <w:t>Ikke kendt</w:t>
      </w:r>
      <w:r w:rsidR="00144840">
        <w:rPr>
          <w:sz w:val="24"/>
          <w:szCs w:val="24"/>
        </w:rPr>
        <w:t>"</w:t>
      </w:r>
      <w:r w:rsidRPr="00E032CA">
        <w:rPr>
          <w:sz w:val="24"/>
          <w:szCs w:val="24"/>
        </w:rPr>
        <w:t>.</w:t>
      </w:r>
    </w:p>
    <w:p w14:paraId="69E3C5B1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62240824" w14:textId="77777777" w:rsidR="0059175C" w:rsidRPr="00E032CA" w:rsidRDefault="0059175C" w:rsidP="0059175C">
      <w:pPr>
        <w:keepNext/>
        <w:rPr>
          <w:b/>
          <w:bCs/>
          <w:sz w:val="24"/>
          <w:szCs w:val="24"/>
        </w:rPr>
      </w:pPr>
      <w:r w:rsidRPr="00E032CA">
        <w:rPr>
          <w:b/>
          <w:bCs/>
          <w:sz w:val="24"/>
          <w:szCs w:val="24"/>
        </w:rPr>
        <w:t>Tabel 2. Oversigt over bivirkninger hos den pædiatriske population i tabelform.</w:t>
      </w:r>
    </w:p>
    <w:tbl>
      <w:tblPr>
        <w:tblW w:w="5000" w:type="pct"/>
        <w:tblCellMar>
          <w:top w:w="12" w:type="dxa"/>
          <w:left w:w="105" w:type="dxa"/>
          <w:right w:w="53" w:type="dxa"/>
        </w:tblCellMar>
        <w:tblLook w:val="04A0" w:firstRow="1" w:lastRow="0" w:firstColumn="1" w:lastColumn="0" w:noHBand="0" w:noVBand="1"/>
      </w:tblPr>
      <w:tblGrid>
        <w:gridCol w:w="2187"/>
        <w:gridCol w:w="1234"/>
        <w:gridCol w:w="1680"/>
        <w:gridCol w:w="2212"/>
        <w:gridCol w:w="2315"/>
      </w:tblGrid>
      <w:tr w:rsidR="0059175C" w:rsidRPr="00144840" w14:paraId="2CFAA935" w14:textId="77777777" w:rsidTr="0059175C">
        <w:trPr>
          <w:cantSplit/>
          <w:trHeight w:val="1274"/>
          <w:tblHeader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B593C0D" w14:textId="77777777" w:rsidR="0059175C" w:rsidRPr="00144840" w:rsidRDefault="0059175C">
            <w:pPr>
              <w:keepNext/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Systemorgan-klasse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9617293" w14:textId="77777777" w:rsidR="0059175C" w:rsidRPr="00144840" w:rsidRDefault="0059175C">
            <w:pPr>
              <w:keepNext/>
              <w:rPr>
                <w:b/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Meget almindelig</w:t>
            </w:r>
          </w:p>
          <w:p w14:paraId="3A753F8E" w14:textId="77777777" w:rsidR="0059175C" w:rsidRPr="00144840" w:rsidRDefault="0059175C">
            <w:pPr>
              <w:keepNext/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(≥ 1/10)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F13EF5F" w14:textId="77777777" w:rsidR="0059175C" w:rsidRPr="00144840" w:rsidRDefault="0059175C">
            <w:pPr>
              <w:keepNext/>
              <w:rPr>
                <w:b/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Ikke almindelig</w:t>
            </w:r>
          </w:p>
          <w:p w14:paraId="7AD2DF9B" w14:textId="77777777" w:rsidR="0059175C" w:rsidRPr="00144840" w:rsidRDefault="0059175C">
            <w:pPr>
              <w:keepNext/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(≥ 1/1 000, &lt; 1/100)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6D9442F" w14:textId="77777777" w:rsidR="0059175C" w:rsidRPr="00144840" w:rsidRDefault="0059175C">
            <w:pPr>
              <w:keepNext/>
              <w:rPr>
                <w:b/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Sjælden</w:t>
            </w:r>
          </w:p>
          <w:p w14:paraId="581970C0" w14:textId="77777777" w:rsidR="0059175C" w:rsidRPr="00144840" w:rsidRDefault="0059175C">
            <w:pPr>
              <w:keepNext/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(≥ 1/10 000, &lt; 1/1 000)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3075FFF" w14:textId="77777777" w:rsidR="0059175C" w:rsidRPr="00144840" w:rsidRDefault="0059175C">
            <w:pPr>
              <w:keepNext/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Ikke kendt (kan ikke estimeres ud fra forhåndenværende data)</w:t>
            </w:r>
          </w:p>
        </w:tc>
      </w:tr>
      <w:tr w:rsidR="0059175C" w:rsidRPr="00144840" w14:paraId="4891EF9B" w14:textId="77777777" w:rsidTr="0059175C">
        <w:trPr>
          <w:cantSplit/>
          <w:trHeight w:val="516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3A1B7D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Immunsystemet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3D5DF4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47C8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0C475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06D9FA2" w14:textId="77777777" w:rsidR="0059175C" w:rsidRPr="00144840" w:rsidRDefault="0059175C">
            <w:pPr>
              <w:rPr>
                <w:sz w:val="22"/>
                <w:szCs w:val="22"/>
              </w:rPr>
            </w:pPr>
            <w:proofErr w:type="spellStart"/>
            <w:r w:rsidRPr="00144840">
              <w:rPr>
                <w:sz w:val="22"/>
                <w:szCs w:val="22"/>
              </w:rPr>
              <w:t>Anafylaktisk</w:t>
            </w:r>
            <w:proofErr w:type="spellEnd"/>
            <w:r w:rsidRPr="00144840">
              <w:rPr>
                <w:sz w:val="22"/>
                <w:szCs w:val="22"/>
              </w:rPr>
              <w:t xml:space="preserve"> reaktion</w:t>
            </w:r>
          </w:p>
        </w:tc>
      </w:tr>
      <w:tr w:rsidR="0059175C" w:rsidRPr="00144840" w14:paraId="13EA6D18" w14:textId="77777777" w:rsidTr="0059175C">
        <w:trPr>
          <w:cantSplit/>
          <w:trHeight w:val="513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1A1DA69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Metabolisme og ernæring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44C476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31C64C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12CE0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A7349FE" w14:textId="77777777" w:rsidR="0059175C" w:rsidRPr="00144840" w:rsidRDefault="0059175C">
            <w:pPr>
              <w:rPr>
                <w:sz w:val="22"/>
                <w:szCs w:val="22"/>
              </w:rPr>
            </w:pPr>
            <w:proofErr w:type="spellStart"/>
            <w:r w:rsidRPr="00144840">
              <w:rPr>
                <w:sz w:val="22"/>
                <w:szCs w:val="22"/>
              </w:rPr>
              <w:t>Hyponatriæmi</w:t>
            </w:r>
            <w:proofErr w:type="spellEnd"/>
            <w:r w:rsidRPr="00144840">
              <w:rPr>
                <w:sz w:val="22"/>
                <w:szCs w:val="22"/>
              </w:rPr>
              <w:t>****</w:t>
            </w:r>
          </w:p>
        </w:tc>
      </w:tr>
      <w:tr w:rsidR="0059175C" w:rsidRPr="00144840" w14:paraId="72E02DE8" w14:textId="77777777" w:rsidTr="0059175C">
        <w:trPr>
          <w:cantSplit/>
          <w:trHeight w:val="516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367E0B3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Psykiske forstyrrelser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40898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86A99B0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Affektlabilitet**, aggression***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C96F96A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Angstsymptomer, mareridt*, humørsvingninger****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6EB1061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Unormal adfærd, emotionelle forstyrrelser, depression, visuelle hallucinationer, søvnløshed</w:t>
            </w:r>
          </w:p>
        </w:tc>
      </w:tr>
      <w:tr w:rsidR="0059175C" w:rsidRPr="00144840" w14:paraId="60A551E9" w14:textId="77777777" w:rsidTr="0059175C">
        <w:trPr>
          <w:cantSplit/>
          <w:trHeight w:val="443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D4E00DD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Nervesystemet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3E132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Hovedpine*</w:t>
            </w: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31CDE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F576B76" w14:textId="77777777" w:rsidR="0059175C" w:rsidRPr="00144840" w:rsidRDefault="0059175C">
            <w:pPr>
              <w:rPr>
                <w:sz w:val="22"/>
                <w:szCs w:val="22"/>
              </w:rPr>
            </w:pPr>
            <w:proofErr w:type="spellStart"/>
            <w:r w:rsidRPr="00144840">
              <w:rPr>
                <w:sz w:val="22"/>
                <w:szCs w:val="22"/>
              </w:rPr>
              <w:t>Somnolens</w:t>
            </w:r>
            <w:proofErr w:type="spellEnd"/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C2362E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i/>
                <w:iCs/>
                <w:sz w:val="22"/>
                <w:szCs w:val="22"/>
              </w:rPr>
              <w:t xml:space="preserve">Attention deficit </w:t>
            </w:r>
            <w:proofErr w:type="spellStart"/>
            <w:r w:rsidRPr="00144840">
              <w:rPr>
                <w:i/>
                <w:iCs/>
                <w:sz w:val="22"/>
                <w:szCs w:val="22"/>
              </w:rPr>
              <w:t>disorder</w:t>
            </w:r>
            <w:proofErr w:type="spellEnd"/>
            <w:r w:rsidRPr="00144840">
              <w:rPr>
                <w:sz w:val="22"/>
                <w:szCs w:val="22"/>
              </w:rPr>
              <w:t xml:space="preserve"> (ADD), </w:t>
            </w:r>
            <w:proofErr w:type="spellStart"/>
            <w:r w:rsidRPr="00144840">
              <w:rPr>
                <w:sz w:val="22"/>
                <w:szCs w:val="22"/>
              </w:rPr>
              <w:t>psykomotorisk</w:t>
            </w:r>
            <w:proofErr w:type="spellEnd"/>
            <w:r w:rsidRPr="00144840">
              <w:rPr>
                <w:sz w:val="22"/>
                <w:szCs w:val="22"/>
              </w:rPr>
              <w:t xml:space="preserve"> hyperaktivitet, kramper*</w:t>
            </w:r>
          </w:p>
        </w:tc>
      </w:tr>
      <w:tr w:rsidR="0059175C" w:rsidRPr="00144840" w14:paraId="7F79BFCE" w14:textId="77777777" w:rsidTr="0059175C">
        <w:trPr>
          <w:cantSplit/>
          <w:trHeight w:val="516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1443142" w14:textId="77777777" w:rsidR="0059175C" w:rsidRPr="00144840" w:rsidRDefault="0059175C">
            <w:pPr>
              <w:rPr>
                <w:sz w:val="22"/>
                <w:szCs w:val="22"/>
              </w:rPr>
            </w:pPr>
            <w:proofErr w:type="spellStart"/>
            <w:r w:rsidRPr="00144840">
              <w:rPr>
                <w:b/>
                <w:sz w:val="22"/>
                <w:szCs w:val="22"/>
              </w:rPr>
              <w:t>Vaskulære</w:t>
            </w:r>
            <w:proofErr w:type="spellEnd"/>
            <w:r w:rsidRPr="00144840">
              <w:rPr>
                <w:b/>
                <w:sz w:val="22"/>
                <w:szCs w:val="22"/>
              </w:rPr>
              <w:t xml:space="preserve"> sygdomme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2941B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B58F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27A2290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Hypertension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8CD2A4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</w:tr>
      <w:tr w:rsidR="0059175C" w:rsidRPr="00144840" w14:paraId="6A3C5BD3" w14:textId="77777777" w:rsidTr="0059175C">
        <w:trPr>
          <w:cantSplit/>
          <w:trHeight w:val="528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CC0470E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 xml:space="preserve">Luftveje, thorax og </w:t>
            </w:r>
            <w:proofErr w:type="spellStart"/>
            <w:r w:rsidRPr="00144840">
              <w:rPr>
                <w:b/>
                <w:sz w:val="22"/>
                <w:szCs w:val="22"/>
              </w:rPr>
              <w:t>mediastinum</w:t>
            </w:r>
            <w:proofErr w:type="spellEnd"/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72E2C9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33F38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4D071C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3B1686C1" w14:textId="77777777" w:rsidR="0059175C" w:rsidRPr="00144840" w:rsidRDefault="0059175C">
            <w:pPr>
              <w:rPr>
                <w:sz w:val="22"/>
                <w:szCs w:val="22"/>
              </w:rPr>
            </w:pPr>
            <w:proofErr w:type="spellStart"/>
            <w:r w:rsidRPr="00144840">
              <w:rPr>
                <w:sz w:val="22"/>
                <w:szCs w:val="22"/>
              </w:rPr>
              <w:t>Epistaksis</w:t>
            </w:r>
            <w:proofErr w:type="spellEnd"/>
          </w:p>
        </w:tc>
      </w:tr>
      <w:tr w:rsidR="0059175C" w:rsidRPr="00144840" w14:paraId="6427CAC1" w14:textId="77777777" w:rsidTr="0059175C">
        <w:trPr>
          <w:cantSplit/>
          <w:trHeight w:val="1012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89B92F5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 xml:space="preserve">Mave-tarm-kanalen 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8AA8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0113E14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Mavesmerter*, kvalme*, opkastning*, diarré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7403C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815C3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</w:tr>
      <w:tr w:rsidR="0059175C" w:rsidRPr="00144840" w14:paraId="4C0E23F6" w14:textId="77777777" w:rsidTr="0059175C">
        <w:trPr>
          <w:cantSplit/>
          <w:trHeight w:val="681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59A440C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Hud og subkutane væv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317CD0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E2C74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1F66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75D9447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 xml:space="preserve">Allergisk </w:t>
            </w:r>
            <w:proofErr w:type="spellStart"/>
            <w:r w:rsidRPr="00144840">
              <w:rPr>
                <w:sz w:val="22"/>
                <w:szCs w:val="22"/>
              </w:rPr>
              <w:t>dermatitis</w:t>
            </w:r>
            <w:proofErr w:type="spellEnd"/>
            <w:r w:rsidRPr="00144840">
              <w:rPr>
                <w:sz w:val="22"/>
                <w:szCs w:val="22"/>
              </w:rPr>
              <w:t xml:space="preserve">, udslæt, svedtendens, </w:t>
            </w:r>
            <w:proofErr w:type="spellStart"/>
            <w:r w:rsidRPr="00144840">
              <w:rPr>
                <w:sz w:val="22"/>
                <w:szCs w:val="22"/>
              </w:rPr>
              <w:t>urticaria</w:t>
            </w:r>
            <w:proofErr w:type="spellEnd"/>
          </w:p>
        </w:tc>
      </w:tr>
      <w:tr w:rsidR="0059175C" w:rsidRPr="00144840" w14:paraId="7B9BD3E6" w14:textId="77777777" w:rsidTr="0059175C">
        <w:trPr>
          <w:cantSplit/>
          <w:trHeight w:val="770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58668BC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Nyrer og urinveje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6CE25E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C350379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Symptomer fra blære og urinveje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D2EBD5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3107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</w:tr>
      <w:tr w:rsidR="0059175C" w:rsidRPr="00144840" w14:paraId="01E60A21" w14:textId="77777777" w:rsidTr="0059175C">
        <w:trPr>
          <w:cantSplit/>
          <w:trHeight w:val="1274"/>
        </w:trPr>
        <w:tc>
          <w:tcPr>
            <w:tcW w:w="9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D1039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b/>
                <w:sz w:val="22"/>
                <w:szCs w:val="22"/>
              </w:rPr>
              <w:t>Almene symptomer og reaktioner på administrationsstedet</w:t>
            </w:r>
          </w:p>
        </w:tc>
        <w:tc>
          <w:tcPr>
            <w:tcW w:w="68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42351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  <w:tc>
          <w:tcPr>
            <w:tcW w:w="9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CB8E46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Perifert ødem, træthed</w:t>
            </w:r>
          </w:p>
        </w:tc>
        <w:tc>
          <w:tcPr>
            <w:tcW w:w="121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B1E07F2" w14:textId="77777777" w:rsidR="0059175C" w:rsidRPr="00144840" w:rsidRDefault="0059175C">
            <w:pPr>
              <w:rPr>
                <w:sz w:val="22"/>
                <w:szCs w:val="22"/>
              </w:rPr>
            </w:pPr>
            <w:r w:rsidRPr="00144840">
              <w:rPr>
                <w:sz w:val="22"/>
                <w:szCs w:val="22"/>
              </w:rPr>
              <w:t>Irritation</w:t>
            </w:r>
          </w:p>
        </w:tc>
        <w:tc>
          <w:tcPr>
            <w:tcW w:w="12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2393B3" w14:textId="77777777" w:rsidR="0059175C" w:rsidRPr="00144840" w:rsidRDefault="0059175C">
            <w:pPr>
              <w:rPr>
                <w:sz w:val="22"/>
                <w:szCs w:val="22"/>
              </w:rPr>
            </w:pPr>
          </w:p>
        </w:tc>
      </w:tr>
    </w:tbl>
    <w:p w14:paraId="711F4E21" w14:textId="7FA46A57" w:rsidR="0059175C" w:rsidRPr="00E032CA" w:rsidRDefault="0059175C" w:rsidP="00144840">
      <w:pPr>
        <w:ind w:left="567" w:hanging="567"/>
        <w:rPr>
          <w:sz w:val="24"/>
          <w:szCs w:val="24"/>
        </w:rPr>
      </w:pPr>
      <w:r w:rsidRPr="00E032CA">
        <w:rPr>
          <w:sz w:val="24"/>
          <w:szCs w:val="24"/>
        </w:rPr>
        <w:t xml:space="preserve">* </w:t>
      </w:r>
      <w:r w:rsidR="0087113A">
        <w:rPr>
          <w:sz w:val="24"/>
          <w:szCs w:val="24"/>
        </w:rPr>
        <w:tab/>
      </w:r>
      <w:proofErr w:type="spellStart"/>
      <w:r w:rsidRPr="00E032CA">
        <w:rPr>
          <w:sz w:val="24"/>
          <w:szCs w:val="24"/>
        </w:rPr>
        <w:t>Hyponatriæmi</w:t>
      </w:r>
      <w:proofErr w:type="spellEnd"/>
      <w:r w:rsidRPr="00E032CA">
        <w:rPr>
          <w:sz w:val="24"/>
          <w:szCs w:val="24"/>
        </w:rPr>
        <w:t xml:space="preserve"> kan forårsage hovedpine, mavesmerter, kvalme, opkastning, vægtøgning, svimmelhed, konfusion, utilpashed, glemsomhed, </w:t>
      </w:r>
      <w:proofErr w:type="spellStart"/>
      <w:r w:rsidRPr="00E032CA">
        <w:rPr>
          <w:sz w:val="24"/>
          <w:szCs w:val="24"/>
        </w:rPr>
        <w:t>vertigo</w:t>
      </w:r>
      <w:proofErr w:type="spellEnd"/>
      <w:r w:rsidRPr="00E032CA">
        <w:rPr>
          <w:sz w:val="24"/>
          <w:szCs w:val="24"/>
        </w:rPr>
        <w:t>, fald og, i alvorlige tilfælde, kramper og koma</w:t>
      </w:r>
    </w:p>
    <w:p w14:paraId="59054665" w14:textId="61908ECE" w:rsidR="0059175C" w:rsidRPr="00E032CA" w:rsidRDefault="0059175C" w:rsidP="00144840">
      <w:pPr>
        <w:ind w:left="567" w:hanging="567"/>
        <w:rPr>
          <w:sz w:val="24"/>
          <w:szCs w:val="24"/>
        </w:rPr>
      </w:pPr>
      <w:r w:rsidRPr="00E032CA">
        <w:rPr>
          <w:sz w:val="24"/>
          <w:szCs w:val="24"/>
        </w:rPr>
        <w:lastRenderedPageBreak/>
        <w:t xml:space="preserve">** </w:t>
      </w:r>
      <w:r w:rsidR="0087113A">
        <w:rPr>
          <w:sz w:val="24"/>
          <w:szCs w:val="24"/>
        </w:rPr>
        <w:tab/>
      </w:r>
      <w:r w:rsidRPr="00E032CA">
        <w:rPr>
          <w:sz w:val="24"/>
          <w:szCs w:val="24"/>
        </w:rPr>
        <w:t>Rapporteret med samme hyppighed hos børn og unge (&lt; 18 år) efter markedsføring</w:t>
      </w:r>
    </w:p>
    <w:p w14:paraId="3A6A6B95" w14:textId="01C350C7" w:rsidR="0059175C" w:rsidRPr="00E032CA" w:rsidRDefault="0059175C" w:rsidP="00144840">
      <w:pPr>
        <w:ind w:left="567" w:hanging="567"/>
        <w:rPr>
          <w:sz w:val="24"/>
          <w:szCs w:val="24"/>
        </w:rPr>
      </w:pPr>
      <w:r w:rsidRPr="00E032CA">
        <w:rPr>
          <w:sz w:val="24"/>
          <w:szCs w:val="24"/>
        </w:rPr>
        <w:t xml:space="preserve">*** </w:t>
      </w:r>
      <w:r w:rsidR="0087113A">
        <w:rPr>
          <w:sz w:val="24"/>
          <w:szCs w:val="24"/>
        </w:rPr>
        <w:tab/>
      </w:r>
      <w:r w:rsidRPr="00E032CA">
        <w:rPr>
          <w:sz w:val="24"/>
          <w:szCs w:val="24"/>
        </w:rPr>
        <w:t>Næsten udelukkende rapporteret hos børn og unge (&lt; 18 år) efter markedsføring</w:t>
      </w:r>
    </w:p>
    <w:p w14:paraId="1FADF345" w14:textId="3CFE90E6" w:rsidR="0059175C" w:rsidRPr="00E032CA" w:rsidRDefault="0059175C" w:rsidP="00144840">
      <w:pPr>
        <w:ind w:left="567" w:hanging="567"/>
        <w:rPr>
          <w:sz w:val="24"/>
          <w:szCs w:val="24"/>
        </w:rPr>
      </w:pPr>
      <w:r w:rsidRPr="00E032CA">
        <w:rPr>
          <w:sz w:val="24"/>
          <w:szCs w:val="24"/>
        </w:rPr>
        <w:t xml:space="preserve">**** </w:t>
      </w:r>
      <w:r w:rsidR="0087113A">
        <w:rPr>
          <w:sz w:val="24"/>
          <w:szCs w:val="24"/>
        </w:rPr>
        <w:tab/>
      </w:r>
      <w:r w:rsidRPr="00E032CA">
        <w:rPr>
          <w:sz w:val="24"/>
          <w:szCs w:val="24"/>
        </w:rPr>
        <w:t>Hovedsageligt rapporteret hos børn (&lt; 12 år) efter markedsføring</w:t>
      </w:r>
    </w:p>
    <w:p w14:paraId="6F5A641F" w14:textId="77777777" w:rsidR="0059175C" w:rsidRPr="00E032CA" w:rsidRDefault="0059175C" w:rsidP="0059175C">
      <w:pPr>
        <w:rPr>
          <w:sz w:val="24"/>
          <w:szCs w:val="24"/>
        </w:rPr>
      </w:pPr>
    </w:p>
    <w:p w14:paraId="79BFF318" w14:textId="77777777" w:rsidR="0059175C" w:rsidRPr="0087113A" w:rsidRDefault="0059175C" w:rsidP="0059175C">
      <w:pPr>
        <w:ind w:left="851"/>
        <w:rPr>
          <w:sz w:val="24"/>
          <w:szCs w:val="24"/>
          <w:u w:val="single"/>
        </w:rPr>
      </w:pPr>
      <w:r w:rsidRPr="0087113A">
        <w:rPr>
          <w:sz w:val="24"/>
          <w:szCs w:val="24"/>
          <w:u w:val="single"/>
        </w:rPr>
        <w:t>Beskrivelse af udvalgte bivirkninger</w:t>
      </w:r>
    </w:p>
    <w:p w14:paraId="53DDC70B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Den mest alvorlige bivirkning med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er </w:t>
      </w:r>
      <w:proofErr w:type="spellStart"/>
      <w:r w:rsidRPr="00E032CA">
        <w:rPr>
          <w:sz w:val="24"/>
          <w:szCs w:val="24"/>
        </w:rPr>
        <w:t>hyponatriæmi</w:t>
      </w:r>
      <w:proofErr w:type="spellEnd"/>
      <w:r w:rsidRPr="00E032CA">
        <w:rPr>
          <w:sz w:val="24"/>
          <w:szCs w:val="24"/>
        </w:rPr>
        <w:t xml:space="preserve">, der kan forårsage hovedpine, mavesmerter, kvalme, opkastning, vægtøgning, svimmelhed, konfusion, utilpashed, glemsomhed, </w:t>
      </w:r>
      <w:proofErr w:type="spellStart"/>
      <w:r w:rsidRPr="00E032CA">
        <w:rPr>
          <w:sz w:val="24"/>
          <w:szCs w:val="24"/>
        </w:rPr>
        <w:t>vertigo</w:t>
      </w:r>
      <w:proofErr w:type="spellEnd"/>
      <w:r w:rsidRPr="00E032CA">
        <w:rPr>
          <w:sz w:val="24"/>
          <w:szCs w:val="24"/>
        </w:rPr>
        <w:t xml:space="preserve">, fald og, i alvorlige tilfælde, kramper og koma. Potentiel </w:t>
      </w:r>
      <w:proofErr w:type="spellStart"/>
      <w:r w:rsidRPr="00E032CA">
        <w:rPr>
          <w:sz w:val="24"/>
          <w:szCs w:val="24"/>
        </w:rPr>
        <w:t>hyponatriæmi</w:t>
      </w:r>
      <w:proofErr w:type="spellEnd"/>
      <w:r w:rsidRPr="00E032CA">
        <w:rPr>
          <w:sz w:val="24"/>
          <w:szCs w:val="24"/>
        </w:rPr>
        <w:t xml:space="preserve"> skyldes den forventede antidiuretiske effekt. </w:t>
      </w:r>
      <w:proofErr w:type="spellStart"/>
      <w:r w:rsidRPr="00E032CA">
        <w:rPr>
          <w:sz w:val="24"/>
          <w:szCs w:val="24"/>
        </w:rPr>
        <w:t>Hyponatriæmi</w:t>
      </w:r>
      <w:proofErr w:type="spellEnd"/>
      <w:r w:rsidRPr="00E032CA">
        <w:rPr>
          <w:sz w:val="24"/>
          <w:szCs w:val="24"/>
        </w:rPr>
        <w:t xml:space="preserve"> er forbigående, og hos børn ses det ofte i forbindelse med ændringer i de daglige rutiner, som påvirker væskeindtag og/eller svedtendens. Hos voksne forsøgspersoner behandlet for </w:t>
      </w:r>
      <w:proofErr w:type="spellStart"/>
      <w:r w:rsidRPr="00E032CA">
        <w:rPr>
          <w:sz w:val="24"/>
          <w:szCs w:val="24"/>
        </w:rPr>
        <w:t>nocturi</w:t>
      </w:r>
      <w:proofErr w:type="spellEnd"/>
      <w:r w:rsidRPr="00E032CA">
        <w:rPr>
          <w:sz w:val="24"/>
          <w:szCs w:val="24"/>
        </w:rPr>
        <w:t xml:space="preserve"> udviklede størstedelen af de patienter, som fik lavt serumnatrium, dette i løbet af de første dage af behandlingen eller i forbindelse med en dosisøgning. Hos både børn og voksne bør der udvises særlig opmærksomhed på forholdsreglerne i pkt. 4.4.</w:t>
      </w:r>
    </w:p>
    <w:p w14:paraId="7E29DD6A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27202558" w14:textId="77777777" w:rsidR="0059175C" w:rsidRPr="0087113A" w:rsidRDefault="0059175C" w:rsidP="0059175C">
      <w:pPr>
        <w:ind w:left="851"/>
        <w:rPr>
          <w:sz w:val="24"/>
          <w:szCs w:val="24"/>
          <w:u w:val="single"/>
        </w:rPr>
      </w:pPr>
      <w:r w:rsidRPr="0087113A">
        <w:rPr>
          <w:sz w:val="24"/>
          <w:szCs w:val="24"/>
          <w:u w:val="single"/>
        </w:rPr>
        <w:t>Andre patientpopulationer</w:t>
      </w:r>
    </w:p>
    <w:p w14:paraId="174561EF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Ældre patienter og patienter med serumnatriumniveau i den lave ende af normalområdet kan have en øget risiko for at udvikle </w:t>
      </w:r>
      <w:proofErr w:type="spellStart"/>
      <w:r w:rsidRPr="00E032CA">
        <w:rPr>
          <w:sz w:val="24"/>
          <w:szCs w:val="24"/>
        </w:rPr>
        <w:t>hyponatriæmi</w:t>
      </w:r>
      <w:proofErr w:type="spellEnd"/>
      <w:r w:rsidRPr="00E032CA">
        <w:rPr>
          <w:sz w:val="24"/>
          <w:szCs w:val="24"/>
        </w:rPr>
        <w:t xml:space="preserve"> (se pkt. 4.4).</w:t>
      </w:r>
    </w:p>
    <w:p w14:paraId="5BCAD3CE" w14:textId="77777777" w:rsidR="0059175C" w:rsidRPr="00E032CA" w:rsidRDefault="0059175C" w:rsidP="0059175C">
      <w:pPr>
        <w:ind w:left="851"/>
        <w:rPr>
          <w:iCs/>
          <w:sz w:val="24"/>
          <w:szCs w:val="24"/>
        </w:rPr>
      </w:pPr>
    </w:p>
    <w:p w14:paraId="0F2C78B4" w14:textId="77777777" w:rsidR="0059175C" w:rsidRPr="0087113A" w:rsidRDefault="0059175C" w:rsidP="0059175C">
      <w:pPr>
        <w:ind w:left="851"/>
        <w:rPr>
          <w:sz w:val="24"/>
          <w:szCs w:val="24"/>
          <w:u w:val="single"/>
        </w:rPr>
      </w:pPr>
      <w:r w:rsidRPr="0087113A">
        <w:rPr>
          <w:sz w:val="24"/>
          <w:szCs w:val="24"/>
          <w:u w:val="single"/>
        </w:rPr>
        <w:t>Indberetning af formodede bivirkninger</w:t>
      </w:r>
    </w:p>
    <w:p w14:paraId="381F5653" w14:textId="0D09A0A6" w:rsidR="0059175C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Når lægemidlet er godkendt, er indberetning af formodede bivirkninger vigtig. Det muliggør løbende overvågning af benefit/</w:t>
      </w:r>
      <w:proofErr w:type="spellStart"/>
      <w:r w:rsidRPr="00E032CA">
        <w:rPr>
          <w:sz w:val="24"/>
          <w:szCs w:val="24"/>
        </w:rPr>
        <w:t>risk</w:t>
      </w:r>
      <w:proofErr w:type="spellEnd"/>
      <w:r w:rsidRPr="00E032CA">
        <w:rPr>
          <w:sz w:val="24"/>
          <w:szCs w:val="24"/>
        </w:rPr>
        <w:t>-forholdet for lægemidlet. Sundhedspersoner anmodes om at indberette alle formodede bivirkninger via</w:t>
      </w:r>
    </w:p>
    <w:p w14:paraId="4564C9A9" w14:textId="77777777" w:rsidR="0087113A" w:rsidRPr="00E032CA" w:rsidRDefault="0087113A" w:rsidP="0059175C">
      <w:pPr>
        <w:ind w:left="851"/>
        <w:rPr>
          <w:sz w:val="24"/>
          <w:szCs w:val="24"/>
        </w:rPr>
      </w:pPr>
    </w:p>
    <w:p w14:paraId="253F8C30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Lægemiddelstyrelsen</w:t>
      </w:r>
    </w:p>
    <w:p w14:paraId="11F1E5B5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Axel Heides Gade 1</w:t>
      </w:r>
    </w:p>
    <w:p w14:paraId="0806032F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DK-2300 København S</w:t>
      </w:r>
    </w:p>
    <w:p w14:paraId="69B4DEEA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Websted: </w:t>
      </w:r>
      <w:hyperlink r:id="rId8" w:history="1">
        <w:r w:rsidRPr="00E032CA">
          <w:rPr>
            <w:rStyle w:val="Hyperlink"/>
            <w:sz w:val="24"/>
            <w:szCs w:val="24"/>
          </w:rPr>
          <w:t>www.meldenbivirkning.dk</w:t>
        </w:r>
      </w:hyperlink>
    </w:p>
    <w:p w14:paraId="5CD2FF43" w14:textId="77777777" w:rsidR="009260DE" w:rsidRPr="00E032CA" w:rsidRDefault="009260DE" w:rsidP="00A10294">
      <w:pPr>
        <w:tabs>
          <w:tab w:val="left" w:pos="851"/>
        </w:tabs>
        <w:ind w:left="851"/>
        <w:rPr>
          <w:sz w:val="24"/>
          <w:szCs w:val="24"/>
        </w:rPr>
      </w:pPr>
    </w:p>
    <w:p w14:paraId="25979DE3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4.9</w:t>
      </w:r>
      <w:r w:rsidRPr="00E032CA">
        <w:rPr>
          <w:b/>
          <w:sz w:val="24"/>
          <w:szCs w:val="24"/>
        </w:rPr>
        <w:tab/>
        <w:t>Overdosering</w:t>
      </w:r>
    </w:p>
    <w:p w14:paraId="67584C63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Overdosering med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medfører, at virkningen forlænges, og at risikoen for væskeretention og </w:t>
      </w:r>
      <w:proofErr w:type="spellStart"/>
      <w:r w:rsidRPr="00E032CA">
        <w:rPr>
          <w:sz w:val="24"/>
          <w:szCs w:val="24"/>
        </w:rPr>
        <w:t>hyponatriæmi</w:t>
      </w:r>
      <w:proofErr w:type="spellEnd"/>
      <w:r w:rsidRPr="00E032CA">
        <w:rPr>
          <w:sz w:val="24"/>
          <w:szCs w:val="24"/>
        </w:rPr>
        <w:t xml:space="preserve"> forøges.</w:t>
      </w:r>
    </w:p>
    <w:p w14:paraId="417759AA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1AB7B796" w14:textId="77777777" w:rsidR="0059175C" w:rsidRPr="00E032CA" w:rsidRDefault="0059175C" w:rsidP="0059175C">
      <w:pPr>
        <w:ind w:left="851"/>
        <w:rPr>
          <w:sz w:val="24"/>
          <w:szCs w:val="24"/>
          <w:u w:val="single"/>
        </w:rPr>
      </w:pPr>
      <w:r w:rsidRPr="00E032CA">
        <w:rPr>
          <w:sz w:val="24"/>
          <w:szCs w:val="24"/>
          <w:u w:val="single"/>
        </w:rPr>
        <w:t>Behandling</w:t>
      </w:r>
    </w:p>
    <w:p w14:paraId="150AAD64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Behandling af </w:t>
      </w:r>
      <w:proofErr w:type="spellStart"/>
      <w:r w:rsidRPr="00E032CA">
        <w:rPr>
          <w:sz w:val="24"/>
          <w:szCs w:val="24"/>
        </w:rPr>
        <w:t>hyponatriæmi</w:t>
      </w:r>
      <w:proofErr w:type="spellEnd"/>
      <w:r w:rsidRPr="00E032CA">
        <w:rPr>
          <w:sz w:val="24"/>
          <w:szCs w:val="24"/>
        </w:rPr>
        <w:t xml:space="preserve"> bør individualiseres, men følgende generelle retningslinjer kan gives: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seponeres, og begrænsning af væskeindtaget og symptomatisk behandling initieres efter behov.</w:t>
      </w:r>
    </w:p>
    <w:p w14:paraId="016BE209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2CB27F2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4.10</w:t>
      </w:r>
      <w:r w:rsidRPr="00E032CA">
        <w:rPr>
          <w:b/>
          <w:sz w:val="24"/>
          <w:szCs w:val="24"/>
        </w:rPr>
        <w:tab/>
        <w:t>Udlevering</w:t>
      </w:r>
    </w:p>
    <w:p w14:paraId="66C83CFD" w14:textId="2EDA293E" w:rsidR="009260DE" w:rsidRPr="00E032CA" w:rsidRDefault="0059175C" w:rsidP="009260DE">
      <w:pPr>
        <w:tabs>
          <w:tab w:val="left" w:pos="851"/>
        </w:tabs>
        <w:ind w:left="851"/>
        <w:rPr>
          <w:sz w:val="24"/>
          <w:szCs w:val="24"/>
        </w:rPr>
      </w:pPr>
      <w:r w:rsidRPr="00E032CA">
        <w:rPr>
          <w:sz w:val="24"/>
          <w:szCs w:val="24"/>
        </w:rPr>
        <w:t>B</w:t>
      </w:r>
    </w:p>
    <w:p w14:paraId="2AD8A598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545574C3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D6D2DAF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5.</w:t>
      </w:r>
      <w:r w:rsidRPr="00E032CA">
        <w:rPr>
          <w:b/>
          <w:sz w:val="24"/>
          <w:szCs w:val="24"/>
        </w:rPr>
        <w:tab/>
        <w:t>FARMAKOLOGISKE EGENSKABER</w:t>
      </w:r>
    </w:p>
    <w:p w14:paraId="107E9268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2C34EC2" w14:textId="77777777" w:rsidR="009260DE" w:rsidRPr="00E032CA" w:rsidRDefault="009260DE" w:rsidP="009260DE">
      <w:pPr>
        <w:tabs>
          <w:tab w:val="num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5.1</w:t>
      </w:r>
      <w:r w:rsidRPr="00E032CA">
        <w:rPr>
          <w:b/>
          <w:sz w:val="24"/>
          <w:szCs w:val="24"/>
        </w:rPr>
        <w:tab/>
      </w:r>
      <w:proofErr w:type="spellStart"/>
      <w:r w:rsidRPr="00E032CA">
        <w:rPr>
          <w:b/>
          <w:sz w:val="24"/>
          <w:szCs w:val="24"/>
        </w:rPr>
        <w:t>Farmakodynamiske</w:t>
      </w:r>
      <w:proofErr w:type="spellEnd"/>
      <w:r w:rsidRPr="00E032CA">
        <w:rPr>
          <w:b/>
          <w:sz w:val="24"/>
          <w:szCs w:val="24"/>
        </w:rPr>
        <w:t xml:space="preserve"> egenskaber</w:t>
      </w:r>
    </w:p>
    <w:p w14:paraId="60F513E0" w14:textId="77777777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sz w:val="24"/>
          <w:szCs w:val="24"/>
        </w:rPr>
        <w:t>Farmakoterapeutisk</w:t>
      </w:r>
      <w:proofErr w:type="spellEnd"/>
      <w:r w:rsidRPr="00E032CA">
        <w:rPr>
          <w:sz w:val="24"/>
          <w:szCs w:val="24"/>
        </w:rPr>
        <w:t xml:space="preserve"> klassifikation: Hypofyse- og </w:t>
      </w:r>
      <w:proofErr w:type="spellStart"/>
      <w:r w:rsidRPr="00E032CA">
        <w:rPr>
          <w:sz w:val="24"/>
          <w:szCs w:val="24"/>
        </w:rPr>
        <w:t>hypothalamus</w:t>
      </w:r>
      <w:proofErr w:type="spellEnd"/>
      <w:r w:rsidRPr="00E032CA">
        <w:rPr>
          <w:sz w:val="24"/>
          <w:szCs w:val="24"/>
        </w:rPr>
        <w:t xml:space="preserve">-hormoner og </w:t>
      </w:r>
      <w:proofErr w:type="spellStart"/>
      <w:r w:rsidRPr="00E032CA">
        <w:rPr>
          <w:sz w:val="24"/>
          <w:szCs w:val="24"/>
        </w:rPr>
        <w:t>analoger</w:t>
      </w:r>
      <w:proofErr w:type="spellEnd"/>
      <w:r w:rsidRPr="00E032CA">
        <w:rPr>
          <w:sz w:val="24"/>
          <w:szCs w:val="24"/>
        </w:rPr>
        <w:t xml:space="preserve">, </w:t>
      </w:r>
      <w:proofErr w:type="spellStart"/>
      <w:r w:rsidRPr="00E032CA">
        <w:rPr>
          <w:sz w:val="24"/>
          <w:szCs w:val="24"/>
        </w:rPr>
        <w:t>vasopressin</w:t>
      </w:r>
      <w:proofErr w:type="spellEnd"/>
      <w:r w:rsidRPr="00E032CA">
        <w:rPr>
          <w:sz w:val="24"/>
          <w:szCs w:val="24"/>
        </w:rPr>
        <w:t xml:space="preserve"> og </w:t>
      </w:r>
      <w:proofErr w:type="spellStart"/>
      <w:r w:rsidRPr="00E032CA">
        <w:rPr>
          <w:sz w:val="24"/>
          <w:szCs w:val="24"/>
        </w:rPr>
        <w:t>analoger</w:t>
      </w:r>
      <w:proofErr w:type="spellEnd"/>
      <w:r w:rsidRPr="00E032CA">
        <w:rPr>
          <w:sz w:val="24"/>
          <w:szCs w:val="24"/>
        </w:rPr>
        <w:t xml:space="preserve">, </w:t>
      </w:r>
      <w:proofErr w:type="spellStart"/>
      <w:r w:rsidRPr="00E032CA">
        <w:rPr>
          <w:sz w:val="24"/>
          <w:szCs w:val="24"/>
        </w:rPr>
        <w:t>ATC-kode</w:t>
      </w:r>
      <w:proofErr w:type="spellEnd"/>
      <w:r w:rsidRPr="00E032CA">
        <w:rPr>
          <w:sz w:val="24"/>
          <w:szCs w:val="24"/>
        </w:rPr>
        <w:t>: H01BA02</w:t>
      </w:r>
    </w:p>
    <w:p w14:paraId="3508726F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201AE20B" w14:textId="6FFC7A10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</w:t>
      </w:r>
      <w:r w:rsidR="00144840">
        <w:rPr>
          <w:sz w:val="24"/>
          <w:szCs w:val="24"/>
        </w:rPr>
        <w:t>"</w:t>
      </w:r>
      <w:r w:rsidRPr="00E032CA">
        <w:rPr>
          <w:sz w:val="24"/>
          <w:szCs w:val="24"/>
        </w:rPr>
        <w:t>Orion</w:t>
      </w:r>
      <w:r w:rsidR="00144840">
        <w:rPr>
          <w:sz w:val="24"/>
          <w:szCs w:val="24"/>
        </w:rPr>
        <w:t>"</w:t>
      </w:r>
      <w:r w:rsidRPr="00E032CA">
        <w:rPr>
          <w:sz w:val="24"/>
          <w:szCs w:val="24"/>
        </w:rPr>
        <w:t xml:space="preserve"> indeholder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, som er en strukturel analog af det naturlige antidiuretiske hypofysehormon </w:t>
      </w:r>
      <w:proofErr w:type="spellStart"/>
      <w:r w:rsidRPr="00E032CA">
        <w:rPr>
          <w:sz w:val="24"/>
          <w:szCs w:val="24"/>
        </w:rPr>
        <w:t>argininvasopressin</w:t>
      </w:r>
      <w:proofErr w:type="spellEnd"/>
      <w:r w:rsidRPr="00E032CA">
        <w:rPr>
          <w:sz w:val="24"/>
          <w:szCs w:val="24"/>
        </w:rPr>
        <w:t xml:space="preserve">. Forskellen mellem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og det naturlige antidiuretiske hormon ligger i </w:t>
      </w:r>
      <w:proofErr w:type="spellStart"/>
      <w:r w:rsidRPr="00E032CA">
        <w:rPr>
          <w:sz w:val="24"/>
          <w:szCs w:val="24"/>
        </w:rPr>
        <w:t>deamineringen</w:t>
      </w:r>
      <w:proofErr w:type="spellEnd"/>
      <w:r w:rsidRPr="00E032CA">
        <w:rPr>
          <w:sz w:val="24"/>
          <w:szCs w:val="24"/>
        </w:rPr>
        <w:t xml:space="preserve"> af </w:t>
      </w:r>
      <w:proofErr w:type="spellStart"/>
      <w:r w:rsidRPr="00E032CA">
        <w:rPr>
          <w:sz w:val="24"/>
          <w:szCs w:val="24"/>
        </w:rPr>
        <w:t>cystein</w:t>
      </w:r>
      <w:proofErr w:type="spellEnd"/>
      <w:r w:rsidRPr="00E032CA">
        <w:rPr>
          <w:sz w:val="24"/>
          <w:szCs w:val="24"/>
        </w:rPr>
        <w:t xml:space="preserve"> og </w:t>
      </w:r>
      <w:r w:rsidRPr="00E032CA">
        <w:rPr>
          <w:sz w:val="24"/>
          <w:szCs w:val="24"/>
        </w:rPr>
        <w:lastRenderedPageBreak/>
        <w:t>substitution af L-</w:t>
      </w:r>
      <w:proofErr w:type="spellStart"/>
      <w:r w:rsidRPr="00E032CA">
        <w:rPr>
          <w:sz w:val="24"/>
          <w:szCs w:val="24"/>
        </w:rPr>
        <w:t>arginin</w:t>
      </w:r>
      <w:proofErr w:type="spellEnd"/>
      <w:r w:rsidRPr="00E032CA">
        <w:rPr>
          <w:sz w:val="24"/>
          <w:szCs w:val="24"/>
        </w:rPr>
        <w:t xml:space="preserve"> med D-</w:t>
      </w:r>
      <w:proofErr w:type="spellStart"/>
      <w:r w:rsidRPr="00E032CA">
        <w:rPr>
          <w:sz w:val="24"/>
          <w:szCs w:val="24"/>
        </w:rPr>
        <w:t>arginin</w:t>
      </w:r>
      <w:proofErr w:type="spellEnd"/>
      <w:r w:rsidRPr="00E032CA">
        <w:rPr>
          <w:sz w:val="24"/>
          <w:szCs w:val="24"/>
        </w:rPr>
        <w:t xml:space="preserve"> i </w:t>
      </w:r>
      <w:proofErr w:type="spellStart"/>
      <w:r w:rsidRPr="00E032CA">
        <w:rPr>
          <w:sz w:val="24"/>
          <w:szCs w:val="24"/>
        </w:rPr>
        <w:t>desmopressinmolekylet</w:t>
      </w:r>
      <w:proofErr w:type="spellEnd"/>
      <w:r w:rsidRPr="00E032CA">
        <w:rPr>
          <w:sz w:val="24"/>
          <w:szCs w:val="24"/>
        </w:rPr>
        <w:t xml:space="preserve">. Dette har resulteret i en væsentligt længere virkningsvarighed og en fuldstændigt elimineret </w:t>
      </w:r>
      <w:proofErr w:type="spellStart"/>
      <w:r w:rsidRPr="00E032CA">
        <w:rPr>
          <w:sz w:val="24"/>
          <w:szCs w:val="24"/>
        </w:rPr>
        <w:t>pressoreffekt</w:t>
      </w:r>
      <w:proofErr w:type="spellEnd"/>
      <w:r w:rsidRPr="00E032CA">
        <w:rPr>
          <w:sz w:val="24"/>
          <w:szCs w:val="24"/>
        </w:rPr>
        <w:t xml:space="preserve"> ved de terapeutiske doser.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øger </w:t>
      </w:r>
      <w:proofErr w:type="spellStart"/>
      <w:r w:rsidRPr="00E032CA">
        <w:rPr>
          <w:sz w:val="24"/>
          <w:szCs w:val="24"/>
        </w:rPr>
        <w:t>reabsorptionen</w:t>
      </w:r>
      <w:proofErr w:type="spellEnd"/>
      <w:r w:rsidRPr="00E032CA">
        <w:rPr>
          <w:sz w:val="24"/>
          <w:szCs w:val="24"/>
        </w:rPr>
        <w:t xml:space="preserve"> af vand i nyrerne, hvorved urinen koncentreres, samtidig med at det samlede urinvolumen reduceres.</w:t>
      </w:r>
    </w:p>
    <w:p w14:paraId="425E920B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411585DD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Kliniske studier med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-tabletter ved behandling af </w:t>
      </w:r>
      <w:proofErr w:type="spellStart"/>
      <w:r w:rsidRPr="00E032CA">
        <w:rPr>
          <w:sz w:val="24"/>
          <w:szCs w:val="24"/>
        </w:rPr>
        <w:t>nocturi</w:t>
      </w:r>
      <w:proofErr w:type="spellEnd"/>
      <w:r w:rsidRPr="00E032CA">
        <w:rPr>
          <w:sz w:val="24"/>
          <w:szCs w:val="24"/>
        </w:rPr>
        <w:t xml:space="preserve"> viste at:</w:t>
      </w:r>
    </w:p>
    <w:p w14:paraId="71BD4F44" w14:textId="77777777" w:rsidR="0059175C" w:rsidRPr="0087113A" w:rsidRDefault="0059175C" w:rsidP="0087113A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87113A">
        <w:rPr>
          <w:sz w:val="24"/>
          <w:szCs w:val="24"/>
        </w:rPr>
        <w:t xml:space="preserve">Det gennemsnitlige antal natlige toiletbesøg blev reduceret med mindst 50 % hos 39 % af patienterne, der fik </w:t>
      </w:r>
      <w:proofErr w:type="spellStart"/>
      <w:r w:rsidRPr="0087113A">
        <w:rPr>
          <w:sz w:val="24"/>
          <w:szCs w:val="24"/>
        </w:rPr>
        <w:t>desmopressin</w:t>
      </w:r>
      <w:proofErr w:type="spellEnd"/>
      <w:r w:rsidRPr="0087113A">
        <w:rPr>
          <w:sz w:val="24"/>
          <w:szCs w:val="24"/>
        </w:rPr>
        <w:t>, sammenlignet med 5 % af patienterne, der fik placebo (p &lt; 0,0001).</w:t>
      </w:r>
    </w:p>
    <w:p w14:paraId="0696D7B2" w14:textId="77777777" w:rsidR="0059175C" w:rsidRPr="0087113A" w:rsidRDefault="0059175C" w:rsidP="0087113A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87113A">
        <w:rPr>
          <w:sz w:val="24"/>
          <w:szCs w:val="24"/>
        </w:rPr>
        <w:t xml:space="preserve">Det gennemsnitlige antal natlige toiletbesøg blev reduceret med 44 % i </w:t>
      </w:r>
      <w:proofErr w:type="spellStart"/>
      <w:r w:rsidRPr="0087113A">
        <w:rPr>
          <w:sz w:val="24"/>
          <w:szCs w:val="24"/>
        </w:rPr>
        <w:t>desmopressingruppen</w:t>
      </w:r>
      <w:proofErr w:type="spellEnd"/>
      <w:r w:rsidRPr="0087113A">
        <w:rPr>
          <w:sz w:val="24"/>
          <w:szCs w:val="24"/>
        </w:rPr>
        <w:t xml:space="preserve"> sammenlignet med 15 % i placebogruppen (p &lt; 0,0001).</w:t>
      </w:r>
    </w:p>
    <w:p w14:paraId="63DD8208" w14:textId="77777777" w:rsidR="0059175C" w:rsidRPr="0087113A" w:rsidRDefault="0059175C" w:rsidP="0087113A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87113A">
        <w:rPr>
          <w:sz w:val="24"/>
          <w:szCs w:val="24"/>
        </w:rPr>
        <w:t xml:space="preserve">Gennemsnitsvarigheden af den første uforstyrrede søvnperiode blev forøget med 64 % i </w:t>
      </w:r>
      <w:proofErr w:type="spellStart"/>
      <w:r w:rsidRPr="0087113A">
        <w:rPr>
          <w:sz w:val="24"/>
          <w:szCs w:val="24"/>
        </w:rPr>
        <w:t>desmopressingruppen</w:t>
      </w:r>
      <w:proofErr w:type="spellEnd"/>
      <w:r w:rsidRPr="0087113A">
        <w:rPr>
          <w:sz w:val="24"/>
          <w:szCs w:val="24"/>
        </w:rPr>
        <w:t xml:space="preserve"> sammenlignet med 20 % i placebogruppen (p &lt; 0,0001).</w:t>
      </w:r>
    </w:p>
    <w:p w14:paraId="43D259DA" w14:textId="77777777" w:rsidR="0059175C" w:rsidRPr="0087113A" w:rsidRDefault="0059175C" w:rsidP="0087113A">
      <w:pPr>
        <w:pStyle w:val="Listeafsnit"/>
        <w:numPr>
          <w:ilvl w:val="0"/>
          <w:numId w:val="9"/>
        </w:numPr>
        <w:ind w:left="1276" w:hanging="425"/>
        <w:rPr>
          <w:sz w:val="24"/>
          <w:szCs w:val="24"/>
        </w:rPr>
      </w:pPr>
      <w:r w:rsidRPr="0087113A">
        <w:rPr>
          <w:sz w:val="24"/>
          <w:szCs w:val="24"/>
        </w:rPr>
        <w:t xml:space="preserve">Gennemsnitsvarigheden af den første uforstyrrede søvnperiode blev forøget med 2 timer i </w:t>
      </w:r>
      <w:proofErr w:type="spellStart"/>
      <w:r w:rsidRPr="0087113A">
        <w:rPr>
          <w:sz w:val="24"/>
          <w:szCs w:val="24"/>
        </w:rPr>
        <w:t>desmopressingruppen</w:t>
      </w:r>
      <w:proofErr w:type="spellEnd"/>
      <w:r w:rsidRPr="0087113A">
        <w:rPr>
          <w:sz w:val="24"/>
          <w:szCs w:val="24"/>
        </w:rPr>
        <w:t xml:space="preserve"> sammenlignet med 31 minutter i placebogruppen (p &lt; 0,0001).</w:t>
      </w:r>
    </w:p>
    <w:p w14:paraId="77CDDE14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2FCD95F6" w14:textId="77777777" w:rsidR="0059175C" w:rsidRPr="00E032CA" w:rsidRDefault="0059175C" w:rsidP="0059175C">
      <w:pPr>
        <w:keepNext/>
        <w:suppressAutoHyphens/>
        <w:rPr>
          <w:b/>
          <w:bCs/>
          <w:sz w:val="24"/>
          <w:szCs w:val="24"/>
        </w:rPr>
      </w:pPr>
      <w:r w:rsidRPr="00E032CA">
        <w:rPr>
          <w:b/>
          <w:bCs/>
          <w:sz w:val="24"/>
          <w:szCs w:val="24"/>
        </w:rPr>
        <w:t xml:space="preserve">Tabel 3. Virkning af behandling med individuelle orale doser (0,1 – 0,4 mg) </w:t>
      </w:r>
      <w:proofErr w:type="spellStart"/>
      <w:r w:rsidRPr="00E032CA">
        <w:rPr>
          <w:b/>
          <w:bCs/>
          <w:sz w:val="24"/>
          <w:szCs w:val="24"/>
        </w:rPr>
        <w:t>desmopressin</w:t>
      </w:r>
      <w:proofErr w:type="spellEnd"/>
      <w:r w:rsidRPr="00E032CA">
        <w:rPr>
          <w:b/>
          <w:bCs/>
          <w:sz w:val="24"/>
          <w:szCs w:val="24"/>
        </w:rPr>
        <w:t>-tabletter i 3 uger sammenlignet med placebo (</w:t>
      </w:r>
      <w:proofErr w:type="spellStart"/>
      <w:r w:rsidRPr="00E032CA">
        <w:rPr>
          <w:b/>
          <w:bCs/>
          <w:sz w:val="24"/>
          <w:szCs w:val="24"/>
        </w:rPr>
        <w:t>poolede</w:t>
      </w:r>
      <w:proofErr w:type="spellEnd"/>
      <w:r w:rsidRPr="00E032CA">
        <w:rPr>
          <w:b/>
          <w:bCs/>
          <w:sz w:val="24"/>
          <w:szCs w:val="24"/>
        </w:rPr>
        <w:t xml:space="preserve"> data).</w:t>
      </w:r>
    </w:p>
    <w:tbl>
      <w:tblPr>
        <w:tblStyle w:val="Tabel-Gitter"/>
        <w:tblW w:w="5000" w:type="pct"/>
        <w:tblInd w:w="0" w:type="dxa"/>
        <w:tblLook w:val="04A0" w:firstRow="1" w:lastRow="0" w:firstColumn="1" w:lastColumn="0" w:noHBand="0" w:noVBand="1"/>
      </w:tblPr>
      <w:tblGrid>
        <w:gridCol w:w="1636"/>
        <w:gridCol w:w="1612"/>
        <w:gridCol w:w="1612"/>
        <w:gridCol w:w="1612"/>
        <w:gridCol w:w="1612"/>
        <w:gridCol w:w="1544"/>
      </w:tblGrid>
      <w:tr w:rsidR="0059175C" w:rsidRPr="0087113A" w14:paraId="65AEFF3F" w14:textId="77777777" w:rsidTr="0059175C">
        <w:tc>
          <w:tcPr>
            <w:tcW w:w="85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FEB908" w14:textId="77777777" w:rsidR="0059175C" w:rsidRPr="0087113A" w:rsidRDefault="0059175C">
            <w:pPr>
              <w:keepNext/>
              <w:suppressAutoHyphens/>
              <w:rPr>
                <w:sz w:val="22"/>
                <w:szCs w:val="22"/>
              </w:rPr>
            </w:pPr>
            <w:proofErr w:type="spellStart"/>
            <w:r w:rsidRPr="0087113A">
              <w:rPr>
                <w:sz w:val="22"/>
                <w:szCs w:val="22"/>
              </w:rPr>
              <w:t>Variabel</w:t>
            </w:r>
            <w:proofErr w:type="spellEnd"/>
          </w:p>
        </w:tc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D70B9" w14:textId="77777777" w:rsidR="0059175C" w:rsidRPr="0087113A" w:rsidRDefault="0059175C">
            <w:pPr>
              <w:keepNext/>
              <w:suppressAutoHyphens/>
              <w:rPr>
                <w:sz w:val="22"/>
                <w:szCs w:val="22"/>
              </w:rPr>
            </w:pPr>
            <w:r w:rsidRPr="0087113A">
              <w:rPr>
                <w:sz w:val="22"/>
                <w:szCs w:val="22"/>
              </w:rPr>
              <w:t>Desmopressin</w:t>
            </w:r>
          </w:p>
        </w:tc>
        <w:tc>
          <w:tcPr>
            <w:tcW w:w="167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AA5D1F" w14:textId="77777777" w:rsidR="0059175C" w:rsidRPr="0087113A" w:rsidRDefault="0059175C">
            <w:pPr>
              <w:keepNext/>
              <w:suppressAutoHyphens/>
              <w:rPr>
                <w:sz w:val="22"/>
                <w:szCs w:val="22"/>
              </w:rPr>
            </w:pPr>
            <w:r w:rsidRPr="0087113A">
              <w:rPr>
                <w:sz w:val="22"/>
                <w:szCs w:val="22"/>
              </w:rPr>
              <w:t>Placebo</w:t>
            </w:r>
          </w:p>
        </w:tc>
        <w:tc>
          <w:tcPr>
            <w:tcW w:w="804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C34807" w14:textId="77777777" w:rsidR="0059175C" w:rsidRPr="0087113A" w:rsidRDefault="0059175C">
            <w:pPr>
              <w:keepNext/>
              <w:suppressAutoHyphens/>
              <w:rPr>
                <w:sz w:val="22"/>
                <w:szCs w:val="22"/>
              </w:rPr>
            </w:pPr>
            <w:proofErr w:type="spellStart"/>
            <w:r w:rsidRPr="0087113A">
              <w:rPr>
                <w:sz w:val="22"/>
                <w:szCs w:val="22"/>
              </w:rPr>
              <w:t>Statistisk</w:t>
            </w:r>
            <w:proofErr w:type="spellEnd"/>
            <w:r w:rsidRPr="0087113A">
              <w:rPr>
                <w:sz w:val="22"/>
                <w:szCs w:val="22"/>
              </w:rPr>
              <w:t xml:space="preserve"> </w:t>
            </w:r>
            <w:proofErr w:type="spellStart"/>
            <w:r w:rsidRPr="0087113A">
              <w:rPr>
                <w:sz w:val="22"/>
                <w:szCs w:val="22"/>
              </w:rPr>
              <w:t>signifikans</w:t>
            </w:r>
            <w:proofErr w:type="spellEnd"/>
          </w:p>
        </w:tc>
      </w:tr>
      <w:tr w:rsidR="0059175C" w:rsidRPr="0087113A" w14:paraId="4DA490DE" w14:textId="77777777" w:rsidTr="0059175C">
        <w:tc>
          <w:tcPr>
            <w:tcW w:w="85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82F167" w14:textId="77777777" w:rsidR="0059175C" w:rsidRPr="0087113A" w:rsidRDefault="0059175C">
            <w:pPr>
              <w:rPr>
                <w:sz w:val="22"/>
                <w:szCs w:val="22"/>
              </w:rPr>
            </w:pP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73A3E9" w14:textId="77777777" w:rsidR="0059175C" w:rsidRPr="0087113A" w:rsidRDefault="0059175C">
            <w:pPr>
              <w:keepNext/>
              <w:suppressAutoHyphens/>
              <w:rPr>
                <w:sz w:val="22"/>
                <w:szCs w:val="22"/>
              </w:rPr>
            </w:pPr>
            <w:proofErr w:type="spellStart"/>
            <w:r w:rsidRPr="0087113A">
              <w:rPr>
                <w:sz w:val="22"/>
                <w:szCs w:val="22"/>
              </w:rPr>
              <w:t>Gennemsnitlig</w:t>
            </w:r>
            <w:proofErr w:type="spellEnd"/>
            <w:r w:rsidRPr="0087113A">
              <w:rPr>
                <w:sz w:val="22"/>
                <w:szCs w:val="22"/>
              </w:rPr>
              <w:t xml:space="preserve"> </w:t>
            </w:r>
            <w:r w:rsidRPr="0087113A">
              <w:rPr>
                <w:i/>
                <w:iCs/>
                <w:sz w:val="22"/>
                <w:szCs w:val="22"/>
              </w:rPr>
              <w:t>baseline</w:t>
            </w:r>
            <w:r w:rsidRPr="0087113A">
              <w:rPr>
                <w:sz w:val="22"/>
                <w:szCs w:val="22"/>
              </w:rPr>
              <w:t>-</w:t>
            </w:r>
            <w:proofErr w:type="spellStart"/>
            <w:r w:rsidRPr="0087113A">
              <w:rPr>
                <w:sz w:val="22"/>
                <w:szCs w:val="22"/>
              </w:rPr>
              <w:t>værdi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63CA8E" w14:textId="77777777" w:rsidR="0059175C" w:rsidRPr="0087113A" w:rsidRDefault="0059175C">
            <w:pPr>
              <w:keepNext/>
              <w:suppressAutoHyphens/>
              <w:rPr>
                <w:sz w:val="22"/>
                <w:szCs w:val="22"/>
                <w:lang w:val="da-DK"/>
              </w:rPr>
            </w:pPr>
            <w:r w:rsidRPr="0087113A">
              <w:rPr>
                <w:sz w:val="22"/>
                <w:szCs w:val="22"/>
                <w:lang w:val="da-DK"/>
              </w:rPr>
              <w:t>Gennemsnitlig værdi under 3 ugers behandling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5E8A2C" w14:textId="77777777" w:rsidR="0059175C" w:rsidRPr="0087113A" w:rsidRDefault="0059175C">
            <w:pPr>
              <w:keepNext/>
              <w:suppressAutoHyphens/>
              <w:rPr>
                <w:sz w:val="22"/>
                <w:szCs w:val="22"/>
              </w:rPr>
            </w:pPr>
            <w:proofErr w:type="spellStart"/>
            <w:r w:rsidRPr="0087113A">
              <w:rPr>
                <w:sz w:val="22"/>
                <w:szCs w:val="22"/>
              </w:rPr>
              <w:t>Gennemsnitlig</w:t>
            </w:r>
            <w:proofErr w:type="spellEnd"/>
            <w:r w:rsidRPr="0087113A">
              <w:rPr>
                <w:sz w:val="22"/>
                <w:szCs w:val="22"/>
              </w:rPr>
              <w:t xml:space="preserve"> </w:t>
            </w:r>
            <w:r w:rsidRPr="0087113A">
              <w:rPr>
                <w:i/>
                <w:iCs/>
                <w:sz w:val="22"/>
                <w:szCs w:val="22"/>
              </w:rPr>
              <w:t>baseline</w:t>
            </w:r>
            <w:r w:rsidRPr="0087113A">
              <w:rPr>
                <w:sz w:val="22"/>
                <w:szCs w:val="22"/>
              </w:rPr>
              <w:t>-</w:t>
            </w:r>
            <w:proofErr w:type="spellStart"/>
            <w:r w:rsidRPr="0087113A">
              <w:rPr>
                <w:sz w:val="22"/>
                <w:szCs w:val="22"/>
              </w:rPr>
              <w:t>værdi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E772B5" w14:textId="77777777" w:rsidR="0059175C" w:rsidRPr="0087113A" w:rsidRDefault="0059175C">
            <w:pPr>
              <w:keepNext/>
              <w:suppressAutoHyphens/>
              <w:rPr>
                <w:sz w:val="22"/>
                <w:szCs w:val="22"/>
                <w:lang w:val="da-DK"/>
              </w:rPr>
            </w:pPr>
            <w:r w:rsidRPr="0087113A">
              <w:rPr>
                <w:sz w:val="22"/>
                <w:szCs w:val="22"/>
                <w:lang w:val="da-DK"/>
              </w:rPr>
              <w:t>Gennemsnitlig værdi under 3 ugers behandling</w:t>
            </w:r>
          </w:p>
        </w:tc>
        <w:tc>
          <w:tcPr>
            <w:tcW w:w="804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28507C" w14:textId="77777777" w:rsidR="0059175C" w:rsidRPr="0087113A" w:rsidRDefault="0059175C">
            <w:pPr>
              <w:rPr>
                <w:sz w:val="22"/>
                <w:szCs w:val="22"/>
                <w:lang w:val="da-DK"/>
              </w:rPr>
            </w:pPr>
          </w:p>
        </w:tc>
      </w:tr>
      <w:tr w:rsidR="0059175C" w:rsidRPr="0087113A" w14:paraId="26CE8051" w14:textId="77777777" w:rsidTr="0059175C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567D19" w14:textId="77777777" w:rsidR="0059175C" w:rsidRPr="0087113A" w:rsidRDefault="0059175C">
            <w:pPr>
              <w:suppressAutoHyphens/>
              <w:rPr>
                <w:sz w:val="22"/>
                <w:szCs w:val="22"/>
              </w:rPr>
            </w:pPr>
            <w:proofErr w:type="spellStart"/>
            <w:r w:rsidRPr="0087113A">
              <w:rPr>
                <w:sz w:val="22"/>
                <w:szCs w:val="22"/>
              </w:rPr>
              <w:t>Antal</w:t>
            </w:r>
            <w:proofErr w:type="spellEnd"/>
            <w:r w:rsidRPr="0087113A">
              <w:rPr>
                <w:sz w:val="22"/>
                <w:szCs w:val="22"/>
              </w:rPr>
              <w:t xml:space="preserve"> </w:t>
            </w:r>
            <w:proofErr w:type="spellStart"/>
            <w:r w:rsidRPr="0087113A">
              <w:rPr>
                <w:sz w:val="22"/>
                <w:szCs w:val="22"/>
              </w:rPr>
              <w:t>natlige</w:t>
            </w:r>
            <w:proofErr w:type="spellEnd"/>
            <w:r w:rsidRPr="0087113A">
              <w:rPr>
                <w:sz w:val="22"/>
                <w:szCs w:val="22"/>
              </w:rPr>
              <w:t xml:space="preserve"> </w:t>
            </w:r>
            <w:proofErr w:type="spellStart"/>
            <w:r w:rsidRPr="0087113A">
              <w:rPr>
                <w:sz w:val="22"/>
                <w:szCs w:val="22"/>
              </w:rPr>
              <w:t>toiletbesøg</w:t>
            </w:r>
            <w:proofErr w:type="spellEnd"/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0A09DD" w14:textId="77777777" w:rsidR="0059175C" w:rsidRPr="0087113A" w:rsidRDefault="0059175C">
            <w:pPr>
              <w:suppressAutoHyphens/>
              <w:rPr>
                <w:sz w:val="22"/>
                <w:szCs w:val="22"/>
              </w:rPr>
            </w:pPr>
            <w:r w:rsidRPr="0087113A">
              <w:rPr>
                <w:sz w:val="22"/>
                <w:szCs w:val="22"/>
              </w:rPr>
              <w:t>2,97 (0,84)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293EB3" w14:textId="77777777" w:rsidR="0059175C" w:rsidRPr="0087113A" w:rsidRDefault="0059175C">
            <w:pPr>
              <w:suppressAutoHyphens/>
              <w:rPr>
                <w:sz w:val="22"/>
                <w:szCs w:val="22"/>
              </w:rPr>
            </w:pPr>
            <w:r w:rsidRPr="0087113A">
              <w:rPr>
                <w:sz w:val="22"/>
                <w:szCs w:val="22"/>
              </w:rPr>
              <w:t>1,68 (0,86)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72394" w14:textId="77777777" w:rsidR="0059175C" w:rsidRPr="0087113A" w:rsidRDefault="0059175C">
            <w:pPr>
              <w:suppressAutoHyphens/>
              <w:rPr>
                <w:sz w:val="22"/>
                <w:szCs w:val="22"/>
              </w:rPr>
            </w:pPr>
            <w:r w:rsidRPr="0087113A">
              <w:rPr>
                <w:sz w:val="22"/>
                <w:szCs w:val="22"/>
              </w:rPr>
              <w:t>3,03 (1,10)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FCDAB4" w14:textId="77777777" w:rsidR="0059175C" w:rsidRPr="0087113A" w:rsidRDefault="0059175C">
            <w:pPr>
              <w:suppressAutoHyphens/>
              <w:rPr>
                <w:sz w:val="22"/>
                <w:szCs w:val="22"/>
              </w:rPr>
            </w:pPr>
            <w:r w:rsidRPr="0087113A">
              <w:rPr>
                <w:sz w:val="22"/>
                <w:szCs w:val="22"/>
              </w:rPr>
              <w:t>2,54 (1,05)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F01A3" w14:textId="77777777" w:rsidR="0059175C" w:rsidRPr="0087113A" w:rsidRDefault="0059175C">
            <w:pPr>
              <w:suppressAutoHyphens/>
              <w:rPr>
                <w:sz w:val="22"/>
                <w:szCs w:val="22"/>
              </w:rPr>
            </w:pPr>
            <w:r w:rsidRPr="0087113A">
              <w:rPr>
                <w:sz w:val="22"/>
                <w:szCs w:val="22"/>
              </w:rPr>
              <w:t>p &lt; 0,0001</w:t>
            </w:r>
          </w:p>
        </w:tc>
      </w:tr>
      <w:tr w:rsidR="0059175C" w:rsidRPr="0087113A" w14:paraId="3651A01B" w14:textId="77777777" w:rsidTr="0059175C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D5C72" w14:textId="77777777" w:rsidR="0059175C" w:rsidRPr="0087113A" w:rsidRDefault="0059175C">
            <w:pPr>
              <w:suppressAutoHyphens/>
              <w:rPr>
                <w:sz w:val="22"/>
                <w:szCs w:val="22"/>
                <w:lang w:val="da-DK"/>
              </w:rPr>
            </w:pPr>
            <w:r w:rsidRPr="0087113A">
              <w:rPr>
                <w:sz w:val="22"/>
                <w:szCs w:val="22"/>
                <w:lang w:val="da-DK"/>
              </w:rPr>
              <w:t>Volumen af natlig urinproduktion (ml/min)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06406" w14:textId="77777777" w:rsidR="0059175C" w:rsidRPr="0087113A" w:rsidRDefault="0059175C">
            <w:pPr>
              <w:suppressAutoHyphens/>
              <w:rPr>
                <w:sz w:val="22"/>
                <w:szCs w:val="22"/>
              </w:rPr>
            </w:pPr>
            <w:r w:rsidRPr="0087113A">
              <w:rPr>
                <w:sz w:val="22"/>
                <w:szCs w:val="22"/>
              </w:rPr>
              <w:t>1,51 (0,55)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B9EF27" w14:textId="77777777" w:rsidR="0059175C" w:rsidRPr="0087113A" w:rsidRDefault="0059175C">
            <w:pPr>
              <w:suppressAutoHyphens/>
              <w:rPr>
                <w:sz w:val="22"/>
                <w:szCs w:val="22"/>
              </w:rPr>
            </w:pPr>
            <w:r w:rsidRPr="0087113A">
              <w:rPr>
                <w:sz w:val="22"/>
                <w:szCs w:val="22"/>
              </w:rPr>
              <w:t>0,87 (0,34)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18951D" w14:textId="77777777" w:rsidR="0059175C" w:rsidRPr="0087113A" w:rsidRDefault="0059175C">
            <w:pPr>
              <w:suppressAutoHyphens/>
              <w:rPr>
                <w:sz w:val="22"/>
                <w:szCs w:val="22"/>
              </w:rPr>
            </w:pPr>
            <w:r w:rsidRPr="0087113A">
              <w:rPr>
                <w:sz w:val="22"/>
                <w:szCs w:val="22"/>
              </w:rPr>
              <w:t>1,55 (0,57)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D7398" w14:textId="77777777" w:rsidR="0059175C" w:rsidRPr="0087113A" w:rsidRDefault="0059175C">
            <w:pPr>
              <w:suppressAutoHyphens/>
              <w:rPr>
                <w:sz w:val="22"/>
                <w:szCs w:val="22"/>
              </w:rPr>
            </w:pPr>
            <w:r w:rsidRPr="0087113A">
              <w:rPr>
                <w:sz w:val="22"/>
                <w:szCs w:val="22"/>
              </w:rPr>
              <w:t>1,44 (0,57)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86402" w14:textId="77777777" w:rsidR="0059175C" w:rsidRPr="0087113A" w:rsidRDefault="0059175C">
            <w:pPr>
              <w:suppressAutoHyphens/>
              <w:rPr>
                <w:sz w:val="22"/>
                <w:szCs w:val="22"/>
              </w:rPr>
            </w:pPr>
            <w:r w:rsidRPr="0087113A">
              <w:rPr>
                <w:sz w:val="22"/>
                <w:szCs w:val="22"/>
              </w:rPr>
              <w:t>p &lt; 0,0001</w:t>
            </w:r>
          </w:p>
        </w:tc>
      </w:tr>
      <w:tr w:rsidR="0059175C" w:rsidRPr="0087113A" w14:paraId="67E3F362" w14:textId="77777777" w:rsidTr="0059175C">
        <w:tc>
          <w:tcPr>
            <w:tcW w:w="85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77FD8D" w14:textId="77777777" w:rsidR="0059175C" w:rsidRPr="0087113A" w:rsidRDefault="0059175C">
            <w:pPr>
              <w:suppressAutoHyphens/>
              <w:rPr>
                <w:sz w:val="22"/>
                <w:szCs w:val="22"/>
                <w:lang w:val="da-DK"/>
              </w:rPr>
            </w:pPr>
            <w:r w:rsidRPr="0087113A">
              <w:rPr>
                <w:sz w:val="22"/>
                <w:szCs w:val="22"/>
                <w:lang w:val="da-DK"/>
              </w:rPr>
              <w:t>Varighed af første uforstyrrede søvnperiode (min)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4710F2" w14:textId="77777777" w:rsidR="0059175C" w:rsidRPr="0087113A" w:rsidRDefault="0059175C">
            <w:pPr>
              <w:suppressAutoHyphens/>
              <w:rPr>
                <w:sz w:val="22"/>
                <w:szCs w:val="22"/>
              </w:rPr>
            </w:pPr>
            <w:r w:rsidRPr="0087113A">
              <w:rPr>
                <w:sz w:val="22"/>
                <w:szCs w:val="22"/>
              </w:rPr>
              <w:t>152 (51)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1DE2B" w14:textId="77777777" w:rsidR="0059175C" w:rsidRPr="0087113A" w:rsidRDefault="0059175C">
            <w:pPr>
              <w:suppressAutoHyphens/>
              <w:rPr>
                <w:sz w:val="22"/>
                <w:szCs w:val="22"/>
              </w:rPr>
            </w:pPr>
            <w:r w:rsidRPr="0087113A">
              <w:rPr>
                <w:sz w:val="22"/>
                <w:szCs w:val="22"/>
              </w:rPr>
              <w:t>270 (95)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4F1AF" w14:textId="77777777" w:rsidR="0059175C" w:rsidRPr="0087113A" w:rsidRDefault="0059175C">
            <w:pPr>
              <w:suppressAutoHyphens/>
              <w:rPr>
                <w:sz w:val="22"/>
                <w:szCs w:val="22"/>
              </w:rPr>
            </w:pPr>
            <w:r w:rsidRPr="0087113A">
              <w:rPr>
                <w:sz w:val="22"/>
                <w:szCs w:val="22"/>
              </w:rPr>
              <w:t>147 (54)</w:t>
            </w:r>
          </w:p>
        </w:tc>
        <w:tc>
          <w:tcPr>
            <w:tcW w:w="8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08AD27" w14:textId="77777777" w:rsidR="0059175C" w:rsidRPr="0087113A" w:rsidRDefault="0059175C">
            <w:pPr>
              <w:suppressAutoHyphens/>
              <w:rPr>
                <w:sz w:val="22"/>
                <w:szCs w:val="22"/>
              </w:rPr>
            </w:pPr>
            <w:r w:rsidRPr="0087113A">
              <w:rPr>
                <w:sz w:val="22"/>
                <w:szCs w:val="22"/>
              </w:rPr>
              <w:t>178 (70)</w:t>
            </w:r>
          </w:p>
        </w:tc>
        <w:tc>
          <w:tcPr>
            <w:tcW w:w="8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E77E45" w14:textId="77777777" w:rsidR="0059175C" w:rsidRPr="0087113A" w:rsidRDefault="0059175C">
            <w:pPr>
              <w:suppressAutoHyphens/>
              <w:rPr>
                <w:sz w:val="22"/>
                <w:szCs w:val="22"/>
              </w:rPr>
            </w:pPr>
            <w:r w:rsidRPr="0087113A">
              <w:rPr>
                <w:sz w:val="22"/>
                <w:szCs w:val="22"/>
              </w:rPr>
              <w:t>p &lt; 0,0001</w:t>
            </w:r>
          </w:p>
        </w:tc>
      </w:tr>
    </w:tbl>
    <w:p w14:paraId="2EFCDA08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3545402B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8 % af patienterne seponerede behandling på grund af bivirkninger i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-titreringsfasen og 2 % i den efterfølgende dobbeltblinde fase (0,63 % på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og 1,45 % på placebo).</w:t>
      </w:r>
    </w:p>
    <w:p w14:paraId="2565D442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E8C9FCC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5.2</w:t>
      </w:r>
      <w:r w:rsidRPr="00E032CA">
        <w:rPr>
          <w:b/>
          <w:sz w:val="24"/>
          <w:szCs w:val="24"/>
        </w:rPr>
        <w:tab/>
      </w:r>
      <w:proofErr w:type="spellStart"/>
      <w:r w:rsidRPr="00E032CA">
        <w:rPr>
          <w:b/>
          <w:sz w:val="24"/>
          <w:szCs w:val="24"/>
        </w:rPr>
        <w:t>Farmakokinetiske</w:t>
      </w:r>
      <w:proofErr w:type="spellEnd"/>
      <w:r w:rsidRPr="00E032CA">
        <w:rPr>
          <w:b/>
          <w:sz w:val="24"/>
          <w:szCs w:val="24"/>
        </w:rPr>
        <w:t xml:space="preserve"> egenskaber</w:t>
      </w:r>
    </w:p>
    <w:p w14:paraId="0C12CE33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487D3B7D" w14:textId="77777777" w:rsidR="0059175C" w:rsidRPr="00E032CA" w:rsidRDefault="0059175C" w:rsidP="0059175C">
      <w:pPr>
        <w:ind w:left="851"/>
        <w:rPr>
          <w:sz w:val="24"/>
          <w:szCs w:val="24"/>
          <w:u w:val="single"/>
        </w:rPr>
      </w:pPr>
      <w:r w:rsidRPr="00E032CA">
        <w:rPr>
          <w:sz w:val="24"/>
          <w:szCs w:val="24"/>
          <w:u w:val="single"/>
        </w:rPr>
        <w:t>Absorption</w:t>
      </w:r>
    </w:p>
    <w:p w14:paraId="076016C3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Den gennemsnitlige biotilgængelighed af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administreret </w:t>
      </w:r>
      <w:proofErr w:type="spellStart"/>
      <w:r w:rsidRPr="00E032CA">
        <w:rPr>
          <w:sz w:val="24"/>
          <w:szCs w:val="24"/>
        </w:rPr>
        <w:t>sublingualt</w:t>
      </w:r>
      <w:proofErr w:type="spellEnd"/>
      <w:r w:rsidRPr="00E032CA">
        <w:rPr>
          <w:sz w:val="24"/>
          <w:szCs w:val="24"/>
        </w:rPr>
        <w:t xml:space="preserve"> ved doser på 200, 400 og 800 mikrogram er 0,25 % (CI 95 %: 0,21; 0,31 %). Efter administration af doser på 200, 400 og 800 mikrogram var </w:t>
      </w:r>
      <w:proofErr w:type="spellStart"/>
      <w:r w:rsidRPr="00E032CA">
        <w:rPr>
          <w:sz w:val="24"/>
          <w:szCs w:val="24"/>
        </w:rPr>
        <w:t>C</w:t>
      </w:r>
      <w:r w:rsidRPr="00E032CA">
        <w:rPr>
          <w:sz w:val="24"/>
          <w:szCs w:val="24"/>
          <w:vertAlign w:val="subscript"/>
        </w:rPr>
        <w:t>max</w:t>
      </w:r>
      <w:proofErr w:type="spellEnd"/>
      <w:r w:rsidRPr="00E032CA">
        <w:rPr>
          <w:sz w:val="24"/>
          <w:szCs w:val="24"/>
        </w:rPr>
        <w:t xml:space="preserve"> henholdsvis 14, 30 og 65 </w:t>
      </w:r>
      <w:proofErr w:type="spellStart"/>
      <w:r w:rsidRPr="00E032CA">
        <w:rPr>
          <w:sz w:val="24"/>
          <w:szCs w:val="24"/>
        </w:rPr>
        <w:t>pg</w:t>
      </w:r>
      <w:proofErr w:type="spellEnd"/>
      <w:r w:rsidRPr="00E032CA">
        <w:rPr>
          <w:sz w:val="24"/>
          <w:szCs w:val="24"/>
        </w:rPr>
        <w:t xml:space="preserve">/ml. </w:t>
      </w:r>
      <w:proofErr w:type="spellStart"/>
      <w:r w:rsidRPr="00E032CA">
        <w:rPr>
          <w:sz w:val="24"/>
          <w:szCs w:val="24"/>
        </w:rPr>
        <w:t>T</w:t>
      </w:r>
      <w:r w:rsidRPr="00E032CA">
        <w:rPr>
          <w:sz w:val="24"/>
          <w:szCs w:val="24"/>
          <w:vertAlign w:val="subscript"/>
        </w:rPr>
        <w:t>max</w:t>
      </w:r>
      <w:proofErr w:type="spellEnd"/>
      <w:r w:rsidRPr="00E032CA">
        <w:rPr>
          <w:sz w:val="24"/>
          <w:szCs w:val="24"/>
        </w:rPr>
        <w:t xml:space="preserve"> blev nået 0,5 – 2 timer efter dosering.</w:t>
      </w:r>
    </w:p>
    <w:p w14:paraId="0C55DCFB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550B4E1E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Samtidig fødeindtagelse er ikke blevet undersøgt med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sublinguale</w:t>
      </w:r>
      <w:proofErr w:type="spellEnd"/>
      <w:r w:rsidRPr="00E032CA">
        <w:rPr>
          <w:sz w:val="24"/>
          <w:szCs w:val="24"/>
        </w:rPr>
        <w:t xml:space="preserve"> tabletter, men fødeindtagelse med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>-tablet reducerede absorptionshastigheden og -graden med 40 %.</w:t>
      </w:r>
    </w:p>
    <w:p w14:paraId="2DC0B2EF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549D5317" w14:textId="77777777" w:rsidR="0059175C" w:rsidRPr="00E032CA" w:rsidRDefault="0059175C" w:rsidP="0059175C">
      <w:pPr>
        <w:ind w:left="851"/>
        <w:rPr>
          <w:sz w:val="24"/>
          <w:szCs w:val="24"/>
          <w:u w:val="single"/>
        </w:rPr>
      </w:pPr>
      <w:r w:rsidRPr="00E032CA">
        <w:rPr>
          <w:sz w:val="24"/>
          <w:szCs w:val="24"/>
          <w:u w:val="single"/>
        </w:rPr>
        <w:lastRenderedPageBreak/>
        <w:t>Fordeling</w:t>
      </w:r>
    </w:p>
    <w:p w14:paraId="32897226" w14:textId="77777777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sz w:val="24"/>
          <w:szCs w:val="24"/>
        </w:rPr>
        <w:t>Desmopressins</w:t>
      </w:r>
      <w:proofErr w:type="spellEnd"/>
      <w:r w:rsidRPr="00E032CA">
        <w:rPr>
          <w:sz w:val="24"/>
          <w:szCs w:val="24"/>
        </w:rPr>
        <w:t xml:space="preserve"> fordeling beskrives bedst med en to-</w:t>
      </w:r>
      <w:proofErr w:type="spellStart"/>
      <w:r w:rsidRPr="00E032CA">
        <w:rPr>
          <w:sz w:val="24"/>
          <w:szCs w:val="24"/>
        </w:rPr>
        <w:t>kompartment</w:t>
      </w:r>
      <w:proofErr w:type="spellEnd"/>
      <w:r w:rsidRPr="00E032CA">
        <w:rPr>
          <w:sz w:val="24"/>
          <w:szCs w:val="24"/>
        </w:rPr>
        <w:t xml:space="preserve"> model, hvor fordelingsvolumenet under elimineringsfasen er 0,3 – 0,5 l/kg.</w:t>
      </w:r>
    </w:p>
    <w:p w14:paraId="5DECD8A5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62401EA9" w14:textId="77777777" w:rsidR="0059175C" w:rsidRPr="00E032CA" w:rsidRDefault="0059175C" w:rsidP="0059175C">
      <w:pPr>
        <w:ind w:left="851"/>
        <w:rPr>
          <w:sz w:val="24"/>
          <w:szCs w:val="24"/>
          <w:u w:val="single"/>
        </w:rPr>
      </w:pPr>
      <w:r w:rsidRPr="00E032CA">
        <w:rPr>
          <w:sz w:val="24"/>
          <w:szCs w:val="24"/>
          <w:u w:val="single"/>
        </w:rPr>
        <w:t>Biotransformation</w:t>
      </w:r>
    </w:p>
    <w:p w14:paraId="50E528BD" w14:textId="62BEFDBC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i/>
          <w:iCs/>
          <w:sz w:val="24"/>
          <w:szCs w:val="24"/>
        </w:rPr>
        <w:t xml:space="preserve">In </w:t>
      </w:r>
      <w:proofErr w:type="spellStart"/>
      <w:r w:rsidRPr="00E032CA">
        <w:rPr>
          <w:i/>
          <w:iCs/>
          <w:sz w:val="24"/>
          <w:szCs w:val="24"/>
        </w:rPr>
        <w:t>vivo</w:t>
      </w:r>
      <w:proofErr w:type="spellEnd"/>
      <w:r w:rsidRPr="00E032CA">
        <w:rPr>
          <w:sz w:val="24"/>
          <w:szCs w:val="24"/>
        </w:rPr>
        <w:t xml:space="preserve">-metabolismen for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er blevet ikke undersøgt. </w:t>
      </w:r>
      <w:r w:rsidRPr="00E032CA">
        <w:rPr>
          <w:i/>
          <w:iCs/>
          <w:sz w:val="24"/>
          <w:szCs w:val="24"/>
        </w:rPr>
        <w:t xml:space="preserve">In </w:t>
      </w:r>
      <w:proofErr w:type="spellStart"/>
      <w:r w:rsidRPr="00E032CA">
        <w:rPr>
          <w:i/>
          <w:iCs/>
          <w:sz w:val="24"/>
          <w:szCs w:val="24"/>
        </w:rPr>
        <w:t>vitro</w:t>
      </w:r>
      <w:proofErr w:type="spellEnd"/>
      <w:r w:rsidRPr="00E032CA">
        <w:rPr>
          <w:sz w:val="24"/>
          <w:szCs w:val="24"/>
        </w:rPr>
        <w:t>-metabolisme</w:t>
      </w:r>
      <w:r w:rsidR="00144840">
        <w:rPr>
          <w:sz w:val="24"/>
          <w:szCs w:val="24"/>
        </w:rPr>
        <w:softHyphen/>
      </w:r>
      <w:r w:rsidRPr="00E032CA">
        <w:rPr>
          <w:sz w:val="24"/>
          <w:szCs w:val="24"/>
        </w:rPr>
        <w:t xml:space="preserve">studier med humane </w:t>
      </w:r>
      <w:proofErr w:type="spellStart"/>
      <w:r w:rsidRPr="00E032CA">
        <w:rPr>
          <w:sz w:val="24"/>
          <w:szCs w:val="24"/>
        </w:rPr>
        <w:t>levermikrosomer</w:t>
      </w:r>
      <w:proofErr w:type="spellEnd"/>
      <w:r w:rsidRPr="00E032CA">
        <w:rPr>
          <w:sz w:val="24"/>
          <w:szCs w:val="24"/>
        </w:rPr>
        <w:t xml:space="preserve"> har vist, at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ikke </w:t>
      </w:r>
      <w:proofErr w:type="spellStart"/>
      <w:r w:rsidRPr="00E032CA">
        <w:rPr>
          <w:sz w:val="24"/>
          <w:szCs w:val="24"/>
        </w:rPr>
        <w:t>metaboliseres</w:t>
      </w:r>
      <w:proofErr w:type="spellEnd"/>
      <w:r w:rsidRPr="00E032CA">
        <w:rPr>
          <w:sz w:val="24"/>
          <w:szCs w:val="24"/>
        </w:rPr>
        <w:t xml:space="preserve"> i leveren via </w:t>
      </w:r>
      <w:proofErr w:type="spellStart"/>
      <w:r w:rsidRPr="00E032CA">
        <w:rPr>
          <w:sz w:val="24"/>
          <w:szCs w:val="24"/>
        </w:rPr>
        <w:t>cytokrom</w:t>
      </w:r>
      <w:proofErr w:type="spellEnd"/>
      <w:r w:rsidRPr="00E032CA">
        <w:rPr>
          <w:sz w:val="24"/>
          <w:szCs w:val="24"/>
        </w:rPr>
        <w:t xml:space="preserve"> P450</w:t>
      </w:r>
      <w:r w:rsidRPr="00E032CA">
        <w:rPr>
          <w:sz w:val="24"/>
          <w:szCs w:val="24"/>
        </w:rPr>
        <w:noBreakHyphen/>
        <w:t xml:space="preserve">systemet i signifikant grad. Det er derfor usandsynligt, at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metaboliseres</w:t>
      </w:r>
      <w:proofErr w:type="spellEnd"/>
      <w:r w:rsidRPr="00E032CA">
        <w:rPr>
          <w:sz w:val="24"/>
          <w:szCs w:val="24"/>
        </w:rPr>
        <w:t xml:space="preserve"> via </w:t>
      </w:r>
      <w:proofErr w:type="spellStart"/>
      <w:r w:rsidRPr="00E032CA">
        <w:rPr>
          <w:sz w:val="24"/>
          <w:szCs w:val="24"/>
        </w:rPr>
        <w:t>cytokrom</w:t>
      </w:r>
      <w:proofErr w:type="spellEnd"/>
      <w:r w:rsidRPr="00E032CA">
        <w:rPr>
          <w:sz w:val="24"/>
          <w:szCs w:val="24"/>
        </w:rPr>
        <w:t xml:space="preserve"> P450-systemet i leveren hos mennesker. </w:t>
      </w:r>
      <w:proofErr w:type="spellStart"/>
      <w:r w:rsidRPr="00E032CA">
        <w:rPr>
          <w:sz w:val="24"/>
          <w:szCs w:val="24"/>
        </w:rPr>
        <w:t>Desmopressins</w:t>
      </w:r>
      <w:proofErr w:type="spellEnd"/>
      <w:r w:rsidRPr="00E032CA">
        <w:rPr>
          <w:sz w:val="24"/>
          <w:szCs w:val="24"/>
        </w:rPr>
        <w:t xml:space="preserve"> effekt på andre lægemidlers farmakokinetik er sandsynligvis minimal, da det ikke hæmmer metabolismen via </w:t>
      </w:r>
      <w:proofErr w:type="spellStart"/>
      <w:r w:rsidRPr="00E032CA">
        <w:rPr>
          <w:sz w:val="24"/>
          <w:szCs w:val="24"/>
        </w:rPr>
        <w:t>cytokrom</w:t>
      </w:r>
      <w:proofErr w:type="spellEnd"/>
      <w:r w:rsidRPr="00E032CA">
        <w:rPr>
          <w:sz w:val="24"/>
          <w:szCs w:val="24"/>
        </w:rPr>
        <w:t xml:space="preserve"> P450</w:t>
      </w:r>
      <w:r w:rsidRPr="00E032CA">
        <w:rPr>
          <w:sz w:val="24"/>
          <w:szCs w:val="24"/>
        </w:rPr>
        <w:noBreakHyphen/>
        <w:t>systemet.</w:t>
      </w:r>
    </w:p>
    <w:p w14:paraId="0258B15B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1F98A99B" w14:textId="77777777" w:rsidR="0059175C" w:rsidRPr="00E032CA" w:rsidRDefault="0059175C" w:rsidP="0059175C">
      <w:pPr>
        <w:ind w:left="851"/>
        <w:rPr>
          <w:sz w:val="24"/>
          <w:szCs w:val="24"/>
          <w:u w:val="single"/>
        </w:rPr>
      </w:pPr>
      <w:r w:rsidRPr="00E032CA">
        <w:rPr>
          <w:sz w:val="24"/>
          <w:szCs w:val="24"/>
          <w:u w:val="single"/>
        </w:rPr>
        <w:t>Elimination</w:t>
      </w:r>
    </w:p>
    <w:p w14:paraId="3EAF65F8" w14:textId="77777777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sz w:val="24"/>
          <w:szCs w:val="24"/>
        </w:rPr>
        <w:t>Desmopressins</w:t>
      </w:r>
      <w:proofErr w:type="spellEnd"/>
      <w:r w:rsidRPr="00E032CA">
        <w:rPr>
          <w:sz w:val="24"/>
          <w:szCs w:val="24"/>
        </w:rPr>
        <w:t xml:space="preserve"> total </w:t>
      </w:r>
      <w:proofErr w:type="spellStart"/>
      <w:r w:rsidRPr="00E032CA">
        <w:rPr>
          <w:sz w:val="24"/>
          <w:szCs w:val="24"/>
        </w:rPr>
        <w:t>clearance</w:t>
      </w:r>
      <w:proofErr w:type="spellEnd"/>
      <w:r w:rsidRPr="00E032CA">
        <w:rPr>
          <w:sz w:val="24"/>
          <w:szCs w:val="24"/>
        </w:rPr>
        <w:t xml:space="preserve"> er kalkuleret til 7,6 l/time. </w:t>
      </w:r>
      <w:proofErr w:type="spellStart"/>
      <w:r w:rsidRPr="00E032CA">
        <w:rPr>
          <w:sz w:val="24"/>
          <w:szCs w:val="24"/>
        </w:rPr>
        <w:t>Desmopressins</w:t>
      </w:r>
      <w:proofErr w:type="spellEnd"/>
      <w:r w:rsidRPr="00E032CA">
        <w:rPr>
          <w:sz w:val="24"/>
          <w:szCs w:val="24"/>
        </w:rPr>
        <w:t xml:space="preserve"> estimerede terminale halveringstid er 2,8 timer. Hos raske forsøgspersoner er andelen, der udskilles uændret, 52 % (44 til 60 %).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udskilles hovedsageligt uændret i urinen.</w:t>
      </w:r>
    </w:p>
    <w:p w14:paraId="69E7B096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786E4DFE" w14:textId="77777777" w:rsidR="0059175C" w:rsidRPr="00E032CA" w:rsidRDefault="0059175C" w:rsidP="0059175C">
      <w:pPr>
        <w:ind w:left="851"/>
        <w:rPr>
          <w:sz w:val="24"/>
          <w:szCs w:val="24"/>
          <w:u w:val="single"/>
        </w:rPr>
      </w:pPr>
      <w:r w:rsidRPr="00E032CA">
        <w:rPr>
          <w:sz w:val="24"/>
          <w:szCs w:val="24"/>
          <w:u w:val="single"/>
        </w:rPr>
        <w:t>Linearitet/non-linearitet</w:t>
      </w:r>
    </w:p>
    <w:p w14:paraId="3AB311DE" w14:textId="77777777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sz w:val="24"/>
          <w:szCs w:val="24"/>
        </w:rPr>
        <w:t>Desmopressins</w:t>
      </w:r>
      <w:proofErr w:type="spellEnd"/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farmakokinetiske</w:t>
      </w:r>
      <w:proofErr w:type="spellEnd"/>
      <w:r w:rsidRPr="00E032CA">
        <w:rPr>
          <w:sz w:val="24"/>
          <w:szCs w:val="24"/>
        </w:rPr>
        <w:t xml:space="preserve"> parametre tyder ikke på non-linearitet.</w:t>
      </w:r>
    </w:p>
    <w:p w14:paraId="02C15096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4D3D434A" w14:textId="77777777" w:rsidR="0059175C" w:rsidRPr="00E032CA" w:rsidRDefault="0059175C" w:rsidP="0059175C">
      <w:pPr>
        <w:ind w:left="851"/>
        <w:rPr>
          <w:sz w:val="24"/>
          <w:szCs w:val="24"/>
          <w:u w:val="single"/>
        </w:rPr>
      </w:pPr>
      <w:r w:rsidRPr="00E032CA">
        <w:rPr>
          <w:sz w:val="24"/>
          <w:szCs w:val="24"/>
          <w:u w:val="single"/>
        </w:rPr>
        <w:t>Nedsat nyrefunktion</w:t>
      </w:r>
    </w:p>
    <w:p w14:paraId="424B3B96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Afhængigt af graden af nedsat nyrefunktion øges AUC og halveringstid med øget sværhedsgrad af nedsat nyrefunktion.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 er kontraindiceret hos patienter med moderat til svært nedsat nyrefunktion (</w:t>
      </w:r>
      <w:proofErr w:type="spellStart"/>
      <w:r w:rsidRPr="00E032CA">
        <w:rPr>
          <w:sz w:val="24"/>
          <w:szCs w:val="24"/>
        </w:rPr>
        <w:t>kreatininclearance</w:t>
      </w:r>
      <w:proofErr w:type="spellEnd"/>
      <w:r w:rsidRPr="00E032CA">
        <w:rPr>
          <w:sz w:val="24"/>
          <w:szCs w:val="24"/>
        </w:rPr>
        <w:t xml:space="preserve"> &lt; 50 ml/min).</w:t>
      </w:r>
    </w:p>
    <w:p w14:paraId="5B39C1D5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51CDE823" w14:textId="77777777" w:rsidR="0059175C" w:rsidRPr="00E032CA" w:rsidRDefault="0059175C" w:rsidP="0059175C">
      <w:pPr>
        <w:ind w:left="851"/>
        <w:rPr>
          <w:sz w:val="24"/>
          <w:szCs w:val="24"/>
          <w:u w:val="single"/>
        </w:rPr>
      </w:pPr>
      <w:r w:rsidRPr="00E032CA">
        <w:rPr>
          <w:sz w:val="24"/>
          <w:szCs w:val="24"/>
          <w:u w:val="single"/>
        </w:rPr>
        <w:t>Nedsat leverfunktion</w:t>
      </w:r>
    </w:p>
    <w:p w14:paraId="634F65CC" w14:textId="77777777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sz w:val="24"/>
          <w:szCs w:val="24"/>
        </w:rPr>
        <w:t>Desmopressins</w:t>
      </w:r>
      <w:proofErr w:type="spellEnd"/>
      <w:r w:rsidRPr="00E032CA">
        <w:rPr>
          <w:sz w:val="24"/>
          <w:szCs w:val="24"/>
        </w:rPr>
        <w:t xml:space="preserve"> farmakokinetik er ikke blevet undersøgt hos patienter med nedsat leverfunktion.</w:t>
      </w:r>
    </w:p>
    <w:p w14:paraId="78013034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60A326B6" w14:textId="77777777" w:rsidR="0059175C" w:rsidRPr="00E032CA" w:rsidRDefault="0059175C" w:rsidP="0059175C">
      <w:pPr>
        <w:ind w:left="851"/>
        <w:rPr>
          <w:sz w:val="24"/>
          <w:szCs w:val="24"/>
          <w:u w:val="single"/>
        </w:rPr>
      </w:pPr>
      <w:r w:rsidRPr="00E032CA">
        <w:rPr>
          <w:sz w:val="24"/>
          <w:szCs w:val="24"/>
          <w:u w:val="single"/>
        </w:rPr>
        <w:t>Pædiatrisk population</w:t>
      </w:r>
    </w:p>
    <w:p w14:paraId="6E10FCA4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Populationsfarmakokinetikken for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 xml:space="preserve">-tabletter blev undersøgt hos børn behandlet for primær </w:t>
      </w:r>
      <w:proofErr w:type="spellStart"/>
      <w:r w:rsidRPr="00E032CA">
        <w:rPr>
          <w:sz w:val="24"/>
          <w:szCs w:val="24"/>
        </w:rPr>
        <w:t>enuresis</w:t>
      </w:r>
      <w:proofErr w:type="spellEnd"/>
      <w:r w:rsidRPr="00E032CA">
        <w:rPr>
          <w:sz w:val="24"/>
          <w:szCs w:val="24"/>
        </w:rPr>
        <w:t xml:space="preserve"> </w:t>
      </w:r>
      <w:proofErr w:type="spellStart"/>
      <w:r w:rsidRPr="00E032CA">
        <w:rPr>
          <w:sz w:val="24"/>
          <w:szCs w:val="24"/>
        </w:rPr>
        <w:t>nocturna</w:t>
      </w:r>
      <w:proofErr w:type="spellEnd"/>
      <w:r w:rsidRPr="00E032CA">
        <w:rPr>
          <w:sz w:val="24"/>
          <w:szCs w:val="24"/>
        </w:rPr>
        <w:t>. Der blev ikke fundet signifikante forskelle hos børn og voksne.</w:t>
      </w:r>
    </w:p>
    <w:p w14:paraId="0C7F3C9D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84510A1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5.3</w:t>
      </w:r>
      <w:r w:rsidRPr="00E032CA">
        <w:rPr>
          <w:b/>
          <w:sz w:val="24"/>
          <w:szCs w:val="24"/>
        </w:rPr>
        <w:tab/>
      </w:r>
      <w:r w:rsidR="00BD7931" w:rsidRPr="00E032CA">
        <w:rPr>
          <w:b/>
          <w:sz w:val="24"/>
          <w:szCs w:val="24"/>
        </w:rPr>
        <w:t>Non-</w:t>
      </w:r>
      <w:r w:rsidRPr="00E032CA">
        <w:rPr>
          <w:b/>
          <w:sz w:val="24"/>
          <w:szCs w:val="24"/>
        </w:rPr>
        <w:t>kliniske sikkerhedsdata</w:t>
      </w:r>
    </w:p>
    <w:p w14:paraId="359EE25B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Non-kliniske data viser ingen speciel risiko for mennesker vurderet ud fra konventionelle studier af sikkerhedsfarmakologi, toksicitet efter gentagne doser, genotoksicitet og reproduktionstoksicitet.</w:t>
      </w:r>
    </w:p>
    <w:p w14:paraId="2B5E8358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63E188FB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Der er ikke udført </w:t>
      </w:r>
      <w:proofErr w:type="spellStart"/>
      <w:r w:rsidRPr="00E032CA">
        <w:rPr>
          <w:sz w:val="24"/>
          <w:szCs w:val="24"/>
        </w:rPr>
        <w:t>karcinogenicitetsstudier</w:t>
      </w:r>
      <w:proofErr w:type="spellEnd"/>
      <w:r w:rsidRPr="00E032CA">
        <w:rPr>
          <w:sz w:val="24"/>
          <w:szCs w:val="24"/>
        </w:rPr>
        <w:t xml:space="preserve"> med </w:t>
      </w:r>
      <w:proofErr w:type="spellStart"/>
      <w:r w:rsidRPr="00E032CA">
        <w:rPr>
          <w:sz w:val="24"/>
          <w:szCs w:val="24"/>
        </w:rPr>
        <w:t>desmopressin</w:t>
      </w:r>
      <w:proofErr w:type="spellEnd"/>
      <w:r w:rsidRPr="00E032CA">
        <w:rPr>
          <w:sz w:val="24"/>
          <w:szCs w:val="24"/>
        </w:rPr>
        <w:t>, da det er tæt beslægtet med det naturligt forekommende peptidhormon.</w:t>
      </w:r>
    </w:p>
    <w:p w14:paraId="5BB437F8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2BD3FF89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EFEE775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6.</w:t>
      </w:r>
      <w:r w:rsidRPr="00E032CA">
        <w:rPr>
          <w:b/>
          <w:sz w:val="24"/>
          <w:szCs w:val="24"/>
        </w:rPr>
        <w:tab/>
        <w:t>FARMACEUTISKE OPLYSNINGER</w:t>
      </w:r>
    </w:p>
    <w:p w14:paraId="140278A8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DDB6FF7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6.1</w:t>
      </w:r>
      <w:r w:rsidRPr="00E032CA">
        <w:rPr>
          <w:b/>
          <w:sz w:val="24"/>
          <w:szCs w:val="24"/>
        </w:rPr>
        <w:tab/>
        <w:t>Hjælpestoffer</w:t>
      </w:r>
    </w:p>
    <w:p w14:paraId="65DAA687" w14:textId="77777777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sz w:val="24"/>
          <w:szCs w:val="24"/>
        </w:rPr>
        <w:t>Lactosemonohydrat</w:t>
      </w:r>
      <w:proofErr w:type="spellEnd"/>
    </w:p>
    <w:p w14:paraId="103365A8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Majsstivelse</w:t>
      </w:r>
    </w:p>
    <w:p w14:paraId="1ECFA4FE" w14:textId="77777777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sz w:val="24"/>
          <w:szCs w:val="24"/>
        </w:rPr>
        <w:t>Croscarmellosenatrium</w:t>
      </w:r>
      <w:proofErr w:type="spellEnd"/>
    </w:p>
    <w:p w14:paraId="1EF95847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Citronsyre</w:t>
      </w:r>
    </w:p>
    <w:p w14:paraId="5EBC5184" w14:textId="77777777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sz w:val="24"/>
          <w:szCs w:val="24"/>
        </w:rPr>
        <w:t>Magnesiumstearat</w:t>
      </w:r>
      <w:proofErr w:type="spellEnd"/>
    </w:p>
    <w:p w14:paraId="46C0FD69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74C66F05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6.2</w:t>
      </w:r>
      <w:r w:rsidRPr="00E032CA">
        <w:rPr>
          <w:b/>
          <w:sz w:val="24"/>
          <w:szCs w:val="24"/>
        </w:rPr>
        <w:tab/>
        <w:t>Uforligeligheder</w:t>
      </w:r>
    </w:p>
    <w:p w14:paraId="3DD01421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Ikke relevant.</w:t>
      </w:r>
    </w:p>
    <w:p w14:paraId="7ADC3218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6C7ABB47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6.3</w:t>
      </w:r>
      <w:r w:rsidRPr="00E032CA">
        <w:rPr>
          <w:b/>
          <w:sz w:val="24"/>
          <w:szCs w:val="24"/>
        </w:rPr>
        <w:tab/>
        <w:t>Opbevaringstid</w:t>
      </w:r>
    </w:p>
    <w:p w14:paraId="025BBA5B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2 år.</w:t>
      </w:r>
    </w:p>
    <w:p w14:paraId="3E288345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3340BF4A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6.4</w:t>
      </w:r>
      <w:r w:rsidRPr="00E032CA">
        <w:rPr>
          <w:b/>
          <w:sz w:val="24"/>
          <w:szCs w:val="24"/>
        </w:rPr>
        <w:tab/>
        <w:t>Særlige opbevaringsforhold</w:t>
      </w:r>
    </w:p>
    <w:p w14:paraId="3846E03C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Blister: Dette lægemiddel kræver ingen særlige forholdsregler vedrørende opbevaringen.</w:t>
      </w:r>
    </w:p>
    <w:p w14:paraId="12152488" w14:textId="75C6D20F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HDPE-flaske: Opbevares i den originale pakning for at beskytte mod fugt.</w:t>
      </w:r>
      <w:r w:rsidR="00D87C25">
        <w:rPr>
          <w:sz w:val="24"/>
          <w:szCs w:val="24"/>
        </w:rPr>
        <w:t xml:space="preserve"> </w:t>
      </w:r>
      <w:r w:rsidR="00D87C25" w:rsidRPr="00D87C25">
        <w:rPr>
          <w:sz w:val="24"/>
          <w:szCs w:val="24"/>
        </w:rPr>
        <w:t>Må ikke opbevares ved temperaturer over 30 °C.</w:t>
      </w:r>
    </w:p>
    <w:p w14:paraId="0BBE389B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B8E5BD1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6.5</w:t>
      </w:r>
      <w:r w:rsidRPr="00E032CA">
        <w:rPr>
          <w:b/>
          <w:sz w:val="24"/>
          <w:szCs w:val="24"/>
        </w:rPr>
        <w:tab/>
        <w:t>Emballagetype og pakningsstørrelser</w:t>
      </w:r>
    </w:p>
    <w:p w14:paraId="4CC3E014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Almindelig eller enkeltdosis Al-OPA/Al/PVC/PE-blister.</w:t>
      </w:r>
    </w:p>
    <w:p w14:paraId="11783DC1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HDPE-flaske med PP-låg med integreret tørremiddel.</w:t>
      </w:r>
    </w:p>
    <w:p w14:paraId="4CE5CA76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2694F74C" w14:textId="77777777" w:rsidR="0059175C" w:rsidRPr="00E032CA" w:rsidRDefault="0059175C" w:rsidP="0059175C">
      <w:pPr>
        <w:ind w:left="851"/>
        <w:rPr>
          <w:sz w:val="24"/>
          <w:szCs w:val="24"/>
          <w:u w:val="single"/>
        </w:rPr>
      </w:pPr>
      <w:r w:rsidRPr="00E032CA">
        <w:rPr>
          <w:sz w:val="24"/>
          <w:szCs w:val="24"/>
          <w:u w:val="single"/>
        </w:rPr>
        <w:t>Pakningsstørrelser</w:t>
      </w:r>
    </w:p>
    <w:p w14:paraId="3BDFDDB3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Blister: 10, 30, 60, 90 og 100 sublinguale resoribletter.</w:t>
      </w:r>
    </w:p>
    <w:p w14:paraId="1648F39F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Enkeltdosisblister: 10 × 1, 30 × 1, 60 × 1, 90 × 1 og 100 × 1 sublinguale resoribletter.</w:t>
      </w:r>
    </w:p>
    <w:p w14:paraId="07B6DB34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HDPE-flaske: 30 eller 100 sublinguale resoribletter.</w:t>
      </w:r>
    </w:p>
    <w:p w14:paraId="0D041576" w14:textId="77777777" w:rsidR="0059175C" w:rsidRPr="00E032CA" w:rsidRDefault="0059175C" w:rsidP="0059175C">
      <w:pPr>
        <w:ind w:left="851"/>
        <w:rPr>
          <w:sz w:val="24"/>
          <w:szCs w:val="24"/>
        </w:rPr>
      </w:pPr>
    </w:p>
    <w:p w14:paraId="70B812DA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Ikke alle pakningsstørrelser er nødvendigvis markedsført.</w:t>
      </w:r>
    </w:p>
    <w:p w14:paraId="24E3588C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40C8BC24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6.6</w:t>
      </w:r>
      <w:r w:rsidRPr="00E032CA">
        <w:rPr>
          <w:b/>
          <w:sz w:val="24"/>
          <w:szCs w:val="24"/>
        </w:rPr>
        <w:tab/>
        <w:t xml:space="preserve">Regler for </w:t>
      </w:r>
      <w:r w:rsidR="00BD7931" w:rsidRPr="00E032CA">
        <w:rPr>
          <w:b/>
          <w:sz w:val="24"/>
          <w:szCs w:val="24"/>
        </w:rPr>
        <w:t>bortskaffelse</w:t>
      </w:r>
      <w:r w:rsidRPr="00E032CA">
        <w:rPr>
          <w:b/>
          <w:sz w:val="24"/>
          <w:szCs w:val="24"/>
        </w:rPr>
        <w:t xml:space="preserve"> og anden håndtering</w:t>
      </w:r>
    </w:p>
    <w:p w14:paraId="1461AF13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Ikke anvendt lægemiddel samt affald heraf skal bortskaffes i henhold til lokale retningslinjer.</w:t>
      </w:r>
    </w:p>
    <w:p w14:paraId="78610294" w14:textId="77777777" w:rsidR="009260DE" w:rsidRPr="00E032CA" w:rsidRDefault="009260DE" w:rsidP="000730CA">
      <w:pPr>
        <w:tabs>
          <w:tab w:val="left" w:pos="851"/>
        </w:tabs>
        <w:ind w:left="851"/>
        <w:rPr>
          <w:sz w:val="24"/>
          <w:szCs w:val="24"/>
        </w:rPr>
      </w:pPr>
    </w:p>
    <w:p w14:paraId="3CACD649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7.</w:t>
      </w:r>
      <w:r w:rsidRPr="00E032CA">
        <w:rPr>
          <w:b/>
          <w:sz w:val="24"/>
          <w:szCs w:val="24"/>
        </w:rPr>
        <w:tab/>
        <w:t>INDEHAVER AF MARKEDSFØRINGSTILLADELSEN</w:t>
      </w:r>
    </w:p>
    <w:p w14:paraId="06A167AD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Orion Corporation</w:t>
      </w:r>
    </w:p>
    <w:p w14:paraId="79130540" w14:textId="77777777" w:rsidR="0059175C" w:rsidRPr="00E032CA" w:rsidRDefault="0059175C" w:rsidP="0059175C">
      <w:pPr>
        <w:ind w:left="851"/>
        <w:rPr>
          <w:sz w:val="24"/>
          <w:szCs w:val="24"/>
        </w:rPr>
      </w:pPr>
      <w:proofErr w:type="spellStart"/>
      <w:r w:rsidRPr="00E032CA">
        <w:rPr>
          <w:sz w:val="24"/>
          <w:szCs w:val="24"/>
        </w:rPr>
        <w:t>Orionintie</w:t>
      </w:r>
      <w:proofErr w:type="spellEnd"/>
      <w:r w:rsidRPr="00E032CA">
        <w:rPr>
          <w:sz w:val="24"/>
          <w:szCs w:val="24"/>
        </w:rPr>
        <w:t> 1</w:t>
      </w:r>
    </w:p>
    <w:p w14:paraId="69BD6B4C" w14:textId="77777777" w:rsidR="0059175C" w:rsidRPr="00E032CA" w:rsidRDefault="0059175C" w:rsidP="0059175C">
      <w:pPr>
        <w:ind w:left="851"/>
        <w:rPr>
          <w:sz w:val="24"/>
          <w:szCs w:val="24"/>
          <w:lang w:val="en-US"/>
        </w:rPr>
      </w:pPr>
      <w:r w:rsidRPr="00E032CA">
        <w:rPr>
          <w:sz w:val="24"/>
          <w:szCs w:val="24"/>
          <w:lang w:val="en-US"/>
        </w:rPr>
        <w:t>FI-02200 Espoo</w:t>
      </w:r>
    </w:p>
    <w:p w14:paraId="22CA36FA" w14:textId="77777777" w:rsidR="0059175C" w:rsidRPr="00E032CA" w:rsidRDefault="0059175C" w:rsidP="0059175C">
      <w:pPr>
        <w:ind w:left="851"/>
        <w:rPr>
          <w:sz w:val="24"/>
          <w:szCs w:val="24"/>
          <w:lang w:val="en-US"/>
        </w:rPr>
      </w:pPr>
      <w:r w:rsidRPr="00E032CA">
        <w:rPr>
          <w:sz w:val="24"/>
          <w:szCs w:val="24"/>
          <w:lang w:val="en-US"/>
        </w:rPr>
        <w:t>Finland</w:t>
      </w:r>
    </w:p>
    <w:p w14:paraId="42ABCBAB" w14:textId="77777777" w:rsidR="0059175C" w:rsidRPr="00E032CA" w:rsidRDefault="0059175C" w:rsidP="0059175C">
      <w:pPr>
        <w:ind w:left="851"/>
        <w:rPr>
          <w:sz w:val="24"/>
          <w:szCs w:val="24"/>
          <w:lang w:val="en-US"/>
        </w:rPr>
      </w:pPr>
    </w:p>
    <w:p w14:paraId="53B13776" w14:textId="77777777" w:rsidR="0059175C" w:rsidRPr="00E032CA" w:rsidRDefault="0059175C" w:rsidP="0059175C">
      <w:pPr>
        <w:ind w:left="851"/>
        <w:rPr>
          <w:b/>
          <w:bCs/>
          <w:sz w:val="24"/>
          <w:szCs w:val="24"/>
          <w:lang w:val="en-US"/>
        </w:rPr>
      </w:pPr>
      <w:proofErr w:type="spellStart"/>
      <w:r w:rsidRPr="00E032CA">
        <w:rPr>
          <w:b/>
          <w:bCs/>
          <w:sz w:val="24"/>
          <w:szCs w:val="24"/>
          <w:lang w:val="en-US"/>
        </w:rPr>
        <w:t>Repræsentant</w:t>
      </w:r>
      <w:proofErr w:type="spellEnd"/>
    </w:p>
    <w:p w14:paraId="50A989A0" w14:textId="77777777" w:rsidR="0059175C" w:rsidRPr="00E032CA" w:rsidRDefault="0059175C" w:rsidP="0059175C">
      <w:pPr>
        <w:ind w:left="851"/>
        <w:rPr>
          <w:sz w:val="24"/>
          <w:szCs w:val="24"/>
          <w:lang w:val="en-US"/>
        </w:rPr>
      </w:pPr>
      <w:r w:rsidRPr="00E032CA">
        <w:rPr>
          <w:sz w:val="24"/>
          <w:szCs w:val="24"/>
          <w:lang w:val="en-US"/>
        </w:rPr>
        <w:t>Orion Pharma A/S</w:t>
      </w:r>
    </w:p>
    <w:p w14:paraId="13119E36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Ørestads Boulevard 73</w:t>
      </w:r>
    </w:p>
    <w:p w14:paraId="25EF445A" w14:textId="77777777" w:rsidR="0059175C" w:rsidRPr="00E032CA" w:rsidRDefault="0059175C" w:rsidP="0059175C">
      <w:pPr>
        <w:ind w:left="851"/>
        <w:rPr>
          <w:sz w:val="24"/>
          <w:szCs w:val="24"/>
        </w:rPr>
      </w:pPr>
      <w:r w:rsidRPr="00E032CA">
        <w:rPr>
          <w:sz w:val="24"/>
          <w:szCs w:val="24"/>
        </w:rPr>
        <w:t>2300 København S</w:t>
      </w:r>
    </w:p>
    <w:p w14:paraId="6EB3FF0B" w14:textId="77777777" w:rsidR="00641C65" w:rsidRPr="00E032CA" w:rsidRDefault="00641C65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0A4C4DEC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8.</w:t>
      </w:r>
      <w:r w:rsidRPr="00E032CA">
        <w:rPr>
          <w:b/>
          <w:sz w:val="24"/>
          <w:szCs w:val="24"/>
        </w:rPr>
        <w:tab/>
        <w:t>MARKEDSFØRINGSTILLADELSESNUMMER (</w:t>
      </w:r>
      <w:r w:rsidR="00BF6243" w:rsidRPr="00E032CA">
        <w:rPr>
          <w:b/>
          <w:sz w:val="24"/>
          <w:szCs w:val="24"/>
        </w:rPr>
        <w:t>-</w:t>
      </w:r>
      <w:r w:rsidRPr="00E032CA">
        <w:rPr>
          <w:b/>
          <w:sz w:val="24"/>
          <w:szCs w:val="24"/>
        </w:rPr>
        <w:t>NUMRE)</w:t>
      </w:r>
    </w:p>
    <w:p w14:paraId="020C23C8" w14:textId="0AEE3413" w:rsidR="0059175C" w:rsidRPr="00E032CA" w:rsidRDefault="0059175C" w:rsidP="0087113A">
      <w:pPr>
        <w:tabs>
          <w:tab w:val="left" w:pos="2552"/>
        </w:tabs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60 mikrogram: </w:t>
      </w:r>
      <w:r w:rsidR="0087113A">
        <w:rPr>
          <w:sz w:val="24"/>
          <w:szCs w:val="24"/>
        </w:rPr>
        <w:tab/>
      </w:r>
      <w:r w:rsidRPr="00E032CA">
        <w:rPr>
          <w:sz w:val="24"/>
          <w:szCs w:val="24"/>
        </w:rPr>
        <w:t>67745</w:t>
      </w:r>
    </w:p>
    <w:p w14:paraId="26C567A1" w14:textId="6F507FF6" w:rsidR="0059175C" w:rsidRPr="00E032CA" w:rsidRDefault="0059175C" w:rsidP="0087113A">
      <w:pPr>
        <w:tabs>
          <w:tab w:val="left" w:pos="2552"/>
        </w:tabs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120 mikrogram: </w:t>
      </w:r>
      <w:r w:rsidR="0087113A">
        <w:rPr>
          <w:sz w:val="24"/>
          <w:szCs w:val="24"/>
        </w:rPr>
        <w:tab/>
      </w:r>
      <w:r w:rsidRPr="00E032CA">
        <w:rPr>
          <w:sz w:val="24"/>
          <w:szCs w:val="24"/>
        </w:rPr>
        <w:t>67746</w:t>
      </w:r>
    </w:p>
    <w:p w14:paraId="7E255943" w14:textId="7E49F002" w:rsidR="0059175C" w:rsidRPr="00E032CA" w:rsidRDefault="0059175C" w:rsidP="0087113A">
      <w:pPr>
        <w:tabs>
          <w:tab w:val="left" w:pos="2552"/>
        </w:tabs>
        <w:ind w:left="851"/>
        <w:rPr>
          <w:sz w:val="24"/>
          <w:szCs w:val="24"/>
        </w:rPr>
      </w:pPr>
      <w:r w:rsidRPr="00E032CA">
        <w:rPr>
          <w:sz w:val="24"/>
          <w:szCs w:val="24"/>
        </w:rPr>
        <w:t xml:space="preserve">240 mikrogram: </w:t>
      </w:r>
      <w:r w:rsidR="0087113A">
        <w:rPr>
          <w:sz w:val="24"/>
          <w:szCs w:val="24"/>
        </w:rPr>
        <w:tab/>
      </w:r>
      <w:r w:rsidRPr="00E032CA">
        <w:rPr>
          <w:sz w:val="24"/>
          <w:szCs w:val="24"/>
        </w:rPr>
        <w:t>67747</w:t>
      </w:r>
    </w:p>
    <w:p w14:paraId="7D2B7BC4" w14:textId="77777777" w:rsidR="009260DE" w:rsidRPr="00E032CA" w:rsidRDefault="009260DE" w:rsidP="009260DE">
      <w:pPr>
        <w:tabs>
          <w:tab w:val="left" w:pos="851"/>
        </w:tabs>
        <w:ind w:left="851"/>
        <w:jc w:val="both"/>
        <w:rPr>
          <w:sz w:val="24"/>
          <w:szCs w:val="24"/>
        </w:rPr>
      </w:pPr>
    </w:p>
    <w:p w14:paraId="08381228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9.</w:t>
      </w:r>
      <w:r w:rsidRPr="00E032CA">
        <w:rPr>
          <w:b/>
          <w:sz w:val="24"/>
          <w:szCs w:val="24"/>
        </w:rPr>
        <w:tab/>
        <w:t>DATO FOR FØRSTE MARKEDSFØRINGSTILLADELSE</w:t>
      </w:r>
    </w:p>
    <w:p w14:paraId="6A1D370F" w14:textId="6CE555C3" w:rsidR="009260DE" w:rsidRPr="00E032CA" w:rsidRDefault="009D2819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18. december 2024</w:t>
      </w:r>
    </w:p>
    <w:p w14:paraId="7DD632EE" w14:textId="77777777" w:rsidR="009260DE" w:rsidRPr="00E032CA" w:rsidRDefault="009260DE" w:rsidP="009260DE">
      <w:pPr>
        <w:tabs>
          <w:tab w:val="left" w:pos="851"/>
        </w:tabs>
        <w:ind w:left="851"/>
        <w:rPr>
          <w:sz w:val="24"/>
          <w:szCs w:val="24"/>
        </w:rPr>
      </w:pPr>
    </w:p>
    <w:p w14:paraId="1D6CD7AA" w14:textId="77777777" w:rsidR="009260DE" w:rsidRPr="00E032CA" w:rsidRDefault="009260DE" w:rsidP="009260DE">
      <w:pPr>
        <w:tabs>
          <w:tab w:val="left" w:pos="851"/>
        </w:tabs>
        <w:ind w:left="851" w:hanging="851"/>
        <w:rPr>
          <w:b/>
          <w:sz w:val="24"/>
          <w:szCs w:val="24"/>
        </w:rPr>
      </w:pPr>
      <w:r w:rsidRPr="00E032CA">
        <w:rPr>
          <w:b/>
          <w:sz w:val="24"/>
          <w:szCs w:val="24"/>
        </w:rPr>
        <w:t>10.</w:t>
      </w:r>
      <w:r w:rsidRPr="00E032CA">
        <w:rPr>
          <w:b/>
          <w:sz w:val="24"/>
          <w:szCs w:val="24"/>
        </w:rPr>
        <w:tab/>
        <w:t>DATO FOR ÆNDRING AF TEKSTEN</w:t>
      </w:r>
    </w:p>
    <w:p w14:paraId="739A4A54" w14:textId="7C0F96A6" w:rsidR="009260DE" w:rsidRPr="00E032CA" w:rsidRDefault="00D87C25" w:rsidP="009260DE">
      <w:pPr>
        <w:tabs>
          <w:tab w:val="left" w:pos="851"/>
        </w:tabs>
        <w:ind w:left="851"/>
        <w:rPr>
          <w:sz w:val="24"/>
          <w:szCs w:val="24"/>
        </w:rPr>
      </w:pPr>
      <w:r>
        <w:rPr>
          <w:sz w:val="24"/>
          <w:szCs w:val="24"/>
        </w:rPr>
        <w:t>13. januar 2025</w:t>
      </w:r>
      <w:bookmarkStart w:id="0" w:name="_GoBack"/>
      <w:bookmarkEnd w:id="0"/>
    </w:p>
    <w:sectPr w:rsidR="009260DE" w:rsidRPr="00E032CA" w:rsidSect="000259B9">
      <w:footerReference w:type="default" r:id="rId9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EC821E" w14:textId="77777777" w:rsidR="0042537E" w:rsidRDefault="0042537E">
      <w:r>
        <w:separator/>
      </w:r>
    </w:p>
  </w:endnote>
  <w:endnote w:type="continuationSeparator" w:id="0">
    <w:p w14:paraId="2A630C23" w14:textId="77777777" w:rsidR="0042537E" w:rsidRDefault="004253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716F49B" w14:textId="77777777" w:rsidR="000259B9" w:rsidRDefault="000259B9">
    <w:pPr>
      <w:pStyle w:val="Sidefod"/>
      <w:pBdr>
        <w:bottom w:val="single" w:sz="6" w:space="1" w:color="auto"/>
      </w:pBdr>
    </w:pPr>
  </w:p>
  <w:p w14:paraId="46B2DD2A" w14:textId="77777777"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14:paraId="56DB5BAA" w14:textId="781A5000"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496D1C">
      <w:rPr>
        <w:i/>
        <w:noProof/>
        <w:sz w:val="18"/>
        <w:szCs w:val="18"/>
      </w:rPr>
      <w:t>Desmopressin Orion, sublinguale resoribletter 60 mikg, 120 mikg og 240 mikg.docx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FE41093" w14:textId="77777777" w:rsidR="0042537E" w:rsidRDefault="0042537E">
      <w:r>
        <w:separator/>
      </w:r>
    </w:p>
  </w:footnote>
  <w:footnote w:type="continuationSeparator" w:id="0">
    <w:p w14:paraId="54971DBE" w14:textId="77777777" w:rsidR="0042537E" w:rsidRDefault="004253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2A21486"/>
    <w:multiLevelType w:val="hybridMultilevel"/>
    <w:tmpl w:val="F718FDB8"/>
    <w:lvl w:ilvl="0" w:tplc="67048D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23ED7F46"/>
    <w:multiLevelType w:val="hybridMultilevel"/>
    <w:tmpl w:val="D4F09BEC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5" w15:restartNumberingAfterBreak="0">
    <w:nsid w:val="3ECB2DBC"/>
    <w:multiLevelType w:val="hybridMultilevel"/>
    <w:tmpl w:val="9626B08C"/>
    <w:lvl w:ilvl="0" w:tplc="67048D3E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7" w15:restartNumberingAfterBreak="0">
    <w:nsid w:val="434870CF"/>
    <w:multiLevelType w:val="hybridMultilevel"/>
    <w:tmpl w:val="E7E4A288"/>
    <w:lvl w:ilvl="0" w:tplc="FFFFFFFF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num w:numId="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7"/>
  </w:num>
  <w:num w:numId="7">
    <w:abstractNumId w:val="2"/>
  </w:num>
  <w:num w:numId="8">
    <w:abstractNumId w:val="5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537E"/>
    <w:rsid w:val="000259B9"/>
    <w:rsid w:val="00041491"/>
    <w:rsid w:val="00050D16"/>
    <w:rsid w:val="000730CA"/>
    <w:rsid w:val="00074F2A"/>
    <w:rsid w:val="000A1CA8"/>
    <w:rsid w:val="000A466B"/>
    <w:rsid w:val="000B058C"/>
    <w:rsid w:val="000D68B0"/>
    <w:rsid w:val="000E4EE6"/>
    <w:rsid w:val="00144840"/>
    <w:rsid w:val="001454E2"/>
    <w:rsid w:val="00206CE8"/>
    <w:rsid w:val="0021526C"/>
    <w:rsid w:val="00283A2B"/>
    <w:rsid w:val="002B30AD"/>
    <w:rsid w:val="002C1EC0"/>
    <w:rsid w:val="002C2C01"/>
    <w:rsid w:val="003A29AE"/>
    <w:rsid w:val="003A32D7"/>
    <w:rsid w:val="003B4074"/>
    <w:rsid w:val="003C769A"/>
    <w:rsid w:val="003D3A90"/>
    <w:rsid w:val="003F1838"/>
    <w:rsid w:val="004251C1"/>
    <w:rsid w:val="0042537E"/>
    <w:rsid w:val="0045746C"/>
    <w:rsid w:val="0049104B"/>
    <w:rsid w:val="00496D1C"/>
    <w:rsid w:val="004E3B12"/>
    <w:rsid w:val="00503ACD"/>
    <w:rsid w:val="00532310"/>
    <w:rsid w:val="00565F0F"/>
    <w:rsid w:val="0059175C"/>
    <w:rsid w:val="00594A86"/>
    <w:rsid w:val="00596D86"/>
    <w:rsid w:val="00637F5A"/>
    <w:rsid w:val="00641C65"/>
    <w:rsid w:val="006560B1"/>
    <w:rsid w:val="006756DD"/>
    <w:rsid w:val="0071241E"/>
    <w:rsid w:val="00737275"/>
    <w:rsid w:val="00740EEC"/>
    <w:rsid w:val="0078011A"/>
    <w:rsid w:val="00782AF4"/>
    <w:rsid w:val="00790EE7"/>
    <w:rsid w:val="007B6649"/>
    <w:rsid w:val="0082576E"/>
    <w:rsid w:val="0087113A"/>
    <w:rsid w:val="0089346F"/>
    <w:rsid w:val="00907F75"/>
    <w:rsid w:val="009260DE"/>
    <w:rsid w:val="0093258A"/>
    <w:rsid w:val="009C7BA3"/>
    <w:rsid w:val="009D1F5A"/>
    <w:rsid w:val="009D2819"/>
    <w:rsid w:val="00A10294"/>
    <w:rsid w:val="00B003BF"/>
    <w:rsid w:val="00B373D7"/>
    <w:rsid w:val="00B55271"/>
    <w:rsid w:val="00BD7931"/>
    <w:rsid w:val="00BF6243"/>
    <w:rsid w:val="00C36276"/>
    <w:rsid w:val="00C42586"/>
    <w:rsid w:val="00C45F6B"/>
    <w:rsid w:val="00C60CCD"/>
    <w:rsid w:val="00C84483"/>
    <w:rsid w:val="00C95551"/>
    <w:rsid w:val="00CB20D7"/>
    <w:rsid w:val="00D020B0"/>
    <w:rsid w:val="00D11748"/>
    <w:rsid w:val="00D237F6"/>
    <w:rsid w:val="00D34D98"/>
    <w:rsid w:val="00D366CF"/>
    <w:rsid w:val="00D87C25"/>
    <w:rsid w:val="00D93992"/>
    <w:rsid w:val="00E032CA"/>
    <w:rsid w:val="00E108AA"/>
    <w:rsid w:val="00E3749A"/>
    <w:rsid w:val="00E7437F"/>
    <w:rsid w:val="00E865B8"/>
    <w:rsid w:val="00EC0B9B"/>
    <w:rsid w:val="00ED5E9F"/>
    <w:rsid w:val="00F14656"/>
    <w:rsid w:val="00F66D4F"/>
    <w:rsid w:val="00FB6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BD64B56"/>
  <w15:chartTrackingRefBased/>
  <w15:docId w15:val="{30EBA250-A20F-49DA-9B2C-2ADCA7F4A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uiPriority w:val="99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paragraph" w:customStyle="1" w:styleId="EMEAEnBodyText">
    <w:name w:val="EMEA En Body Text"/>
    <w:basedOn w:val="Normal"/>
    <w:rsid w:val="0059175C"/>
    <w:pPr>
      <w:spacing w:before="120" w:after="120"/>
      <w:jc w:val="both"/>
    </w:pPr>
    <w:rPr>
      <w:sz w:val="22"/>
      <w:lang w:val="en-US"/>
    </w:rPr>
  </w:style>
  <w:style w:type="paragraph" w:styleId="Listeafsnit">
    <w:name w:val="List Paragraph"/>
    <w:basedOn w:val="Normal"/>
    <w:uiPriority w:val="34"/>
    <w:qFormat/>
    <w:rsid w:val="0059175C"/>
    <w:pPr>
      <w:ind w:left="720"/>
      <w:contextualSpacing/>
    </w:pPr>
    <w:rPr>
      <w:sz w:val="22"/>
    </w:rPr>
  </w:style>
  <w:style w:type="character" w:styleId="Hyperlink">
    <w:name w:val="Hyperlink"/>
    <w:uiPriority w:val="99"/>
    <w:semiHidden/>
    <w:unhideWhenUsed/>
    <w:rsid w:val="0059175C"/>
    <w:rPr>
      <w:color w:val="0000FF"/>
      <w:u w:val="single"/>
    </w:rPr>
  </w:style>
  <w:style w:type="table" w:styleId="Tabel-Gitter">
    <w:name w:val="Table Grid"/>
    <w:basedOn w:val="Tabel-Normal"/>
    <w:rsid w:val="0059175C"/>
    <w:rPr>
      <w:lang w:val="en-GB" w:eastAsia="en-GB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4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9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85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9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2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1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57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91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0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eldenbivirkning.dk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QW_Docs\GOD\docs\National\LGO-RKE-REG%20008-01-SKB%20SPC%20Hum%20skabelon.dotx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LGO-RKE-REG 008-01-SKB SPC Hum skabelon</Template>
  <TotalTime>1</TotalTime>
  <Pages>11</Pages>
  <Words>3046</Words>
  <Characters>20534</Characters>
  <Application>Microsoft Office Word</Application>
  <DocSecurity>0</DocSecurity>
  <Lines>171</Lines>
  <Paragraphs>47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Gitte Jørgensen</dc:creator>
  <cp:keywords/>
  <dc:description>2024092348 SPC punkt 6.4</dc:description>
  <cp:lastModifiedBy>Nanna Helene Lillelund</cp:lastModifiedBy>
  <cp:revision>2</cp:revision>
  <cp:lastPrinted>2012-08-22T08:53:00Z</cp:lastPrinted>
  <dcterms:created xsi:type="dcterms:W3CDTF">2025-01-13T10:31:00Z</dcterms:created>
  <dcterms:modified xsi:type="dcterms:W3CDTF">2025-01-13T10:31:00Z</dcterms:modified>
</cp:coreProperties>
</file>