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ACAE0" w14:textId="7D89E0CB" w:rsidR="009260DE" w:rsidRPr="00420528" w:rsidRDefault="0021526C" w:rsidP="00420528">
      <w:pPr>
        <w:rPr>
          <w:b/>
          <w:sz w:val="24"/>
          <w:szCs w:val="24"/>
        </w:rPr>
      </w:pPr>
      <w:r w:rsidRPr="00420528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DA76DBC" wp14:editId="2B29B6A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420528">
        <w:rPr>
          <w:sz w:val="24"/>
          <w:szCs w:val="24"/>
        </w:rPr>
        <w:br w:type="textWrapping" w:clear="all"/>
      </w:r>
    </w:p>
    <w:p w14:paraId="3E45F467" w14:textId="7F7A116A" w:rsidR="009260DE" w:rsidRPr="00420528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420528">
        <w:rPr>
          <w:b w:val="0"/>
          <w:szCs w:val="24"/>
          <w:lang w:eastAsia="en-US"/>
        </w:rPr>
        <w:tab/>
      </w:r>
      <w:r w:rsidR="00145315">
        <w:rPr>
          <w:szCs w:val="24"/>
        </w:rPr>
        <w:t>3</w:t>
      </w:r>
      <w:r w:rsidR="004B42F3" w:rsidRPr="00420528">
        <w:rPr>
          <w:szCs w:val="24"/>
        </w:rPr>
        <w:t xml:space="preserve">. </w:t>
      </w:r>
      <w:r w:rsidR="00145315">
        <w:rPr>
          <w:szCs w:val="24"/>
        </w:rPr>
        <w:t>februar</w:t>
      </w:r>
      <w:r w:rsidR="004B42F3" w:rsidRPr="00420528">
        <w:rPr>
          <w:szCs w:val="24"/>
        </w:rPr>
        <w:t xml:space="preserve"> 202</w:t>
      </w:r>
      <w:r w:rsidR="00145315">
        <w:rPr>
          <w:szCs w:val="24"/>
        </w:rPr>
        <w:t>5</w:t>
      </w:r>
    </w:p>
    <w:p w14:paraId="1CBDE504" w14:textId="77777777" w:rsidR="009260DE" w:rsidRPr="00420528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3C079CE0" w14:textId="77777777" w:rsidR="009260DE" w:rsidRPr="00420528" w:rsidRDefault="009260DE" w:rsidP="009260DE">
      <w:pPr>
        <w:pStyle w:val="Titel"/>
        <w:jc w:val="left"/>
        <w:rPr>
          <w:b w:val="0"/>
          <w:szCs w:val="24"/>
        </w:rPr>
      </w:pPr>
    </w:p>
    <w:p w14:paraId="0B1A0FBA" w14:textId="77777777" w:rsidR="009260DE" w:rsidRPr="00420528" w:rsidRDefault="009260DE" w:rsidP="009260DE">
      <w:pPr>
        <w:pStyle w:val="Titel"/>
        <w:jc w:val="left"/>
        <w:rPr>
          <w:b w:val="0"/>
          <w:szCs w:val="24"/>
        </w:rPr>
      </w:pPr>
    </w:p>
    <w:p w14:paraId="01D9F797" w14:textId="77777777" w:rsidR="009260DE" w:rsidRPr="00420528" w:rsidRDefault="009260DE" w:rsidP="009260DE">
      <w:pPr>
        <w:jc w:val="center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PRODUKTRESUMÉ</w:t>
      </w:r>
    </w:p>
    <w:p w14:paraId="21FC04FE" w14:textId="77777777" w:rsidR="009260DE" w:rsidRPr="00420528" w:rsidRDefault="009260DE" w:rsidP="009260DE">
      <w:pPr>
        <w:jc w:val="center"/>
        <w:rPr>
          <w:b/>
          <w:sz w:val="24"/>
          <w:szCs w:val="24"/>
        </w:rPr>
      </w:pPr>
    </w:p>
    <w:p w14:paraId="5C585366" w14:textId="77777777" w:rsidR="009260DE" w:rsidRPr="00420528" w:rsidRDefault="009260DE" w:rsidP="009260DE">
      <w:pPr>
        <w:jc w:val="center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for</w:t>
      </w:r>
    </w:p>
    <w:p w14:paraId="438459B4" w14:textId="77777777" w:rsidR="000B058C" w:rsidRPr="00420528" w:rsidRDefault="000B058C" w:rsidP="009260DE">
      <w:pPr>
        <w:jc w:val="center"/>
        <w:rPr>
          <w:b/>
          <w:sz w:val="24"/>
          <w:szCs w:val="24"/>
        </w:rPr>
      </w:pPr>
    </w:p>
    <w:p w14:paraId="47722C93" w14:textId="5772F27A" w:rsidR="009260DE" w:rsidRPr="00A63983" w:rsidRDefault="004B42F3" w:rsidP="009260DE">
      <w:pPr>
        <w:jc w:val="center"/>
        <w:rPr>
          <w:b/>
          <w:sz w:val="24"/>
          <w:szCs w:val="24"/>
        </w:rPr>
      </w:pPr>
      <w:proofErr w:type="spellStart"/>
      <w:r w:rsidRPr="00A63983">
        <w:rPr>
          <w:b/>
          <w:sz w:val="24"/>
          <w:szCs w:val="24"/>
        </w:rPr>
        <w:t>Desmopressin</w:t>
      </w:r>
      <w:proofErr w:type="spellEnd"/>
      <w:r w:rsidRPr="00A63983">
        <w:rPr>
          <w:b/>
          <w:sz w:val="24"/>
          <w:szCs w:val="24"/>
        </w:rPr>
        <w:t xml:space="preserve"> "</w:t>
      </w:r>
      <w:proofErr w:type="spellStart"/>
      <w:r w:rsidRPr="00A63983">
        <w:rPr>
          <w:b/>
          <w:sz w:val="24"/>
          <w:szCs w:val="24"/>
        </w:rPr>
        <w:t>Teva</w:t>
      </w:r>
      <w:proofErr w:type="spellEnd"/>
      <w:r w:rsidRPr="00A63983">
        <w:rPr>
          <w:b/>
          <w:sz w:val="24"/>
          <w:szCs w:val="24"/>
        </w:rPr>
        <w:t xml:space="preserve"> B.V.", </w:t>
      </w:r>
      <w:proofErr w:type="spellStart"/>
      <w:r w:rsidRPr="00A63983">
        <w:rPr>
          <w:b/>
          <w:sz w:val="24"/>
          <w:szCs w:val="24"/>
        </w:rPr>
        <w:t>sublinguale</w:t>
      </w:r>
      <w:proofErr w:type="spellEnd"/>
      <w:r w:rsidRPr="00A63983">
        <w:rPr>
          <w:b/>
          <w:sz w:val="24"/>
          <w:szCs w:val="24"/>
        </w:rPr>
        <w:t xml:space="preserve"> resoribletter</w:t>
      </w:r>
    </w:p>
    <w:p w14:paraId="0224E99C" w14:textId="77777777" w:rsidR="009260DE" w:rsidRPr="00A63983" w:rsidRDefault="009260DE" w:rsidP="009260DE">
      <w:pPr>
        <w:jc w:val="both"/>
        <w:rPr>
          <w:sz w:val="24"/>
          <w:szCs w:val="24"/>
        </w:rPr>
      </w:pPr>
    </w:p>
    <w:p w14:paraId="5D22AFDB" w14:textId="77777777" w:rsidR="009260DE" w:rsidRPr="00A63983" w:rsidRDefault="009260DE" w:rsidP="009260DE">
      <w:pPr>
        <w:jc w:val="both"/>
        <w:rPr>
          <w:sz w:val="24"/>
          <w:szCs w:val="24"/>
        </w:rPr>
      </w:pPr>
    </w:p>
    <w:p w14:paraId="16C14885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0.</w:t>
      </w:r>
      <w:r w:rsidRPr="00420528">
        <w:rPr>
          <w:b/>
          <w:sz w:val="24"/>
          <w:szCs w:val="24"/>
        </w:rPr>
        <w:tab/>
        <w:t>D.SP.NR.</w:t>
      </w:r>
    </w:p>
    <w:p w14:paraId="1007C646" w14:textId="57B09870" w:rsidR="009260DE" w:rsidRPr="00420528" w:rsidRDefault="004B42F3" w:rsidP="009260DE">
      <w:pPr>
        <w:tabs>
          <w:tab w:val="left" w:pos="851"/>
        </w:tabs>
        <w:ind w:left="851"/>
        <w:rPr>
          <w:sz w:val="24"/>
          <w:szCs w:val="24"/>
        </w:rPr>
      </w:pPr>
      <w:r w:rsidRPr="00420528">
        <w:rPr>
          <w:sz w:val="24"/>
          <w:szCs w:val="24"/>
        </w:rPr>
        <w:t>33154</w:t>
      </w:r>
    </w:p>
    <w:p w14:paraId="154E2880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746B66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1.</w:t>
      </w:r>
      <w:r w:rsidRPr="00420528">
        <w:rPr>
          <w:b/>
          <w:sz w:val="24"/>
          <w:szCs w:val="24"/>
        </w:rPr>
        <w:tab/>
        <w:t>LÆGEMIDLETS NAVN</w:t>
      </w:r>
    </w:p>
    <w:p w14:paraId="77490B08" w14:textId="4BF079AA" w:rsidR="009260DE" w:rsidRPr="00420528" w:rsidRDefault="004B42F3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"</w:t>
      </w:r>
      <w:proofErr w:type="spellStart"/>
      <w:r w:rsidRPr="00420528">
        <w:rPr>
          <w:sz w:val="24"/>
          <w:szCs w:val="24"/>
        </w:rPr>
        <w:t>Teva</w:t>
      </w:r>
      <w:proofErr w:type="spellEnd"/>
      <w:r w:rsidRPr="00420528">
        <w:rPr>
          <w:sz w:val="24"/>
          <w:szCs w:val="24"/>
        </w:rPr>
        <w:t xml:space="preserve"> B.V."</w:t>
      </w:r>
    </w:p>
    <w:p w14:paraId="48393029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F97148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2.</w:t>
      </w:r>
      <w:r w:rsidRPr="00420528">
        <w:rPr>
          <w:b/>
          <w:sz w:val="24"/>
          <w:szCs w:val="24"/>
        </w:rPr>
        <w:tab/>
        <w:t>KVALITATIV OG KVANTITATIV SAMMENSÆTNING</w:t>
      </w:r>
    </w:p>
    <w:p w14:paraId="40768737" w14:textId="77777777" w:rsidR="009C1256" w:rsidRPr="00420528" w:rsidRDefault="009C1256" w:rsidP="009C1256">
      <w:pPr>
        <w:suppressAutoHyphens/>
        <w:rPr>
          <w:sz w:val="24"/>
          <w:szCs w:val="24"/>
        </w:rPr>
      </w:pPr>
    </w:p>
    <w:p w14:paraId="1E2E2EE3" w14:textId="7FA437FB" w:rsidR="009C1256" w:rsidRPr="00420528" w:rsidRDefault="009C1256" w:rsidP="00881296">
      <w:pPr>
        <w:spacing w:line="260" w:lineRule="exact"/>
        <w:ind w:left="851"/>
        <w:rPr>
          <w:sz w:val="24"/>
          <w:szCs w:val="24"/>
          <w:u w:val="single"/>
        </w:rPr>
      </w:pPr>
      <w:proofErr w:type="spellStart"/>
      <w:r w:rsidRPr="00420528">
        <w:rPr>
          <w:sz w:val="24"/>
          <w:szCs w:val="24"/>
          <w:u w:val="single"/>
        </w:rPr>
        <w:t>Desmopressin</w:t>
      </w:r>
      <w:proofErr w:type="spellEnd"/>
      <w:r w:rsidRPr="00420528">
        <w:rPr>
          <w:sz w:val="24"/>
          <w:szCs w:val="24"/>
          <w:u w:val="single"/>
        </w:rPr>
        <w:t xml:space="preserve"> </w:t>
      </w:r>
      <w:r w:rsidR="00420528">
        <w:rPr>
          <w:sz w:val="24"/>
          <w:szCs w:val="24"/>
          <w:u w:val="single"/>
        </w:rPr>
        <w:t>"</w:t>
      </w:r>
      <w:proofErr w:type="spellStart"/>
      <w:r w:rsidR="00420528">
        <w:rPr>
          <w:sz w:val="24"/>
          <w:szCs w:val="24"/>
          <w:u w:val="single"/>
        </w:rPr>
        <w:t>Teva</w:t>
      </w:r>
      <w:proofErr w:type="spellEnd"/>
      <w:r w:rsidR="00420528">
        <w:rPr>
          <w:sz w:val="24"/>
          <w:szCs w:val="24"/>
          <w:u w:val="single"/>
        </w:rPr>
        <w:t xml:space="preserve"> B.V."</w:t>
      </w:r>
      <w:r w:rsidRPr="00420528">
        <w:rPr>
          <w:sz w:val="24"/>
          <w:szCs w:val="24"/>
          <w:u w:val="single"/>
        </w:rPr>
        <w:t xml:space="preserve"> 60 mikrogram</w:t>
      </w:r>
    </w:p>
    <w:p w14:paraId="6CC96F23" w14:textId="77777777" w:rsidR="009C1256" w:rsidRPr="00420528" w:rsidRDefault="009C1256" w:rsidP="00881296">
      <w:pPr>
        <w:spacing w:line="260" w:lineRule="exact"/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Hver </w:t>
      </w:r>
      <w:proofErr w:type="spellStart"/>
      <w:r w:rsidRPr="00420528">
        <w:rPr>
          <w:sz w:val="24"/>
          <w:szCs w:val="24"/>
        </w:rPr>
        <w:t>sublingual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resoriblet</w:t>
      </w:r>
      <w:proofErr w:type="spellEnd"/>
      <w:r w:rsidRPr="00420528">
        <w:rPr>
          <w:sz w:val="24"/>
          <w:szCs w:val="24"/>
        </w:rPr>
        <w:t xml:space="preserve"> indeholder 60 mikrogram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(som </w:t>
      </w:r>
      <w:proofErr w:type="spellStart"/>
      <w:r w:rsidRPr="00420528">
        <w:rPr>
          <w:sz w:val="24"/>
          <w:szCs w:val="24"/>
        </w:rPr>
        <w:t>desmopressinacetat</w:t>
      </w:r>
      <w:proofErr w:type="spellEnd"/>
      <w:r w:rsidRPr="00420528">
        <w:rPr>
          <w:sz w:val="24"/>
          <w:szCs w:val="24"/>
        </w:rPr>
        <w:t>).</w:t>
      </w:r>
      <w:r w:rsidRPr="00420528">
        <w:rPr>
          <w:sz w:val="24"/>
          <w:szCs w:val="24"/>
        </w:rPr>
        <w:br/>
      </w:r>
    </w:p>
    <w:p w14:paraId="06B98628" w14:textId="7E7C1284" w:rsidR="009C1256" w:rsidRPr="00420528" w:rsidRDefault="009C1256" w:rsidP="00881296">
      <w:pPr>
        <w:spacing w:line="260" w:lineRule="exact"/>
        <w:ind w:left="851"/>
        <w:rPr>
          <w:sz w:val="24"/>
          <w:szCs w:val="24"/>
          <w:u w:val="single"/>
        </w:rPr>
      </w:pPr>
      <w:proofErr w:type="spellStart"/>
      <w:r w:rsidRPr="00420528">
        <w:rPr>
          <w:sz w:val="24"/>
          <w:szCs w:val="24"/>
          <w:u w:val="single"/>
        </w:rPr>
        <w:t>Desmopressin</w:t>
      </w:r>
      <w:proofErr w:type="spellEnd"/>
      <w:r w:rsidRPr="00420528">
        <w:rPr>
          <w:sz w:val="24"/>
          <w:szCs w:val="24"/>
          <w:u w:val="single"/>
        </w:rPr>
        <w:t xml:space="preserve"> </w:t>
      </w:r>
      <w:r w:rsidR="00420528">
        <w:rPr>
          <w:sz w:val="24"/>
          <w:szCs w:val="24"/>
          <w:u w:val="single"/>
        </w:rPr>
        <w:t>"</w:t>
      </w:r>
      <w:proofErr w:type="spellStart"/>
      <w:r w:rsidR="00420528">
        <w:rPr>
          <w:sz w:val="24"/>
          <w:szCs w:val="24"/>
          <w:u w:val="single"/>
        </w:rPr>
        <w:t>Teva</w:t>
      </w:r>
      <w:proofErr w:type="spellEnd"/>
      <w:r w:rsidR="00420528">
        <w:rPr>
          <w:sz w:val="24"/>
          <w:szCs w:val="24"/>
          <w:u w:val="single"/>
        </w:rPr>
        <w:t xml:space="preserve"> B.V."</w:t>
      </w:r>
      <w:r w:rsidRPr="00420528">
        <w:rPr>
          <w:sz w:val="24"/>
          <w:szCs w:val="24"/>
          <w:u w:val="single"/>
        </w:rPr>
        <w:t xml:space="preserve"> 120 mikrogram</w:t>
      </w:r>
    </w:p>
    <w:p w14:paraId="165C6A80" w14:textId="77777777" w:rsidR="009C1256" w:rsidRPr="00420528" w:rsidRDefault="009C1256" w:rsidP="00881296">
      <w:pPr>
        <w:spacing w:line="260" w:lineRule="exact"/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Hver </w:t>
      </w:r>
      <w:proofErr w:type="spellStart"/>
      <w:r w:rsidRPr="00420528">
        <w:rPr>
          <w:sz w:val="24"/>
          <w:szCs w:val="24"/>
        </w:rPr>
        <w:t>sublingual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resoriblet</w:t>
      </w:r>
      <w:proofErr w:type="spellEnd"/>
      <w:r w:rsidRPr="00420528">
        <w:rPr>
          <w:sz w:val="24"/>
          <w:szCs w:val="24"/>
        </w:rPr>
        <w:t xml:space="preserve"> indeholder 120 mikrogram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(som </w:t>
      </w:r>
      <w:proofErr w:type="spellStart"/>
      <w:r w:rsidRPr="00420528">
        <w:rPr>
          <w:sz w:val="24"/>
          <w:szCs w:val="24"/>
        </w:rPr>
        <w:t>desmopressinacetat</w:t>
      </w:r>
      <w:proofErr w:type="spellEnd"/>
      <w:r w:rsidRPr="00420528">
        <w:rPr>
          <w:sz w:val="24"/>
          <w:szCs w:val="24"/>
        </w:rPr>
        <w:t xml:space="preserve">). </w:t>
      </w:r>
    </w:p>
    <w:p w14:paraId="726E6C4A" w14:textId="77777777" w:rsidR="009C1256" w:rsidRPr="00420528" w:rsidRDefault="009C1256" w:rsidP="00881296">
      <w:pPr>
        <w:spacing w:line="260" w:lineRule="exact"/>
        <w:ind w:left="851"/>
        <w:rPr>
          <w:sz w:val="24"/>
          <w:szCs w:val="24"/>
        </w:rPr>
      </w:pPr>
    </w:p>
    <w:p w14:paraId="113D5124" w14:textId="2B98EC1C" w:rsidR="009C1256" w:rsidRPr="00420528" w:rsidRDefault="009C1256" w:rsidP="00881296">
      <w:pPr>
        <w:spacing w:line="260" w:lineRule="exact"/>
        <w:ind w:left="851"/>
        <w:rPr>
          <w:sz w:val="24"/>
          <w:szCs w:val="24"/>
          <w:u w:val="single"/>
        </w:rPr>
      </w:pPr>
      <w:proofErr w:type="spellStart"/>
      <w:r w:rsidRPr="00420528">
        <w:rPr>
          <w:sz w:val="24"/>
          <w:szCs w:val="24"/>
          <w:u w:val="single"/>
        </w:rPr>
        <w:t>Desmopressin</w:t>
      </w:r>
      <w:proofErr w:type="spellEnd"/>
      <w:r w:rsidRPr="00420528">
        <w:rPr>
          <w:sz w:val="24"/>
          <w:szCs w:val="24"/>
          <w:u w:val="single"/>
        </w:rPr>
        <w:t xml:space="preserve"> </w:t>
      </w:r>
      <w:r w:rsidR="00420528">
        <w:rPr>
          <w:sz w:val="24"/>
          <w:szCs w:val="24"/>
          <w:u w:val="single"/>
        </w:rPr>
        <w:t>"</w:t>
      </w:r>
      <w:proofErr w:type="spellStart"/>
      <w:r w:rsidR="00420528">
        <w:rPr>
          <w:sz w:val="24"/>
          <w:szCs w:val="24"/>
          <w:u w:val="single"/>
        </w:rPr>
        <w:t>Teva</w:t>
      </w:r>
      <w:proofErr w:type="spellEnd"/>
      <w:r w:rsidR="00420528">
        <w:rPr>
          <w:sz w:val="24"/>
          <w:szCs w:val="24"/>
          <w:u w:val="single"/>
        </w:rPr>
        <w:t xml:space="preserve"> B.V."</w:t>
      </w:r>
      <w:r w:rsidRPr="00420528">
        <w:rPr>
          <w:sz w:val="24"/>
          <w:szCs w:val="24"/>
          <w:u w:val="single"/>
        </w:rPr>
        <w:t xml:space="preserve"> 240 mikrogram</w:t>
      </w:r>
    </w:p>
    <w:p w14:paraId="785E8819" w14:textId="77777777" w:rsidR="009C1256" w:rsidRPr="00420528" w:rsidRDefault="009C1256" w:rsidP="00881296">
      <w:pPr>
        <w:spacing w:line="260" w:lineRule="exact"/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Hver </w:t>
      </w:r>
      <w:proofErr w:type="spellStart"/>
      <w:r w:rsidRPr="00420528">
        <w:rPr>
          <w:sz w:val="24"/>
          <w:szCs w:val="24"/>
        </w:rPr>
        <w:t>sublingual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resoriblet</w:t>
      </w:r>
      <w:proofErr w:type="spellEnd"/>
      <w:r w:rsidRPr="00420528">
        <w:rPr>
          <w:sz w:val="24"/>
          <w:szCs w:val="24"/>
        </w:rPr>
        <w:t xml:space="preserve"> indeholder 240 mikrogram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(som </w:t>
      </w:r>
      <w:proofErr w:type="spellStart"/>
      <w:r w:rsidRPr="00420528">
        <w:rPr>
          <w:sz w:val="24"/>
          <w:szCs w:val="24"/>
        </w:rPr>
        <w:t>desmopressinacetat</w:t>
      </w:r>
      <w:proofErr w:type="spellEnd"/>
      <w:r w:rsidRPr="00420528">
        <w:rPr>
          <w:sz w:val="24"/>
          <w:szCs w:val="24"/>
        </w:rPr>
        <w:t>).</w:t>
      </w:r>
    </w:p>
    <w:p w14:paraId="5D9825DC" w14:textId="77777777" w:rsidR="009C1256" w:rsidRPr="00420528" w:rsidRDefault="009C1256" w:rsidP="00881296">
      <w:pPr>
        <w:spacing w:line="260" w:lineRule="exact"/>
        <w:ind w:left="851"/>
        <w:rPr>
          <w:sz w:val="24"/>
          <w:szCs w:val="24"/>
          <w:u w:val="single"/>
        </w:rPr>
      </w:pPr>
      <w:r w:rsidRPr="00420528">
        <w:rPr>
          <w:sz w:val="24"/>
          <w:szCs w:val="24"/>
        </w:rPr>
        <w:br/>
      </w:r>
      <w:bookmarkStart w:id="0" w:name="OLE_LINK3"/>
      <w:r w:rsidRPr="00420528">
        <w:rPr>
          <w:sz w:val="24"/>
          <w:szCs w:val="24"/>
          <w:u w:val="single"/>
        </w:rPr>
        <w:t>Hjælpestoffer, som behandleren skal være opmærksom på</w:t>
      </w:r>
    </w:p>
    <w:p w14:paraId="30F14FA6" w14:textId="77777777" w:rsidR="009C1256" w:rsidRPr="00420528" w:rsidRDefault="009C1256" w:rsidP="00881296">
      <w:pPr>
        <w:spacing w:line="260" w:lineRule="exact"/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Hver </w:t>
      </w:r>
      <w:proofErr w:type="spellStart"/>
      <w:r w:rsidRPr="00420528">
        <w:rPr>
          <w:sz w:val="24"/>
          <w:szCs w:val="24"/>
        </w:rPr>
        <w:t>sublingual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resoriblet</w:t>
      </w:r>
      <w:proofErr w:type="spellEnd"/>
      <w:r w:rsidRPr="00420528">
        <w:rPr>
          <w:sz w:val="24"/>
          <w:szCs w:val="24"/>
        </w:rPr>
        <w:t xml:space="preserve"> indeholder 62 mg </w:t>
      </w:r>
      <w:proofErr w:type="spellStart"/>
      <w:r w:rsidRPr="00420528">
        <w:rPr>
          <w:sz w:val="24"/>
          <w:szCs w:val="24"/>
        </w:rPr>
        <w:t>lactose</w:t>
      </w:r>
      <w:proofErr w:type="spellEnd"/>
      <w:r w:rsidRPr="00420528">
        <w:rPr>
          <w:sz w:val="24"/>
          <w:szCs w:val="24"/>
        </w:rPr>
        <w:t xml:space="preserve"> (som monohydrat).</w:t>
      </w:r>
    </w:p>
    <w:p w14:paraId="34896E45" w14:textId="77777777" w:rsidR="009C1256" w:rsidRPr="00420528" w:rsidRDefault="009C1256" w:rsidP="00881296">
      <w:pPr>
        <w:spacing w:line="260" w:lineRule="exact"/>
        <w:ind w:left="851"/>
        <w:rPr>
          <w:sz w:val="24"/>
          <w:szCs w:val="24"/>
        </w:rPr>
      </w:pPr>
    </w:p>
    <w:p w14:paraId="1758142D" w14:textId="77777777" w:rsidR="009C1256" w:rsidRPr="00420528" w:rsidRDefault="009C1256" w:rsidP="00881296">
      <w:pPr>
        <w:spacing w:line="260" w:lineRule="exact"/>
        <w:ind w:left="851"/>
        <w:rPr>
          <w:sz w:val="24"/>
          <w:szCs w:val="24"/>
        </w:rPr>
      </w:pPr>
      <w:r w:rsidRPr="00420528">
        <w:rPr>
          <w:sz w:val="24"/>
          <w:szCs w:val="24"/>
        </w:rPr>
        <w:t>Alle hjælpestoffer er anført under pkt. 6.1.</w:t>
      </w:r>
      <w:bookmarkEnd w:id="0"/>
    </w:p>
    <w:p w14:paraId="240B5AC5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A5EC2A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3.</w:t>
      </w:r>
      <w:r w:rsidRPr="00420528">
        <w:rPr>
          <w:b/>
          <w:sz w:val="24"/>
          <w:szCs w:val="24"/>
        </w:rPr>
        <w:tab/>
        <w:t>LÆGEMIDDELFORM</w:t>
      </w:r>
    </w:p>
    <w:p w14:paraId="575FAD0E" w14:textId="77777777" w:rsidR="00420528" w:rsidRDefault="00420528" w:rsidP="00881296">
      <w:pPr>
        <w:ind w:left="851"/>
        <w:rPr>
          <w:sz w:val="24"/>
          <w:szCs w:val="24"/>
        </w:rPr>
      </w:pPr>
      <w:r>
        <w:rPr>
          <w:sz w:val="24"/>
          <w:szCs w:val="24"/>
        </w:rPr>
        <w:t>Sublinguale resoribletter</w:t>
      </w:r>
    </w:p>
    <w:p w14:paraId="785F0963" w14:textId="77777777" w:rsidR="00420528" w:rsidRPr="00A63983" w:rsidRDefault="00420528" w:rsidP="00881296">
      <w:pPr>
        <w:ind w:left="851"/>
        <w:rPr>
          <w:sz w:val="24"/>
          <w:szCs w:val="24"/>
          <w:u w:val="single"/>
        </w:rPr>
      </w:pPr>
    </w:p>
    <w:p w14:paraId="09C17E6F" w14:textId="0C7ED286" w:rsidR="009C1256" w:rsidRPr="00A63983" w:rsidRDefault="009C1256" w:rsidP="00881296">
      <w:pPr>
        <w:ind w:left="851"/>
        <w:rPr>
          <w:sz w:val="24"/>
          <w:szCs w:val="24"/>
          <w:u w:val="single"/>
        </w:rPr>
      </w:pPr>
      <w:proofErr w:type="spellStart"/>
      <w:r w:rsidRPr="00A63983">
        <w:rPr>
          <w:sz w:val="24"/>
          <w:szCs w:val="24"/>
          <w:u w:val="single"/>
        </w:rPr>
        <w:t>Desmopressin</w:t>
      </w:r>
      <w:proofErr w:type="spellEnd"/>
      <w:r w:rsidRPr="00A63983">
        <w:rPr>
          <w:sz w:val="24"/>
          <w:szCs w:val="24"/>
          <w:u w:val="single"/>
        </w:rPr>
        <w:t xml:space="preserve"> </w:t>
      </w:r>
      <w:r w:rsidR="00420528" w:rsidRPr="00A63983">
        <w:rPr>
          <w:sz w:val="24"/>
          <w:szCs w:val="24"/>
          <w:u w:val="single"/>
        </w:rPr>
        <w:t>"</w:t>
      </w:r>
      <w:proofErr w:type="spellStart"/>
      <w:r w:rsidR="00420528" w:rsidRPr="00A63983">
        <w:rPr>
          <w:sz w:val="24"/>
          <w:szCs w:val="24"/>
          <w:u w:val="single"/>
        </w:rPr>
        <w:t>Teva</w:t>
      </w:r>
      <w:proofErr w:type="spellEnd"/>
      <w:r w:rsidR="00420528" w:rsidRPr="00A63983">
        <w:rPr>
          <w:sz w:val="24"/>
          <w:szCs w:val="24"/>
          <w:u w:val="single"/>
        </w:rPr>
        <w:t xml:space="preserve"> B.V."</w:t>
      </w:r>
      <w:r w:rsidRPr="00A63983">
        <w:rPr>
          <w:sz w:val="24"/>
          <w:szCs w:val="24"/>
          <w:u w:val="single"/>
        </w:rPr>
        <w:t xml:space="preserve"> 60 mikrogram </w:t>
      </w:r>
      <w:proofErr w:type="spellStart"/>
      <w:r w:rsidRPr="00A63983">
        <w:rPr>
          <w:sz w:val="24"/>
          <w:szCs w:val="24"/>
          <w:u w:val="single"/>
        </w:rPr>
        <w:t>sublingual</w:t>
      </w:r>
      <w:proofErr w:type="spellEnd"/>
      <w:r w:rsidRPr="00A63983">
        <w:rPr>
          <w:sz w:val="24"/>
          <w:szCs w:val="24"/>
          <w:u w:val="single"/>
        </w:rPr>
        <w:t xml:space="preserve"> </w:t>
      </w:r>
      <w:proofErr w:type="spellStart"/>
      <w:r w:rsidRPr="00A63983">
        <w:rPr>
          <w:sz w:val="24"/>
          <w:szCs w:val="24"/>
          <w:u w:val="single"/>
        </w:rPr>
        <w:t>resoriblet</w:t>
      </w:r>
      <w:proofErr w:type="spellEnd"/>
    </w:p>
    <w:p w14:paraId="5F1C3054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Hvid eller næsten hvid, rund </w:t>
      </w:r>
      <w:proofErr w:type="spellStart"/>
      <w:r w:rsidRPr="00420528">
        <w:rPr>
          <w:sz w:val="24"/>
          <w:szCs w:val="24"/>
        </w:rPr>
        <w:t>bikonveks</w:t>
      </w:r>
      <w:proofErr w:type="spellEnd"/>
      <w:r w:rsidRPr="00420528">
        <w:rPr>
          <w:sz w:val="24"/>
          <w:szCs w:val="24"/>
        </w:rPr>
        <w:t xml:space="preserve"> tablet præget med ”I” på den ene side og uden prægning på den anden side. Størrelse 6,5 mm i diameter, 2 mm i tykkelse.</w:t>
      </w:r>
    </w:p>
    <w:p w14:paraId="5776F5B5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09BD0FE0" w14:textId="1A77310B" w:rsidR="009C1256" w:rsidRPr="00A63983" w:rsidRDefault="009C1256" w:rsidP="00881296">
      <w:pPr>
        <w:ind w:left="851"/>
        <w:rPr>
          <w:sz w:val="24"/>
          <w:szCs w:val="24"/>
          <w:u w:val="single"/>
        </w:rPr>
      </w:pPr>
      <w:proofErr w:type="spellStart"/>
      <w:r w:rsidRPr="00A63983">
        <w:rPr>
          <w:sz w:val="24"/>
          <w:szCs w:val="24"/>
          <w:u w:val="single"/>
        </w:rPr>
        <w:t>Desmopressin</w:t>
      </w:r>
      <w:proofErr w:type="spellEnd"/>
      <w:r w:rsidRPr="00A63983">
        <w:rPr>
          <w:sz w:val="24"/>
          <w:szCs w:val="24"/>
          <w:u w:val="single"/>
        </w:rPr>
        <w:t xml:space="preserve"> </w:t>
      </w:r>
      <w:r w:rsidR="00420528" w:rsidRPr="00A63983">
        <w:rPr>
          <w:sz w:val="24"/>
          <w:szCs w:val="24"/>
          <w:u w:val="single"/>
        </w:rPr>
        <w:t>"</w:t>
      </w:r>
      <w:proofErr w:type="spellStart"/>
      <w:r w:rsidR="00420528" w:rsidRPr="00A63983">
        <w:rPr>
          <w:sz w:val="24"/>
          <w:szCs w:val="24"/>
          <w:u w:val="single"/>
        </w:rPr>
        <w:t>Teva</w:t>
      </w:r>
      <w:proofErr w:type="spellEnd"/>
      <w:r w:rsidR="00420528" w:rsidRPr="00A63983">
        <w:rPr>
          <w:sz w:val="24"/>
          <w:szCs w:val="24"/>
          <w:u w:val="single"/>
        </w:rPr>
        <w:t xml:space="preserve"> B.V."</w:t>
      </w:r>
      <w:r w:rsidRPr="00A63983">
        <w:rPr>
          <w:sz w:val="24"/>
          <w:szCs w:val="24"/>
          <w:u w:val="single"/>
        </w:rPr>
        <w:t xml:space="preserve"> 120 mikrogram </w:t>
      </w:r>
      <w:proofErr w:type="spellStart"/>
      <w:r w:rsidRPr="00A63983">
        <w:rPr>
          <w:sz w:val="24"/>
          <w:szCs w:val="24"/>
          <w:u w:val="single"/>
        </w:rPr>
        <w:t>sublingual</w:t>
      </w:r>
      <w:proofErr w:type="spellEnd"/>
      <w:r w:rsidRPr="00A63983">
        <w:rPr>
          <w:sz w:val="24"/>
          <w:szCs w:val="24"/>
          <w:u w:val="single"/>
        </w:rPr>
        <w:t xml:space="preserve"> </w:t>
      </w:r>
      <w:proofErr w:type="spellStart"/>
      <w:r w:rsidRPr="00A63983">
        <w:rPr>
          <w:sz w:val="24"/>
          <w:szCs w:val="24"/>
          <w:u w:val="single"/>
        </w:rPr>
        <w:t>resoriblet</w:t>
      </w:r>
      <w:proofErr w:type="spellEnd"/>
    </w:p>
    <w:p w14:paraId="3516C62A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Hvid eller næsten hvid, ottekantet </w:t>
      </w:r>
      <w:proofErr w:type="spellStart"/>
      <w:r w:rsidRPr="00420528">
        <w:rPr>
          <w:sz w:val="24"/>
          <w:szCs w:val="24"/>
        </w:rPr>
        <w:t>bikonveks</w:t>
      </w:r>
      <w:proofErr w:type="spellEnd"/>
      <w:r w:rsidRPr="00420528">
        <w:rPr>
          <w:sz w:val="24"/>
          <w:szCs w:val="24"/>
        </w:rPr>
        <w:t xml:space="preserve"> tablet præget med ”II” på den ene side og uden prægning på den anden side. Størrelse 6,5 mm i længde/bredde, 2 mm i tykkelse.</w:t>
      </w:r>
    </w:p>
    <w:p w14:paraId="45BCFF2A" w14:textId="77777777" w:rsidR="009C1256" w:rsidRPr="00420528" w:rsidRDefault="009C1256" w:rsidP="00881296">
      <w:pPr>
        <w:tabs>
          <w:tab w:val="left" w:pos="-720"/>
        </w:tabs>
        <w:suppressAutoHyphens/>
        <w:ind w:left="851" w:hanging="567"/>
        <w:rPr>
          <w:sz w:val="24"/>
          <w:szCs w:val="24"/>
        </w:rPr>
      </w:pPr>
    </w:p>
    <w:p w14:paraId="7E95DA27" w14:textId="68AF3D36" w:rsidR="009C1256" w:rsidRPr="00A63983" w:rsidRDefault="009C1256" w:rsidP="00881296">
      <w:pPr>
        <w:ind w:left="851"/>
        <w:rPr>
          <w:sz w:val="24"/>
          <w:szCs w:val="24"/>
          <w:u w:val="single"/>
        </w:rPr>
      </w:pPr>
      <w:proofErr w:type="spellStart"/>
      <w:r w:rsidRPr="00A63983">
        <w:rPr>
          <w:sz w:val="24"/>
          <w:szCs w:val="24"/>
          <w:u w:val="single"/>
        </w:rPr>
        <w:lastRenderedPageBreak/>
        <w:t>Desmopressin</w:t>
      </w:r>
      <w:proofErr w:type="spellEnd"/>
      <w:r w:rsidRPr="00A63983">
        <w:rPr>
          <w:sz w:val="24"/>
          <w:szCs w:val="24"/>
          <w:u w:val="single"/>
        </w:rPr>
        <w:t xml:space="preserve"> </w:t>
      </w:r>
      <w:r w:rsidR="00420528" w:rsidRPr="00A63983">
        <w:rPr>
          <w:sz w:val="24"/>
          <w:szCs w:val="24"/>
          <w:u w:val="single"/>
        </w:rPr>
        <w:t>"</w:t>
      </w:r>
      <w:proofErr w:type="spellStart"/>
      <w:r w:rsidR="00420528" w:rsidRPr="00A63983">
        <w:rPr>
          <w:sz w:val="24"/>
          <w:szCs w:val="24"/>
          <w:u w:val="single"/>
        </w:rPr>
        <w:t>Teva</w:t>
      </w:r>
      <w:proofErr w:type="spellEnd"/>
      <w:r w:rsidR="00420528" w:rsidRPr="00A63983">
        <w:rPr>
          <w:sz w:val="24"/>
          <w:szCs w:val="24"/>
          <w:u w:val="single"/>
        </w:rPr>
        <w:t xml:space="preserve"> B.V."</w:t>
      </w:r>
      <w:r w:rsidRPr="00A63983">
        <w:rPr>
          <w:sz w:val="24"/>
          <w:szCs w:val="24"/>
          <w:u w:val="single"/>
        </w:rPr>
        <w:t xml:space="preserve"> 240 mikrogram </w:t>
      </w:r>
      <w:proofErr w:type="spellStart"/>
      <w:r w:rsidRPr="00A63983">
        <w:rPr>
          <w:sz w:val="24"/>
          <w:szCs w:val="24"/>
          <w:u w:val="single"/>
        </w:rPr>
        <w:t>sublingual</w:t>
      </w:r>
      <w:proofErr w:type="spellEnd"/>
      <w:r w:rsidRPr="00A63983">
        <w:rPr>
          <w:sz w:val="24"/>
          <w:szCs w:val="24"/>
          <w:u w:val="single"/>
        </w:rPr>
        <w:t xml:space="preserve"> </w:t>
      </w:r>
      <w:proofErr w:type="spellStart"/>
      <w:r w:rsidRPr="00A63983">
        <w:rPr>
          <w:sz w:val="24"/>
          <w:szCs w:val="24"/>
          <w:u w:val="single"/>
        </w:rPr>
        <w:t>resoriblet</w:t>
      </w:r>
      <w:proofErr w:type="spellEnd"/>
    </w:p>
    <w:p w14:paraId="55DEF996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Hvid eller næsten hvid, firkantet </w:t>
      </w:r>
      <w:proofErr w:type="spellStart"/>
      <w:r w:rsidRPr="00420528">
        <w:rPr>
          <w:sz w:val="24"/>
          <w:szCs w:val="24"/>
        </w:rPr>
        <w:t>bikonveks</w:t>
      </w:r>
      <w:proofErr w:type="spellEnd"/>
      <w:r w:rsidRPr="00420528">
        <w:rPr>
          <w:sz w:val="24"/>
          <w:szCs w:val="24"/>
        </w:rPr>
        <w:t xml:space="preserve"> tablet præget med ”III” på den ene side og uden prægning på den anden side. Størrelse 6 mm i længde/bredde, 2 mm i tykkelse.</w:t>
      </w:r>
    </w:p>
    <w:p w14:paraId="54AFA80E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CF0C02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0C8A49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</w:t>
      </w:r>
      <w:r w:rsidRPr="00420528">
        <w:rPr>
          <w:b/>
          <w:sz w:val="24"/>
          <w:szCs w:val="24"/>
        </w:rPr>
        <w:tab/>
        <w:t>KLINISKE OPLYSNINGER</w:t>
      </w:r>
    </w:p>
    <w:p w14:paraId="0F21D92E" w14:textId="77777777" w:rsidR="009260DE" w:rsidRPr="00420528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0957834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420528">
        <w:rPr>
          <w:b/>
          <w:sz w:val="24"/>
          <w:szCs w:val="24"/>
        </w:rPr>
        <w:t>4.1</w:t>
      </w:r>
      <w:r w:rsidRPr="00420528">
        <w:rPr>
          <w:b/>
          <w:sz w:val="24"/>
          <w:szCs w:val="24"/>
        </w:rPr>
        <w:tab/>
        <w:t>Terapeutiske indikationer</w:t>
      </w:r>
    </w:p>
    <w:p w14:paraId="2A8FA9B0" w14:textId="77777777" w:rsidR="009C1256" w:rsidRPr="00420528" w:rsidRDefault="009C1256" w:rsidP="00881296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 xml:space="preserve">Behandling af central diabetes </w:t>
      </w:r>
      <w:proofErr w:type="spellStart"/>
      <w:r w:rsidRPr="00420528">
        <w:rPr>
          <w:sz w:val="24"/>
          <w:szCs w:val="24"/>
        </w:rPr>
        <w:t>insipidus</w:t>
      </w:r>
      <w:proofErr w:type="spellEnd"/>
      <w:r w:rsidRPr="00420528">
        <w:rPr>
          <w:sz w:val="24"/>
          <w:szCs w:val="24"/>
        </w:rPr>
        <w:t>.</w:t>
      </w:r>
    </w:p>
    <w:p w14:paraId="646D8899" w14:textId="77777777" w:rsidR="009C1256" w:rsidRPr="00420528" w:rsidRDefault="009C1256" w:rsidP="00881296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 xml:space="preserve">Behandling af primær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hos børn fra 5 år med normal evne til at koncentrere urin.</w:t>
      </w:r>
    </w:p>
    <w:p w14:paraId="591E303E" w14:textId="77777777" w:rsidR="009C1256" w:rsidRPr="00420528" w:rsidRDefault="009C1256" w:rsidP="00881296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 xml:space="preserve">Symptomatisk behandling af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hos voksne yngre end 65 år, der er forbundet med natlig </w:t>
      </w:r>
      <w:proofErr w:type="spellStart"/>
      <w:r w:rsidRPr="00420528">
        <w:rPr>
          <w:sz w:val="24"/>
          <w:szCs w:val="24"/>
        </w:rPr>
        <w:t>polyuri</w:t>
      </w:r>
      <w:proofErr w:type="spellEnd"/>
      <w:r w:rsidRPr="00420528">
        <w:rPr>
          <w:sz w:val="24"/>
          <w:szCs w:val="24"/>
        </w:rPr>
        <w:t>, dvs. en natdiurese, der overstiger blærens kapacitet.</w:t>
      </w:r>
    </w:p>
    <w:p w14:paraId="7602857C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C7EB58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4.2</w:t>
      </w:r>
      <w:r w:rsidRPr="00420528">
        <w:rPr>
          <w:b/>
          <w:sz w:val="24"/>
          <w:szCs w:val="24"/>
        </w:rPr>
        <w:tab/>
        <w:t xml:space="preserve">Dosering og </w:t>
      </w:r>
      <w:r w:rsidR="002C1EC0" w:rsidRPr="00420528">
        <w:rPr>
          <w:b/>
          <w:sz w:val="24"/>
          <w:szCs w:val="24"/>
        </w:rPr>
        <w:t>administration</w:t>
      </w:r>
    </w:p>
    <w:p w14:paraId="385557EE" w14:textId="77777777" w:rsidR="009C1256" w:rsidRPr="00420528" w:rsidRDefault="009C1256" w:rsidP="00881296">
      <w:pPr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forårsager </w:t>
      </w:r>
      <w:proofErr w:type="spellStart"/>
      <w:r w:rsidRPr="00420528">
        <w:rPr>
          <w:sz w:val="24"/>
          <w:szCs w:val="24"/>
        </w:rPr>
        <w:t>renal</w:t>
      </w:r>
      <w:proofErr w:type="spellEnd"/>
      <w:r w:rsidRPr="00420528">
        <w:rPr>
          <w:sz w:val="24"/>
          <w:szCs w:val="24"/>
        </w:rPr>
        <w:t xml:space="preserve"> vandreabsorption i nyrerne med væskeophobning som følge.</w:t>
      </w:r>
    </w:p>
    <w:p w14:paraId="3D1B1077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Derfor anbefales det ved behandling med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>:</w:t>
      </w:r>
    </w:p>
    <w:p w14:paraId="52537840" w14:textId="77777777" w:rsidR="009C1256" w:rsidRPr="00420528" w:rsidRDefault="009C1256" w:rsidP="00420528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>at initiere behandling med den lavest mulige dosis</w:t>
      </w:r>
    </w:p>
    <w:p w14:paraId="673912FA" w14:textId="77777777" w:rsidR="009C1256" w:rsidRPr="00420528" w:rsidRDefault="009C1256" w:rsidP="00420528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>at øge dosis gradvist og forsigtigt (uden at overstige den maksimale anbefalede dosis)</w:t>
      </w:r>
    </w:p>
    <w:p w14:paraId="1399F7F6" w14:textId="77777777" w:rsidR="009C1256" w:rsidRPr="00420528" w:rsidRDefault="009C1256" w:rsidP="00420528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>at overholde begrænsningen vedr. væskeindtag</w:t>
      </w:r>
    </w:p>
    <w:p w14:paraId="14CA4481" w14:textId="77777777" w:rsidR="009C1256" w:rsidRPr="00420528" w:rsidRDefault="009C1256" w:rsidP="00420528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>at sikre, at administration til børn sker under tilsyn af en voksen.</w:t>
      </w:r>
    </w:p>
    <w:p w14:paraId="2EB2BBD1" w14:textId="77777777" w:rsidR="009C1256" w:rsidRPr="00420528" w:rsidRDefault="009C1256" w:rsidP="00881296">
      <w:pPr>
        <w:ind w:left="851"/>
        <w:rPr>
          <w:sz w:val="24"/>
          <w:szCs w:val="24"/>
          <w:u w:val="single"/>
        </w:rPr>
      </w:pPr>
    </w:p>
    <w:p w14:paraId="19DC082F" w14:textId="77777777" w:rsidR="009C1256" w:rsidRPr="00420528" w:rsidRDefault="009C1256" w:rsidP="00881296">
      <w:pPr>
        <w:ind w:left="851"/>
        <w:rPr>
          <w:sz w:val="24"/>
          <w:szCs w:val="24"/>
          <w:u w:val="single"/>
        </w:rPr>
      </w:pPr>
      <w:r w:rsidRPr="00420528">
        <w:rPr>
          <w:sz w:val="24"/>
          <w:szCs w:val="24"/>
          <w:u w:val="single"/>
        </w:rPr>
        <w:t>Dosering</w:t>
      </w:r>
    </w:p>
    <w:p w14:paraId="2932C2F3" w14:textId="77777777" w:rsidR="009C1256" w:rsidRPr="00420528" w:rsidRDefault="009C1256" w:rsidP="00881296">
      <w:pPr>
        <w:ind w:left="851"/>
        <w:rPr>
          <w:i/>
          <w:iCs/>
          <w:sz w:val="24"/>
          <w:szCs w:val="24"/>
        </w:rPr>
      </w:pPr>
      <w:r w:rsidRPr="00420528">
        <w:rPr>
          <w:i/>
          <w:iCs/>
          <w:sz w:val="24"/>
          <w:szCs w:val="24"/>
        </w:rPr>
        <w:t>Generelt</w:t>
      </w:r>
    </w:p>
    <w:p w14:paraId="1B6DAFE2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Såfremt der optræder tegn på væskeretention/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(hovedpine, kvalme/opkastning, vægtøgning og, i alvorlige tilfælde, kramper og koma), bør behandlingen afbrydes midlertidigt, indtil patienten er kommet sig helt. </w:t>
      </w:r>
    </w:p>
    <w:p w14:paraId="5A012F24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7A7A6133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Når behandlingen genstartes, er det vigtigt at overholde begrænset væskeindtag, og serumnatrium skal monitoreres (se pkt. 4.4). Dosis skal muligvis justeres.</w:t>
      </w:r>
    </w:p>
    <w:p w14:paraId="43EFDBA9" w14:textId="77777777" w:rsidR="009C1256" w:rsidRPr="00420528" w:rsidRDefault="009C1256" w:rsidP="00881296">
      <w:pPr>
        <w:ind w:left="851"/>
        <w:rPr>
          <w:sz w:val="24"/>
          <w:szCs w:val="24"/>
          <w:u w:val="single"/>
        </w:rPr>
      </w:pPr>
    </w:p>
    <w:p w14:paraId="63CABF3B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I alle tilfælde skal dosisjustering udføres progressivt med hensyn til tilstrækkelig tid mellem hvert dosisniveau.</w:t>
      </w:r>
    </w:p>
    <w:p w14:paraId="7417164B" w14:textId="77777777" w:rsidR="009C1256" w:rsidRPr="00420528" w:rsidRDefault="009C1256" w:rsidP="00881296">
      <w:pPr>
        <w:ind w:left="851"/>
        <w:rPr>
          <w:sz w:val="24"/>
          <w:szCs w:val="24"/>
          <w:u w:val="single"/>
        </w:rPr>
      </w:pPr>
    </w:p>
    <w:p w14:paraId="34BF2F9C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Hvis den ønskede kliniske effekt ikke er opnået efter 4 uger med ugentlig dosistitrering, bør behandlingen seponeres.</w:t>
      </w:r>
    </w:p>
    <w:p w14:paraId="259250F6" w14:textId="77777777" w:rsidR="009C1256" w:rsidRPr="00420528" w:rsidRDefault="009C1256" w:rsidP="00881296">
      <w:pPr>
        <w:ind w:left="851"/>
        <w:rPr>
          <w:sz w:val="24"/>
          <w:szCs w:val="24"/>
          <w:u w:val="single"/>
        </w:rPr>
      </w:pPr>
    </w:p>
    <w:p w14:paraId="7938A64F" w14:textId="77777777" w:rsidR="009C1256" w:rsidRPr="00420528" w:rsidRDefault="009C1256" w:rsidP="00881296">
      <w:pPr>
        <w:ind w:left="851"/>
        <w:rPr>
          <w:i/>
          <w:iCs/>
          <w:sz w:val="24"/>
          <w:szCs w:val="24"/>
        </w:rPr>
      </w:pPr>
      <w:r w:rsidRPr="00420528">
        <w:rPr>
          <w:i/>
          <w:iCs/>
          <w:sz w:val="24"/>
          <w:szCs w:val="24"/>
        </w:rPr>
        <w:t xml:space="preserve">Central diabetes </w:t>
      </w:r>
      <w:proofErr w:type="spellStart"/>
      <w:r w:rsidRPr="00420528">
        <w:rPr>
          <w:i/>
          <w:iCs/>
          <w:sz w:val="24"/>
          <w:szCs w:val="24"/>
        </w:rPr>
        <w:t>insipidus</w:t>
      </w:r>
      <w:proofErr w:type="spellEnd"/>
    </w:p>
    <w:p w14:paraId="0D5126B4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iCs/>
          <w:sz w:val="24"/>
          <w:szCs w:val="24"/>
        </w:rPr>
        <w:t>Voksne og børn: Den anbefalede</w:t>
      </w:r>
      <w:r w:rsidRPr="00420528">
        <w:rPr>
          <w:sz w:val="24"/>
          <w:szCs w:val="24"/>
        </w:rPr>
        <w:t xml:space="preserve"> startdosis er 60 mikrogram administreret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 xml:space="preserve"> 3 gange daglig. Dosis kan derefter justeres i henhold til patientens respons. Klinisk erfaring har vist, at den daglige dosis varierer mellem 120 mikrogram og 720 mikrogram administreret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 xml:space="preserve">. For de fleste patienter er den daglige vedligeholdelsesdosis 60-120 mikrogram administreret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 xml:space="preserve"> 3 gange daglig.</w:t>
      </w:r>
    </w:p>
    <w:p w14:paraId="7D46808F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14BEDE7F" w14:textId="77777777" w:rsidR="009C1256" w:rsidRPr="00420528" w:rsidRDefault="009C1256" w:rsidP="00881296">
      <w:pPr>
        <w:ind w:left="851"/>
        <w:rPr>
          <w:i/>
          <w:iCs/>
          <w:sz w:val="24"/>
          <w:szCs w:val="24"/>
        </w:rPr>
      </w:pPr>
      <w:r w:rsidRPr="00420528">
        <w:rPr>
          <w:i/>
          <w:iCs/>
          <w:sz w:val="24"/>
          <w:szCs w:val="24"/>
        </w:rPr>
        <w:t xml:space="preserve">Primær </w:t>
      </w:r>
      <w:proofErr w:type="spellStart"/>
      <w:r w:rsidRPr="00420528">
        <w:rPr>
          <w:i/>
          <w:iCs/>
          <w:sz w:val="24"/>
          <w:szCs w:val="24"/>
        </w:rPr>
        <w:t>enuresis</w:t>
      </w:r>
      <w:proofErr w:type="spellEnd"/>
      <w:r w:rsidRPr="00420528">
        <w:rPr>
          <w:i/>
          <w:iCs/>
          <w:sz w:val="24"/>
          <w:szCs w:val="24"/>
        </w:rPr>
        <w:t xml:space="preserve"> </w:t>
      </w:r>
      <w:proofErr w:type="spellStart"/>
      <w:r w:rsidRPr="00420528">
        <w:rPr>
          <w:i/>
          <w:iCs/>
          <w:sz w:val="24"/>
          <w:szCs w:val="24"/>
        </w:rPr>
        <w:t>nocturna</w:t>
      </w:r>
      <w:proofErr w:type="spellEnd"/>
    </w:p>
    <w:p w14:paraId="796A5B04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Den anbefalede startdosis er 120 mikrogram administreret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 xml:space="preserve"> ved sengetid. Hvis denne dosis ikke er tilstrækkelig effektiv, kan dosis øges til 240 mikrogram administreret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 xml:space="preserve">. Begrænsning i væskeindtag bør overholdes. </w:t>
      </w:r>
    </w:p>
    <w:p w14:paraId="0032A118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Lægemidlet kan bruges i en behandlingsperiode på op til 3 måneder. Nødvendigheden af yderligere behandling bør vurderes efter en behandlingsfri periode på mindst 1 uge. </w:t>
      </w:r>
    </w:p>
    <w:p w14:paraId="315AB3EB" w14:textId="77777777" w:rsidR="009C1256" w:rsidRPr="00420528" w:rsidRDefault="009C1256" w:rsidP="00881296">
      <w:pPr>
        <w:ind w:left="851"/>
        <w:rPr>
          <w:sz w:val="24"/>
          <w:szCs w:val="24"/>
          <w:u w:val="single"/>
        </w:rPr>
      </w:pPr>
    </w:p>
    <w:p w14:paraId="7FB4F990" w14:textId="77777777" w:rsidR="009C1256" w:rsidRPr="00420528" w:rsidRDefault="009C1256" w:rsidP="00881296">
      <w:pPr>
        <w:ind w:left="851"/>
        <w:rPr>
          <w:i/>
          <w:iCs/>
          <w:sz w:val="24"/>
          <w:szCs w:val="24"/>
        </w:rPr>
      </w:pPr>
      <w:proofErr w:type="spellStart"/>
      <w:r w:rsidRPr="00420528">
        <w:rPr>
          <w:i/>
          <w:iCs/>
          <w:sz w:val="24"/>
          <w:szCs w:val="24"/>
        </w:rPr>
        <w:t>Nykturi</w:t>
      </w:r>
      <w:proofErr w:type="spellEnd"/>
      <w:r w:rsidRPr="00420528">
        <w:rPr>
          <w:i/>
          <w:iCs/>
          <w:sz w:val="24"/>
          <w:szCs w:val="24"/>
        </w:rPr>
        <w:t xml:space="preserve"> hos voksne</w:t>
      </w:r>
    </w:p>
    <w:p w14:paraId="5CD70491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Før diagnosen natlig </w:t>
      </w:r>
      <w:proofErr w:type="spellStart"/>
      <w:r w:rsidRPr="00420528">
        <w:rPr>
          <w:sz w:val="24"/>
          <w:szCs w:val="24"/>
        </w:rPr>
        <w:t>polyuri</w:t>
      </w:r>
      <w:proofErr w:type="spellEnd"/>
      <w:r w:rsidRPr="00420528">
        <w:rPr>
          <w:sz w:val="24"/>
          <w:szCs w:val="24"/>
        </w:rPr>
        <w:t xml:space="preserve"> stilles, bør patienten notere vandladningsfrekvens og volumen af urinproduktionen i mindst 2 døgn, inden behandlingen initieres. Hvis nattens urinproduktion overstiger blærens kapacitet eller overstiger 1/3 af urinproduktionen på et døgn, er der tale om natlig </w:t>
      </w:r>
      <w:proofErr w:type="spellStart"/>
      <w:r w:rsidRPr="00420528">
        <w:rPr>
          <w:sz w:val="24"/>
          <w:szCs w:val="24"/>
        </w:rPr>
        <w:t>polyuri</w:t>
      </w:r>
      <w:proofErr w:type="spellEnd"/>
      <w:r w:rsidRPr="00420528">
        <w:rPr>
          <w:sz w:val="24"/>
          <w:szCs w:val="24"/>
        </w:rPr>
        <w:t>.</w:t>
      </w:r>
    </w:p>
    <w:p w14:paraId="3FD7273C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Den anbefalede startdosis er 60 mikrogram administreret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 xml:space="preserve"> ved sengetid. Hvis denne dosis ikke er tilstrækkelig effektiv, kan dosis efter en uge øges til 120 mikrogram administreret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 xml:space="preserve"> og efterfølgende til 240 mikrogram administreret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 xml:space="preserve">. Begrænsning i væskeindtag bør overholdes. </w:t>
      </w:r>
    </w:p>
    <w:p w14:paraId="3C090C9A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Serumnatrium bør måles, før behandlingen initieres og igen 3 dage efter behandlingsstart. Derudover bør serumnatrium også måles ved dosisforøgelse, samt hvis det i løbet af behandlingen skønnes nødvendigt, se pkt. 4.4.</w:t>
      </w:r>
    </w:p>
    <w:p w14:paraId="423547B0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Hvis den ønskede kliniske effekt ikke er opnået efter 4 uger med ugentlig dosistitrering, bør behandlingen seponeres.</w:t>
      </w:r>
    </w:p>
    <w:p w14:paraId="110BF951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13684BC1" w14:textId="77777777" w:rsidR="009C1256" w:rsidRPr="00420528" w:rsidRDefault="009C1256" w:rsidP="00881296">
      <w:pPr>
        <w:ind w:left="851"/>
        <w:rPr>
          <w:i/>
          <w:iCs/>
          <w:sz w:val="24"/>
          <w:szCs w:val="24"/>
        </w:rPr>
      </w:pPr>
      <w:r w:rsidRPr="00420528">
        <w:rPr>
          <w:i/>
          <w:iCs/>
          <w:sz w:val="24"/>
          <w:szCs w:val="24"/>
        </w:rPr>
        <w:t>Særlige populationer</w:t>
      </w:r>
    </w:p>
    <w:p w14:paraId="232EEEDA" w14:textId="77777777" w:rsidR="009C1256" w:rsidRPr="00420528" w:rsidRDefault="009C1256" w:rsidP="00881296">
      <w:pPr>
        <w:ind w:left="851"/>
        <w:rPr>
          <w:i/>
          <w:iCs/>
          <w:sz w:val="24"/>
          <w:szCs w:val="24"/>
          <w:u w:val="single"/>
        </w:rPr>
      </w:pPr>
      <w:r w:rsidRPr="00420528">
        <w:rPr>
          <w:i/>
          <w:iCs/>
          <w:sz w:val="24"/>
          <w:szCs w:val="24"/>
          <w:u w:val="single"/>
        </w:rPr>
        <w:t>Ældre</w:t>
      </w:r>
    </w:p>
    <w:p w14:paraId="5A8DDC76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Behandling af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bør ikke initieres hos patienter ældre end 65 år (se pkt. 4.3).</w:t>
      </w:r>
    </w:p>
    <w:p w14:paraId="0F4F8EB6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7A22888C" w14:textId="77777777" w:rsidR="009C1256" w:rsidRPr="00420528" w:rsidRDefault="009C1256" w:rsidP="00881296">
      <w:pPr>
        <w:ind w:left="851"/>
        <w:rPr>
          <w:i/>
          <w:iCs/>
          <w:sz w:val="24"/>
          <w:szCs w:val="24"/>
          <w:u w:val="single"/>
        </w:rPr>
      </w:pPr>
      <w:r w:rsidRPr="00420528">
        <w:rPr>
          <w:i/>
          <w:iCs/>
          <w:sz w:val="24"/>
          <w:szCs w:val="24"/>
          <w:u w:val="single"/>
        </w:rPr>
        <w:t>Nyreinsufficiens</w:t>
      </w:r>
    </w:p>
    <w:p w14:paraId="19DD580D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Dosisreduktion er ikke nødvendig hos patienter med let nedsat nyrefunktion.</w:t>
      </w:r>
    </w:p>
    <w:p w14:paraId="5B87A17E" w14:textId="27BFEB63" w:rsidR="009C1256" w:rsidRPr="00420528" w:rsidRDefault="009C1256" w:rsidP="00881296">
      <w:pPr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</w:t>
      </w:r>
      <w:r w:rsidR="00420528">
        <w:rPr>
          <w:sz w:val="24"/>
          <w:szCs w:val="24"/>
        </w:rPr>
        <w:t>"</w:t>
      </w:r>
      <w:proofErr w:type="spellStart"/>
      <w:r w:rsidR="00420528">
        <w:rPr>
          <w:sz w:val="24"/>
          <w:szCs w:val="24"/>
        </w:rPr>
        <w:t>Teva</w:t>
      </w:r>
      <w:proofErr w:type="spellEnd"/>
      <w:r w:rsidR="00420528">
        <w:rPr>
          <w:sz w:val="24"/>
          <w:szCs w:val="24"/>
        </w:rPr>
        <w:t xml:space="preserve"> B.V."</w:t>
      </w:r>
      <w:r w:rsidRPr="00420528">
        <w:rPr>
          <w:sz w:val="24"/>
          <w:szCs w:val="24"/>
        </w:rPr>
        <w:t xml:space="preserve"> er kontraindiceret til patienter med moderat eller alvorlig nedsat nyrefunktion (se pkt. 4.3).</w:t>
      </w:r>
    </w:p>
    <w:p w14:paraId="7D4B5681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4E429D1B" w14:textId="77777777" w:rsidR="009C1256" w:rsidRPr="00420528" w:rsidRDefault="009C1256" w:rsidP="00881296">
      <w:pPr>
        <w:ind w:left="851"/>
        <w:rPr>
          <w:i/>
          <w:iCs/>
          <w:sz w:val="24"/>
          <w:szCs w:val="24"/>
          <w:u w:val="single"/>
        </w:rPr>
      </w:pPr>
      <w:r w:rsidRPr="00420528">
        <w:rPr>
          <w:i/>
          <w:iCs/>
          <w:sz w:val="24"/>
          <w:szCs w:val="24"/>
          <w:u w:val="single"/>
        </w:rPr>
        <w:t>Leverinsufficiens</w:t>
      </w:r>
    </w:p>
    <w:p w14:paraId="6C91F397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Dosisjustering er ikke nødvendig hos patienter med leverinsufficiens (se pkt. 5.2).</w:t>
      </w:r>
    </w:p>
    <w:p w14:paraId="363ADF71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0B9AC7FF" w14:textId="77777777" w:rsidR="009C1256" w:rsidRPr="00420528" w:rsidRDefault="009C1256" w:rsidP="00881296">
      <w:pPr>
        <w:ind w:left="851"/>
        <w:rPr>
          <w:i/>
          <w:iCs/>
          <w:sz w:val="24"/>
          <w:szCs w:val="24"/>
          <w:u w:val="single"/>
        </w:rPr>
      </w:pPr>
      <w:r w:rsidRPr="00420528">
        <w:rPr>
          <w:i/>
          <w:iCs/>
          <w:sz w:val="24"/>
          <w:szCs w:val="24"/>
          <w:u w:val="single"/>
        </w:rPr>
        <w:t>Pædiatrisk population</w:t>
      </w:r>
    </w:p>
    <w:p w14:paraId="4BF74239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Dette lægemiddel er indiceret til central diabetes </w:t>
      </w:r>
      <w:proofErr w:type="spellStart"/>
      <w:r w:rsidRPr="00420528">
        <w:rPr>
          <w:sz w:val="24"/>
          <w:szCs w:val="24"/>
        </w:rPr>
        <w:t>insipidus</w:t>
      </w:r>
      <w:proofErr w:type="spellEnd"/>
      <w:r w:rsidRPr="00420528">
        <w:rPr>
          <w:sz w:val="24"/>
          <w:szCs w:val="24"/>
        </w:rPr>
        <w:t xml:space="preserve"> og primær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hos børn. For diabetes </w:t>
      </w:r>
      <w:proofErr w:type="spellStart"/>
      <w:r w:rsidRPr="00420528">
        <w:rPr>
          <w:sz w:val="24"/>
          <w:szCs w:val="24"/>
        </w:rPr>
        <w:t>insipidus</w:t>
      </w:r>
      <w:proofErr w:type="spellEnd"/>
      <w:r w:rsidRPr="00420528">
        <w:rPr>
          <w:sz w:val="24"/>
          <w:szCs w:val="24"/>
        </w:rPr>
        <w:t xml:space="preserve"> er den anbefalede dosering til børn er den samme som for voksne. Dette lægemiddel bør ikke anvendes til primær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hos børn under 5 år.</w:t>
      </w:r>
    </w:p>
    <w:p w14:paraId="67B47493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10E90C83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  <w:u w:val="single"/>
        </w:rPr>
        <w:t>Administration</w:t>
      </w:r>
    </w:p>
    <w:p w14:paraId="5791C0A6" w14:textId="469D1D79" w:rsidR="009C1256" w:rsidRPr="00420528" w:rsidRDefault="009C1256" w:rsidP="00881296">
      <w:pPr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</w:t>
      </w:r>
      <w:r w:rsidR="00420528">
        <w:rPr>
          <w:sz w:val="24"/>
          <w:szCs w:val="24"/>
        </w:rPr>
        <w:t>"</w:t>
      </w:r>
      <w:proofErr w:type="spellStart"/>
      <w:r w:rsidR="00420528">
        <w:rPr>
          <w:sz w:val="24"/>
          <w:szCs w:val="24"/>
        </w:rPr>
        <w:t>Teva</w:t>
      </w:r>
      <w:proofErr w:type="spellEnd"/>
      <w:r w:rsidR="00420528">
        <w:rPr>
          <w:sz w:val="24"/>
          <w:szCs w:val="24"/>
        </w:rPr>
        <w:t xml:space="preserve"> B.V."</w:t>
      </w:r>
      <w:r w:rsidRPr="00420528">
        <w:rPr>
          <w:sz w:val="24"/>
          <w:szCs w:val="24"/>
        </w:rPr>
        <w:t xml:space="preserve"> er til </w:t>
      </w:r>
      <w:proofErr w:type="spellStart"/>
      <w:r w:rsidRPr="00420528">
        <w:rPr>
          <w:sz w:val="24"/>
          <w:szCs w:val="24"/>
        </w:rPr>
        <w:t>sublingual</w:t>
      </w:r>
      <w:proofErr w:type="spellEnd"/>
      <w:r w:rsidRPr="00420528">
        <w:rPr>
          <w:sz w:val="24"/>
          <w:szCs w:val="24"/>
        </w:rPr>
        <w:t xml:space="preserve"> anvendelse.</w:t>
      </w:r>
    </w:p>
    <w:p w14:paraId="0D988FF4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Lægemidlet placeres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>, hvor det opløses uden vand.</w:t>
      </w:r>
    </w:p>
    <w:p w14:paraId="30D7297B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495F231B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Ved behandling af primær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og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bør væskeindtaget reduceres til et minimum i tidsrummet 1 time inden administration af aftendosis og til mindst 8 timer efter administrationen (se pkt. 4.4).</w:t>
      </w:r>
    </w:p>
    <w:p w14:paraId="3D3C958F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427287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4.3</w:t>
      </w:r>
      <w:r w:rsidRPr="00420528">
        <w:rPr>
          <w:b/>
          <w:sz w:val="24"/>
          <w:szCs w:val="24"/>
        </w:rPr>
        <w:tab/>
        <w:t>Kontraindikationer</w:t>
      </w:r>
    </w:p>
    <w:p w14:paraId="4E6E1EE3" w14:textId="77777777" w:rsidR="009C1256" w:rsidRPr="00420528" w:rsidRDefault="009C1256" w:rsidP="0088129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 xml:space="preserve">Overfølsomhed over for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eller et eller flere af indholdsstofferne dette lægemiddel.</w:t>
      </w:r>
    </w:p>
    <w:p w14:paraId="71A3DB4E" w14:textId="77777777" w:rsidR="009C1256" w:rsidRPr="00420528" w:rsidRDefault="009C1256" w:rsidP="00881296">
      <w:pPr>
        <w:pStyle w:val="Listeafsnit"/>
        <w:numPr>
          <w:ilvl w:val="0"/>
          <w:numId w:val="13"/>
        </w:numPr>
        <w:ind w:left="1276" w:hanging="425"/>
        <w:rPr>
          <w:i/>
          <w:sz w:val="24"/>
          <w:szCs w:val="24"/>
        </w:rPr>
      </w:pPr>
      <w:r w:rsidRPr="00420528">
        <w:rPr>
          <w:sz w:val="24"/>
          <w:szCs w:val="24"/>
        </w:rPr>
        <w:t>Habituel eller psykogen polydipsi (som resulterer i en urinproduktion, der overstiger 40 mg/kg/24 timer).</w:t>
      </w:r>
    </w:p>
    <w:p w14:paraId="36212E4E" w14:textId="77777777" w:rsidR="009C1256" w:rsidRPr="00420528" w:rsidRDefault="009C1256" w:rsidP="0088129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 xml:space="preserve">Kendt eller formodet hjerteinsufficiens eller andre tilstande, der kræver behandling med </w:t>
      </w:r>
      <w:proofErr w:type="spellStart"/>
      <w:r w:rsidRPr="00420528">
        <w:rPr>
          <w:sz w:val="24"/>
          <w:szCs w:val="24"/>
        </w:rPr>
        <w:t>diuretika</w:t>
      </w:r>
      <w:proofErr w:type="spellEnd"/>
      <w:r w:rsidRPr="00420528">
        <w:rPr>
          <w:sz w:val="24"/>
          <w:szCs w:val="24"/>
        </w:rPr>
        <w:t>.</w:t>
      </w:r>
    </w:p>
    <w:p w14:paraId="31FA40A0" w14:textId="77777777" w:rsidR="009C1256" w:rsidRPr="00420528" w:rsidRDefault="009C1256" w:rsidP="0088129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>Moderat til alvorlig nyreinsufficiens (</w:t>
      </w:r>
      <w:proofErr w:type="spellStart"/>
      <w:r w:rsidRPr="00420528">
        <w:rPr>
          <w:sz w:val="24"/>
          <w:szCs w:val="24"/>
        </w:rPr>
        <w:t>kreatininclearance</w:t>
      </w:r>
      <w:proofErr w:type="spellEnd"/>
      <w:r w:rsidRPr="00420528">
        <w:rPr>
          <w:sz w:val="24"/>
          <w:szCs w:val="24"/>
        </w:rPr>
        <w:t xml:space="preserve"> &lt; 50 ml/min).</w:t>
      </w:r>
    </w:p>
    <w:p w14:paraId="688E0F3E" w14:textId="77777777" w:rsidR="009C1256" w:rsidRPr="00420528" w:rsidRDefault="009C1256" w:rsidP="0088129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 xml:space="preserve">Kendt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>.</w:t>
      </w:r>
    </w:p>
    <w:p w14:paraId="2CEBA48D" w14:textId="77777777" w:rsidR="009C1256" w:rsidRPr="00420528" w:rsidRDefault="009C1256" w:rsidP="0088129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lastRenderedPageBreak/>
        <w:t>SIADH - en tilstand med uhensigtsmæssig høj ADH-produktion.</w:t>
      </w:r>
    </w:p>
    <w:p w14:paraId="671485B2" w14:textId="245F9D9B" w:rsidR="009C1256" w:rsidRPr="00420528" w:rsidRDefault="009C1256" w:rsidP="0088129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 xml:space="preserve">Patienter under 5 år, hvis dette lægemiddel bruges til behandling af primær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>.</w:t>
      </w:r>
    </w:p>
    <w:p w14:paraId="1959DAA7" w14:textId="77777777" w:rsidR="009C1256" w:rsidRPr="00420528" w:rsidRDefault="009C1256" w:rsidP="0088129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 xml:space="preserve">Patienter ældre end 65 år, hvis dette lægemiddel anvendes til behandling af primær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eller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>.</w:t>
      </w:r>
    </w:p>
    <w:p w14:paraId="2725FC1B" w14:textId="77777777" w:rsidR="009C1256" w:rsidRPr="00420528" w:rsidRDefault="009C1256" w:rsidP="0088129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420528">
        <w:rPr>
          <w:sz w:val="24"/>
          <w:szCs w:val="24"/>
        </w:rPr>
        <w:t>Patienter, der ikke er i stand til at overholde begrænsning i væskeindtag.</w:t>
      </w:r>
    </w:p>
    <w:p w14:paraId="49CDBB43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95D1E7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4.4</w:t>
      </w:r>
      <w:r w:rsidRPr="00420528">
        <w:rPr>
          <w:b/>
          <w:sz w:val="24"/>
          <w:szCs w:val="24"/>
        </w:rPr>
        <w:tab/>
        <w:t>Særlige advarsler og forsigtighedsregler vedrørende brugen</w:t>
      </w:r>
    </w:p>
    <w:p w14:paraId="3C1BEE69" w14:textId="77777777" w:rsidR="0009259F" w:rsidRDefault="0009259F" w:rsidP="00881296">
      <w:pPr>
        <w:ind w:left="851"/>
        <w:rPr>
          <w:sz w:val="24"/>
          <w:szCs w:val="24"/>
        </w:rPr>
      </w:pPr>
    </w:p>
    <w:p w14:paraId="45F8B9B3" w14:textId="6DE66E22" w:rsidR="009C1256" w:rsidRPr="0009259F" w:rsidRDefault="009C1256" w:rsidP="00881296">
      <w:pPr>
        <w:ind w:left="851"/>
        <w:rPr>
          <w:sz w:val="24"/>
          <w:szCs w:val="24"/>
          <w:u w:val="single"/>
        </w:rPr>
      </w:pPr>
      <w:r w:rsidRPr="0009259F">
        <w:rPr>
          <w:sz w:val="24"/>
          <w:szCs w:val="24"/>
          <w:u w:val="single"/>
        </w:rPr>
        <w:t>Inden initiering af behandlingen</w:t>
      </w:r>
    </w:p>
    <w:p w14:paraId="71F8F2B9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Inden </w:t>
      </w:r>
      <w:proofErr w:type="spellStart"/>
      <w:r w:rsidRPr="00420528">
        <w:rPr>
          <w:sz w:val="24"/>
          <w:szCs w:val="24"/>
        </w:rPr>
        <w:t>desmopressinbehandling</w:t>
      </w:r>
      <w:proofErr w:type="spellEnd"/>
      <w:r w:rsidRPr="00420528">
        <w:rPr>
          <w:sz w:val="24"/>
          <w:szCs w:val="24"/>
        </w:rPr>
        <w:t xml:space="preserve"> initieres ved indikationerne isoleret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hos børn og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hos voksne, skal enhver organisk </w:t>
      </w:r>
      <w:proofErr w:type="spellStart"/>
      <w:r w:rsidRPr="00420528">
        <w:rPr>
          <w:sz w:val="24"/>
          <w:szCs w:val="24"/>
        </w:rPr>
        <w:t>vesico</w:t>
      </w:r>
      <w:proofErr w:type="spellEnd"/>
      <w:r w:rsidRPr="00420528">
        <w:rPr>
          <w:sz w:val="24"/>
          <w:szCs w:val="24"/>
        </w:rPr>
        <w:t>-</w:t>
      </w:r>
      <w:proofErr w:type="spellStart"/>
      <w:r w:rsidRPr="00420528">
        <w:rPr>
          <w:sz w:val="24"/>
          <w:szCs w:val="24"/>
        </w:rPr>
        <w:t>sphincter</w:t>
      </w:r>
      <w:proofErr w:type="spellEnd"/>
      <w:r w:rsidRPr="00420528">
        <w:rPr>
          <w:sz w:val="24"/>
          <w:szCs w:val="24"/>
        </w:rPr>
        <w:t>-anormalitet udelukkes.</w:t>
      </w:r>
    </w:p>
    <w:p w14:paraId="76849638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5783DBA7" w14:textId="77777777" w:rsidR="009C1256" w:rsidRPr="00420528" w:rsidRDefault="009C1256" w:rsidP="00881296">
      <w:pPr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bør administreres med forsigtighed, og hvis nødvendigt skal dosis skal reduceres hos ældre patienter og patienter med </w:t>
      </w:r>
      <w:proofErr w:type="spellStart"/>
      <w:r w:rsidRPr="00420528">
        <w:rPr>
          <w:sz w:val="24"/>
          <w:szCs w:val="24"/>
        </w:rPr>
        <w:t>kardiovaskulære</w:t>
      </w:r>
      <w:proofErr w:type="spellEnd"/>
      <w:r w:rsidRPr="00420528">
        <w:rPr>
          <w:sz w:val="24"/>
          <w:szCs w:val="24"/>
        </w:rPr>
        <w:t xml:space="preserve"> lidelser (hjerteinsufficiens, </w:t>
      </w:r>
      <w:proofErr w:type="spellStart"/>
      <w:r w:rsidRPr="00420528">
        <w:rPr>
          <w:sz w:val="24"/>
          <w:szCs w:val="24"/>
        </w:rPr>
        <w:t>ateriel</w:t>
      </w:r>
      <w:proofErr w:type="spellEnd"/>
      <w:r w:rsidRPr="00420528">
        <w:rPr>
          <w:sz w:val="24"/>
          <w:szCs w:val="24"/>
        </w:rPr>
        <w:t xml:space="preserve"> hypertension) samt hos patienter i risiko for </w:t>
      </w:r>
      <w:proofErr w:type="spellStart"/>
      <w:r w:rsidRPr="00420528">
        <w:rPr>
          <w:sz w:val="24"/>
          <w:szCs w:val="24"/>
        </w:rPr>
        <w:t>interkraniel</w:t>
      </w:r>
      <w:proofErr w:type="spellEnd"/>
      <w:r w:rsidRPr="00420528">
        <w:rPr>
          <w:sz w:val="24"/>
          <w:szCs w:val="24"/>
        </w:rPr>
        <w:t xml:space="preserve"> hypertension.</w:t>
      </w:r>
    </w:p>
    <w:p w14:paraId="788E7280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0BCB9ABB" w14:textId="77777777" w:rsidR="009C1256" w:rsidRPr="00420528" w:rsidRDefault="009C1256" w:rsidP="00881296">
      <w:pPr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bør administreres med forsigtighed, og hvis nødvendigt skal dosis reduceres hos patienter, der lider af astma, cystisk fibrose, epilepsi, migræne eller lidelser, der karakteriseres ved væske- og/eller elektrolytubalance.</w:t>
      </w:r>
    </w:p>
    <w:p w14:paraId="1CFB9FB9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7C2B40FD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Ved høje doser, især ved diabetes </w:t>
      </w:r>
      <w:proofErr w:type="spellStart"/>
      <w:r w:rsidRPr="00420528">
        <w:rPr>
          <w:sz w:val="24"/>
          <w:szCs w:val="24"/>
        </w:rPr>
        <w:t>insipidus</w:t>
      </w:r>
      <w:proofErr w:type="spellEnd"/>
      <w:r w:rsidRPr="00420528">
        <w:rPr>
          <w:sz w:val="24"/>
          <w:szCs w:val="24"/>
        </w:rPr>
        <w:t xml:space="preserve">, kan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til tider forårsage en let øget stigning i blodtrykket, hvilket forsvinder ved at reducere dosis.</w:t>
      </w:r>
    </w:p>
    <w:p w14:paraId="22692060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360BBD18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I tilfælde af </w:t>
      </w:r>
      <w:proofErr w:type="spellStart"/>
      <w:r w:rsidRPr="00420528">
        <w:rPr>
          <w:sz w:val="24"/>
          <w:szCs w:val="24"/>
        </w:rPr>
        <w:t>kortikotrop</w:t>
      </w:r>
      <w:proofErr w:type="spellEnd"/>
      <w:r w:rsidRPr="00420528">
        <w:rPr>
          <w:sz w:val="24"/>
          <w:szCs w:val="24"/>
        </w:rPr>
        <w:t xml:space="preserve">- eller </w:t>
      </w:r>
      <w:proofErr w:type="spellStart"/>
      <w:r w:rsidRPr="00420528">
        <w:rPr>
          <w:sz w:val="24"/>
          <w:szCs w:val="24"/>
        </w:rPr>
        <w:t>thyroidea</w:t>
      </w:r>
      <w:proofErr w:type="spellEnd"/>
      <w:r w:rsidRPr="00420528">
        <w:rPr>
          <w:sz w:val="24"/>
          <w:szCs w:val="24"/>
        </w:rPr>
        <w:t xml:space="preserve">-insufficiens må dette behandles, inden </w:t>
      </w:r>
      <w:proofErr w:type="spellStart"/>
      <w:r w:rsidRPr="00420528">
        <w:rPr>
          <w:sz w:val="24"/>
          <w:szCs w:val="24"/>
        </w:rPr>
        <w:t>desmopressinbehandlingen</w:t>
      </w:r>
      <w:proofErr w:type="spellEnd"/>
      <w:r w:rsidRPr="00420528">
        <w:rPr>
          <w:sz w:val="24"/>
          <w:szCs w:val="24"/>
        </w:rPr>
        <w:t xml:space="preserve"> initieres samt under hele forløbet for at undgå tilfælde af </w:t>
      </w:r>
      <w:proofErr w:type="spellStart"/>
      <w:r w:rsidRPr="00420528">
        <w:rPr>
          <w:sz w:val="24"/>
          <w:szCs w:val="24"/>
        </w:rPr>
        <w:t>vandintoksikation</w:t>
      </w:r>
      <w:proofErr w:type="spellEnd"/>
      <w:r w:rsidRPr="00420528">
        <w:rPr>
          <w:sz w:val="24"/>
          <w:szCs w:val="24"/>
        </w:rPr>
        <w:t>.</w:t>
      </w:r>
    </w:p>
    <w:p w14:paraId="7B6220B9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7E8E65B2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Hos patienter med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bør der føres en tømningsdagbog i mindst 2 dage med angivelse af hyppighed og volumen af vandladninger for at diagnosticere natlig </w:t>
      </w:r>
      <w:proofErr w:type="spellStart"/>
      <w:r w:rsidRPr="00420528">
        <w:rPr>
          <w:sz w:val="24"/>
          <w:szCs w:val="24"/>
        </w:rPr>
        <w:t>polyuri</w:t>
      </w:r>
      <w:proofErr w:type="spellEnd"/>
      <w:r w:rsidRPr="00420528">
        <w:rPr>
          <w:sz w:val="24"/>
          <w:szCs w:val="24"/>
        </w:rPr>
        <w:t>, inden behandlingen initieres.</w:t>
      </w:r>
    </w:p>
    <w:p w14:paraId="37E04DAF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3310FB55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i/>
          <w:iCs/>
          <w:sz w:val="24"/>
          <w:szCs w:val="24"/>
        </w:rPr>
        <w:t>Pædiatrisk population</w:t>
      </w:r>
    </w:p>
    <w:p w14:paraId="2D86ADAB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Terapeutisk behandling af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hos børn starter sædvanligvis med tiltag i levestil og brug af </w:t>
      </w:r>
      <w:proofErr w:type="spellStart"/>
      <w:r w:rsidRPr="00420528">
        <w:rPr>
          <w:sz w:val="24"/>
          <w:szCs w:val="24"/>
        </w:rPr>
        <w:t>vådliggeralarm</w:t>
      </w:r>
      <w:proofErr w:type="spellEnd"/>
      <w:r w:rsidRPr="00420528">
        <w:rPr>
          <w:sz w:val="24"/>
          <w:szCs w:val="24"/>
        </w:rPr>
        <w:t xml:space="preserve"> om natten. Det er vigtigt, at behandleren overvejer disse tiltag, inden behandling med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initieres.</w:t>
      </w:r>
    </w:p>
    <w:p w14:paraId="22C13F08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6A9BDB70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Hos børn med isoleret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skal patienten, inden behandlingen initieres, notere hyppigheden af vandladning og timer for væskeindtag i 48 timer samt antallet af våde nætter i 7 dage.</w:t>
      </w:r>
    </w:p>
    <w:p w14:paraId="783E471A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083AB479" w14:textId="77777777" w:rsidR="009C1256" w:rsidRPr="0009259F" w:rsidRDefault="009C1256" w:rsidP="00881296">
      <w:pPr>
        <w:ind w:left="851"/>
        <w:rPr>
          <w:sz w:val="24"/>
          <w:szCs w:val="24"/>
          <w:u w:val="single"/>
        </w:rPr>
      </w:pPr>
      <w:r w:rsidRPr="0009259F">
        <w:rPr>
          <w:sz w:val="24"/>
          <w:szCs w:val="24"/>
          <w:u w:val="single"/>
        </w:rPr>
        <w:t>Monitorering af behandlingen</w:t>
      </w:r>
    </w:p>
    <w:p w14:paraId="4F2A3B88" w14:textId="77777777" w:rsidR="009C1256" w:rsidRPr="00420528" w:rsidRDefault="009C1256" w:rsidP="00881296">
      <w:pPr>
        <w:ind w:left="851"/>
        <w:rPr>
          <w:i/>
          <w:iCs/>
          <w:sz w:val="24"/>
          <w:szCs w:val="24"/>
        </w:rPr>
      </w:pPr>
    </w:p>
    <w:p w14:paraId="223AA561" w14:textId="77777777" w:rsidR="009C1256" w:rsidRPr="00420528" w:rsidRDefault="009C1256" w:rsidP="00881296">
      <w:pPr>
        <w:ind w:left="851"/>
        <w:rPr>
          <w:i/>
          <w:iCs/>
          <w:sz w:val="24"/>
          <w:szCs w:val="24"/>
        </w:rPr>
      </w:pPr>
      <w:proofErr w:type="spellStart"/>
      <w:r w:rsidRPr="00420528">
        <w:rPr>
          <w:i/>
          <w:iCs/>
          <w:sz w:val="24"/>
          <w:szCs w:val="24"/>
        </w:rPr>
        <w:t>Hyponatriæmi</w:t>
      </w:r>
      <w:proofErr w:type="spellEnd"/>
      <w:r w:rsidRPr="00420528">
        <w:rPr>
          <w:i/>
          <w:iCs/>
          <w:sz w:val="24"/>
          <w:szCs w:val="24"/>
        </w:rPr>
        <w:t>/</w:t>
      </w:r>
      <w:proofErr w:type="spellStart"/>
      <w:r w:rsidRPr="00420528">
        <w:rPr>
          <w:i/>
          <w:iCs/>
          <w:sz w:val="24"/>
          <w:szCs w:val="24"/>
        </w:rPr>
        <w:t>vandintoksikation</w:t>
      </w:r>
      <w:proofErr w:type="spellEnd"/>
    </w:p>
    <w:p w14:paraId="7273E3A7" w14:textId="77777777" w:rsidR="0009259F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Hos patienter med </w:t>
      </w:r>
      <w:proofErr w:type="spellStart"/>
      <w:r w:rsidRPr="00420528">
        <w:rPr>
          <w:sz w:val="24"/>
          <w:szCs w:val="24"/>
        </w:rPr>
        <w:t>urge</w:t>
      </w:r>
      <w:proofErr w:type="spellEnd"/>
      <w:r w:rsidRPr="00420528">
        <w:rPr>
          <w:sz w:val="24"/>
          <w:szCs w:val="24"/>
        </w:rPr>
        <w:t xml:space="preserve">-inkontinens, organiske årsager til hyppigere øget vandladningstrang eller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(fx benign </w:t>
      </w:r>
      <w:proofErr w:type="spellStart"/>
      <w:r w:rsidRPr="00420528">
        <w:rPr>
          <w:sz w:val="24"/>
          <w:szCs w:val="24"/>
        </w:rPr>
        <w:t>prostatahyperplasi</w:t>
      </w:r>
      <w:proofErr w:type="spellEnd"/>
      <w:r w:rsidRPr="00420528">
        <w:rPr>
          <w:sz w:val="24"/>
          <w:szCs w:val="24"/>
        </w:rPr>
        <w:t>, infektioner i urinrøret, galdesten/tumorer, polydipsi eller dårligt reguleret diabetes mellitus) skal årsagen til dette problem håndteres først.</w:t>
      </w:r>
    </w:p>
    <w:p w14:paraId="658DA4B9" w14:textId="77777777" w:rsidR="0009259F" w:rsidRDefault="0009259F" w:rsidP="00881296">
      <w:pPr>
        <w:ind w:left="851"/>
        <w:rPr>
          <w:sz w:val="24"/>
          <w:szCs w:val="24"/>
        </w:rPr>
      </w:pPr>
    </w:p>
    <w:p w14:paraId="45C22F13" w14:textId="77777777" w:rsidR="0009259F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lastRenderedPageBreak/>
        <w:t xml:space="preserve">Ved behandling af primær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og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bør væskeindtaget reduceres til et minimum i tidsrummet 1 time inden administration af aftendosis og til mindst 8 timer efter administrationen (se pkt. 4.2).</w:t>
      </w:r>
    </w:p>
    <w:p w14:paraId="77A9793C" w14:textId="77777777" w:rsidR="0009259F" w:rsidRDefault="0009259F" w:rsidP="00881296">
      <w:pPr>
        <w:ind w:left="851"/>
        <w:rPr>
          <w:sz w:val="24"/>
          <w:szCs w:val="24"/>
        </w:rPr>
      </w:pPr>
    </w:p>
    <w:p w14:paraId="768CD868" w14:textId="4594C72A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Der anbefales monitorering af patientens vægt i dagene umiddelbart efter initiering af behandling eller efter dosisøgning. Hurtig og signifikant stigning i vægt kan være et tegn på voldsom væskeophobning.</w:t>
      </w:r>
    </w:p>
    <w:p w14:paraId="0ED57C2B" w14:textId="77777777" w:rsidR="0009259F" w:rsidRDefault="0009259F" w:rsidP="00881296">
      <w:pPr>
        <w:ind w:left="851"/>
        <w:rPr>
          <w:sz w:val="24"/>
          <w:szCs w:val="24"/>
        </w:rPr>
      </w:pPr>
    </w:p>
    <w:p w14:paraId="6ACEAD92" w14:textId="3B9CF0FA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Uden samtidig begrænsning af væskeindtag kan behandling føre til væskeophobning og/eller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(hovedpine, kvalme/opkastning, hurtig vægtstigning og, i alvorlige tilfælde, kramper og koma). Hvis disse symptomer opstår i forbindelse med indikationerne isoleret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hos børn og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hos voksne, skal behandlingen afbrydes, og </w:t>
      </w:r>
      <w:proofErr w:type="spellStart"/>
      <w:r w:rsidRPr="00420528">
        <w:rPr>
          <w:sz w:val="24"/>
          <w:szCs w:val="24"/>
        </w:rPr>
        <w:t>blodionogram</w:t>
      </w:r>
      <w:proofErr w:type="spellEnd"/>
      <w:r w:rsidRPr="00420528">
        <w:rPr>
          <w:sz w:val="24"/>
          <w:szCs w:val="24"/>
        </w:rPr>
        <w:t xml:space="preserve"> bør foretages for at måle serumnatrium. Hvis behandlingen genoptages, skal begrænsningen af væskeindtag være mere restriktiv.</w:t>
      </w:r>
    </w:p>
    <w:p w14:paraId="15E5A530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25FEF2B0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Alle patienter og deres omsorgspersoner skal instrueres omhyggeligt mht. begrænsning af væskeindtag.</w:t>
      </w:r>
    </w:p>
    <w:p w14:paraId="0E098521" w14:textId="77777777" w:rsidR="0009259F" w:rsidRDefault="0009259F" w:rsidP="00881296">
      <w:pPr>
        <w:ind w:left="851"/>
        <w:rPr>
          <w:sz w:val="24"/>
          <w:szCs w:val="24"/>
        </w:rPr>
      </w:pPr>
    </w:p>
    <w:p w14:paraId="640D199D" w14:textId="2F092CD4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Der er øget risiko for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hos ældre og hos patienter med lavt serumnatrium og hos patienter med et højt volumen af </w:t>
      </w:r>
      <w:proofErr w:type="spellStart"/>
      <w:r w:rsidRPr="00420528">
        <w:rPr>
          <w:sz w:val="24"/>
          <w:szCs w:val="24"/>
        </w:rPr>
        <w:t>diurnal</w:t>
      </w:r>
      <w:proofErr w:type="spellEnd"/>
      <w:r w:rsidRPr="00420528">
        <w:rPr>
          <w:sz w:val="24"/>
          <w:szCs w:val="24"/>
        </w:rPr>
        <w:t xml:space="preserve"> urin (mere end 2,8-3 liter).</w:t>
      </w:r>
    </w:p>
    <w:p w14:paraId="5753DD88" w14:textId="77777777" w:rsidR="0009259F" w:rsidRDefault="0009259F" w:rsidP="00881296">
      <w:pPr>
        <w:ind w:left="851"/>
        <w:rPr>
          <w:sz w:val="24"/>
          <w:szCs w:val="24"/>
        </w:rPr>
      </w:pPr>
    </w:p>
    <w:p w14:paraId="40F5266E" w14:textId="1E44FABD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For at undgå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skal man ved følgende lidelser være ekstra opmærksom på væskeophobning og hyppig monitorering af serumnatrium:</w:t>
      </w:r>
    </w:p>
    <w:p w14:paraId="17D032B7" w14:textId="77777777" w:rsidR="009C1256" w:rsidRPr="0009259F" w:rsidRDefault="009C1256" w:rsidP="0009259F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r w:rsidRPr="0009259F">
        <w:rPr>
          <w:sz w:val="24"/>
          <w:szCs w:val="24"/>
        </w:rPr>
        <w:t xml:space="preserve">samtidig behandling med lægemidler, som vides at inducere SIADH, såsom tricykliske </w:t>
      </w:r>
      <w:proofErr w:type="spellStart"/>
      <w:r w:rsidRPr="0009259F">
        <w:rPr>
          <w:sz w:val="24"/>
          <w:szCs w:val="24"/>
        </w:rPr>
        <w:t>antidepressiva</w:t>
      </w:r>
      <w:proofErr w:type="spellEnd"/>
      <w:r w:rsidRPr="0009259F">
        <w:rPr>
          <w:sz w:val="24"/>
          <w:szCs w:val="24"/>
        </w:rPr>
        <w:t xml:space="preserve">, </w:t>
      </w:r>
      <w:proofErr w:type="spellStart"/>
      <w:r w:rsidRPr="0009259F">
        <w:rPr>
          <w:sz w:val="24"/>
          <w:szCs w:val="24"/>
        </w:rPr>
        <w:t>SSRI’er</w:t>
      </w:r>
      <w:proofErr w:type="spellEnd"/>
      <w:r w:rsidRPr="0009259F">
        <w:rPr>
          <w:sz w:val="24"/>
          <w:szCs w:val="24"/>
        </w:rPr>
        <w:t xml:space="preserve">, </w:t>
      </w:r>
      <w:proofErr w:type="spellStart"/>
      <w:r w:rsidRPr="0009259F">
        <w:rPr>
          <w:sz w:val="24"/>
          <w:szCs w:val="24"/>
        </w:rPr>
        <w:t>chlorpromazin</w:t>
      </w:r>
      <w:proofErr w:type="spellEnd"/>
      <w:r w:rsidRPr="0009259F">
        <w:rPr>
          <w:sz w:val="24"/>
          <w:szCs w:val="24"/>
        </w:rPr>
        <w:t xml:space="preserve"> og </w:t>
      </w:r>
      <w:proofErr w:type="spellStart"/>
      <w:r w:rsidRPr="0009259F">
        <w:rPr>
          <w:sz w:val="24"/>
          <w:szCs w:val="24"/>
        </w:rPr>
        <w:t>carbamazepin</w:t>
      </w:r>
      <w:proofErr w:type="spellEnd"/>
    </w:p>
    <w:p w14:paraId="29364769" w14:textId="77777777" w:rsidR="009C1256" w:rsidRPr="0009259F" w:rsidRDefault="009C1256" w:rsidP="0009259F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r w:rsidRPr="0009259F">
        <w:rPr>
          <w:sz w:val="24"/>
          <w:szCs w:val="24"/>
        </w:rPr>
        <w:t xml:space="preserve">samtidig behandling med </w:t>
      </w:r>
      <w:proofErr w:type="spellStart"/>
      <w:r w:rsidRPr="0009259F">
        <w:rPr>
          <w:sz w:val="24"/>
          <w:szCs w:val="24"/>
        </w:rPr>
        <w:t>NSAID’er</w:t>
      </w:r>
      <w:proofErr w:type="spellEnd"/>
      <w:r w:rsidRPr="0009259F">
        <w:rPr>
          <w:sz w:val="24"/>
          <w:szCs w:val="24"/>
        </w:rPr>
        <w:t xml:space="preserve">. </w:t>
      </w:r>
    </w:p>
    <w:p w14:paraId="4225DF7B" w14:textId="77777777" w:rsidR="0009259F" w:rsidRDefault="0009259F" w:rsidP="00881296">
      <w:pPr>
        <w:ind w:left="851"/>
        <w:rPr>
          <w:sz w:val="24"/>
          <w:szCs w:val="24"/>
        </w:rPr>
      </w:pPr>
    </w:p>
    <w:p w14:paraId="177F6EF5" w14:textId="47667F13" w:rsidR="009C1256" w:rsidRPr="0009259F" w:rsidRDefault="009C1256" w:rsidP="00881296">
      <w:pPr>
        <w:ind w:left="851"/>
        <w:rPr>
          <w:sz w:val="24"/>
          <w:szCs w:val="24"/>
          <w:u w:val="single"/>
        </w:rPr>
      </w:pPr>
      <w:r w:rsidRPr="0009259F">
        <w:rPr>
          <w:sz w:val="24"/>
          <w:szCs w:val="24"/>
          <w:u w:val="single"/>
        </w:rPr>
        <w:t>Yderligere</w:t>
      </w:r>
    </w:p>
    <w:p w14:paraId="0ED06E7F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Ved indikationerne isoleret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hos børn og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hos voksne skal behandling med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seponeres ved </w:t>
      </w:r>
      <w:proofErr w:type="spellStart"/>
      <w:r w:rsidRPr="00420528">
        <w:rPr>
          <w:sz w:val="24"/>
          <w:szCs w:val="24"/>
        </w:rPr>
        <w:t>interkurrente</w:t>
      </w:r>
      <w:proofErr w:type="spellEnd"/>
      <w:r w:rsidRPr="00420528">
        <w:rPr>
          <w:sz w:val="24"/>
          <w:szCs w:val="24"/>
        </w:rPr>
        <w:t xml:space="preserve"> lidelser karakteriseret ved væske- og/eller elektrolytubalance, såsom: episoder med infektioner, feber, </w:t>
      </w:r>
      <w:proofErr w:type="spellStart"/>
      <w:r w:rsidRPr="00420528">
        <w:rPr>
          <w:sz w:val="24"/>
          <w:szCs w:val="24"/>
        </w:rPr>
        <w:t>gastroenteritis</w:t>
      </w:r>
      <w:proofErr w:type="spellEnd"/>
      <w:r w:rsidRPr="00420528">
        <w:rPr>
          <w:sz w:val="24"/>
          <w:szCs w:val="24"/>
        </w:rPr>
        <w:t>.</w:t>
      </w:r>
    </w:p>
    <w:p w14:paraId="12F1585E" w14:textId="77777777" w:rsidR="0009259F" w:rsidRDefault="0009259F" w:rsidP="00881296">
      <w:pPr>
        <w:ind w:left="851"/>
        <w:rPr>
          <w:sz w:val="24"/>
          <w:szCs w:val="24"/>
        </w:rPr>
      </w:pPr>
    </w:p>
    <w:p w14:paraId="3EDF7601" w14:textId="3B2EF171" w:rsidR="009C1256" w:rsidRPr="0009259F" w:rsidRDefault="009C1256" w:rsidP="00881296">
      <w:pPr>
        <w:ind w:left="851"/>
        <w:rPr>
          <w:sz w:val="24"/>
          <w:szCs w:val="24"/>
          <w:u w:val="single"/>
        </w:rPr>
      </w:pPr>
      <w:r w:rsidRPr="0009259F">
        <w:rPr>
          <w:sz w:val="24"/>
          <w:szCs w:val="24"/>
          <w:u w:val="single"/>
        </w:rPr>
        <w:t>Hjælpestoffer</w:t>
      </w:r>
    </w:p>
    <w:p w14:paraId="1DBECBEC" w14:textId="1F654F73" w:rsidR="009C1256" w:rsidRPr="00420528" w:rsidRDefault="009C1256" w:rsidP="00881296">
      <w:pPr>
        <w:ind w:left="851"/>
        <w:rPr>
          <w:color w:val="000000"/>
          <w:sz w:val="24"/>
          <w:szCs w:val="24"/>
          <w:shd w:val="clear" w:color="auto" w:fill="FFFFFF"/>
        </w:rPr>
      </w:pP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</w:t>
      </w:r>
      <w:r w:rsidR="00420528">
        <w:rPr>
          <w:sz w:val="24"/>
          <w:szCs w:val="24"/>
        </w:rPr>
        <w:t>"</w:t>
      </w:r>
      <w:proofErr w:type="spellStart"/>
      <w:r w:rsidR="00420528">
        <w:rPr>
          <w:sz w:val="24"/>
          <w:szCs w:val="24"/>
        </w:rPr>
        <w:t>Teva</w:t>
      </w:r>
      <w:proofErr w:type="spellEnd"/>
      <w:r w:rsidR="00420528">
        <w:rPr>
          <w:sz w:val="24"/>
          <w:szCs w:val="24"/>
        </w:rPr>
        <w:t xml:space="preserve"> B.V."</w:t>
      </w:r>
      <w:r w:rsidRPr="00420528">
        <w:rPr>
          <w:sz w:val="24"/>
          <w:szCs w:val="24"/>
        </w:rPr>
        <w:t xml:space="preserve"> indeholder </w:t>
      </w:r>
      <w:proofErr w:type="spellStart"/>
      <w:r w:rsidRPr="00420528">
        <w:rPr>
          <w:sz w:val="24"/>
          <w:szCs w:val="24"/>
        </w:rPr>
        <w:t>lactose</w:t>
      </w:r>
      <w:proofErr w:type="spellEnd"/>
      <w:r w:rsidRPr="00420528">
        <w:rPr>
          <w:sz w:val="24"/>
          <w:szCs w:val="24"/>
        </w:rPr>
        <w:t>. Patienter med sjældne arvelige sygdomme med galaktoseintolerance, total laktasemangel eller glukose-galaktose-</w:t>
      </w:r>
      <w:proofErr w:type="spellStart"/>
      <w:r w:rsidRPr="00420528">
        <w:rPr>
          <w:sz w:val="24"/>
          <w:szCs w:val="24"/>
        </w:rPr>
        <w:t>malabsorption</w:t>
      </w:r>
      <w:proofErr w:type="spellEnd"/>
      <w:r w:rsidRPr="00420528">
        <w:rPr>
          <w:sz w:val="24"/>
          <w:szCs w:val="24"/>
        </w:rPr>
        <w:t xml:space="preserve"> bør derfor ikke anvende dette lægemiddel. </w:t>
      </w:r>
    </w:p>
    <w:p w14:paraId="3BA1E21E" w14:textId="77777777" w:rsidR="009C1256" w:rsidRPr="00420528" w:rsidRDefault="009C1256" w:rsidP="00881296">
      <w:pPr>
        <w:ind w:left="851"/>
        <w:rPr>
          <w:color w:val="000000"/>
          <w:sz w:val="24"/>
          <w:szCs w:val="24"/>
          <w:shd w:val="clear" w:color="auto" w:fill="FFFFFF"/>
        </w:rPr>
      </w:pPr>
    </w:p>
    <w:p w14:paraId="4C6C7A61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Dette lægemiddel indeholder mindre end 1 mmol natrium (23 mg) pr. </w:t>
      </w:r>
      <w:proofErr w:type="spellStart"/>
      <w:r w:rsidRPr="00420528">
        <w:rPr>
          <w:sz w:val="24"/>
          <w:szCs w:val="24"/>
        </w:rPr>
        <w:t>sublingual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resoriblet</w:t>
      </w:r>
      <w:proofErr w:type="spellEnd"/>
      <w:r w:rsidRPr="00420528">
        <w:rPr>
          <w:sz w:val="24"/>
          <w:szCs w:val="24"/>
        </w:rPr>
        <w:t>, dvs. det er i det væsentlige natriumfrit.</w:t>
      </w:r>
    </w:p>
    <w:p w14:paraId="1F0549ED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F1D7ED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4.5</w:t>
      </w:r>
      <w:r w:rsidRPr="00420528">
        <w:rPr>
          <w:b/>
          <w:sz w:val="24"/>
          <w:szCs w:val="24"/>
        </w:rPr>
        <w:tab/>
        <w:t>Interaktion med andre lægemidler og andre former for interaktion</w:t>
      </w:r>
    </w:p>
    <w:p w14:paraId="23778FFC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Stoffer, som vides at inducere SIADH, fx tricykliske </w:t>
      </w:r>
      <w:proofErr w:type="spellStart"/>
      <w:r w:rsidRPr="00420528">
        <w:rPr>
          <w:sz w:val="24"/>
          <w:szCs w:val="24"/>
        </w:rPr>
        <w:t>antidepressiva</w:t>
      </w:r>
      <w:proofErr w:type="spellEnd"/>
      <w:r w:rsidRPr="00420528">
        <w:rPr>
          <w:sz w:val="24"/>
          <w:szCs w:val="24"/>
        </w:rPr>
        <w:t xml:space="preserve">, selektive </w:t>
      </w:r>
      <w:proofErr w:type="spellStart"/>
      <w:r w:rsidRPr="00420528">
        <w:rPr>
          <w:sz w:val="24"/>
          <w:szCs w:val="24"/>
        </w:rPr>
        <w:t>serotoningenoptagshæmmere</w:t>
      </w:r>
      <w:proofErr w:type="spellEnd"/>
      <w:r w:rsidRPr="00420528">
        <w:rPr>
          <w:sz w:val="24"/>
          <w:szCs w:val="24"/>
        </w:rPr>
        <w:t xml:space="preserve"> (</w:t>
      </w:r>
      <w:proofErr w:type="spellStart"/>
      <w:r w:rsidRPr="00420528">
        <w:rPr>
          <w:sz w:val="24"/>
          <w:szCs w:val="24"/>
        </w:rPr>
        <w:t>SSRI’er</w:t>
      </w:r>
      <w:proofErr w:type="spellEnd"/>
      <w:r w:rsidRPr="00420528">
        <w:rPr>
          <w:sz w:val="24"/>
          <w:szCs w:val="24"/>
        </w:rPr>
        <w:t xml:space="preserve">), </w:t>
      </w:r>
      <w:proofErr w:type="spellStart"/>
      <w:r w:rsidRPr="00420528">
        <w:rPr>
          <w:sz w:val="24"/>
          <w:szCs w:val="24"/>
        </w:rPr>
        <w:t>chlorpromazin</w:t>
      </w:r>
      <w:proofErr w:type="spellEnd"/>
      <w:r w:rsidRPr="00420528">
        <w:rPr>
          <w:sz w:val="24"/>
          <w:szCs w:val="24"/>
        </w:rPr>
        <w:t xml:space="preserve"> og </w:t>
      </w:r>
      <w:proofErr w:type="spellStart"/>
      <w:r w:rsidRPr="00420528">
        <w:rPr>
          <w:sz w:val="24"/>
          <w:szCs w:val="24"/>
        </w:rPr>
        <w:t>carbamazepin</w:t>
      </w:r>
      <w:proofErr w:type="spellEnd"/>
      <w:r w:rsidRPr="00420528">
        <w:rPr>
          <w:sz w:val="24"/>
          <w:szCs w:val="24"/>
        </w:rPr>
        <w:t xml:space="preserve">, samt visse former for diabetesmedicin i </w:t>
      </w:r>
      <w:proofErr w:type="spellStart"/>
      <w:r w:rsidRPr="00420528">
        <w:rPr>
          <w:sz w:val="24"/>
          <w:szCs w:val="24"/>
        </w:rPr>
        <w:t>sulfonyluringruppen</w:t>
      </w:r>
      <w:proofErr w:type="spellEnd"/>
      <w:r w:rsidRPr="00420528">
        <w:rPr>
          <w:sz w:val="24"/>
          <w:szCs w:val="24"/>
        </w:rPr>
        <w:t xml:space="preserve">, især </w:t>
      </w:r>
      <w:proofErr w:type="spellStart"/>
      <w:r w:rsidRPr="00420528">
        <w:rPr>
          <w:sz w:val="24"/>
          <w:szCs w:val="24"/>
        </w:rPr>
        <w:t>chlorpropamid</w:t>
      </w:r>
      <w:proofErr w:type="spellEnd"/>
      <w:r w:rsidRPr="00420528">
        <w:rPr>
          <w:sz w:val="24"/>
          <w:szCs w:val="24"/>
        </w:rPr>
        <w:t>, kan give en additiv antidiuretisk effekt og derved øge risikoen for væskeretention, se pkt. 4.4.</w:t>
      </w:r>
    </w:p>
    <w:p w14:paraId="3CDB8286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br/>
      </w:r>
      <w:proofErr w:type="spellStart"/>
      <w:r w:rsidRPr="00420528">
        <w:rPr>
          <w:sz w:val="24"/>
          <w:szCs w:val="24"/>
        </w:rPr>
        <w:t>NSAID’er</w:t>
      </w:r>
      <w:proofErr w:type="spellEnd"/>
      <w:r w:rsidRPr="00420528">
        <w:rPr>
          <w:sz w:val="24"/>
          <w:szCs w:val="24"/>
        </w:rPr>
        <w:t xml:space="preserve"> kan forårsage væskeretention/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>, se pkt. 4.4.</w:t>
      </w:r>
    </w:p>
    <w:p w14:paraId="4C2B2F90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2FCC7BD5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Samtidig behandling med </w:t>
      </w:r>
      <w:proofErr w:type="spellStart"/>
      <w:r w:rsidRPr="00420528">
        <w:rPr>
          <w:sz w:val="24"/>
          <w:szCs w:val="24"/>
        </w:rPr>
        <w:t>diuretika</w:t>
      </w:r>
      <w:proofErr w:type="spellEnd"/>
      <w:r w:rsidRPr="00420528">
        <w:rPr>
          <w:sz w:val="24"/>
          <w:szCs w:val="24"/>
        </w:rPr>
        <w:t xml:space="preserve"> er kontraindiceret (se pkt. 4.3).</w:t>
      </w:r>
    </w:p>
    <w:p w14:paraId="52B77005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br/>
        <w:t xml:space="preserve">Samtidig behandling med </w:t>
      </w:r>
      <w:proofErr w:type="spellStart"/>
      <w:r w:rsidRPr="00420528">
        <w:rPr>
          <w:sz w:val="24"/>
          <w:szCs w:val="24"/>
        </w:rPr>
        <w:t>loperamid</w:t>
      </w:r>
      <w:proofErr w:type="spellEnd"/>
      <w:r w:rsidRPr="00420528">
        <w:rPr>
          <w:sz w:val="24"/>
          <w:szCs w:val="24"/>
        </w:rPr>
        <w:t xml:space="preserve"> kan føre til en tredobling af plasmakoncentrationen af </w:t>
      </w:r>
      <w:proofErr w:type="spellStart"/>
      <w:r w:rsidRPr="00420528">
        <w:rPr>
          <w:sz w:val="24"/>
          <w:szCs w:val="24"/>
        </w:rPr>
        <w:lastRenderedPageBreak/>
        <w:t>desmopressin</w:t>
      </w:r>
      <w:proofErr w:type="spellEnd"/>
      <w:r w:rsidRPr="00420528">
        <w:rPr>
          <w:sz w:val="24"/>
          <w:szCs w:val="24"/>
        </w:rPr>
        <w:t xml:space="preserve">, hvilket kan føre til en øget risiko for væskeretention og/eller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>. Andre lægemidler, der forsinker tarmpassagen, kan have samme effekt. Dette er dog ikke undersøgt.</w:t>
      </w:r>
    </w:p>
    <w:p w14:paraId="62516142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670CFAF7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Samtidig behandling med </w:t>
      </w:r>
      <w:proofErr w:type="spellStart"/>
      <w:r w:rsidRPr="00420528">
        <w:rPr>
          <w:sz w:val="24"/>
          <w:szCs w:val="24"/>
        </w:rPr>
        <w:t>dimethicon</w:t>
      </w:r>
      <w:proofErr w:type="spellEnd"/>
      <w:r w:rsidRPr="00420528">
        <w:rPr>
          <w:sz w:val="24"/>
          <w:szCs w:val="24"/>
        </w:rPr>
        <w:t xml:space="preserve"> kan resultere i nedsat absorption af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>.</w:t>
      </w:r>
    </w:p>
    <w:p w14:paraId="7804B556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67AD9BC0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Det er ikke sandsynligt, at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interagerer med lægemidler, der påvirker metabolismen i leveren, da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ikke viser signifikant metabolisme i leveren i </w:t>
      </w:r>
      <w:r w:rsidRPr="00420528">
        <w:rPr>
          <w:i/>
          <w:iCs/>
          <w:sz w:val="24"/>
          <w:szCs w:val="24"/>
        </w:rPr>
        <w:t xml:space="preserve">in </w:t>
      </w:r>
      <w:proofErr w:type="spellStart"/>
      <w:r w:rsidRPr="00420528">
        <w:rPr>
          <w:i/>
          <w:iCs/>
          <w:sz w:val="24"/>
          <w:szCs w:val="24"/>
        </w:rPr>
        <w:t>vitro</w:t>
      </w:r>
      <w:proofErr w:type="spellEnd"/>
      <w:r w:rsidRPr="00420528">
        <w:rPr>
          <w:sz w:val="24"/>
          <w:szCs w:val="24"/>
        </w:rPr>
        <w:t xml:space="preserve">-studier med humane </w:t>
      </w:r>
      <w:proofErr w:type="spellStart"/>
      <w:r w:rsidRPr="00420528">
        <w:rPr>
          <w:sz w:val="24"/>
          <w:szCs w:val="24"/>
        </w:rPr>
        <w:t>mikrosomer</w:t>
      </w:r>
      <w:proofErr w:type="spellEnd"/>
      <w:r w:rsidRPr="00420528">
        <w:rPr>
          <w:sz w:val="24"/>
          <w:szCs w:val="24"/>
        </w:rPr>
        <w:t xml:space="preserve">. Dog er formelle </w:t>
      </w:r>
      <w:r w:rsidRPr="00420528">
        <w:rPr>
          <w:i/>
          <w:iCs/>
          <w:sz w:val="24"/>
          <w:szCs w:val="24"/>
        </w:rPr>
        <w:t xml:space="preserve">in </w:t>
      </w:r>
      <w:proofErr w:type="spellStart"/>
      <w:r w:rsidRPr="00420528">
        <w:rPr>
          <w:i/>
          <w:iCs/>
          <w:sz w:val="24"/>
          <w:szCs w:val="24"/>
        </w:rPr>
        <w:t>vivo</w:t>
      </w:r>
      <w:proofErr w:type="spellEnd"/>
      <w:r w:rsidRPr="00420528">
        <w:rPr>
          <w:sz w:val="24"/>
          <w:szCs w:val="24"/>
        </w:rPr>
        <w:t>-interaktionsstudier ikke blevet udført (se pkt. 4.5).</w:t>
      </w:r>
    </w:p>
    <w:p w14:paraId="3EEC1D62" w14:textId="4FD7B93B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301C7C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4.6</w:t>
      </w:r>
      <w:r w:rsidRPr="00420528">
        <w:rPr>
          <w:b/>
          <w:sz w:val="24"/>
          <w:szCs w:val="24"/>
        </w:rPr>
        <w:tab/>
      </w:r>
      <w:r w:rsidR="0071241E" w:rsidRPr="00420528">
        <w:rPr>
          <w:b/>
          <w:sz w:val="24"/>
          <w:szCs w:val="24"/>
        </w:rPr>
        <w:t>Fertilitet, g</w:t>
      </w:r>
      <w:r w:rsidRPr="00420528">
        <w:rPr>
          <w:b/>
          <w:sz w:val="24"/>
          <w:szCs w:val="24"/>
        </w:rPr>
        <w:t>raviditet og amning</w:t>
      </w:r>
    </w:p>
    <w:p w14:paraId="1A25ED05" w14:textId="77777777" w:rsidR="0009259F" w:rsidRDefault="0009259F" w:rsidP="00881296">
      <w:pPr>
        <w:ind w:left="851"/>
        <w:rPr>
          <w:sz w:val="24"/>
          <w:szCs w:val="24"/>
        </w:rPr>
      </w:pPr>
    </w:p>
    <w:p w14:paraId="366ABB05" w14:textId="27C05FBF" w:rsidR="009C1256" w:rsidRPr="0009259F" w:rsidRDefault="009C1256" w:rsidP="00881296">
      <w:pPr>
        <w:ind w:left="851"/>
        <w:rPr>
          <w:sz w:val="24"/>
          <w:szCs w:val="24"/>
          <w:u w:val="single"/>
        </w:rPr>
      </w:pPr>
      <w:r w:rsidRPr="0009259F">
        <w:rPr>
          <w:sz w:val="24"/>
          <w:szCs w:val="24"/>
          <w:u w:val="single"/>
        </w:rPr>
        <w:t>Fertilitet</w:t>
      </w:r>
    </w:p>
    <w:p w14:paraId="379578EC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Der er ikke udført nogen fertilitetsstudier. In </w:t>
      </w:r>
      <w:proofErr w:type="spellStart"/>
      <w:r w:rsidRPr="00420528">
        <w:rPr>
          <w:sz w:val="24"/>
          <w:szCs w:val="24"/>
        </w:rPr>
        <w:t>vitro</w:t>
      </w:r>
      <w:proofErr w:type="spellEnd"/>
      <w:r w:rsidRPr="00420528">
        <w:rPr>
          <w:sz w:val="24"/>
          <w:szCs w:val="24"/>
        </w:rPr>
        <w:t xml:space="preserve">-analyser af </w:t>
      </w:r>
      <w:proofErr w:type="spellStart"/>
      <w:r w:rsidRPr="00420528">
        <w:rPr>
          <w:sz w:val="24"/>
          <w:szCs w:val="24"/>
        </w:rPr>
        <w:t>cotyledon</w:t>
      </w:r>
      <w:proofErr w:type="spellEnd"/>
      <w:r w:rsidRPr="00420528">
        <w:rPr>
          <w:sz w:val="24"/>
          <w:szCs w:val="24"/>
        </w:rPr>
        <w:t xml:space="preserve">-modeller har vist, at der ikke sker </w:t>
      </w:r>
      <w:proofErr w:type="spellStart"/>
      <w:r w:rsidRPr="00420528">
        <w:rPr>
          <w:sz w:val="24"/>
          <w:szCs w:val="24"/>
        </w:rPr>
        <w:t>transplacental</w:t>
      </w:r>
      <w:proofErr w:type="spellEnd"/>
      <w:r w:rsidRPr="00420528">
        <w:rPr>
          <w:sz w:val="24"/>
          <w:szCs w:val="24"/>
        </w:rPr>
        <w:t xml:space="preserve"> transport af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>, når det gives i den terapeutiske koncentration, der svarer til den normale rekommanderede dosis.</w:t>
      </w:r>
    </w:p>
    <w:p w14:paraId="7C4CC1DC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27B603BE" w14:textId="77777777" w:rsidR="009C1256" w:rsidRPr="0009259F" w:rsidRDefault="009C1256" w:rsidP="00881296">
      <w:pPr>
        <w:ind w:left="851"/>
        <w:rPr>
          <w:sz w:val="24"/>
          <w:szCs w:val="24"/>
          <w:u w:val="single"/>
        </w:rPr>
      </w:pPr>
      <w:r w:rsidRPr="0009259F">
        <w:rPr>
          <w:sz w:val="24"/>
          <w:szCs w:val="24"/>
          <w:u w:val="single"/>
        </w:rPr>
        <w:t>Graviditet</w:t>
      </w:r>
    </w:p>
    <w:p w14:paraId="0CBA5C61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Data fra begrænset antal (n = 53</w:t>
      </w:r>
      <w:r w:rsidRPr="00420528">
        <w:rPr>
          <w:color w:val="525759"/>
          <w:sz w:val="24"/>
          <w:szCs w:val="24"/>
        </w:rPr>
        <w:t xml:space="preserve"> </w:t>
      </w:r>
      <w:r w:rsidRPr="00420528">
        <w:rPr>
          <w:sz w:val="24"/>
          <w:szCs w:val="24"/>
        </w:rPr>
        <w:t xml:space="preserve">eksponerede graviditeter) gravide kvinder med diabetes </w:t>
      </w:r>
      <w:proofErr w:type="spellStart"/>
      <w:r w:rsidRPr="00420528">
        <w:rPr>
          <w:sz w:val="24"/>
          <w:szCs w:val="24"/>
        </w:rPr>
        <w:t>insipidus</w:t>
      </w:r>
      <w:proofErr w:type="spellEnd"/>
      <w:r w:rsidRPr="00420528">
        <w:rPr>
          <w:sz w:val="24"/>
          <w:szCs w:val="24"/>
        </w:rPr>
        <w:t xml:space="preserve"> samt fra begrænset antal (n = 54</w:t>
      </w:r>
      <w:r w:rsidRPr="00420528">
        <w:rPr>
          <w:color w:val="525759"/>
          <w:sz w:val="24"/>
          <w:szCs w:val="24"/>
        </w:rPr>
        <w:t xml:space="preserve"> </w:t>
      </w:r>
      <w:r w:rsidRPr="00420528">
        <w:rPr>
          <w:sz w:val="24"/>
          <w:szCs w:val="24"/>
        </w:rPr>
        <w:t xml:space="preserve">eksponerede graviditeter) gravide kvinder med von Willebrands sygdom viser ingen bivirkninger fra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på graviditeten eller fostrets/det nyfødte barns helbred. Til dato er ingen yderligere relevante epidemiologiske data tilgængelige. </w:t>
      </w:r>
    </w:p>
    <w:p w14:paraId="6476AC3C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37BA6013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Dyrestudier viser ingen direkte eller indirekte skadelige virkninger på graviditet, fosterdannelse og -udvikling, fødsel eller </w:t>
      </w:r>
      <w:proofErr w:type="spellStart"/>
      <w:r w:rsidRPr="00420528">
        <w:rPr>
          <w:sz w:val="24"/>
          <w:szCs w:val="24"/>
        </w:rPr>
        <w:t>postnatal</w:t>
      </w:r>
      <w:proofErr w:type="spellEnd"/>
      <w:r w:rsidRPr="00420528">
        <w:rPr>
          <w:sz w:val="24"/>
          <w:szCs w:val="24"/>
        </w:rPr>
        <w:t xml:space="preserve"> udvikling.</w:t>
      </w:r>
    </w:p>
    <w:p w14:paraId="0404906C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Der bør udvises forsigtighed ved ordination af dette lægemiddel til gravide kvinder.</w:t>
      </w:r>
    </w:p>
    <w:p w14:paraId="3E2538B4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34FD3772" w14:textId="77777777" w:rsidR="009C1256" w:rsidRPr="0009259F" w:rsidRDefault="009C1256" w:rsidP="00881296">
      <w:pPr>
        <w:ind w:left="851"/>
        <w:rPr>
          <w:sz w:val="24"/>
          <w:szCs w:val="24"/>
          <w:u w:val="single"/>
        </w:rPr>
      </w:pPr>
      <w:r w:rsidRPr="0009259F">
        <w:rPr>
          <w:sz w:val="24"/>
          <w:szCs w:val="24"/>
          <w:u w:val="single"/>
        </w:rPr>
        <w:t>Amning</w:t>
      </w:r>
    </w:p>
    <w:p w14:paraId="7144D306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Resultater fra analyser udført med mælk fra ammende mødre behandlet med høj dosis af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(300 µg intranasal) viser, at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passerer over i mælk, men at mængden af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>, der kan overføres til barnet, er lav og sandsynligvis lavere end den mængde, der skal til for at påvirke diuresen.</w:t>
      </w:r>
    </w:p>
    <w:p w14:paraId="7860795F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Det er ikke undersøgt, om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akkumuleres i mælk ved gentagne doser.</w:t>
      </w:r>
    </w:p>
    <w:p w14:paraId="045AE1F4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9AF1FB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4.7</w:t>
      </w:r>
      <w:r w:rsidRPr="00420528">
        <w:rPr>
          <w:b/>
          <w:sz w:val="24"/>
          <w:szCs w:val="24"/>
        </w:rPr>
        <w:tab/>
        <w:t xml:space="preserve">Virkning på evnen til at føre motorkøretøj </w:t>
      </w:r>
      <w:r w:rsidR="0071241E" w:rsidRPr="00420528">
        <w:rPr>
          <w:b/>
          <w:sz w:val="24"/>
          <w:szCs w:val="24"/>
        </w:rPr>
        <w:t>og</w:t>
      </w:r>
      <w:r w:rsidRPr="00420528">
        <w:rPr>
          <w:b/>
          <w:sz w:val="24"/>
          <w:szCs w:val="24"/>
        </w:rPr>
        <w:t xml:space="preserve"> betjene maskiner</w:t>
      </w:r>
    </w:p>
    <w:p w14:paraId="1CBCF785" w14:textId="3738015F" w:rsidR="009C1256" w:rsidRPr="00420528" w:rsidRDefault="0009259F" w:rsidP="00881296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18705F31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proofErr w:type="spellStart"/>
      <w:r w:rsidRPr="00420528">
        <w:rPr>
          <w:spacing w:val="-3"/>
          <w:sz w:val="24"/>
          <w:szCs w:val="24"/>
        </w:rPr>
        <w:t>Desmopressin</w:t>
      </w:r>
      <w:proofErr w:type="spellEnd"/>
      <w:r w:rsidRPr="00420528">
        <w:rPr>
          <w:spacing w:val="-3"/>
          <w:sz w:val="24"/>
          <w:szCs w:val="24"/>
        </w:rPr>
        <w:t xml:space="preserve"> har ingen eller kun ubetydelig virkning på evnen til at føre motorkøretøj og betjene maskiner.</w:t>
      </w:r>
    </w:p>
    <w:p w14:paraId="7C2E0583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96683B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4.8</w:t>
      </w:r>
      <w:r w:rsidRPr="00420528">
        <w:rPr>
          <w:b/>
          <w:sz w:val="24"/>
          <w:szCs w:val="24"/>
        </w:rPr>
        <w:tab/>
        <w:t>Bivirkninger</w:t>
      </w:r>
    </w:p>
    <w:p w14:paraId="3479CA0B" w14:textId="77777777" w:rsidR="00813BE8" w:rsidRDefault="00813BE8" w:rsidP="00881296">
      <w:pPr>
        <w:ind w:left="851"/>
        <w:rPr>
          <w:sz w:val="24"/>
          <w:szCs w:val="24"/>
        </w:rPr>
      </w:pPr>
    </w:p>
    <w:p w14:paraId="4398B96A" w14:textId="7640F166" w:rsidR="009C1256" w:rsidRPr="00813BE8" w:rsidRDefault="009C1256" w:rsidP="00881296">
      <w:pPr>
        <w:ind w:left="851"/>
        <w:rPr>
          <w:b/>
          <w:sz w:val="24"/>
          <w:szCs w:val="24"/>
          <w:u w:val="single"/>
        </w:rPr>
      </w:pPr>
      <w:r w:rsidRPr="00813BE8">
        <w:rPr>
          <w:sz w:val="24"/>
          <w:szCs w:val="24"/>
          <w:u w:val="single"/>
        </w:rPr>
        <w:t>Resumé af sikkerhedsprofilen</w:t>
      </w:r>
    </w:p>
    <w:p w14:paraId="550DF1F2" w14:textId="77777777" w:rsidR="009C1256" w:rsidRPr="00420528" w:rsidRDefault="009C1256" w:rsidP="00881296">
      <w:pPr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Desmopressins</w:t>
      </w:r>
      <w:proofErr w:type="spellEnd"/>
      <w:r w:rsidRPr="00420528">
        <w:rPr>
          <w:sz w:val="24"/>
          <w:szCs w:val="24"/>
        </w:rPr>
        <w:t xml:space="preserve"> mest alvorlige bivirkning er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>, se nedenfor under ”Beskrivelse af udvalgte bivirkninger”.</w:t>
      </w:r>
    </w:p>
    <w:p w14:paraId="1307B3F9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29900FE1" w14:textId="77777777" w:rsidR="009C1256" w:rsidRPr="00420528" w:rsidRDefault="009C1256" w:rsidP="00881296">
      <w:pPr>
        <w:ind w:left="851"/>
        <w:rPr>
          <w:i/>
          <w:sz w:val="24"/>
          <w:szCs w:val="24"/>
        </w:rPr>
      </w:pPr>
      <w:r w:rsidRPr="00420528">
        <w:rPr>
          <w:i/>
          <w:sz w:val="24"/>
          <w:szCs w:val="24"/>
        </w:rPr>
        <w:t>Voksne</w:t>
      </w:r>
    </w:p>
    <w:p w14:paraId="16BDFBF7" w14:textId="4EF8AB04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Hovedpine (12 %) er den hyppigst rapporterede bivirkning. Andre almindelige bivirkninger er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(6 %), svimmelhed (3 %), hypertension (2 %), og </w:t>
      </w:r>
      <w:proofErr w:type="spellStart"/>
      <w:r w:rsidRPr="00420528">
        <w:rPr>
          <w:sz w:val="24"/>
          <w:szCs w:val="24"/>
        </w:rPr>
        <w:t>gastrointestinelle</w:t>
      </w:r>
      <w:proofErr w:type="spellEnd"/>
      <w:r w:rsidRPr="00420528">
        <w:rPr>
          <w:sz w:val="24"/>
          <w:szCs w:val="24"/>
        </w:rPr>
        <w:t xml:space="preserve"> lidelser (kvalme (4 %), opkastninger (1 %), mavesmerter (3 %), diarré (2</w:t>
      </w:r>
      <w:r w:rsidR="00C32201">
        <w:rPr>
          <w:sz w:val="24"/>
          <w:szCs w:val="24"/>
        </w:rPr>
        <w:t> </w:t>
      </w:r>
      <w:r w:rsidRPr="00420528">
        <w:rPr>
          <w:sz w:val="24"/>
          <w:szCs w:val="24"/>
        </w:rPr>
        <w:t xml:space="preserve">%) og </w:t>
      </w:r>
      <w:r w:rsidRPr="00420528">
        <w:rPr>
          <w:sz w:val="24"/>
          <w:szCs w:val="24"/>
        </w:rPr>
        <w:lastRenderedPageBreak/>
        <w:t>forstoppelse (1 %)). Mindre almindeligt er søvnforstyrrelser/bevi</w:t>
      </w:r>
      <w:r w:rsidR="00C32201">
        <w:rPr>
          <w:sz w:val="24"/>
          <w:szCs w:val="24"/>
        </w:rPr>
        <w:t>d</w:t>
      </w:r>
      <w:r w:rsidRPr="00420528">
        <w:rPr>
          <w:sz w:val="24"/>
          <w:szCs w:val="24"/>
        </w:rPr>
        <w:t>stheds</w:t>
      </w:r>
      <w:r w:rsidR="00C32201">
        <w:rPr>
          <w:sz w:val="24"/>
          <w:szCs w:val="24"/>
        </w:rPr>
        <w:softHyphen/>
      </w:r>
      <w:r w:rsidRPr="00420528">
        <w:rPr>
          <w:sz w:val="24"/>
          <w:szCs w:val="24"/>
        </w:rPr>
        <w:t>forstyrrelser, såsom søvnløshed (0,96 %), døsighed (0,4</w:t>
      </w:r>
      <w:bookmarkStart w:id="1" w:name="OLE_LINK2"/>
      <w:r w:rsidRPr="00420528">
        <w:rPr>
          <w:sz w:val="24"/>
          <w:szCs w:val="24"/>
        </w:rPr>
        <w:t xml:space="preserve"> %)</w:t>
      </w:r>
      <w:bookmarkEnd w:id="1"/>
      <w:r w:rsidRPr="00420528">
        <w:rPr>
          <w:sz w:val="24"/>
          <w:szCs w:val="24"/>
        </w:rPr>
        <w:t xml:space="preserve"> eller asteni (0,06 %). </w:t>
      </w:r>
    </w:p>
    <w:p w14:paraId="1177E250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Der er ikke set </w:t>
      </w:r>
      <w:proofErr w:type="spellStart"/>
      <w:r w:rsidRPr="00420528">
        <w:rPr>
          <w:sz w:val="24"/>
          <w:szCs w:val="24"/>
        </w:rPr>
        <w:t>anafylaktiske</w:t>
      </w:r>
      <w:proofErr w:type="spellEnd"/>
      <w:r w:rsidRPr="00420528">
        <w:rPr>
          <w:sz w:val="24"/>
          <w:szCs w:val="24"/>
        </w:rPr>
        <w:t xml:space="preserve"> reaktioner i kliniske studier, dog er enkelte rapporter modtaget.</w:t>
      </w:r>
    </w:p>
    <w:p w14:paraId="3F31D7A7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762AEB2B" w14:textId="77777777" w:rsidR="009C1256" w:rsidRPr="00420528" w:rsidRDefault="009C1256" w:rsidP="00881296">
      <w:pPr>
        <w:ind w:left="851"/>
        <w:rPr>
          <w:i/>
          <w:sz w:val="24"/>
          <w:szCs w:val="24"/>
        </w:rPr>
      </w:pPr>
      <w:r w:rsidRPr="00420528">
        <w:rPr>
          <w:i/>
          <w:sz w:val="24"/>
          <w:szCs w:val="24"/>
        </w:rPr>
        <w:t>Pædiatrisk population</w:t>
      </w:r>
    </w:p>
    <w:p w14:paraId="678CD817" w14:textId="1D80F6C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Hovedpine (1 %) er den hyppigst rapporterede bivirkning. Mindre almindeligt var psykiske forstyrrelser (affektlabilitet (0,1 %), aggression (0,1 %), angst (0,05 %), humørsvingninger (0,05 %), mareridt (0,05 %)) som generelt ophørte efter </w:t>
      </w:r>
      <w:proofErr w:type="spellStart"/>
      <w:r w:rsidRPr="00420528">
        <w:rPr>
          <w:sz w:val="24"/>
          <w:szCs w:val="24"/>
        </w:rPr>
        <w:t>seponering</w:t>
      </w:r>
      <w:proofErr w:type="spellEnd"/>
      <w:r w:rsidRPr="00420528">
        <w:rPr>
          <w:sz w:val="24"/>
          <w:szCs w:val="24"/>
        </w:rPr>
        <w:t xml:space="preserve"> af behandling og </w:t>
      </w:r>
      <w:proofErr w:type="spellStart"/>
      <w:r w:rsidRPr="00420528">
        <w:rPr>
          <w:sz w:val="24"/>
          <w:szCs w:val="24"/>
        </w:rPr>
        <w:t>gastrointestinelle</w:t>
      </w:r>
      <w:proofErr w:type="spellEnd"/>
      <w:r w:rsidRPr="00420528">
        <w:rPr>
          <w:sz w:val="24"/>
          <w:szCs w:val="24"/>
        </w:rPr>
        <w:t xml:space="preserve"> forstyrrelser (mavesmerter (0,65 %), kvalme (0,35 %), opkastninger (0,2</w:t>
      </w:r>
      <w:r w:rsidR="00C32201">
        <w:rPr>
          <w:sz w:val="24"/>
          <w:szCs w:val="24"/>
        </w:rPr>
        <w:t> </w:t>
      </w:r>
      <w:r w:rsidRPr="00420528">
        <w:rPr>
          <w:sz w:val="24"/>
          <w:szCs w:val="24"/>
        </w:rPr>
        <w:t xml:space="preserve">%) og diarré (0,15 %)). </w:t>
      </w:r>
    </w:p>
    <w:p w14:paraId="214AD3C8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Der er ikke set </w:t>
      </w:r>
      <w:proofErr w:type="spellStart"/>
      <w:r w:rsidRPr="00420528">
        <w:rPr>
          <w:sz w:val="24"/>
          <w:szCs w:val="24"/>
        </w:rPr>
        <w:t>anafylaktiske</w:t>
      </w:r>
      <w:proofErr w:type="spellEnd"/>
      <w:r w:rsidRPr="00420528">
        <w:rPr>
          <w:sz w:val="24"/>
          <w:szCs w:val="24"/>
        </w:rPr>
        <w:t xml:space="preserve"> reaktioner i kliniske studier, dog er enkelte rapporter modtaget.</w:t>
      </w:r>
    </w:p>
    <w:p w14:paraId="4EAB68F0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20E58B64" w14:textId="77777777" w:rsidR="009C1256" w:rsidRPr="00813BE8" w:rsidRDefault="009C1256" w:rsidP="00881296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813BE8">
        <w:rPr>
          <w:i/>
          <w:iCs/>
          <w:sz w:val="24"/>
          <w:szCs w:val="24"/>
          <w:u w:val="single"/>
        </w:rPr>
        <w:t>Nykturi</w:t>
      </w:r>
      <w:proofErr w:type="spellEnd"/>
    </w:p>
    <w:p w14:paraId="21214AC1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Bivirkninger ved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er blevet beskrevet hos patienter, herunder populationen i alderen 65 år og derover, der blev behandlet for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i kliniske studier. I alt oplevede ca. 35 % af patienterne bivirkninger i titreringsfasen. Størstedelen af tilfældene af klinisk signifikant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(serumnatrium &lt;130 mmol/l) forekom hos patienter i alderen 65 år og derover (se pkt. 4.3).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forekom enten tidligt efter initiering af behandlingen eller i forbindelse med dosistitrering. Andre bivirkninger end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var overvejende mindre. Ved længevarende behandling fik 24 % af patienterne bivirkninger.</w:t>
      </w:r>
    </w:p>
    <w:p w14:paraId="153D9646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76BAABD5" w14:textId="77777777" w:rsidR="009C1256" w:rsidRPr="00813BE8" w:rsidRDefault="009C1256" w:rsidP="00881296">
      <w:pPr>
        <w:ind w:left="851"/>
        <w:rPr>
          <w:sz w:val="24"/>
          <w:szCs w:val="24"/>
          <w:u w:val="single"/>
        </w:rPr>
      </w:pPr>
      <w:r w:rsidRPr="00813BE8">
        <w:rPr>
          <w:sz w:val="24"/>
          <w:szCs w:val="24"/>
          <w:u w:val="single"/>
        </w:rPr>
        <w:t>Opsummering af bivirkninger</w:t>
      </w:r>
    </w:p>
    <w:p w14:paraId="725EF141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3F5A3397" w14:textId="77777777" w:rsidR="009C1256" w:rsidRPr="00420528" w:rsidRDefault="009C1256" w:rsidP="00881296">
      <w:pPr>
        <w:ind w:left="851"/>
        <w:rPr>
          <w:i/>
          <w:sz w:val="24"/>
          <w:szCs w:val="24"/>
        </w:rPr>
      </w:pPr>
      <w:r w:rsidRPr="00420528">
        <w:rPr>
          <w:i/>
          <w:sz w:val="24"/>
          <w:szCs w:val="24"/>
        </w:rPr>
        <w:t>Voksne</w:t>
      </w:r>
    </w:p>
    <w:p w14:paraId="0279EDC5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Hyppigheden af bivirkninger i kliniske studier med oral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for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hos voksne (n=1.557) kombineret med erfaring efter markedsføring med alle indikationer til voksne (herunder central diabetes </w:t>
      </w:r>
      <w:proofErr w:type="spellStart"/>
      <w:r w:rsidRPr="00420528">
        <w:rPr>
          <w:sz w:val="24"/>
          <w:szCs w:val="24"/>
        </w:rPr>
        <w:t>insipidus</w:t>
      </w:r>
      <w:proofErr w:type="spellEnd"/>
      <w:r w:rsidRPr="00420528">
        <w:rPr>
          <w:sz w:val="24"/>
          <w:szCs w:val="24"/>
        </w:rPr>
        <w:t>) er vist i tabel 1. Bivirkninger, der kun er rapporteret efter markedsføring, findes i kolonnen "Ikke kendt".</w:t>
      </w:r>
    </w:p>
    <w:p w14:paraId="1AA33DBD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038444B9" w14:textId="77777777" w:rsidR="009C1256" w:rsidRPr="00420528" w:rsidRDefault="009C1256" w:rsidP="009C1256">
      <w:pPr>
        <w:tabs>
          <w:tab w:val="left" w:pos="851"/>
        </w:tabs>
        <w:rPr>
          <w:b/>
          <w:bCs/>
          <w:sz w:val="24"/>
          <w:szCs w:val="24"/>
        </w:rPr>
      </w:pPr>
      <w:r w:rsidRPr="00420528">
        <w:rPr>
          <w:b/>
          <w:bCs/>
          <w:sz w:val="24"/>
          <w:szCs w:val="24"/>
        </w:rPr>
        <w:t>Tabel 1. Tabel over bivirkninger hos voksne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223"/>
        <w:gridCol w:w="1473"/>
        <w:gridCol w:w="2006"/>
        <w:gridCol w:w="1255"/>
        <w:gridCol w:w="1693"/>
      </w:tblGrid>
      <w:tr w:rsidR="007624B8" w:rsidRPr="00C32201" w14:paraId="425044AB" w14:textId="77777777" w:rsidTr="007624B8">
        <w:trPr>
          <w:trHeight w:val="435"/>
        </w:trPr>
        <w:tc>
          <w:tcPr>
            <w:tcW w:w="1027" w:type="pct"/>
            <w:hideMark/>
          </w:tcPr>
          <w:p w14:paraId="044D1526" w14:textId="77777777" w:rsidR="009C1256" w:rsidRPr="00C32201" w:rsidRDefault="009C1256" w:rsidP="00813BE8">
            <w:pPr>
              <w:rPr>
                <w:b/>
                <w:sz w:val="20"/>
              </w:rPr>
            </w:pPr>
            <w:proofErr w:type="spellStart"/>
            <w:r w:rsidRPr="00C32201">
              <w:rPr>
                <w:b/>
                <w:sz w:val="20"/>
              </w:rPr>
              <w:t>MedDRA</w:t>
            </w:r>
            <w:proofErr w:type="spellEnd"/>
            <w:r w:rsidRPr="00C32201">
              <w:rPr>
                <w:b/>
                <w:sz w:val="20"/>
              </w:rPr>
              <w:t xml:space="preserve"> System-organklasser</w:t>
            </w:r>
          </w:p>
        </w:tc>
        <w:tc>
          <w:tcPr>
            <w:tcW w:w="635" w:type="pct"/>
            <w:hideMark/>
          </w:tcPr>
          <w:p w14:paraId="1C30FF2A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Meget almindelig (≥1/10)</w:t>
            </w:r>
          </w:p>
        </w:tc>
        <w:tc>
          <w:tcPr>
            <w:tcW w:w="765" w:type="pct"/>
            <w:hideMark/>
          </w:tcPr>
          <w:p w14:paraId="1EB9B61E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Almindelig</w:t>
            </w:r>
          </w:p>
          <w:p w14:paraId="558C57CB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(≥1/100 til &lt;1/10)</w:t>
            </w:r>
          </w:p>
        </w:tc>
        <w:tc>
          <w:tcPr>
            <w:tcW w:w="1042" w:type="pct"/>
            <w:hideMark/>
          </w:tcPr>
          <w:p w14:paraId="0410D7BF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Ikke almindelig</w:t>
            </w:r>
          </w:p>
          <w:p w14:paraId="15317B6D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 xml:space="preserve">(≥1/1.000 til &lt;1/100) </w:t>
            </w:r>
          </w:p>
        </w:tc>
        <w:tc>
          <w:tcPr>
            <w:tcW w:w="652" w:type="pct"/>
            <w:hideMark/>
          </w:tcPr>
          <w:p w14:paraId="2658D18D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Sjælden</w:t>
            </w:r>
          </w:p>
          <w:p w14:paraId="386BD69B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(≥1/10.000 til &lt;1/1.000)</w:t>
            </w:r>
          </w:p>
        </w:tc>
        <w:tc>
          <w:tcPr>
            <w:tcW w:w="879" w:type="pct"/>
            <w:hideMark/>
          </w:tcPr>
          <w:p w14:paraId="1C14BD9F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Ikke kendt</w:t>
            </w:r>
          </w:p>
          <w:p w14:paraId="62BB30E9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(kan ikke estimeres ud fra forhåndenværende data)</w:t>
            </w:r>
          </w:p>
        </w:tc>
      </w:tr>
      <w:tr w:rsidR="007624B8" w:rsidRPr="00C32201" w14:paraId="79F0A6F7" w14:textId="77777777" w:rsidTr="007624B8">
        <w:trPr>
          <w:trHeight w:val="270"/>
        </w:trPr>
        <w:tc>
          <w:tcPr>
            <w:tcW w:w="1027" w:type="pct"/>
            <w:shd w:val="clear" w:color="auto" w:fill="FFFFFF" w:themeFill="background1"/>
            <w:hideMark/>
          </w:tcPr>
          <w:p w14:paraId="1C672EC9" w14:textId="3F34C8CC" w:rsidR="009C1256" w:rsidRPr="00C32201" w:rsidRDefault="009C1256" w:rsidP="00813BE8">
            <w:pPr>
              <w:rPr>
                <w:b/>
                <w:sz w:val="20"/>
              </w:rPr>
            </w:pPr>
          </w:p>
        </w:tc>
        <w:tc>
          <w:tcPr>
            <w:tcW w:w="635" w:type="pct"/>
            <w:shd w:val="clear" w:color="auto" w:fill="FFFFFF" w:themeFill="background1"/>
            <w:hideMark/>
          </w:tcPr>
          <w:p w14:paraId="3D7AA69E" w14:textId="67082255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765" w:type="pct"/>
            <w:shd w:val="clear" w:color="auto" w:fill="FFFFFF" w:themeFill="background1"/>
            <w:hideMark/>
          </w:tcPr>
          <w:p w14:paraId="2556CDD2" w14:textId="3E1A0A1E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1042" w:type="pct"/>
            <w:shd w:val="clear" w:color="auto" w:fill="FFFFFF" w:themeFill="background1"/>
            <w:hideMark/>
          </w:tcPr>
          <w:p w14:paraId="0E22C3A3" w14:textId="080308AE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652" w:type="pct"/>
            <w:shd w:val="clear" w:color="auto" w:fill="FFFFFF" w:themeFill="background1"/>
            <w:hideMark/>
          </w:tcPr>
          <w:p w14:paraId="66B80F97" w14:textId="77709E46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879" w:type="pct"/>
            <w:shd w:val="clear" w:color="auto" w:fill="FFFFFF" w:themeFill="background1"/>
            <w:hideMark/>
          </w:tcPr>
          <w:p w14:paraId="3E3B09B8" w14:textId="3674E3EF" w:rsidR="009C1256" w:rsidRPr="00C32201" w:rsidRDefault="009C1256" w:rsidP="00813BE8">
            <w:pPr>
              <w:rPr>
                <w:sz w:val="20"/>
              </w:rPr>
            </w:pPr>
          </w:p>
        </w:tc>
      </w:tr>
      <w:tr w:rsidR="007624B8" w:rsidRPr="00C32201" w14:paraId="5AA86CAA" w14:textId="77777777" w:rsidTr="007624B8">
        <w:trPr>
          <w:trHeight w:val="495"/>
        </w:trPr>
        <w:tc>
          <w:tcPr>
            <w:tcW w:w="1027" w:type="pct"/>
            <w:hideMark/>
          </w:tcPr>
          <w:p w14:paraId="20424ABE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Immunsystemet</w:t>
            </w:r>
          </w:p>
        </w:tc>
        <w:tc>
          <w:tcPr>
            <w:tcW w:w="635" w:type="pct"/>
            <w:hideMark/>
          </w:tcPr>
          <w:p w14:paraId="2A3A1BFD" w14:textId="710C35D3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765" w:type="pct"/>
          </w:tcPr>
          <w:p w14:paraId="12507EE5" w14:textId="7C79D0C1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1042" w:type="pct"/>
            <w:hideMark/>
          </w:tcPr>
          <w:p w14:paraId="3520E3B2" w14:textId="684A7053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652" w:type="pct"/>
            <w:noWrap/>
            <w:hideMark/>
          </w:tcPr>
          <w:p w14:paraId="49CBE899" w14:textId="0AC415DE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879" w:type="pct"/>
            <w:hideMark/>
          </w:tcPr>
          <w:p w14:paraId="2EA7139E" w14:textId="77777777" w:rsidR="009C1256" w:rsidRPr="00C32201" w:rsidRDefault="009C1256" w:rsidP="00813BE8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Anafylaktisk</w:t>
            </w:r>
            <w:proofErr w:type="spellEnd"/>
            <w:r w:rsidRPr="00C32201">
              <w:rPr>
                <w:sz w:val="20"/>
              </w:rPr>
              <w:t xml:space="preserve"> reaktion</w:t>
            </w:r>
          </w:p>
        </w:tc>
      </w:tr>
      <w:tr w:rsidR="007624B8" w:rsidRPr="00C32201" w14:paraId="7EFFBBF7" w14:textId="77777777" w:rsidTr="007624B8">
        <w:trPr>
          <w:trHeight w:val="525"/>
        </w:trPr>
        <w:tc>
          <w:tcPr>
            <w:tcW w:w="1027" w:type="pct"/>
            <w:hideMark/>
          </w:tcPr>
          <w:p w14:paraId="0A5D8E8D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Metabolisme og ernæring</w:t>
            </w:r>
          </w:p>
        </w:tc>
        <w:tc>
          <w:tcPr>
            <w:tcW w:w="635" w:type="pct"/>
            <w:hideMark/>
          </w:tcPr>
          <w:p w14:paraId="42327411" w14:textId="1F87A6D7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765" w:type="pct"/>
            <w:hideMark/>
          </w:tcPr>
          <w:p w14:paraId="249B7689" w14:textId="77777777" w:rsidR="009C1256" w:rsidRPr="00C32201" w:rsidRDefault="009C1256" w:rsidP="00813BE8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Hyponatriæmi</w:t>
            </w:r>
            <w:proofErr w:type="spellEnd"/>
          </w:p>
        </w:tc>
        <w:tc>
          <w:tcPr>
            <w:tcW w:w="1042" w:type="pct"/>
            <w:noWrap/>
            <w:hideMark/>
          </w:tcPr>
          <w:p w14:paraId="7B1F2EBF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652" w:type="pct"/>
          </w:tcPr>
          <w:p w14:paraId="76515270" w14:textId="77777777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879" w:type="pct"/>
            <w:hideMark/>
          </w:tcPr>
          <w:p w14:paraId="51A7ADDE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Dehydrering**,</w:t>
            </w:r>
          </w:p>
          <w:p w14:paraId="28D49909" w14:textId="43C402AE" w:rsidR="009C1256" w:rsidRPr="00C32201" w:rsidRDefault="009C1256" w:rsidP="00813BE8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Hypernatriæmi</w:t>
            </w:r>
            <w:proofErr w:type="spellEnd"/>
            <w:r w:rsidRPr="00C32201">
              <w:rPr>
                <w:sz w:val="20"/>
              </w:rPr>
              <w:t>**</w:t>
            </w:r>
          </w:p>
        </w:tc>
      </w:tr>
      <w:tr w:rsidR="007624B8" w:rsidRPr="00C32201" w14:paraId="44596E91" w14:textId="77777777" w:rsidTr="007624B8">
        <w:trPr>
          <w:trHeight w:val="1245"/>
        </w:trPr>
        <w:tc>
          <w:tcPr>
            <w:tcW w:w="1027" w:type="pct"/>
            <w:hideMark/>
          </w:tcPr>
          <w:p w14:paraId="33DB00CC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Psykiske forstyrrelser</w:t>
            </w:r>
          </w:p>
        </w:tc>
        <w:tc>
          <w:tcPr>
            <w:tcW w:w="635" w:type="pct"/>
            <w:hideMark/>
          </w:tcPr>
          <w:p w14:paraId="73BA5491" w14:textId="5D9E2659" w:rsidR="00813BE8" w:rsidRPr="00C32201" w:rsidRDefault="00813BE8" w:rsidP="00813BE8">
            <w:pPr>
              <w:rPr>
                <w:sz w:val="20"/>
              </w:rPr>
            </w:pPr>
          </w:p>
        </w:tc>
        <w:tc>
          <w:tcPr>
            <w:tcW w:w="765" w:type="pct"/>
            <w:noWrap/>
            <w:hideMark/>
          </w:tcPr>
          <w:p w14:paraId="4E4B434C" w14:textId="17320BA9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1042" w:type="pct"/>
            <w:hideMark/>
          </w:tcPr>
          <w:p w14:paraId="3861A7EE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 xml:space="preserve">Søvnløshed </w:t>
            </w:r>
          </w:p>
        </w:tc>
        <w:tc>
          <w:tcPr>
            <w:tcW w:w="652" w:type="pct"/>
            <w:hideMark/>
          </w:tcPr>
          <w:p w14:paraId="15742FD4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 xml:space="preserve">Konfusion* </w:t>
            </w:r>
          </w:p>
        </w:tc>
        <w:tc>
          <w:tcPr>
            <w:tcW w:w="879" w:type="pct"/>
            <w:hideMark/>
          </w:tcPr>
          <w:p w14:paraId="255B8DBE" w14:textId="7153140D" w:rsidR="009C1256" w:rsidRPr="00C32201" w:rsidRDefault="009C1256" w:rsidP="00813BE8">
            <w:pPr>
              <w:rPr>
                <w:sz w:val="20"/>
              </w:rPr>
            </w:pPr>
          </w:p>
        </w:tc>
      </w:tr>
      <w:tr w:rsidR="007624B8" w:rsidRPr="00C32201" w14:paraId="46039C8C" w14:textId="77777777" w:rsidTr="007624B8">
        <w:trPr>
          <w:trHeight w:val="945"/>
        </w:trPr>
        <w:tc>
          <w:tcPr>
            <w:tcW w:w="1027" w:type="pct"/>
            <w:hideMark/>
          </w:tcPr>
          <w:p w14:paraId="35F38186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Nervesystemet</w:t>
            </w:r>
          </w:p>
        </w:tc>
        <w:tc>
          <w:tcPr>
            <w:tcW w:w="635" w:type="pct"/>
            <w:hideMark/>
          </w:tcPr>
          <w:p w14:paraId="59BCCB25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Hovedpine*</w:t>
            </w:r>
          </w:p>
        </w:tc>
        <w:tc>
          <w:tcPr>
            <w:tcW w:w="765" w:type="pct"/>
            <w:noWrap/>
            <w:hideMark/>
          </w:tcPr>
          <w:p w14:paraId="3ACA1FA3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Svimmelhed*</w:t>
            </w:r>
          </w:p>
        </w:tc>
        <w:tc>
          <w:tcPr>
            <w:tcW w:w="1042" w:type="pct"/>
            <w:hideMark/>
          </w:tcPr>
          <w:p w14:paraId="78206865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Døsighed</w:t>
            </w:r>
          </w:p>
          <w:p w14:paraId="772C77D8" w14:textId="7B4DF0EB" w:rsidR="009C1256" w:rsidRPr="00C32201" w:rsidRDefault="009C1256" w:rsidP="00813BE8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Paræsthesi</w:t>
            </w:r>
            <w:proofErr w:type="spellEnd"/>
          </w:p>
        </w:tc>
        <w:tc>
          <w:tcPr>
            <w:tcW w:w="652" w:type="pct"/>
            <w:noWrap/>
          </w:tcPr>
          <w:p w14:paraId="7FFE8C2E" w14:textId="77777777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879" w:type="pct"/>
            <w:hideMark/>
          </w:tcPr>
          <w:p w14:paraId="19BD5C1B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Kramper*,</w:t>
            </w:r>
          </w:p>
          <w:p w14:paraId="47143FEF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Asteni**,</w:t>
            </w:r>
          </w:p>
          <w:p w14:paraId="6354C482" w14:textId="569902FB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Koma *</w:t>
            </w:r>
          </w:p>
        </w:tc>
      </w:tr>
      <w:tr w:rsidR="007624B8" w:rsidRPr="00C32201" w14:paraId="6B63473D" w14:textId="77777777" w:rsidTr="007624B8">
        <w:trPr>
          <w:trHeight w:val="255"/>
        </w:trPr>
        <w:tc>
          <w:tcPr>
            <w:tcW w:w="1027" w:type="pct"/>
            <w:hideMark/>
          </w:tcPr>
          <w:p w14:paraId="1399813A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Øjne</w:t>
            </w:r>
          </w:p>
        </w:tc>
        <w:tc>
          <w:tcPr>
            <w:tcW w:w="635" w:type="pct"/>
            <w:hideMark/>
          </w:tcPr>
          <w:p w14:paraId="02FF43CC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noWrap/>
            <w:hideMark/>
          </w:tcPr>
          <w:p w14:paraId="15D8A5A8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42" w:type="pct"/>
            <w:hideMark/>
          </w:tcPr>
          <w:p w14:paraId="3357C885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Synsforstyrrelser</w:t>
            </w:r>
          </w:p>
        </w:tc>
        <w:tc>
          <w:tcPr>
            <w:tcW w:w="652" w:type="pct"/>
            <w:noWrap/>
            <w:hideMark/>
          </w:tcPr>
          <w:p w14:paraId="49B4606C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27E3DB5D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4C07A22F" w14:textId="77777777" w:rsidTr="007624B8">
        <w:trPr>
          <w:trHeight w:val="285"/>
        </w:trPr>
        <w:tc>
          <w:tcPr>
            <w:tcW w:w="1027" w:type="pct"/>
            <w:hideMark/>
          </w:tcPr>
          <w:p w14:paraId="5AB0E1CD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Øre og labyrint</w:t>
            </w:r>
          </w:p>
        </w:tc>
        <w:tc>
          <w:tcPr>
            <w:tcW w:w="635" w:type="pct"/>
            <w:hideMark/>
          </w:tcPr>
          <w:p w14:paraId="4ED34C04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noWrap/>
            <w:hideMark/>
          </w:tcPr>
          <w:p w14:paraId="1B18076D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42" w:type="pct"/>
            <w:hideMark/>
          </w:tcPr>
          <w:p w14:paraId="03E1AF80" w14:textId="77777777" w:rsidR="009C1256" w:rsidRPr="00C32201" w:rsidRDefault="009C1256" w:rsidP="00813BE8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Vertigo</w:t>
            </w:r>
            <w:proofErr w:type="spellEnd"/>
            <w:r w:rsidRPr="00C32201">
              <w:rPr>
                <w:sz w:val="20"/>
              </w:rPr>
              <w:t>*</w:t>
            </w:r>
          </w:p>
        </w:tc>
        <w:tc>
          <w:tcPr>
            <w:tcW w:w="652" w:type="pct"/>
            <w:noWrap/>
            <w:hideMark/>
          </w:tcPr>
          <w:p w14:paraId="04167F3F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6E1C3AC6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1591D030" w14:textId="77777777" w:rsidTr="007624B8">
        <w:trPr>
          <w:trHeight w:val="270"/>
        </w:trPr>
        <w:tc>
          <w:tcPr>
            <w:tcW w:w="1027" w:type="pct"/>
            <w:hideMark/>
          </w:tcPr>
          <w:p w14:paraId="5BE5C069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lastRenderedPageBreak/>
              <w:t>Hjerte</w:t>
            </w:r>
          </w:p>
        </w:tc>
        <w:tc>
          <w:tcPr>
            <w:tcW w:w="635" w:type="pct"/>
            <w:hideMark/>
          </w:tcPr>
          <w:p w14:paraId="18136619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noWrap/>
            <w:hideMark/>
          </w:tcPr>
          <w:p w14:paraId="3B407A6A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42" w:type="pct"/>
            <w:hideMark/>
          </w:tcPr>
          <w:p w14:paraId="33A50A3A" w14:textId="77777777" w:rsidR="009C1256" w:rsidRPr="00C32201" w:rsidRDefault="009C1256" w:rsidP="00813BE8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Palpitationer</w:t>
            </w:r>
            <w:proofErr w:type="spellEnd"/>
          </w:p>
        </w:tc>
        <w:tc>
          <w:tcPr>
            <w:tcW w:w="652" w:type="pct"/>
            <w:noWrap/>
            <w:hideMark/>
          </w:tcPr>
          <w:p w14:paraId="5D86251E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7E4AC5C3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6AD94928" w14:textId="77777777" w:rsidTr="007624B8">
        <w:trPr>
          <w:trHeight w:val="285"/>
        </w:trPr>
        <w:tc>
          <w:tcPr>
            <w:tcW w:w="1027" w:type="pct"/>
            <w:hideMark/>
          </w:tcPr>
          <w:p w14:paraId="15EC8F24" w14:textId="77777777" w:rsidR="009C1256" w:rsidRPr="00C32201" w:rsidRDefault="009C1256" w:rsidP="00813BE8">
            <w:pPr>
              <w:rPr>
                <w:b/>
                <w:sz w:val="20"/>
              </w:rPr>
            </w:pPr>
            <w:proofErr w:type="spellStart"/>
            <w:r w:rsidRPr="00C32201">
              <w:rPr>
                <w:b/>
                <w:sz w:val="20"/>
              </w:rPr>
              <w:t>Vaskulære</w:t>
            </w:r>
            <w:proofErr w:type="spellEnd"/>
            <w:r w:rsidRPr="00C32201">
              <w:rPr>
                <w:b/>
                <w:sz w:val="20"/>
              </w:rPr>
              <w:t xml:space="preserve"> sygdomme</w:t>
            </w:r>
          </w:p>
        </w:tc>
        <w:tc>
          <w:tcPr>
            <w:tcW w:w="635" w:type="pct"/>
            <w:noWrap/>
            <w:hideMark/>
          </w:tcPr>
          <w:p w14:paraId="2F3C196B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hideMark/>
          </w:tcPr>
          <w:p w14:paraId="2FA7E055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Hypertension</w:t>
            </w:r>
          </w:p>
        </w:tc>
        <w:tc>
          <w:tcPr>
            <w:tcW w:w="1042" w:type="pct"/>
            <w:noWrap/>
            <w:hideMark/>
          </w:tcPr>
          <w:p w14:paraId="5655FB23" w14:textId="77777777" w:rsidR="009C1256" w:rsidRPr="00C32201" w:rsidRDefault="009C1256" w:rsidP="00813BE8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Ortostatisk</w:t>
            </w:r>
            <w:proofErr w:type="spellEnd"/>
            <w:r w:rsidRPr="00C32201">
              <w:rPr>
                <w:sz w:val="20"/>
              </w:rPr>
              <w:t xml:space="preserve"> hypotension</w:t>
            </w:r>
          </w:p>
        </w:tc>
        <w:tc>
          <w:tcPr>
            <w:tcW w:w="652" w:type="pct"/>
            <w:noWrap/>
            <w:hideMark/>
          </w:tcPr>
          <w:p w14:paraId="3B905AE3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2BFB82E5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7DF82D8D" w14:textId="77777777" w:rsidTr="007624B8">
        <w:trPr>
          <w:trHeight w:val="367"/>
        </w:trPr>
        <w:tc>
          <w:tcPr>
            <w:tcW w:w="1027" w:type="pct"/>
            <w:hideMark/>
          </w:tcPr>
          <w:p w14:paraId="2CD865B0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 xml:space="preserve">Luftveje, thorax og </w:t>
            </w:r>
            <w:proofErr w:type="spellStart"/>
            <w:r w:rsidRPr="00C32201">
              <w:rPr>
                <w:b/>
                <w:sz w:val="20"/>
              </w:rPr>
              <w:t>mediastinum</w:t>
            </w:r>
            <w:proofErr w:type="spellEnd"/>
          </w:p>
        </w:tc>
        <w:tc>
          <w:tcPr>
            <w:tcW w:w="635" w:type="pct"/>
            <w:noWrap/>
            <w:hideMark/>
          </w:tcPr>
          <w:p w14:paraId="04C1E8FB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hideMark/>
          </w:tcPr>
          <w:p w14:paraId="1E13A912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42" w:type="pct"/>
            <w:noWrap/>
            <w:hideMark/>
          </w:tcPr>
          <w:p w14:paraId="7349E0BE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Dyspnø</w:t>
            </w:r>
          </w:p>
        </w:tc>
        <w:tc>
          <w:tcPr>
            <w:tcW w:w="652" w:type="pct"/>
            <w:noWrap/>
            <w:hideMark/>
          </w:tcPr>
          <w:p w14:paraId="743FC49E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4D66DB4E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21C35D74" w14:textId="77777777" w:rsidTr="007624B8">
        <w:trPr>
          <w:trHeight w:val="1170"/>
        </w:trPr>
        <w:tc>
          <w:tcPr>
            <w:tcW w:w="1027" w:type="pct"/>
            <w:hideMark/>
          </w:tcPr>
          <w:p w14:paraId="34F881D8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Mave-tarm-kanalen</w:t>
            </w:r>
          </w:p>
        </w:tc>
        <w:tc>
          <w:tcPr>
            <w:tcW w:w="635" w:type="pct"/>
            <w:noWrap/>
          </w:tcPr>
          <w:p w14:paraId="3C9A0C9E" w14:textId="77777777" w:rsidR="009C1256" w:rsidRPr="00C32201" w:rsidRDefault="009C1256" w:rsidP="00813BE8">
            <w:pPr>
              <w:rPr>
                <w:sz w:val="20"/>
              </w:rPr>
            </w:pPr>
          </w:p>
        </w:tc>
        <w:tc>
          <w:tcPr>
            <w:tcW w:w="765" w:type="pct"/>
            <w:hideMark/>
          </w:tcPr>
          <w:p w14:paraId="7CE2D85F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Kvalme*,</w:t>
            </w:r>
          </w:p>
          <w:p w14:paraId="25939F96" w14:textId="302C095A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Mavesmerter*</w:t>
            </w:r>
            <w:r w:rsidR="00DF48D9" w:rsidRPr="00C32201">
              <w:rPr>
                <w:sz w:val="20"/>
              </w:rPr>
              <w:t>,</w:t>
            </w:r>
          </w:p>
          <w:p w14:paraId="2B5E06B3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Diarré,</w:t>
            </w:r>
          </w:p>
          <w:p w14:paraId="5133C643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Forstoppelse,</w:t>
            </w:r>
          </w:p>
          <w:p w14:paraId="4A49CBE2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Opkastninger*</w:t>
            </w:r>
          </w:p>
        </w:tc>
        <w:tc>
          <w:tcPr>
            <w:tcW w:w="1042" w:type="pct"/>
            <w:hideMark/>
          </w:tcPr>
          <w:p w14:paraId="0C1F8B40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Dyspepsi,</w:t>
            </w:r>
          </w:p>
          <w:p w14:paraId="6AFD3805" w14:textId="77777777" w:rsidR="00DF48D9" w:rsidRPr="00C32201" w:rsidRDefault="009C1256" w:rsidP="00813BE8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Flatulens</w:t>
            </w:r>
            <w:proofErr w:type="spellEnd"/>
            <w:r w:rsidRPr="00C32201">
              <w:rPr>
                <w:sz w:val="20"/>
              </w:rPr>
              <w:t xml:space="preserve">, </w:t>
            </w:r>
          </w:p>
          <w:p w14:paraId="312DCA2D" w14:textId="01531299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Oppustethed</w:t>
            </w:r>
          </w:p>
        </w:tc>
        <w:tc>
          <w:tcPr>
            <w:tcW w:w="652" w:type="pct"/>
            <w:hideMark/>
          </w:tcPr>
          <w:p w14:paraId="44B1F577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7A22BD41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1CB70C58" w14:textId="77777777" w:rsidTr="007624B8">
        <w:trPr>
          <w:trHeight w:val="696"/>
        </w:trPr>
        <w:tc>
          <w:tcPr>
            <w:tcW w:w="1027" w:type="pct"/>
            <w:hideMark/>
          </w:tcPr>
          <w:p w14:paraId="5EE4E1E9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Hud og subkutane væv</w:t>
            </w:r>
          </w:p>
        </w:tc>
        <w:tc>
          <w:tcPr>
            <w:tcW w:w="635" w:type="pct"/>
            <w:noWrap/>
            <w:hideMark/>
          </w:tcPr>
          <w:p w14:paraId="0DBB9F62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hideMark/>
          </w:tcPr>
          <w:p w14:paraId="71DE301D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42" w:type="pct"/>
            <w:hideMark/>
          </w:tcPr>
          <w:p w14:paraId="61F256E4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 xml:space="preserve">Svedetendens, </w:t>
            </w:r>
          </w:p>
          <w:p w14:paraId="6AA688E9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Kløe,</w:t>
            </w:r>
          </w:p>
          <w:p w14:paraId="4C393356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 xml:space="preserve">Udslæt, </w:t>
            </w:r>
          </w:p>
          <w:p w14:paraId="73E8CD9B" w14:textId="7E8194DF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Nældefeber</w:t>
            </w:r>
          </w:p>
        </w:tc>
        <w:tc>
          <w:tcPr>
            <w:tcW w:w="652" w:type="pct"/>
            <w:hideMark/>
          </w:tcPr>
          <w:p w14:paraId="4524A3ED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 xml:space="preserve">Allergisk </w:t>
            </w:r>
            <w:proofErr w:type="spellStart"/>
            <w:r w:rsidRPr="00C32201">
              <w:rPr>
                <w:sz w:val="20"/>
              </w:rPr>
              <w:t>dermatitis</w:t>
            </w:r>
            <w:proofErr w:type="spellEnd"/>
          </w:p>
        </w:tc>
        <w:tc>
          <w:tcPr>
            <w:tcW w:w="879" w:type="pct"/>
            <w:hideMark/>
          </w:tcPr>
          <w:p w14:paraId="29B1953D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3893D6C2" w14:textId="77777777" w:rsidTr="007624B8">
        <w:trPr>
          <w:trHeight w:val="480"/>
        </w:trPr>
        <w:tc>
          <w:tcPr>
            <w:tcW w:w="1027" w:type="pct"/>
            <w:hideMark/>
          </w:tcPr>
          <w:p w14:paraId="356154E0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Knogler, led, muskler og bindevæv</w:t>
            </w:r>
          </w:p>
        </w:tc>
        <w:tc>
          <w:tcPr>
            <w:tcW w:w="635" w:type="pct"/>
            <w:noWrap/>
            <w:hideMark/>
          </w:tcPr>
          <w:p w14:paraId="7201E519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hideMark/>
          </w:tcPr>
          <w:p w14:paraId="4DBED41C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42" w:type="pct"/>
            <w:hideMark/>
          </w:tcPr>
          <w:p w14:paraId="0AADDA30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Muskelspasmer,</w:t>
            </w:r>
          </w:p>
          <w:p w14:paraId="2CDC22E5" w14:textId="0A95ED68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Myalgi</w:t>
            </w:r>
          </w:p>
        </w:tc>
        <w:tc>
          <w:tcPr>
            <w:tcW w:w="652" w:type="pct"/>
            <w:hideMark/>
          </w:tcPr>
          <w:p w14:paraId="1433742D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14FC92AE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636C529D" w14:textId="77777777" w:rsidTr="007624B8">
        <w:trPr>
          <w:trHeight w:val="495"/>
        </w:trPr>
        <w:tc>
          <w:tcPr>
            <w:tcW w:w="1027" w:type="pct"/>
            <w:hideMark/>
          </w:tcPr>
          <w:p w14:paraId="1AA29723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 xml:space="preserve">Nyrer og urinveje </w:t>
            </w:r>
          </w:p>
        </w:tc>
        <w:tc>
          <w:tcPr>
            <w:tcW w:w="635" w:type="pct"/>
            <w:noWrap/>
            <w:hideMark/>
          </w:tcPr>
          <w:p w14:paraId="6A8CD834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hideMark/>
          </w:tcPr>
          <w:p w14:paraId="384F2F76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Symptomer fra blære og urinveje</w:t>
            </w:r>
          </w:p>
        </w:tc>
        <w:tc>
          <w:tcPr>
            <w:tcW w:w="1042" w:type="pct"/>
            <w:noWrap/>
            <w:hideMark/>
          </w:tcPr>
          <w:p w14:paraId="50DCA346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652" w:type="pct"/>
            <w:hideMark/>
          </w:tcPr>
          <w:p w14:paraId="3B70935D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68D235F1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3ECD71E2" w14:textId="77777777" w:rsidTr="007624B8">
        <w:trPr>
          <w:trHeight w:val="690"/>
        </w:trPr>
        <w:tc>
          <w:tcPr>
            <w:tcW w:w="1027" w:type="pct"/>
            <w:hideMark/>
          </w:tcPr>
          <w:p w14:paraId="4DAA38BC" w14:textId="46A76925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Almene symptomer og reaktioner på administrationsstedet</w:t>
            </w:r>
          </w:p>
        </w:tc>
        <w:tc>
          <w:tcPr>
            <w:tcW w:w="635" w:type="pct"/>
            <w:hideMark/>
          </w:tcPr>
          <w:p w14:paraId="164F6D20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hideMark/>
          </w:tcPr>
          <w:p w14:paraId="13AEBFF2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Ødem,</w:t>
            </w:r>
          </w:p>
          <w:p w14:paraId="001A1C87" w14:textId="0CD2F286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Træthed</w:t>
            </w:r>
          </w:p>
        </w:tc>
        <w:tc>
          <w:tcPr>
            <w:tcW w:w="1042" w:type="pct"/>
            <w:hideMark/>
          </w:tcPr>
          <w:p w14:paraId="28D2D4F3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Utilpashed*</w:t>
            </w:r>
          </w:p>
          <w:p w14:paraId="4B6D9985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Brystsmerter</w:t>
            </w:r>
          </w:p>
          <w:p w14:paraId="04C5077E" w14:textId="2710D2A4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Influenzalignende symptomer</w:t>
            </w:r>
          </w:p>
        </w:tc>
        <w:tc>
          <w:tcPr>
            <w:tcW w:w="652" w:type="pct"/>
            <w:hideMark/>
          </w:tcPr>
          <w:p w14:paraId="15BD12D7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11888E72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7624B8" w:rsidRPr="00C32201" w14:paraId="46E3ECAA" w14:textId="77777777" w:rsidTr="007624B8">
        <w:trPr>
          <w:trHeight w:val="720"/>
        </w:trPr>
        <w:tc>
          <w:tcPr>
            <w:tcW w:w="1027" w:type="pct"/>
            <w:hideMark/>
          </w:tcPr>
          <w:p w14:paraId="6A96D1B7" w14:textId="77777777" w:rsidR="009C1256" w:rsidRPr="00C32201" w:rsidRDefault="009C1256" w:rsidP="00813BE8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Undersøgelser</w:t>
            </w:r>
          </w:p>
        </w:tc>
        <w:tc>
          <w:tcPr>
            <w:tcW w:w="635" w:type="pct"/>
            <w:hideMark/>
          </w:tcPr>
          <w:p w14:paraId="36F83D23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765" w:type="pct"/>
            <w:hideMark/>
          </w:tcPr>
          <w:p w14:paraId="6C4E3184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42" w:type="pct"/>
            <w:hideMark/>
          </w:tcPr>
          <w:p w14:paraId="315A00BE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Vægtøgning*,</w:t>
            </w:r>
          </w:p>
          <w:p w14:paraId="31930A09" w14:textId="77777777" w:rsidR="00813BE8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Stigning i leverenzymer,</w:t>
            </w:r>
          </w:p>
          <w:p w14:paraId="0ECE91F0" w14:textId="13C7BF8D" w:rsidR="009C1256" w:rsidRPr="00C32201" w:rsidRDefault="009C1256" w:rsidP="00813BE8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Hypokaliæmi</w:t>
            </w:r>
            <w:proofErr w:type="spellEnd"/>
          </w:p>
        </w:tc>
        <w:tc>
          <w:tcPr>
            <w:tcW w:w="652" w:type="pct"/>
            <w:hideMark/>
          </w:tcPr>
          <w:p w14:paraId="25C156C4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879" w:type="pct"/>
            <w:hideMark/>
          </w:tcPr>
          <w:p w14:paraId="052A67FC" w14:textId="77777777" w:rsidR="009C1256" w:rsidRPr="00C32201" w:rsidRDefault="009C1256" w:rsidP="00813BE8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</w:tbl>
    <w:p w14:paraId="30FAFF7D" w14:textId="77777777" w:rsidR="009C1256" w:rsidRPr="00DF48D9" w:rsidRDefault="009C1256" w:rsidP="00DF48D9">
      <w:pPr>
        <w:ind w:left="426" w:hanging="426"/>
        <w:rPr>
          <w:sz w:val="20"/>
        </w:rPr>
      </w:pPr>
      <w:r w:rsidRPr="00DF48D9">
        <w:rPr>
          <w:sz w:val="20"/>
        </w:rPr>
        <w:t>*</w:t>
      </w:r>
      <w:r w:rsidRPr="00DF48D9">
        <w:rPr>
          <w:sz w:val="20"/>
        </w:rPr>
        <w:tab/>
      </w:r>
      <w:proofErr w:type="spellStart"/>
      <w:r w:rsidRPr="00DF48D9">
        <w:rPr>
          <w:sz w:val="20"/>
        </w:rPr>
        <w:t>Hyponatriæmi</w:t>
      </w:r>
      <w:proofErr w:type="spellEnd"/>
      <w:r w:rsidRPr="00DF48D9">
        <w:rPr>
          <w:sz w:val="20"/>
        </w:rPr>
        <w:t xml:space="preserve"> kan forårsage hovedpine, mavesmerter, kvalme, opkastninger, vægtøgning, svimmelhed, konfusion, utilpashed, </w:t>
      </w:r>
      <w:proofErr w:type="spellStart"/>
      <w:r w:rsidRPr="00DF48D9">
        <w:rPr>
          <w:sz w:val="20"/>
        </w:rPr>
        <w:t>vertigo</w:t>
      </w:r>
      <w:proofErr w:type="spellEnd"/>
      <w:r w:rsidRPr="00DF48D9">
        <w:rPr>
          <w:sz w:val="20"/>
        </w:rPr>
        <w:t xml:space="preserve"> og i alvorlige tilfælde kramper og koma.</w:t>
      </w:r>
    </w:p>
    <w:p w14:paraId="28282E10" w14:textId="77777777" w:rsidR="009C1256" w:rsidRPr="00DF48D9" w:rsidRDefault="009C1256" w:rsidP="00DF48D9">
      <w:pPr>
        <w:ind w:left="426" w:hanging="426"/>
        <w:rPr>
          <w:sz w:val="20"/>
        </w:rPr>
      </w:pPr>
      <w:r w:rsidRPr="00DF48D9">
        <w:rPr>
          <w:sz w:val="20"/>
        </w:rPr>
        <w:t>**</w:t>
      </w:r>
      <w:r w:rsidRPr="00DF48D9">
        <w:rPr>
          <w:sz w:val="20"/>
        </w:rPr>
        <w:tab/>
        <w:t xml:space="preserve">Kun set ved central diabetes </w:t>
      </w:r>
      <w:proofErr w:type="spellStart"/>
      <w:r w:rsidRPr="00DF48D9">
        <w:rPr>
          <w:sz w:val="20"/>
        </w:rPr>
        <w:t>insipidus</w:t>
      </w:r>
      <w:proofErr w:type="spellEnd"/>
      <w:r w:rsidRPr="00DF48D9">
        <w:rPr>
          <w:sz w:val="20"/>
        </w:rPr>
        <w:t>.</w:t>
      </w:r>
    </w:p>
    <w:p w14:paraId="287BD283" w14:textId="77777777" w:rsidR="009C1256" w:rsidRPr="00420528" w:rsidRDefault="009C1256" w:rsidP="00881296">
      <w:pPr>
        <w:rPr>
          <w:sz w:val="24"/>
          <w:szCs w:val="24"/>
        </w:rPr>
      </w:pPr>
    </w:p>
    <w:p w14:paraId="3147B5FF" w14:textId="77777777" w:rsidR="009C1256" w:rsidRPr="00420528" w:rsidRDefault="009C1256" w:rsidP="00881296">
      <w:pPr>
        <w:ind w:left="851"/>
        <w:rPr>
          <w:i/>
          <w:sz w:val="24"/>
          <w:szCs w:val="24"/>
        </w:rPr>
      </w:pPr>
      <w:r w:rsidRPr="00420528">
        <w:rPr>
          <w:i/>
          <w:sz w:val="24"/>
          <w:szCs w:val="24"/>
        </w:rPr>
        <w:t>Pædiatrisk population</w:t>
      </w:r>
    </w:p>
    <w:p w14:paraId="271DB947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Hyppigheden af bivirkninger i kliniske studier med oral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til behandling af primær </w:t>
      </w:r>
      <w:proofErr w:type="spellStart"/>
      <w:r w:rsidRPr="00420528">
        <w:rPr>
          <w:sz w:val="24"/>
          <w:szCs w:val="24"/>
        </w:rPr>
        <w:t>enuresis</w:t>
      </w:r>
      <w:proofErr w:type="spellEnd"/>
      <w:r w:rsidRPr="00420528">
        <w:rPr>
          <w:sz w:val="24"/>
          <w:szCs w:val="24"/>
        </w:rPr>
        <w:t xml:space="preserve"> </w:t>
      </w:r>
      <w:proofErr w:type="spellStart"/>
      <w:r w:rsidRPr="00420528">
        <w:rPr>
          <w:sz w:val="24"/>
          <w:szCs w:val="24"/>
        </w:rPr>
        <w:t>nocturna</w:t>
      </w:r>
      <w:proofErr w:type="spellEnd"/>
      <w:r w:rsidRPr="00420528">
        <w:rPr>
          <w:sz w:val="24"/>
          <w:szCs w:val="24"/>
        </w:rPr>
        <w:t xml:space="preserve"> hos børn og unge (n=1.923) er vist i tabel 2. Bivirkninger, der kun er rapporteret efter markedsføring, findes i kolonnen "Ikke kendt". </w:t>
      </w:r>
    </w:p>
    <w:p w14:paraId="3A5990C4" w14:textId="77777777" w:rsidR="009C1256" w:rsidRPr="00420528" w:rsidRDefault="009C1256" w:rsidP="009C1256">
      <w:pPr>
        <w:tabs>
          <w:tab w:val="left" w:pos="851"/>
        </w:tabs>
        <w:ind w:left="851"/>
        <w:rPr>
          <w:sz w:val="24"/>
          <w:szCs w:val="24"/>
        </w:rPr>
      </w:pPr>
    </w:p>
    <w:p w14:paraId="19137CFB" w14:textId="77777777" w:rsidR="009C1256" w:rsidRPr="00420528" w:rsidRDefault="009C1256" w:rsidP="009C1256">
      <w:pPr>
        <w:tabs>
          <w:tab w:val="left" w:pos="851"/>
        </w:tabs>
        <w:rPr>
          <w:b/>
          <w:bCs/>
          <w:sz w:val="24"/>
          <w:szCs w:val="24"/>
        </w:rPr>
      </w:pPr>
      <w:r w:rsidRPr="00420528">
        <w:rPr>
          <w:b/>
          <w:bCs/>
          <w:sz w:val="24"/>
          <w:szCs w:val="24"/>
        </w:rPr>
        <w:t>Tabel 2. Tabel over bivirkninger i den pædiatriske population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1363"/>
        <w:gridCol w:w="2208"/>
        <w:gridCol w:w="2210"/>
        <w:gridCol w:w="2035"/>
      </w:tblGrid>
      <w:tr w:rsidR="00DF48D9" w:rsidRPr="00C32201" w14:paraId="5C66548A" w14:textId="77777777" w:rsidTr="007624B8">
        <w:trPr>
          <w:trHeight w:val="435"/>
        </w:trPr>
        <w:tc>
          <w:tcPr>
            <w:tcW w:w="1032" w:type="pct"/>
            <w:hideMark/>
          </w:tcPr>
          <w:p w14:paraId="1BAE717E" w14:textId="77777777" w:rsidR="009C1256" w:rsidRPr="00C32201" w:rsidRDefault="009C1256" w:rsidP="00DF48D9">
            <w:pPr>
              <w:rPr>
                <w:b/>
                <w:sz w:val="20"/>
              </w:rPr>
            </w:pPr>
            <w:proofErr w:type="spellStart"/>
            <w:r w:rsidRPr="00C32201">
              <w:rPr>
                <w:b/>
                <w:sz w:val="20"/>
              </w:rPr>
              <w:t>MedDRA</w:t>
            </w:r>
            <w:proofErr w:type="spellEnd"/>
            <w:r w:rsidRPr="00C32201">
              <w:rPr>
                <w:b/>
                <w:sz w:val="20"/>
              </w:rPr>
              <w:t xml:space="preserve"> System-organklasser</w:t>
            </w:r>
          </w:p>
        </w:tc>
        <w:tc>
          <w:tcPr>
            <w:tcW w:w="692" w:type="pct"/>
            <w:hideMark/>
          </w:tcPr>
          <w:p w14:paraId="0E44AD1E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Almindelig</w:t>
            </w:r>
          </w:p>
          <w:p w14:paraId="7BB2102B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(≥1/100 til &lt;1/10)</w:t>
            </w:r>
          </w:p>
        </w:tc>
        <w:tc>
          <w:tcPr>
            <w:tcW w:w="1121" w:type="pct"/>
            <w:hideMark/>
          </w:tcPr>
          <w:p w14:paraId="79232B44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Ikke almindelig</w:t>
            </w:r>
          </w:p>
          <w:p w14:paraId="553FD466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 xml:space="preserve">(≥1/1.000 til &lt;1/100) </w:t>
            </w:r>
          </w:p>
        </w:tc>
        <w:tc>
          <w:tcPr>
            <w:tcW w:w="1122" w:type="pct"/>
            <w:hideMark/>
          </w:tcPr>
          <w:p w14:paraId="0CC44146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Sjælden</w:t>
            </w:r>
          </w:p>
          <w:p w14:paraId="6008C357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(≥1/10.000 til &lt;1/1.000)</w:t>
            </w:r>
          </w:p>
        </w:tc>
        <w:tc>
          <w:tcPr>
            <w:tcW w:w="1033" w:type="pct"/>
            <w:hideMark/>
          </w:tcPr>
          <w:p w14:paraId="4B3AC130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Ikke kendt</w:t>
            </w:r>
          </w:p>
          <w:p w14:paraId="28122D73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(kan ikke estimeres ud fra forhåndenværende data)</w:t>
            </w:r>
          </w:p>
        </w:tc>
      </w:tr>
      <w:tr w:rsidR="00DF48D9" w:rsidRPr="00C32201" w14:paraId="7B94FFEC" w14:textId="77777777" w:rsidTr="007624B8">
        <w:trPr>
          <w:trHeight w:val="270"/>
        </w:trPr>
        <w:tc>
          <w:tcPr>
            <w:tcW w:w="1032" w:type="pct"/>
            <w:hideMark/>
          </w:tcPr>
          <w:p w14:paraId="5CC62213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 </w:t>
            </w:r>
          </w:p>
        </w:tc>
        <w:tc>
          <w:tcPr>
            <w:tcW w:w="692" w:type="pct"/>
            <w:hideMark/>
          </w:tcPr>
          <w:p w14:paraId="38161AFB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121" w:type="pct"/>
            <w:hideMark/>
          </w:tcPr>
          <w:p w14:paraId="4315CE20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122" w:type="pct"/>
            <w:hideMark/>
          </w:tcPr>
          <w:p w14:paraId="36916B48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33" w:type="pct"/>
            <w:hideMark/>
          </w:tcPr>
          <w:p w14:paraId="03CD71D7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DF48D9" w:rsidRPr="00C32201" w14:paraId="233FC1B7" w14:textId="77777777" w:rsidTr="007624B8">
        <w:trPr>
          <w:trHeight w:val="495"/>
        </w:trPr>
        <w:tc>
          <w:tcPr>
            <w:tcW w:w="1032" w:type="pct"/>
            <w:hideMark/>
          </w:tcPr>
          <w:p w14:paraId="1E2AF121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Immunsystemet</w:t>
            </w:r>
          </w:p>
        </w:tc>
        <w:tc>
          <w:tcPr>
            <w:tcW w:w="692" w:type="pct"/>
            <w:hideMark/>
          </w:tcPr>
          <w:p w14:paraId="70714425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121" w:type="pct"/>
            <w:hideMark/>
          </w:tcPr>
          <w:p w14:paraId="44503262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122" w:type="pct"/>
            <w:noWrap/>
            <w:hideMark/>
          </w:tcPr>
          <w:p w14:paraId="53A9A5A7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33" w:type="pct"/>
            <w:hideMark/>
          </w:tcPr>
          <w:p w14:paraId="2E44DF85" w14:textId="77777777" w:rsidR="009C1256" w:rsidRPr="00C32201" w:rsidRDefault="009C1256" w:rsidP="00DF48D9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Anafylaktisk</w:t>
            </w:r>
            <w:proofErr w:type="spellEnd"/>
            <w:r w:rsidRPr="00C32201">
              <w:rPr>
                <w:sz w:val="20"/>
              </w:rPr>
              <w:t xml:space="preserve"> reaktion</w:t>
            </w:r>
          </w:p>
        </w:tc>
      </w:tr>
      <w:tr w:rsidR="00DF48D9" w:rsidRPr="00C32201" w14:paraId="49AFCBB1" w14:textId="77777777" w:rsidTr="007624B8">
        <w:trPr>
          <w:trHeight w:val="525"/>
        </w:trPr>
        <w:tc>
          <w:tcPr>
            <w:tcW w:w="1032" w:type="pct"/>
            <w:hideMark/>
          </w:tcPr>
          <w:p w14:paraId="5FF75F7F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Metabolisme og ernæring</w:t>
            </w:r>
          </w:p>
        </w:tc>
        <w:tc>
          <w:tcPr>
            <w:tcW w:w="692" w:type="pct"/>
          </w:tcPr>
          <w:p w14:paraId="3017790F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121" w:type="pct"/>
            <w:noWrap/>
            <w:hideMark/>
          </w:tcPr>
          <w:p w14:paraId="0F8BF9D6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122" w:type="pct"/>
          </w:tcPr>
          <w:p w14:paraId="07FC41DD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033" w:type="pct"/>
            <w:hideMark/>
          </w:tcPr>
          <w:p w14:paraId="73777AD2" w14:textId="77777777" w:rsidR="009C1256" w:rsidRPr="00C32201" w:rsidRDefault="009C1256" w:rsidP="00DF48D9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Hyponatriæmi</w:t>
            </w:r>
            <w:proofErr w:type="spellEnd"/>
            <w:r w:rsidRPr="00C32201">
              <w:rPr>
                <w:sz w:val="20"/>
              </w:rPr>
              <w:t>****</w:t>
            </w:r>
          </w:p>
        </w:tc>
      </w:tr>
      <w:tr w:rsidR="00DF48D9" w:rsidRPr="00C32201" w14:paraId="2924B578" w14:textId="77777777" w:rsidTr="007624B8">
        <w:trPr>
          <w:trHeight w:val="1245"/>
        </w:trPr>
        <w:tc>
          <w:tcPr>
            <w:tcW w:w="1032" w:type="pct"/>
            <w:hideMark/>
          </w:tcPr>
          <w:p w14:paraId="78261373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Psykiske forstyrrelser</w:t>
            </w:r>
          </w:p>
        </w:tc>
        <w:tc>
          <w:tcPr>
            <w:tcW w:w="692" w:type="pct"/>
            <w:noWrap/>
            <w:hideMark/>
          </w:tcPr>
          <w:p w14:paraId="67C50DEC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121" w:type="pct"/>
            <w:hideMark/>
          </w:tcPr>
          <w:p w14:paraId="0DB40D59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Affektlabilitet**,</w:t>
            </w:r>
          </w:p>
          <w:p w14:paraId="4F70D76A" w14:textId="3B161DBB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Aggressivitet***</w:t>
            </w:r>
          </w:p>
        </w:tc>
        <w:tc>
          <w:tcPr>
            <w:tcW w:w="1122" w:type="pct"/>
            <w:hideMark/>
          </w:tcPr>
          <w:p w14:paraId="3704CD4F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Angstsymptomer,</w:t>
            </w:r>
          </w:p>
          <w:p w14:paraId="4E451455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Mareridt****,</w:t>
            </w:r>
          </w:p>
          <w:p w14:paraId="4B29E967" w14:textId="3769C7CF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Humørsvingninger****</w:t>
            </w:r>
          </w:p>
          <w:p w14:paraId="21EBFD2B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 xml:space="preserve"> </w:t>
            </w:r>
          </w:p>
        </w:tc>
        <w:tc>
          <w:tcPr>
            <w:tcW w:w="1033" w:type="pct"/>
            <w:hideMark/>
          </w:tcPr>
          <w:p w14:paraId="755C31E9" w14:textId="77777777" w:rsidR="009C1256" w:rsidRPr="00C32201" w:rsidRDefault="009C1256" w:rsidP="00DF48D9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Abnormal</w:t>
            </w:r>
            <w:proofErr w:type="spellEnd"/>
            <w:r w:rsidRPr="00C32201">
              <w:rPr>
                <w:sz w:val="20"/>
              </w:rPr>
              <w:t xml:space="preserve"> adfærd,</w:t>
            </w:r>
          </w:p>
          <w:p w14:paraId="6CF3A8EF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Emotionelle forstyrrelser,</w:t>
            </w:r>
          </w:p>
          <w:p w14:paraId="5AA4CB3D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Depression,</w:t>
            </w:r>
          </w:p>
          <w:p w14:paraId="7F15CB15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Hallucinationer,</w:t>
            </w:r>
          </w:p>
          <w:p w14:paraId="021CE25D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Søvnløshed</w:t>
            </w:r>
          </w:p>
        </w:tc>
      </w:tr>
      <w:tr w:rsidR="00DF48D9" w:rsidRPr="00C32201" w14:paraId="3DA7D450" w14:textId="77777777" w:rsidTr="007624B8">
        <w:trPr>
          <w:trHeight w:val="945"/>
        </w:trPr>
        <w:tc>
          <w:tcPr>
            <w:tcW w:w="1032" w:type="pct"/>
            <w:hideMark/>
          </w:tcPr>
          <w:p w14:paraId="00529278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Nervesystemet</w:t>
            </w:r>
          </w:p>
        </w:tc>
        <w:tc>
          <w:tcPr>
            <w:tcW w:w="692" w:type="pct"/>
            <w:noWrap/>
            <w:hideMark/>
          </w:tcPr>
          <w:p w14:paraId="7AC9AFDA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Hovedpine*</w:t>
            </w:r>
          </w:p>
        </w:tc>
        <w:tc>
          <w:tcPr>
            <w:tcW w:w="1121" w:type="pct"/>
          </w:tcPr>
          <w:p w14:paraId="266C291F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122" w:type="pct"/>
            <w:noWrap/>
            <w:hideMark/>
          </w:tcPr>
          <w:p w14:paraId="1E7253EB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Døsighed</w:t>
            </w:r>
          </w:p>
        </w:tc>
        <w:tc>
          <w:tcPr>
            <w:tcW w:w="1033" w:type="pct"/>
            <w:hideMark/>
          </w:tcPr>
          <w:p w14:paraId="0C46BE54" w14:textId="67783812" w:rsidR="00DF48D9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Koncentrationsforstyrrelser,</w:t>
            </w:r>
          </w:p>
          <w:p w14:paraId="230A270E" w14:textId="32DE1134" w:rsidR="009C1256" w:rsidRPr="00C32201" w:rsidRDefault="009C1256" w:rsidP="00DF48D9">
            <w:pPr>
              <w:rPr>
                <w:sz w:val="20"/>
              </w:rPr>
            </w:pPr>
            <w:proofErr w:type="spellStart"/>
            <w:r w:rsidRPr="00C32201">
              <w:rPr>
                <w:sz w:val="20"/>
              </w:rPr>
              <w:t>Psykomotorisk</w:t>
            </w:r>
            <w:proofErr w:type="spellEnd"/>
          </w:p>
          <w:p w14:paraId="50F0F6C4" w14:textId="77777777" w:rsidR="00DF48D9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hyperaktivitet,</w:t>
            </w:r>
          </w:p>
          <w:p w14:paraId="5788FEE7" w14:textId="41DCDC01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Kramper*</w:t>
            </w:r>
          </w:p>
        </w:tc>
      </w:tr>
      <w:tr w:rsidR="00DF48D9" w:rsidRPr="00C32201" w14:paraId="60921EAE" w14:textId="77777777" w:rsidTr="007624B8">
        <w:trPr>
          <w:trHeight w:val="285"/>
        </w:trPr>
        <w:tc>
          <w:tcPr>
            <w:tcW w:w="1032" w:type="pct"/>
            <w:hideMark/>
          </w:tcPr>
          <w:p w14:paraId="6A88C638" w14:textId="77777777" w:rsidR="009C1256" w:rsidRPr="00C32201" w:rsidRDefault="009C1256" w:rsidP="00DF48D9">
            <w:pPr>
              <w:rPr>
                <w:b/>
                <w:sz w:val="20"/>
              </w:rPr>
            </w:pPr>
            <w:proofErr w:type="spellStart"/>
            <w:r w:rsidRPr="00C32201">
              <w:rPr>
                <w:b/>
                <w:sz w:val="20"/>
              </w:rPr>
              <w:lastRenderedPageBreak/>
              <w:t>Vaskulære</w:t>
            </w:r>
            <w:proofErr w:type="spellEnd"/>
            <w:r w:rsidRPr="00C32201">
              <w:rPr>
                <w:b/>
                <w:sz w:val="20"/>
              </w:rPr>
              <w:t xml:space="preserve"> sygdomme</w:t>
            </w:r>
          </w:p>
        </w:tc>
        <w:tc>
          <w:tcPr>
            <w:tcW w:w="692" w:type="pct"/>
          </w:tcPr>
          <w:p w14:paraId="1C294549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121" w:type="pct"/>
            <w:noWrap/>
          </w:tcPr>
          <w:p w14:paraId="7653CD6B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122" w:type="pct"/>
            <w:noWrap/>
            <w:hideMark/>
          </w:tcPr>
          <w:p w14:paraId="07FC8227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Hypertension</w:t>
            </w:r>
          </w:p>
        </w:tc>
        <w:tc>
          <w:tcPr>
            <w:tcW w:w="1033" w:type="pct"/>
            <w:hideMark/>
          </w:tcPr>
          <w:p w14:paraId="7D19C471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DF48D9" w:rsidRPr="00C32201" w14:paraId="305D05FC" w14:textId="77777777" w:rsidTr="007624B8">
        <w:trPr>
          <w:trHeight w:val="367"/>
        </w:trPr>
        <w:tc>
          <w:tcPr>
            <w:tcW w:w="1032" w:type="pct"/>
            <w:hideMark/>
          </w:tcPr>
          <w:p w14:paraId="60AFEE52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 xml:space="preserve">Luftveje, thorax og </w:t>
            </w:r>
            <w:proofErr w:type="spellStart"/>
            <w:r w:rsidRPr="00C32201">
              <w:rPr>
                <w:b/>
                <w:sz w:val="20"/>
              </w:rPr>
              <w:t>mediastinum</w:t>
            </w:r>
            <w:proofErr w:type="spellEnd"/>
          </w:p>
        </w:tc>
        <w:tc>
          <w:tcPr>
            <w:tcW w:w="692" w:type="pct"/>
            <w:hideMark/>
          </w:tcPr>
          <w:p w14:paraId="5856BC52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121" w:type="pct"/>
            <w:noWrap/>
          </w:tcPr>
          <w:p w14:paraId="12836B49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122" w:type="pct"/>
            <w:noWrap/>
            <w:hideMark/>
          </w:tcPr>
          <w:p w14:paraId="56B78CA9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33" w:type="pct"/>
            <w:hideMark/>
          </w:tcPr>
          <w:p w14:paraId="5A9C11A0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Næseblod</w:t>
            </w:r>
          </w:p>
        </w:tc>
      </w:tr>
      <w:tr w:rsidR="00DF48D9" w:rsidRPr="00C32201" w14:paraId="6284ACD1" w14:textId="77777777" w:rsidTr="007624B8">
        <w:trPr>
          <w:trHeight w:val="1170"/>
        </w:trPr>
        <w:tc>
          <w:tcPr>
            <w:tcW w:w="1032" w:type="pct"/>
            <w:hideMark/>
          </w:tcPr>
          <w:p w14:paraId="7BBB6CBC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Mave-tarm-kanalen</w:t>
            </w:r>
          </w:p>
        </w:tc>
        <w:tc>
          <w:tcPr>
            <w:tcW w:w="692" w:type="pct"/>
            <w:hideMark/>
          </w:tcPr>
          <w:p w14:paraId="6047607B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 xml:space="preserve"> </w:t>
            </w:r>
          </w:p>
        </w:tc>
        <w:tc>
          <w:tcPr>
            <w:tcW w:w="1121" w:type="pct"/>
          </w:tcPr>
          <w:p w14:paraId="2D4D3603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Mavesmerter*,</w:t>
            </w:r>
          </w:p>
          <w:p w14:paraId="061DD714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Kvalme*,</w:t>
            </w:r>
          </w:p>
          <w:p w14:paraId="41D0C068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Opkastninger*,</w:t>
            </w:r>
          </w:p>
          <w:p w14:paraId="3477BC84" w14:textId="4737A654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Diarré</w:t>
            </w:r>
          </w:p>
        </w:tc>
        <w:tc>
          <w:tcPr>
            <w:tcW w:w="1122" w:type="pct"/>
            <w:hideMark/>
          </w:tcPr>
          <w:p w14:paraId="7087EC38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33" w:type="pct"/>
            <w:hideMark/>
          </w:tcPr>
          <w:p w14:paraId="297E04A3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DF48D9" w:rsidRPr="00C32201" w14:paraId="6EAF7471" w14:textId="77777777" w:rsidTr="007624B8">
        <w:trPr>
          <w:trHeight w:val="696"/>
        </w:trPr>
        <w:tc>
          <w:tcPr>
            <w:tcW w:w="1032" w:type="pct"/>
            <w:hideMark/>
          </w:tcPr>
          <w:p w14:paraId="16E6B255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Hud og subkutane væv</w:t>
            </w:r>
          </w:p>
        </w:tc>
        <w:tc>
          <w:tcPr>
            <w:tcW w:w="692" w:type="pct"/>
            <w:hideMark/>
          </w:tcPr>
          <w:p w14:paraId="2B5429A4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121" w:type="pct"/>
          </w:tcPr>
          <w:p w14:paraId="56CE4C59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122" w:type="pct"/>
          </w:tcPr>
          <w:p w14:paraId="4353CF05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033" w:type="pct"/>
            <w:hideMark/>
          </w:tcPr>
          <w:p w14:paraId="0139C0BF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Udslæt,</w:t>
            </w:r>
          </w:p>
          <w:p w14:paraId="1FA40F45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 xml:space="preserve">Allergisk </w:t>
            </w:r>
            <w:proofErr w:type="spellStart"/>
            <w:r w:rsidRPr="00C32201">
              <w:rPr>
                <w:sz w:val="20"/>
              </w:rPr>
              <w:t>dermatitis</w:t>
            </w:r>
            <w:proofErr w:type="spellEnd"/>
            <w:r w:rsidRPr="00C32201">
              <w:rPr>
                <w:sz w:val="20"/>
              </w:rPr>
              <w:t>,</w:t>
            </w:r>
          </w:p>
          <w:p w14:paraId="73EA802A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Svedetendens,</w:t>
            </w:r>
          </w:p>
          <w:p w14:paraId="0643B626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Nældefeber</w:t>
            </w:r>
          </w:p>
        </w:tc>
      </w:tr>
      <w:tr w:rsidR="00DF48D9" w:rsidRPr="00C32201" w14:paraId="77FCBBB1" w14:textId="77777777" w:rsidTr="007624B8">
        <w:trPr>
          <w:trHeight w:val="495"/>
        </w:trPr>
        <w:tc>
          <w:tcPr>
            <w:tcW w:w="1032" w:type="pct"/>
            <w:hideMark/>
          </w:tcPr>
          <w:p w14:paraId="5C130C6F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 xml:space="preserve">Nyrer og urinveje </w:t>
            </w:r>
          </w:p>
        </w:tc>
        <w:tc>
          <w:tcPr>
            <w:tcW w:w="692" w:type="pct"/>
          </w:tcPr>
          <w:p w14:paraId="61D0E20D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121" w:type="pct"/>
            <w:noWrap/>
            <w:hideMark/>
          </w:tcPr>
          <w:p w14:paraId="257D03DC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Symptomer fra blære og urinveje</w:t>
            </w:r>
          </w:p>
        </w:tc>
        <w:tc>
          <w:tcPr>
            <w:tcW w:w="1122" w:type="pct"/>
            <w:hideMark/>
          </w:tcPr>
          <w:p w14:paraId="4809E16B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  <w:tc>
          <w:tcPr>
            <w:tcW w:w="1033" w:type="pct"/>
            <w:hideMark/>
          </w:tcPr>
          <w:p w14:paraId="3E199F30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  <w:tr w:rsidR="00DF48D9" w:rsidRPr="00C32201" w14:paraId="1172031E" w14:textId="77777777" w:rsidTr="007624B8">
        <w:trPr>
          <w:trHeight w:val="690"/>
        </w:trPr>
        <w:tc>
          <w:tcPr>
            <w:tcW w:w="1032" w:type="pct"/>
            <w:hideMark/>
          </w:tcPr>
          <w:p w14:paraId="35B96B8A" w14:textId="77777777" w:rsidR="009C1256" w:rsidRPr="00C32201" w:rsidRDefault="009C1256" w:rsidP="00DF48D9">
            <w:pPr>
              <w:rPr>
                <w:b/>
                <w:sz w:val="20"/>
              </w:rPr>
            </w:pPr>
            <w:r w:rsidRPr="00C32201">
              <w:rPr>
                <w:b/>
                <w:sz w:val="20"/>
              </w:rPr>
              <w:t>Almene symptomer og reaktioner på administrations</w:t>
            </w:r>
            <w:r w:rsidRPr="00C32201">
              <w:rPr>
                <w:b/>
                <w:sz w:val="20"/>
              </w:rPr>
              <w:noBreakHyphen/>
              <w:t>stedet</w:t>
            </w:r>
          </w:p>
        </w:tc>
        <w:tc>
          <w:tcPr>
            <w:tcW w:w="692" w:type="pct"/>
          </w:tcPr>
          <w:p w14:paraId="255F58E3" w14:textId="77777777" w:rsidR="009C1256" w:rsidRPr="00C32201" w:rsidRDefault="009C1256" w:rsidP="00DF48D9">
            <w:pPr>
              <w:rPr>
                <w:sz w:val="20"/>
              </w:rPr>
            </w:pPr>
          </w:p>
        </w:tc>
        <w:tc>
          <w:tcPr>
            <w:tcW w:w="1121" w:type="pct"/>
            <w:hideMark/>
          </w:tcPr>
          <w:p w14:paraId="55E1C871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Perifert ødem,</w:t>
            </w:r>
          </w:p>
          <w:p w14:paraId="51D377EF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Træthed</w:t>
            </w:r>
          </w:p>
        </w:tc>
        <w:tc>
          <w:tcPr>
            <w:tcW w:w="1122" w:type="pct"/>
            <w:hideMark/>
          </w:tcPr>
          <w:p w14:paraId="38ACE058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Irritation</w:t>
            </w:r>
          </w:p>
        </w:tc>
        <w:tc>
          <w:tcPr>
            <w:tcW w:w="1033" w:type="pct"/>
            <w:hideMark/>
          </w:tcPr>
          <w:p w14:paraId="5B27659C" w14:textId="77777777" w:rsidR="009C1256" w:rsidRPr="00C32201" w:rsidRDefault="009C1256" w:rsidP="00DF48D9">
            <w:pPr>
              <w:rPr>
                <w:sz w:val="20"/>
              </w:rPr>
            </w:pPr>
            <w:r w:rsidRPr="00C32201">
              <w:rPr>
                <w:sz w:val="20"/>
              </w:rPr>
              <w:t> </w:t>
            </w:r>
          </w:p>
        </w:tc>
      </w:tr>
    </w:tbl>
    <w:p w14:paraId="5DEE4986" w14:textId="77777777" w:rsidR="009C1256" w:rsidRPr="00DF48D9" w:rsidRDefault="009C1256" w:rsidP="00DF48D9">
      <w:pPr>
        <w:ind w:left="567" w:hanging="567"/>
        <w:rPr>
          <w:sz w:val="20"/>
        </w:rPr>
      </w:pPr>
      <w:r w:rsidRPr="00DF48D9">
        <w:rPr>
          <w:sz w:val="20"/>
        </w:rPr>
        <w:t>*</w:t>
      </w:r>
      <w:r w:rsidRPr="00DF48D9">
        <w:rPr>
          <w:sz w:val="20"/>
        </w:rPr>
        <w:tab/>
      </w:r>
      <w:proofErr w:type="spellStart"/>
      <w:r w:rsidRPr="00DF48D9">
        <w:rPr>
          <w:sz w:val="20"/>
        </w:rPr>
        <w:t>Hyponatriæmi</w:t>
      </w:r>
      <w:proofErr w:type="spellEnd"/>
      <w:r w:rsidRPr="00DF48D9">
        <w:rPr>
          <w:sz w:val="20"/>
        </w:rPr>
        <w:t xml:space="preserve"> kan forårsage hovedpine, mavesmerter, kvalme, opkastninger og i alvorlige tilfælde kramper og koma.</w:t>
      </w:r>
    </w:p>
    <w:p w14:paraId="1987794A" w14:textId="77777777" w:rsidR="009C1256" w:rsidRPr="00DF48D9" w:rsidRDefault="009C1256" w:rsidP="00DF48D9">
      <w:pPr>
        <w:ind w:left="567" w:hanging="567"/>
        <w:rPr>
          <w:sz w:val="20"/>
        </w:rPr>
      </w:pPr>
      <w:r w:rsidRPr="00DF48D9">
        <w:rPr>
          <w:sz w:val="20"/>
        </w:rPr>
        <w:t>**</w:t>
      </w:r>
      <w:r w:rsidRPr="00DF48D9">
        <w:rPr>
          <w:sz w:val="20"/>
        </w:rPr>
        <w:tab/>
        <w:t>Rapporteret efter markedsføring lige ofte hos børn og unge (under 18 år).</w:t>
      </w:r>
    </w:p>
    <w:p w14:paraId="7D44DD07" w14:textId="77777777" w:rsidR="009C1256" w:rsidRPr="00DF48D9" w:rsidRDefault="009C1256" w:rsidP="00DF48D9">
      <w:pPr>
        <w:ind w:left="567" w:hanging="567"/>
        <w:rPr>
          <w:sz w:val="20"/>
        </w:rPr>
      </w:pPr>
      <w:r w:rsidRPr="00DF48D9">
        <w:rPr>
          <w:sz w:val="20"/>
        </w:rPr>
        <w:t>***</w:t>
      </w:r>
      <w:r w:rsidRPr="00DF48D9">
        <w:rPr>
          <w:sz w:val="20"/>
        </w:rPr>
        <w:tab/>
        <w:t>Rapporteret efter markedsføring, næsten udelukkende hos børn og unge (under 18 år).</w:t>
      </w:r>
    </w:p>
    <w:p w14:paraId="55E04AE1" w14:textId="77777777" w:rsidR="009C1256" w:rsidRPr="00DF48D9" w:rsidRDefault="009C1256" w:rsidP="00DF48D9">
      <w:pPr>
        <w:ind w:left="567" w:hanging="567"/>
        <w:rPr>
          <w:sz w:val="20"/>
        </w:rPr>
      </w:pPr>
      <w:r w:rsidRPr="00DF48D9">
        <w:rPr>
          <w:sz w:val="20"/>
        </w:rPr>
        <w:t>****</w:t>
      </w:r>
      <w:r w:rsidRPr="00DF48D9">
        <w:rPr>
          <w:sz w:val="20"/>
        </w:rPr>
        <w:tab/>
        <w:t>Rapporteret efter markedsføring, hovedsageligt hos børn (under 12 år).</w:t>
      </w:r>
    </w:p>
    <w:p w14:paraId="18A584F7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20EAA870" w14:textId="77777777" w:rsidR="009C1256" w:rsidRPr="00420528" w:rsidRDefault="009C1256" w:rsidP="00881296">
      <w:pPr>
        <w:ind w:left="851"/>
        <w:rPr>
          <w:i/>
          <w:iCs/>
          <w:sz w:val="24"/>
          <w:szCs w:val="24"/>
        </w:rPr>
      </w:pPr>
      <w:r w:rsidRPr="00420528">
        <w:rPr>
          <w:i/>
          <w:iCs/>
          <w:sz w:val="24"/>
          <w:szCs w:val="24"/>
        </w:rPr>
        <w:t>Særlige populationer</w:t>
      </w:r>
    </w:p>
    <w:p w14:paraId="654C86B5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r w:rsidRPr="00420528">
        <w:rPr>
          <w:spacing w:val="-3"/>
          <w:sz w:val="24"/>
          <w:szCs w:val="24"/>
        </w:rPr>
        <w:t xml:space="preserve">Ældre patienter og patienter med lavt serumnatrium kan have en øget risiko for at udvikle </w:t>
      </w:r>
      <w:proofErr w:type="spellStart"/>
      <w:r w:rsidRPr="00420528">
        <w:rPr>
          <w:spacing w:val="-3"/>
          <w:sz w:val="24"/>
          <w:szCs w:val="24"/>
        </w:rPr>
        <w:t>hyponatriæmi</w:t>
      </w:r>
      <w:proofErr w:type="spellEnd"/>
      <w:r w:rsidRPr="00420528">
        <w:rPr>
          <w:spacing w:val="-3"/>
          <w:sz w:val="24"/>
          <w:szCs w:val="24"/>
        </w:rPr>
        <w:t>, se pkt. 4.2 og 4.4.</w:t>
      </w:r>
    </w:p>
    <w:p w14:paraId="43D8CC88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</w:p>
    <w:p w14:paraId="6F2B6421" w14:textId="77777777" w:rsidR="009C1256" w:rsidRPr="00420528" w:rsidRDefault="009C1256" w:rsidP="00881296">
      <w:pPr>
        <w:ind w:left="851"/>
        <w:rPr>
          <w:sz w:val="24"/>
          <w:szCs w:val="24"/>
          <w:u w:val="single"/>
        </w:rPr>
      </w:pPr>
      <w:r w:rsidRPr="00420528">
        <w:rPr>
          <w:sz w:val="24"/>
          <w:szCs w:val="24"/>
          <w:u w:val="single"/>
        </w:rPr>
        <w:t>Beskrivelse af udvalgte bivirkninger</w:t>
      </w:r>
    </w:p>
    <w:p w14:paraId="6EAD4750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Den alvorligste bivirkning i forbindelse med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er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, hvilket kan give hovedpine, mavesmerter, kvalme, opkastninger, vægtøgning, svimmelhed, forvirring, utilpashed, </w:t>
      </w:r>
      <w:proofErr w:type="spellStart"/>
      <w:r w:rsidRPr="00420528">
        <w:rPr>
          <w:sz w:val="24"/>
          <w:szCs w:val="24"/>
        </w:rPr>
        <w:t>vertigo</w:t>
      </w:r>
      <w:proofErr w:type="spellEnd"/>
      <w:r w:rsidRPr="00420528">
        <w:rPr>
          <w:sz w:val="24"/>
          <w:szCs w:val="24"/>
        </w:rPr>
        <w:t xml:space="preserve"> og i alvorlige tilfælde kramper og koma. Årsagen til den potentielle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er den forventede antidiuretiske effekt.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er reversibel, og hos børn ses det ofte, at den forekommer i relation til ændringer i daglige rutiner, som påvirker væskeindtag og/eller svedtendens. Hos voksne forsøgspersoner behandlet for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udviklede størstedelen af de patienter, som fik lavt serumnatrium, dette efter 3 dages behandling eller i forbindelse med en dosisøgning. Hos både børn og voksne bør der udvises særlig forsigtighed, se pkt. 4.4.</w:t>
      </w:r>
    </w:p>
    <w:p w14:paraId="0895B5B0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7267CA85" w14:textId="77777777" w:rsidR="009C1256" w:rsidRPr="00420528" w:rsidRDefault="009C1256" w:rsidP="00881296">
      <w:pPr>
        <w:ind w:left="851"/>
        <w:rPr>
          <w:sz w:val="24"/>
          <w:szCs w:val="24"/>
          <w:u w:val="single"/>
        </w:rPr>
      </w:pPr>
      <w:r w:rsidRPr="00420528">
        <w:rPr>
          <w:sz w:val="24"/>
          <w:szCs w:val="24"/>
          <w:u w:val="single"/>
        </w:rPr>
        <w:t>Indberetning af formodede bivirkninger</w:t>
      </w:r>
    </w:p>
    <w:p w14:paraId="12D14941" w14:textId="1842769C" w:rsidR="009C1256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420528">
        <w:rPr>
          <w:sz w:val="24"/>
          <w:szCs w:val="24"/>
        </w:rPr>
        <w:t>risk</w:t>
      </w:r>
      <w:proofErr w:type="spellEnd"/>
      <w:r w:rsidRPr="00420528">
        <w:rPr>
          <w:sz w:val="24"/>
          <w:szCs w:val="24"/>
        </w:rPr>
        <w:t xml:space="preserve">-forholdet for lægemidlet. Sundhedspersoner anmodes om at indberette alle formodede bivirkninger via </w:t>
      </w:r>
    </w:p>
    <w:p w14:paraId="48CD00AF" w14:textId="77777777" w:rsidR="007624B8" w:rsidRPr="00420528" w:rsidRDefault="007624B8" w:rsidP="00881296">
      <w:pPr>
        <w:ind w:left="851"/>
        <w:rPr>
          <w:sz w:val="24"/>
          <w:szCs w:val="24"/>
        </w:rPr>
      </w:pPr>
    </w:p>
    <w:p w14:paraId="01F3FCB0" w14:textId="77777777" w:rsidR="009C1256" w:rsidRPr="00420528" w:rsidRDefault="009C1256" w:rsidP="00881296">
      <w:pPr>
        <w:ind w:left="851"/>
        <w:rPr>
          <w:sz w:val="24"/>
          <w:szCs w:val="24"/>
          <w:lang w:eastAsia="da-DK"/>
        </w:rPr>
      </w:pPr>
      <w:r w:rsidRPr="00420528">
        <w:rPr>
          <w:sz w:val="24"/>
          <w:szCs w:val="24"/>
        </w:rPr>
        <w:t>Lægemiddelstyrelsen</w:t>
      </w:r>
      <w:r w:rsidRPr="00420528">
        <w:rPr>
          <w:sz w:val="24"/>
          <w:szCs w:val="24"/>
        </w:rPr>
        <w:br/>
        <w:t>Axel Heides Gade 1</w:t>
      </w:r>
      <w:r w:rsidRPr="00420528">
        <w:rPr>
          <w:sz w:val="24"/>
          <w:szCs w:val="24"/>
        </w:rPr>
        <w:br/>
        <w:t>DK-2300 København S</w:t>
      </w:r>
      <w:r w:rsidRPr="00420528">
        <w:rPr>
          <w:sz w:val="24"/>
          <w:szCs w:val="24"/>
        </w:rPr>
        <w:br/>
        <w:t xml:space="preserve">Websted: </w:t>
      </w:r>
      <w:hyperlink r:id="rId8" w:history="1">
        <w:r w:rsidRPr="00420528">
          <w:rPr>
            <w:rStyle w:val="Hyperlink"/>
            <w:sz w:val="24"/>
            <w:szCs w:val="24"/>
          </w:rPr>
          <w:t>www.meldenbivirkning.dk</w:t>
        </w:r>
      </w:hyperlink>
    </w:p>
    <w:p w14:paraId="2A66FA6C" w14:textId="77777777" w:rsidR="009260DE" w:rsidRPr="00420528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4BA1B8C2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4.9</w:t>
      </w:r>
      <w:r w:rsidRPr="00420528">
        <w:rPr>
          <w:b/>
          <w:sz w:val="24"/>
          <w:szCs w:val="24"/>
        </w:rPr>
        <w:tab/>
        <w:t>Overdosering</w:t>
      </w:r>
    </w:p>
    <w:p w14:paraId="6C9C11C1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I tilfælde af alvorlig overdosering med en stor risiko for </w:t>
      </w:r>
      <w:proofErr w:type="spellStart"/>
      <w:r w:rsidRPr="00420528">
        <w:rPr>
          <w:sz w:val="24"/>
          <w:szCs w:val="24"/>
        </w:rPr>
        <w:t>vandintoksikation</w:t>
      </w:r>
      <w:proofErr w:type="spellEnd"/>
      <w:r w:rsidRPr="00420528">
        <w:rPr>
          <w:sz w:val="24"/>
          <w:szCs w:val="24"/>
        </w:rPr>
        <w:t xml:space="preserve"> er særlige tiltag nødvendige med nøje klinisk og biologisk overvågning på hospitalet.</w:t>
      </w:r>
    </w:p>
    <w:p w14:paraId="3A621B90" w14:textId="0A0C0487" w:rsidR="00312C19" w:rsidRDefault="00312C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16576F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60C8464B" w14:textId="77777777" w:rsidR="009C1256" w:rsidRPr="00420528" w:rsidRDefault="009C1256" w:rsidP="00881296">
      <w:pPr>
        <w:ind w:left="851"/>
        <w:rPr>
          <w:i/>
          <w:iCs/>
          <w:sz w:val="24"/>
          <w:szCs w:val="24"/>
        </w:rPr>
      </w:pPr>
      <w:r w:rsidRPr="00420528">
        <w:rPr>
          <w:i/>
          <w:iCs/>
          <w:sz w:val="24"/>
          <w:szCs w:val="24"/>
        </w:rPr>
        <w:t>Toksicitet</w:t>
      </w:r>
    </w:p>
    <w:p w14:paraId="7E3D830F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Overdosering af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fører til forlænget virkning med øget risiko for væskeophobning og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>.</w:t>
      </w:r>
    </w:p>
    <w:p w14:paraId="18D9D229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Selv sædvanlige doser kan medføre </w:t>
      </w:r>
      <w:proofErr w:type="spellStart"/>
      <w:r w:rsidRPr="00420528">
        <w:rPr>
          <w:sz w:val="24"/>
          <w:szCs w:val="24"/>
        </w:rPr>
        <w:t>vandintoksikation</w:t>
      </w:r>
      <w:proofErr w:type="spellEnd"/>
      <w:r w:rsidRPr="00420528">
        <w:rPr>
          <w:sz w:val="24"/>
          <w:szCs w:val="24"/>
        </w:rPr>
        <w:t xml:space="preserve"> hvis kombineret med et stort væskeindtag. Doser fra 0,3 mikrogram/kg intravenøst og 2,4 mikrogram/kg intranasalt kan, sammen med væskeindtag, resultere i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og krampeanfald hos børn og voksne. Derimod forårsagede 40 mikrogram intranasalt hos en 5 måneder gammel baby og 80 mikrogram intranasalt til et 5 år gammelt barn ingen symptomer. 4 mikrogram administreret parenteralt til et nyfødt barn forårsagede </w:t>
      </w:r>
      <w:proofErr w:type="spellStart"/>
      <w:r w:rsidRPr="00420528">
        <w:rPr>
          <w:sz w:val="24"/>
          <w:szCs w:val="24"/>
        </w:rPr>
        <w:t>oliguri</w:t>
      </w:r>
      <w:proofErr w:type="spellEnd"/>
      <w:r w:rsidRPr="00420528">
        <w:rPr>
          <w:sz w:val="24"/>
          <w:szCs w:val="24"/>
        </w:rPr>
        <w:t xml:space="preserve"> og vægtstigning.</w:t>
      </w:r>
    </w:p>
    <w:p w14:paraId="77601E2C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3D726F6D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i/>
          <w:iCs/>
          <w:sz w:val="24"/>
          <w:szCs w:val="24"/>
        </w:rPr>
        <w:t>Symptomer</w:t>
      </w:r>
    </w:p>
    <w:p w14:paraId="6A2982BC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En overdosis af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kan medføre øget risiko for væskeophobning med symptomer såsom hovedpine, kvalme,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, </w:t>
      </w:r>
      <w:proofErr w:type="spellStart"/>
      <w:r w:rsidRPr="00420528">
        <w:rPr>
          <w:sz w:val="24"/>
          <w:szCs w:val="24"/>
        </w:rPr>
        <w:t>hypoosmolalitet</w:t>
      </w:r>
      <w:proofErr w:type="spellEnd"/>
      <w:r w:rsidRPr="00420528">
        <w:rPr>
          <w:sz w:val="24"/>
          <w:szCs w:val="24"/>
        </w:rPr>
        <w:t xml:space="preserve">, </w:t>
      </w:r>
      <w:proofErr w:type="spellStart"/>
      <w:r w:rsidRPr="00420528">
        <w:rPr>
          <w:sz w:val="24"/>
          <w:szCs w:val="24"/>
        </w:rPr>
        <w:t>oliguri</w:t>
      </w:r>
      <w:proofErr w:type="spellEnd"/>
      <w:r w:rsidRPr="00420528">
        <w:rPr>
          <w:sz w:val="24"/>
          <w:szCs w:val="24"/>
        </w:rPr>
        <w:t xml:space="preserve">, CNS-depression, krampeanfald, </w:t>
      </w:r>
      <w:proofErr w:type="spellStart"/>
      <w:r w:rsidRPr="00420528">
        <w:rPr>
          <w:sz w:val="24"/>
          <w:szCs w:val="24"/>
        </w:rPr>
        <w:t>pulmonært</w:t>
      </w:r>
      <w:proofErr w:type="spellEnd"/>
      <w:r w:rsidRPr="00420528">
        <w:rPr>
          <w:sz w:val="24"/>
          <w:szCs w:val="24"/>
        </w:rPr>
        <w:t xml:space="preserve"> ødem. Se også pkt. 4.8.</w:t>
      </w:r>
    </w:p>
    <w:p w14:paraId="558953D7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10624E61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i/>
          <w:iCs/>
          <w:sz w:val="24"/>
          <w:szCs w:val="24"/>
        </w:rPr>
        <w:t>Behandling</w:t>
      </w:r>
    </w:p>
    <w:p w14:paraId="2665889A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Selv om behandling af </w:t>
      </w:r>
      <w:proofErr w:type="spellStart"/>
      <w:r w:rsidRPr="00420528">
        <w:rPr>
          <w:sz w:val="24"/>
          <w:szCs w:val="24"/>
        </w:rPr>
        <w:t>hyponatriæmi</w:t>
      </w:r>
      <w:proofErr w:type="spellEnd"/>
      <w:r w:rsidRPr="00420528">
        <w:rPr>
          <w:sz w:val="24"/>
          <w:szCs w:val="24"/>
        </w:rPr>
        <w:t xml:space="preserve"> bør individualiseres, kan følgende generelle anbefalinger gives:</w:t>
      </w:r>
    </w:p>
    <w:p w14:paraId="2036399D" w14:textId="77777777" w:rsidR="009C1256" w:rsidRPr="007624B8" w:rsidRDefault="009C1256" w:rsidP="007624B8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proofErr w:type="spellStart"/>
      <w:r w:rsidRPr="007624B8">
        <w:rPr>
          <w:sz w:val="24"/>
          <w:szCs w:val="24"/>
        </w:rPr>
        <w:t>Hyponatriæmi</w:t>
      </w:r>
      <w:proofErr w:type="spellEnd"/>
      <w:r w:rsidRPr="007624B8">
        <w:rPr>
          <w:sz w:val="24"/>
          <w:szCs w:val="24"/>
        </w:rPr>
        <w:t xml:space="preserve"> behandles ved at seponere </w:t>
      </w:r>
      <w:proofErr w:type="spellStart"/>
      <w:r w:rsidRPr="007624B8">
        <w:rPr>
          <w:sz w:val="24"/>
          <w:szCs w:val="24"/>
        </w:rPr>
        <w:t>desmopressinbehandlingen</w:t>
      </w:r>
      <w:proofErr w:type="spellEnd"/>
      <w:r w:rsidRPr="007624B8">
        <w:rPr>
          <w:sz w:val="24"/>
          <w:szCs w:val="24"/>
        </w:rPr>
        <w:t xml:space="preserve"> og begrænse væskeindtaget.</w:t>
      </w:r>
    </w:p>
    <w:p w14:paraId="5B4D0251" w14:textId="77777777" w:rsidR="009C1256" w:rsidRPr="007624B8" w:rsidRDefault="009C1256" w:rsidP="007624B8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7624B8">
        <w:rPr>
          <w:sz w:val="24"/>
          <w:szCs w:val="24"/>
        </w:rPr>
        <w:t xml:space="preserve">Hvis patienten har symptomer, kan der gives infusion med isotonisk eller </w:t>
      </w:r>
      <w:proofErr w:type="spellStart"/>
      <w:r w:rsidRPr="007624B8">
        <w:rPr>
          <w:sz w:val="24"/>
          <w:szCs w:val="24"/>
        </w:rPr>
        <w:t>hypertonisk</w:t>
      </w:r>
      <w:proofErr w:type="spellEnd"/>
      <w:r w:rsidRPr="007624B8">
        <w:rPr>
          <w:sz w:val="24"/>
          <w:szCs w:val="24"/>
        </w:rPr>
        <w:t xml:space="preserve"> </w:t>
      </w:r>
      <w:proofErr w:type="spellStart"/>
      <w:r w:rsidRPr="007624B8">
        <w:rPr>
          <w:sz w:val="24"/>
          <w:szCs w:val="24"/>
        </w:rPr>
        <w:t>natriumchlorid</w:t>
      </w:r>
      <w:proofErr w:type="spellEnd"/>
      <w:r w:rsidRPr="007624B8">
        <w:rPr>
          <w:sz w:val="24"/>
          <w:szCs w:val="24"/>
        </w:rPr>
        <w:t>.</w:t>
      </w:r>
    </w:p>
    <w:p w14:paraId="345EC5CD" w14:textId="77777777" w:rsidR="009C1256" w:rsidRPr="007624B8" w:rsidRDefault="009C1256" w:rsidP="007624B8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7624B8">
        <w:rPr>
          <w:sz w:val="24"/>
          <w:szCs w:val="24"/>
        </w:rPr>
        <w:t xml:space="preserve">Alvorlig væskeophobning (krampeanfald og bevidstløshed) behandles med </w:t>
      </w:r>
      <w:proofErr w:type="spellStart"/>
      <w:r w:rsidRPr="007624B8">
        <w:rPr>
          <w:sz w:val="24"/>
          <w:szCs w:val="24"/>
        </w:rPr>
        <w:t>furosemid</w:t>
      </w:r>
      <w:proofErr w:type="spellEnd"/>
      <w:r w:rsidRPr="007624B8">
        <w:rPr>
          <w:sz w:val="24"/>
          <w:szCs w:val="24"/>
        </w:rPr>
        <w:t>.</w:t>
      </w:r>
    </w:p>
    <w:p w14:paraId="40935FFB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D5EC62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4.10</w:t>
      </w:r>
      <w:r w:rsidRPr="00420528">
        <w:rPr>
          <w:b/>
          <w:sz w:val="24"/>
          <w:szCs w:val="24"/>
        </w:rPr>
        <w:tab/>
        <w:t>Udlevering</w:t>
      </w:r>
    </w:p>
    <w:p w14:paraId="59DA6163" w14:textId="4FAA4A7F" w:rsidR="009260DE" w:rsidRPr="00420528" w:rsidRDefault="00881296" w:rsidP="009260DE">
      <w:pPr>
        <w:tabs>
          <w:tab w:val="left" w:pos="851"/>
        </w:tabs>
        <w:ind w:left="851"/>
        <w:rPr>
          <w:sz w:val="24"/>
          <w:szCs w:val="24"/>
        </w:rPr>
      </w:pPr>
      <w:r w:rsidRPr="00420528">
        <w:rPr>
          <w:sz w:val="24"/>
          <w:szCs w:val="24"/>
        </w:rPr>
        <w:t>B</w:t>
      </w:r>
    </w:p>
    <w:p w14:paraId="29D7017C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60C8D1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04BA70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5.</w:t>
      </w:r>
      <w:r w:rsidRPr="00420528">
        <w:rPr>
          <w:b/>
          <w:sz w:val="24"/>
          <w:szCs w:val="24"/>
        </w:rPr>
        <w:tab/>
        <w:t>FARMAKOLOGISKE EGENSKABER</w:t>
      </w:r>
    </w:p>
    <w:p w14:paraId="74714396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3AB6B9" w14:textId="77777777" w:rsidR="009260DE" w:rsidRPr="00420528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5.1</w:t>
      </w:r>
      <w:r w:rsidRPr="00420528">
        <w:rPr>
          <w:b/>
          <w:sz w:val="24"/>
          <w:szCs w:val="24"/>
        </w:rPr>
        <w:tab/>
      </w:r>
      <w:proofErr w:type="spellStart"/>
      <w:r w:rsidRPr="00420528">
        <w:rPr>
          <w:b/>
          <w:sz w:val="24"/>
          <w:szCs w:val="24"/>
        </w:rPr>
        <w:t>Farmakodynamiske</w:t>
      </w:r>
      <w:proofErr w:type="spellEnd"/>
      <w:r w:rsidRPr="00420528">
        <w:rPr>
          <w:b/>
          <w:sz w:val="24"/>
          <w:szCs w:val="24"/>
        </w:rPr>
        <w:t xml:space="preserve"> egenskaber</w:t>
      </w:r>
    </w:p>
    <w:p w14:paraId="4B74AF18" w14:textId="0300C9DF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proofErr w:type="spellStart"/>
      <w:r w:rsidRPr="00420528">
        <w:rPr>
          <w:sz w:val="24"/>
          <w:szCs w:val="24"/>
        </w:rPr>
        <w:t>Farmakoterapeutisk</w:t>
      </w:r>
      <w:proofErr w:type="spellEnd"/>
      <w:r w:rsidRPr="00420528">
        <w:rPr>
          <w:sz w:val="24"/>
          <w:szCs w:val="24"/>
        </w:rPr>
        <w:t xml:space="preserve"> klassifikation: Hypofysebaglap-hormoner og </w:t>
      </w:r>
      <w:proofErr w:type="spellStart"/>
      <w:r w:rsidRPr="00420528">
        <w:rPr>
          <w:sz w:val="24"/>
          <w:szCs w:val="24"/>
        </w:rPr>
        <w:t>analoger</w:t>
      </w:r>
      <w:proofErr w:type="spellEnd"/>
      <w:r w:rsidRPr="00420528">
        <w:rPr>
          <w:sz w:val="24"/>
          <w:szCs w:val="24"/>
        </w:rPr>
        <w:t xml:space="preserve">, </w:t>
      </w:r>
      <w:proofErr w:type="spellStart"/>
      <w:r w:rsidRPr="00420528">
        <w:rPr>
          <w:sz w:val="24"/>
          <w:szCs w:val="24"/>
        </w:rPr>
        <w:t>vasopressin</w:t>
      </w:r>
      <w:proofErr w:type="spellEnd"/>
      <w:r w:rsidRPr="00420528">
        <w:rPr>
          <w:sz w:val="24"/>
          <w:szCs w:val="24"/>
        </w:rPr>
        <w:t xml:space="preserve"> og </w:t>
      </w:r>
      <w:proofErr w:type="spellStart"/>
      <w:r w:rsidRPr="00420528">
        <w:rPr>
          <w:sz w:val="24"/>
          <w:szCs w:val="24"/>
        </w:rPr>
        <w:t>analoger</w:t>
      </w:r>
      <w:proofErr w:type="spellEnd"/>
      <w:r w:rsidR="007624B8">
        <w:rPr>
          <w:sz w:val="24"/>
          <w:szCs w:val="24"/>
        </w:rPr>
        <w:t>, A</w:t>
      </w:r>
      <w:r w:rsidRPr="00420528">
        <w:rPr>
          <w:sz w:val="24"/>
          <w:szCs w:val="24"/>
        </w:rPr>
        <w:t>TC-kode: H01BA02.</w:t>
      </w:r>
    </w:p>
    <w:p w14:paraId="566E11C5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</w:p>
    <w:p w14:paraId="57AC9B8A" w14:textId="4D05DE7A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proofErr w:type="spellStart"/>
      <w:r w:rsidRPr="00420528">
        <w:rPr>
          <w:spacing w:val="-3"/>
          <w:sz w:val="24"/>
          <w:szCs w:val="24"/>
        </w:rPr>
        <w:t>Desmopressin</w:t>
      </w:r>
      <w:proofErr w:type="spellEnd"/>
      <w:r w:rsidRPr="00420528">
        <w:rPr>
          <w:spacing w:val="-3"/>
          <w:sz w:val="24"/>
          <w:szCs w:val="24"/>
        </w:rPr>
        <w:t xml:space="preserve"> </w:t>
      </w:r>
      <w:r w:rsidR="00420528">
        <w:rPr>
          <w:spacing w:val="-3"/>
          <w:sz w:val="24"/>
          <w:szCs w:val="24"/>
        </w:rPr>
        <w:t>"</w:t>
      </w:r>
      <w:proofErr w:type="spellStart"/>
      <w:r w:rsidR="00420528">
        <w:rPr>
          <w:spacing w:val="-3"/>
          <w:sz w:val="24"/>
          <w:szCs w:val="24"/>
        </w:rPr>
        <w:t>Teva</w:t>
      </w:r>
      <w:proofErr w:type="spellEnd"/>
      <w:r w:rsidR="00420528">
        <w:rPr>
          <w:spacing w:val="-3"/>
          <w:sz w:val="24"/>
          <w:szCs w:val="24"/>
        </w:rPr>
        <w:t xml:space="preserve"> B.V."</w:t>
      </w:r>
      <w:r w:rsidRPr="00420528">
        <w:rPr>
          <w:spacing w:val="-3"/>
          <w:sz w:val="24"/>
          <w:szCs w:val="24"/>
        </w:rPr>
        <w:t xml:space="preserve"> indeholder </w:t>
      </w:r>
      <w:proofErr w:type="spellStart"/>
      <w:r w:rsidRPr="00420528">
        <w:rPr>
          <w:spacing w:val="-3"/>
          <w:sz w:val="24"/>
          <w:szCs w:val="24"/>
        </w:rPr>
        <w:t>desmopressin</w:t>
      </w:r>
      <w:proofErr w:type="spellEnd"/>
      <w:r w:rsidRPr="00420528">
        <w:rPr>
          <w:spacing w:val="-3"/>
          <w:sz w:val="24"/>
          <w:szCs w:val="24"/>
        </w:rPr>
        <w:t xml:space="preserve">, som er en strukturel analog til det naturlige antidiuretiske hormon </w:t>
      </w:r>
      <w:proofErr w:type="spellStart"/>
      <w:r w:rsidRPr="00420528">
        <w:rPr>
          <w:spacing w:val="-3"/>
          <w:sz w:val="24"/>
          <w:szCs w:val="24"/>
        </w:rPr>
        <w:t>vasopressin</w:t>
      </w:r>
      <w:proofErr w:type="spellEnd"/>
      <w:r w:rsidRPr="00420528">
        <w:rPr>
          <w:spacing w:val="-3"/>
          <w:sz w:val="24"/>
          <w:szCs w:val="24"/>
        </w:rPr>
        <w:t xml:space="preserve">. </w:t>
      </w:r>
    </w:p>
    <w:p w14:paraId="13D7E955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</w:p>
    <w:p w14:paraId="5D1F2071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r w:rsidRPr="00420528">
        <w:rPr>
          <w:spacing w:val="-3"/>
          <w:sz w:val="24"/>
          <w:szCs w:val="24"/>
        </w:rPr>
        <w:t xml:space="preserve">Det afviger herfra ved, at aminogruppen i </w:t>
      </w:r>
      <w:proofErr w:type="spellStart"/>
      <w:r w:rsidRPr="00420528">
        <w:rPr>
          <w:spacing w:val="-3"/>
          <w:sz w:val="24"/>
          <w:szCs w:val="24"/>
        </w:rPr>
        <w:t>cystin</w:t>
      </w:r>
      <w:proofErr w:type="spellEnd"/>
      <w:r w:rsidRPr="00420528">
        <w:rPr>
          <w:spacing w:val="-3"/>
          <w:sz w:val="24"/>
          <w:szCs w:val="24"/>
        </w:rPr>
        <w:t xml:space="preserve"> er fjernet, og L-</w:t>
      </w:r>
      <w:proofErr w:type="spellStart"/>
      <w:r w:rsidRPr="00420528">
        <w:rPr>
          <w:spacing w:val="-3"/>
          <w:sz w:val="24"/>
          <w:szCs w:val="24"/>
        </w:rPr>
        <w:t>arginin</w:t>
      </w:r>
      <w:proofErr w:type="spellEnd"/>
      <w:r w:rsidRPr="00420528">
        <w:rPr>
          <w:spacing w:val="-3"/>
          <w:sz w:val="24"/>
          <w:szCs w:val="24"/>
        </w:rPr>
        <w:t xml:space="preserve"> er erstattet af D-</w:t>
      </w:r>
      <w:proofErr w:type="spellStart"/>
      <w:r w:rsidRPr="00420528">
        <w:rPr>
          <w:spacing w:val="-3"/>
          <w:sz w:val="24"/>
          <w:szCs w:val="24"/>
        </w:rPr>
        <w:t>arginin</w:t>
      </w:r>
      <w:proofErr w:type="spellEnd"/>
      <w:r w:rsidRPr="00420528">
        <w:rPr>
          <w:spacing w:val="-3"/>
          <w:sz w:val="24"/>
          <w:szCs w:val="24"/>
        </w:rPr>
        <w:t xml:space="preserve">. Dette resulterer i signifikant forlænget virkning og en komplet mangel på </w:t>
      </w:r>
      <w:proofErr w:type="spellStart"/>
      <w:r w:rsidRPr="00420528">
        <w:rPr>
          <w:spacing w:val="-3"/>
          <w:sz w:val="24"/>
          <w:szCs w:val="24"/>
        </w:rPr>
        <w:t>pressoreffekt</w:t>
      </w:r>
      <w:proofErr w:type="spellEnd"/>
      <w:r w:rsidRPr="00420528">
        <w:rPr>
          <w:spacing w:val="-3"/>
          <w:sz w:val="24"/>
          <w:szCs w:val="24"/>
        </w:rPr>
        <w:t xml:space="preserve"> ved klinisk dosering.</w:t>
      </w:r>
    </w:p>
    <w:p w14:paraId="0E2C8298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</w:p>
    <w:p w14:paraId="5C9AB824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r w:rsidRPr="00420528">
        <w:rPr>
          <w:spacing w:val="-3"/>
          <w:sz w:val="24"/>
          <w:szCs w:val="24"/>
        </w:rPr>
        <w:t xml:space="preserve">Sammenlignet med det naturlige hormon karakteriseres </w:t>
      </w:r>
      <w:proofErr w:type="spellStart"/>
      <w:r w:rsidRPr="00420528">
        <w:rPr>
          <w:spacing w:val="-3"/>
          <w:sz w:val="24"/>
          <w:szCs w:val="24"/>
        </w:rPr>
        <w:t>desmopressin</w:t>
      </w:r>
      <w:proofErr w:type="spellEnd"/>
      <w:r w:rsidRPr="00420528">
        <w:rPr>
          <w:spacing w:val="-3"/>
          <w:sz w:val="24"/>
          <w:szCs w:val="24"/>
        </w:rPr>
        <w:t xml:space="preserve"> ved en øget og forlænget antidiuretisk aktivitet, mens dets </w:t>
      </w:r>
      <w:proofErr w:type="spellStart"/>
      <w:r w:rsidRPr="00420528">
        <w:rPr>
          <w:spacing w:val="-3"/>
          <w:sz w:val="24"/>
          <w:szCs w:val="24"/>
        </w:rPr>
        <w:t>vasopressoriske</w:t>
      </w:r>
      <w:proofErr w:type="spellEnd"/>
      <w:r w:rsidRPr="00420528">
        <w:rPr>
          <w:spacing w:val="-3"/>
          <w:sz w:val="24"/>
          <w:szCs w:val="24"/>
        </w:rPr>
        <w:t xml:space="preserve"> aktivitet er meget reduceret. </w:t>
      </w:r>
      <w:proofErr w:type="spellStart"/>
      <w:r w:rsidRPr="00420528">
        <w:rPr>
          <w:spacing w:val="-3"/>
          <w:sz w:val="24"/>
          <w:szCs w:val="24"/>
        </w:rPr>
        <w:t>Desmopressin</w:t>
      </w:r>
      <w:proofErr w:type="spellEnd"/>
      <w:r w:rsidRPr="00420528">
        <w:rPr>
          <w:spacing w:val="-3"/>
          <w:sz w:val="24"/>
          <w:szCs w:val="24"/>
        </w:rPr>
        <w:t xml:space="preserve"> virker som en selektiv agonist ved </w:t>
      </w:r>
      <w:proofErr w:type="spellStart"/>
      <w:r w:rsidRPr="00420528">
        <w:rPr>
          <w:spacing w:val="-3"/>
          <w:sz w:val="24"/>
          <w:szCs w:val="24"/>
        </w:rPr>
        <w:t>vasopressin</w:t>
      </w:r>
      <w:proofErr w:type="spellEnd"/>
      <w:r w:rsidRPr="00420528">
        <w:rPr>
          <w:spacing w:val="-3"/>
          <w:sz w:val="24"/>
          <w:szCs w:val="24"/>
        </w:rPr>
        <w:t xml:space="preserve"> V2-receptorer, som er lokaliseret primært i samlerørene i nyren. Oral administration af en dosis på 0,1-0,2 mg </w:t>
      </w:r>
      <w:proofErr w:type="spellStart"/>
      <w:r w:rsidRPr="00420528">
        <w:rPr>
          <w:spacing w:val="-3"/>
          <w:sz w:val="24"/>
          <w:szCs w:val="24"/>
        </w:rPr>
        <w:t>desmopressin</w:t>
      </w:r>
      <w:proofErr w:type="spellEnd"/>
      <w:r w:rsidRPr="00420528">
        <w:rPr>
          <w:spacing w:val="-3"/>
          <w:sz w:val="24"/>
          <w:szCs w:val="24"/>
        </w:rPr>
        <w:t xml:space="preserve"> som tablet (svarende til 60 mikrogram og 120 mikrogram oralt </w:t>
      </w:r>
      <w:proofErr w:type="spellStart"/>
      <w:r w:rsidRPr="00420528">
        <w:rPr>
          <w:spacing w:val="-3"/>
          <w:sz w:val="24"/>
          <w:szCs w:val="24"/>
        </w:rPr>
        <w:t>lyofilisat</w:t>
      </w:r>
      <w:proofErr w:type="spellEnd"/>
      <w:r w:rsidRPr="00420528">
        <w:rPr>
          <w:spacing w:val="-3"/>
          <w:sz w:val="24"/>
          <w:szCs w:val="24"/>
        </w:rPr>
        <w:t xml:space="preserve">) forårsager en antidiuretisk effekt, som varer i ca. 8 timer med signifikante </w:t>
      </w:r>
      <w:proofErr w:type="spellStart"/>
      <w:r w:rsidRPr="00420528">
        <w:rPr>
          <w:spacing w:val="-3"/>
          <w:sz w:val="24"/>
          <w:szCs w:val="24"/>
        </w:rPr>
        <w:t>interindividuelle</w:t>
      </w:r>
      <w:proofErr w:type="spellEnd"/>
      <w:r w:rsidRPr="00420528">
        <w:rPr>
          <w:spacing w:val="-3"/>
          <w:sz w:val="24"/>
          <w:szCs w:val="24"/>
        </w:rPr>
        <w:t xml:space="preserve"> variationer.</w:t>
      </w:r>
    </w:p>
    <w:p w14:paraId="36971C63" w14:textId="77777777" w:rsidR="009C1256" w:rsidRPr="00420528" w:rsidRDefault="009C1256" w:rsidP="00881296">
      <w:pPr>
        <w:ind w:left="851"/>
        <w:rPr>
          <w:sz w:val="24"/>
          <w:szCs w:val="24"/>
          <w:highlight w:val="yellow"/>
        </w:rPr>
      </w:pPr>
    </w:p>
    <w:p w14:paraId="5E28DD9A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Kliniske studier med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-tabletter til behandling af </w:t>
      </w:r>
      <w:proofErr w:type="spellStart"/>
      <w:r w:rsidRPr="00420528">
        <w:rPr>
          <w:sz w:val="24"/>
          <w:szCs w:val="24"/>
        </w:rPr>
        <w:t>nykturi</w:t>
      </w:r>
      <w:proofErr w:type="spellEnd"/>
      <w:r w:rsidRPr="00420528">
        <w:rPr>
          <w:sz w:val="24"/>
          <w:szCs w:val="24"/>
        </w:rPr>
        <w:t xml:space="preserve"> viste følgende:</w:t>
      </w:r>
    </w:p>
    <w:p w14:paraId="60CA3C67" w14:textId="77777777" w:rsidR="009C1256" w:rsidRPr="007624B8" w:rsidRDefault="009C1256" w:rsidP="00312C19">
      <w:pPr>
        <w:pStyle w:val="Listeafsnit"/>
        <w:numPr>
          <w:ilvl w:val="0"/>
          <w:numId w:val="17"/>
        </w:numPr>
        <w:ind w:left="1134" w:hanging="283"/>
        <w:rPr>
          <w:spacing w:val="-3"/>
          <w:sz w:val="24"/>
          <w:szCs w:val="24"/>
        </w:rPr>
      </w:pPr>
      <w:r w:rsidRPr="007624B8">
        <w:rPr>
          <w:spacing w:val="-3"/>
          <w:sz w:val="24"/>
          <w:szCs w:val="24"/>
        </w:rPr>
        <w:lastRenderedPageBreak/>
        <w:t xml:space="preserve">39 % af patienterne i </w:t>
      </w:r>
      <w:proofErr w:type="spellStart"/>
      <w:r w:rsidRPr="007624B8">
        <w:rPr>
          <w:spacing w:val="-3"/>
          <w:sz w:val="24"/>
          <w:szCs w:val="24"/>
        </w:rPr>
        <w:t>desmopressingruppen</w:t>
      </w:r>
      <w:proofErr w:type="spellEnd"/>
      <w:r w:rsidRPr="007624B8">
        <w:rPr>
          <w:spacing w:val="-3"/>
          <w:sz w:val="24"/>
          <w:szCs w:val="24"/>
        </w:rPr>
        <w:t xml:space="preserve"> opnåede en gennemsnitlig reduktion af natlige toiletbesøg på mindst 50 %. Tilsvarende reduktion for patienterne i placebobehandling var 5 % (p&lt; 0,0001).</w:t>
      </w:r>
    </w:p>
    <w:p w14:paraId="497C24FE" w14:textId="1461BDAC" w:rsidR="009C1256" w:rsidRPr="007624B8" w:rsidRDefault="009C1256" w:rsidP="00312C19">
      <w:pPr>
        <w:pStyle w:val="Listeafsnit"/>
        <w:numPr>
          <w:ilvl w:val="0"/>
          <w:numId w:val="17"/>
        </w:numPr>
        <w:ind w:left="1134" w:hanging="283"/>
        <w:rPr>
          <w:spacing w:val="-3"/>
          <w:sz w:val="24"/>
          <w:szCs w:val="24"/>
        </w:rPr>
      </w:pPr>
      <w:r w:rsidRPr="007624B8">
        <w:rPr>
          <w:spacing w:val="-3"/>
          <w:sz w:val="24"/>
          <w:szCs w:val="24"/>
        </w:rPr>
        <w:t xml:space="preserve">Det gennemsnitlige antal natlige toiletbesøg blev reduceret med 44 % i </w:t>
      </w:r>
      <w:proofErr w:type="spellStart"/>
      <w:r w:rsidRPr="007624B8">
        <w:rPr>
          <w:spacing w:val="-3"/>
          <w:sz w:val="24"/>
          <w:szCs w:val="24"/>
        </w:rPr>
        <w:t>desmopressin</w:t>
      </w:r>
      <w:r w:rsidR="00312C19">
        <w:rPr>
          <w:spacing w:val="-3"/>
          <w:sz w:val="24"/>
          <w:szCs w:val="24"/>
        </w:rPr>
        <w:softHyphen/>
      </w:r>
      <w:r w:rsidR="00312C19">
        <w:rPr>
          <w:spacing w:val="-3"/>
          <w:sz w:val="24"/>
          <w:szCs w:val="24"/>
        </w:rPr>
        <w:softHyphen/>
        <w:t>g</w:t>
      </w:r>
      <w:r w:rsidRPr="007624B8">
        <w:rPr>
          <w:spacing w:val="-3"/>
          <w:sz w:val="24"/>
          <w:szCs w:val="24"/>
        </w:rPr>
        <w:t>ruppen</w:t>
      </w:r>
      <w:proofErr w:type="spellEnd"/>
      <w:r w:rsidRPr="007624B8">
        <w:rPr>
          <w:spacing w:val="-3"/>
          <w:sz w:val="24"/>
          <w:szCs w:val="24"/>
        </w:rPr>
        <w:t xml:space="preserve"> sammenlignet med 15 % i placebogruppen (p&lt; 0,0001).</w:t>
      </w:r>
    </w:p>
    <w:p w14:paraId="3AA3FB7E" w14:textId="77777777" w:rsidR="009C1256" w:rsidRPr="007624B8" w:rsidRDefault="009C1256" w:rsidP="00312C19">
      <w:pPr>
        <w:pStyle w:val="Listeafsnit"/>
        <w:numPr>
          <w:ilvl w:val="0"/>
          <w:numId w:val="17"/>
        </w:numPr>
        <w:ind w:left="1134" w:hanging="283"/>
        <w:rPr>
          <w:spacing w:val="-3"/>
          <w:sz w:val="24"/>
          <w:szCs w:val="24"/>
        </w:rPr>
      </w:pPr>
      <w:r w:rsidRPr="007624B8">
        <w:rPr>
          <w:spacing w:val="-3"/>
          <w:sz w:val="24"/>
          <w:szCs w:val="24"/>
        </w:rPr>
        <w:t xml:space="preserve">Middelvarigheden af den første uforstyrrede søvnperiode øgedes med 64 % i </w:t>
      </w:r>
      <w:proofErr w:type="spellStart"/>
      <w:r w:rsidRPr="007624B8">
        <w:rPr>
          <w:spacing w:val="-3"/>
          <w:sz w:val="24"/>
          <w:szCs w:val="24"/>
        </w:rPr>
        <w:t>desmopressingruppen</w:t>
      </w:r>
      <w:proofErr w:type="spellEnd"/>
      <w:r w:rsidRPr="007624B8">
        <w:rPr>
          <w:spacing w:val="-3"/>
          <w:sz w:val="24"/>
          <w:szCs w:val="24"/>
        </w:rPr>
        <w:t xml:space="preserve"> sammenlignet med 20 % i placebogruppen (p&lt; 0,0001).</w:t>
      </w:r>
    </w:p>
    <w:p w14:paraId="3FF3D4BC" w14:textId="77777777" w:rsidR="009C1256" w:rsidRPr="007624B8" w:rsidRDefault="009C1256" w:rsidP="00312C19">
      <w:pPr>
        <w:pStyle w:val="Listeafsnit"/>
        <w:numPr>
          <w:ilvl w:val="0"/>
          <w:numId w:val="17"/>
        </w:numPr>
        <w:ind w:left="1134" w:hanging="283"/>
        <w:rPr>
          <w:spacing w:val="-3"/>
          <w:sz w:val="24"/>
          <w:szCs w:val="24"/>
        </w:rPr>
      </w:pPr>
      <w:r w:rsidRPr="007624B8">
        <w:rPr>
          <w:spacing w:val="-3"/>
          <w:sz w:val="24"/>
          <w:szCs w:val="24"/>
        </w:rPr>
        <w:t xml:space="preserve">Den gennemsnitlige varighed af den første uforstyrrede søvnperiode steg med to timer i </w:t>
      </w:r>
      <w:proofErr w:type="spellStart"/>
      <w:r w:rsidRPr="007624B8">
        <w:rPr>
          <w:spacing w:val="-3"/>
          <w:sz w:val="24"/>
          <w:szCs w:val="24"/>
        </w:rPr>
        <w:t>desmopressingruppen</w:t>
      </w:r>
      <w:proofErr w:type="spellEnd"/>
      <w:r w:rsidRPr="007624B8">
        <w:rPr>
          <w:spacing w:val="-3"/>
          <w:sz w:val="24"/>
          <w:szCs w:val="24"/>
        </w:rPr>
        <w:t xml:space="preserve"> sammenlignet med 31 minutter i placebogruppen (p&lt; 0,0001).</w:t>
      </w:r>
    </w:p>
    <w:p w14:paraId="08350079" w14:textId="77777777" w:rsidR="009C1256" w:rsidRPr="007624B8" w:rsidRDefault="009C1256" w:rsidP="00881296">
      <w:pPr>
        <w:ind w:left="851"/>
        <w:rPr>
          <w:spacing w:val="-3"/>
          <w:sz w:val="24"/>
          <w:szCs w:val="24"/>
          <w:lang w:eastAsia="en-GB"/>
        </w:rPr>
      </w:pPr>
    </w:p>
    <w:p w14:paraId="745FE311" w14:textId="4F1A03D5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8 % af de 448 patienter ophørte med behandling pga. bivirkninger i dosistitreringsfasen og 2 % af de 295 patienter i den efterfølgende dobbeltblinde periode (0,63 % i </w:t>
      </w:r>
      <w:proofErr w:type="spellStart"/>
      <w:r w:rsidRPr="00420528">
        <w:rPr>
          <w:sz w:val="24"/>
          <w:szCs w:val="24"/>
        </w:rPr>
        <w:t>desmopressingruppen</w:t>
      </w:r>
      <w:proofErr w:type="spellEnd"/>
      <w:r w:rsidRPr="00420528">
        <w:rPr>
          <w:sz w:val="24"/>
          <w:szCs w:val="24"/>
        </w:rPr>
        <w:t xml:space="preserve"> og 1,45 % i placebogruppen).</w:t>
      </w:r>
    </w:p>
    <w:p w14:paraId="439F92DD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D204F8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5.2</w:t>
      </w:r>
      <w:r w:rsidRPr="00420528">
        <w:rPr>
          <w:b/>
          <w:sz w:val="24"/>
          <w:szCs w:val="24"/>
        </w:rPr>
        <w:tab/>
      </w:r>
      <w:proofErr w:type="spellStart"/>
      <w:r w:rsidRPr="00420528">
        <w:rPr>
          <w:b/>
          <w:sz w:val="24"/>
          <w:szCs w:val="24"/>
        </w:rPr>
        <w:t>Farmakokinetiske</w:t>
      </w:r>
      <w:proofErr w:type="spellEnd"/>
      <w:r w:rsidRPr="00420528">
        <w:rPr>
          <w:b/>
          <w:sz w:val="24"/>
          <w:szCs w:val="24"/>
        </w:rPr>
        <w:t xml:space="preserve"> egenskaber</w:t>
      </w:r>
    </w:p>
    <w:p w14:paraId="2AC472D4" w14:textId="77777777" w:rsidR="007624B8" w:rsidRDefault="007624B8" w:rsidP="00881296">
      <w:pPr>
        <w:ind w:left="851"/>
        <w:rPr>
          <w:sz w:val="24"/>
          <w:szCs w:val="24"/>
        </w:rPr>
      </w:pPr>
    </w:p>
    <w:p w14:paraId="7FBFEBB0" w14:textId="3411D27A" w:rsidR="009C1256" w:rsidRPr="007624B8" w:rsidRDefault="009C1256" w:rsidP="00881296">
      <w:pPr>
        <w:ind w:left="851"/>
        <w:rPr>
          <w:i/>
          <w:sz w:val="24"/>
          <w:szCs w:val="24"/>
        </w:rPr>
      </w:pPr>
      <w:r w:rsidRPr="007624B8">
        <w:rPr>
          <w:i/>
          <w:sz w:val="24"/>
          <w:szCs w:val="24"/>
        </w:rPr>
        <w:t>Absorption</w:t>
      </w:r>
    </w:p>
    <w:p w14:paraId="00C1BBEC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Samtidigt indtag af mad er ikke undersøgt med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frysetørrede tabletter, men indtag af mad med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-tabletter reducerer absorptionshastigheden og -graden med 40 %.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viser en moderat til høj variation i biotilgængelighed, både i og mellem individer. </w:t>
      </w:r>
      <w:proofErr w:type="spellStart"/>
      <w:r w:rsidRPr="00420528">
        <w:rPr>
          <w:sz w:val="24"/>
          <w:szCs w:val="24"/>
        </w:rPr>
        <w:t>Desmopressins</w:t>
      </w:r>
      <w:proofErr w:type="spellEnd"/>
      <w:r w:rsidRPr="00420528">
        <w:rPr>
          <w:sz w:val="24"/>
          <w:szCs w:val="24"/>
        </w:rPr>
        <w:t xml:space="preserve"> plasmakoncentration øges proportionelt med den administrerede dosis, og efter administration af doser på 200, 400 og 800 mikrogram, var </w:t>
      </w:r>
      <w:proofErr w:type="spellStart"/>
      <w:r w:rsidRPr="00420528">
        <w:rPr>
          <w:sz w:val="24"/>
          <w:szCs w:val="24"/>
        </w:rPr>
        <w:t>C</w:t>
      </w:r>
      <w:r w:rsidRPr="00420528">
        <w:rPr>
          <w:sz w:val="24"/>
          <w:szCs w:val="24"/>
          <w:vertAlign w:val="subscript"/>
        </w:rPr>
        <w:t>max</w:t>
      </w:r>
      <w:proofErr w:type="spellEnd"/>
      <w:r w:rsidRPr="00420528">
        <w:rPr>
          <w:sz w:val="24"/>
          <w:szCs w:val="24"/>
        </w:rPr>
        <w:t xml:space="preserve"> hhv. 14, 30 og 65 </w:t>
      </w:r>
      <w:proofErr w:type="spellStart"/>
      <w:r w:rsidRPr="00420528">
        <w:rPr>
          <w:sz w:val="24"/>
          <w:szCs w:val="24"/>
        </w:rPr>
        <w:t>pg</w:t>
      </w:r>
      <w:proofErr w:type="spellEnd"/>
      <w:r w:rsidRPr="00420528">
        <w:rPr>
          <w:sz w:val="24"/>
          <w:szCs w:val="24"/>
        </w:rPr>
        <w:t xml:space="preserve">/ml. </w:t>
      </w:r>
      <w:proofErr w:type="spellStart"/>
      <w:r w:rsidRPr="00420528">
        <w:rPr>
          <w:sz w:val="24"/>
          <w:szCs w:val="24"/>
        </w:rPr>
        <w:t>T</w:t>
      </w:r>
      <w:r w:rsidRPr="00420528">
        <w:rPr>
          <w:sz w:val="24"/>
          <w:szCs w:val="24"/>
          <w:vertAlign w:val="subscript"/>
        </w:rPr>
        <w:t>max</w:t>
      </w:r>
      <w:proofErr w:type="spellEnd"/>
      <w:r w:rsidRPr="00420528">
        <w:rPr>
          <w:sz w:val="24"/>
          <w:szCs w:val="24"/>
        </w:rPr>
        <w:t xml:space="preserve"> blev opnået efter 0,5-2 timer.</w:t>
      </w:r>
    </w:p>
    <w:p w14:paraId="2352FF50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42196AD8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Den absolutte biotilgængelighed med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administreret </w:t>
      </w:r>
      <w:proofErr w:type="spellStart"/>
      <w:r w:rsidRPr="00420528">
        <w:rPr>
          <w:sz w:val="24"/>
          <w:szCs w:val="24"/>
        </w:rPr>
        <w:t>sublingualt</w:t>
      </w:r>
      <w:proofErr w:type="spellEnd"/>
      <w:r w:rsidRPr="00420528">
        <w:rPr>
          <w:sz w:val="24"/>
          <w:szCs w:val="24"/>
        </w:rPr>
        <w:t xml:space="preserve"> er gennemsnitligt 0,25 % (0,21 %-0,31 %). Tabellen nedenfor viser ækvivalens mellem tabletten og orale frysetørrede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>-tabletter:</w:t>
      </w:r>
    </w:p>
    <w:p w14:paraId="6424AA15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511"/>
        <w:gridCol w:w="1787"/>
        <w:gridCol w:w="3044"/>
      </w:tblGrid>
      <w:tr w:rsidR="009C1256" w:rsidRPr="00420528" w14:paraId="14007DE6" w14:textId="77777777" w:rsidTr="00881296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E668" w14:textId="77777777" w:rsidR="009C1256" w:rsidRPr="00420528" w:rsidRDefault="009C1256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420528">
              <w:rPr>
                <w:b/>
                <w:sz w:val="24"/>
                <w:szCs w:val="24"/>
                <w:lang w:val="en-GB"/>
              </w:rPr>
              <w:t>Desmopressinacetat</w:t>
            </w:r>
            <w:proofErr w:type="spellEnd"/>
          </w:p>
          <w:p w14:paraId="5D9D0A82" w14:textId="77777777" w:rsidR="009C1256" w:rsidRPr="00420528" w:rsidRDefault="009C1256">
            <w:pPr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420528">
              <w:rPr>
                <w:b/>
                <w:sz w:val="24"/>
                <w:szCs w:val="24"/>
                <w:lang w:val="en-GB"/>
              </w:rPr>
              <w:t>Tablet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F843" w14:textId="77777777" w:rsidR="009C1256" w:rsidRPr="00420528" w:rsidRDefault="009C1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20528">
              <w:rPr>
                <w:b/>
                <w:sz w:val="24"/>
                <w:szCs w:val="24"/>
              </w:rPr>
              <w:t>Desmopressin</w:t>
            </w:r>
            <w:proofErr w:type="spellEnd"/>
            <w:r w:rsidRPr="00420528">
              <w:rPr>
                <w:b/>
                <w:sz w:val="24"/>
                <w:szCs w:val="24"/>
              </w:rPr>
              <w:t>, base</w:t>
            </w:r>
          </w:p>
          <w:p w14:paraId="294916C8" w14:textId="77777777" w:rsidR="009C1256" w:rsidRPr="00420528" w:rsidRDefault="009C1256">
            <w:pPr>
              <w:jc w:val="center"/>
              <w:rPr>
                <w:b/>
                <w:sz w:val="24"/>
                <w:szCs w:val="24"/>
                <w:lang w:eastAsia="en-GB"/>
              </w:rPr>
            </w:pPr>
            <w:r w:rsidRPr="00420528">
              <w:rPr>
                <w:b/>
                <w:sz w:val="24"/>
                <w:szCs w:val="24"/>
              </w:rPr>
              <w:t>Orale frysetørrede tabletter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B49E" w14:textId="77777777" w:rsidR="009C1256" w:rsidRPr="00420528" w:rsidRDefault="009C125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20528">
              <w:rPr>
                <w:b/>
                <w:sz w:val="24"/>
                <w:szCs w:val="24"/>
                <w:lang w:val="en-GB"/>
              </w:rPr>
              <w:t>Desmopressin, base</w:t>
            </w:r>
          </w:p>
          <w:p w14:paraId="1A4D19EC" w14:textId="77777777" w:rsidR="009C1256" w:rsidRPr="00420528" w:rsidRDefault="009C1256">
            <w:pPr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420528">
              <w:rPr>
                <w:b/>
                <w:sz w:val="24"/>
                <w:szCs w:val="24"/>
                <w:lang w:val="en-GB"/>
              </w:rPr>
              <w:t>Tablet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246A" w14:textId="77777777" w:rsidR="009C1256" w:rsidRPr="00420528" w:rsidRDefault="009C1256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420528">
              <w:rPr>
                <w:b/>
                <w:sz w:val="24"/>
                <w:szCs w:val="24"/>
                <w:lang w:val="en-GB"/>
              </w:rPr>
              <w:t>Desmopressinacetat</w:t>
            </w:r>
            <w:proofErr w:type="spellEnd"/>
          </w:p>
          <w:p w14:paraId="56C9BA64" w14:textId="77777777" w:rsidR="009C1256" w:rsidRPr="00420528" w:rsidRDefault="009C1256">
            <w:pPr>
              <w:jc w:val="center"/>
              <w:rPr>
                <w:b/>
                <w:sz w:val="24"/>
                <w:szCs w:val="24"/>
                <w:lang w:val="en-GB" w:eastAsia="en-GB"/>
              </w:rPr>
            </w:pPr>
            <w:proofErr w:type="spellStart"/>
            <w:r w:rsidRPr="00420528">
              <w:rPr>
                <w:b/>
                <w:sz w:val="24"/>
                <w:szCs w:val="24"/>
                <w:lang w:val="en-GB"/>
              </w:rPr>
              <w:t>Orale</w:t>
            </w:r>
            <w:proofErr w:type="spellEnd"/>
            <w:r w:rsidRPr="00420528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20528">
              <w:rPr>
                <w:b/>
                <w:sz w:val="24"/>
                <w:szCs w:val="24"/>
                <w:lang w:val="en-GB"/>
              </w:rPr>
              <w:t>frysetørrede</w:t>
            </w:r>
            <w:proofErr w:type="spellEnd"/>
            <w:r w:rsidRPr="00420528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20528">
              <w:rPr>
                <w:b/>
                <w:sz w:val="24"/>
                <w:szCs w:val="24"/>
                <w:lang w:val="en-GB"/>
              </w:rPr>
              <w:t>tabletter</w:t>
            </w:r>
            <w:proofErr w:type="spellEnd"/>
          </w:p>
        </w:tc>
      </w:tr>
      <w:tr w:rsidR="009C1256" w:rsidRPr="00420528" w14:paraId="58942D92" w14:textId="77777777" w:rsidTr="00881296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A5C9" w14:textId="77777777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>0,1 mg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09ED" w14:textId="4D76070E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 xml:space="preserve">60 </w:t>
            </w:r>
            <w:proofErr w:type="spellStart"/>
            <w:r w:rsidRPr="00420528">
              <w:rPr>
                <w:sz w:val="24"/>
                <w:szCs w:val="24"/>
                <w:lang w:val="en-GB"/>
              </w:rPr>
              <w:t>mikrogram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B752" w14:textId="51BFFB03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 xml:space="preserve">89 </w:t>
            </w:r>
            <w:proofErr w:type="spellStart"/>
            <w:r w:rsidRPr="00420528">
              <w:rPr>
                <w:sz w:val="24"/>
                <w:szCs w:val="24"/>
                <w:lang w:val="en-GB"/>
              </w:rPr>
              <w:t>mikrogram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7FAF" w14:textId="3760D1ED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 xml:space="preserve">Ca. 67 </w:t>
            </w:r>
            <w:proofErr w:type="spellStart"/>
            <w:r w:rsidRPr="00420528">
              <w:rPr>
                <w:sz w:val="24"/>
                <w:szCs w:val="24"/>
                <w:lang w:val="en-GB"/>
              </w:rPr>
              <w:t>mikrogram</w:t>
            </w:r>
            <w:proofErr w:type="spellEnd"/>
            <w:r w:rsidRPr="00420528">
              <w:rPr>
                <w:sz w:val="24"/>
                <w:szCs w:val="24"/>
                <w:lang w:val="en-GB"/>
              </w:rPr>
              <w:t>*</w:t>
            </w:r>
          </w:p>
        </w:tc>
      </w:tr>
      <w:tr w:rsidR="009C1256" w:rsidRPr="00420528" w14:paraId="3D71562E" w14:textId="77777777" w:rsidTr="00881296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2171" w14:textId="77777777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>0,2 mg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B901" w14:textId="43F98E56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 xml:space="preserve">120 </w:t>
            </w:r>
            <w:proofErr w:type="spellStart"/>
            <w:r w:rsidRPr="00420528">
              <w:rPr>
                <w:sz w:val="24"/>
                <w:szCs w:val="24"/>
                <w:lang w:val="en-GB"/>
              </w:rPr>
              <w:t>mikrogram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23BF" w14:textId="4D0D75A2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 xml:space="preserve">178 </w:t>
            </w:r>
            <w:proofErr w:type="spellStart"/>
            <w:r w:rsidRPr="00420528">
              <w:rPr>
                <w:sz w:val="24"/>
                <w:szCs w:val="24"/>
                <w:lang w:val="en-GB"/>
              </w:rPr>
              <w:t>mikrogram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1BB1" w14:textId="18624638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 xml:space="preserve">Ca. 135 </w:t>
            </w:r>
            <w:proofErr w:type="spellStart"/>
            <w:r w:rsidRPr="00420528">
              <w:rPr>
                <w:sz w:val="24"/>
                <w:szCs w:val="24"/>
                <w:lang w:val="en-GB"/>
              </w:rPr>
              <w:t>mikrogram</w:t>
            </w:r>
            <w:proofErr w:type="spellEnd"/>
            <w:r w:rsidRPr="00420528">
              <w:rPr>
                <w:sz w:val="24"/>
                <w:szCs w:val="24"/>
                <w:lang w:val="en-GB"/>
              </w:rPr>
              <w:t>*</w:t>
            </w:r>
          </w:p>
        </w:tc>
      </w:tr>
      <w:tr w:rsidR="009C1256" w:rsidRPr="00420528" w14:paraId="645C1375" w14:textId="77777777" w:rsidTr="00881296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65F" w14:textId="77777777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>0,4 mg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A52C" w14:textId="57D64272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 xml:space="preserve">240 </w:t>
            </w:r>
            <w:proofErr w:type="spellStart"/>
            <w:r w:rsidRPr="00420528">
              <w:rPr>
                <w:sz w:val="24"/>
                <w:szCs w:val="24"/>
                <w:lang w:val="en-GB"/>
              </w:rPr>
              <w:t>mikrogram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80F2" w14:textId="1866B600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 xml:space="preserve">356 </w:t>
            </w:r>
            <w:proofErr w:type="spellStart"/>
            <w:r w:rsidRPr="00420528">
              <w:rPr>
                <w:sz w:val="24"/>
                <w:szCs w:val="24"/>
                <w:lang w:val="en-GB"/>
              </w:rPr>
              <w:t>mikrogram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9669" w14:textId="0D2C9303" w:rsidR="009C1256" w:rsidRPr="00420528" w:rsidRDefault="009C1256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20528">
              <w:rPr>
                <w:sz w:val="24"/>
                <w:szCs w:val="24"/>
                <w:lang w:val="en-GB"/>
              </w:rPr>
              <w:t xml:space="preserve">Ca. 270 </w:t>
            </w:r>
            <w:proofErr w:type="spellStart"/>
            <w:r w:rsidRPr="00420528">
              <w:rPr>
                <w:sz w:val="24"/>
                <w:szCs w:val="24"/>
                <w:lang w:val="en-GB"/>
              </w:rPr>
              <w:t>mikrogram</w:t>
            </w:r>
            <w:proofErr w:type="spellEnd"/>
            <w:r w:rsidRPr="00420528">
              <w:rPr>
                <w:sz w:val="24"/>
                <w:szCs w:val="24"/>
                <w:lang w:val="en-GB"/>
              </w:rPr>
              <w:t>*</w:t>
            </w:r>
          </w:p>
        </w:tc>
      </w:tr>
    </w:tbl>
    <w:p w14:paraId="591996C6" w14:textId="77777777" w:rsidR="00A63983" w:rsidRDefault="009C1256" w:rsidP="00A63983">
      <w:pPr>
        <w:tabs>
          <w:tab w:val="left" w:pos="284"/>
        </w:tabs>
        <w:rPr>
          <w:sz w:val="24"/>
          <w:szCs w:val="24"/>
        </w:rPr>
      </w:pPr>
      <w:r w:rsidRPr="00420528">
        <w:rPr>
          <w:sz w:val="24"/>
          <w:szCs w:val="24"/>
        </w:rPr>
        <w:t>*</w:t>
      </w:r>
      <w:r w:rsidR="007624B8">
        <w:rPr>
          <w:sz w:val="24"/>
          <w:szCs w:val="24"/>
        </w:rPr>
        <w:tab/>
      </w:r>
      <w:r w:rsidRPr="00420528">
        <w:rPr>
          <w:sz w:val="24"/>
          <w:szCs w:val="24"/>
        </w:rPr>
        <w:t>udregnet til sammenligning.</w:t>
      </w:r>
    </w:p>
    <w:p w14:paraId="0D1B23A3" w14:textId="77777777" w:rsidR="00A63983" w:rsidRDefault="00A63983" w:rsidP="00A63983">
      <w:pPr>
        <w:ind w:left="851"/>
        <w:rPr>
          <w:i/>
          <w:sz w:val="24"/>
          <w:szCs w:val="24"/>
        </w:rPr>
      </w:pPr>
    </w:p>
    <w:p w14:paraId="3B635D20" w14:textId="45BA09EA" w:rsidR="009C1256" w:rsidRPr="007624B8" w:rsidRDefault="009C1256" w:rsidP="00A63983">
      <w:pPr>
        <w:ind w:left="851"/>
        <w:rPr>
          <w:i/>
          <w:sz w:val="24"/>
          <w:szCs w:val="24"/>
        </w:rPr>
      </w:pPr>
      <w:r w:rsidRPr="007624B8">
        <w:rPr>
          <w:i/>
          <w:sz w:val="24"/>
          <w:szCs w:val="24"/>
        </w:rPr>
        <w:t>Distribution</w:t>
      </w:r>
    </w:p>
    <w:p w14:paraId="6DF8647F" w14:textId="77777777" w:rsidR="009C1256" w:rsidRPr="00420528" w:rsidRDefault="009C1256" w:rsidP="00881296">
      <w:pPr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Desmopressins</w:t>
      </w:r>
      <w:proofErr w:type="spellEnd"/>
      <w:r w:rsidRPr="00420528">
        <w:rPr>
          <w:sz w:val="24"/>
          <w:szCs w:val="24"/>
        </w:rPr>
        <w:t xml:space="preserve"> fordeling beskrives bedst med en to-</w:t>
      </w:r>
      <w:proofErr w:type="spellStart"/>
      <w:r w:rsidRPr="00420528">
        <w:rPr>
          <w:sz w:val="24"/>
          <w:szCs w:val="24"/>
        </w:rPr>
        <w:t>kompartment</w:t>
      </w:r>
      <w:proofErr w:type="spellEnd"/>
      <w:r w:rsidRPr="00420528">
        <w:rPr>
          <w:sz w:val="24"/>
          <w:szCs w:val="24"/>
        </w:rPr>
        <w:t xml:space="preserve"> model, hvor fordelingsvolumen under elimineringsfasen er 0,3-0,5 l/kg.</w:t>
      </w:r>
    </w:p>
    <w:p w14:paraId="6D344E1A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 passerer ikke blod-hjerne-barrieren.</w:t>
      </w:r>
    </w:p>
    <w:p w14:paraId="0AA51FEE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</w:p>
    <w:p w14:paraId="7BC690E6" w14:textId="77777777" w:rsidR="009C1256" w:rsidRPr="007624B8" w:rsidRDefault="009C1256" w:rsidP="00881296">
      <w:pPr>
        <w:ind w:left="851"/>
        <w:rPr>
          <w:i/>
          <w:spacing w:val="-3"/>
          <w:sz w:val="24"/>
          <w:szCs w:val="24"/>
        </w:rPr>
      </w:pPr>
      <w:r w:rsidRPr="007624B8">
        <w:rPr>
          <w:i/>
          <w:spacing w:val="-3"/>
          <w:sz w:val="24"/>
          <w:szCs w:val="24"/>
        </w:rPr>
        <w:t>Metabolisme</w:t>
      </w:r>
    </w:p>
    <w:p w14:paraId="0BB1C48A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r w:rsidRPr="007624B8">
        <w:rPr>
          <w:i/>
          <w:spacing w:val="-3"/>
          <w:sz w:val="24"/>
          <w:szCs w:val="24"/>
        </w:rPr>
        <w:t xml:space="preserve">In </w:t>
      </w:r>
      <w:proofErr w:type="spellStart"/>
      <w:r w:rsidRPr="007624B8">
        <w:rPr>
          <w:i/>
          <w:spacing w:val="-3"/>
          <w:sz w:val="24"/>
          <w:szCs w:val="24"/>
        </w:rPr>
        <w:t>vitro</w:t>
      </w:r>
      <w:proofErr w:type="spellEnd"/>
      <w:r w:rsidRPr="00420528">
        <w:rPr>
          <w:spacing w:val="-3"/>
          <w:sz w:val="24"/>
          <w:szCs w:val="24"/>
        </w:rPr>
        <w:t xml:space="preserve">-metabolismestudier i humane </w:t>
      </w:r>
      <w:proofErr w:type="spellStart"/>
      <w:r w:rsidRPr="00420528">
        <w:rPr>
          <w:spacing w:val="-3"/>
          <w:sz w:val="24"/>
          <w:szCs w:val="24"/>
        </w:rPr>
        <w:t>levermikrosomer</w:t>
      </w:r>
      <w:proofErr w:type="spellEnd"/>
      <w:r w:rsidRPr="00420528">
        <w:rPr>
          <w:spacing w:val="-3"/>
          <w:sz w:val="24"/>
          <w:szCs w:val="24"/>
        </w:rPr>
        <w:t xml:space="preserve"> har vist, at der ikke </w:t>
      </w:r>
      <w:proofErr w:type="spellStart"/>
      <w:r w:rsidRPr="00420528">
        <w:rPr>
          <w:spacing w:val="-3"/>
          <w:sz w:val="24"/>
          <w:szCs w:val="24"/>
        </w:rPr>
        <w:t>metaboliseres</w:t>
      </w:r>
      <w:proofErr w:type="spellEnd"/>
      <w:r w:rsidRPr="00420528">
        <w:rPr>
          <w:spacing w:val="-3"/>
          <w:sz w:val="24"/>
          <w:szCs w:val="24"/>
        </w:rPr>
        <w:t xml:space="preserve"> nogen signifikant mængde i leveren. Det er derfor ikke sandsynligt, at </w:t>
      </w:r>
      <w:proofErr w:type="spellStart"/>
      <w:r w:rsidRPr="00420528">
        <w:rPr>
          <w:spacing w:val="-3"/>
          <w:sz w:val="24"/>
          <w:szCs w:val="24"/>
        </w:rPr>
        <w:t>desmopressin</w:t>
      </w:r>
      <w:proofErr w:type="spellEnd"/>
      <w:r w:rsidRPr="00420528">
        <w:rPr>
          <w:spacing w:val="-3"/>
          <w:sz w:val="24"/>
          <w:szCs w:val="24"/>
        </w:rPr>
        <w:t xml:space="preserve"> </w:t>
      </w:r>
      <w:proofErr w:type="spellStart"/>
      <w:r w:rsidRPr="00420528">
        <w:rPr>
          <w:spacing w:val="-3"/>
          <w:sz w:val="24"/>
          <w:szCs w:val="24"/>
        </w:rPr>
        <w:t>metaboliseres</w:t>
      </w:r>
      <w:proofErr w:type="spellEnd"/>
      <w:r w:rsidRPr="00420528">
        <w:rPr>
          <w:spacing w:val="-3"/>
          <w:sz w:val="24"/>
          <w:szCs w:val="24"/>
        </w:rPr>
        <w:t xml:space="preserve"> i leveren hos mennesker.</w:t>
      </w:r>
    </w:p>
    <w:p w14:paraId="3DCD94B6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</w:p>
    <w:p w14:paraId="12CED4E6" w14:textId="77777777" w:rsidR="009C1256" w:rsidRPr="007624B8" w:rsidRDefault="009C1256" w:rsidP="00881296">
      <w:pPr>
        <w:ind w:left="851"/>
        <w:rPr>
          <w:i/>
          <w:spacing w:val="-3"/>
          <w:sz w:val="24"/>
          <w:szCs w:val="24"/>
        </w:rPr>
      </w:pPr>
      <w:r w:rsidRPr="007624B8">
        <w:rPr>
          <w:i/>
          <w:spacing w:val="-3"/>
          <w:sz w:val="24"/>
          <w:szCs w:val="24"/>
        </w:rPr>
        <w:t>Elimination</w:t>
      </w:r>
    </w:p>
    <w:p w14:paraId="23CA39AC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proofErr w:type="spellStart"/>
      <w:r w:rsidRPr="00420528">
        <w:rPr>
          <w:spacing w:val="-3"/>
          <w:sz w:val="24"/>
          <w:szCs w:val="24"/>
        </w:rPr>
        <w:t>Desmopressins</w:t>
      </w:r>
      <w:proofErr w:type="spellEnd"/>
      <w:r w:rsidRPr="00420528">
        <w:rPr>
          <w:spacing w:val="-3"/>
          <w:sz w:val="24"/>
          <w:szCs w:val="24"/>
        </w:rPr>
        <w:t xml:space="preserve"> total </w:t>
      </w:r>
      <w:proofErr w:type="spellStart"/>
      <w:r w:rsidRPr="00420528">
        <w:rPr>
          <w:spacing w:val="-3"/>
          <w:sz w:val="24"/>
          <w:szCs w:val="24"/>
        </w:rPr>
        <w:t>clearance</w:t>
      </w:r>
      <w:proofErr w:type="spellEnd"/>
      <w:r w:rsidRPr="00420528">
        <w:rPr>
          <w:spacing w:val="-3"/>
          <w:sz w:val="24"/>
          <w:szCs w:val="24"/>
        </w:rPr>
        <w:t xml:space="preserve"> er kalkuleret til 7,6 l/time. Den estimerede </w:t>
      </w:r>
      <w:proofErr w:type="spellStart"/>
      <w:r w:rsidRPr="00420528">
        <w:rPr>
          <w:spacing w:val="-3"/>
          <w:sz w:val="24"/>
          <w:szCs w:val="24"/>
        </w:rPr>
        <w:t>terminelle</w:t>
      </w:r>
      <w:proofErr w:type="spellEnd"/>
      <w:r w:rsidRPr="00420528">
        <w:rPr>
          <w:spacing w:val="-3"/>
          <w:sz w:val="24"/>
          <w:szCs w:val="24"/>
        </w:rPr>
        <w:t xml:space="preserve"> halveringstid er estimeret til at være 2,8 timer. Hos raske forsøgspersoner er mængden af uændret udskilt </w:t>
      </w:r>
      <w:proofErr w:type="spellStart"/>
      <w:r w:rsidRPr="00420528">
        <w:rPr>
          <w:spacing w:val="-3"/>
          <w:sz w:val="24"/>
          <w:szCs w:val="24"/>
        </w:rPr>
        <w:t>desmopressin</w:t>
      </w:r>
      <w:proofErr w:type="spellEnd"/>
      <w:r w:rsidRPr="00420528">
        <w:rPr>
          <w:spacing w:val="-3"/>
          <w:sz w:val="24"/>
          <w:szCs w:val="24"/>
        </w:rPr>
        <w:t xml:space="preserve"> i urinen 52 % (44-60 %).</w:t>
      </w:r>
    </w:p>
    <w:p w14:paraId="20134537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</w:p>
    <w:p w14:paraId="1E531EA2" w14:textId="77777777" w:rsidR="009C1256" w:rsidRPr="00420528" w:rsidRDefault="009C1256" w:rsidP="00881296">
      <w:pPr>
        <w:ind w:left="851"/>
        <w:rPr>
          <w:spacing w:val="-3"/>
          <w:sz w:val="24"/>
          <w:szCs w:val="24"/>
          <w:u w:val="single"/>
        </w:rPr>
      </w:pPr>
      <w:r w:rsidRPr="00420528">
        <w:rPr>
          <w:spacing w:val="-3"/>
          <w:sz w:val="24"/>
          <w:szCs w:val="24"/>
          <w:u w:val="single"/>
        </w:rPr>
        <w:lastRenderedPageBreak/>
        <w:t>Linearitet/non-linearitet</w:t>
      </w:r>
    </w:p>
    <w:p w14:paraId="75CAE38C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r w:rsidRPr="00420528">
        <w:rPr>
          <w:spacing w:val="-3"/>
          <w:sz w:val="24"/>
          <w:szCs w:val="24"/>
        </w:rPr>
        <w:t xml:space="preserve">Der er ingen tegn på ikke-linearitet blandt nogen af </w:t>
      </w:r>
      <w:proofErr w:type="spellStart"/>
      <w:r w:rsidRPr="00420528">
        <w:rPr>
          <w:spacing w:val="-3"/>
          <w:sz w:val="24"/>
          <w:szCs w:val="24"/>
        </w:rPr>
        <w:t>desmopressins</w:t>
      </w:r>
      <w:proofErr w:type="spellEnd"/>
      <w:r w:rsidRPr="00420528">
        <w:rPr>
          <w:spacing w:val="-3"/>
          <w:sz w:val="24"/>
          <w:szCs w:val="24"/>
        </w:rPr>
        <w:t xml:space="preserve"> </w:t>
      </w:r>
      <w:proofErr w:type="spellStart"/>
      <w:r w:rsidRPr="00420528">
        <w:rPr>
          <w:spacing w:val="-3"/>
          <w:sz w:val="24"/>
          <w:szCs w:val="24"/>
        </w:rPr>
        <w:t>farmakokinetiske</w:t>
      </w:r>
      <w:proofErr w:type="spellEnd"/>
      <w:r w:rsidRPr="00420528">
        <w:rPr>
          <w:spacing w:val="-3"/>
          <w:sz w:val="24"/>
          <w:szCs w:val="24"/>
        </w:rPr>
        <w:t xml:space="preserve"> parametre.</w:t>
      </w:r>
    </w:p>
    <w:p w14:paraId="038862A1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</w:p>
    <w:p w14:paraId="223C7C34" w14:textId="77777777" w:rsidR="009C1256" w:rsidRPr="00420528" w:rsidRDefault="009C1256" w:rsidP="00881296">
      <w:pPr>
        <w:ind w:left="851"/>
        <w:rPr>
          <w:spacing w:val="-3"/>
          <w:sz w:val="24"/>
          <w:szCs w:val="24"/>
          <w:u w:val="single"/>
        </w:rPr>
      </w:pPr>
      <w:r w:rsidRPr="00420528">
        <w:rPr>
          <w:spacing w:val="-3"/>
          <w:sz w:val="24"/>
          <w:szCs w:val="24"/>
          <w:u w:val="single"/>
        </w:rPr>
        <w:t>Pædiatrisk population</w:t>
      </w:r>
    </w:p>
    <w:p w14:paraId="057595D6" w14:textId="77777777" w:rsidR="009C1256" w:rsidRPr="00420528" w:rsidRDefault="009C1256" w:rsidP="00881296">
      <w:pPr>
        <w:ind w:left="851"/>
        <w:rPr>
          <w:spacing w:val="-3"/>
          <w:sz w:val="24"/>
          <w:szCs w:val="24"/>
        </w:rPr>
      </w:pPr>
      <w:proofErr w:type="spellStart"/>
      <w:r w:rsidRPr="00420528">
        <w:rPr>
          <w:spacing w:val="-3"/>
          <w:sz w:val="24"/>
          <w:szCs w:val="24"/>
        </w:rPr>
        <w:t>Desmopressins</w:t>
      </w:r>
      <w:proofErr w:type="spellEnd"/>
      <w:r w:rsidRPr="00420528">
        <w:rPr>
          <w:spacing w:val="-3"/>
          <w:sz w:val="24"/>
          <w:szCs w:val="24"/>
        </w:rPr>
        <w:t xml:space="preserve"> </w:t>
      </w:r>
      <w:proofErr w:type="spellStart"/>
      <w:r w:rsidRPr="00420528">
        <w:rPr>
          <w:spacing w:val="-3"/>
          <w:sz w:val="24"/>
          <w:szCs w:val="24"/>
        </w:rPr>
        <w:t>populationsfarmakokinetiske</w:t>
      </w:r>
      <w:proofErr w:type="spellEnd"/>
      <w:r w:rsidRPr="00420528">
        <w:rPr>
          <w:spacing w:val="-3"/>
          <w:sz w:val="24"/>
          <w:szCs w:val="24"/>
        </w:rPr>
        <w:t xml:space="preserve"> egenskaber er blevet undersøgt hos børn med primær </w:t>
      </w:r>
      <w:proofErr w:type="spellStart"/>
      <w:r w:rsidRPr="00420528">
        <w:rPr>
          <w:spacing w:val="-3"/>
          <w:sz w:val="24"/>
          <w:szCs w:val="24"/>
        </w:rPr>
        <w:t>enuresis</w:t>
      </w:r>
      <w:proofErr w:type="spellEnd"/>
      <w:r w:rsidRPr="00420528">
        <w:rPr>
          <w:spacing w:val="-3"/>
          <w:sz w:val="24"/>
          <w:szCs w:val="24"/>
        </w:rPr>
        <w:t xml:space="preserve"> </w:t>
      </w:r>
      <w:proofErr w:type="spellStart"/>
      <w:r w:rsidRPr="00420528">
        <w:rPr>
          <w:spacing w:val="-3"/>
          <w:sz w:val="24"/>
          <w:szCs w:val="24"/>
        </w:rPr>
        <w:t>nocturna</w:t>
      </w:r>
      <w:proofErr w:type="spellEnd"/>
      <w:r w:rsidRPr="00420528">
        <w:rPr>
          <w:spacing w:val="-3"/>
          <w:sz w:val="24"/>
          <w:szCs w:val="24"/>
        </w:rPr>
        <w:t>, og der blev ikke fundet signifikant forskel på børn og voksne.</w:t>
      </w:r>
    </w:p>
    <w:p w14:paraId="0D9D8FD9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A42DED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5.3</w:t>
      </w:r>
      <w:r w:rsidRPr="00420528">
        <w:rPr>
          <w:b/>
          <w:sz w:val="24"/>
          <w:szCs w:val="24"/>
        </w:rPr>
        <w:tab/>
      </w:r>
      <w:r w:rsidR="00BD7931" w:rsidRPr="00420528">
        <w:rPr>
          <w:b/>
          <w:sz w:val="24"/>
          <w:szCs w:val="24"/>
        </w:rPr>
        <w:t>Non-</w:t>
      </w:r>
      <w:r w:rsidRPr="00420528">
        <w:rPr>
          <w:b/>
          <w:sz w:val="24"/>
          <w:szCs w:val="24"/>
        </w:rPr>
        <w:t>kliniske sikkerhedsdata</w:t>
      </w:r>
    </w:p>
    <w:p w14:paraId="61207537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Nuværende studier vedrørende farmakologisk sikkerhed, toksicitet efter gentagne doser, genotoksicitet og reproduktionstoksicitet viste ingen særlig risiko for mennesker.</w:t>
      </w:r>
    </w:p>
    <w:p w14:paraId="353DAACE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19CE62ED" w14:textId="77777777" w:rsidR="009C1256" w:rsidRPr="00420528" w:rsidRDefault="009C1256" w:rsidP="00881296">
      <w:pPr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Karcinogenicitetsstudier</w:t>
      </w:r>
      <w:proofErr w:type="spellEnd"/>
      <w:r w:rsidRPr="00420528">
        <w:rPr>
          <w:sz w:val="24"/>
          <w:szCs w:val="24"/>
        </w:rPr>
        <w:t xml:space="preserve"> er ikke foretaget med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 xml:space="preserve">, da dets egenskaber ligger meget tæt på det naturligt forekommende peptidhormon </w:t>
      </w:r>
      <w:proofErr w:type="spellStart"/>
      <w:r w:rsidRPr="00420528">
        <w:rPr>
          <w:sz w:val="24"/>
          <w:szCs w:val="24"/>
        </w:rPr>
        <w:t>vasopressin</w:t>
      </w:r>
      <w:proofErr w:type="spellEnd"/>
      <w:r w:rsidRPr="00420528">
        <w:rPr>
          <w:sz w:val="24"/>
          <w:szCs w:val="24"/>
        </w:rPr>
        <w:t>.</w:t>
      </w:r>
    </w:p>
    <w:p w14:paraId="1DB5D985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6466785D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i/>
          <w:sz w:val="24"/>
          <w:szCs w:val="24"/>
        </w:rPr>
        <w:t xml:space="preserve">In </w:t>
      </w:r>
      <w:proofErr w:type="spellStart"/>
      <w:r w:rsidRPr="00420528">
        <w:rPr>
          <w:i/>
          <w:sz w:val="24"/>
          <w:szCs w:val="24"/>
        </w:rPr>
        <w:t>vitro</w:t>
      </w:r>
      <w:proofErr w:type="spellEnd"/>
      <w:r w:rsidRPr="00420528">
        <w:rPr>
          <w:sz w:val="24"/>
          <w:szCs w:val="24"/>
        </w:rPr>
        <w:t xml:space="preserve">-analyser af </w:t>
      </w:r>
      <w:proofErr w:type="spellStart"/>
      <w:r w:rsidRPr="00420528">
        <w:rPr>
          <w:sz w:val="24"/>
          <w:szCs w:val="24"/>
        </w:rPr>
        <w:t>cotyledon</w:t>
      </w:r>
      <w:proofErr w:type="spellEnd"/>
      <w:r w:rsidRPr="00420528">
        <w:rPr>
          <w:sz w:val="24"/>
          <w:szCs w:val="24"/>
        </w:rPr>
        <w:t xml:space="preserve">-modeller har vist, at der ikke sker </w:t>
      </w:r>
      <w:proofErr w:type="spellStart"/>
      <w:r w:rsidRPr="00420528">
        <w:rPr>
          <w:sz w:val="24"/>
          <w:szCs w:val="24"/>
        </w:rPr>
        <w:t>transplacental</w:t>
      </w:r>
      <w:proofErr w:type="spellEnd"/>
      <w:r w:rsidRPr="00420528">
        <w:rPr>
          <w:sz w:val="24"/>
          <w:szCs w:val="24"/>
        </w:rPr>
        <w:t xml:space="preserve"> transport af </w:t>
      </w:r>
      <w:proofErr w:type="spellStart"/>
      <w:r w:rsidRPr="00420528">
        <w:rPr>
          <w:sz w:val="24"/>
          <w:szCs w:val="24"/>
        </w:rPr>
        <w:t>desmopressin</w:t>
      </w:r>
      <w:proofErr w:type="spellEnd"/>
      <w:r w:rsidRPr="00420528">
        <w:rPr>
          <w:sz w:val="24"/>
          <w:szCs w:val="24"/>
        </w:rPr>
        <w:t>, når det gives i den terapeutiske koncentration, der svarer til den normale rekommanderede dosis.</w:t>
      </w:r>
    </w:p>
    <w:p w14:paraId="69455B26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C6A31D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6C4EFF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6.</w:t>
      </w:r>
      <w:r w:rsidRPr="00420528">
        <w:rPr>
          <w:b/>
          <w:sz w:val="24"/>
          <w:szCs w:val="24"/>
        </w:rPr>
        <w:tab/>
        <w:t>FARMACEUTISKE OPLYSNINGER</w:t>
      </w:r>
    </w:p>
    <w:p w14:paraId="1D1F8712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8D8FE2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6.1</w:t>
      </w:r>
      <w:r w:rsidRPr="00420528">
        <w:rPr>
          <w:b/>
          <w:sz w:val="24"/>
          <w:szCs w:val="24"/>
        </w:rPr>
        <w:tab/>
        <w:t>Hjælpestoffer</w:t>
      </w:r>
    </w:p>
    <w:p w14:paraId="1A10F847" w14:textId="77777777" w:rsidR="009C1256" w:rsidRPr="00420528" w:rsidRDefault="009C1256" w:rsidP="00881296">
      <w:pPr>
        <w:ind w:left="851"/>
        <w:rPr>
          <w:sz w:val="24"/>
          <w:szCs w:val="24"/>
        </w:rPr>
      </w:pPr>
      <w:proofErr w:type="spellStart"/>
      <w:r w:rsidRPr="00420528">
        <w:rPr>
          <w:sz w:val="24"/>
          <w:szCs w:val="24"/>
        </w:rPr>
        <w:t>Lactosemonohydrat</w:t>
      </w:r>
      <w:proofErr w:type="spellEnd"/>
    </w:p>
    <w:p w14:paraId="18118AFF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Majsstivelse</w:t>
      </w:r>
    </w:p>
    <w:p w14:paraId="740E0BE3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Citronsyre (E 330)</w:t>
      </w:r>
    </w:p>
    <w:p w14:paraId="59EAE698" w14:textId="77777777" w:rsidR="009C1256" w:rsidRPr="00420528" w:rsidRDefault="009C1256" w:rsidP="00881296">
      <w:pPr>
        <w:ind w:left="851"/>
        <w:rPr>
          <w:sz w:val="24"/>
          <w:szCs w:val="24"/>
          <w:lang w:val="en-US"/>
        </w:rPr>
      </w:pPr>
      <w:proofErr w:type="spellStart"/>
      <w:r w:rsidRPr="00420528">
        <w:rPr>
          <w:sz w:val="24"/>
          <w:szCs w:val="24"/>
          <w:lang w:val="en-US"/>
        </w:rPr>
        <w:t>Croscarmellosenatrium</w:t>
      </w:r>
      <w:proofErr w:type="spellEnd"/>
      <w:r w:rsidRPr="00420528">
        <w:rPr>
          <w:sz w:val="24"/>
          <w:szCs w:val="24"/>
          <w:lang w:val="en-US"/>
        </w:rPr>
        <w:t xml:space="preserve"> (E 468)</w:t>
      </w:r>
    </w:p>
    <w:p w14:paraId="239D3B0C" w14:textId="77777777" w:rsidR="009C1256" w:rsidRPr="00420528" w:rsidRDefault="009C1256" w:rsidP="00881296">
      <w:pPr>
        <w:ind w:left="851"/>
        <w:rPr>
          <w:sz w:val="24"/>
          <w:szCs w:val="24"/>
          <w:lang w:val="en-US"/>
        </w:rPr>
      </w:pPr>
      <w:proofErr w:type="spellStart"/>
      <w:r w:rsidRPr="00420528">
        <w:rPr>
          <w:sz w:val="24"/>
          <w:szCs w:val="24"/>
          <w:lang w:val="en-US"/>
        </w:rPr>
        <w:t>Magnesiumstearat</w:t>
      </w:r>
      <w:proofErr w:type="spellEnd"/>
      <w:r w:rsidRPr="00420528">
        <w:rPr>
          <w:sz w:val="24"/>
          <w:szCs w:val="24"/>
          <w:lang w:val="en-US"/>
        </w:rPr>
        <w:t xml:space="preserve"> (E 470b)</w:t>
      </w:r>
    </w:p>
    <w:p w14:paraId="15A0A7F8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4F58A438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6.2</w:t>
      </w:r>
      <w:r w:rsidRPr="00420528">
        <w:rPr>
          <w:b/>
          <w:sz w:val="24"/>
          <w:szCs w:val="24"/>
        </w:rPr>
        <w:tab/>
        <w:t>Uforligeligheder</w:t>
      </w:r>
    </w:p>
    <w:p w14:paraId="1FA6BE56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Ikke relevant.</w:t>
      </w:r>
    </w:p>
    <w:p w14:paraId="3198332A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EF9146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6.3</w:t>
      </w:r>
      <w:r w:rsidRPr="00420528">
        <w:rPr>
          <w:b/>
          <w:sz w:val="24"/>
          <w:szCs w:val="24"/>
        </w:rPr>
        <w:tab/>
        <w:t>Opbevaringstid</w:t>
      </w:r>
    </w:p>
    <w:p w14:paraId="1A6A367C" w14:textId="4EF1647C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30 måneder.</w:t>
      </w:r>
    </w:p>
    <w:p w14:paraId="17400CA6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31F780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6.4</w:t>
      </w:r>
      <w:r w:rsidRPr="00420528">
        <w:rPr>
          <w:b/>
          <w:sz w:val="24"/>
          <w:szCs w:val="24"/>
        </w:rPr>
        <w:tab/>
        <w:t>Særlige opbevaringsforhold</w:t>
      </w:r>
    </w:p>
    <w:p w14:paraId="4172C20F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Blisterpakninger </w:t>
      </w:r>
    </w:p>
    <w:p w14:paraId="6A8B99F4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Opbevares i den originale blister for at beskytte mod fugt.</w:t>
      </w:r>
    </w:p>
    <w:p w14:paraId="089E240C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Der er ingen særlige krav vedrørende opbevaringstemperaturer for dette lægemiddel.</w:t>
      </w:r>
    </w:p>
    <w:p w14:paraId="35D9A43F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797ECE17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HDPE-beholdere</w:t>
      </w:r>
    </w:p>
    <w:p w14:paraId="062D18E0" w14:textId="77777777" w:rsidR="00145315" w:rsidRDefault="00145315" w:rsidP="00145315">
      <w:pPr>
        <w:ind w:left="851"/>
      </w:pPr>
      <w:r>
        <w:t>Må ikke opbevares ved temperaturer over 30 °C.</w:t>
      </w:r>
    </w:p>
    <w:p w14:paraId="0B200CF7" w14:textId="77777777" w:rsidR="00145315" w:rsidRPr="00420528" w:rsidRDefault="00145315" w:rsidP="00145315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Opbevares i den originale pakning. Hold beholderen tæt tillukket for at beskytte mod fugt.</w:t>
      </w:r>
    </w:p>
    <w:p w14:paraId="4E9D13A5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076F63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6.5</w:t>
      </w:r>
      <w:r w:rsidRPr="00420528">
        <w:rPr>
          <w:b/>
          <w:sz w:val="24"/>
          <w:szCs w:val="24"/>
        </w:rPr>
        <w:tab/>
        <w:t>Emballagetype og pakningsstørrelser</w:t>
      </w:r>
    </w:p>
    <w:p w14:paraId="2E94E9E4" w14:textId="77777777" w:rsidR="009C1256" w:rsidRPr="00420528" w:rsidRDefault="009C1256" w:rsidP="00881296">
      <w:pPr>
        <w:ind w:left="851"/>
        <w:rPr>
          <w:bCs/>
          <w:sz w:val="24"/>
          <w:szCs w:val="24"/>
        </w:rPr>
      </w:pPr>
      <w:r w:rsidRPr="00420528">
        <w:rPr>
          <w:sz w:val="24"/>
          <w:szCs w:val="24"/>
        </w:rPr>
        <w:t xml:space="preserve">Kartonæske med </w:t>
      </w:r>
      <w:r w:rsidRPr="00420528">
        <w:rPr>
          <w:bCs/>
          <w:sz w:val="24"/>
          <w:szCs w:val="24"/>
        </w:rPr>
        <w:t>OPA/Al/PVC/PE-AL standardblister eller enkeltdosisblister med integreret lag med tørremiddel, hver med 10 tabletter.</w:t>
      </w:r>
    </w:p>
    <w:p w14:paraId="21DD99B6" w14:textId="77777777" w:rsidR="009C1256" w:rsidRPr="00420528" w:rsidRDefault="009C1256" w:rsidP="00881296">
      <w:pPr>
        <w:ind w:left="851"/>
        <w:rPr>
          <w:bCs/>
          <w:sz w:val="24"/>
          <w:szCs w:val="24"/>
        </w:rPr>
      </w:pPr>
    </w:p>
    <w:p w14:paraId="4D5E9257" w14:textId="77777777" w:rsidR="009C1256" w:rsidRPr="00420528" w:rsidRDefault="009C1256" w:rsidP="00881296">
      <w:pPr>
        <w:ind w:left="851"/>
        <w:rPr>
          <w:bCs/>
          <w:sz w:val="24"/>
          <w:szCs w:val="24"/>
        </w:rPr>
      </w:pPr>
      <w:bookmarkStart w:id="2" w:name="_Hlk138163323"/>
      <w:r w:rsidRPr="00420528">
        <w:rPr>
          <w:bCs/>
          <w:sz w:val="24"/>
          <w:szCs w:val="24"/>
        </w:rPr>
        <w:t xml:space="preserve">10, 20, 30, 50, 60, 90 eller 100 </w:t>
      </w:r>
      <w:bookmarkEnd w:id="2"/>
      <w:r w:rsidRPr="00420528">
        <w:rPr>
          <w:bCs/>
          <w:sz w:val="24"/>
          <w:szCs w:val="24"/>
        </w:rPr>
        <w:t>sublinguale resoribletter (i standardblister).</w:t>
      </w:r>
    </w:p>
    <w:p w14:paraId="4020E86D" w14:textId="56E63A08" w:rsidR="009C1256" w:rsidRPr="00420528" w:rsidRDefault="009C1256" w:rsidP="00881296">
      <w:pPr>
        <w:ind w:left="851"/>
        <w:rPr>
          <w:bCs/>
          <w:sz w:val="24"/>
          <w:szCs w:val="24"/>
        </w:rPr>
      </w:pPr>
      <w:r w:rsidRPr="00420528">
        <w:rPr>
          <w:bCs/>
          <w:sz w:val="24"/>
          <w:szCs w:val="24"/>
        </w:rPr>
        <w:t>10</w:t>
      </w:r>
      <w:r w:rsidR="007624B8">
        <w:rPr>
          <w:bCs/>
          <w:sz w:val="24"/>
          <w:szCs w:val="24"/>
        </w:rPr>
        <w:t>×</w:t>
      </w:r>
      <w:r w:rsidRPr="00420528">
        <w:rPr>
          <w:bCs/>
          <w:sz w:val="24"/>
          <w:szCs w:val="24"/>
        </w:rPr>
        <w:t>1, 20</w:t>
      </w:r>
      <w:r w:rsidR="007624B8">
        <w:rPr>
          <w:bCs/>
          <w:sz w:val="24"/>
          <w:szCs w:val="24"/>
        </w:rPr>
        <w:t>×</w:t>
      </w:r>
      <w:r w:rsidRPr="00420528">
        <w:rPr>
          <w:bCs/>
          <w:sz w:val="24"/>
          <w:szCs w:val="24"/>
        </w:rPr>
        <w:t>1, 30</w:t>
      </w:r>
      <w:r w:rsidR="007624B8">
        <w:rPr>
          <w:bCs/>
          <w:sz w:val="24"/>
          <w:szCs w:val="24"/>
        </w:rPr>
        <w:t>×</w:t>
      </w:r>
      <w:r w:rsidRPr="00420528">
        <w:rPr>
          <w:bCs/>
          <w:sz w:val="24"/>
          <w:szCs w:val="24"/>
        </w:rPr>
        <w:t>1, 50</w:t>
      </w:r>
      <w:r w:rsidR="007624B8">
        <w:rPr>
          <w:bCs/>
          <w:sz w:val="24"/>
          <w:szCs w:val="24"/>
        </w:rPr>
        <w:t>×</w:t>
      </w:r>
      <w:r w:rsidRPr="00420528">
        <w:rPr>
          <w:bCs/>
          <w:sz w:val="24"/>
          <w:szCs w:val="24"/>
        </w:rPr>
        <w:t>1, 60</w:t>
      </w:r>
      <w:r w:rsidR="007624B8">
        <w:rPr>
          <w:bCs/>
          <w:sz w:val="24"/>
          <w:szCs w:val="24"/>
        </w:rPr>
        <w:t>×</w:t>
      </w:r>
      <w:r w:rsidRPr="00420528">
        <w:rPr>
          <w:bCs/>
          <w:sz w:val="24"/>
          <w:szCs w:val="24"/>
        </w:rPr>
        <w:t>1, 90</w:t>
      </w:r>
      <w:r w:rsidR="007624B8">
        <w:rPr>
          <w:bCs/>
          <w:sz w:val="24"/>
          <w:szCs w:val="24"/>
        </w:rPr>
        <w:t>×</w:t>
      </w:r>
      <w:r w:rsidRPr="00420528">
        <w:rPr>
          <w:bCs/>
          <w:sz w:val="24"/>
          <w:szCs w:val="24"/>
        </w:rPr>
        <w:t>1 eller 100</w:t>
      </w:r>
      <w:r w:rsidR="007624B8">
        <w:rPr>
          <w:bCs/>
          <w:sz w:val="24"/>
          <w:szCs w:val="24"/>
        </w:rPr>
        <w:t>×</w:t>
      </w:r>
      <w:r w:rsidRPr="00420528">
        <w:rPr>
          <w:bCs/>
          <w:sz w:val="24"/>
          <w:szCs w:val="24"/>
        </w:rPr>
        <w:t>1 (i enkeltdosisblister).</w:t>
      </w:r>
    </w:p>
    <w:p w14:paraId="498168C0" w14:textId="77777777" w:rsidR="009C1256" w:rsidRPr="00420528" w:rsidRDefault="009C1256" w:rsidP="00881296">
      <w:pPr>
        <w:ind w:left="851"/>
        <w:rPr>
          <w:bCs/>
          <w:sz w:val="24"/>
          <w:szCs w:val="24"/>
        </w:rPr>
      </w:pPr>
    </w:p>
    <w:p w14:paraId="049C6EB6" w14:textId="77777777" w:rsidR="009C1256" w:rsidRPr="00420528" w:rsidRDefault="009C1256" w:rsidP="00881296">
      <w:pPr>
        <w:ind w:left="851"/>
        <w:rPr>
          <w:bCs/>
          <w:sz w:val="24"/>
          <w:szCs w:val="24"/>
        </w:rPr>
      </w:pPr>
      <w:r w:rsidRPr="00420528">
        <w:rPr>
          <w:bCs/>
          <w:sz w:val="24"/>
          <w:szCs w:val="24"/>
        </w:rPr>
        <w:lastRenderedPageBreak/>
        <w:t>HDPE-beholder med PP-låg med integreret tørremiddel. Beholderen indeholder 30 eller 100 sublinguale resoribletter.</w:t>
      </w:r>
    </w:p>
    <w:p w14:paraId="004FF13F" w14:textId="77777777" w:rsidR="009C1256" w:rsidRPr="00420528" w:rsidRDefault="009C1256" w:rsidP="00881296">
      <w:pPr>
        <w:ind w:left="851"/>
        <w:rPr>
          <w:sz w:val="24"/>
          <w:szCs w:val="24"/>
        </w:rPr>
      </w:pPr>
    </w:p>
    <w:p w14:paraId="15E6A90C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 xml:space="preserve">Ikke alle pakningsstørrelser er nødvendigvis markedsført. </w:t>
      </w:r>
    </w:p>
    <w:p w14:paraId="7DC2BCAC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CD026E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6.6</w:t>
      </w:r>
      <w:r w:rsidRPr="00420528">
        <w:rPr>
          <w:b/>
          <w:sz w:val="24"/>
          <w:szCs w:val="24"/>
        </w:rPr>
        <w:tab/>
        <w:t xml:space="preserve">Regler for </w:t>
      </w:r>
      <w:r w:rsidR="00BD7931" w:rsidRPr="00420528">
        <w:rPr>
          <w:b/>
          <w:sz w:val="24"/>
          <w:szCs w:val="24"/>
        </w:rPr>
        <w:t>bortskaffelse</w:t>
      </w:r>
      <w:r w:rsidRPr="00420528">
        <w:rPr>
          <w:b/>
          <w:sz w:val="24"/>
          <w:szCs w:val="24"/>
        </w:rPr>
        <w:t xml:space="preserve"> og anden håndtering</w:t>
      </w:r>
    </w:p>
    <w:p w14:paraId="38B8A2D9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Ingen særlige forholdsregler.</w:t>
      </w:r>
    </w:p>
    <w:p w14:paraId="074A2688" w14:textId="77777777" w:rsidR="009260DE" w:rsidRPr="00420528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2B4F0F8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7.</w:t>
      </w:r>
      <w:r w:rsidRPr="00420528">
        <w:rPr>
          <w:b/>
          <w:sz w:val="24"/>
          <w:szCs w:val="24"/>
        </w:rPr>
        <w:tab/>
        <w:t>INDEHAVER AF MARKEDSFØRINGSTILLADELSEN</w:t>
      </w:r>
    </w:p>
    <w:p w14:paraId="7C8E6699" w14:textId="77777777" w:rsidR="009C1256" w:rsidRPr="00A63983" w:rsidRDefault="009C1256" w:rsidP="00881296">
      <w:pPr>
        <w:ind w:left="851"/>
        <w:rPr>
          <w:sz w:val="24"/>
          <w:szCs w:val="24"/>
          <w:lang w:val="en-US"/>
        </w:rPr>
      </w:pPr>
      <w:bookmarkStart w:id="3" w:name="_Hlk148002345"/>
      <w:r w:rsidRPr="00A63983">
        <w:rPr>
          <w:sz w:val="24"/>
          <w:szCs w:val="24"/>
          <w:lang w:val="en-US"/>
        </w:rPr>
        <w:t>Teva B.V.</w:t>
      </w:r>
    </w:p>
    <w:p w14:paraId="7E02F530" w14:textId="77777777" w:rsidR="009C1256" w:rsidRPr="00420528" w:rsidRDefault="009C1256" w:rsidP="00881296">
      <w:pPr>
        <w:ind w:left="851"/>
        <w:rPr>
          <w:sz w:val="24"/>
          <w:szCs w:val="24"/>
          <w:lang w:val="en-US"/>
        </w:rPr>
      </w:pPr>
      <w:proofErr w:type="spellStart"/>
      <w:r w:rsidRPr="00420528">
        <w:rPr>
          <w:sz w:val="24"/>
          <w:szCs w:val="24"/>
          <w:lang w:val="en-US"/>
        </w:rPr>
        <w:t>Swensweg</w:t>
      </w:r>
      <w:proofErr w:type="spellEnd"/>
      <w:r w:rsidRPr="00420528">
        <w:rPr>
          <w:sz w:val="24"/>
          <w:szCs w:val="24"/>
          <w:lang w:val="en-US"/>
        </w:rPr>
        <w:t xml:space="preserve"> 5</w:t>
      </w:r>
    </w:p>
    <w:p w14:paraId="52852B25" w14:textId="77777777" w:rsidR="009C1256" w:rsidRPr="00420528" w:rsidRDefault="009C1256" w:rsidP="00881296">
      <w:pPr>
        <w:ind w:left="851"/>
        <w:rPr>
          <w:sz w:val="24"/>
          <w:szCs w:val="24"/>
          <w:lang w:val="en-US"/>
        </w:rPr>
      </w:pPr>
      <w:r w:rsidRPr="00420528">
        <w:rPr>
          <w:sz w:val="24"/>
          <w:szCs w:val="24"/>
          <w:lang w:val="en-US"/>
        </w:rPr>
        <w:t>2031 GA Haarlem</w:t>
      </w:r>
    </w:p>
    <w:p w14:paraId="59D51C42" w14:textId="77777777" w:rsidR="009C1256" w:rsidRPr="00420528" w:rsidRDefault="009C1256" w:rsidP="00881296">
      <w:pPr>
        <w:ind w:left="851"/>
        <w:rPr>
          <w:sz w:val="24"/>
          <w:szCs w:val="24"/>
          <w:lang w:val="en-US"/>
        </w:rPr>
      </w:pPr>
      <w:r w:rsidRPr="00420528">
        <w:rPr>
          <w:sz w:val="24"/>
          <w:szCs w:val="24"/>
          <w:lang w:val="en-US"/>
        </w:rPr>
        <w:t>Holland</w:t>
      </w:r>
    </w:p>
    <w:bookmarkEnd w:id="3"/>
    <w:p w14:paraId="6DAF4DC3" w14:textId="77777777" w:rsidR="009260DE" w:rsidRPr="00A63983" w:rsidRDefault="009260DE" w:rsidP="00881296">
      <w:pPr>
        <w:ind w:left="851"/>
        <w:rPr>
          <w:sz w:val="24"/>
          <w:szCs w:val="24"/>
          <w:lang w:val="en-US"/>
        </w:rPr>
      </w:pPr>
    </w:p>
    <w:p w14:paraId="79472022" w14:textId="77777777" w:rsidR="00641C65" w:rsidRPr="00A63983" w:rsidRDefault="00641C65" w:rsidP="00881296">
      <w:pPr>
        <w:ind w:left="851"/>
        <w:rPr>
          <w:sz w:val="24"/>
          <w:szCs w:val="24"/>
          <w:lang w:val="en-US"/>
        </w:rPr>
      </w:pPr>
      <w:proofErr w:type="spellStart"/>
      <w:r w:rsidRPr="00A63983">
        <w:rPr>
          <w:b/>
          <w:sz w:val="24"/>
          <w:szCs w:val="24"/>
          <w:lang w:val="en-US"/>
        </w:rPr>
        <w:t>Repræsentant</w:t>
      </w:r>
      <w:proofErr w:type="spellEnd"/>
    </w:p>
    <w:p w14:paraId="4583C40A" w14:textId="77777777" w:rsidR="009C1256" w:rsidRPr="00A63983" w:rsidRDefault="009C1256" w:rsidP="00881296">
      <w:pPr>
        <w:ind w:left="851"/>
        <w:rPr>
          <w:sz w:val="24"/>
          <w:szCs w:val="24"/>
          <w:lang w:val="en-US"/>
        </w:rPr>
      </w:pPr>
      <w:r w:rsidRPr="00A63983">
        <w:rPr>
          <w:sz w:val="24"/>
          <w:szCs w:val="24"/>
          <w:lang w:val="en-US"/>
        </w:rPr>
        <w:t>Teva Denmark A/S</w:t>
      </w:r>
    </w:p>
    <w:p w14:paraId="6B048634" w14:textId="77777777" w:rsidR="009C1256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Vandtårnsvej 83A</w:t>
      </w:r>
    </w:p>
    <w:p w14:paraId="38A8A094" w14:textId="279D592D" w:rsidR="00641C65" w:rsidRPr="00420528" w:rsidRDefault="009C1256" w:rsidP="00881296">
      <w:pPr>
        <w:ind w:left="851"/>
        <w:rPr>
          <w:sz w:val="24"/>
          <w:szCs w:val="24"/>
        </w:rPr>
      </w:pPr>
      <w:r w:rsidRPr="00420528">
        <w:rPr>
          <w:sz w:val="24"/>
          <w:szCs w:val="24"/>
        </w:rPr>
        <w:t>2860 Søborg</w:t>
      </w:r>
    </w:p>
    <w:p w14:paraId="38251AB8" w14:textId="77777777" w:rsidR="00641C65" w:rsidRPr="00420528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7ECD3B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8.</w:t>
      </w:r>
      <w:r w:rsidRPr="00420528">
        <w:rPr>
          <w:b/>
          <w:sz w:val="24"/>
          <w:szCs w:val="24"/>
        </w:rPr>
        <w:tab/>
        <w:t>MARKEDSFØRINGSTILLADELSESNUMMER (</w:t>
      </w:r>
      <w:r w:rsidR="00BF6243" w:rsidRPr="00420528">
        <w:rPr>
          <w:b/>
          <w:sz w:val="24"/>
          <w:szCs w:val="24"/>
        </w:rPr>
        <w:t>-</w:t>
      </w:r>
      <w:r w:rsidRPr="00420528">
        <w:rPr>
          <w:b/>
          <w:sz w:val="24"/>
          <w:szCs w:val="24"/>
        </w:rPr>
        <w:t>NUMRE)</w:t>
      </w:r>
    </w:p>
    <w:p w14:paraId="4F42A28D" w14:textId="73C68D87" w:rsidR="00682718" w:rsidRPr="00420528" w:rsidRDefault="00682718" w:rsidP="00881296">
      <w:pPr>
        <w:tabs>
          <w:tab w:val="left" w:pos="2694"/>
        </w:tabs>
        <w:ind w:left="851"/>
        <w:rPr>
          <w:sz w:val="24"/>
          <w:szCs w:val="24"/>
          <w:lang w:eastAsia="da-DK"/>
        </w:rPr>
      </w:pPr>
      <w:r w:rsidRPr="00420528">
        <w:rPr>
          <w:sz w:val="24"/>
          <w:szCs w:val="24"/>
        </w:rPr>
        <w:t>60 mikrogram</w:t>
      </w:r>
      <w:r w:rsidR="009C1256" w:rsidRPr="00420528">
        <w:rPr>
          <w:sz w:val="24"/>
          <w:szCs w:val="24"/>
        </w:rPr>
        <w:t xml:space="preserve">: </w:t>
      </w:r>
      <w:r w:rsidR="00881296" w:rsidRPr="00420528">
        <w:rPr>
          <w:sz w:val="24"/>
          <w:szCs w:val="24"/>
        </w:rPr>
        <w:tab/>
      </w:r>
      <w:r w:rsidR="009C1256" w:rsidRPr="00420528">
        <w:rPr>
          <w:sz w:val="24"/>
          <w:szCs w:val="24"/>
        </w:rPr>
        <w:t>68420</w:t>
      </w:r>
    </w:p>
    <w:p w14:paraId="4A62DEBA" w14:textId="3318066A" w:rsidR="00682718" w:rsidRPr="00420528" w:rsidRDefault="00682718" w:rsidP="00881296">
      <w:pPr>
        <w:tabs>
          <w:tab w:val="left" w:pos="2694"/>
        </w:tabs>
        <w:ind w:left="851"/>
        <w:rPr>
          <w:sz w:val="24"/>
          <w:szCs w:val="24"/>
        </w:rPr>
      </w:pPr>
      <w:r w:rsidRPr="00420528">
        <w:rPr>
          <w:sz w:val="24"/>
          <w:szCs w:val="24"/>
        </w:rPr>
        <w:t>120 mikrogram</w:t>
      </w:r>
      <w:r w:rsidR="009C1256" w:rsidRPr="00420528">
        <w:rPr>
          <w:sz w:val="24"/>
          <w:szCs w:val="24"/>
        </w:rPr>
        <w:t xml:space="preserve">: </w:t>
      </w:r>
      <w:r w:rsidR="00566526" w:rsidRPr="00420528">
        <w:rPr>
          <w:sz w:val="24"/>
          <w:szCs w:val="24"/>
        </w:rPr>
        <w:tab/>
      </w:r>
      <w:r w:rsidR="009C1256" w:rsidRPr="00420528">
        <w:rPr>
          <w:sz w:val="24"/>
          <w:szCs w:val="24"/>
        </w:rPr>
        <w:t>68421</w:t>
      </w:r>
    </w:p>
    <w:p w14:paraId="4E077344" w14:textId="3BBADAC3" w:rsidR="00682718" w:rsidRPr="00420528" w:rsidRDefault="00682718" w:rsidP="00881296">
      <w:pPr>
        <w:tabs>
          <w:tab w:val="left" w:pos="2694"/>
        </w:tabs>
        <w:ind w:left="851"/>
        <w:rPr>
          <w:b/>
          <w:sz w:val="24"/>
          <w:szCs w:val="24"/>
          <w:highlight w:val="yellow"/>
        </w:rPr>
      </w:pPr>
      <w:r w:rsidRPr="00420528">
        <w:rPr>
          <w:sz w:val="24"/>
          <w:szCs w:val="24"/>
        </w:rPr>
        <w:t>240 mikrogram</w:t>
      </w:r>
      <w:r w:rsidR="009C1256" w:rsidRPr="00420528">
        <w:rPr>
          <w:sz w:val="24"/>
          <w:szCs w:val="24"/>
        </w:rPr>
        <w:t xml:space="preserve">: </w:t>
      </w:r>
      <w:r w:rsidR="00566526" w:rsidRPr="00420528">
        <w:rPr>
          <w:sz w:val="24"/>
          <w:szCs w:val="24"/>
        </w:rPr>
        <w:tab/>
      </w:r>
      <w:r w:rsidR="009C1256" w:rsidRPr="00420528">
        <w:rPr>
          <w:sz w:val="24"/>
          <w:szCs w:val="24"/>
        </w:rPr>
        <w:t>68422</w:t>
      </w:r>
    </w:p>
    <w:p w14:paraId="275336C1" w14:textId="77777777" w:rsidR="009260DE" w:rsidRPr="00420528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E6864C7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9.</w:t>
      </w:r>
      <w:r w:rsidRPr="00420528">
        <w:rPr>
          <w:b/>
          <w:sz w:val="24"/>
          <w:szCs w:val="24"/>
        </w:rPr>
        <w:tab/>
        <w:t>DATO FOR FØRSTE MARKEDSFØRINGSTILLADELSE</w:t>
      </w:r>
    </w:p>
    <w:p w14:paraId="45EEF7E4" w14:textId="06D499BB" w:rsidR="009260DE" w:rsidRPr="00420528" w:rsidRDefault="00682718" w:rsidP="009260DE">
      <w:pPr>
        <w:tabs>
          <w:tab w:val="left" w:pos="851"/>
        </w:tabs>
        <w:ind w:left="851"/>
        <w:rPr>
          <w:sz w:val="24"/>
          <w:szCs w:val="24"/>
        </w:rPr>
      </w:pPr>
      <w:r w:rsidRPr="00420528">
        <w:rPr>
          <w:sz w:val="24"/>
          <w:szCs w:val="24"/>
        </w:rPr>
        <w:t>12. oktober 2023</w:t>
      </w:r>
    </w:p>
    <w:p w14:paraId="7BA8B83F" w14:textId="77777777" w:rsidR="009260DE" w:rsidRPr="0042052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B14199" w14:textId="77777777" w:rsidR="009260DE" w:rsidRPr="0042052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0528">
        <w:rPr>
          <w:b/>
          <w:sz w:val="24"/>
          <w:szCs w:val="24"/>
        </w:rPr>
        <w:t>10.</w:t>
      </w:r>
      <w:r w:rsidRPr="00420528">
        <w:rPr>
          <w:b/>
          <w:sz w:val="24"/>
          <w:szCs w:val="24"/>
        </w:rPr>
        <w:tab/>
        <w:t>DATO FOR ÆNDRING AF TEKSTEN</w:t>
      </w:r>
    </w:p>
    <w:p w14:paraId="352E5609" w14:textId="67565A9E" w:rsidR="009260DE" w:rsidRPr="00420528" w:rsidRDefault="0014531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3. februar 2025</w:t>
      </w:r>
      <w:bookmarkStart w:id="4" w:name="_GoBack"/>
      <w:bookmarkEnd w:id="4"/>
    </w:p>
    <w:sectPr w:rsidR="009260DE" w:rsidRPr="00420528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09E1A" w14:textId="77777777" w:rsidR="00881296" w:rsidRDefault="00881296">
      <w:r>
        <w:separator/>
      </w:r>
    </w:p>
  </w:endnote>
  <w:endnote w:type="continuationSeparator" w:id="0">
    <w:p w14:paraId="213175B6" w14:textId="77777777" w:rsidR="00881296" w:rsidRDefault="0088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BE75" w14:textId="77777777" w:rsidR="00881296" w:rsidRDefault="00881296">
    <w:pPr>
      <w:pStyle w:val="Sidefod"/>
      <w:pBdr>
        <w:bottom w:val="single" w:sz="6" w:space="1" w:color="auto"/>
      </w:pBdr>
    </w:pPr>
  </w:p>
  <w:p w14:paraId="04EA6846" w14:textId="77777777" w:rsidR="00881296" w:rsidRDefault="00881296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2FAEE9C5" w14:textId="6AF9FC34" w:rsidR="00881296" w:rsidRPr="00B373D7" w:rsidRDefault="00881296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63983">
      <w:rPr>
        <w:i/>
        <w:noProof/>
        <w:sz w:val="18"/>
        <w:szCs w:val="18"/>
      </w:rPr>
      <w:t>Desmopressin Teva B.V., sublinguale resoribletter 60 mikrogram, 120 mikrogram og 240 mikrogram.docx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9209" w14:textId="77777777" w:rsidR="00881296" w:rsidRDefault="00881296">
      <w:r>
        <w:separator/>
      </w:r>
    </w:p>
  </w:footnote>
  <w:footnote w:type="continuationSeparator" w:id="0">
    <w:p w14:paraId="132B4ADA" w14:textId="77777777" w:rsidR="00881296" w:rsidRDefault="0088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19B"/>
    <w:multiLevelType w:val="hybridMultilevel"/>
    <w:tmpl w:val="C62C0608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7D2D8C"/>
    <w:multiLevelType w:val="hybridMultilevel"/>
    <w:tmpl w:val="E702B6D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4FA7292"/>
    <w:multiLevelType w:val="hybridMultilevel"/>
    <w:tmpl w:val="FDF09744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FFFFFFFF">
      <w:start w:val="1"/>
      <w:numFmt w:val="bullet"/>
      <w:lvlText w:val="-"/>
      <w:lvlJc w:val="left"/>
      <w:pPr>
        <w:ind w:left="1080" w:hanging="360"/>
      </w:pPr>
    </w:lvl>
    <w:lvl w:ilvl="2" w:tplc="B4A2201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C5CFC"/>
    <w:multiLevelType w:val="hybridMultilevel"/>
    <w:tmpl w:val="DD5A434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F5F88"/>
    <w:multiLevelType w:val="hybridMultilevel"/>
    <w:tmpl w:val="C468733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8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71C3B5E"/>
    <w:multiLevelType w:val="hybridMultilevel"/>
    <w:tmpl w:val="A9D6E364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501EA0"/>
    <w:multiLevelType w:val="hybridMultilevel"/>
    <w:tmpl w:val="49C47172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3E96A4A"/>
    <w:multiLevelType w:val="hybridMultilevel"/>
    <w:tmpl w:val="BD3405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22F7A48"/>
    <w:multiLevelType w:val="hybridMultilevel"/>
    <w:tmpl w:val="D12AC66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7359A"/>
    <w:multiLevelType w:val="hybridMultilevel"/>
    <w:tmpl w:val="11C2AA82"/>
    <w:lvl w:ilvl="0" w:tplc="3654B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473A"/>
    <w:multiLevelType w:val="hybridMultilevel"/>
    <w:tmpl w:val="7902E570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3"/>
    <w:rsid w:val="000259B9"/>
    <w:rsid w:val="00041491"/>
    <w:rsid w:val="00050D16"/>
    <w:rsid w:val="000730CA"/>
    <w:rsid w:val="00074F2A"/>
    <w:rsid w:val="0009259F"/>
    <w:rsid w:val="000A1CA8"/>
    <w:rsid w:val="000A466B"/>
    <w:rsid w:val="000B058C"/>
    <w:rsid w:val="000D68B0"/>
    <w:rsid w:val="000E4EE6"/>
    <w:rsid w:val="00145315"/>
    <w:rsid w:val="001454E2"/>
    <w:rsid w:val="00174006"/>
    <w:rsid w:val="00206CE8"/>
    <w:rsid w:val="0021526C"/>
    <w:rsid w:val="00263833"/>
    <w:rsid w:val="00283A2B"/>
    <w:rsid w:val="002B30AD"/>
    <w:rsid w:val="002C1EC0"/>
    <w:rsid w:val="002C2C01"/>
    <w:rsid w:val="00312C19"/>
    <w:rsid w:val="003A29AE"/>
    <w:rsid w:val="003A32D7"/>
    <w:rsid w:val="003B4074"/>
    <w:rsid w:val="003C769A"/>
    <w:rsid w:val="003D3A90"/>
    <w:rsid w:val="003F1838"/>
    <w:rsid w:val="00420528"/>
    <w:rsid w:val="0045746C"/>
    <w:rsid w:val="0049104B"/>
    <w:rsid w:val="004B42F3"/>
    <w:rsid w:val="004E3B12"/>
    <w:rsid w:val="00532310"/>
    <w:rsid w:val="00565F0F"/>
    <w:rsid w:val="00566526"/>
    <w:rsid w:val="00594A86"/>
    <w:rsid w:val="00596D86"/>
    <w:rsid w:val="00637F5A"/>
    <w:rsid w:val="00641C65"/>
    <w:rsid w:val="006560B1"/>
    <w:rsid w:val="006756DD"/>
    <w:rsid w:val="00682718"/>
    <w:rsid w:val="00703FE3"/>
    <w:rsid w:val="0071241E"/>
    <w:rsid w:val="00737275"/>
    <w:rsid w:val="00740EEC"/>
    <w:rsid w:val="007624B8"/>
    <w:rsid w:val="0078011A"/>
    <w:rsid w:val="00782AF4"/>
    <w:rsid w:val="00790EE7"/>
    <w:rsid w:val="007B6649"/>
    <w:rsid w:val="00813BE8"/>
    <w:rsid w:val="0082576E"/>
    <w:rsid w:val="00881296"/>
    <w:rsid w:val="00907F75"/>
    <w:rsid w:val="009260DE"/>
    <w:rsid w:val="0093258A"/>
    <w:rsid w:val="00975F40"/>
    <w:rsid w:val="009C1256"/>
    <w:rsid w:val="009C7BA3"/>
    <w:rsid w:val="009D1F5A"/>
    <w:rsid w:val="00A10294"/>
    <w:rsid w:val="00A63983"/>
    <w:rsid w:val="00B003BF"/>
    <w:rsid w:val="00B373D7"/>
    <w:rsid w:val="00B55271"/>
    <w:rsid w:val="00BD7931"/>
    <w:rsid w:val="00BF6243"/>
    <w:rsid w:val="00C32201"/>
    <w:rsid w:val="00C36276"/>
    <w:rsid w:val="00C42586"/>
    <w:rsid w:val="00C45F6B"/>
    <w:rsid w:val="00C60CCD"/>
    <w:rsid w:val="00C84483"/>
    <w:rsid w:val="00C86C2A"/>
    <w:rsid w:val="00C95551"/>
    <w:rsid w:val="00CB20D7"/>
    <w:rsid w:val="00D020B0"/>
    <w:rsid w:val="00D11748"/>
    <w:rsid w:val="00D237F6"/>
    <w:rsid w:val="00D34D98"/>
    <w:rsid w:val="00D366CF"/>
    <w:rsid w:val="00D93992"/>
    <w:rsid w:val="00DF48D9"/>
    <w:rsid w:val="00E108AA"/>
    <w:rsid w:val="00E3749A"/>
    <w:rsid w:val="00E7437F"/>
    <w:rsid w:val="00E865B8"/>
    <w:rsid w:val="00EC0B9B"/>
    <w:rsid w:val="00ED5E9F"/>
    <w:rsid w:val="00F54D98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8EB92"/>
  <w15:chartTrackingRefBased/>
  <w15:docId w15:val="{98BD46BF-9BBC-4EC1-BF2C-19193698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9C1256"/>
    <w:pPr>
      <w:ind w:left="720"/>
      <w:contextualSpacing/>
    </w:pPr>
    <w:rPr>
      <w:sz w:val="22"/>
    </w:rPr>
  </w:style>
  <w:style w:type="character" w:customStyle="1" w:styleId="Overskrift3Tegn">
    <w:name w:val="Overskrift 3 Tegn"/>
    <w:basedOn w:val="Standardskrifttypeiafsnit"/>
    <w:link w:val="Overskrift3"/>
    <w:rsid w:val="009C1256"/>
    <w:rPr>
      <w:rFonts w:ascii="Arial" w:hAnsi="Arial"/>
      <w:sz w:val="24"/>
      <w:lang w:eastAsia="en-US"/>
    </w:rPr>
  </w:style>
  <w:style w:type="character" w:styleId="Hyperlink">
    <w:name w:val="Hyperlink"/>
    <w:uiPriority w:val="99"/>
    <w:semiHidden/>
    <w:unhideWhenUsed/>
    <w:rsid w:val="009C1256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semiHidden/>
    <w:unhideWhenUsed/>
    <w:rsid w:val="009C1256"/>
    <w:pPr>
      <w:spacing w:after="120"/>
      <w:ind w:left="283"/>
    </w:pPr>
    <w:rPr>
      <w:sz w:val="24"/>
      <w:lang w:eastAsia="en-GB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9C1256"/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0</TotalTime>
  <Pages>13</Pages>
  <Words>3601</Words>
  <Characters>24154</Characters>
  <Application>Microsoft Office Word</Application>
  <DocSecurity>0</DocSecurity>
  <Lines>201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2024121158 pkt. 6.4</dc:description>
  <cp:lastModifiedBy>Helle Søndersted</cp:lastModifiedBy>
  <cp:revision>2</cp:revision>
  <cp:lastPrinted>2012-08-22T08:53:00Z</cp:lastPrinted>
  <dcterms:created xsi:type="dcterms:W3CDTF">2025-02-03T08:16:00Z</dcterms:created>
  <dcterms:modified xsi:type="dcterms:W3CDTF">2025-02-03T08:16:00Z</dcterms:modified>
</cp:coreProperties>
</file>