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802" w:rsidRPr="008F49E1" w:rsidRDefault="00D35802" w:rsidP="00D35802">
      <w:pPr>
        <w:rPr>
          <w:sz w:val="24"/>
          <w:szCs w:val="24"/>
        </w:rPr>
      </w:pPr>
      <w:r w:rsidRPr="008F49E1">
        <w:rPr>
          <w:noProof/>
          <w:sz w:val="24"/>
          <w:szCs w:val="24"/>
          <w:lang w:eastAsia="da-DK"/>
        </w:rPr>
        <w:drawing>
          <wp:inline distT="0" distB="0" distL="0" distR="0" wp14:anchorId="0AC878C1" wp14:editId="47CD2C33">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D35802" w:rsidRDefault="00D35802" w:rsidP="00D35802">
      <w:pPr>
        <w:pStyle w:val="Titel"/>
        <w:tabs>
          <w:tab w:val="right" w:pos="9356"/>
        </w:tabs>
        <w:jc w:val="left"/>
        <w:rPr>
          <w:b w:val="0"/>
          <w:szCs w:val="24"/>
          <w:lang w:eastAsia="en-US"/>
        </w:rPr>
      </w:pPr>
    </w:p>
    <w:p w:rsidR="00D35802" w:rsidRDefault="00D35802" w:rsidP="00D35802">
      <w:pPr>
        <w:pStyle w:val="Titel"/>
        <w:tabs>
          <w:tab w:val="right" w:pos="9356"/>
        </w:tabs>
        <w:jc w:val="left"/>
        <w:rPr>
          <w:szCs w:val="24"/>
        </w:rPr>
      </w:pPr>
      <w:r w:rsidRPr="00735382">
        <w:rPr>
          <w:b w:val="0"/>
          <w:szCs w:val="24"/>
          <w:lang w:eastAsia="en-US"/>
        </w:rPr>
        <w:tab/>
      </w:r>
      <w:r w:rsidR="00267ADC">
        <w:rPr>
          <w:szCs w:val="24"/>
        </w:rPr>
        <w:t>12. oktober 2020</w:t>
      </w:r>
    </w:p>
    <w:p w:rsidR="00D35802" w:rsidRDefault="00D35802" w:rsidP="00D35802">
      <w:pPr>
        <w:rPr>
          <w:sz w:val="24"/>
          <w:szCs w:val="24"/>
        </w:rPr>
      </w:pPr>
    </w:p>
    <w:p w:rsidR="002A40F5" w:rsidRPr="00EC6B70" w:rsidRDefault="002A40F5" w:rsidP="00D35802">
      <w:pPr>
        <w:rPr>
          <w:sz w:val="24"/>
          <w:szCs w:val="24"/>
        </w:rPr>
      </w:pPr>
    </w:p>
    <w:p w:rsidR="00D35802" w:rsidRPr="00EC6B70" w:rsidRDefault="00D35802" w:rsidP="00D35802">
      <w:pPr>
        <w:rPr>
          <w:sz w:val="24"/>
          <w:szCs w:val="24"/>
        </w:rPr>
      </w:pPr>
    </w:p>
    <w:p w:rsidR="00D35802" w:rsidRPr="00735382" w:rsidRDefault="00D35802" w:rsidP="00D35802">
      <w:pPr>
        <w:jc w:val="center"/>
        <w:rPr>
          <w:b/>
          <w:sz w:val="24"/>
          <w:szCs w:val="24"/>
        </w:rPr>
      </w:pPr>
      <w:r w:rsidRPr="00735382">
        <w:rPr>
          <w:b/>
          <w:sz w:val="24"/>
          <w:szCs w:val="24"/>
        </w:rPr>
        <w:t>PRODUKTRESUMÉ</w:t>
      </w:r>
    </w:p>
    <w:p w:rsidR="00D35802" w:rsidRPr="00735382" w:rsidRDefault="00D35802" w:rsidP="00D35802">
      <w:pPr>
        <w:jc w:val="center"/>
        <w:rPr>
          <w:b/>
          <w:sz w:val="24"/>
          <w:szCs w:val="24"/>
        </w:rPr>
      </w:pPr>
    </w:p>
    <w:p w:rsidR="00D35802" w:rsidRPr="00735382" w:rsidRDefault="00D35802" w:rsidP="00D35802">
      <w:pPr>
        <w:jc w:val="center"/>
        <w:rPr>
          <w:b/>
          <w:sz w:val="24"/>
          <w:szCs w:val="24"/>
        </w:rPr>
      </w:pPr>
      <w:r w:rsidRPr="00735382">
        <w:rPr>
          <w:b/>
          <w:sz w:val="24"/>
          <w:szCs w:val="24"/>
        </w:rPr>
        <w:t>for</w:t>
      </w:r>
    </w:p>
    <w:p w:rsidR="00D35802" w:rsidRPr="00735382" w:rsidRDefault="00D35802" w:rsidP="00D35802">
      <w:pPr>
        <w:jc w:val="center"/>
        <w:rPr>
          <w:b/>
          <w:sz w:val="24"/>
          <w:szCs w:val="24"/>
        </w:rPr>
      </w:pPr>
    </w:p>
    <w:p w:rsidR="00D35802" w:rsidRPr="00735382" w:rsidRDefault="00D35802" w:rsidP="00D35802">
      <w:pPr>
        <w:jc w:val="center"/>
        <w:rPr>
          <w:b/>
          <w:sz w:val="24"/>
          <w:szCs w:val="24"/>
        </w:rPr>
      </w:pPr>
      <w:r w:rsidRPr="00735382">
        <w:rPr>
          <w:b/>
          <w:sz w:val="24"/>
          <w:szCs w:val="24"/>
        </w:rPr>
        <w:t xml:space="preserve">Desogestrel </w:t>
      </w:r>
      <w:r>
        <w:rPr>
          <w:b/>
          <w:sz w:val="24"/>
          <w:szCs w:val="24"/>
        </w:rPr>
        <w:t>"</w:t>
      </w:r>
      <w:r w:rsidRPr="00735382">
        <w:rPr>
          <w:b/>
          <w:sz w:val="24"/>
          <w:szCs w:val="24"/>
        </w:rPr>
        <w:t>Sandoz</w:t>
      </w:r>
      <w:r>
        <w:rPr>
          <w:b/>
          <w:sz w:val="24"/>
          <w:szCs w:val="24"/>
        </w:rPr>
        <w:t>"</w:t>
      </w:r>
      <w:r w:rsidRPr="00735382">
        <w:rPr>
          <w:b/>
          <w:sz w:val="24"/>
          <w:szCs w:val="24"/>
        </w:rPr>
        <w:t>, filmovertrukne tabletter</w:t>
      </w:r>
    </w:p>
    <w:p w:rsidR="00D35802" w:rsidRPr="004F0A5F" w:rsidRDefault="00D35802" w:rsidP="00D35802">
      <w:pPr>
        <w:jc w:val="both"/>
        <w:rPr>
          <w:sz w:val="24"/>
          <w:szCs w:val="24"/>
        </w:rPr>
      </w:pPr>
    </w:p>
    <w:p w:rsidR="00D35802" w:rsidRPr="004F0A5F" w:rsidRDefault="00D35802" w:rsidP="00D35802">
      <w:pPr>
        <w:jc w:val="both"/>
        <w:rPr>
          <w:sz w:val="24"/>
          <w:szCs w:val="24"/>
        </w:rPr>
      </w:pPr>
    </w:p>
    <w:p w:rsidR="00D35802" w:rsidRPr="004F0A5F" w:rsidRDefault="00D35802" w:rsidP="00D35802">
      <w:pPr>
        <w:numPr>
          <w:ilvl w:val="0"/>
          <w:numId w:val="1"/>
        </w:numPr>
        <w:tabs>
          <w:tab w:val="clear" w:pos="855"/>
          <w:tab w:val="left" w:pos="851"/>
        </w:tabs>
        <w:rPr>
          <w:b/>
          <w:sz w:val="24"/>
          <w:szCs w:val="24"/>
        </w:rPr>
      </w:pPr>
      <w:r w:rsidRPr="004F0A5F">
        <w:rPr>
          <w:b/>
          <w:sz w:val="24"/>
          <w:szCs w:val="24"/>
        </w:rPr>
        <w:t>D.SP.NR.</w:t>
      </w:r>
    </w:p>
    <w:p w:rsidR="00D35802" w:rsidRPr="004F0A5F" w:rsidRDefault="00D35802" w:rsidP="00D35802">
      <w:pPr>
        <w:tabs>
          <w:tab w:val="left" w:pos="851"/>
        </w:tabs>
        <w:rPr>
          <w:sz w:val="24"/>
          <w:szCs w:val="24"/>
        </w:rPr>
      </w:pPr>
      <w:r w:rsidRPr="004F0A5F">
        <w:rPr>
          <w:sz w:val="24"/>
          <w:szCs w:val="24"/>
        </w:rPr>
        <w:tab/>
        <w:t>27306</w:t>
      </w:r>
    </w:p>
    <w:p w:rsidR="00D35802" w:rsidRPr="004F0A5F" w:rsidRDefault="00D35802" w:rsidP="00D35802">
      <w:pPr>
        <w:tabs>
          <w:tab w:val="left" w:pos="851"/>
        </w:tabs>
        <w:rPr>
          <w:sz w:val="24"/>
          <w:szCs w:val="24"/>
        </w:rPr>
      </w:pPr>
    </w:p>
    <w:p w:rsidR="00D35802" w:rsidRPr="004F0A5F" w:rsidRDefault="00D35802" w:rsidP="00D35802">
      <w:pPr>
        <w:numPr>
          <w:ilvl w:val="0"/>
          <w:numId w:val="1"/>
        </w:numPr>
        <w:rPr>
          <w:b/>
          <w:sz w:val="24"/>
          <w:szCs w:val="24"/>
        </w:rPr>
      </w:pPr>
      <w:r w:rsidRPr="004F0A5F">
        <w:rPr>
          <w:b/>
          <w:sz w:val="24"/>
          <w:szCs w:val="24"/>
        </w:rPr>
        <w:t>LÆGEMIDLETS NAVN</w:t>
      </w:r>
    </w:p>
    <w:p w:rsidR="00D35802" w:rsidRPr="004F0A5F" w:rsidRDefault="00D35802" w:rsidP="00D35802">
      <w:pPr>
        <w:tabs>
          <w:tab w:val="left" w:pos="851"/>
        </w:tabs>
        <w:rPr>
          <w:sz w:val="24"/>
          <w:szCs w:val="24"/>
        </w:rPr>
      </w:pPr>
      <w:r w:rsidRPr="004F0A5F">
        <w:rPr>
          <w:sz w:val="24"/>
          <w:szCs w:val="24"/>
        </w:rPr>
        <w:tab/>
        <w:t xml:space="preserve">Desogestrel </w:t>
      </w:r>
      <w:r>
        <w:rPr>
          <w:sz w:val="24"/>
          <w:szCs w:val="24"/>
        </w:rPr>
        <w:t>"</w:t>
      </w:r>
      <w:r w:rsidRPr="004F0A5F">
        <w:rPr>
          <w:sz w:val="24"/>
          <w:szCs w:val="24"/>
        </w:rPr>
        <w:t>Sandoz</w:t>
      </w:r>
      <w:r>
        <w:rPr>
          <w:sz w:val="24"/>
          <w:szCs w:val="24"/>
        </w:rPr>
        <w:t>"</w:t>
      </w:r>
    </w:p>
    <w:p w:rsidR="00D35802" w:rsidRPr="004F0A5F" w:rsidRDefault="00D35802" w:rsidP="00D35802">
      <w:pPr>
        <w:tabs>
          <w:tab w:val="left" w:pos="851"/>
        </w:tabs>
        <w:rPr>
          <w:sz w:val="24"/>
          <w:szCs w:val="24"/>
        </w:rPr>
      </w:pPr>
      <w:r w:rsidRPr="004F0A5F">
        <w:rPr>
          <w:sz w:val="24"/>
          <w:szCs w:val="24"/>
        </w:rPr>
        <w:tab/>
      </w:r>
    </w:p>
    <w:p w:rsidR="00D35802" w:rsidRPr="004F0A5F" w:rsidRDefault="00D35802" w:rsidP="00D35802">
      <w:pPr>
        <w:numPr>
          <w:ilvl w:val="0"/>
          <w:numId w:val="1"/>
        </w:numPr>
        <w:rPr>
          <w:b/>
          <w:sz w:val="24"/>
          <w:szCs w:val="24"/>
        </w:rPr>
      </w:pPr>
      <w:r w:rsidRPr="004F0A5F">
        <w:rPr>
          <w:b/>
          <w:sz w:val="24"/>
          <w:szCs w:val="24"/>
        </w:rPr>
        <w:t>KVALITATIV OG KVANTITATIV SAMMENSÆTNING</w:t>
      </w:r>
    </w:p>
    <w:p w:rsidR="00D35802" w:rsidRPr="004F0A5F" w:rsidRDefault="00D35802" w:rsidP="00D35802">
      <w:pPr>
        <w:tabs>
          <w:tab w:val="left" w:pos="0"/>
          <w:tab w:val="left" w:pos="851"/>
        </w:tabs>
        <w:ind w:left="850" w:firstLine="1"/>
        <w:rPr>
          <w:spacing w:val="-3"/>
          <w:sz w:val="24"/>
          <w:szCs w:val="24"/>
        </w:rPr>
      </w:pPr>
      <w:r w:rsidRPr="004F0A5F">
        <w:rPr>
          <w:spacing w:val="-3"/>
          <w:sz w:val="24"/>
          <w:szCs w:val="24"/>
        </w:rPr>
        <w:t>Hver tablet indeholder 75 mikrogram desogestrel.</w:t>
      </w:r>
    </w:p>
    <w:p w:rsidR="00D35802" w:rsidRPr="004F0A5F" w:rsidRDefault="00D35802" w:rsidP="00D35802">
      <w:pPr>
        <w:tabs>
          <w:tab w:val="left" w:pos="0"/>
          <w:tab w:val="left" w:pos="851"/>
        </w:tabs>
        <w:rPr>
          <w:spacing w:val="-3"/>
          <w:sz w:val="24"/>
          <w:szCs w:val="24"/>
        </w:rPr>
      </w:pPr>
    </w:p>
    <w:p w:rsidR="00D35802" w:rsidRPr="000D6E8D" w:rsidRDefault="00D35802" w:rsidP="00D35802">
      <w:pPr>
        <w:tabs>
          <w:tab w:val="left" w:pos="0"/>
          <w:tab w:val="left" w:pos="851"/>
        </w:tabs>
        <w:ind w:left="850" w:firstLine="1"/>
        <w:rPr>
          <w:spacing w:val="-3"/>
          <w:sz w:val="24"/>
          <w:szCs w:val="24"/>
          <w:u w:val="single"/>
        </w:rPr>
      </w:pPr>
      <w:r w:rsidRPr="000D6E8D">
        <w:rPr>
          <w:spacing w:val="-3"/>
          <w:sz w:val="24"/>
          <w:szCs w:val="24"/>
          <w:u w:val="single"/>
        </w:rPr>
        <w:t>Hjælpestof, som behandleren skal være opmærksom på</w:t>
      </w:r>
    </w:p>
    <w:p w:rsidR="00D35802" w:rsidRDefault="00D35802" w:rsidP="00D35802">
      <w:pPr>
        <w:tabs>
          <w:tab w:val="left" w:pos="0"/>
          <w:tab w:val="left" w:pos="851"/>
        </w:tabs>
        <w:ind w:left="850" w:firstLine="1"/>
        <w:rPr>
          <w:spacing w:val="-3"/>
          <w:sz w:val="24"/>
          <w:szCs w:val="24"/>
        </w:rPr>
      </w:pPr>
      <w:r w:rsidRPr="004F0A5F">
        <w:rPr>
          <w:spacing w:val="-3"/>
          <w:sz w:val="24"/>
          <w:szCs w:val="24"/>
        </w:rPr>
        <w:t>5</w:t>
      </w:r>
      <w:r>
        <w:rPr>
          <w:spacing w:val="-3"/>
          <w:sz w:val="24"/>
          <w:szCs w:val="24"/>
        </w:rPr>
        <w:t>1,2</w:t>
      </w:r>
      <w:r w:rsidRPr="004F0A5F">
        <w:rPr>
          <w:spacing w:val="-3"/>
          <w:sz w:val="24"/>
          <w:szCs w:val="24"/>
        </w:rPr>
        <w:t xml:space="preserve"> mg lactose</w:t>
      </w:r>
      <w:r>
        <w:rPr>
          <w:spacing w:val="-3"/>
          <w:sz w:val="24"/>
          <w:szCs w:val="24"/>
        </w:rPr>
        <w:t xml:space="preserve"> (som </w:t>
      </w:r>
      <w:r w:rsidRPr="004F0A5F">
        <w:rPr>
          <w:spacing w:val="-3"/>
          <w:sz w:val="24"/>
          <w:szCs w:val="24"/>
        </w:rPr>
        <w:t>monohydrat</w:t>
      </w:r>
      <w:r>
        <w:rPr>
          <w:spacing w:val="-3"/>
          <w:sz w:val="24"/>
          <w:szCs w:val="24"/>
        </w:rPr>
        <w:t>)</w:t>
      </w:r>
      <w:r w:rsidRPr="004F0A5F">
        <w:rPr>
          <w:spacing w:val="-3"/>
          <w:sz w:val="24"/>
          <w:szCs w:val="24"/>
        </w:rPr>
        <w:t xml:space="preserve"> (se pkt. 4.4).</w:t>
      </w:r>
    </w:p>
    <w:p w:rsidR="00D35802" w:rsidRPr="004F0A5F" w:rsidRDefault="00D35802" w:rsidP="00D35802">
      <w:pPr>
        <w:tabs>
          <w:tab w:val="left" w:pos="0"/>
          <w:tab w:val="left" w:pos="851"/>
        </w:tabs>
        <w:ind w:left="850" w:firstLine="1"/>
        <w:rPr>
          <w:spacing w:val="-3"/>
          <w:sz w:val="24"/>
          <w:szCs w:val="24"/>
        </w:rPr>
      </w:pPr>
    </w:p>
    <w:p w:rsidR="00D35802" w:rsidRPr="004F0A5F" w:rsidRDefault="00D35802" w:rsidP="00D35802">
      <w:pPr>
        <w:tabs>
          <w:tab w:val="left" w:pos="851"/>
        </w:tabs>
        <w:ind w:left="851" w:firstLine="1"/>
        <w:rPr>
          <w:sz w:val="24"/>
          <w:szCs w:val="24"/>
        </w:rPr>
      </w:pPr>
      <w:r w:rsidRPr="004F0A5F">
        <w:rPr>
          <w:spacing w:val="-3"/>
          <w:sz w:val="24"/>
          <w:szCs w:val="24"/>
        </w:rPr>
        <w:t>Alle hjælpestoffer er anført under pkt. 6.1.</w:t>
      </w:r>
    </w:p>
    <w:p w:rsidR="00D35802" w:rsidRPr="004F0A5F" w:rsidRDefault="00D35802" w:rsidP="00D35802">
      <w:pPr>
        <w:tabs>
          <w:tab w:val="left" w:pos="851"/>
        </w:tabs>
        <w:ind w:firstLine="1"/>
        <w:rPr>
          <w:sz w:val="24"/>
          <w:szCs w:val="24"/>
        </w:rPr>
      </w:pPr>
    </w:p>
    <w:p w:rsidR="00D35802" w:rsidRPr="004F0A5F" w:rsidRDefault="00D35802" w:rsidP="00D35802">
      <w:pPr>
        <w:numPr>
          <w:ilvl w:val="0"/>
          <w:numId w:val="1"/>
        </w:numPr>
        <w:rPr>
          <w:b/>
          <w:sz w:val="24"/>
          <w:szCs w:val="24"/>
        </w:rPr>
      </w:pPr>
      <w:r w:rsidRPr="004F0A5F">
        <w:rPr>
          <w:b/>
          <w:sz w:val="24"/>
          <w:szCs w:val="24"/>
        </w:rPr>
        <w:t>LÆGEMIDDELFORM</w:t>
      </w:r>
    </w:p>
    <w:p w:rsidR="00D35802" w:rsidRPr="004F0A5F" w:rsidRDefault="00D35802" w:rsidP="00D35802">
      <w:pPr>
        <w:tabs>
          <w:tab w:val="left" w:pos="0"/>
          <w:tab w:val="left" w:pos="851"/>
        </w:tabs>
        <w:ind w:left="850" w:hanging="850"/>
        <w:rPr>
          <w:spacing w:val="-3"/>
          <w:sz w:val="24"/>
          <w:szCs w:val="24"/>
        </w:rPr>
      </w:pPr>
      <w:r w:rsidRPr="004F0A5F">
        <w:rPr>
          <w:sz w:val="24"/>
          <w:szCs w:val="24"/>
        </w:rPr>
        <w:tab/>
      </w:r>
      <w:r>
        <w:rPr>
          <w:spacing w:val="-3"/>
          <w:sz w:val="24"/>
          <w:szCs w:val="24"/>
        </w:rPr>
        <w:t>Filmovertrukne tabletter</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z w:val="24"/>
          <w:szCs w:val="24"/>
        </w:rPr>
      </w:pPr>
      <w:r w:rsidRPr="004F0A5F">
        <w:rPr>
          <w:spacing w:val="-3"/>
          <w:sz w:val="24"/>
          <w:szCs w:val="24"/>
        </w:rPr>
        <w:tab/>
        <w:t>Hvide, runde, filmovertrukne tabletter.</w:t>
      </w:r>
    </w:p>
    <w:p w:rsidR="00D35802" w:rsidRPr="004F0A5F" w:rsidRDefault="00D35802" w:rsidP="00D35802">
      <w:pPr>
        <w:tabs>
          <w:tab w:val="left" w:pos="851"/>
        </w:tabs>
        <w:rPr>
          <w:sz w:val="24"/>
          <w:szCs w:val="24"/>
        </w:rPr>
      </w:pPr>
    </w:p>
    <w:p w:rsidR="00D35802" w:rsidRPr="004F0A5F" w:rsidRDefault="00D35802" w:rsidP="00D35802">
      <w:pPr>
        <w:tabs>
          <w:tab w:val="left" w:pos="851"/>
        </w:tabs>
        <w:rPr>
          <w:sz w:val="24"/>
          <w:szCs w:val="24"/>
        </w:rPr>
      </w:pPr>
    </w:p>
    <w:p w:rsidR="00D35802" w:rsidRPr="004F0A5F" w:rsidRDefault="00D35802" w:rsidP="00D35802">
      <w:pPr>
        <w:numPr>
          <w:ilvl w:val="0"/>
          <w:numId w:val="1"/>
        </w:numPr>
        <w:rPr>
          <w:b/>
          <w:sz w:val="24"/>
          <w:szCs w:val="24"/>
        </w:rPr>
      </w:pPr>
      <w:r w:rsidRPr="004F0A5F">
        <w:rPr>
          <w:b/>
          <w:sz w:val="24"/>
          <w:szCs w:val="24"/>
        </w:rPr>
        <w:t>KLINISKE OPLYSNINGER</w:t>
      </w:r>
    </w:p>
    <w:p w:rsidR="00D35802" w:rsidRPr="004F0A5F" w:rsidRDefault="00D35802" w:rsidP="00D35802">
      <w:pPr>
        <w:tabs>
          <w:tab w:val="left" w:pos="851"/>
        </w:tabs>
        <w:rPr>
          <w:b/>
          <w:sz w:val="24"/>
          <w:szCs w:val="24"/>
        </w:rPr>
      </w:pPr>
    </w:p>
    <w:p w:rsidR="00D35802" w:rsidRPr="004F0A5F" w:rsidRDefault="00D35802" w:rsidP="00D35802">
      <w:pPr>
        <w:numPr>
          <w:ilvl w:val="1"/>
          <w:numId w:val="1"/>
        </w:numPr>
        <w:rPr>
          <w:b/>
          <w:sz w:val="24"/>
          <w:szCs w:val="24"/>
          <w:u w:val="single"/>
        </w:rPr>
      </w:pPr>
      <w:r w:rsidRPr="004F0A5F">
        <w:rPr>
          <w:b/>
          <w:sz w:val="24"/>
          <w:szCs w:val="24"/>
        </w:rPr>
        <w:t>Terapeutiske indikationer</w:t>
      </w:r>
    </w:p>
    <w:p w:rsidR="00D35802" w:rsidRPr="004F0A5F" w:rsidRDefault="00D35802" w:rsidP="00D35802">
      <w:pPr>
        <w:tabs>
          <w:tab w:val="left" w:pos="851"/>
        </w:tabs>
        <w:ind w:left="851" w:hanging="851"/>
        <w:rPr>
          <w:sz w:val="24"/>
          <w:szCs w:val="24"/>
        </w:rPr>
      </w:pPr>
      <w:r w:rsidRPr="004F0A5F">
        <w:rPr>
          <w:sz w:val="24"/>
          <w:szCs w:val="24"/>
        </w:rPr>
        <w:tab/>
      </w:r>
      <w:r w:rsidRPr="004F0A5F">
        <w:rPr>
          <w:spacing w:val="-3"/>
          <w:sz w:val="24"/>
          <w:szCs w:val="24"/>
        </w:rPr>
        <w:t>Svangerskabsforebyggelse.</w:t>
      </w:r>
    </w:p>
    <w:p w:rsidR="00D35802" w:rsidRPr="004F0A5F" w:rsidRDefault="00D35802" w:rsidP="00D35802">
      <w:pPr>
        <w:tabs>
          <w:tab w:val="left" w:pos="851"/>
        </w:tabs>
        <w:rPr>
          <w:sz w:val="24"/>
          <w:szCs w:val="24"/>
        </w:rPr>
      </w:pPr>
    </w:p>
    <w:p w:rsidR="00D35802" w:rsidRPr="004F0A5F" w:rsidRDefault="00D35802" w:rsidP="00D35802">
      <w:pPr>
        <w:numPr>
          <w:ilvl w:val="1"/>
          <w:numId w:val="1"/>
        </w:numPr>
        <w:rPr>
          <w:b/>
          <w:sz w:val="24"/>
          <w:szCs w:val="24"/>
        </w:rPr>
      </w:pPr>
      <w:r w:rsidRPr="004F0A5F">
        <w:rPr>
          <w:b/>
          <w:sz w:val="24"/>
          <w:szCs w:val="24"/>
        </w:rPr>
        <w:t>Dosering og indgivelsesmåde</w:t>
      </w:r>
    </w:p>
    <w:p w:rsidR="00D35802" w:rsidRPr="004F0A5F" w:rsidRDefault="00D35802" w:rsidP="00D35802">
      <w:pPr>
        <w:tabs>
          <w:tab w:val="left" w:pos="0"/>
          <w:tab w:val="left" w:pos="851"/>
        </w:tabs>
        <w:ind w:left="855"/>
        <w:rPr>
          <w:sz w:val="24"/>
          <w:szCs w:val="24"/>
        </w:rPr>
      </w:pPr>
    </w:p>
    <w:p w:rsidR="00D35802" w:rsidRPr="00841F45" w:rsidRDefault="00D35802" w:rsidP="00D35802">
      <w:pPr>
        <w:tabs>
          <w:tab w:val="left" w:pos="0"/>
          <w:tab w:val="left" w:pos="851"/>
        </w:tabs>
        <w:ind w:left="855"/>
        <w:rPr>
          <w:b/>
          <w:sz w:val="24"/>
          <w:szCs w:val="24"/>
        </w:rPr>
      </w:pPr>
      <w:r w:rsidRPr="00841F45">
        <w:rPr>
          <w:b/>
          <w:sz w:val="24"/>
          <w:szCs w:val="24"/>
        </w:rPr>
        <w:t>Dosering</w:t>
      </w:r>
    </w:p>
    <w:p w:rsidR="00D35802" w:rsidRPr="004F0A5F" w:rsidRDefault="00D35802" w:rsidP="00D35802">
      <w:pPr>
        <w:tabs>
          <w:tab w:val="left" w:pos="0"/>
          <w:tab w:val="left" w:pos="851"/>
        </w:tabs>
        <w:ind w:left="855"/>
        <w:rPr>
          <w:sz w:val="24"/>
          <w:szCs w:val="24"/>
        </w:rPr>
      </w:pPr>
      <w:r w:rsidRPr="004F0A5F">
        <w:rPr>
          <w:sz w:val="24"/>
          <w:szCs w:val="24"/>
        </w:rPr>
        <w:t xml:space="preserve">For at opnå den svangerskabsforebyggende virkning skal Desogestrel </w:t>
      </w:r>
      <w:r>
        <w:rPr>
          <w:sz w:val="24"/>
          <w:szCs w:val="24"/>
        </w:rPr>
        <w:t>"Sandoz"</w:t>
      </w:r>
      <w:r w:rsidRPr="004F0A5F">
        <w:rPr>
          <w:sz w:val="24"/>
          <w:szCs w:val="24"/>
        </w:rPr>
        <w:t xml:space="preserve"> anvendes som anvist (se </w:t>
      </w:r>
      <w:r>
        <w:rPr>
          <w:sz w:val="24"/>
          <w:szCs w:val="24"/>
        </w:rPr>
        <w:t>"</w:t>
      </w:r>
      <w:r w:rsidRPr="004F0A5F">
        <w:rPr>
          <w:sz w:val="24"/>
          <w:szCs w:val="24"/>
        </w:rPr>
        <w:t xml:space="preserve">Sådan tages Desogestrel </w:t>
      </w:r>
      <w:r>
        <w:rPr>
          <w:sz w:val="24"/>
          <w:szCs w:val="24"/>
        </w:rPr>
        <w:t>"Sandoz""</w:t>
      </w:r>
      <w:r w:rsidRPr="004F0A5F">
        <w:rPr>
          <w:sz w:val="24"/>
          <w:szCs w:val="24"/>
        </w:rPr>
        <w:t xml:space="preserve"> og </w:t>
      </w:r>
      <w:r>
        <w:rPr>
          <w:sz w:val="24"/>
          <w:szCs w:val="24"/>
        </w:rPr>
        <w:t>"</w:t>
      </w:r>
      <w:r w:rsidRPr="004F0A5F">
        <w:rPr>
          <w:sz w:val="24"/>
          <w:szCs w:val="24"/>
        </w:rPr>
        <w:t xml:space="preserve">Sådan påbegyndes indtagelse af Desogestrel </w:t>
      </w:r>
      <w:r>
        <w:rPr>
          <w:sz w:val="24"/>
          <w:szCs w:val="24"/>
        </w:rPr>
        <w:t>"Sandoz""</w:t>
      </w:r>
      <w:r w:rsidRPr="004F0A5F">
        <w:rPr>
          <w:sz w:val="24"/>
          <w:szCs w:val="24"/>
        </w:rPr>
        <w:t xml:space="preserve">). </w:t>
      </w:r>
    </w:p>
    <w:p w:rsidR="00D35802" w:rsidRDefault="00D35802" w:rsidP="00D35802">
      <w:pPr>
        <w:rPr>
          <w:sz w:val="24"/>
          <w:szCs w:val="24"/>
        </w:rPr>
      </w:pPr>
      <w:r>
        <w:rPr>
          <w:sz w:val="24"/>
          <w:szCs w:val="24"/>
        </w:rPr>
        <w:br w:type="page"/>
      </w:r>
    </w:p>
    <w:p w:rsidR="00D35802" w:rsidRPr="004F0A5F" w:rsidRDefault="00D35802" w:rsidP="00D35802">
      <w:pPr>
        <w:tabs>
          <w:tab w:val="left" w:pos="0"/>
          <w:tab w:val="left" w:pos="851"/>
        </w:tabs>
        <w:ind w:left="855"/>
        <w:rPr>
          <w:sz w:val="24"/>
          <w:szCs w:val="24"/>
        </w:rPr>
      </w:pPr>
    </w:p>
    <w:p w:rsidR="00D35802" w:rsidRPr="004F0A5F" w:rsidRDefault="00D35802" w:rsidP="00D35802">
      <w:pPr>
        <w:tabs>
          <w:tab w:val="left" w:pos="0"/>
          <w:tab w:val="left" w:pos="851"/>
        </w:tabs>
        <w:ind w:left="855"/>
        <w:rPr>
          <w:sz w:val="24"/>
          <w:szCs w:val="24"/>
        </w:rPr>
      </w:pPr>
      <w:r w:rsidRPr="004F0A5F">
        <w:rPr>
          <w:sz w:val="24"/>
          <w:szCs w:val="24"/>
          <w:u w:val="single"/>
        </w:rPr>
        <w:t>Særlige populationer</w:t>
      </w:r>
    </w:p>
    <w:p w:rsidR="00D35802" w:rsidRDefault="00D35802" w:rsidP="00D35802">
      <w:pPr>
        <w:tabs>
          <w:tab w:val="left" w:pos="0"/>
          <w:tab w:val="left" w:pos="851"/>
        </w:tabs>
        <w:ind w:left="855"/>
        <w:rPr>
          <w:i/>
          <w:sz w:val="24"/>
          <w:szCs w:val="24"/>
        </w:rPr>
      </w:pPr>
    </w:p>
    <w:p w:rsidR="00D35802" w:rsidRPr="004F0A5F" w:rsidRDefault="00D35802" w:rsidP="00D35802">
      <w:pPr>
        <w:tabs>
          <w:tab w:val="left" w:pos="0"/>
          <w:tab w:val="left" w:pos="851"/>
        </w:tabs>
        <w:ind w:left="855"/>
        <w:rPr>
          <w:sz w:val="24"/>
          <w:szCs w:val="24"/>
        </w:rPr>
      </w:pPr>
      <w:r w:rsidRPr="004F0A5F">
        <w:rPr>
          <w:i/>
          <w:sz w:val="24"/>
          <w:szCs w:val="24"/>
        </w:rPr>
        <w:t>Nedsat nyrefunktion</w:t>
      </w:r>
    </w:p>
    <w:p w:rsidR="00D35802" w:rsidRPr="004F0A5F" w:rsidRDefault="00D35802" w:rsidP="00D35802">
      <w:pPr>
        <w:tabs>
          <w:tab w:val="left" w:pos="0"/>
          <w:tab w:val="left" w:pos="851"/>
        </w:tabs>
        <w:ind w:left="855"/>
        <w:rPr>
          <w:sz w:val="24"/>
          <w:szCs w:val="24"/>
        </w:rPr>
      </w:pPr>
      <w:r w:rsidRPr="004F0A5F">
        <w:rPr>
          <w:sz w:val="24"/>
          <w:szCs w:val="24"/>
        </w:rPr>
        <w:t>Der er ikke udført kliniske studier hos patienter med nedsat nyrefunktion.</w:t>
      </w:r>
    </w:p>
    <w:p w:rsidR="00D35802" w:rsidRPr="004F0A5F" w:rsidRDefault="00D35802" w:rsidP="00D35802">
      <w:pPr>
        <w:tabs>
          <w:tab w:val="left" w:pos="0"/>
          <w:tab w:val="left" w:pos="851"/>
        </w:tabs>
        <w:ind w:left="855"/>
        <w:rPr>
          <w:sz w:val="24"/>
          <w:szCs w:val="24"/>
        </w:rPr>
      </w:pPr>
    </w:p>
    <w:p w:rsidR="00D35802" w:rsidRPr="004F0A5F" w:rsidRDefault="00D35802" w:rsidP="00D35802">
      <w:pPr>
        <w:tabs>
          <w:tab w:val="left" w:pos="0"/>
          <w:tab w:val="left" w:pos="851"/>
        </w:tabs>
        <w:ind w:left="855"/>
        <w:rPr>
          <w:sz w:val="24"/>
          <w:szCs w:val="24"/>
        </w:rPr>
      </w:pPr>
      <w:r w:rsidRPr="004F0A5F">
        <w:rPr>
          <w:i/>
          <w:sz w:val="24"/>
          <w:szCs w:val="24"/>
        </w:rPr>
        <w:t>Nedsat leverfunktion</w:t>
      </w:r>
    </w:p>
    <w:p w:rsidR="00D35802" w:rsidRPr="004F0A5F" w:rsidRDefault="00D35802" w:rsidP="00D35802">
      <w:pPr>
        <w:tabs>
          <w:tab w:val="left" w:pos="0"/>
          <w:tab w:val="left" w:pos="851"/>
        </w:tabs>
        <w:ind w:left="855"/>
        <w:rPr>
          <w:sz w:val="24"/>
          <w:szCs w:val="24"/>
        </w:rPr>
      </w:pPr>
      <w:r w:rsidRPr="004F0A5F">
        <w:rPr>
          <w:sz w:val="24"/>
          <w:szCs w:val="24"/>
        </w:rPr>
        <w:t xml:space="preserve">Der er ikke udført kliniske studier hos patienter med nedsat leverfunktion. Da omsætningen af steroidhormoner kan være nedsat hos patienter med leversygdom, er anvendelse af Desogestrel </w:t>
      </w:r>
      <w:r>
        <w:rPr>
          <w:sz w:val="24"/>
          <w:szCs w:val="24"/>
        </w:rPr>
        <w:t>"Sandoz"</w:t>
      </w:r>
      <w:r w:rsidRPr="004F0A5F">
        <w:rPr>
          <w:sz w:val="24"/>
          <w:szCs w:val="24"/>
        </w:rPr>
        <w:t xml:space="preserve"> hos disse kvinder kontraindiceret så længe leverfunktionsværdierne ikke er normale (se pkt. 4.3).</w:t>
      </w:r>
    </w:p>
    <w:p w:rsidR="00D35802" w:rsidRPr="004F0A5F" w:rsidRDefault="00D35802" w:rsidP="00D35802">
      <w:pPr>
        <w:tabs>
          <w:tab w:val="left" w:pos="0"/>
          <w:tab w:val="left" w:pos="851"/>
        </w:tabs>
        <w:ind w:left="855"/>
        <w:rPr>
          <w:sz w:val="24"/>
          <w:szCs w:val="24"/>
        </w:rPr>
      </w:pPr>
    </w:p>
    <w:p w:rsidR="00D35802" w:rsidRPr="004F0A5F" w:rsidRDefault="00D35802" w:rsidP="00D35802">
      <w:pPr>
        <w:tabs>
          <w:tab w:val="left" w:pos="0"/>
          <w:tab w:val="left" w:pos="851"/>
        </w:tabs>
        <w:ind w:left="855"/>
        <w:rPr>
          <w:sz w:val="24"/>
          <w:szCs w:val="24"/>
        </w:rPr>
      </w:pPr>
      <w:r w:rsidRPr="004F0A5F">
        <w:rPr>
          <w:i/>
          <w:sz w:val="24"/>
          <w:szCs w:val="24"/>
          <w:u w:val="single"/>
        </w:rPr>
        <w:t>Pædiatrisk population</w:t>
      </w:r>
    </w:p>
    <w:p w:rsidR="00D35802" w:rsidRPr="004F0A5F" w:rsidRDefault="00D35802" w:rsidP="00D35802">
      <w:pPr>
        <w:tabs>
          <w:tab w:val="left" w:pos="0"/>
          <w:tab w:val="left" w:pos="851"/>
        </w:tabs>
        <w:ind w:left="855"/>
        <w:rPr>
          <w:sz w:val="24"/>
          <w:szCs w:val="24"/>
        </w:rPr>
      </w:pPr>
      <w:r w:rsidRPr="004F0A5F">
        <w:rPr>
          <w:sz w:val="24"/>
          <w:szCs w:val="24"/>
        </w:rPr>
        <w:t xml:space="preserve">Desogestrel </w:t>
      </w:r>
      <w:r>
        <w:rPr>
          <w:sz w:val="24"/>
          <w:szCs w:val="24"/>
        </w:rPr>
        <w:t>"Sandoz"s</w:t>
      </w:r>
      <w:r w:rsidRPr="004F0A5F">
        <w:rPr>
          <w:sz w:val="24"/>
          <w:szCs w:val="24"/>
        </w:rPr>
        <w:t xml:space="preserve"> sikkerhed og virkning hos unge under 18 år er ikke klarlagt. Der foreligger ingen data.</w:t>
      </w:r>
    </w:p>
    <w:p w:rsidR="00D35802" w:rsidRPr="004F0A5F" w:rsidRDefault="00D35802" w:rsidP="00D35802">
      <w:pPr>
        <w:tabs>
          <w:tab w:val="left" w:pos="0"/>
          <w:tab w:val="left" w:pos="851"/>
        </w:tabs>
        <w:ind w:left="855"/>
        <w:rPr>
          <w:sz w:val="24"/>
          <w:szCs w:val="24"/>
        </w:rPr>
      </w:pPr>
    </w:p>
    <w:p w:rsidR="00D35802" w:rsidRPr="0058347C" w:rsidRDefault="00D35802" w:rsidP="00D35802">
      <w:pPr>
        <w:tabs>
          <w:tab w:val="left" w:pos="0"/>
          <w:tab w:val="left" w:pos="851"/>
        </w:tabs>
        <w:ind w:left="855"/>
        <w:rPr>
          <w:b/>
          <w:sz w:val="24"/>
          <w:szCs w:val="24"/>
        </w:rPr>
      </w:pPr>
      <w:r w:rsidRPr="0058347C">
        <w:rPr>
          <w:b/>
          <w:sz w:val="24"/>
          <w:szCs w:val="24"/>
        </w:rPr>
        <w:t>Administration</w:t>
      </w:r>
    </w:p>
    <w:p w:rsidR="00D35802" w:rsidRPr="004F0A5F" w:rsidRDefault="00D35802" w:rsidP="00D35802">
      <w:pPr>
        <w:tabs>
          <w:tab w:val="left" w:pos="0"/>
          <w:tab w:val="left" w:pos="851"/>
        </w:tabs>
        <w:ind w:left="855"/>
        <w:rPr>
          <w:sz w:val="24"/>
          <w:szCs w:val="24"/>
        </w:rPr>
      </w:pPr>
      <w:r w:rsidRPr="004F0A5F">
        <w:rPr>
          <w:sz w:val="24"/>
          <w:szCs w:val="24"/>
        </w:rPr>
        <w:t>Oral anvendelse.</w:t>
      </w:r>
    </w:p>
    <w:p w:rsidR="00D35802" w:rsidRPr="0058347C" w:rsidRDefault="00D35802" w:rsidP="00D35802">
      <w:pPr>
        <w:tabs>
          <w:tab w:val="left" w:pos="0"/>
          <w:tab w:val="left" w:pos="851"/>
        </w:tabs>
        <w:ind w:left="855"/>
        <w:rPr>
          <w:sz w:val="24"/>
          <w:szCs w:val="24"/>
          <w:u w:val="single"/>
        </w:rPr>
      </w:pPr>
    </w:p>
    <w:p w:rsidR="00D35802" w:rsidRPr="0058347C" w:rsidRDefault="00D35802" w:rsidP="00D35802">
      <w:pPr>
        <w:tabs>
          <w:tab w:val="left" w:pos="0"/>
          <w:tab w:val="left" w:pos="851"/>
        </w:tabs>
        <w:ind w:left="855"/>
        <w:rPr>
          <w:sz w:val="24"/>
          <w:szCs w:val="24"/>
          <w:u w:val="single"/>
        </w:rPr>
      </w:pPr>
      <w:r w:rsidRPr="0058347C">
        <w:rPr>
          <w:sz w:val="24"/>
          <w:szCs w:val="24"/>
          <w:u w:val="single"/>
        </w:rPr>
        <w:t xml:space="preserve">Sådan tages Desogestrel </w:t>
      </w:r>
      <w:r>
        <w:rPr>
          <w:sz w:val="24"/>
          <w:szCs w:val="24"/>
          <w:u w:val="single"/>
        </w:rPr>
        <w:t>"</w:t>
      </w:r>
      <w:r w:rsidRPr="0058347C">
        <w:rPr>
          <w:sz w:val="24"/>
          <w:szCs w:val="24"/>
          <w:u w:val="single"/>
        </w:rPr>
        <w:t>Sandoz</w:t>
      </w:r>
      <w:r>
        <w:rPr>
          <w:sz w:val="24"/>
          <w:szCs w:val="24"/>
          <w:u w:val="single"/>
        </w:rPr>
        <w:t>"</w:t>
      </w:r>
    </w:p>
    <w:p w:rsidR="00D35802" w:rsidRPr="004F0A5F" w:rsidRDefault="00D35802" w:rsidP="00D35802">
      <w:pPr>
        <w:tabs>
          <w:tab w:val="left" w:pos="0"/>
          <w:tab w:val="left" w:pos="851"/>
        </w:tabs>
        <w:ind w:left="855"/>
        <w:rPr>
          <w:spacing w:val="-3"/>
          <w:sz w:val="24"/>
          <w:szCs w:val="24"/>
        </w:rPr>
      </w:pPr>
      <w:r w:rsidRPr="004F0A5F">
        <w:rPr>
          <w:spacing w:val="-3"/>
          <w:sz w:val="24"/>
          <w:szCs w:val="24"/>
        </w:rPr>
        <w:t>Tabletterne bør tages på det samme tidspunkt hver dag, således at intervallet mellem 2 tabletter altid er 24 timer. Den første tablet bør tages på menstruationens 1. dag. Herefter tages kontinuerligt 1 tablet daglig, uden at der tages hensyn til evt. blødninger. Der startes på en ny blisterpakning umiddelbart efter, at alle tabletterne i den foregående pakning er taget.</w:t>
      </w:r>
    </w:p>
    <w:p w:rsidR="00D35802" w:rsidRPr="004F0A5F" w:rsidRDefault="00D35802" w:rsidP="00D35802">
      <w:pPr>
        <w:tabs>
          <w:tab w:val="left" w:pos="0"/>
          <w:tab w:val="left" w:pos="851"/>
        </w:tabs>
        <w:ind w:left="855"/>
        <w:rPr>
          <w:spacing w:val="-3"/>
          <w:sz w:val="24"/>
          <w:szCs w:val="24"/>
        </w:rPr>
      </w:pPr>
    </w:p>
    <w:p w:rsidR="00D35802" w:rsidRPr="0058347C" w:rsidRDefault="00D35802" w:rsidP="00D35802">
      <w:pPr>
        <w:tabs>
          <w:tab w:val="left" w:pos="0"/>
          <w:tab w:val="left" w:pos="851"/>
        </w:tabs>
        <w:ind w:left="850" w:firstLine="1"/>
        <w:rPr>
          <w:spacing w:val="-3"/>
          <w:sz w:val="24"/>
          <w:szCs w:val="24"/>
          <w:u w:val="single"/>
        </w:rPr>
      </w:pPr>
      <w:r w:rsidRPr="0058347C">
        <w:rPr>
          <w:spacing w:val="-3"/>
          <w:sz w:val="24"/>
          <w:szCs w:val="24"/>
          <w:u w:val="single"/>
        </w:rPr>
        <w:t xml:space="preserve">Sådan påbegyndes indtagelse af Desogestrel </w:t>
      </w:r>
      <w:r>
        <w:rPr>
          <w:spacing w:val="-3"/>
          <w:sz w:val="24"/>
          <w:szCs w:val="24"/>
          <w:u w:val="single"/>
        </w:rPr>
        <w:t>"</w:t>
      </w:r>
      <w:r w:rsidRPr="0058347C">
        <w:rPr>
          <w:spacing w:val="-3"/>
          <w:sz w:val="24"/>
          <w:szCs w:val="24"/>
          <w:u w:val="single"/>
        </w:rPr>
        <w:t>Sandoz</w:t>
      </w:r>
      <w:r>
        <w:rPr>
          <w:spacing w:val="-3"/>
          <w:sz w:val="24"/>
          <w:szCs w:val="24"/>
          <w:u w:val="single"/>
        </w:rPr>
        <w:t>"</w:t>
      </w:r>
    </w:p>
    <w:p w:rsidR="00D35802" w:rsidRDefault="00D35802" w:rsidP="00D35802">
      <w:pPr>
        <w:tabs>
          <w:tab w:val="left" w:pos="0"/>
          <w:tab w:val="left" w:pos="851"/>
        </w:tabs>
        <w:ind w:left="850" w:hanging="850"/>
        <w:rPr>
          <w:spacing w:val="-3"/>
          <w:sz w:val="24"/>
          <w:szCs w:val="24"/>
        </w:rPr>
      </w:pPr>
      <w:r w:rsidRPr="004F0A5F">
        <w:rPr>
          <w:spacing w:val="-3"/>
          <w:sz w:val="24"/>
          <w:szCs w:val="24"/>
        </w:rPr>
        <w:tab/>
      </w:r>
    </w:p>
    <w:p w:rsidR="00D35802" w:rsidRPr="0058347C" w:rsidRDefault="00D35802" w:rsidP="00D35802">
      <w:pPr>
        <w:tabs>
          <w:tab w:val="left" w:pos="0"/>
          <w:tab w:val="left" w:pos="851"/>
        </w:tabs>
        <w:ind w:left="850" w:firstLine="1"/>
        <w:rPr>
          <w:i/>
          <w:spacing w:val="-3"/>
          <w:sz w:val="24"/>
          <w:szCs w:val="24"/>
        </w:rPr>
      </w:pPr>
      <w:r w:rsidRPr="0058347C">
        <w:rPr>
          <w:i/>
          <w:spacing w:val="-3"/>
          <w:sz w:val="24"/>
          <w:szCs w:val="24"/>
        </w:rPr>
        <w:t>Ingen forudgående indtagelse af hormonale kontraceptiva (inden for den sidste måned)</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Tabletindtagelsen skal påbegyndes på dag 1 i kvindens naturlige cyklus (dvs. på den første dag kvinden har en menstruationsblødning). Det er tilladt at påbegynde indtagelsen på dag 2-5, men i første cyklus tilrådes det at benytte en barrieremetode samtidig i de første 7 dage af tabletindtagelsen.</w:t>
      </w:r>
    </w:p>
    <w:p w:rsidR="00D35802" w:rsidRPr="004F0A5F" w:rsidRDefault="00D35802" w:rsidP="00D35802">
      <w:pPr>
        <w:tabs>
          <w:tab w:val="left" w:pos="0"/>
          <w:tab w:val="left" w:pos="851"/>
        </w:tabs>
        <w:ind w:left="850" w:hanging="850"/>
        <w:rPr>
          <w:spacing w:val="-3"/>
          <w:sz w:val="24"/>
          <w:szCs w:val="24"/>
        </w:rPr>
      </w:pPr>
    </w:p>
    <w:p w:rsidR="00D35802" w:rsidRPr="0058347C" w:rsidRDefault="00D35802" w:rsidP="00D35802">
      <w:pPr>
        <w:tabs>
          <w:tab w:val="left" w:pos="0"/>
          <w:tab w:val="left" w:pos="851"/>
        </w:tabs>
        <w:ind w:left="850" w:hanging="850"/>
        <w:rPr>
          <w:i/>
          <w:spacing w:val="-3"/>
          <w:sz w:val="24"/>
          <w:szCs w:val="24"/>
        </w:rPr>
      </w:pPr>
      <w:r w:rsidRPr="0058347C">
        <w:rPr>
          <w:i/>
          <w:spacing w:val="-3"/>
          <w:sz w:val="24"/>
          <w:szCs w:val="24"/>
        </w:rPr>
        <w:tab/>
        <w:t>Efter abort i 1. trimester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Efter abort i 1. trimester bør behandlingen startes straks. I dette tilfælde er det ikke nødvendigt at anvende anden svangerskabs</w:t>
      </w:r>
      <w:r w:rsidRPr="004F0A5F">
        <w:rPr>
          <w:spacing w:val="-3"/>
          <w:sz w:val="24"/>
          <w:szCs w:val="24"/>
        </w:rPr>
        <w:softHyphen/>
        <w:t>forebyggende metode.</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r>
    </w:p>
    <w:p w:rsidR="00D35802" w:rsidRPr="0058347C" w:rsidRDefault="00D35802" w:rsidP="00D35802">
      <w:pPr>
        <w:tabs>
          <w:tab w:val="left" w:pos="0"/>
          <w:tab w:val="left" w:pos="851"/>
        </w:tabs>
        <w:ind w:left="850" w:hanging="850"/>
        <w:rPr>
          <w:i/>
          <w:spacing w:val="-3"/>
          <w:sz w:val="24"/>
          <w:szCs w:val="24"/>
        </w:rPr>
      </w:pPr>
      <w:r w:rsidRPr="0058347C">
        <w:rPr>
          <w:i/>
          <w:spacing w:val="-3"/>
          <w:sz w:val="24"/>
          <w:szCs w:val="24"/>
        </w:rPr>
        <w:tab/>
        <w:t>Efter fødsel eller abort i 2. trimester</w:t>
      </w:r>
    </w:p>
    <w:p w:rsidR="00D35802" w:rsidRPr="004F0A5F" w:rsidRDefault="00D35802" w:rsidP="00D35802">
      <w:pPr>
        <w:tabs>
          <w:tab w:val="left" w:pos="0"/>
          <w:tab w:val="left" w:pos="851"/>
        </w:tabs>
        <w:ind w:left="850" w:hanging="850"/>
        <w:rPr>
          <w:spacing w:val="-3"/>
          <w:sz w:val="24"/>
          <w:szCs w:val="24"/>
        </w:rPr>
      </w:pPr>
      <w:r>
        <w:rPr>
          <w:spacing w:val="-3"/>
          <w:sz w:val="24"/>
          <w:szCs w:val="24"/>
        </w:rPr>
        <w:tab/>
      </w:r>
      <w:r w:rsidRPr="004F0A5F">
        <w:rPr>
          <w:spacing w:val="-3"/>
          <w:sz w:val="24"/>
          <w:szCs w:val="24"/>
        </w:rPr>
        <w:t xml:space="preserve">Kvinden bør rådes til at starte en dag mellem dag 21 og 28 efter fødsel eller abort i 2. trimester. Ved senere start bør hun rådes til samtidigt at benytte en barrieremetode i de første 7 dage af tabletindtagelsen. Hvis samleje allerede har fundet sted, skal graviditet udelukkes før indtagelse af Desogestrel </w:t>
      </w:r>
      <w:r>
        <w:rPr>
          <w:spacing w:val="-3"/>
          <w:sz w:val="24"/>
          <w:szCs w:val="24"/>
        </w:rPr>
        <w:t>"Sandoz"</w:t>
      </w:r>
      <w:r w:rsidRPr="004F0A5F">
        <w:rPr>
          <w:spacing w:val="-3"/>
          <w:sz w:val="24"/>
          <w:szCs w:val="24"/>
        </w:rPr>
        <w:t xml:space="preserve"> påbegyndes, eller også skal kvinden vente til den første menstruationsperiode.</w:t>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 xml:space="preserve">Yderligere oplysninger for ammende kvinder: Se </w:t>
      </w:r>
      <w:r>
        <w:rPr>
          <w:spacing w:val="-3"/>
          <w:sz w:val="24"/>
          <w:szCs w:val="24"/>
        </w:rPr>
        <w:t>pkt.</w:t>
      </w:r>
      <w:r w:rsidRPr="004F0A5F">
        <w:rPr>
          <w:spacing w:val="-3"/>
          <w:sz w:val="24"/>
          <w:szCs w:val="24"/>
        </w:rPr>
        <w:t xml:space="preserve"> 4.6.</w:t>
      </w:r>
    </w:p>
    <w:p w:rsidR="00D35802" w:rsidRDefault="00D35802" w:rsidP="00D35802">
      <w:pPr>
        <w:rPr>
          <w:spacing w:val="-3"/>
          <w:sz w:val="24"/>
          <w:szCs w:val="24"/>
        </w:rPr>
      </w:pPr>
      <w:r>
        <w:rPr>
          <w:spacing w:val="-3"/>
          <w:sz w:val="24"/>
          <w:szCs w:val="24"/>
        </w:rPr>
        <w:br w:type="page"/>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u w:val="single"/>
        </w:rPr>
      </w:pPr>
      <w:r w:rsidRPr="004F0A5F">
        <w:rPr>
          <w:spacing w:val="-3"/>
          <w:sz w:val="24"/>
          <w:szCs w:val="24"/>
        </w:rPr>
        <w:tab/>
      </w:r>
      <w:r>
        <w:rPr>
          <w:spacing w:val="-3"/>
          <w:sz w:val="24"/>
          <w:szCs w:val="24"/>
          <w:u w:val="single"/>
        </w:rPr>
        <w:t>Sådan</w:t>
      </w:r>
      <w:r w:rsidRPr="004F0A5F">
        <w:rPr>
          <w:spacing w:val="-3"/>
          <w:sz w:val="24"/>
          <w:szCs w:val="24"/>
          <w:u w:val="single"/>
        </w:rPr>
        <w:t xml:space="preserve"> påbegyndes indtagelse af Desogestrel </w:t>
      </w:r>
      <w:r>
        <w:rPr>
          <w:spacing w:val="-3"/>
          <w:sz w:val="24"/>
          <w:szCs w:val="24"/>
          <w:u w:val="single"/>
        </w:rPr>
        <w:t>"</w:t>
      </w:r>
      <w:r w:rsidRPr="004F0A5F">
        <w:rPr>
          <w:spacing w:val="-3"/>
          <w:sz w:val="24"/>
          <w:szCs w:val="24"/>
          <w:u w:val="single"/>
        </w:rPr>
        <w:t>Sandoz</w:t>
      </w:r>
      <w:r>
        <w:rPr>
          <w:spacing w:val="-3"/>
          <w:sz w:val="24"/>
          <w:szCs w:val="24"/>
          <w:u w:val="single"/>
        </w:rPr>
        <w:t>"</w:t>
      </w:r>
      <w:r w:rsidRPr="004F0A5F">
        <w:rPr>
          <w:spacing w:val="-3"/>
          <w:sz w:val="24"/>
          <w:szCs w:val="24"/>
          <w:u w:val="single"/>
        </w:rPr>
        <w:t>, når der skiftes fra andre svangerskabsforebyggende metoder</w:t>
      </w:r>
    </w:p>
    <w:p w:rsidR="00D35802" w:rsidRPr="004F0A5F" w:rsidRDefault="00D35802" w:rsidP="00D35802">
      <w:pPr>
        <w:tabs>
          <w:tab w:val="left" w:pos="0"/>
          <w:tab w:val="left" w:pos="851"/>
        </w:tabs>
        <w:ind w:left="850" w:hanging="850"/>
        <w:rPr>
          <w:i/>
          <w:spacing w:val="-3"/>
          <w:sz w:val="24"/>
          <w:szCs w:val="24"/>
        </w:rPr>
      </w:pPr>
      <w:r w:rsidRPr="004F0A5F">
        <w:rPr>
          <w:spacing w:val="-3"/>
          <w:sz w:val="24"/>
          <w:szCs w:val="24"/>
        </w:rPr>
        <w:tab/>
      </w:r>
      <w:r w:rsidRPr="004F0A5F">
        <w:rPr>
          <w:i/>
          <w:spacing w:val="-3"/>
          <w:sz w:val="24"/>
          <w:szCs w:val="24"/>
        </w:rPr>
        <w:tab/>
      </w:r>
    </w:p>
    <w:p w:rsidR="00D35802" w:rsidRPr="004F0A5F" w:rsidRDefault="00D35802" w:rsidP="00D35802">
      <w:pPr>
        <w:tabs>
          <w:tab w:val="left" w:pos="0"/>
          <w:tab w:val="left" w:pos="851"/>
        </w:tabs>
        <w:ind w:left="850" w:hanging="850"/>
        <w:rPr>
          <w:i/>
          <w:spacing w:val="-3"/>
          <w:sz w:val="24"/>
          <w:szCs w:val="24"/>
        </w:rPr>
      </w:pPr>
      <w:r w:rsidRPr="004F0A5F">
        <w:rPr>
          <w:i/>
          <w:spacing w:val="-3"/>
          <w:sz w:val="24"/>
          <w:szCs w:val="24"/>
        </w:rPr>
        <w:tab/>
        <w:t>Ved skift fra et hormonelt antikonceptionsmiddel af kombinationstypen (p-pille, p-ring, p-plaster)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 xml:space="preserve">Kvinden bør så vidt muligt starte med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dagen efter, hun tog den sidste aktive tablet (den sidste tablet indeholdende aktivt stof) i sin tidligere p-pillepakke, eller den dag hun fjerner sin p-ring eller p-plaster. I disse tilfælde er samtidig anvendelse af anden svangerskabsforebyggende metode ikke nødvendig. Muligvis er ikke alle svangerskabsforebyggende metoder tilgængelige i alle EU-lande. </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 xml:space="preserve">Kvinden kan også starte med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senest dagen efter den sædvanlige tabletfrie, plasterfrie eller ringfrie periode eller den placebotabletperiode, kvinden havde med sit foregående kombinationspræparat. I alle disse tilfælde tilrådes det samtidigt at anvende en barrieremetode de første 7 dage af tabletindtagelsen.</w:t>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i/>
          <w:spacing w:val="-3"/>
          <w:sz w:val="24"/>
          <w:szCs w:val="24"/>
        </w:rPr>
      </w:pPr>
      <w:r w:rsidRPr="004F0A5F">
        <w:rPr>
          <w:spacing w:val="-3"/>
          <w:sz w:val="24"/>
          <w:szCs w:val="24"/>
        </w:rPr>
        <w:tab/>
      </w:r>
      <w:r w:rsidRPr="004F0A5F">
        <w:rPr>
          <w:i/>
          <w:spacing w:val="-3"/>
          <w:sz w:val="24"/>
          <w:szCs w:val="24"/>
        </w:rPr>
        <w:t>Ved skift fra rene gestagenpræparater (minipiller, injektion, implantat eller hormonspiral)</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Kvinden kan skifte fra minipiller på hvilken dag, det skal være (ved skift fra implantat eller hormonspiral på den dag hvor implantatet/hormonspiralen fjernes; ved skift fra injektion når næste injektion skulle have været givet).</w:t>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b/>
          <w:spacing w:val="-3"/>
          <w:sz w:val="24"/>
          <w:szCs w:val="24"/>
        </w:rPr>
      </w:pPr>
      <w:r w:rsidRPr="004F0A5F">
        <w:rPr>
          <w:spacing w:val="-3"/>
          <w:sz w:val="24"/>
          <w:szCs w:val="24"/>
        </w:rPr>
        <w:tab/>
      </w:r>
      <w:r w:rsidRPr="004F0A5F">
        <w:rPr>
          <w:spacing w:val="-3"/>
          <w:sz w:val="24"/>
          <w:szCs w:val="24"/>
          <w:u w:val="single"/>
        </w:rPr>
        <w:t>Glemte tabletter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Den svangerskabsforebyggende virkning kan blive nedsat, hvis der er gået mere end 36 timer mellem indtagelse af 2 tabletter. Hvis brugeren tager tabletten op til 12 timer for sent, bør den glemte tablet tages, så snart hun husker det, og den næste tablet bør tages til sædvanlig tid. Hvis tabletten tages mere end 12 timer for sent, bør der anvendes en anden svangerskabsfore</w:t>
      </w:r>
      <w:r w:rsidRPr="004F0A5F">
        <w:rPr>
          <w:spacing w:val="-3"/>
          <w:sz w:val="24"/>
          <w:szCs w:val="24"/>
        </w:rPr>
        <w:softHyphen/>
        <w:t>byggende metode i de følgende 7 dage. Hvis tabletten glemmes i den første uge</w:t>
      </w:r>
      <w:r>
        <w:rPr>
          <w:spacing w:val="-3"/>
          <w:sz w:val="24"/>
          <w:szCs w:val="24"/>
        </w:rPr>
        <w:t xml:space="preserve"> efter påbegyndt indtagelse af Desogestrel "Sandoz"</w:t>
      </w:r>
      <w:r w:rsidRPr="004F0A5F">
        <w:rPr>
          <w:spacing w:val="-3"/>
          <w:sz w:val="24"/>
          <w:szCs w:val="24"/>
        </w:rPr>
        <w:t xml:space="preserve"> og samleje har fundet sted i de seneste 7 dage forinden, bør man overveje muligheden for graviditet. </w:t>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u w:val="single"/>
        </w:rPr>
      </w:pPr>
      <w:r w:rsidRPr="004F0A5F">
        <w:rPr>
          <w:spacing w:val="-3"/>
          <w:sz w:val="24"/>
          <w:szCs w:val="24"/>
        </w:rPr>
        <w:tab/>
      </w:r>
      <w:r w:rsidRPr="004F0A5F">
        <w:rPr>
          <w:spacing w:val="-3"/>
          <w:sz w:val="24"/>
          <w:szCs w:val="24"/>
          <w:u w:val="single"/>
        </w:rPr>
        <w:t>Gastrointestinale forstyrrelser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I tilfælde af alvorlige gastrointestinale forstyrrelser vil absorptionen muligvis ikke være fuldstændig, og andre svangerskabsforebyggende forholdsregler bør tages. Hvis der forekommer opkastning inden for 3-4 timer efter tabletindtagelse, vil absorptionen muligvis ikke være fuldstændig. I disse tilfælde følges de samme retningslin</w:t>
      </w:r>
      <w:r>
        <w:rPr>
          <w:spacing w:val="-3"/>
          <w:sz w:val="24"/>
          <w:szCs w:val="24"/>
        </w:rPr>
        <w:t>j</w:t>
      </w:r>
      <w:r w:rsidRPr="004F0A5F">
        <w:rPr>
          <w:spacing w:val="-3"/>
          <w:sz w:val="24"/>
          <w:szCs w:val="24"/>
        </w:rPr>
        <w:t>er som ved glemte tabletter ovenfor.</w:t>
      </w:r>
    </w:p>
    <w:p w:rsidR="00D35802" w:rsidRPr="004F0A5F" w:rsidRDefault="00D35802" w:rsidP="00D35802">
      <w:pPr>
        <w:tabs>
          <w:tab w:val="left" w:pos="0"/>
          <w:tab w:val="left" w:pos="851"/>
        </w:tabs>
        <w:rPr>
          <w:spacing w:val="-3"/>
          <w:sz w:val="24"/>
          <w:szCs w:val="24"/>
        </w:rPr>
      </w:pPr>
    </w:p>
    <w:p w:rsidR="00D35802" w:rsidRPr="004F0A5F" w:rsidRDefault="00D35802" w:rsidP="00D35802">
      <w:pPr>
        <w:tabs>
          <w:tab w:val="left" w:pos="0"/>
          <w:tab w:val="left" w:pos="851"/>
        </w:tabs>
        <w:ind w:left="850" w:hanging="850"/>
        <w:rPr>
          <w:spacing w:val="-3"/>
          <w:sz w:val="24"/>
          <w:szCs w:val="24"/>
          <w:u w:val="single"/>
        </w:rPr>
      </w:pPr>
      <w:r w:rsidRPr="004F0A5F">
        <w:rPr>
          <w:b/>
          <w:spacing w:val="-3"/>
          <w:sz w:val="24"/>
          <w:szCs w:val="24"/>
        </w:rPr>
        <w:tab/>
      </w:r>
      <w:r w:rsidRPr="004F0A5F">
        <w:rPr>
          <w:spacing w:val="-3"/>
          <w:sz w:val="24"/>
          <w:szCs w:val="24"/>
          <w:u w:val="single"/>
        </w:rPr>
        <w:t>Kontrol under behandlingen</w:t>
      </w:r>
    </w:p>
    <w:p w:rsidR="00D35802" w:rsidRDefault="00D35802" w:rsidP="00D35802">
      <w:pPr>
        <w:tabs>
          <w:tab w:val="left" w:pos="0"/>
          <w:tab w:val="left" w:pos="851"/>
        </w:tabs>
        <w:ind w:left="850" w:hanging="850"/>
        <w:rPr>
          <w:spacing w:val="-3"/>
          <w:sz w:val="24"/>
          <w:szCs w:val="24"/>
        </w:rPr>
      </w:pPr>
      <w:r w:rsidRPr="004F0A5F">
        <w:rPr>
          <w:spacing w:val="-3"/>
          <w:sz w:val="24"/>
          <w:szCs w:val="24"/>
        </w:rPr>
        <w:tab/>
        <w:t xml:space="preserve">Før ordination af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bør der optages en fuldstændig anamnese, og det anbefales at udføre en grundig gynækologisk undersøgelse for at udelukke gra</w:t>
      </w:r>
      <w:r w:rsidRPr="004F0A5F">
        <w:rPr>
          <w:spacing w:val="-3"/>
          <w:sz w:val="24"/>
          <w:szCs w:val="24"/>
        </w:rPr>
        <w:softHyphen/>
        <w:t>viditet. Blødningsforstyrrelser, såsom oligomenoré og amenoré, bør under</w:t>
      </w:r>
      <w:r w:rsidRPr="004F0A5F">
        <w:rPr>
          <w:spacing w:val="-3"/>
          <w:sz w:val="24"/>
          <w:szCs w:val="24"/>
        </w:rPr>
        <w:softHyphen/>
        <w:t>søges før ordination. Intervallet mellem kontrollerne afhænger af omstændig</w:t>
      </w:r>
      <w:r w:rsidRPr="004F0A5F">
        <w:rPr>
          <w:spacing w:val="-3"/>
          <w:sz w:val="24"/>
          <w:szCs w:val="24"/>
        </w:rPr>
        <w:softHyphen/>
        <w:t>hederne i hvert enkelt tilfælde. Hvis det ordinerede produkt kan tænkes at in</w:t>
      </w:r>
      <w:r w:rsidRPr="004F0A5F">
        <w:rPr>
          <w:spacing w:val="-3"/>
          <w:sz w:val="24"/>
          <w:szCs w:val="24"/>
        </w:rPr>
        <w:softHyphen/>
        <w:t>fluere på en latent eller manifest sygdom (se pkt. 4.4), bør kontrolundersø</w:t>
      </w:r>
      <w:r w:rsidRPr="004F0A5F">
        <w:rPr>
          <w:spacing w:val="-3"/>
          <w:sz w:val="24"/>
          <w:szCs w:val="24"/>
        </w:rPr>
        <w:softHyphen/>
        <w:t>gels</w:t>
      </w:r>
      <w:r>
        <w:rPr>
          <w:spacing w:val="-3"/>
          <w:sz w:val="24"/>
          <w:szCs w:val="24"/>
        </w:rPr>
        <w:t>erne afpasses i henhold hertil.</w:t>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rPr>
      </w:pPr>
      <w:r>
        <w:rPr>
          <w:spacing w:val="-3"/>
          <w:sz w:val="24"/>
          <w:szCs w:val="24"/>
        </w:rPr>
        <w:tab/>
        <w:t>Selv</w:t>
      </w:r>
      <w:r w:rsidRPr="004F0A5F">
        <w:rPr>
          <w:spacing w:val="-3"/>
          <w:sz w:val="24"/>
          <w:szCs w:val="24"/>
        </w:rPr>
        <w:t xml:space="preserve">om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tages regelmæssigt, kan der opstå blød</w:t>
      </w:r>
      <w:r w:rsidRPr="004F0A5F">
        <w:rPr>
          <w:spacing w:val="-3"/>
          <w:sz w:val="24"/>
          <w:szCs w:val="24"/>
        </w:rPr>
        <w:softHyphen/>
        <w:t>ningsforstyrrelser. Hvis blødning forekommer meget hyppigt og ure</w:t>
      </w:r>
      <w:r w:rsidRPr="004F0A5F">
        <w:rPr>
          <w:spacing w:val="-3"/>
          <w:sz w:val="24"/>
          <w:szCs w:val="24"/>
        </w:rPr>
        <w:softHyphen/>
        <w:t>gelmæssigt, bør man overveje en anden svangerskabsfore</w:t>
      </w:r>
      <w:r w:rsidRPr="004F0A5F">
        <w:rPr>
          <w:spacing w:val="-3"/>
          <w:sz w:val="24"/>
          <w:szCs w:val="24"/>
        </w:rPr>
        <w:softHyphen/>
        <w:t>byggende metode. Hvis symptomerne vedvarer, bør en organisk årsag udelukkes.</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lastRenderedPageBreak/>
        <w:tab/>
        <w:t>Behandling af amenoré under p-pille-brug afhænger af, hvorvidt tabletterne er taget i henhold til vejledningen, og kan omfatte en graviditetstest.</w:t>
      </w:r>
    </w:p>
    <w:p w:rsidR="00D35802" w:rsidRPr="004F0A5F" w:rsidRDefault="00D35802" w:rsidP="00D35802">
      <w:pPr>
        <w:tabs>
          <w:tab w:val="left" w:pos="851"/>
        </w:tabs>
        <w:ind w:left="851" w:hanging="851"/>
        <w:rPr>
          <w:spacing w:val="-3"/>
          <w:sz w:val="24"/>
          <w:szCs w:val="24"/>
        </w:rPr>
      </w:pPr>
      <w:r w:rsidRPr="004F0A5F">
        <w:rPr>
          <w:spacing w:val="-3"/>
          <w:sz w:val="24"/>
          <w:szCs w:val="24"/>
        </w:rPr>
        <w:tab/>
      </w:r>
    </w:p>
    <w:p w:rsidR="00D35802" w:rsidRPr="004F0A5F" w:rsidRDefault="00D35802" w:rsidP="00D35802">
      <w:pPr>
        <w:tabs>
          <w:tab w:val="left" w:pos="851"/>
        </w:tabs>
        <w:ind w:left="851" w:hanging="851"/>
        <w:rPr>
          <w:spacing w:val="-3"/>
          <w:sz w:val="24"/>
          <w:szCs w:val="24"/>
        </w:rPr>
      </w:pPr>
      <w:r w:rsidRPr="004F0A5F">
        <w:rPr>
          <w:spacing w:val="-3"/>
          <w:sz w:val="24"/>
          <w:szCs w:val="24"/>
        </w:rPr>
        <w:tab/>
        <w:t>Behandlingen bør afbrydes, hvis graviditet indtræder.</w:t>
      </w:r>
    </w:p>
    <w:p w:rsidR="00D35802" w:rsidRPr="004F0A5F" w:rsidRDefault="00D35802" w:rsidP="00D35802">
      <w:pPr>
        <w:tabs>
          <w:tab w:val="left" w:pos="851"/>
        </w:tabs>
        <w:ind w:left="851" w:hanging="851"/>
        <w:rPr>
          <w:spacing w:val="-3"/>
          <w:sz w:val="24"/>
          <w:szCs w:val="24"/>
        </w:rPr>
      </w:pPr>
      <w:r w:rsidRPr="004F0A5F">
        <w:rPr>
          <w:spacing w:val="-3"/>
          <w:sz w:val="24"/>
          <w:szCs w:val="24"/>
        </w:rPr>
        <w:tab/>
      </w:r>
    </w:p>
    <w:p w:rsidR="00D35802" w:rsidRPr="004F0A5F" w:rsidRDefault="00D35802" w:rsidP="00D35802">
      <w:pPr>
        <w:tabs>
          <w:tab w:val="left" w:pos="851"/>
        </w:tabs>
        <w:ind w:left="851" w:hanging="851"/>
        <w:rPr>
          <w:sz w:val="24"/>
          <w:szCs w:val="24"/>
        </w:rPr>
      </w:pPr>
      <w:r w:rsidRPr="004F0A5F">
        <w:rPr>
          <w:spacing w:val="-3"/>
          <w:sz w:val="24"/>
          <w:szCs w:val="24"/>
        </w:rPr>
        <w:tab/>
        <w:t xml:space="preserve">Kvinden bør informeres om, at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ikke beskytter mod HIV (AIDS) og andre seksuelt overførte sygdomme.</w:t>
      </w:r>
    </w:p>
    <w:p w:rsidR="00D35802" w:rsidRPr="004F0A5F" w:rsidRDefault="00D35802" w:rsidP="00D35802">
      <w:pPr>
        <w:tabs>
          <w:tab w:val="left" w:pos="851"/>
        </w:tabs>
        <w:rPr>
          <w:sz w:val="24"/>
          <w:szCs w:val="24"/>
        </w:rPr>
      </w:pPr>
    </w:p>
    <w:p w:rsidR="00D35802" w:rsidRPr="004F0A5F" w:rsidRDefault="00D35802" w:rsidP="00D35802">
      <w:pPr>
        <w:numPr>
          <w:ilvl w:val="1"/>
          <w:numId w:val="1"/>
        </w:numPr>
        <w:rPr>
          <w:b/>
          <w:sz w:val="24"/>
          <w:szCs w:val="24"/>
        </w:rPr>
      </w:pPr>
      <w:r w:rsidRPr="004F0A5F">
        <w:rPr>
          <w:b/>
          <w:sz w:val="24"/>
          <w:szCs w:val="24"/>
        </w:rPr>
        <w:t>Kontraindikationer</w:t>
      </w:r>
    </w:p>
    <w:p w:rsidR="00D35802" w:rsidRPr="004F0A5F" w:rsidRDefault="00D35802" w:rsidP="00D35802">
      <w:pPr>
        <w:numPr>
          <w:ilvl w:val="0"/>
          <w:numId w:val="6"/>
        </w:numPr>
        <w:tabs>
          <w:tab w:val="clear" w:pos="720"/>
        </w:tabs>
        <w:ind w:left="1134" w:hanging="283"/>
        <w:rPr>
          <w:spacing w:val="-3"/>
          <w:sz w:val="24"/>
          <w:szCs w:val="24"/>
        </w:rPr>
      </w:pPr>
      <w:r w:rsidRPr="004F0A5F">
        <w:rPr>
          <w:spacing w:val="-3"/>
          <w:sz w:val="24"/>
          <w:szCs w:val="24"/>
        </w:rPr>
        <w:t>Overfølsomhed over for det aktive stof eller over for et eller flere af hjælpestofferne anført i punkt 6.1.</w:t>
      </w:r>
    </w:p>
    <w:p w:rsidR="00D35802" w:rsidRPr="004F0A5F" w:rsidRDefault="00D35802" w:rsidP="00D35802">
      <w:pPr>
        <w:numPr>
          <w:ilvl w:val="0"/>
          <w:numId w:val="6"/>
        </w:numPr>
        <w:tabs>
          <w:tab w:val="clear" w:pos="720"/>
        </w:tabs>
        <w:ind w:left="1134" w:hanging="283"/>
        <w:rPr>
          <w:spacing w:val="-3"/>
          <w:sz w:val="24"/>
          <w:szCs w:val="24"/>
        </w:rPr>
      </w:pPr>
      <w:r w:rsidRPr="004F0A5F">
        <w:rPr>
          <w:spacing w:val="-3"/>
          <w:sz w:val="24"/>
          <w:szCs w:val="24"/>
        </w:rPr>
        <w:t>Aktiv venøs tromboembolisk sygdom.</w:t>
      </w:r>
    </w:p>
    <w:p w:rsidR="00D35802" w:rsidRPr="004F0A5F" w:rsidRDefault="00D35802" w:rsidP="00D35802">
      <w:pPr>
        <w:numPr>
          <w:ilvl w:val="0"/>
          <w:numId w:val="6"/>
        </w:numPr>
        <w:tabs>
          <w:tab w:val="clear" w:pos="720"/>
        </w:tabs>
        <w:ind w:left="1134" w:hanging="283"/>
        <w:rPr>
          <w:spacing w:val="-3"/>
          <w:sz w:val="24"/>
          <w:szCs w:val="24"/>
        </w:rPr>
      </w:pPr>
      <w:r w:rsidRPr="004F0A5F">
        <w:rPr>
          <w:spacing w:val="-3"/>
          <w:sz w:val="24"/>
          <w:szCs w:val="24"/>
        </w:rPr>
        <w:t>Aktuel eller tidligere svær leversygdom, såfremt leverfunktions</w:t>
      </w:r>
      <w:r w:rsidRPr="004F0A5F">
        <w:rPr>
          <w:spacing w:val="-3"/>
          <w:sz w:val="24"/>
          <w:szCs w:val="24"/>
        </w:rPr>
        <w:softHyphen/>
        <w:t>værdierne ikke er normaliseret.</w:t>
      </w:r>
      <w:r w:rsidRPr="004F0A5F">
        <w:rPr>
          <w:spacing w:val="-3"/>
          <w:sz w:val="24"/>
          <w:szCs w:val="24"/>
        </w:rPr>
        <w:tab/>
      </w:r>
    </w:p>
    <w:p w:rsidR="00D35802" w:rsidRPr="004F0A5F" w:rsidRDefault="00D35802" w:rsidP="00D35802">
      <w:pPr>
        <w:numPr>
          <w:ilvl w:val="0"/>
          <w:numId w:val="6"/>
        </w:numPr>
        <w:tabs>
          <w:tab w:val="clear" w:pos="720"/>
        </w:tabs>
        <w:ind w:left="1134" w:hanging="283"/>
        <w:rPr>
          <w:spacing w:val="-3"/>
          <w:sz w:val="24"/>
          <w:szCs w:val="24"/>
        </w:rPr>
      </w:pPr>
      <w:r w:rsidRPr="004F0A5F">
        <w:rPr>
          <w:spacing w:val="-3"/>
          <w:sz w:val="24"/>
          <w:szCs w:val="24"/>
        </w:rPr>
        <w:t>Kendte eller mistænkte kønshormon-følsomme maligne sygdomme.</w:t>
      </w:r>
    </w:p>
    <w:p w:rsidR="00D35802" w:rsidRPr="004F0A5F" w:rsidRDefault="00D35802" w:rsidP="00D35802">
      <w:pPr>
        <w:numPr>
          <w:ilvl w:val="0"/>
          <w:numId w:val="6"/>
        </w:numPr>
        <w:tabs>
          <w:tab w:val="clear" w:pos="720"/>
        </w:tabs>
        <w:ind w:left="1134" w:hanging="283"/>
        <w:rPr>
          <w:sz w:val="24"/>
          <w:szCs w:val="24"/>
        </w:rPr>
      </w:pPr>
      <w:r w:rsidRPr="004F0A5F">
        <w:rPr>
          <w:spacing w:val="-3"/>
          <w:sz w:val="24"/>
          <w:szCs w:val="24"/>
        </w:rPr>
        <w:t>Udiagnosticeret vaginalblødning.</w:t>
      </w:r>
    </w:p>
    <w:p w:rsidR="00D35802" w:rsidRPr="004F0A5F" w:rsidRDefault="00D35802" w:rsidP="00D35802">
      <w:pPr>
        <w:ind w:left="1276" w:hanging="425"/>
        <w:rPr>
          <w:sz w:val="24"/>
          <w:szCs w:val="24"/>
        </w:rPr>
      </w:pPr>
    </w:p>
    <w:p w:rsidR="00D35802" w:rsidRPr="004F0A5F" w:rsidRDefault="00D35802" w:rsidP="00D35802">
      <w:pPr>
        <w:numPr>
          <w:ilvl w:val="1"/>
          <w:numId w:val="1"/>
        </w:numPr>
        <w:rPr>
          <w:b/>
          <w:sz w:val="24"/>
          <w:szCs w:val="24"/>
        </w:rPr>
      </w:pPr>
      <w:r w:rsidRPr="004F0A5F">
        <w:rPr>
          <w:b/>
          <w:sz w:val="24"/>
          <w:szCs w:val="24"/>
        </w:rPr>
        <w:t>Særlige advarsler og forsigtighedsregler vedrørende brugen</w:t>
      </w:r>
    </w:p>
    <w:p w:rsidR="00D35802" w:rsidRPr="004F0A5F" w:rsidRDefault="00D35802" w:rsidP="00D35802">
      <w:pPr>
        <w:tabs>
          <w:tab w:val="left" w:pos="0"/>
          <w:tab w:val="left" w:pos="851"/>
        </w:tabs>
        <w:ind w:left="855"/>
        <w:rPr>
          <w:sz w:val="24"/>
          <w:szCs w:val="24"/>
        </w:rPr>
      </w:pPr>
      <w:r w:rsidRPr="004F0A5F">
        <w:rPr>
          <w:sz w:val="24"/>
          <w:szCs w:val="24"/>
        </w:rPr>
        <w:t xml:space="preserve">Såfremt nogle af nedenstående tilstande/risikofaktorer er til stede, bør der foretages en vurdering af fordele og risici for den enkelte kvinde, og dette bør diskuteres med kvinden, inden hun starter med Desogestrel </w:t>
      </w:r>
      <w:r>
        <w:rPr>
          <w:sz w:val="24"/>
          <w:szCs w:val="24"/>
        </w:rPr>
        <w:t>"</w:t>
      </w:r>
      <w:r w:rsidRPr="004F0A5F">
        <w:rPr>
          <w:sz w:val="24"/>
          <w:szCs w:val="24"/>
        </w:rPr>
        <w:t>Sandoz</w:t>
      </w:r>
      <w:r>
        <w:rPr>
          <w:sz w:val="24"/>
          <w:szCs w:val="24"/>
        </w:rPr>
        <w:t>"</w:t>
      </w:r>
      <w:r w:rsidRPr="004F0A5F">
        <w:rPr>
          <w:sz w:val="24"/>
          <w:szCs w:val="24"/>
        </w:rPr>
        <w:t xml:space="preserve">. Såfremt nedenstående tilstande forværres eller opstår for første gang, bør kvinden kontakte lægen. Lægen må herefter beslutte, om brug af Desogestrel </w:t>
      </w:r>
      <w:r>
        <w:rPr>
          <w:sz w:val="24"/>
          <w:szCs w:val="24"/>
        </w:rPr>
        <w:t>"</w:t>
      </w:r>
      <w:r w:rsidRPr="004F0A5F">
        <w:rPr>
          <w:sz w:val="24"/>
          <w:szCs w:val="24"/>
        </w:rPr>
        <w:t>Sandoz</w:t>
      </w:r>
      <w:r>
        <w:rPr>
          <w:sz w:val="24"/>
          <w:szCs w:val="24"/>
        </w:rPr>
        <w:t>"</w:t>
      </w:r>
      <w:r w:rsidRPr="004F0A5F">
        <w:rPr>
          <w:sz w:val="24"/>
          <w:szCs w:val="24"/>
        </w:rPr>
        <w:t xml:space="preserve"> skal ophøre.</w:t>
      </w:r>
    </w:p>
    <w:p w:rsidR="00D35802" w:rsidRPr="004F0A5F" w:rsidRDefault="00D35802" w:rsidP="00D35802">
      <w:pPr>
        <w:tabs>
          <w:tab w:val="left" w:pos="0"/>
          <w:tab w:val="left" w:pos="851"/>
        </w:tabs>
        <w:ind w:left="855"/>
        <w:rPr>
          <w:sz w:val="24"/>
          <w:szCs w:val="24"/>
        </w:rPr>
      </w:pPr>
    </w:p>
    <w:p w:rsidR="00D35802" w:rsidRPr="004F0A5F" w:rsidRDefault="00D35802" w:rsidP="00D35802">
      <w:pPr>
        <w:tabs>
          <w:tab w:val="left" w:pos="0"/>
          <w:tab w:val="left" w:pos="851"/>
        </w:tabs>
        <w:ind w:left="855"/>
        <w:rPr>
          <w:sz w:val="24"/>
          <w:szCs w:val="24"/>
          <w:u w:val="single"/>
        </w:rPr>
      </w:pPr>
      <w:r w:rsidRPr="004F0A5F">
        <w:rPr>
          <w:sz w:val="24"/>
          <w:szCs w:val="24"/>
          <w:u w:val="single"/>
        </w:rPr>
        <w:t>Brystkræft</w:t>
      </w:r>
    </w:p>
    <w:p w:rsidR="00D35802" w:rsidRPr="004F0A5F" w:rsidRDefault="00D35802" w:rsidP="00D35802">
      <w:pPr>
        <w:tabs>
          <w:tab w:val="left" w:pos="0"/>
          <w:tab w:val="left" w:pos="851"/>
        </w:tabs>
        <w:ind w:left="850" w:hanging="850"/>
        <w:rPr>
          <w:spacing w:val="-3"/>
          <w:sz w:val="24"/>
          <w:szCs w:val="24"/>
        </w:rPr>
      </w:pPr>
      <w:r w:rsidRPr="004F0A5F">
        <w:rPr>
          <w:sz w:val="24"/>
          <w:szCs w:val="24"/>
        </w:rPr>
        <w:tab/>
      </w:r>
      <w:r w:rsidRPr="004F0A5F">
        <w:rPr>
          <w:spacing w:val="-3"/>
          <w:sz w:val="24"/>
          <w:szCs w:val="24"/>
        </w:rPr>
        <w:t>Risikoen for brystkræft forøges generelt i takt med stigende alder. Der er en let øget risiko for diagnosticering af brystkræft hos kvinder, som anvender p-piller af kombinationstypen. Den øgede risiko forsvinder gradvist i løbet af 10 år efter ophør med p-piller og er ikke relateret til behandlingsperiodens længde, men til kvindens alder som p-pillebruger. Det forventede antal diagnosticerede tilfælde per 10.000 kvinder, som anvender p-piller af kombinationstypen (op til 10 år efter ophør) i forhold til ikke-brugere over den samme periode, er for den respektive alder blevet målt og ses i tabellen nedenfor.</w:t>
      </w:r>
    </w:p>
    <w:p w:rsidR="00D35802" w:rsidRPr="004F0A5F" w:rsidRDefault="00D35802" w:rsidP="00D35802">
      <w:pPr>
        <w:tabs>
          <w:tab w:val="left" w:pos="0"/>
          <w:tab w:val="left" w:pos="851"/>
        </w:tabs>
        <w:ind w:left="850" w:hanging="850"/>
        <w:rPr>
          <w:spacing w:val="-3"/>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519"/>
        <w:gridCol w:w="2552"/>
      </w:tblGrid>
      <w:tr w:rsidR="00D35802" w:rsidRPr="004F0A5F" w:rsidTr="003B4BCE">
        <w:tc>
          <w:tcPr>
            <w:tcW w:w="2017" w:type="dxa"/>
          </w:tcPr>
          <w:p w:rsidR="00D35802" w:rsidRPr="004F0A5F" w:rsidRDefault="00D35802" w:rsidP="003B4BCE">
            <w:pPr>
              <w:tabs>
                <w:tab w:val="left" w:pos="0"/>
                <w:tab w:val="left" w:pos="851"/>
              </w:tabs>
              <w:rPr>
                <w:spacing w:val="-3"/>
                <w:sz w:val="24"/>
                <w:szCs w:val="24"/>
              </w:rPr>
            </w:pPr>
            <w:r w:rsidRPr="004F0A5F">
              <w:rPr>
                <w:spacing w:val="-3"/>
                <w:sz w:val="24"/>
                <w:szCs w:val="24"/>
              </w:rPr>
              <w:t>Aldersgruppe</w:t>
            </w:r>
          </w:p>
        </w:tc>
        <w:tc>
          <w:tcPr>
            <w:tcW w:w="2519" w:type="dxa"/>
          </w:tcPr>
          <w:p w:rsidR="00D35802" w:rsidRPr="004F0A5F" w:rsidRDefault="00D35802" w:rsidP="003B4BCE">
            <w:pPr>
              <w:tabs>
                <w:tab w:val="left" w:pos="0"/>
                <w:tab w:val="left" w:pos="851"/>
              </w:tabs>
              <w:rPr>
                <w:spacing w:val="-3"/>
                <w:sz w:val="24"/>
                <w:szCs w:val="24"/>
              </w:rPr>
            </w:pPr>
            <w:r w:rsidRPr="004F0A5F">
              <w:rPr>
                <w:spacing w:val="-3"/>
                <w:sz w:val="24"/>
                <w:szCs w:val="24"/>
              </w:rPr>
              <w:t>Forventet antal tilfælde</w:t>
            </w:r>
          </w:p>
          <w:p w:rsidR="00D35802" w:rsidRPr="004F0A5F" w:rsidRDefault="00D35802" w:rsidP="003B4BCE">
            <w:pPr>
              <w:tabs>
                <w:tab w:val="left" w:pos="0"/>
                <w:tab w:val="left" w:pos="851"/>
              </w:tabs>
              <w:rPr>
                <w:spacing w:val="-3"/>
                <w:sz w:val="24"/>
                <w:szCs w:val="24"/>
              </w:rPr>
            </w:pPr>
            <w:r w:rsidRPr="004F0A5F">
              <w:rPr>
                <w:spacing w:val="-3"/>
                <w:sz w:val="24"/>
                <w:szCs w:val="24"/>
              </w:rPr>
              <w:t>(p-pillebrugere)</w:t>
            </w:r>
          </w:p>
        </w:tc>
        <w:tc>
          <w:tcPr>
            <w:tcW w:w="2552" w:type="dxa"/>
          </w:tcPr>
          <w:p w:rsidR="00D35802" w:rsidRPr="004F0A5F" w:rsidRDefault="00D35802" w:rsidP="003B4BCE">
            <w:pPr>
              <w:tabs>
                <w:tab w:val="left" w:pos="0"/>
                <w:tab w:val="left" w:pos="851"/>
              </w:tabs>
              <w:rPr>
                <w:spacing w:val="-3"/>
                <w:sz w:val="24"/>
                <w:szCs w:val="24"/>
              </w:rPr>
            </w:pPr>
            <w:r w:rsidRPr="004F0A5F">
              <w:rPr>
                <w:spacing w:val="-3"/>
                <w:sz w:val="24"/>
                <w:szCs w:val="24"/>
              </w:rPr>
              <w:t>Forventet antal tilfælde</w:t>
            </w:r>
          </w:p>
          <w:p w:rsidR="00D35802" w:rsidRPr="004F0A5F" w:rsidRDefault="00D35802" w:rsidP="003B4BCE">
            <w:pPr>
              <w:tabs>
                <w:tab w:val="left" w:pos="0"/>
                <w:tab w:val="left" w:pos="851"/>
              </w:tabs>
              <w:rPr>
                <w:spacing w:val="-3"/>
                <w:sz w:val="24"/>
                <w:szCs w:val="24"/>
              </w:rPr>
            </w:pPr>
            <w:r w:rsidRPr="004F0A5F">
              <w:rPr>
                <w:spacing w:val="-3"/>
                <w:sz w:val="24"/>
                <w:szCs w:val="24"/>
              </w:rPr>
              <w:t>(ikke p-pillebrugere)</w:t>
            </w:r>
          </w:p>
        </w:tc>
      </w:tr>
      <w:tr w:rsidR="00D35802" w:rsidRPr="004F0A5F" w:rsidTr="003B4BCE">
        <w:tc>
          <w:tcPr>
            <w:tcW w:w="2017" w:type="dxa"/>
          </w:tcPr>
          <w:p w:rsidR="00D35802" w:rsidRPr="004F0A5F" w:rsidRDefault="00D35802" w:rsidP="003B4BCE">
            <w:pPr>
              <w:tabs>
                <w:tab w:val="left" w:pos="0"/>
                <w:tab w:val="left" w:pos="851"/>
              </w:tabs>
              <w:rPr>
                <w:spacing w:val="-3"/>
                <w:sz w:val="24"/>
                <w:szCs w:val="24"/>
              </w:rPr>
            </w:pPr>
            <w:r w:rsidRPr="004F0A5F">
              <w:rPr>
                <w:spacing w:val="-3"/>
                <w:sz w:val="24"/>
                <w:szCs w:val="24"/>
              </w:rPr>
              <w:t>16-19 år</w:t>
            </w:r>
          </w:p>
        </w:tc>
        <w:tc>
          <w:tcPr>
            <w:tcW w:w="2519"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4,5</w:t>
            </w:r>
          </w:p>
        </w:tc>
        <w:tc>
          <w:tcPr>
            <w:tcW w:w="2552"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4</w:t>
            </w:r>
          </w:p>
        </w:tc>
      </w:tr>
      <w:tr w:rsidR="00D35802" w:rsidRPr="004F0A5F" w:rsidTr="003B4BCE">
        <w:tc>
          <w:tcPr>
            <w:tcW w:w="2017" w:type="dxa"/>
          </w:tcPr>
          <w:p w:rsidR="00D35802" w:rsidRPr="004F0A5F" w:rsidRDefault="00D35802" w:rsidP="003B4BCE">
            <w:pPr>
              <w:tabs>
                <w:tab w:val="left" w:pos="0"/>
                <w:tab w:val="left" w:pos="851"/>
              </w:tabs>
              <w:rPr>
                <w:spacing w:val="-3"/>
                <w:sz w:val="24"/>
                <w:szCs w:val="24"/>
              </w:rPr>
            </w:pPr>
            <w:r w:rsidRPr="004F0A5F">
              <w:rPr>
                <w:spacing w:val="-3"/>
                <w:sz w:val="24"/>
                <w:szCs w:val="24"/>
              </w:rPr>
              <w:t>20-24 år</w:t>
            </w:r>
          </w:p>
        </w:tc>
        <w:tc>
          <w:tcPr>
            <w:tcW w:w="2519"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17,5</w:t>
            </w:r>
          </w:p>
        </w:tc>
        <w:tc>
          <w:tcPr>
            <w:tcW w:w="2552"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16</w:t>
            </w:r>
          </w:p>
        </w:tc>
      </w:tr>
      <w:tr w:rsidR="00D35802" w:rsidRPr="004F0A5F" w:rsidTr="003B4BCE">
        <w:tc>
          <w:tcPr>
            <w:tcW w:w="2017" w:type="dxa"/>
          </w:tcPr>
          <w:p w:rsidR="00D35802" w:rsidRPr="004F0A5F" w:rsidRDefault="00D35802" w:rsidP="003B4BCE">
            <w:pPr>
              <w:tabs>
                <w:tab w:val="left" w:pos="0"/>
                <w:tab w:val="left" w:pos="851"/>
              </w:tabs>
              <w:rPr>
                <w:spacing w:val="-3"/>
                <w:sz w:val="24"/>
                <w:szCs w:val="24"/>
              </w:rPr>
            </w:pPr>
            <w:r w:rsidRPr="004F0A5F">
              <w:rPr>
                <w:spacing w:val="-3"/>
                <w:sz w:val="24"/>
                <w:szCs w:val="24"/>
              </w:rPr>
              <w:t>25-29 år</w:t>
            </w:r>
          </w:p>
        </w:tc>
        <w:tc>
          <w:tcPr>
            <w:tcW w:w="2519"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48,7</w:t>
            </w:r>
          </w:p>
        </w:tc>
        <w:tc>
          <w:tcPr>
            <w:tcW w:w="2552"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44</w:t>
            </w:r>
          </w:p>
        </w:tc>
      </w:tr>
      <w:tr w:rsidR="00D35802" w:rsidRPr="004F0A5F" w:rsidTr="003B4BCE">
        <w:tc>
          <w:tcPr>
            <w:tcW w:w="2017" w:type="dxa"/>
          </w:tcPr>
          <w:p w:rsidR="00D35802" w:rsidRPr="004F0A5F" w:rsidRDefault="00D35802" w:rsidP="003B4BCE">
            <w:pPr>
              <w:tabs>
                <w:tab w:val="left" w:pos="0"/>
                <w:tab w:val="left" w:pos="851"/>
              </w:tabs>
              <w:rPr>
                <w:spacing w:val="-3"/>
                <w:sz w:val="24"/>
                <w:szCs w:val="24"/>
              </w:rPr>
            </w:pPr>
            <w:r w:rsidRPr="004F0A5F">
              <w:rPr>
                <w:spacing w:val="-3"/>
                <w:sz w:val="24"/>
                <w:szCs w:val="24"/>
              </w:rPr>
              <w:t>30-34 år</w:t>
            </w:r>
          </w:p>
        </w:tc>
        <w:tc>
          <w:tcPr>
            <w:tcW w:w="2519"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110</w:t>
            </w:r>
          </w:p>
        </w:tc>
        <w:tc>
          <w:tcPr>
            <w:tcW w:w="2552"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100</w:t>
            </w:r>
          </w:p>
        </w:tc>
      </w:tr>
      <w:tr w:rsidR="00D35802" w:rsidRPr="004F0A5F" w:rsidTr="003B4BCE">
        <w:tc>
          <w:tcPr>
            <w:tcW w:w="2017" w:type="dxa"/>
          </w:tcPr>
          <w:p w:rsidR="00D35802" w:rsidRPr="004F0A5F" w:rsidRDefault="00D35802" w:rsidP="003B4BCE">
            <w:pPr>
              <w:tabs>
                <w:tab w:val="left" w:pos="0"/>
                <w:tab w:val="left" w:pos="851"/>
              </w:tabs>
              <w:rPr>
                <w:spacing w:val="-3"/>
                <w:sz w:val="24"/>
                <w:szCs w:val="24"/>
              </w:rPr>
            </w:pPr>
            <w:r w:rsidRPr="004F0A5F">
              <w:rPr>
                <w:spacing w:val="-3"/>
                <w:sz w:val="24"/>
                <w:szCs w:val="24"/>
              </w:rPr>
              <w:t>35-39 år</w:t>
            </w:r>
          </w:p>
        </w:tc>
        <w:tc>
          <w:tcPr>
            <w:tcW w:w="2519"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180</w:t>
            </w:r>
          </w:p>
        </w:tc>
        <w:tc>
          <w:tcPr>
            <w:tcW w:w="2552"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160</w:t>
            </w:r>
          </w:p>
        </w:tc>
      </w:tr>
      <w:tr w:rsidR="00D35802" w:rsidRPr="004F0A5F" w:rsidTr="003B4BCE">
        <w:tc>
          <w:tcPr>
            <w:tcW w:w="2017" w:type="dxa"/>
          </w:tcPr>
          <w:p w:rsidR="00D35802" w:rsidRPr="004F0A5F" w:rsidRDefault="00D35802" w:rsidP="003B4BCE">
            <w:pPr>
              <w:tabs>
                <w:tab w:val="left" w:pos="0"/>
                <w:tab w:val="left" w:pos="851"/>
              </w:tabs>
              <w:rPr>
                <w:spacing w:val="-3"/>
                <w:sz w:val="24"/>
                <w:szCs w:val="24"/>
              </w:rPr>
            </w:pPr>
            <w:r w:rsidRPr="004F0A5F">
              <w:rPr>
                <w:spacing w:val="-3"/>
                <w:sz w:val="24"/>
                <w:szCs w:val="24"/>
              </w:rPr>
              <w:t>40-44 år</w:t>
            </w:r>
          </w:p>
        </w:tc>
        <w:tc>
          <w:tcPr>
            <w:tcW w:w="2519"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260</w:t>
            </w:r>
          </w:p>
        </w:tc>
        <w:tc>
          <w:tcPr>
            <w:tcW w:w="2552" w:type="dxa"/>
          </w:tcPr>
          <w:p w:rsidR="00D35802" w:rsidRPr="004F0A5F" w:rsidRDefault="00D35802" w:rsidP="003B4BCE">
            <w:pPr>
              <w:tabs>
                <w:tab w:val="left" w:pos="0"/>
                <w:tab w:val="left" w:pos="851"/>
              </w:tabs>
              <w:jc w:val="center"/>
              <w:rPr>
                <w:spacing w:val="-3"/>
                <w:sz w:val="24"/>
                <w:szCs w:val="24"/>
              </w:rPr>
            </w:pPr>
            <w:r w:rsidRPr="004F0A5F">
              <w:rPr>
                <w:spacing w:val="-3"/>
                <w:sz w:val="24"/>
                <w:szCs w:val="24"/>
              </w:rPr>
              <w:t>230</w:t>
            </w:r>
          </w:p>
        </w:tc>
      </w:tr>
    </w:tbl>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 xml:space="preserve">Risikoen ved anvendelse af piller, som kun indeholder gestagen, såsom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er muligvis af samme størrelsesorden som ved anvendelse af p-piller af kombinationstypen. Dog er der mindre konkluderende beviser for piller som kun indeholder gestagen. Sammenlignet med risikoen for at få brystkræft i løbet af livet, er den øgede risiko ved anvendelse af p-piller lav. Der er en tendens til at tilfælde af brystkræft diagnosticeret hos p-pillebrugere er mindre fremskredne end hos dem, som ikke har brugt p-piller. Den øgede risiko hos p-pillebrugere kan skyldes en tidligere diagnose, p-pillens biologiske virkninger eller en kombination af begge. </w:t>
      </w:r>
    </w:p>
    <w:p w:rsidR="00D35802" w:rsidRPr="004F0A5F" w:rsidRDefault="00D35802" w:rsidP="00D35802">
      <w:pPr>
        <w:tabs>
          <w:tab w:val="left" w:pos="0"/>
          <w:tab w:val="left" w:pos="851"/>
        </w:tabs>
        <w:rPr>
          <w:spacing w:val="-3"/>
          <w:sz w:val="24"/>
          <w:szCs w:val="24"/>
        </w:rPr>
      </w:pPr>
      <w:r w:rsidRPr="004F0A5F">
        <w:rPr>
          <w:spacing w:val="-3"/>
          <w:sz w:val="24"/>
          <w:szCs w:val="24"/>
        </w:rPr>
        <w:tab/>
      </w:r>
    </w:p>
    <w:p w:rsidR="00D35802" w:rsidRPr="004F0A5F" w:rsidRDefault="00D35802" w:rsidP="00D35802">
      <w:pPr>
        <w:tabs>
          <w:tab w:val="left" w:pos="0"/>
          <w:tab w:val="left" w:pos="851"/>
        </w:tabs>
        <w:rPr>
          <w:spacing w:val="-3"/>
          <w:sz w:val="24"/>
          <w:szCs w:val="24"/>
          <w:u w:val="single"/>
        </w:rPr>
      </w:pPr>
      <w:r w:rsidRPr="004F0A5F">
        <w:rPr>
          <w:spacing w:val="-3"/>
          <w:sz w:val="24"/>
          <w:szCs w:val="24"/>
        </w:rPr>
        <w:lastRenderedPageBreak/>
        <w:tab/>
      </w:r>
      <w:r w:rsidRPr="004F0A5F">
        <w:rPr>
          <w:spacing w:val="-3"/>
          <w:sz w:val="24"/>
          <w:szCs w:val="24"/>
          <w:u w:val="single"/>
        </w:rPr>
        <w:t>Leverforstyrrelser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Eftersom en biologisk indvirkning af gestagener på leverkræft ikke kan udelukkes, bør der foretages en individuel vurdering af fordele/ulemper hos kvinder med leverkræft.</w:t>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Kvinden bør henvises til en specialist såfremt en akut eller kronisk leverfunktionsforstyrrelse opstår.</w:t>
      </w:r>
    </w:p>
    <w:p w:rsidR="00D35802" w:rsidRPr="004F0A5F" w:rsidRDefault="00D35802" w:rsidP="00D35802">
      <w:pPr>
        <w:tabs>
          <w:tab w:val="left" w:pos="0"/>
          <w:tab w:val="left" w:pos="851"/>
        </w:tabs>
        <w:rPr>
          <w:spacing w:val="-3"/>
          <w:sz w:val="24"/>
          <w:szCs w:val="24"/>
        </w:rPr>
      </w:pPr>
    </w:p>
    <w:p w:rsidR="00D35802" w:rsidRPr="004F0A5F" w:rsidRDefault="00D35802" w:rsidP="00D35802">
      <w:pPr>
        <w:tabs>
          <w:tab w:val="left" w:pos="0"/>
          <w:tab w:val="left" w:pos="851"/>
        </w:tabs>
        <w:rPr>
          <w:spacing w:val="-3"/>
          <w:sz w:val="24"/>
          <w:szCs w:val="24"/>
          <w:u w:val="single"/>
        </w:rPr>
      </w:pPr>
      <w:r w:rsidRPr="004F0A5F">
        <w:rPr>
          <w:spacing w:val="-3"/>
          <w:sz w:val="24"/>
          <w:szCs w:val="24"/>
        </w:rPr>
        <w:tab/>
      </w:r>
      <w:r w:rsidRPr="004F0A5F">
        <w:rPr>
          <w:spacing w:val="-3"/>
          <w:sz w:val="24"/>
          <w:szCs w:val="24"/>
          <w:u w:val="single"/>
        </w:rPr>
        <w:t>Trombose</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Epidemiologiske undersøgelser har forbundet anvendelse af p-piller af kombi</w:t>
      </w:r>
      <w:r w:rsidRPr="004F0A5F">
        <w:rPr>
          <w:spacing w:val="-3"/>
          <w:sz w:val="24"/>
          <w:szCs w:val="24"/>
        </w:rPr>
        <w:softHyphen/>
        <w:t>nationstypen med en øget forekomst af venøs tromboembolisme (VTE, dyb venetrombose og lungeemboli). Selv om den kliniske relevans af dette resultat er ukendt i forbindelse med brug af desogestrel som svangerskabsfore</w:t>
      </w:r>
      <w:r w:rsidRPr="004F0A5F">
        <w:rPr>
          <w:spacing w:val="-3"/>
          <w:sz w:val="24"/>
          <w:szCs w:val="24"/>
        </w:rPr>
        <w:softHyphen/>
        <w:t xml:space="preserve">byggende middel uden den østrogene komponent, bør anvendelse af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ophøre i tilfælde af, at der opstår trombose. Ophør med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bør også overvejes i tilfælde af langtidsimmobilisering pga. operation eller sygdom. Kvinder med en tidligere tromboem</w:t>
      </w:r>
      <w:r w:rsidRPr="004F0A5F">
        <w:rPr>
          <w:spacing w:val="-3"/>
          <w:sz w:val="24"/>
          <w:szCs w:val="24"/>
        </w:rPr>
        <w:softHyphen/>
        <w:t>bolisk sygdom bør gøres opmærksomme på risikoen for tilbagefald.</w:t>
      </w:r>
    </w:p>
    <w:p w:rsidR="00D35802" w:rsidRPr="004F0A5F" w:rsidRDefault="00D35802" w:rsidP="00D35802">
      <w:pPr>
        <w:tabs>
          <w:tab w:val="left" w:pos="0"/>
          <w:tab w:val="left" w:pos="851"/>
        </w:tabs>
        <w:rPr>
          <w:spacing w:val="-3"/>
          <w:sz w:val="24"/>
          <w:szCs w:val="24"/>
        </w:rPr>
      </w:pPr>
    </w:p>
    <w:p w:rsidR="00D35802" w:rsidRPr="004F0A5F" w:rsidRDefault="00D35802" w:rsidP="00D35802">
      <w:pPr>
        <w:tabs>
          <w:tab w:val="left" w:pos="0"/>
          <w:tab w:val="left" w:pos="851"/>
        </w:tabs>
        <w:ind w:left="850" w:hanging="850"/>
        <w:rPr>
          <w:spacing w:val="-3"/>
          <w:sz w:val="24"/>
          <w:szCs w:val="24"/>
          <w:u w:val="single"/>
        </w:rPr>
      </w:pPr>
      <w:r w:rsidRPr="004F0A5F">
        <w:rPr>
          <w:spacing w:val="-3"/>
          <w:sz w:val="24"/>
          <w:szCs w:val="24"/>
        </w:rPr>
        <w:tab/>
      </w:r>
      <w:r w:rsidRPr="004F0A5F">
        <w:rPr>
          <w:spacing w:val="-3"/>
          <w:sz w:val="24"/>
          <w:szCs w:val="24"/>
          <w:u w:val="single"/>
        </w:rPr>
        <w:t>Diabetespatienter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Selv om gestagener kan have en indvirkning på perifer insulinresistens og glukosetolerance, er der ingen beviser for, at det er nødvendigt at ændre det terapeutiske regime hos diabetikere, som bruger piller, der kun indeholder gestagen. Dog bør diabetespatienter følges nøje i løbet at de første måneder af behandlingen.</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r>
    </w:p>
    <w:p w:rsidR="00D35802" w:rsidRPr="004F0A5F" w:rsidRDefault="00D35802" w:rsidP="00D35802">
      <w:pPr>
        <w:tabs>
          <w:tab w:val="left" w:pos="0"/>
          <w:tab w:val="left" w:pos="851"/>
        </w:tabs>
        <w:ind w:left="850" w:firstLine="1"/>
        <w:rPr>
          <w:spacing w:val="-3"/>
          <w:sz w:val="24"/>
          <w:szCs w:val="24"/>
          <w:u w:val="single"/>
        </w:rPr>
      </w:pPr>
      <w:r w:rsidRPr="004F0A5F">
        <w:rPr>
          <w:spacing w:val="-3"/>
          <w:sz w:val="24"/>
          <w:szCs w:val="24"/>
          <w:u w:val="single"/>
        </w:rPr>
        <w:t>Hypertensive patienter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 xml:space="preserve">Opstår der vedvarende hypertension under brug af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eller hvis en signifikant øgning i blodtrykket ikke responderer på antihypertensiv behandling, bør det overvejes, hvorvidt behandling med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skal ophøre.</w:t>
      </w:r>
    </w:p>
    <w:p w:rsidR="00D35802" w:rsidRPr="004F0A5F" w:rsidRDefault="00D35802" w:rsidP="00D35802">
      <w:pPr>
        <w:tabs>
          <w:tab w:val="left" w:pos="0"/>
          <w:tab w:val="left" w:pos="851"/>
        </w:tabs>
        <w:rPr>
          <w:spacing w:val="-3"/>
          <w:sz w:val="24"/>
          <w:szCs w:val="24"/>
        </w:rPr>
      </w:pPr>
    </w:p>
    <w:p w:rsidR="00D35802" w:rsidRPr="004F0A5F" w:rsidRDefault="00D35802" w:rsidP="00D35802">
      <w:pPr>
        <w:tabs>
          <w:tab w:val="left" w:pos="0"/>
          <w:tab w:val="left" w:pos="851"/>
        </w:tabs>
        <w:rPr>
          <w:spacing w:val="-3"/>
          <w:sz w:val="24"/>
          <w:szCs w:val="24"/>
          <w:u w:val="single"/>
        </w:rPr>
      </w:pPr>
      <w:r w:rsidRPr="004F0A5F">
        <w:rPr>
          <w:spacing w:val="-3"/>
          <w:sz w:val="24"/>
          <w:szCs w:val="24"/>
        </w:rPr>
        <w:tab/>
      </w:r>
      <w:r w:rsidRPr="004F0A5F">
        <w:rPr>
          <w:spacing w:val="-3"/>
          <w:sz w:val="24"/>
          <w:szCs w:val="24"/>
          <w:u w:val="single"/>
        </w:rPr>
        <w:t>Andre tilstande</w:t>
      </w:r>
    </w:p>
    <w:p w:rsidR="00D35802" w:rsidRDefault="00D35802" w:rsidP="00D35802">
      <w:pPr>
        <w:tabs>
          <w:tab w:val="left" w:pos="0"/>
          <w:tab w:val="left" w:pos="851"/>
        </w:tabs>
        <w:ind w:left="850"/>
        <w:rPr>
          <w:spacing w:val="-3"/>
          <w:sz w:val="24"/>
          <w:szCs w:val="24"/>
        </w:rPr>
      </w:pPr>
      <w:r w:rsidRPr="004F0A5F">
        <w:rPr>
          <w:spacing w:val="-3"/>
          <w:sz w:val="24"/>
          <w:szCs w:val="24"/>
        </w:rPr>
        <w:tab/>
      </w:r>
      <w:r w:rsidRPr="0037388B">
        <w:rPr>
          <w:spacing w:val="-3"/>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D35802"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rPr>
      </w:pPr>
      <w:r>
        <w:rPr>
          <w:spacing w:val="-3"/>
          <w:sz w:val="24"/>
          <w:szCs w:val="24"/>
        </w:rPr>
        <w:tab/>
      </w:r>
      <w:r w:rsidRPr="004F0A5F">
        <w:rPr>
          <w:spacing w:val="-3"/>
          <w:sz w:val="24"/>
          <w:szCs w:val="24"/>
        </w:rPr>
        <w:t>Behandling med desogestrel medfører formindskede østradiolserumniveauer til et niveau, som svarer til den tidlige follikulære fase. Det er stadig ukendt, om formindskelsen har nogen klinisk relevans for knoglemineralindholdet.</w:t>
      </w:r>
    </w:p>
    <w:p w:rsidR="00D35802" w:rsidRPr="004F0A5F" w:rsidRDefault="00D35802" w:rsidP="00D35802">
      <w:pPr>
        <w:tabs>
          <w:tab w:val="left" w:pos="0"/>
          <w:tab w:val="left" w:pos="851"/>
        </w:tabs>
        <w:rPr>
          <w:spacing w:val="-3"/>
          <w:sz w:val="24"/>
          <w:szCs w:val="24"/>
        </w:rPr>
      </w:pP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Den beskyttelse de traditionelle piller, som kun indeholder gestagen, giver mod ektopiske graviditeter, er ikke ligeså god som med p-piller af kombinationstypen. Dette er blevet forbundet med den hyppige forekomst af ovulationer ved brug af piller, som kun indeholder gestagen. Til trods for at desogestrel konsekvent forårsager hæmning af ovulationen, bør man alligevel være opmærksom på ektopisk graviditet i differentialdiagnosen, hvis kvinden får amenoré eller mavesmerter.</w:t>
      </w:r>
    </w:p>
    <w:p w:rsidR="00D35802" w:rsidRPr="004F0A5F" w:rsidRDefault="00D35802" w:rsidP="00D35802">
      <w:pPr>
        <w:tabs>
          <w:tab w:val="left" w:pos="0"/>
          <w:tab w:val="left" w:pos="851"/>
        </w:tabs>
        <w:rPr>
          <w:spacing w:val="-3"/>
          <w:sz w:val="24"/>
          <w:szCs w:val="24"/>
        </w:rPr>
      </w:pPr>
    </w:p>
    <w:p w:rsidR="00D35802" w:rsidRPr="004F0A5F" w:rsidRDefault="00D35802" w:rsidP="00D35802">
      <w:pPr>
        <w:tabs>
          <w:tab w:val="left" w:pos="851"/>
        </w:tabs>
        <w:ind w:left="851" w:hanging="851"/>
        <w:rPr>
          <w:spacing w:val="-3"/>
          <w:sz w:val="24"/>
          <w:szCs w:val="24"/>
        </w:rPr>
      </w:pPr>
      <w:r w:rsidRPr="004F0A5F">
        <w:rPr>
          <w:spacing w:val="-3"/>
          <w:sz w:val="24"/>
          <w:szCs w:val="24"/>
        </w:rPr>
        <w:tab/>
        <w:t xml:space="preserve">Chloasma kan lejlighedsvis opstå, især hos kvinder med chloasma gravidarum i anamnesen. Kvinder med en tendens til chloasma bør undgå at udsætte sig for sollys eller ultraviolet bestråling, mens de tager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pacing w:val="-3"/>
          <w:sz w:val="24"/>
          <w:szCs w:val="24"/>
        </w:rPr>
      </w:pPr>
      <w:r w:rsidRPr="004F0A5F">
        <w:rPr>
          <w:spacing w:val="-3"/>
          <w:sz w:val="24"/>
          <w:szCs w:val="24"/>
        </w:rPr>
        <w:tab/>
      </w:r>
      <w:r w:rsidRPr="004F0A5F">
        <w:rPr>
          <w:sz w:val="24"/>
          <w:szCs w:val="24"/>
        </w:rPr>
        <w:t>Følgende tilstande er blevet rapporteret under såvel graviditet som anvendelse af steroidhormoner, men en sammenhæng med gestagener er ikke blevet fastslået:</w:t>
      </w:r>
      <w:r w:rsidRPr="004F0A5F">
        <w:rPr>
          <w:spacing w:val="-3"/>
          <w:sz w:val="24"/>
          <w:szCs w:val="24"/>
        </w:rPr>
        <w:t xml:space="preserve"> Gulsot </w:t>
      </w:r>
      <w:r w:rsidRPr="004F0A5F">
        <w:rPr>
          <w:spacing w:val="-3"/>
          <w:sz w:val="24"/>
          <w:szCs w:val="24"/>
        </w:rPr>
        <w:lastRenderedPageBreak/>
        <w:t>og/eller pruritus i forbindelse med kolestase; dannelse af galdesten; porfyri; systemisk lupus erythematosus; hæmolytisk uræmisk syndrom; Sydenham’s chorea; herpes gestationis; høretab forårsaget af otosklerose; (arveligt) angioødem.</w:t>
      </w:r>
    </w:p>
    <w:p w:rsidR="00D35802" w:rsidRDefault="00D35802" w:rsidP="00D35802">
      <w:pPr>
        <w:tabs>
          <w:tab w:val="left" w:pos="851"/>
        </w:tabs>
        <w:ind w:left="851" w:hanging="851"/>
        <w:rPr>
          <w:spacing w:val="-3"/>
          <w:sz w:val="24"/>
          <w:szCs w:val="24"/>
        </w:rPr>
      </w:pPr>
    </w:p>
    <w:p w:rsidR="00D35802" w:rsidRPr="007C49CA" w:rsidRDefault="00D35802" w:rsidP="00D35802">
      <w:pPr>
        <w:tabs>
          <w:tab w:val="left" w:pos="851"/>
        </w:tabs>
        <w:ind w:left="851"/>
        <w:rPr>
          <w:spacing w:val="-3"/>
          <w:sz w:val="24"/>
          <w:szCs w:val="24"/>
        </w:rPr>
      </w:pPr>
      <w:r w:rsidRPr="007C49CA">
        <w:rPr>
          <w:spacing w:val="-3"/>
          <w:sz w:val="24"/>
          <w:szCs w:val="24"/>
        </w:rPr>
        <w:t xml:space="preserve">Desogestrel </w:t>
      </w:r>
      <w:r>
        <w:rPr>
          <w:spacing w:val="-3"/>
          <w:sz w:val="24"/>
          <w:szCs w:val="24"/>
        </w:rPr>
        <w:t>"Sandoz"s</w:t>
      </w:r>
      <w:r w:rsidRPr="00492356">
        <w:rPr>
          <w:spacing w:val="-3"/>
          <w:sz w:val="24"/>
          <w:szCs w:val="24"/>
        </w:rPr>
        <w:t xml:space="preserve"> virkning kan være nedsat i tilfælde af </w:t>
      </w:r>
      <w:r w:rsidRPr="005A27C2">
        <w:rPr>
          <w:spacing w:val="-3"/>
          <w:sz w:val="24"/>
          <w:szCs w:val="24"/>
        </w:rPr>
        <w:t>glemte tabletter (pkt. 4.2), gastro-intestinale lidelser (pkt. 4.2) eller samtidig indtagelse af andre lægemidler, som nedsætter plasmakoncentrationen af etonogestrel, den aktive metabolit af desogestrel (pk</w:t>
      </w:r>
      <w:r w:rsidRPr="007C49CA">
        <w:rPr>
          <w:spacing w:val="-3"/>
          <w:sz w:val="24"/>
          <w:szCs w:val="24"/>
        </w:rPr>
        <w:t>t. 4.5).</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z w:val="24"/>
          <w:szCs w:val="24"/>
        </w:rPr>
      </w:pPr>
      <w:r w:rsidRPr="004F0A5F">
        <w:rPr>
          <w:spacing w:val="-3"/>
          <w:sz w:val="24"/>
          <w:szCs w:val="24"/>
        </w:rPr>
        <w:tab/>
        <w:t xml:space="preserve">Desogestrel </w:t>
      </w:r>
      <w:r>
        <w:rPr>
          <w:spacing w:val="-3"/>
          <w:sz w:val="24"/>
          <w:szCs w:val="24"/>
        </w:rPr>
        <w:t>"</w:t>
      </w:r>
      <w:r w:rsidRPr="004F0A5F">
        <w:rPr>
          <w:spacing w:val="-3"/>
          <w:sz w:val="24"/>
          <w:szCs w:val="24"/>
        </w:rPr>
        <w:t>Sandoz</w:t>
      </w:r>
      <w:r>
        <w:rPr>
          <w:spacing w:val="-3"/>
          <w:sz w:val="24"/>
          <w:szCs w:val="24"/>
        </w:rPr>
        <w:t>"</w:t>
      </w:r>
      <w:r w:rsidRPr="004F0A5F">
        <w:rPr>
          <w:sz w:val="24"/>
          <w:szCs w:val="24"/>
        </w:rPr>
        <w:t xml:space="preserve"> indeholder lactose. Bør derfor ikke anvendes til patienter med arvelig galactoseintolerans, en særlig form af heriditær lactasemangel (Lapp Lactase deficiency) eller glucose/galactosemalabsorption.</w:t>
      </w:r>
    </w:p>
    <w:p w:rsidR="00D35802" w:rsidRDefault="00D35802" w:rsidP="00D35802">
      <w:pPr>
        <w:tabs>
          <w:tab w:val="left" w:pos="851"/>
        </w:tabs>
        <w:rPr>
          <w:sz w:val="24"/>
          <w:szCs w:val="24"/>
        </w:rPr>
      </w:pPr>
    </w:p>
    <w:p w:rsidR="00D35802" w:rsidRPr="008A2106" w:rsidRDefault="00D35802" w:rsidP="00D35802">
      <w:pPr>
        <w:tabs>
          <w:tab w:val="left" w:pos="851"/>
        </w:tabs>
        <w:ind w:left="851"/>
        <w:rPr>
          <w:sz w:val="24"/>
          <w:szCs w:val="24"/>
          <w:u w:val="single"/>
        </w:rPr>
      </w:pPr>
      <w:r w:rsidRPr="008A2106">
        <w:rPr>
          <w:sz w:val="24"/>
          <w:szCs w:val="24"/>
          <w:u w:val="single"/>
        </w:rPr>
        <w:t>Laboratorieprøver</w:t>
      </w:r>
    </w:p>
    <w:p w:rsidR="00D35802" w:rsidRPr="007C49CA" w:rsidRDefault="00D35802" w:rsidP="00D35802">
      <w:pPr>
        <w:tabs>
          <w:tab w:val="left" w:pos="851"/>
        </w:tabs>
        <w:ind w:left="851"/>
        <w:rPr>
          <w:sz w:val="24"/>
          <w:szCs w:val="24"/>
        </w:rPr>
      </w:pPr>
      <w:r w:rsidRPr="004435C1">
        <w:rPr>
          <w:sz w:val="24"/>
          <w:szCs w:val="24"/>
        </w:rPr>
        <w:t>Data vedrørende brug af kombinerede orale kontraceptiva har vist, at brugen af kontraceptive steroider kan have indvirkning på resultaterne af visse laboratorieprøver, inklusive biokemiske parametre for lever-, thyroidea-, binyre- og nyrefunktionen. Desude</w:t>
      </w:r>
      <w:r w:rsidRPr="007C49CA">
        <w:rPr>
          <w:sz w:val="24"/>
          <w:szCs w:val="24"/>
        </w:rPr>
        <w:t>n kan der være indvirkning på serumniveauerne for (transport-) proteiner, f.eks. kortikosteroid-bindende globulin og lipid-/lipoproteinfraktioner, parametrene for kulhydratmetabolismen og parametrene for koagulationen og fibrinolysen. Ændringerne ligger sædvanligvis inden for normalområdet. Det vides ikke i hvilken grad, disse forhold kan overføres til rene gestagenpræparater</w:t>
      </w:r>
      <w:r>
        <w:rPr>
          <w:sz w:val="24"/>
          <w:szCs w:val="24"/>
        </w:rPr>
        <w:t>.</w:t>
      </w:r>
    </w:p>
    <w:p w:rsidR="00D35802" w:rsidRPr="004F0A5F" w:rsidRDefault="00D35802" w:rsidP="00D35802">
      <w:pPr>
        <w:tabs>
          <w:tab w:val="left" w:pos="851"/>
        </w:tabs>
        <w:rPr>
          <w:sz w:val="24"/>
          <w:szCs w:val="24"/>
        </w:rPr>
      </w:pPr>
    </w:p>
    <w:p w:rsidR="00D35802" w:rsidRPr="004F0A5F" w:rsidRDefault="00D35802" w:rsidP="00D35802">
      <w:pPr>
        <w:numPr>
          <w:ilvl w:val="1"/>
          <w:numId w:val="1"/>
        </w:numPr>
        <w:rPr>
          <w:b/>
          <w:sz w:val="24"/>
          <w:szCs w:val="24"/>
        </w:rPr>
      </w:pPr>
      <w:r w:rsidRPr="004F0A5F">
        <w:rPr>
          <w:b/>
          <w:sz w:val="24"/>
          <w:szCs w:val="24"/>
        </w:rPr>
        <w:t>Interaktion med andre lægemidler og andre former for interaktion</w:t>
      </w:r>
    </w:p>
    <w:p w:rsidR="00D35802" w:rsidRPr="007C49CA" w:rsidRDefault="00D35802" w:rsidP="00D35802">
      <w:pPr>
        <w:tabs>
          <w:tab w:val="left" w:pos="0"/>
          <w:tab w:val="left" w:pos="851"/>
        </w:tabs>
        <w:ind w:left="850" w:hanging="850"/>
        <w:rPr>
          <w:spacing w:val="-3"/>
          <w:sz w:val="24"/>
          <w:szCs w:val="24"/>
        </w:rPr>
      </w:pPr>
      <w:r w:rsidRPr="004F0A5F">
        <w:rPr>
          <w:spacing w:val="-3"/>
          <w:sz w:val="24"/>
          <w:szCs w:val="24"/>
        </w:rPr>
        <w:tab/>
      </w:r>
      <w:r w:rsidRPr="007C49CA">
        <w:rPr>
          <w:spacing w:val="-3"/>
          <w:sz w:val="24"/>
          <w:szCs w:val="24"/>
        </w:rPr>
        <w:t>Bemærk: Produktresuméet for samtidigt administrerede lægemidler skal læses med henblik på at identificere potentielle interaktioner.</w:t>
      </w:r>
    </w:p>
    <w:p w:rsidR="00D35802" w:rsidRPr="007C49CA" w:rsidRDefault="00D35802" w:rsidP="00D35802">
      <w:pPr>
        <w:tabs>
          <w:tab w:val="left" w:pos="0"/>
          <w:tab w:val="left" w:pos="851"/>
        </w:tabs>
        <w:ind w:left="850" w:hanging="850"/>
        <w:rPr>
          <w:spacing w:val="-3"/>
          <w:sz w:val="24"/>
          <w:szCs w:val="24"/>
        </w:rPr>
      </w:pPr>
    </w:p>
    <w:p w:rsidR="00D35802" w:rsidRPr="00492356" w:rsidRDefault="00D35802" w:rsidP="00D35802">
      <w:pPr>
        <w:tabs>
          <w:tab w:val="left" w:pos="0"/>
          <w:tab w:val="left" w:pos="851"/>
        </w:tabs>
        <w:ind w:left="850" w:firstLine="1"/>
        <w:rPr>
          <w:b/>
          <w:spacing w:val="-3"/>
          <w:sz w:val="24"/>
          <w:lang w:eastAsia="da-DK"/>
        </w:rPr>
      </w:pPr>
      <w:r w:rsidRPr="007C49CA">
        <w:rPr>
          <w:b/>
          <w:spacing w:val="-3"/>
          <w:sz w:val="24"/>
          <w:lang w:eastAsia="da-DK"/>
        </w:rPr>
        <w:t xml:space="preserve">Indvirkning af andre lægemidler på Desogestrel </w:t>
      </w:r>
      <w:r>
        <w:rPr>
          <w:b/>
          <w:spacing w:val="-3"/>
          <w:sz w:val="24"/>
          <w:lang w:eastAsia="da-DK"/>
        </w:rPr>
        <w:t>"Sandoz"</w:t>
      </w:r>
    </w:p>
    <w:p w:rsidR="00D35802" w:rsidRDefault="00D35802" w:rsidP="00D35802">
      <w:pPr>
        <w:tabs>
          <w:tab w:val="left" w:pos="0"/>
          <w:tab w:val="left" w:pos="851"/>
        </w:tabs>
        <w:ind w:left="850" w:hanging="850"/>
        <w:rPr>
          <w:spacing w:val="-3"/>
          <w:sz w:val="24"/>
          <w:szCs w:val="24"/>
        </w:rPr>
      </w:pPr>
      <w:r>
        <w:rPr>
          <w:spacing w:val="-3"/>
          <w:sz w:val="24"/>
          <w:szCs w:val="24"/>
        </w:rPr>
        <w:tab/>
      </w:r>
      <w:r w:rsidRPr="004F0A5F">
        <w:rPr>
          <w:spacing w:val="-3"/>
          <w:sz w:val="24"/>
          <w:szCs w:val="24"/>
        </w:rPr>
        <w:t xml:space="preserve">Interaktioner </w:t>
      </w:r>
      <w:r>
        <w:rPr>
          <w:spacing w:val="-3"/>
          <w:sz w:val="24"/>
          <w:szCs w:val="24"/>
        </w:rPr>
        <w:t>kan forekomme med</w:t>
      </w:r>
      <w:r w:rsidRPr="004F0A5F">
        <w:rPr>
          <w:spacing w:val="-3"/>
          <w:sz w:val="24"/>
          <w:szCs w:val="24"/>
        </w:rPr>
        <w:t xml:space="preserve"> lægemidler</w:t>
      </w:r>
      <w:r w:rsidRPr="007C49CA">
        <w:rPr>
          <w:spacing w:val="-3"/>
          <w:sz w:val="24"/>
          <w:szCs w:val="24"/>
        </w:rPr>
        <w:t>, der inducerer mikrosomale enzymer, hvilket kan medføre øget clearance af kønshormoner og</w:t>
      </w:r>
      <w:r w:rsidRPr="004F0A5F">
        <w:rPr>
          <w:spacing w:val="-3"/>
          <w:sz w:val="24"/>
          <w:szCs w:val="24"/>
        </w:rPr>
        <w:t xml:space="preserve"> resultere i gennembrudsblødning og/eller svigt i den svangerskabsforebyggende effekt. </w:t>
      </w:r>
    </w:p>
    <w:p w:rsidR="00D35802" w:rsidRDefault="00D35802" w:rsidP="00D35802">
      <w:pPr>
        <w:tabs>
          <w:tab w:val="left" w:pos="0"/>
          <w:tab w:val="left" w:pos="851"/>
        </w:tabs>
        <w:ind w:left="850" w:firstLine="1"/>
        <w:rPr>
          <w:spacing w:val="-3"/>
          <w:sz w:val="24"/>
          <w:szCs w:val="24"/>
        </w:rPr>
      </w:pPr>
    </w:p>
    <w:p w:rsidR="00D35802" w:rsidRPr="00520A01" w:rsidRDefault="00D35802" w:rsidP="00D35802">
      <w:pPr>
        <w:tabs>
          <w:tab w:val="left" w:pos="0"/>
          <w:tab w:val="left" w:pos="851"/>
        </w:tabs>
        <w:ind w:left="850" w:firstLine="1"/>
        <w:rPr>
          <w:spacing w:val="-3"/>
          <w:sz w:val="24"/>
          <w:szCs w:val="24"/>
          <w:u w:val="single"/>
        </w:rPr>
      </w:pPr>
      <w:r w:rsidRPr="00520A01">
        <w:rPr>
          <w:spacing w:val="-3"/>
          <w:sz w:val="24"/>
          <w:szCs w:val="24"/>
          <w:u w:val="single"/>
        </w:rPr>
        <w:t>Forholdsregler</w:t>
      </w:r>
    </w:p>
    <w:p w:rsidR="00D35802" w:rsidRPr="007C49CA" w:rsidRDefault="00D35802" w:rsidP="00D35802">
      <w:pPr>
        <w:tabs>
          <w:tab w:val="left" w:pos="0"/>
          <w:tab w:val="left" w:pos="851"/>
        </w:tabs>
        <w:ind w:left="850" w:firstLine="1"/>
        <w:rPr>
          <w:spacing w:val="-3"/>
          <w:sz w:val="24"/>
          <w:szCs w:val="24"/>
        </w:rPr>
      </w:pPr>
      <w:r w:rsidRPr="007C49CA">
        <w:rPr>
          <w:iCs/>
          <w:spacing w:val="-3"/>
          <w:sz w:val="24"/>
          <w:szCs w:val="24"/>
        </w:rPr>
        <w:t>Enzyminduktion kan allerede ses efter nogle få dages behandling. Maksimal enzyminduktion ses normalt inden for få uger. Efter ophør med behandling med lægemidlet kan enzyminduktion være opretholdt i omkring 4 uger.</w:t>
      </w:r>
    </w:p>
    <w:p w:rsidR="00D35802" w:rsidRPr="007C49CA" w:rsidRDefault="00D35802" w:rsidP="00D35802">
      <w:pPr>
        <w:tabs>
          <w:tab w:val="left" w:pos="0"/>
          <w:tab w:val="left" w:pos="851"/>
        </w:tabs>
        <w:ind w:left="850" w:firstLine="1"/>
        <w:rPr>
          <w:spacing w:val="-3"/>
          <w:sz w:val="24"/>
          <w:szCs w:val="24"/>
        </w:rPr>
      </w:pPr>
    </w:p>
    <w:p w:rsidR="00D35802" w:rsidRPr="007C49CA" w:rsidRDefault="00D35802" w:rsidP="00D35802">
      <w:pPr>
        <w:tabs>
          <w:tab w:val="left" w:pos="0"/>
          <w:tab w:val="left" w:pos="851"/>
        </w:tabs>
        <w:ind w:left="850" w:firstLine="1"/>
        <w:rPr>
          <w:iCs/>
          <w:spacing w:val="-3"/>
          <w:sz w:val="24"/>
          <w:szCs w:val="24"/>
          <w:u w:val="single"/>
        </w:rPr>
      </w:pPr>
      <w:r w:rsidRPr="007C49CA">
        <w:rPr>
          <w:iCs/>
          <w:spacing w:val="-3"/>
          <w:sz w:val="24"/>
          <w:szCs w:val="24"/>
          <w:u w:val="single"/>
        </w:rPr>
        <w:t>Korttidsbehandling</w:t>
      </w:r>
    </w:p>
    <w:p w:rsidR="00D35802" w:rsidRPr="007C49CA" w:rsidRDefault="00D35802" w:rsidP="00D35802">
      <w:pPr>
        <w:tabs>
          <w:tab w:val="left" w:pos="0"/>
          <w:tab w:val="left" w:pos="851"/>
        </w:tabs>
        <w:ind w:left="850" w:firstLine="1"/>
        <w:rPr>
          <w:spacing w:val="-3"/>
          <w:sz w:val="24"/>
          <w:szCs w:val="24"/>
        </w:rPr>
      </w:pPr>
      <w:r w:rsidRPr="007C49CA">
        <w:rPr>
          <w:spacing w:val="-3"/>
          <w:sz w:val="24"/>
          <w:szCs w:val="24"/>
        </w:rPr>
        <w:t xml:space="preserve">Kvinder, som er i behandling med leverenzyminducerende lægemidler eller naturlægemidler, skal underrettes om, at Desogestrel </w:t>
      </w:r>
      <w:r>
        <w:rPr>
          <w:spacing w:val="-3"/>
          <w:sz w:val="24"/>
          <w:szCs w:val="24"/>
        </w:rPr>
        <w:t>"Sandoz"’</w:t>
      </w:r>
      <w:r w:rsidRPr="007C49CA">
        <w:rPr>
          <w:spacing w:val="-3"/>
          <w:sz w:val="24"/>
          <w:szCs w:val="24"/>
        </w:rPr>
        <w:t xml:space="preserve"> virkning kan være nedsat. En barrieremetode skal benyttes ud over Desogestrel </w:t>
      </w:r>
      <w:r>
        <w:rPr>
          <w:spacing w:val="-3"/>
          <w:sz w:val="24"/>
          <w:szCs w:val="24"/>
        </w:rPr>
        <w:t>"Sandoz"</w:t>
      </w:r>
      <w:r w:rsidRPr="00520A01">
        <w:rPr>
          <w:spacing w:val="-3"/>
          <w:sz w:val="24"/>
          <w:szCs w:val="24"/>
        </w:rPr>
        <w:t>. Barrieremetoden skal anvendes i hele perioden med samtidig brug af andre lægemidler samt i 28 dage efter ophør med det leverenzyminducerende lægemiddel.</w:t>
      </w:r>
    </w:p>
    <w:p w:rsidR="00D35802" w:rsidRPr="007C49CA" w:rsidRDefault="00D35802" w:rsidP="00D35802">
      <w:pPr>
        <w:tabs>
          <w:tab w:val="left" w:pos="0"/>
          <w:tab w:val="left" w:pos="851"/>
        </w:tabs>
        <w:ind w:left="850" w:firstLine="1"/>
        <w:rPr>
          <w:spacing w:val="-3"/>
          <w:sz w:val="24"/>
          <w:szCs w:val="24"/>
        </w:rPr>
      </w:pPr>
    </w:p>
    <w:p w:rsidR="00D35802" w:rsidRPr="007C49CA" w:rsidRDefault="00D35802" w:rsidP="00D35802">
      <w:pPr>
        <w:tabs>
          <w:tab w:val="left" w:pos="0"/>
          <w:tab w:val="left" w:pos="851"/>
        </w:tabs>
        <w:ind w:left="850" w:firstLine="1"/>
        <w:rPr>
          <w:spacing w:val="-3"/>
          <w:sz w:val="24"/>
          <w:szCs w:val="24"/>
          <w:u w:val="single"/>
        </w:rPr>
      </w:pPr>
      <w:r w:rsidRPr="007C49CA">
        <w:rPr>
          <w:spacing w:val="-3"/>
          <w:sz w:val="24"/>
          <w:szCs w:val="24"/>
          <w:u w:val="single"/>
        </w:rPr>
        <w:t>Langtidsbehandling</w:t>
      </w:r>
    </w:p>
    <w:p w:rsidR="00D35802" w:rsidRPr="007C49CA" w:rsidRDefault="00D35802" w:rsidP="00D35802">
      <w:pPr>
        <w:tabs>
          <w:tab w:val="left" w:pos="0"/>
          <w:tab w:val="left" w:pos="851"/>
        </w:tabs>
        <w:ind w:left="850" w:firstLine="1"/>
        <w:rPr>
          <w:spacing w:val="-3"/>
          <w:sz w:val="24"/>
          <w:szCs w:val="24"/>
        </w:rPr>
      </w:pPr>
      <w:r w:rsidRPr="007C49CA">
        <w:rPr>
          <w:spacing w:val="-3"/>
          <w:sz w:val="24"/>
          <w:szCs w:val="24"/>
        </w:rPr>
        <w:t>Hos kvinder, der er i langtidsbehandling med enzyminducerende lægemidler, bør det overvejes at bruge en anden svangerskabsforebyggende metode, som ikke påvirkes af enzyminducerende lægemidler.</w:t>
      </w:r>
    </w:p>
    <w:p w:rsidR="00D35802" w:rsidRDefault="00D35802" w:rsidP="00D35802">
      <w:pPr>
        <w:rPr>
          <w:spacing w:val="-3"/>
          <w:sz w:val="24"/>
          <w:szCs w:val="24"/>
        </w:rPr>
      </w:pPr>
      <w:r>
        <w:rPr>
          <w:spacing w:val="-3"/>
          <w:sz w:val="24"/>
          <w:szCs w:val="24"/>
        </w:rPr>
        <w:br w:type="page"/>
      </w:r>
    </w:p>
    <w:p w:rsidR="00D35802" w:rsidRPr="007C49CA" w:rsidRDefault="00D35802" w:rsidP="00D35802">
      <w:pPr>
        <w:tabs>
          <w:tab w:val="left" w:pos="0"/>
          <w:tab w:val="left" w:pos="851"/>
        </w:tabs>
        <w:ind w:left="850" w:firstLine="1"/>
        <w:rPr>
          <w:spacing w:val="-3"/>
          <w:sz w:val="24"/>
          <w:szCs w:val="24"/>
        </w:rPr>
      </w:pPr>
    </w:p>
    <w:p w:rsidR="00D35802" w:rsidRPr="007C49CA" w:rsidRDefault="00D35802" w:rsidP="00D35802">
      <w:pPr>
        <w:tabs>
          <w:tab w:val="left" w:pos="0"/>
          <w:tab w:val="left" w:pos="851"/>
        </w:tabs>
        <w:ind w:left="850" w:firstLine="1"/>
        <w:rPr>
          <w:spacing w:val="-3"/>
          <w:sz w:val="24"/>
          <w:szCs w:val="24"/>
          <w:u w:val="single"/>
        </w:rPr>
      </w:pPr>
      <w:r w:rsidRPr="007C49CA">
        <w:rPr>
          <w:iCs/>
          <w:spacing w:val="-3"/>
          <w:sz w:val="24"/>
          <w:szCs w:val="24"/>
          <w:u w:val="single"/>
        </w:rPr>
        <w:t>Lægemidler, der øger clearance af hormonelle kontraceptiva</w:t>
      </w:r>
      <w:r w:rsidRPr="007C49CA">
        <w:rPr>
          <w:spacing w:val="-3"/>
          <w:sz w:val="24"/>
          <w:szCs w:val="24"/>
          <w:u w:val="single"/>
        </w:rPr>
        <w:t xml:space="preserve"> (nedsat virkning af p-piller ved enzyminduktion) f.eks.</w:t>
      </w:r>
    </w:p>
    <w:p w:rsidR="00D35802" w:rsidRPr="007C49CA" w:rsidRDefault="00D35802" w:rsidP="00D35802">
      <w:pPr>
        <w:tabs>
          <w:tab w:val="left" w:pos="0"/>
          <w:tab w:val="left" w:pos="851"/>
        </w:tabs>
        <w:ind w:left="850" w:firstLine="1"/>
        <w:rPr>
          <w:spacing w:val="-3"/>
          <w:sz w:val="24"/>
          <w:szCs w:val="24"/>
        </w:rPr>
      </w:pPr>
      <w:r w:rsidRPr="007C49CA">
        <w:rPr>
          <w:spacing w:val="-3"/>
          <w:sz w:val="24"/>
          <w:szCs w:val="24"/>
        </w:rPr>
        <w:t>Barbiturater, bosentan, carbamazepin, phenytoin, primidon, rifampicin, efavirenz og muligvis også felbamat, griseofulvin, oxcarbazepin, topiramat, rifabutin samt produkter, der indeholder naturlægemidlet perikon (</w:t>
      </w:r>
      <w:r w:rsidRPr="007C49CA">
        <w:rPr>
          <w:i/>
          <w:spacing w:val="-3"/>
          <w:sz w:val="24"/>
          <w:szCs w:val="24"/>
        </w:rPr>
        <w:t>hypericum perforatum</w:t>
      </w:r>
      <w:r w:rsidRPr="007C49CA">
        <w:rPr>
          <w:spacing w:val="-3"/>
          <w:sz w:val="24"/>
          <w:szCs w:val="24"/>
        </w:rPr>
        <w:t>).</w:t>
      </w:r>
    </w:p>
    <w:p w:rsidR="00D35802" w:rsidRPr="007C49CA" w:rsidRDefault="00D35802" w:rsidP="00D35802">
      <w:pPr>
        <w:tabs>
          <w:tab w:val="left" w:pos="0"/>
          <w:tab w:val="left" w:pos="851"/>
        </w:tabs>
        <w:ind w:left="850" w:firstLine="1"/>
        <w:rPr>
          <w:spacing w:val="-3"/>
          <w:sz w:val="24"/>
          <w:szCs w:val="24"/>
        </w:rPr>
      </w:pPr>
    </w:p>
    <w:p w:rsidR="00D35802" w:rsidRPr="007C49CA" w:rsidRDefault="00D35802" w:rsidP="00D35802">
      <w:pPr>
        <w:tabs>
          <w:tab w:val="left" w:pos="0"/>
          <w:tab w:val="left" w:pos="851"/>
        </w:tabs>
        <w:ind w:left="850" w:firstLine="1"/>
        <w:rPr>
          <w:spacing w:val="-3"/>
          <w:sz w:val="24"/>
          <w:szCs w:val="24"/>
          <w:u w:val="single"/>
        </w:rPr>
      </w:pPr>
      <w:r w:rsidRPr="007C49CA">
        <w:rPr>
          <w:iCs/>
          <w:spacing w:val="-3"/>
          <w:sz w:val="24"/>
          <w:szCs w:val="24"/>
          <w:u w:val="single"/>
        </w:rPr>
        <w:t>Lægemidler med variabel indvirkning på clearance af hormonelle kontraceptiva</w:t>
      </w:r>
    </w:p>
    <w:p w:rsidR="00D35802" w:rsidRPr="007C49CA" w:rsidRDefault="00D35802" w:rsidP="00D35802">
      <w:pPr>
        <w:tabs>
          <w:tab w:val="left" w:pos="0"/>
          <w:tab w:val="left" w:pos="851"/>
        </w:tabs>
        <w:ind w:left="850" w:firstLine="1"/>
        <w:rPr>
          <w:spacing w:val="-3"/>
          <w:sz w:val="24"/>
          <w:szCs w:val="24"/>
        </w:rPr>
      </w:pPr>
      <w:r w:rsidRPr="007C49CA">
        <w:rPr>
          <w:spacing w:val="-3"/>
          <w:sz w:val="24"/>
          <w:szCs w:val="24"/>
        </w:rPr>
        <w:t>Når lægemidlerne administreres sammen med hormonelle kontraceptiva, kan mange kombinationer af hiv-proteasehæmmere (f.eks. ritonavir, nelfinavir) og non-nukleosid revers transkriptasehæmmere (f.eks. nevirapin) og/eller kombinationer med hcv-hæmmere (hepatitis C virus) (f.eks. boceprevir, telaprevir) øge eller reducere plasmakoncentrationerne af gestagener. Nettoeffekten af disse ændringer kan være klinisk relevant i nogle tilfælde.</w:t>
      </w:r>
    </w:p>
    <w:p w:rsidR="00D35802" w:rsidRPr="007C49CA" w:rsidRDefault="00D35802" w:rsidP="00D35802">
      <w:pPr>
        <w:tabs>
          <w:tab w:val="left" w:pos="0"/>
          <w:tab w:val="left" w:pos="851"/>
        </w:tabs>
        <w:ind w:left="850" w:firstLine="1"/>
        <w:rPr>
          <w:spacing w:val="-3"/>
          <w:sz w:val="24"/>
          <w:szCs w:val="24"/>
        </w:rPr>
      </w:pPr>
    </w:p>
    <w:p w:rsidR="00D35802" w:rsidRPr="007C49CA" w:rsidRDefault="00D35802" w:rsidP="00D35802">
      <w:pPr>
        <w:tabs>
          <w:tab w:val="left" w:pos="0"/>
          <w:tab w:val="left" w:pos="851"/>
        </w:tabs>
        <w:ind w:left="850" w:firstLine="1"/>
        <w:rPr>
          <w:spacing w:val="-3"/>
          <w:sz w:val="24"/>
          <w:szCs w:val="24"/>
        </w:rPr>
      </w:pPr>
      <w:r w:rsidRPr="007C49CA">
        <w:rPr>
          <w:spacing w:val="-3"/>
          <w:sz w:val="24"/>
          <w:szCs w:val="24"/>
        </w:rPr>
        <w:t>Derfor skal produktresuméet for samtidigt administrerede lægemidler mod hiv/hcv læses med henblik på at identificere potentielle interaktioner og relaterede anbefalinger. I tvivlstilfælde skal kvinder, der får behandling med proteasehæmmere eller non-nukleosid revers transkriptasehæmmere, anvende en yderligere barrieremetode.</w:t>
      </w:r>
    </w:p>
    <w:p w:rsidR="00D35802" w:rsidRPr="007C49CA" w:rsidRDefault="00D35802" w:rsidP="00D35802">
      <w:pPr>
        <w:tabs>
          <w:tab w:val="left" w:pos="0"/>
          <w:tab w:val="left" w:pos="851"/>
        </w:tabs>
        <w:ind w:left="850" w:firstLine="1"/>
        <w:rPr>
          <w:spacing w:val="-3"/>
          <w:sz w:val="24"/>
          <w:szCs w:val="24"/>
        </w:rPr>
      </w:pPr>
    </w:p>
    <w:p w:rsidR="00D35802" w:rsidRPr="007C49CA" w:rsidRDefault="00D35802" w:rsidP="00D35802">
      <w:pPr>
        <w:tabs>
          <w:tab w:val="left" w:pos="0"/>
          <w:tab w:val="left" w:pos="851"/>
        </w:tabs>
        <w:ind w:left="850" w:firstLine="1"/>
        <w:rPr>
          <w:spacing w:val="-3"/>
          <w:sz w:val="24"/>
          <w:szCs w:val="24"/>
          <w:u w:val="single"/>
        </w:rPr>
      </w:pPr>
      <w:r w:rsidRPr="007C49CA">
        <w:rPr>
          <w:spacing w:val="-3"/>
          <w:sz w:val="24"/>
          <w:szCs w:val="24"/>
          <w:u w:val="single"/>
        </w:rPr>
        <w:t xml:space="preserve">Lægemidler, der sænker clearance af </w:t>
      </w:r>
      <w:r w:rsidRPr="007C49CA">
        <w:rPr>
          <w:iCs/>
          <w:spacing w:val="-3"/>
          <w:sz w:val="24"/>
          <w:szCs w:val="24"/>
          <w:u w:val="single"/>
        </w:rPr>
        <w:t>hormonelle kontraceptiva</w:t>
      </w:r>
      <w:r w:rsidRPr="007C49CA">
        <w:rPr>
          <w:spacing w:val="-3"/>
          <w:sz w:val="24"/>
          <w:szCs w:val="24"/>
          <w:u w:val="single"/>
        </w:rPr>
        <w:t xml:space="preserve"> (enzymhæmmere)</w:t>
      </w:r>
    </w:p>
    <w:p w:rsidR="00D35802" w:rsidRPr="007C49CA" w:rsidRDefault="00D35802" w:rsidP="00D35802">
      <w:pPr>
        <w:tabs>
          <w:tab w:val="left" w:pos="0"/>
          <w:tab w:val="left" w:pos="851"/>
        </w:tabs>
        <w:ind w:left="850" w:firstLine="1"/>
        <w:rPr>
          <w:spacing w:val="-3"/>
          <w:sz w:val="24"/>
          <w:szCs w:val="24"/>
        </w:rPr>
      </w:pPr>
      <w:r w:rsidRPr="007C49CA">
        <w:rPr>
          <w:spacing w:val="-3"/>
          <w:sz w:val="24"/>
          <w:szCs w:val="24"/>
        </w:rPr>
        <w:t>Samtidig administration af potente (f.eks. ketoconazol, itraconazol, clarithromycin) eller moderate (f.eks. fluconazol, diltiazem, erythromycin) CYP3A4-hæmmere kan øge serumkoncentrationerne af gestagener, inklusive etonogestrel, den aktive metabolit af desogestrel.</w:t>
      </w:r>
    </w:p>
    <w:p w:rsidR="00D35802" w:rsidRPr="007C49CA" w:rsidRDefault="00D35802" w:rsidP="00D35802">
      <w:pPr>
        <w:tabs>
          <w:tab w:val="left" w:pos="0"/>
          <w:tab w:val="left" w:pos="851"/>
        </w:tabs>
        <w:ind w:left="850" w:firstLine="1"/>
        <w:rPr>
          <w:spacing w:val="-3"/>
          <w:sz w:val="24"/>
          <w:szCs w:val="24"/>
        </w:rPr>
      </w:pPr>
    </w:p>
    <w:p w:rsidR="00D35802" w:rsidRPr="001B30B7" w:rsidRDefault="00D35802" w:rsidP="00D35802">
      <w:pPr>
        <w:tabs>
          <w:tab w:val="left" w:pos="0"/>
          <w:tab w:val="left" w:pos="851"/>
        </w:tabs>
        <w:ind w:left="850" w:firstLine="1"/>
        <w:rPr>
          <w:spacing w:val="-3"/>
          <w:sz w:val="24"/>
          <w:szCs w:val="24"/>
        </w:rPr>
      </w:pPr>
      <w:r w:rsidRPr="007C49CA">
        <w:rPr>
          <w:b/>
          <w:spacing w:val="-3"/>
          <w:sz w:val="24"/>
          <w:szCs w:val="24"/>
        </w:rPr>
        <w:t xml:space="preserve">Indvirkning af Desogestrel </w:t>
      </w:r>
      <w:r>
        <w:rPr>
          <w:b/>
          <w:spacing w:val="-3"/>
          <w:sz w:val="24"/>
          <w:szCs w:val="24"/>
        </w:rPr>
        <w:t>"Sandoz"</w:t>
      </w:r>
      <w:r w:rsidRPr="001B30B7">
        <w:rPr>
          <w:b/>
          <w:spacing w:val="-3"/>
          <w:sz w:val="24"/>
          <w:szCs w:val="24"/>
        </w:rPr>
        <w:t xml:space="preserve"> på andre lægemidler</w:t>
      </w:r>
    </w:p>
    <w:p w:rsidR="00D35802" w:rsidRPr="007C49CA" w:rsidRDefault="00D35802" w:rsidP="00D35802">
      <w:pPr>
        <w:tabs>
          <w:tab w:val="left" w:pos="0"/>
          <w:tab w:val="left" w:pos="851"/>
        </w:tabs>
        <w:ind w:left="850" w:firstLine="1"/>
        <w:rPr>
          <w:sz w:val="24"/>
          <w:szCs w:val="24"/>
        </w:rPr>
      </w:pPr>
      <w:r w:rsidRPr="007C49CA">
        <w:rPr>
          <w:spacing w:val="-3"/>
          <w:sz w:val="24"/>
          <w:szCs w:val="24"/>
        </w:rPr>
        <w:t xml:space="preserve">Hormonelle </w:t>
      </w:r>
      <w:r w:rsidRPr="007C49CA">
        <w:rPr>
          <w:iCs/>
          <w:spacing w:val="-3"/>
          <w:sz w:val="24"/>
          <w:szCs w:val="24"/>
        </w:rPr>
        <w:t>kontraceptiva</w:t>
      </w:r>
      <w:r w:rsidRPr="007C49CA">
        <w:rPr>
          <w:spacing w:val="-3"/>
          <w:sz w:val="24"/>
          <w:szCs w:val="24"/>
        </w:rPr>
        <w:t xml:space="preserve"> kan påvirke metabolismen af andre lægemidler. Herved kan plasma- og vævskoncentrationer af andre aktive stoffer enten stige (f.eks. ciclosporin) eller falde (f.eks. lamotrigin).</w:t>
      </w:r>
    </w:p>
    <w:p w:rsidR="00D35802" w:rsidRPr="004F0A5F" w:rsidRDefault="00D35802" w:rsidP="00D35802">
      <w:pPr>
        <w:tabs>
          <w:tab w:val="left" w:pos="851"/>
        </w:tabs>
        <w:rPr>
          <w:sz w:val="24"/>
          <w:szCs w:val="24"/>
        </w:rPr>
      </w:pPr>
    </w:p>
    <w:p w:rsidR="00D35802" w:rsidRPr="004F0A5F" w:rsidRDefault="00D35802" w:rsidP="00D35802">
      <w:pPr>
        <w:numPr>
          <w:ilvl w:val="1"/>
          <w:numId w:val="1"/>
        </w:numPr>
        <w:rPr>
          <w:b/>
          <w:sz w:val="24"/>
          <w:szCs w:val="24"/>
        </w:rPr>
      </w:pPr>
      <w:r w:rsidRPr="004F0A5F">
        <w:rPr>
          <w:b/>
          <w:sz w:val="24"/>
          <w:szCs w:val="24"/>
        </w:rPr>
        <w:t>Graviditet og amning</w:t>
      </w:r>
    </w:p>
    <w:p w:rsidR="00D35802" w:rsidRPr="004F0A5F" w:rsidRDefault="00D35802" w:rsidP="00D35802">
      <w:pPr>
        <w:tabs>
          <w:tab w:val="left" w:pos="0"/>
          <w:tab w:val="left" w:pos="851"/>
        </w:tabs>
        <w:ind w:left="855"/>
        <w:rPr>
          <w:sz w:val="24"/>
          <w:szCs w:val="24"/>
        </w:rPr>
      </w:pPr>
    </w:p>
    <w:p w:rsidR="00D35802" w:rsidRPr="004F0A5F" w:rsidRDefault="00D35802" w:rsidP="00D35802">
      <w:pPr>
        <w:tabs>
          <w:tab w:val="left" w:pos="0"/>
          <w:tab w:val="left" w:pos="851"/>
        </w:tabs>
        <w:ind w:left="855"/>
        <w:rPr>
          <w:sz w:val="24"/>
          <w:szCs w:val="24"/>
          <w:u w:val="single"/>
        </w:rPr>
      </w:pPr>
      <w:r w:rsidRPr="004F0A5F">
        <w:rPr>
          <w:sz w:val="24"/>
          <w:szCs w:val="24"/>
          <w:u w:val="single"/>
        </w:rPr>
        <w:t>Graviditet</w:t>
      </w:r>
    </w:p>
    <w:p w:rsidR="00D35802" w:rsidRPr="004F0A5F" w:rsidRDefault="00D35802" w:rsidP="00D35802">
      <w:pPr>
        <w:tabs>
          <w:tab w:val="left" w:pos="0"/>
          <w:tab w:val="left" w:pos="851"/>
        </w:tabs>
        <w:ind w:left="850" w:hanging="850"/>
        <w:rPr>
          <w:sz w:val="24"/>
          <w:szCs w:val="24"/>
        </w:rPr>
      </w:pPr>
      <w:r>
        <w:rPr>
          <w:sz w:val="24"/>
          <w:szCs w:val="24"/>
        </w:rPr>
        <w:tab/>
      </w:r>
      <w:r w:rsidRPr="004F0A5F">
        <w:rPr>
          <w:sz w:val="24"/>
          <w:szCs w:val="24"/>
        </w:rPr>
        <w:t xml:space="preserve">Desogestrel </w:t>
      </w:r>
      <w:r>
        <w:rPr>
          <w:sz w:val="24"/>
          <w:szCs w:val="24"/>
        </w:rPr>
        <w:t>"</w:t>
      </w:r>
      <w:r w:rsidRPr="004F0A5F">
        <w:rPr>
          <w:sz w:val="24"/>
          <w:szCs w:val="24"/>
        </w:rPr>
        <w:t>Sandoz</w:t>
      </w:r>
      <w:r>
        <w:rPr>
          <w:sz w:val="24"/>
          <w:szCs w:val="24"/>
        </w:rPr>
        <w:t>"</w:t>
      </w:r>
      <w:r w:rsidRPr="004F0A5F">
        <w:rPr>
          <w:sz w:val="24"/>
          <w:szCs w:val="24"/>
        </w:rPr>
        <w:t xml:space="preserve"> er ikke indiceret under graviditet. Hvis graviditet forekommer under brug af Desogestrel </w:t>
      </w:r>
      <w:r>
        <w:rPr>
          <w:sz w:val="24"/>
          <w:szCs w:val="24"/>
        </w:rPr>
        <w:t>"</w:t>
      </w:r>
      <w:r w:rsidRPr="004F0A5F">
        <w:rPr>
          <w:sz w:val="24"/>
          <w:szCs w:val="24"/>
        </w:rPr>
        <w:t>Sandoz</w:t>
      </w:r>
      <w:r>
        <w:rPr>
          <w:sz w:val="24"/>
          <w:szCs w:val="24"/>
        </w:rPr>
        <w:t>"</w:t>
      </w:r>
      <w:r w:rsidRPr="004F0A5F">
        <w:rPr>
          <w:sz w:val="24"/>
          <w:szCs w:val="24"/>
        </w:rPr>
        <w:t>, skal indtagelse af tabletterne stoppes.</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Dyreforsøg har vist, at meget høje doser af gestagenholdige substanser kan forårsage virilisering af det kvindelige foster.</w:t>
      </w:r>
    </w:p>
    <w:p w:rsidR="00D35802" w:rsidRPr="004F0A5F" w:rsidRDefault="00D35802" w:rsidP="00D35802">
      <w:pPr>
        <w:tabs>
          <w:tab w:val="left" w:pos="0"/>
          <w:tab w:val="left" w:pos="851"/>
        </w:tabs>
        <w:ind w:left="850" w:hanging="850"/>
        <w:rPr>
          <w:spacing w:val="-3"/>
          <w:sz w:val="24"/>
          <w:szCs w:val="24"/>
        </w:rPr>
      </w:pPr>
      <w:r w:rsidRPr="004F0A5F">
        <w:rPr>
          <w:spacing w:val="-3"/>
          <w:sz w:val="24"/>
          <w:szCs w:val="24"/>
        </w:rPr>
        <w:tab/>
        <w:t>Omfattende epidemiologiske studier har hverken afsløret en øget risiko for fødsels</w:t>
      </w:r>
      <w:r w:rsidRPr="004F0A5F">
        <w:rPr>
          <w:spacing w:val="-3"/>
          <w:sz w:val="24"/>
          <w:szCs w:val="24"/>
        </w:rPr>
        <w:softHyphen/>
        <w:t>defekter hos børn, som er født af kvinder, der tog p-piller af kombinationstypen før deres gra</w:t>
      </w:r>
      <w:r w:rsidRPr="004F0A5F">
        <w:rPr>
          <w:spacing w:val="-3"/>
          <w:sz w:val="24"/>
          <w:szCs w:val="24"/>
        </w:rPr>
        <w:softHyphen/>
        <w:t>viditet, eller en teratogen virkning, når p-pillerne blev taget uforvarende tidligt i graviditeten. Indsamlede farmakologiske sikkerhedsdata for forskellige p-piller af kombinationstypen indeholdende desogestrel indikerer heller ikke en øget risiko.</w:t>
      </w:r>
    </w:p>
    <w:p w:rsidR="00D35802" w:rsidRPr="004F0A5F" w:rsidRDefault="00D35802" w:rsidP="00D35802">
      <w:pPr>
        <w:tabs>
          <w:tab w:val="left" w:pos="0"/>
          <w:tab w:val="left" w:pos="851"/>
        </w:tabs>
        <w:rPr>
          <w:spacing w:val="-3"/>
          <w:sz w:val="24"/>
          <w:szCs w:val="24"/>
        </w:rPr>
      </w:pPr>
    </w:p>
    <w:p w:rsidR="00D35802" w:rsidRPr="004F0A5F" w:rsidRDefault="00D35802" w:rsidP="00D35802">
      <w:pPr>
        <w:tabs>
          <w:tab w:val="left" w:pos="851"/>
        </w:tabs>
        <w:ind w:left="851" w:hanging="851"/>
        <w:rPr>
          <w:spacing w:val="-3"/>
          <w:sz w:val="24"/>
          <w:szCs w:val="24"/>
          <w:u w:val="single"/>
        </w:rPr>
      </w:pPr>
      <w:r w:rsidRPr="004F0A5F">
        <w:rPr>
          <w:spacing w:val="-3"/>
          <w:sz w:val="24"/>
          <w:szCs w:val="24"/>
        </w:rPr>
        <w:tab/>
      </w:r>
      <w:r w:rsidRPr="004F0A5F">
        <w:rPr>
          <w:spacing w:val="-3"/>
          <w:sz w:val="24"/>
          <w:szCs w:val="24"/>
          <w:u w:val="single"/>
        </w:rPr>
        <w:t>Amning</w:t>
      </w:r>
    </w:p>
    <w:p w:rsidR="00C57F18" w:rsidRDefault="00C57F18" w:rsidP="00C57F18">
      <w:pPr>
        <w:tabs>
          <w:tab w:val="left" w:pos="851"/>
        </w:tabs>
        <w:ind w:left="851" w:hanging="851"/>
        <w:rPr>
          <w:spacing w:val="-3"/>
          <w:sz w:val="24"/>
          <w:szCs w:val="24"/>
        </w:rPr>
      </w:pPr>
      <w:r w:rsidRPr="004F0A5F">
        <w:rPr>
          <w:spacing w:val="-3"/>
          <w:sz w:val="24"/>
          <w:szCs w:val="24"/>
        </w:rPr>
        <w:tab/>
      </w:r>
      <w:r>
        <w:rPr>
          <w:spacing w:val="-3"/>
          <w:sz w:val="24"/>
          <w:szCs w:val="24"/>
        </w:rPr>
        <w:t>Ud fra kliniske studiedata synes</w:t>
      </w:r>
      <w:r w:rsidRPr="00566352">
        <w:rPr>
          <w:spacing w:val="-3"/>
          <w:sz w:val="24"/>
          <w:szCs w:val="24"/>
        </w:rPr>
        <w:t xml:space="preserve"> </w:t>
      </w:r>
      <w:r w:rsidRPr="00AD7E04">
        <w:rPr>
          <w:spacing w:val="-3"/>
          <w:sz w:val="24"/>
          <w:szCs w:val="24"/>
        </w:rPr>
        <w:t>d</w:t>
      </w:r>
      <w:r w:rsidRPr="00566352">
        <w:rPr>
          <w:spacing w:val="-3"/>
          <w:sz w:val="24"/>
          <w:szCs w:val="24"/>
        </w:rPr>
        <w:t xml:space="preserve">esogestrel </w:t>
      </w:r>
      <w:r w:rsidRPr="004F0A5F">
        <w:rPr>
          <w:spacing w:val="-3"/>
          <w:sz w:val="24"/>
          <w:szCs w:val="24"/>
        </w:rPr>
        <w:t>ikke</w:t>
      </w:r>
      <w:r>
        <w:rPr>
          <w:spacing w:val="-3"/>
          <w:sz w:val="24"/>
          <w:szCs w:val="24"/>
        </w:rPr>
        <w:t xml:space="preserve"> at påvirke dannelsen eller kvaliteten af brystmælk</w:t>
      </w:r>
      <w:r w:rsidRPr="004F0A5F">
        <w:rPr>
          <w:spacing w:val="-3"/>
          <w:sz w:val="24"/>
          <w:szCs w:val="24"/>
        </w:rPr>
        <w:t xml:space="preserve"> (</w:t>
      </w:r>
      <w:r>
        <w:rPr>
          <w:spacing w:val="-3"/>
          <w:sz w:val="24"/>
          <w:szCs w:val="24"/>
        </w:rPr>
        <w:t xml:space="preserve">koncentrationen af </w:t>
      </w:r>
      <w:r w:rsidRPr="004F0A5F">
        <w:rPr>
          <w:spacing w:val="-3"/>
          <w:sz w:val="24"/>
          <w:szCs w:val="24"/>
        </w:rPr>
        <w:t xml:space="preserve">protein, lactose </w:t>
      </w:r>
      <w:r>
        <w:rPr>
          <w:spacing w:val="-3"/>
          <w:sz w:val="24"/>
          <w:szCs w:val="24"/>
        </w:rPr>
        <w:t>og</w:t>
      </w:r>
      <w:r w:rsidRPr="004F0A5F">
        <w:rPr>
          <w:spacing w:val="-3"/>
          <w:sz w:val="24"/>
          <w:szCs w:val="24"/>
        </w:rPr>
        <w:t xml:space="preserve"> fedt). </w:t>
      </w:r>
      <w:r>
        <w:rPr>
          <w:spacing w:val="-3"/>
          <w:sz w:val="24"/>
          <w:szCs w:val="24"/>
        </w:rPr>
        <w:t>Der har imidlertid efter markedsføring været sjældne rapporter om fald i dannelsen af brystmælk ved brug af desogestrel. S</w:t>
      </w:r>
      <w:r w:rsidRPr="004F0A5F">
        <w:rPr>
          <w:spacing w:val="-3"/>
          <w:sz w:val="24"/>
          <w:szCs w:val="24"/>
        </w:rPr>
        <w:t>må mængder af etonogestrel udskil</w:t>
      </w:r>
      <w:r>
        <w:rPr>
          <w:spacing w:val="-3"/>
          <w:sz w:val="24"/>
          <w:szCs w:val="24"/>
        </w:rPr>
        <w:t>les</w:t>
      </w:r>
      <w:r w:rsidRPr="004F0A5F">
        <w:rPr>
          <w:spacing w:val="-3"/>
          <w:sz w:val="24"/>
          <w:szCs w:val="24"/>
        </w:rPr>
        <w:t xml:space="preserve"> i </w:t>
      </w:r>
      <w:r>
        <w:rPr>
          <w:spacing w:val="-3"/>
          <w:sz w:val="24"/>
          <w:szCs w:val="24"/>
        </w:rPr>
        <w:t>bryst</w:t>
      </w:r>
      <w:r w:rsidRPr="004F0A5F">
        <w:rPr>
          <w:spacing w:val="-3"/>
          <w:sz w:val="24"/>
          <w:szCs w:val="24"/>
        </w:rPr>
        <w:t xml:space="preserve">mælken. Som </w:t>
      </w:r>
      <w:r>
        <w:rPr>
          <w:spacing w:val="-3"/>
          <w:sz w:val="24"/>
          <w:szCs w:val="24"/>
        </w:rPr>
        <w:t>følge deraf kan barnet indtage</w:t>
      </w:r>
      <w:r w:rsidRPr="004F0A5F">
        <w:rPr>
          <w:spacing w:val="-3"/>
          <w:sz w:val="24"/>
          <w:szCs w:val="24"/>
        </w:rPr>
        <w:t xml:space="preserve"> 0,01-0,05 mikrogram pr</w:t>
      </w:r>
      <w:r>
        <w:rPr>
          <w:spacing w:val="-3"/>
          <w:sz w:val="24"/>
          <w:szCs w:val="24"/>
        </w:rPr>
        <w:t>.</w:t>
      </w:r>
      <w:r w:rsidRPr="004F0A5F">
        <w:rPr>
          <w:spacing w:val="-3"/>
          <w:sz w:val="24"/>
          <w:szCs w:val="24"/>
        </w:rPr>
        <w:t xml:space="preserve"> kg legemsvægt pr</w:t>
      </w:r>
      <w:r>
        <w:rPr>
          <w:spacing w:val="-3"/>
          <w:sz w:val="24"/>
          <w:szCs w:val="24"/>
        </w:rPr>
        <w:t>.</w:t>
      </w:r>
      <w:r w:rsidRPr="004F0A5F">
        <w:rPr>
          <w:spacing w:val="-3"/>
          <w:sz w:val="24"/>
          <w:szCs w:val="24"/>
        </w:rPr>
        <w:t xml:space="preserve"> dag (baseret på en skøn</w:t>
      </w:r>
      <w:r>
        <w:rPr>
          <w:spacing w:val="-3"/>
          <w:sz w:val="24"/>
          <w:szCs w:val="24"/>
        </w:rPr>
        <w:t xml:space="preserve">net </w:t>
      </w:r>
      <w:r w:rsidRPr="004F0A5F">
        <w:rPr>
          <w:spacing w:val="-3"/>
          <w:sz w:val="24"/>
          <w:szCs w:val="24"/>
        </w:rPr>
        <w:t>indtagelse</w:t>
      </w:r>
      <w:r>
        <w:rPr>
          <w:spacing w:val="-3"/>
          <w:sz w:val="24"/>
          <w:szCs w:val="24"/>
        </w:rPr>
        <w:t xml:space="preserve"> af brystmælk</w:t>
      </w:r>
      <w:r w:rsidRPr="004F0A5F">
        <w:rPr>
          <w:spacing w:val="-3"/>
          <w:sz w:val="24"/>
          <w:szCs w:val="24"/>
        </w:rPr>
        <w:t xml:space="preserve"> på 150 ml/kg/dag). </w:t>
      </w:r>
      <w:r>
        <w:rPr>
          <w:spacing w:val="-3"/>
          <w:sz w:val="24"/>
          <w:szCs w:val="24"/>
        </w:rPr>
        <w:t>Ligesom andre piller, der kun indeholder gestagen, kan Desogestrel ”Sandoz” anvendes under amning.</w:t>
      </w:r>
    </w:p>
    <w:p w:rsidR="00C57F18" w:rsidRDefault="00C57F18" w:rsidP="00D35802">
      <w:pPr>
        <w:tabs>
          <w:tab w:val="left" w:pos="851"/>
        </w:tabs>
        <w:ind w:left="851" w:hanging="851"/>
        <w:rPr>
          <w:spacing w:val="-3"/>
          <w:sz w:val="24"/>
          <w:szCs w:val="24"/>
        </w:rPr>
      </w:pPr>
    </w:p>
    <w:p w:rsidR="00D35802" w:rsidRDefault="00D35802" w:rsidP="00D35802">
      <w:pPr>
        <w:tabs>
          <w:tab w:val="left" w:pos="851"/>
        </w:tabs>
        <w:ind w:left="851" w:hanging="851"/>
        <w:rPr>
          <w:spacing w:val="-3"/>
          <w:sz w:val="24"/>
          <w:szCs w:val="24"/>
        </w:rPr>
      </w:pPr>
      <w:r w:rsidRPr="004F0A5F">
        <w:rPr>
          <w:spacing w:val="-3"/>
          <w:sz w:val="24"/>
          <w:szCs w:val="24"/>
        </w:rPr>
        <w:tab/>
        <w:t xml:space="preserve">Begrænsede langtidsdata med follow-up eksisterer for børn, hvis mødre startede med desogestrel 4-8 uger efter fødslen. Børnene blev ammet i 7 måneder og fulgt, indtil de var 1½ </w:t>
      </w:r>
      <w:r w:rsidRPr="004F0A5F">
        <w:rPr>
          <w:spacing w:val="-3"/>
          <w:sz w:val="24"/>
          <w:szCs w:val="24"/>
        </w:rPr>
        <w:lastRenderedPageBreak/>
        <w:t xml:space="preserve">år (n=32) eller 2½ år (N=4). Evaluering af vækst, fysisk og psykomotorisk udvikling indikerer ikke nogen forskel sammenlignet med børn, som blev ammet, og hvis mødre anvendte en kobberspiral. Baseret på de tilgængelige data kan </w:t>
      </w:r>
      <w:r>
        <w:rPr>
          <w:spacing w:val="-3"/>
          <w:sz w:val="24"/>
          <w:szCs w:val="24"/>
        </w:rPr>
        <w:t>d</w:t>
      </w:r>
      <w:r w:rsidRPr="004F0A5F">
        <w:rPr>
          <w:spacing w:val="-3"/>
          <w:sz w:val="24"/>
          <w:szCs w:val="24"/>
        </w:rPr>
        <w:t>esogestrel anvendes under amning. Ikke desto mindre bør udvikling og vækst følges nøje hos børn, som ammes.</w:t>
      </w:r>
    </w:p>
    <w:p w:rsidR="00D35802" w:rsidRPr="004F0A5F" w:rsidRDefault="00D35802" w:rsidP="00D35802">
      <w:pPr>
        <w:tabs>
          <w:tab w:val="left" w:pos="851"/>
        </w:tabs>
        <w:ind w:left="851" w:hanging="851"/>
        <w:rPr>
          <w:sz w:val="24"/>
          <w:szCs w:val="24"/>
        </w:rPr>
      </w:pPr>
    </w:p>
    <w:p w:rsidR="00D35802" w:rsidRPr="004F0A5F" w:rsidRDefault="00D35802" w:rsidP="00D35802">
      <w:pPr>
        <w:tabs>
          <w:tab w:val="left" w:pos="851"/>
        </w:tabs>
        <w:ind w:left="851"/>
        <w:rPr>
          <w:sz w:val="24"/>
          <w:szCs w:val="24"/>
        </w:rPr>
      </w:pPr>
      <w:r w:rsidRPr="004F0A5F">
        <w:rPr>
          <w:spacing w:val="-3"/>
          <w:sz w:val="24"/>
          <w:szCs w:val="24"/>
          <w:u w:val="single"/>
        </w:rPr>
        <w:t>Fertilitet</w:t>
      </w:r>
    </w:p>
    <w:p w:rsidR="00D35802" w:rsidRPr="004F0A5F" w:rsidRDefault="00D35802" w:rsidP="00D35802">
      <w:pPr>
        <w:tabs>
          <w:tab w:val="left" w:pos="851"/>
        </w:tabs>
        <w:ind w:left="851"/>
        <w:rPr>
          <w:sz w:val="24"/>
          <w:szCs w:val="24"/>
        </w:rPr>
      </w:pPr>
      <w:r w:rsidRPr="004F0A5F">
        <w:rPr>
          <w:sz w:val="24"/>
          <w:szCs w:val="24"/>
        </w:rPr>
        <w:t xml:space="preserve">Desogestrel </w:t>
      </w:r>
      <w:r>
        <w:rPr>
          <w:sz w:val="24"/>
          <w:szCs w:val="24"/>
        </w:rPr>
        <w:t>"Sandoz"</w:t>
      </w:r>
      <w:r w:rsidRPr="004F0A5F">
        <w:rPr>
          <w:sz w:val="24"/>
          <w:szCs w:val="24"/>
        </w:rPr>
        <w:t xml:space="preserve"> er indiceret til svangerskabsforebyggelse. For information om tilbagevenden til fertilitet (ovulation) se pkt. 5.1.</w:t>
      </w:r>
    </w:p>
    <w:p w:rsidR="00D35802" w:rsidRPr="004F0A5F" w:rsidRDefault="00D35802" w:rsidP="00D35802">
      <w:pPr>
        <w:tabs>
          <w:tab w:val="left" w:pos="851"/>
        </w:tabs>
        <w:rPr>
          <w:sz w:val="24"/>
          <w:szCs w:val="24"/>
        </w:rPr>
      </w:pPr>
    </w:p>
    <w:p w:rsidR="00D35802" w:rsidRPr="004F0A5F" w:rsidRDefault="00D35802" w:rsidP="00D35802">
      <w:pPr>
        <w:numPr>
          <w:ilvl w:val="1"/>
          <w:numId w:val="1"/>
        </w:numPr>
        <w:rPr>
          <w:b/>
          <w:sz w:val="24"/>
          <w:szCs w:val="24"/>
        </w:rPr>
      </w:pPr>
      <w:r w:rsidRPr="004F0A5F">
        <w:rPr>
          <w:b/>
          <w:sz w:val="24"/>
          <w:szCs w:val="24"/>
        </w:rPr>
        <w:t>Virkninger på evnen til at føre motorkøretøj eller betjene maskiner</w:t>
      </w:r>
    </w:p>
    <w:p w:rsidR="00D35802" w:rsidRPr="004F0A5F" w:rsidRDefault="00D35802" w:rsidP="00D35802">
      <w:pPr>
        <w:tabs>
          <w:tab w:val="left" w:pos="851"/>
        </w:tabs>
        <w:ind w:left="851" w:hanging="851"/>
        <w:rPr>
          <w:spacing w:val="-3"/>
          <w:sz w:val="24"/>
          <w:szCs w:val="24"/>
        </w:rPr>
      </w:pPr>
      <w:r w:rsidRPr="004F0A5F">
        <w:rPr>
          <w:sz w:val="24"/>
          <w:szCs w:val="24"/>
        </w:rPr>
        <w:tab/>
      </w:r>
      <w:r w:rsidRPr="004F0A5F">
        <w:rPr>
          <w:spacing w:val="-3"/>
          <w:sz w:val="24"/>
          <w:szCs w:val="24"/>
        </w:rPr>
        <w:t>Ikke mærkning.</w:t>
      </w:r>
    </w:p>
    <w:p w:rsidR="00D35802" w:rsidRPr="004F0A5F" w:rsidRDefault="00D35802" w:rsidP="00D35802">
      <w:pPr>
        <w:tabs>
          <w:tab w:val="left" w:pos="851"/>
        </w:tabs>
        <w:ind w:left="851" w:hanging="851"/>
        <w:rPr>
          <w:sz w:val="24"/>
          <w:szCs w:val="24"/>
        </w:rPr>
      </w:pPr>
      <w:r w:rsidRPr="004F0A5F">
        <w:rPr>
          <w:spacing w:val="-3"/>
          <w:sz w:val="24"/>
          <w:szCs w:val="24"/>
        </w:rPr>
        <w:tab/>
        <w:t xml:space="preserve">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påvirker ikke eller kun i ubetydelig grad evnen til at føre motorkøretøj eller betjene maskiner.</w:t>
      </w:r>
    </w:p>
    <w:p w:rsidR="00D35802" w:rsidRPr="004F0A5F" w:rsidRDefault="00D35802" w:rsidP="00D35802">
      <w:pPr>
        <w:tabs>
          <w:tab w:val="left" w:pos="851"/>
        </w:tabs>
        <w:rPr>
          <w:sz w:val="24"/>
          <w:szCs w:val="24"/>
        </w:rPr>
      </w:pPr>
    </w:p>
    <w:p w:rsidR="00D35802" w:rsidRPr="004F0A5F" w:rsidRDefault="00D35802" w:rsidP="00D35802">
      <w:pPr>
        <w:numPr>
          <w:ilvl w:val="1"/>
          <w:numId w:val="1"/>
        </w:numPr>
        <w:rPr>
          <w:b/>
          <w:sz w:val="24"/>
          <w:szCs w:val="24"/>
        </w:rPr>
      </w:pPr>
      <w:r w:rsidRPr="004F0A5F">
        <w:rPr>
          <w:b/>
          <w:sz w:val="24"/>
          <w:szCs w:val="24"/>
        </w:rPr>
        <w:t>Bivirkninger</w:t>
      </w:r>
    </w:p>
    <w:p w:rsidR="00D35802" w:rsidRDefault="00D35802" w:rsidP="00D35802">
      <w:pPr>
        <w:tabs>
          <w:tab w:val="left" w:pos="0"/>
          <w:tab w:val="left" w:pos="851"/>
        </w:tabs>
        <w:ind w:left="855" w:hanging="4"/>
        <w:rPr>
          <w:sz w:val="24"/>
          <w:szCs w:val="24"/>
        </w:rPr>
      </w:pPr>
    </w:p>
    <w:p w:rsidR="00D35802" w:rsidRPr="007C49CA" w:rsidRDefault="00D35802" w:rsidP="00D35802">
      <w:pPr>
        <w:tabs>
          <w:tab w:val="left" w:pos="0"/>
          <w:tab w:val="left" w:pos="851"/>
        </w:tabs>
        <w:ind w:left="855"/>
        <w:rPr>
          <w:sz w:val="24"/>
          <w:szCs w:val="24"/>
          <w:u w:val="single"/>
        </w:rPr>
      </w:pPr>
      <w:r w:rsidRPr="007C49CA">
        <w:rPr>
          <w:sz w:val="24"/>
          <w:szCs w:val="24"/>
          <w:u w:val="single"/>
        </w:rPr>
        <w:t>Resumé af sikkerhedsprofilen</w:t>
      </w:r>
    </w:p>
    <w:p w:rsidR="00D35802" w:rsidRPr="004F0A5F" w:rsidRDefault="00D35802" w:rsidP="00D35802">
      <w:pPr>
        <w:tabs>
          <w:tab w:val="left" w:pos="0"/>
          <w:tab w:val="left" w:pos="851"/>
        </w:tabs>
        <w:ind w:left="850" w:hanging="4"/>
        <w:rPr>
          <w:spacing w:val="-3"/>
          <w:sz w:val="24"/>
          <w:szCs w:val="24"/>
        </w:rPr>
      </w:pPr>
      <w:r w:rsidRPr="004F0A5F">
        <w:rPr>
          <w:spacing w:val="-3"/>
          <w:sz w:val="24"/>
          <w:szCs w:val="24"/>
        </w:rPr>
        <w:t>De oftest rapporterede bivirkninger i de kliniske studier er blødningsuregelmæssigheder.</w:t>
      </w:r>
    </w:p>
    <w:p w:rsidR="00D35802" w:rsidRPr="004F0A5F" w:rsidRDefault="00D35802" w:rsidP="00D35802">
      <w:pPr>
        <w:tabs>
          <w:tab w:val="left" w:pos="0"/>
          <w:tab w:val="left" w:pos="851"/>
        </w:tabs>
        <w:ind w:left="850" w:hanging="4"/>
        <w:rPr>
          <w:spacing w:val="-3"/>
          <w:sz w:val="24"/>
          <w:szCs w:val="24"/>
        </w:rPr>
      </w:pPr>
      <w:r w:rsidRPr="004F0A5F">
        <w:rPr>
          <w:spacing w:val="-3"/>
          <w:sz w:val="24"/>
          <w:szCs w:val="24"/>
        </w:rPr>
        <w:tab/>
        <w:t>En eller anden form for blødningsuregelmæssighed er blevet rapporteret hos op til 50 % af de kvinder, der bruger desogestrel. Eftersom desogestrel forår</w:t>
      </w:r>
      <w:r w:rsidRPr="004F0A5F">
        <w:rPr>
          <w:spacing w:val="-3"/>
          <w:sz w:val="24"/>
          <w:szCs w:val="24"/>
        </w:rPr>
        <w:softHyphen/>
        <w:t>sager en næsten 100 % ovulationshæmning i modsætning til andre piller, som kun indeholder gestagen, er uregelmæssig blødning mere almindelig end ved andre piller, som kun indeholder gestagen. Hos 20-30 % af kvinderne kan blødningen optræde mere hyppigt, hvorimod den hos andre 20 % af kvinderne kan optræde mindre hyppigt eller totalt udeblive. Va</w:t>
      </w:r>
      <w:r w:rsidRPr="004F0A5F">
        <w:rPr>
          <w:spacing w:val="-3"/>
          <w:sz w:val="24"/>
          <w:szCs w:val="24"/>
        </w:rPr>
        <w:softHyphen/>
        <w:t>ginalblødning kan også vare længere. Efter et par måneders behandling har blødningerne en tendens til at optræde mindre hyppigt. Information, vejled</w:t>
      </w:r>
      <w:r w:rsidRPr="004F0A5F">
        <w:rPr>
          <w:spacing w:val="-3"/>
          <w:sz w:val="24"/>
          <w:szCs w:val="24"/>
        </w:rPr>
        <w:softHyphen/>
        <w:t xml:space="preserve">ning og et dagbogskort kan forbedre kvindens accept af blødningsmønsteret. </w:t>
      </w:r>
    </w:p>
    <w:p w:rsidR="00D35802" w:rsidRPr="004F0A5F" w:rsidRDefault="00D35802" w:rsidP="00D35802">
      <w:pPr>
        <w:tabs>
          <w:tab w:val="left" w:pos="0"/>
          <w:tab w:val="left" w:pos="851"/>
        </w:tabs>
        <w:ind w:left="850" w:hanging="850"/>
        <w:rPr>
          <w:spacing w:val="-3"/>
          <w:sz w:val="24"/>
          <w:szCs w:val="24"/>
        </w:rPr>
      </w:pPr>
    </w:p>
    <w:p w:rsidR="00D35802" w:rsidRPr="004F0A5F" w:rsidRDefault="00D35802" w:rsidP="00D35802">
      <w:pPr>
        <w:tabs>
          <w:tab w:val="left" w:pos="0"/>
          <w:tab w:val="left" w:pos="851"/>
        </w:tabs>
        <w:ind w:left="850" w:hanging="850"/>
        <w:rPr>
          <w:spacing w:val="-3"/>
          <w:sz w:val="24"/>
          <w:szCs w:val="24"/>
        </w:rPr>
      </w:pPr>
      <w:r>
        <w:rPr>
          <w:spacing w:val="-3"/>
          <w:sz w:val="24"/>
          <w:szCs w:val="24"/>
        </w:rPr>
        <w:tab/>
      </w:r>
      <w:r w:rsidRPr="004F0A5F">
        <w:rPr>
          <w:spacing w:val="-3"/>
          <w:sz w:val="24"/>
          <w:szCs w:val="24"/>
        </w:rPr>
        <w:t>De mest almindeligt rapportere</w:t>
      </w:r>
      <w:r w:rsidRPr="004F0A5F">
        <w:rPr>
          <w:spacing w:val="-3"/>
          <w:sz w:val="24"/>
          <w:szCs w:val="24"/>
        </w:rPr>
        <w:softHyphen/>
        <w:t>de bivirkninger i kliniske studier med desogestrel (&gt;2,5 %) var akne, humørsvingninger, smerter i brysterne, kvalme og vægtøgning. Bi</w:t>
      </w:r>
      <w:r w:rsidRPr="004F0A5F">
        <w:rPr>
          <w:spacing w:val="-3"/>
          <w:sz w:val="24"/>
          <w:szCs w:val="24"/>
        </w:rPr>
        <w:softHyphen/>
        <w:t>virkningerne nævnt i tabellen nedenfor.</w:t>
      </w:r>
    </w:p>
    <w:p w:rsidR="00D35802" w:rsidRPr="004F0A5F" w:rsidRDefault="00D35802" w:rsidP="00D35802">
      <w:pPr>
        <w:tabs>
          <w:tab w:val="left" w:pos="0"/>
          <w:tab w:val="left" w:pos="851"/>
        </w:tabs>
        <w:ind w:left="850" w:hanging="850"/>
        <w:rPr>
          <w:spacing w:val="-3"/>
          <w:sz w:val="24"/>
          <w:szCs w:val="24"/>
        </w:rPr>
      </w:pPr>
    </w:p>
    <w:p w:rsidR="00D35802" w:rsidRDefault="00D35802" w:rsidP="00D35802">
      <w:pPr>
        <w:tabs>
          <w:tab w:val="left" w:pos="0"/>
          <w:tab w:val="left" w:pos="851"/>
        </w:tabs>
        <w:ind w:left="850" w:hanging="850"/>
        <w:rPr>
          <w:spacing w:val="-3"/>
          <w:sz w:val="24"/>
          <w:szCs w:val="24"/>
        </w:rPr>
      </w:pPr>
      <w:r w:rsidRPr="004F0A5F">
        <w:rPr>
          <w:spacing w:val="-3"/>
          <w:sz w:val="24"/>
          <w:szCs w:val="24"/>
        </w:rPr>
        <w:tab/>
        <w:t>Alle bivirkninger er angivet i henhold til systemorganklasse og frekvens; almindelig (≥1/100</w:t>
      </w:r>
      <w:r w:rsidRPr="00695166">
        <w:rPr>
          <w:spacing w:val="-3"/>
          <w:sz w:val="24"/>
          <w:szCs w:val="24"/>
        </w:rPr>
        <w:t xml:space="preserve"> </w:t>
      </w:r>
      <w:r w:rsidRPr="007C49CA">
        <w:rPr>
          <w:spacing w:val="-3"/>
          <w:sz w:val="24"/>
          <w:szCs w:val="24"/>
        </w:rPr>
        <w:t>til &lt; 1/10</w:t>
      </w:r>
      <w:r w:rsidRPr="004F0A5F">
        <w:rPr>
          <w:spacing w:val="-3"/>
          <w:sz w:val="24"/>
          <w:szCs w:val="24"/>
        </w:rPr>
        <w:t>), ikke almindelig (≥1/1.000 til &lt;1/100) og sjælden (</w:t>
      </w:r>
      <w:r w:rsidRPr="007C49CA">
        <w:rPr>
          <w:spacing w:val="-3"/>
          <w:sz w:val="24"/>
          <w:szCs w:val="24"/>
        </w:rPr>
        <w:t xml:space="preserve">≥1/10.000 til </w:t>
      </w:r>
      <w:r w:rsidRPr="004F0A5F">
        <w:rPr>
          <w:spacing w:val="-3"/>
          <w:sz w:val="24"/>
          <w:szCs w:val="24"/>
        </w:rPr>
        <w:t>&lt;1/1.000.</w:t>
      </w:r>
    </w:p>
    <w:p w:rsidR="00D35802" w:rsidRDefault="00D35802" w:rsidP="00D35802">
      <w:pPr>
        <w:tabs>
          <w:tab w:val="left" w:pos="0"/>
          <w:tab w:val="left" w:pos="851"/>
        </w:tabs>
        <w:ind w:left="850" w:hanging="850"/>
        <w:rPr>
          <w:spacing w:val="-3"/>
          <w:sz w:val="24"/>
          <w:szCs w:val="24"/>
        </w:rPr>
      </w:pPr>
    </w:p>
    <w:p w:rsidR="00D35802" w:rsidRPr="00337885" w:rsidRDefault="00D35802" w:rsidP="00D35802">
      <w:pPr>
        <w:tabs>
          <w:tab w:val="left" w:pos="0"/>
          <w:tab w:val="left" w:pos="851"/>
        </w:tabs>
        <w:ind w:left="850" w:hanging="850"/>
        <w:rPr>
          <w:spacing w:val="-3"/>
          <w:sz w:val="24"/>
          <w:szCs w:val="24"/>
          <w:u w:val="single"/>
        </w:rPr>
      </w:pPr>
      <w:r>
        <w:rPr>
          <w:spacing w:val="-3"/>
          <w:sz w:val="24"/>
          <w:szCs w:val="24"/>
        </w:rPr>
        <w:tab/>
      </w:r>
      <w:r w:rsidRPr="00337885">
        <w:rPr>
          <w:spacing w:val="-3"/>
          <w:sz w:val="24"/>
          <w:szCs w:val="24"/>
          <w:u w:val="single"/>
        </w:rPr>
        <w:t>Bivirkningstabel</w:t>
      </w:r>
    </w:p>
    <w:p w:rsidR="00D35802" w:rsidRPr="004F0A5F" w:rsidRDefault="00D35802" w:rsidP="00D35802">
      <w:pPr>
        <w:tabs>
          <w:tab w:val="left" w:pos="0"/>
          <w:tab w:val="left" w:pos="851"/>
          <w:tab w:val="left" w:pos="2583"/>
        </w:tabs>
        <w:ind w:left="850" w:hanging="850"/>
        <w:rPr>
          <w:spacing w:val="-3"/>
          <w:sz w:val="24"/>
          <w:szCs w:val="24"/>
        </w:rPr>
      </w:pPr>
      <w:r w:rsidRPr="004F0A5F">
        <w:rPr>
          <w:spacing w:val="-3"/>
          <w:sz w:val="24"/>
          <w:szCs w:val="24"/>
        </w:rPr>
        <w:tab/>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2127"/>
        <w:gridCol w:w="2126"/>
        <w:gridCol w:w="2051"/>
      </w:tblGrid>
      <w:tr w:rsidR="00D35802" w:rsidRPr="004F0A5F" w:rsidTr="003B4BCE">
        <w:trPr>
          <w:tblHeader/>
        </w:trPr>
        <w:tc>
          <w:tcPr>
            <w:tcW w:w="2551" w:type="dxa"/>
            <w:vMerge w:val="restart"/>
          </w:tcPr>
          <w:p w:rsidR="00D35802" w:rsidRPr="004F0A5F" w:rsidRDefault="00D35802" w:rsidP="003B4BCE">
            <w:pPr>
              <w:pStyle w:val="Overskrift1"/>
              <w:rPr>
                <w:rFonts w:ascii="Times New Roman" w:hAnsi="Times New Roman"/>
                <w:sz w:val="24"/>
                <w:szCs w:val="24"/>
              </w:rPr>
            </w:pPr>
            <w:r w:rsidRPr="004F0A5F">
              <w:rPr>
                <w:rFonts w:ascii="Times New Roman" w:hAnsi="Times New Roman"/>
                <w:sz w:val="24"/>
                <w:szCs w:val="24"/>
              </w:rPr>
              <w:t>Organklasser</w:t>
            </w:r>
          </w:p>
          <w:p w:rsidR="00D35802" w:rsidRPr="004F0A5F" w:rsidRDefault="00D35802" w:rsidP="003B4BCE">
            <w:pPr>
              <w:tabs>
                <w:tab w:val="left" w:pos="0"/>
                <w:tab w:val="left" w:pos="851"/>
                <w:tab w:val="left" w:pos="2583"/>
              </w:tabs>
              <w:rPr>
                <w:spacing w:val="-3"/>
                <w:sz w:val="24"/>
                <w:szCs w:val="24"/>
              </w:rPr>
            </w:pPr>
            <w:r w:rsidRPr="004F0A5F">
              <w:rPr>
                <w:sz w:val="24"/>
                <w:szCs w:val="24"/>
              </w:rPr>
              <w:t>(MedDRA)*</w:t>
            </w:r>
          </w:p>
        </w:tc>
        <w:tc>
          <w:tcPr>
            <w:tcW w:w="6304" w:type="dxa"/>
            <w:gridSpan w:val="3"/>
          </w:tcPr>
          <w:p w:rsidR="00D35802" w:rsidRPr="004F0A5F" w:rsidRDefault="00D35802" w:rsidP="003B4BCE">
            <w:pPr>
              <w:tabs>
                <w:tab w:val="left" w:pos="0"/>
                <w:tab w:val="left" w:pos="851"/>
                <w:tab w:val="left" w:pos="2583"/>
              </w:tabs>
              <w:jc w:val="center"/>
              <w:rPr>
                <w:spacing w:val="-3"/>
                <w:sz w:val="24"/>
                <w:szCs w:val="24"/>
              </w:rPr>
            </w:pPr>
            <w:r w:rsidRPr="004F0A5F">
              <w:rPr>
                <w:b/>
                <w:spacing w:val="-3"/>
                <w:sz w:val="24"/>
                <w:szCs w:val="24"/>
              </w:rPr>
              <w:t>Frekvens af bivirkninger</w:t>
            </w:r>
          </w:p>
        </w:tc>
      </w:tr>
      <w:tr w:rsidR="00D35802" w:rsidRPr="004F0A5F" w:rsidTr="003B4BCE">
        <w:trPr>
          <w:tblHeader/>
        </w:trPr>
        <w:tc>
          <w:tcPr>
            <w:tcW w:w="2551" w:type="dxa"/>
            <w:vMerge/>
          </w:tcPr>
          <w:p w:rsidR="00D35802" w:rsidRPr="004F0A5F" w:rsidRDefault="00D35802" w:rsidP="003B4BCE">
            <w:pPr>
              <w:tabs>
                <w:tab w:val="left" w:pos="0"/>
                <w:tab w:val="left" w:pos="851"/>
                <w:tab w:val="left" w:pos="2583"/>
              </w:tabs>
              <w:rPr>
                <w:spacing w:val="-3"/>
                <w:sz w:val="24"/>
                <w:szCs w:val="24"/>
              </w:rPr>
            </w:pPr>
          </w:p>
        </w:tc>
        <w:tc>
          <w:tcPr>
            <w:tcW w:w="2127" w:type="dxa"/>
          </w:tcPr>
          <w:p w:rsidR="00D35802" w:rsidRPr="004F0A5F" w:rsidRDefault="00D35802" w:rsidP="003B4BCE">
            <w:pPr>
              <w:tabs>
                <w:tab w:val="left" w:pos="0"/>
                <w:tab w:val="left" w:pos="851"/>
                <w:tab w:val="left" w:pos="2583"/>
              </w:tabs>
              <w:rPr>
                <w:b/>
                <w:spacing w:val="-3"/>
                <w:sz w:val="24"/>
                <w:szCs w:val="24"/>
              </w:rPr>
            </w:pPr>
            <w:r w:rsidRPr="004F0A5F">
              <w:rPr>
                <w:b/>
                <w:spacing w:val="-3"/>
                <w:sz w:val="24"/>
                <w:szCs w:val="24"/>
              </w:rPr>
              <w:t>Almindelig</w:t>
            </w:r>
          </w:p>
        </w:tc>
        <w:tc>
          <w:tcPr>
            <w:tcW w:w="2126" w:type="dxa"/>
          </w:tcPr>
          <w:p w:rsidR="00D35802" w:rsidRPr="004F0A5F" w:rsidRDefault="00D35802" w:rsidP="003B4BCE">
            <w:pPr>
              <w:tabs>
                <w:tab w:val="left" w:pos="0"/>
                <w:tab w:val="left" w:pos="851"/>
                <w:tab w:val="left" w:pos="2583"/>
              </w:tabs>
              <w:rPr>
                <w:b/>
                <w:spacing w:val="-3"/>
                <w:sz w:val="24"/>
                <w:szCs w:val="24"/>
              </w:rPr>
            </w:pPr>
            <w:r w:rsidRPr="004F0A5F">
              <w:rPr>
                <w:b/>
                <w:spacing w:val="-3"/>
                <w:sz w:val="24"/>
                <w:szCs w:val="24"/>
              </w:rPr>
              <w:t>Ikke almindelig</w:t>
            </w:r>
          </w:p>
          <w:p w:rsidR="00D35802" w:rsidRPr="004F0A5F" w:rsidRDefault="00D35802" w:rsidP="003B4BCE">
            <w:pPr>
              <w:tabs>
                <w:tab w:val="left" w:pos="0"/>
                <w:tab w:val="left" w:pos="851"/>
                <w:tab w:val="left" w:pos="2583"/>
              </w:tabs>
              <w:rPr>
                <w:b/>
                <w:spacing w:val="-3"/>
                <w:sz w:val="24"/>
                <w:szCs w:val="24"/>
              </w:rPr>
            </w:pPr>
          </w:p>
        </w:tc>
        <w:tc>
          <w:tcPr>
            <w:tcW w:w="2051" w:type="dxa"/>
          </w:tcPr>
          <w:p w:rsidR="00D35802" w:rsidRPr="004F0A5F" w:rsidRDefault="00D35802" w:rsidP="003B4BCE">
            <w:pPr>
              <w:tabs>
                <w:tab w:val="left" w:pos="0"/>
                <w:tab w:val="left" w:pos="851"/>
                <w:tab w:val="left" w:pos="2583"/>
              </w:tabs>
              <w:rPr>
                <w:b/>
                <w:spacing w:val="-3"/>
                <w:sz w:val="24"/>
                <w:szCs w:val="24"/>
              </w:rPr>
            </w:pPr>
            <w:r w:rsidRPr="004F0A5F">
              <w:rPr>
                <w:b/>
                <w:spacing w:val="-3"/>
                <w:sz w:val="24"/>
                <w:szCs w:val="24"/>
              </w:rPr>
              <w:t>Sjælden</w:t>
            </w:r>
          </w:p>
          <w:p w:rsidR="00D35802" w:rsidRPr="004F0A5F" w:rsidRDefault="00D35802" w:rsidP="003B4BCE">
            <w:pPr>
              <w:tabs>
                <w:tab w:val="left" w:pos="0"/>
                <w:tab w:val="left" w:pos="851"/>
                <w:tab w:val="left" w:pos="2583"/>
              </w:tabs>
              <w:rPr>
                <w:b/>
                <w:spacing w:val="-3"/>
                <w:sz w:val="24"/>
                <w:szCs w:val="24"/>
              </w:rPr>
            </w:pPr>
          </w:p>
        </w:tc>
      </w:tr>
      <w:tr w:rsidR="00D35802" w:rsidRPr="004F0A5F" w:rsidTr="003B4BCE">
        <w:tc>
          <w:tcPr>
            <w:tcW w:w="2551" w:type="dxa"/>
          </w:tcPr>
          <w:p w:rsidR="00D35802" w:rsidRPr="004F0A5F" w:rsidDel="00F772AF" w:rsidRDefault="00D35802" w:rsidP="003B4BCE">
            <w:pPr>
              <w:tabs>
                <w:tab w:val="left" w:pos="0"/>
                <w:tab w:val="left" w:pos="851"/>
                <w:tab w:val="left" w:pos="2583"/>
              </w:tabs>
              <w:rPr>
                <w:spacing w:val="-3"/>
                <w:sz w:val="24"/>
                <w:szCs w:val="24"/>
              </w:rPr>
            </w:pPr>
            <w:r w:rsidRPr="004F0A5F">
              <w:rPr>
                <w:spacing w:val="-3"/>
                <w:sz w:val="24"/>
                <w:szCs w:val="24"/>
              </w:rPr>
              <w:t>Infektioner og parasitære sygdomme</w:t>
            </w:r>
          </w:p>
        </w:tc>
        <w:tc>
          <w:tcPr>
            <w:tcW w:w="2127" w:type="dxa"/>
          </w:tcPr>
          <w:p w:rsidR="00D35802" w:rsidRPr="004F0A5F" w:rsidDel="00F772AF" w:rsidRDefault="00D35802" w:rsidP="003B4BCE">
            <w:pPr>
              <w:tabs>
                <w:tab w:val="left" w:pos="0"/>
                <w:tab w:val="left" w:pos="851"/>
                <w:tab w:val="left" w:pos="2583"/>
              </w:tabs>
              <w:rPr>
                <w:spacing w:val="-3"/>
                <w:sz w:val="24"/>
                <w:szCs w:val="24"/>
              </w:rPr>
            </w:pPr>
          </w:p>
        </w:tc>
        <w:tc>
          <w:tcPr>
            <w:tcW w:w="2126"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Vaginal infektion</w:t>
            </w:r>
          </w:p>
        </w:tc>
        <w:tc>
          <w:tcPr>
            <w:tcW w:w="2051" w:type="dxa"/>
          </w:tcPr>
          <w:p w:rsidR="00D35802" w:rsidRPr="004F0A5F" w:rsidRDefault="00D35802" w:rsidP="003B4BCE">
            <w:pPr>
              <w:tabs>
                <w:tab w:val="left" w:pos="0"/>
                <w:tab w:val="left" w:pos="851"/>
                <w:tab w:val="left" w:pos="2583"/>
              </w:tabs>
              <w:rPr>
                <w:spacing w:val="-3"/>
                <w:sz w:val="24"/>
                <w:szCs w:val="24"/>
              </w:rPr>
            </w:pP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Psykiske forstyrrelser</w:t>
            </w:r>
          </w:p>
        </w:tc>
        <w:tc>
          <w:tcPr>
            <w:tcW w:w="2127"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Humørændringer, Nedtrykthed,</w:t>
            </w:r>
          </w:p>
          <w:p w:rsidR="00D35802" w:rsidRPr="004F0A5F" w:rsidDel="00F772AF" w:rsidRDefault="00D35802" w:rsidP="003B4BCE">
            <w:pPr>
              <w:tabs>
                <w:tab w:val="left" w:pos="0"/>
                <w:tab w:val="left" w:pos="851"/>
                <w:tab w:val="left" w:pos="2583"/>
              </w:tabs>
              <w:rPr>
                <w:spacing w:val="-3"/>
                <w:sz w:val="24"/>
                <w:szCs w:val="24"/>
              </w:rPr>
            </w:pPr>
            <w:r w:rsidRPr="004F0A5F">
              <w:rPr>
                <w:spacing w:val="-3"/>
                <w:sz w:val="24"/>
                <w:szCs w:val="24"/>
              </w:rPr>
              <w:t>Nedsat libido</w:t>
            </w:r>
          </w:p>
        </w:tc>
        <w:tc>
          <w:tcPr>
            <w:tcW w:w="2126" w:type="dxa"/>
          </w:tcPr>
          <w:p w:rsidR="00D35802" w:rsidRPr="004F0A5F" w:rsidRDefault="00D35802" w:rsidP="003B4BCE">
            <w:pPr>
              <w:tabs>
                <w:tab w:val="left" w:pos="0"/>
                <w:tab w:val="left" w:pos="851"/>
                <w:tab w:val="left" w:pos="2583"/>
              </w:tabs>
              <w:rPr>
                <w:spacing w:val="-3"/>
                <w:sz w:val="24"/>
                <w:szCs w:val="24"/>
              </w:rPr>
            </w:pPr>
          </w:p>
        </w:tc>
        <w:tc>
          <w:tcPr>
            <w:tcW w:w="2051" w:type="dxa"/>
          </w:tcPr>
          <w:p w:rsidR="00D35802" w:rsidRPr="004F0A5F" w:rsidRDefault="00D35802" w:rsidP="003B4BCE">
            <w:pPr>
              <w:tabs>
                <w:tab w:val="left" w:pos="0"/>
                <w:tab w:val="left" w:pos="851"/>
                <w:tab w:val="left" w:pos="2583"/>
              </w:tabs>
              <w:rPr>
                <w:spacing w:val="-3"/>
                <w:sz w:val="24"/>
                <w:szCs w:val="24"/>
              </w:rPr>
            </w:pP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Nervesystemet</w:t>
            </w:r>
          </w:p>
        </w:tc>
        <w:tc>
          <w:tcPr>
            <w:tcW w:w="2127"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Hovedpine</w:t>
            </w:r>
          </w:p>
        </w:tc>
        <w:tc>
          <w:tcPr>
            <w:tcW w:w="2126" w:type="dxa"/>
          </w:tcPr>
          <w:p w:rsidR="00D35802" w:rsidRPr="004F0A5F" w:rsidRDefault="00D35802" w:rsidP="003B4BCE">
            <w:pPr>
              <w:tabs>
                <w:tab w:val="left" w:pos="0"/>
                <w:tab w:val="left" w:pos="851"/>
                <w:tab w:val="left" w:pos="2583"/>
              </w:tabs>
              <w:rPr>
                <w:spacing w:val="-3"/>
                <w:sz w:val="24"/>
                <w:szCs w:val="24"/>
              </w:rPr>
            </w:pPr>
          </w:p>
        </w:tc>
        <w:tc>
          <w:tcPr>
            <w:tcW w:w="2051" w:type="dxa"/>
          </w:tcPr>
          <w:p w:rsidR="00D35802" w:rsidRPr="004F0A5F" w:rsidRDefault="00D35802" w:rsidP="003B4BCE">
            <w:pPr>
              <w:tabs>
                <w:tab w:val="left" w:pos="0"/>
                <w:tab w:val="left" w:pos="851"/>
                <w:tab w:val="left" w:pos="2583"/>
              </w:tabs>
              <w:rPr>
                <w:spacing w:val="-3"/>
                <w:sz w:val="24"/>
                <w:szCs w:val="24"/>
              </w:rPr>
            </w:pP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Øjne</w:t>
            </w:r>
          </w:p>
        </w:tc>
        <w:tc>
          <w:tcPr>
            <w:tcW w:w="2127" w:type="dxa"/>
          </w:tcPr>
          <w:p w:rsidR="00D35802" w:rsidRPr="004F0A5F" w:rsidRDefault="00D35802" w:rsidP="003B4BCE">
            <w:pPr>
              <w:tabs>
                <w:tab w:val="left" w:pos="0"/>
                <w:tab w:val="left" w:pos="851"/>
                <w:tab w:val="left" w:pos="2583"/>
              </w:tabs>
              <w:rPr>
                <w:spacing w:val="-3"/>
                <w:sz w:val="24"/>
                <w:szCs w:val="24"/>
              </w:rPr>
            </w:pPr>
          </w:p>
        </w:tc>
        <w:tc>
          <w:tcPr>
            <w:tcW w:w="2126"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Intolerance over for kontaktlinser</w:t>
            </w:r>
          </w:p>
        </w:tc>
        <w:tc>
          <w:tcPr>
            <w:tcW w:w="2051" w:type="dxa"/>
          </w:tcPr>
          <w:p w:rsidR="00D35802" w:rsidRPr="004F0A5F" w:rsidRDefault="00D35802" w:rsidP="003B4BCE">
            <w:pPr>
              <w:tabs>
                <w:tab w:val="left" w:pos="0"/>
                <w:tab w:val="left" w:pos="851"/>
                <w:tab w:val="left" w:pos="2583"/>
              </w:tabs>
              <w:rPr>
                <w:spacing w:val="-3"/>
                <w:sz w:val="24"/>
                <w:szCs w:val="24"/>
              </w:rPr>
            </w:pP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Mave-tarm-kanalen</w:t>
            </w:r>
          </w:p>
        </w:tc>
        <w:tc>
          <w:tcPr>
            <w:tcW w:w="2127"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Kvalme</w:t>
            </w:r>
          </w:p>
        </w:tc>
        <w:tc>
          <w:tcPr>
            <w:tcW w:w="2126"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Opkastning</w:t>
            </w:r>
          </w:p>
        </w:tc>
        <w:tc>
          <w:tcPr>
            <w:tcW w:w="2051" w:type="dxa"/>
          </w:tcPr>
          <w:p w:rsidR="00D35802" w:rsidRPr="004F0A5F" w:rsidRDefault="00D35802" w:rsidP="003B4BCE">
            <w:pPr>
              <w:tabs>
                <w:tab w:val="left" w:pos="0"/>
                <w:tab w:val="left" w:pos="851"/>
                <w:tab w:val="left" w:pos="2583"/>
              </w:tabs>
              <w:rPr>
                <w:spacing w:val="-3"/>
                <w:sz w:val="24"/>
                <w:szCs w:val="24"/>
              </w:rPr>
            </w:pP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Hud og subkutane væv</w:t>
            </w:r>
          </w:p>
        </w:tc>
        <w:tc>
          <w:tcPr>
            <w:tcW w:w="2127"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Akne</w:t>
            </w:r>
          </w:p>
        </w:tc>
        <w:tc>
          <w:tcPr>
            <w:tcW w:w="2126"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Alopeci</w:t>
            </w:r>
          </w:p>
        </w:tc>
        <w:tc>
          <w:tcPr>
            <w:tcW w:w="20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Udslæt, urticaria, erythema nodosum</w:t>
            </w: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lastRenderedPageBreak/>
              <w:t>Det reproduktive system og mammae</w:t>
            </w:r>
          </w:p>
        </w:tc>
        <w:tc>
          <w:tcPr>
            <w:tcW w:w="2127"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Smerter i brysterne, uregelmæssig menstruation, amenorré</w:t>
            </w:r>
          </w:p>
          <w:p w:rsidR="00D35802" w:rsidRPr="004F0A5F" w:rsidRDefault="00D35802" w:rsidP="003B4BCE">
            <w:pPr>
              <w:tabs>
                <w:tab w:val="left" w:pos="0"/>
                <w:tab w:val="left" w:pos="851"/>
                <w:tab w:val="left" w:pos="2583"/>
              </w:tabs>
              <w:rPr>
                <w:spacing w:val="-3"/>
                <w:sz w:val="24"/>
                <w:szCs w:val="24"/>
              </w:rPr>
            </w:pPr>
          </w:p>
        </w:tc>
        <w:tc>
          <w:tcPr>
            <w:tcW w:w="2126"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Dysmenoré, ovariecyster</w:t>
            </w:r>
          </w:p>
        </w:tc>
        <w:tc>
          <w:tcPr>
            <w:tcW w:w="2051" w:type="dxa"/>
          </w:tcPr>
          <w:p w:rsidR="00D35802" w:rsidRPr="004F0A5F" w:rsidRDefault="00D35802" w:rsidP="003B4BCE">
            <w:pPr>
              <w:tabs>
                <w:tab w:val="left" w:pos="0"/>
                <w:tab w:val="left" w:pos="851"/>
                <w:tab w:val="left" w:pos="2583"/>
              </w:tabs>
              <w:rPr>
                <w:spacing w:val="-3"/>
                <w:sz w:val="24"/>
                <w:szCs w:val="24"/>
              </w:rPr>
            </w:pP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Almene symptomer og reaktioner på administrationsstedet</w:t>
            </w:r>
          </w:p>
        </w:tc>
        <w:tc>
          <w:tcPr>
            <w:tcW w:w="2127" w:type="dxa"/>
          </w:tcPr>
          <w:p w:rsidR="00D35802" w:rsidRPr="004F0A5F" w:rsidRDefault="00D35802" w:rsidP="003B4BCE">
            <w:pPr>
              <w:tabs>
                <w:tab w:val="left" w:pos="0"/>
                <w:tab w:val="left" w:pos="851"/>
                <w:tab w:val="left" w:pos="2583"/>
              </w:tabs>
              <w:rPr>
                <w:spacing w:val="-3"/>
                <w:sz w:val="24"/>
                <w:szCs w:val="24"/>
              </w:rPr>
            </w:pPr>
          </w:p>
        </w:tc>
        <w:tc>
          <w:tcPr>
            <w:tcW w:w="2126"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Træthed</w:t>
            </w:r>
          </w:p>
        </w:tc>
        <w:tc>
          <w:tcPr>
            <w:tcW w:w="2051" w:type="dxa"/>
          </w:tcPr>
          <w:p w:rsidR="00D35802" w:rsidRPr="004F0A5F" w:rsidRDefault="00D35802" w:rsidP="003B4BCE">
            <w:pPr>
              <w:tabs>
                <w:tab w:val="left" w:pos="0"/>
                <w:tab w:val="left" w:pos="851"/>
                <w:tab w:val="left" w:pos="2583"/>
              </w:tabs>
              <w:rPr>
                <w:spacing w:val="-3"/>
                <w:sz w:val="24"/>
                <w:szCs w:val="24"/>
              </w:rPr>
            </w:pPr>
          </w:p>
        </w:tc>
      </w:tr>
      <w:tr w:rsidR="00D35802" w:rsidRPr="004F0A5F" w:rsidTr="003B4BCE">
        <w:tc>
          <w:tcPr>
            <w:tcW w:w="2551"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Undersøgelser</w:t>
            </w:r>
          </w:p>
        </w:tc>
        <w:tc>
          <w:tcPr>
            <w:tcW w:w="2127" w:type="dxa"/>
          </w:tcPr>
          <w:p w:rsidR="00D35802" w:rsidRPr="004F0A5F" w:rsidRDefault="00D35802" w:rsidP="003B4BCE">
            <w:pPr>
              <w:tabs>
                <w:tab w:val="left" w:pos="0"/>
                <w:tab w:val="left" w:pos="851"/>
                <w:tab w:val="left" w:pos="2583"/>
              </w:tabs>
              <w:rPr>
                <w:spacing w:val="-3"/>
                <w:sz w:val="24"/>
                <w:szCs w:val="24"/>
              </w:rPr>
            </w:pPr>
            <w:r w:rsidRPr="004F0A5F">
              <w:rPr>
                <w:spacing w:val="-3"/>
                <w:sz w:val="24"/>
                <w:szCs w:val="24"/>
              </w:rPr>
              <w:t>Vægtøgning</w:t>
            </w:r>
          </w:p>
        </w:tc>
        <w:tc>
          <w:tcPr>
            <w:tcW w:w="2126" w:type="dxa"/>
          </w:tcPr>
          <w:p w:rsidR="00D35802" w:rsidRPr="004F0A5F" w:rsidRDefault="00D35802" w:rsidP="003B4BCE">
            <w:pPr>
              <w:tabs>
                <w:tab w:val="left" w:pos="0"/>
                <w:tab w:val="left" w:pos="851"/>
                <w:tab w:val="left" w:pos="2583"/>
              </w:tabs>
              <w:rPr>
                <w:spacing w:val="-3"/>
                <w:sz w:val="24"/>
                <w:szCs w:val="24"/>
              </w:rPr>
            </w:pPr>
          </w:p>
        </w:tc>
        <w:tc>
          <w:tcPr>
            <w:tcW w:w="2051" w:type="dxa"/>
          </w:tcPr>
          <w:p w:rsidR="00D35802" w:rsidRPr="004F0A5F" w:rsidRDefault="00D35802" w:rsidP="003B4BCE">
            <w:pPr>
              <w:tabs>
                <w:tab w:val="left" w:pos="0"/>
                <w:tab w:val="left" w:pos="851"/>
                <w:tab w:val="left" w:pos="2583"/>
              </w:tabs>
              <w:rPr>
                <w:spacing w:val="-3"/>
                <w:sz w:val="24"/>
                <w:szCs w:val="24"/>
              </w:rPr>
            </w:pPr>
          </w:p>
        </w:tc>
      </w:tr>
    </w:tbl>
    <w:p w:rsidR="00D35802" w:rsidRPr="004F0A5F" w:rsidRDefault="00D35802" w:rsidP="00D35802">
      <w:pPr>
        <w:pStyle w:val="Indent1"/>
        <w:spacing w:before="120" w:line="300" w:lineRule="exact"/>
        <w:ind w:firstLine="142"/>
        <w:rPr>
          <w:rFonts w:ascii="Times New Roman" w:hAnsi="Times New Roman"/>
          <w:sz w:val="24"/>
          <w:szCs w:val="24"/>
        </w:rPr>
      </w:pPr>
      <w:r>
        <w:rPr>
          <w:rFonts w:ascii="Times New Roman" w:hAnsi="Times New Roman"/>
          <w:sz w:val="24"/>
          <w:szCs w:val="24"/>
        </w:rPr>
        <w:t>* MedDRA version 12</w:t>
      </w:r>
      <w:r w:rsidRPr="004F0A5F">
        <w:rPr>
          <w:rFonts w:ascii="Times New Roman" w:hAnsi="Times New Roman"/>
          <w:sz w:val="24"/>
          <w:szCs w:val="24"/>
        </w:rPr>
        <w:t>.0</w:t>
      </w:r>
    </w:p>
    <w:p w:rsidR="00D35802" w:rsidRDefault="00D35802" w:rsidP="00D35802">
      <w:pPr>
        <w:tabs>
          <w:tab w:val="left" w:pos="851"/>
        </w:tabs>
        <w:ind w:left="851" w:hanging="851"/>
        <w:rPr>
          <w:sz w:val="24"/>
          <w:szCs w:val="24"/>
        </w:rPr>
      </w:pPr>
      <w:r w:rsidRPr="004F0A5F">
        <w:rPr>
          <w:sz w:val="24"/>
          <w:szCs w:val="24"/>
        </w:rPr>
        <w:tab/>
        <w:t xml:space="preserve">Der kan forekomme udflåd fra brysterne under behandlingen med </w:t>
      </w:r>
      <w:r>
        <w:rPr>
          <w:sz w:val="24"/>
          <w:szCs w:val="24"/>
        </w:rPr>
        <w:t>D</w:t>
      </w:r>
      <w:r w:rsidRPr="004F0A5F">
        <w:rPr>
          <w:sz w:val="24"/>
          <w:szCs w:val="24"/>
        </w:rPr>
        <w:t>esogestrel</w:t>
      </w:r>
      <w:r>
        <w:rPr>
          <w:sz w:val="24"/>
          <w:szCs w:val="24"/>
        </w:rPr>
        <w:t xml:space="preserve"> "Sandoz"</w:t>
      </w:r>
      <w:r w:rsidRPr="004F0A5F">
        <w:rPr>
          <w:sz w:val="24"/>
          <w:szCs w:val="24"/>
        </w:rPr>
        <w:t>. Der er i sjældne tilfælde rapporteret om tilfælde af ektopiske graviditeter (se pkt. 4.4). Angioødem (forværring af) og/eller forværring af arveligt angioødem kan forekomme (se pkt. 4.4).</w:t>
      </w:r>
    </w:p>
    <w:p w:rsidR="00D35802" w:rsidRPr="004F0A5F" w:rsidRDefault="00D35802" w:rsidP="00D35802">
      <w:pPr>
        <w:tabs>
          <w:tab w:val="left" w:pos="851"/>
        </w:tabs>
        <w:ind w:left="851" w:hanging="851"/>
        <w:rPr>
          <w:sz w:val="24"/>
          <w:szCs w:val="24"/>
        </w:rPr>
      </w:pPr>
    </w:p>
    <w:p w:rsidR="00D35802" w:rsidRPr="004F0A5F" w:rsidRDefault="00D35802" w:rsidP="00D35802">
      <w:pPr>
        <w:tabs>
          <w:tab w:val="left" w:pos="851"/>
        </w:tabs>
        <w:ind w:left="851" w:hanging="851"/>
        <w:rPr>
          <w:sz w:val="24"/>
          <w:szCs w:val="24"/>
        </w:rPr>
      </w:pPr>
      <w:r w:rsidRPr="004F0A5F">
        <w:rPr>
          <w:sz w:val="24"/>
          <w:szCs w:val="24"/>
        </w:rPr>
        <w:tab/>
      </w:r>
      <w:r w:rsidRPr="004F0A5F">
        <w:rPr>
          <w:spacing w:val="-3"/>
          <w:sz w:val="24"/>
          <w:szCs w:val="24"/>
        </w:rPr>
        <w:t>Fra kvinder</w:t>
      </w:r>
      <w:r>
        <w:rPr>
          <w:spacing w:val="-3"/>
          <w:sz w:val="24"/>
          <w:szCs w:val="24"/>
        </w:rPr>
        <w:t>,</w:t>
      </w:r>
      <w:r w:rsidRPr="004F0A5F">
        <w:rPr>
          <w:spacing w:val="-3"/>
          <w:sz w:val="24"/>
          <w:szCs w:val="24"/>
        </w:rPr>
        <w:t xml:space="preserve"> som anvender p-piller (af kombinationstypen)</w:t>
      </w:r>
      <w:r>
        <w:rPr>
          <w:spacing w:val="-3"/>
          <w:sz w:val="24"/>
          <w:szCs w:val="24"/>
        </w:rPr>
        <w:t>,</w:t>
      </w:r>
      <w:r w:rsidRPr="004F0A5F">
        <w:rPr>
          <w:spacing w:val="-3"/>
          <w:sz w:val="24"/>
          <w:szCs w:val="24"/>
        </w:rPr>
        <w:t xml:space="preserve"> er der rapporteret om et antal (alvorlige) uønskede virkninger. Disse inkluderer venøse tromboemboliske lidelser, arterielle tromboemboliske lidelser, hormonafhængige tumorer (</w:t>
      </w:r>
      <w:r>
        <w:rPr>
          <w:spacing w:val="-3"/>
          <w:sz w:val="24"/>
          <w:szCs w:val="24"/>
        </w:rPr>
        <w:t>f.eks.</w:t>
      </w:r>
      <w:r w:rsidRPr="004F0A5F">
        <w:rPr>
          <w:spacing w:val="-3"/>
          <w:sz w:val="24"/>
          <w:szCs w:val="24"/>
        </w:rPr>
        <w:t xml:space="preserve"> levertumorer, brystkræft) og chloasma. Visse af disse er beskrevet mere detaljeret i pkt. 4.4.</w:t>
      </w:r>
    </w:p>
    <w:p w:rsidR="00D35802" w:rsidRDefault="00D35802" w:rsidP="00D35802">
      <w:pPr>
        <w:tabs>
          <w:tab w:val="left" w:pos="851"/>
        </w:tabs>
        <w:ind w:left="851" w:hanging="851"/>
        <w:rPr>
          <w:sz w:val="24"/>
          <w:szCs w:val="24"/>
        </w:rPr>
      </w:pPr>
    </w:p>
    <w:p w:rsidR="00D35802" w:rsidRPr="007C49CA" w:rsidRDefault="00D35802" w:rsidP="00D35802">
      <w:pPr>
        <w:tabs>
          <w:tab w:val="left" w:pos="851"/>
        </w:tabs>
        <w:ind w:left="851" w:hanging="851"/>
        <w:rPr>
          <w:iCs/>
          <w:spacing w:val="-3"/>
          <w:sz w:val="24"/>
          <w:szCs w:val="24"/>
        </w:rPr>
      </w:pPr>
      <w:r>
        <w:rPr>
          <w:iCs/>
          <w:spacing w:val="-3"/>
          <w:sz w:val="24"/>
          <w:szCs w:val="24"/>
        </w:rPr>
        <w:tab/>
      </w:r>
      <w:r w:rsidRPr="007C49CA">
        <w:rPr>
          <w:iCs/>
          <w:spacing w:val="-3"/>
          <w:sz w:val="24"/>
          <w:szCs w:val="24"/>
        </w:rPr>
        <w:t>Gennembrudsblødning og/eller kontraceptivt svigt kan skyldes interaktioner mellem andre lægemidler (enzyminduktorer) og hormonelle kontraceptiva (se pkt. 4.5).</w:t>
      </w:r>
    </w:p>
    <w:p w:rsidR="00D35802" w:rsidRPr="004F0A5F" w:rsidRDefault="00D35802" w:rsidP="00D35802">
      <w:pPr>
        <w:tabs>
          <w:tab w:val="left" w:pos="851"/>
        </w:tabs>
        <w:ind w:left="851" w:hanging="851"/>
        <w:rPr>
          <w:sz w:val="24"/>
          <w:szCs w:val="24"/>
        </w:rPr>
      </w:pPr>
    </w:p>
    <w:p w:rsidR="00D35802" w:rsidRPr="008F49E1" w:rsidRDefault="00D35802" w:rsidP="00D35802">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35802" w:rsidRPr="008F49E1" w:rsidRDefault="00D35802" w:rsidP="00D35802">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3A48FC">
        <w:rPr>
          <w:sz w:val="24"/>
          <w:szCs w:val="24"/>
          <w:lang w:eastAsia="da-DK"/>
        </w:rPr>
        <w:t>Sundhedspersoner</w:t>
      </w:r>
      <w:r w:rsidR="005E3905">
        <w:rPr>
          <w:sz w:val="24"/>
          <w:szCs w:val="24"/>
          <w:lang w:eastAsia="da-DK"/>
        </w:rPr>
        <w:t xml:space="preserve"> </w:t>
      </w:r>
      <w:r w:rsidRPr="008F49E1">
        <w:rPr>
          <w:sz w:val="24"/>
          <w:szCs w:val="24"/>
          <w:lang w:eastAsia="da-DK"/>
        </w:rPr>
        <w:t>anmodes om at indberette alle formodede bivirkninger via:</w:t>
      </w:r>
    </w:p>
    <w:p w:rsidR="00D35802" w:rsidRPr="008F49E1" w:rsidRDefault="00D35802" w:rsidP="00D35802">
      <w:pPr>
        <w:ind w:left="851"/>
        <w:rPr>
          <w:sz w:val="24"/>
          <w:szCs w:val="24"/>
          <w:lang w:eastAsia="da-DK"/>
        </w:rPr>
      </w:pPr>
    </w:p>
    <w:p w:rsidR="00D35802" w:rsidRPr="007A276A" w:rsidRDefault="00D35802" w:rsidP="00D35802">
      <w:pPr>
        <w:ind w:left="851"/>
        <w:rPr>
          <w:sz w:val="24"/>
          <w:szCs w:val="24"/>
          <w:lang w:eastAsia="da-DK"/>
        </w:rPr>
      </w:pPr>
      <w:r w:rsidRPr="007A276A">
        <w:rPr>
          <w:sz w:val="24"/>
          <w:szCs w:val="24"/>
          <w:lang w:eastAsia="da-DK"/>
        </w:rPr>
        <w:t>Lægemiddelstyrelsen</w:t>
      </w:r>
    </w:p>
    <w:p w:rsidR="00D35802" w:rsidRPr="007A276A" w:rsidRDefault="00D35802" w:rsidP="00D35802">
      <w:pPr>
        <w:ind w:left="851"/>
        <w:rPr>
          <w:sz w:val="24"/>
          <w:szCs w:val="24"/>
          <w:lang w:eastAsia="da-DK"/>
        </w:rPr>
      </w:pPr>
      <w:r w:rsidRPr="007A276A">
        <w:rPr>
          <w:sz w:val="24"/>
          <w:szCs w:val="24"/>
          <w:lang w:eastAsia="da-DK"/>
        </w:rPr>
        <w:t>Axel Heides Gade 1</w:t>
      </w:r>
    </w:p>
    <w:p w:rsidR="00D35802" w:rsidRPr="007A276A" w:rsidRDefault="00D35802" w:rsidP="00D35802">
      <w:pPr>
        <w:ind w:left="851"/>
        <w:rPr>
          <w:sz w:val="24"/>
          <w:szCs w:val="24"/>
          <w:lang w:eastAsia="da-DK"/>
        </w:rPr>
      </w:pPr>
      <w:r w:rsidRPr="007A276A">
        <w:rPr>
          <w:sz w:val="24"/>
          <w:szCs w:val="24"/>
          <w:lang w:eastAsia="da-DK"/>
        </w:rPr>
        <w:t>DK-2300 København S</w:t>
      </w:r>
    </w:p>
    <w:p w:rsidR="00D35802" w:rsidRPr="007A276A" w:rsidRDefault="00D35802" w:rsidP="00D35802">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rsidR="00D35802" w:rsidRPr="00EC6B70" w:rsidRDefault="00D35802" w:rsidP="00D35802">
      <w:pPr>
        <w:rPr>
          <w:sz w:val="24"/>
          <w:szCs w:val="24"/>
          <w:lang w:val="en-US" w:eastAsia="da-DK"/>
        </w:rPr>
      </w:pPr>
    </w:p>
    <w:p w:rsidR="00D35802" w:rsidRPr="004F0A5F" w:rsidRDefault="00D35802" w:rsidP="00D35802">
      <w:pPr>
        <w:numPr>
          <w:ilvl w:val="1"/>
          <w:numId w:val="1"/>
        </w:numPr>
        <w:rPr>
          <w:b/>
          <w:sz w:val="24"/>
          <w:szCs w:val="24"/>
        </w:rPr>
      </w:pPr>
      <w:r w:rsidRPr="004F0A5F">
        <w:rPr>
          <w:b/>
          <w:sz w:val="24"/>
          <w:szCs w:val="24"/>
        </w:rPr>
        <w:t>Overdosering</w:t>
      </w:r>
    </w:p>
    <w:p w:rsidR="00D35802" w:rsidRPr="004F0A5F" w:rsidRDefault="00D35802" w:rsidP="00D35802">
      <w:pPr>
        <w:tabs>
          <w:tab w:val="left" w:pos="851"/>
        </w:tabs>
        <w:ind w:left="851" w:hanging="851"/>
        <w:rPr>
          <w:sz w:val="24"/>
          <w:szCs w:val="24"/>
        </w:rPr>
      </w:pPr>
      <w:r w:rsidRPr="004F0A5F">
        <w:rPr>
          <w:sz w:val="24"/>
          <w:szCs w:val="24"/>
        </w:rPr>
        <w:tab/>
      </w:r>
      <w:r w:rsidRPr="004F0A5F">
        <w:rPr>
          <w:spacing w:val="-3"/>
          <w:sz w:val="24"/>
          <w:szCs w:val="24"/>
        </w:rPr>
        <w:t>Der er ikke blevet rapporteret om alvorlige, skadelige virkninger på grund af overdosering. Symptomer, som kan opstå i disse tilfælde, er kvalme, opkast</w:t>
      </w:r>
      <w:r w:rsidRPr="004F0A5F">
        <w:rPr>
          <w:spacing w:val="-3"/>
          <w:sz w:val="24"/>
          <w:szCs w:val="24"/>
        </w:rPr>
        <w:softHyphen/>
        <w:t>ning og hos unge piger en lille vaginalblødning. Der findes ingen antidot, og den videre behandling bør være symptomatisk.</w:t>
      </w:r>
    </w:p>
    <w:p w:rsidR="00D35802" w:rsidRPr="004F0A5F" w:rsidRDefault="00D35802" w:rsidP="00D35802">
      <w:pPr>
        <w:tabs>
          <w:tab w:val="left" w:pos="851"/>
        </w:tabs>
        <w:rPr>
          <w:sz w:val="24"/>
          <w:szCs w:val="24"/>
        </w:rPr>
      </w:pPr>
    </w:p>
    <w:p w:rsidR="00D35802" w:rsidRPr="004F0A5F" w:rsidRDefault="00D35802" w:rsidP="00D35802">
      <w:pPr>
        <w:numPr>
          <w:ilvl w:val="1"/>
          <w:numId w:val="1"/>
        </w:numPr>
        <w:rPr>
          <w:b/>
          <w:sz w:val="24"/>
          <w:szCs w:val="24"/>
        </w:rPr>
      </w:pPr>
      <w:r w:rsidRPr="004F0A5F">
        <w:rPr>
          <w:b/>
          <w:sz w:val="24"/>
          <w:szCs w:val="24"/>
        </w:rPr>
        <w:t>Udlevering</w:t>
      </w:r>
    </w:p>
    <w:p w:rsidR="00D35802" w:rsidRPr="004F0A5F" w:rsidRDefault="00D35802" w:rsidP="00D35802">
      <w:pPr>
        <w:tabs>
          <w:tab w:val="left" w:pos="851"/>
        </w:tabs>
        <w:ind w:left="851" w:hanging="851"/>
        <w:rPr>
          <w:sz w:val="24"/>
          <w:szCs w:val="24"/>
        </w:rPr>
      </w:pPr>
      <w:r w:rsidRPr="004F0A5F">
        <w:rPr>
          <w:sz w:val="24"/>
          <w:szCs w:val="24"/>
        </w:rPr>
        <w:tab/>
        <w:t>B</w:t>
      </w:r>
    </w:p>
    <w:p w:rsidR="00D35802" w:rsidRPr="004F0A5F" w:rsidRDefault="00D35802" w:rsidP="00D35802">
      <w:pPr>
        <w:tabs>
          <w:tab w:val="left" w:pos="851"/>
        </w:tabs>
        <w:rPr>
          <w:sz w:val="24"/>
          <w:szCs w:val="24"/>
        </w:rPr>
      </w:pPr>
    </w:p>
    <w:p w:rsidR="00D35802" w:rsidRPr="004F0A5F" w:rsidRDefault="00D35802" w:rsidP="00D35802">
      <w:pPr>
        <w:tabs>
          <w:tab w:val="left" w:pos="851"/>
        </w:tabs>
        <w:rPr>
          <w:sz w:val="24"/>
          <w:szCs w:val="24"/>
        </w:rPr>
      </w:pPr>
    </w:p>
    <w:p w:rsidR="00D35802" w:rsidRPr="004F0A5F" w:rsidRDefault="00D35802" w:rsidP="00D35802">
      <w:pPr>
        <w:numPr>
          <w:ilvl w:val="0"/>
          <w:numId w:val="1"/>
        </w:numPr>
        <w:rPr>
          <w:b/>
          <w:sz w:val="24"/>
          <w:szCs w:val="24"/>
        </w:rPr>
      </w:pPr>
      <w:r w:rsidRPr="004F0A5F">
        <w:rPr>
          <w:b/>
          <w:sz w:val="24"/>
          <w:szCs w:val="24"/>
        </w:rPr>
        <w:t>FARMAKOLOGISKE EGENSKABER</w:t>
      </w:r>
    </w:p>
    <w:p w:rsidR="00D35802" w:rsidRPr="004F0A5F" w:rsidRDefault="00D35802" w:rsidP="00D35802">
      <w:pPr>
        <w:tabs>
          <w:tab w:val="left" w:pos="851"/>
        </w:tabs>
        <w:rPr>
          <w:sz w:val="24"/>
          <w:szCs w:val="24"/>
        </w:rPr>
      </w:pPr>
    </w:p>
    <w:p w:rsidR="00D35802" w:rsidRPr="004F0A5F" w:rsidRDefault="00D35802" w:rsidP="00D35802">
      <w:pPr>
        <w:numPr>
          <w:ilvl w:val="0"/>
          <w:numId w:val="2"/>
        </w:numPr>
        <w:rPr>
          <w:b/>
          <w:sz w:val="24"/>
          <w:szCs w:val="24"/>
        </w:rPr>
      </w:pPr>
      <w:r w:rsidRPr="004F0A5F">
        <w:rPr>
          <w:b/>
          <w:sz w:val="24"/>
          <w:szCs w:val="24"/>
        </w:rPr>
        <w:t>Terapeutisk klassifikation</w:t>
      </w:r>
    </w:p>
    <w:p w:rsidR="00D35802" w:rsidRPr="004F0A5F" w:rsidRDefault="00D35802" w:rsidP="00D35802">
      <w:pPr>
        <w:tabs>
          <w:tab w:val="left" w:pos="851"/>
        </w:tabs>
        <w:ind w:left="851" w:hanging="851"/>
        <w:rPr>
          <w:sz w:val="24"/>
          <w:szCs w:val="24"/>
        </w:rPr>
      </w:pPr>
      <w:r w:rsidRPr="004F0A5F">
        <w:rPr>
          <w:sz w:val="24"/>
          <w:szCs w:val="24"/>
        </w:rPr>
        <w:tab/>
        <w:t>ATC-kode: G 03 AC 09. Hormonelle kontraceptiva til systemisk brug.</w:t>
      </w:r>
    </w:p>
    <w:p w:rsidR="00D35802" w:rsidRPr="004F0A5F" w:rsidRDefault="00D35802" w:rsidP="00D35802">
      <w:pPr>
        <w:tabs>
          <w:tab w:val="left" w:pos="851"/>
        </w:tabs>
        <w:ind w:left="851" w:hanging="851"/>
        <w:rPr>
          <w:sz w:val="24"/>
          <w:szCs w:val="24"/>
        </w:rPr>
      </w:pPr>
    </w:p>
    <w:p w:rsidR="00D35802" w:rsidRPr="004F0A5F" w:rsidRDefault="00D35802" w:rsidP="00D35802">
      <w:pPr>
        <w:numPr>
          <w:ilvl w:val="1"/>
          <w:numId w:val="2"/>
        </w:numPr>
        <w:tabs>
          <w:tab w:val="num" w:pos="851"/>
        </w:tabs>
        <w:ind w:left="851" w:hanging="851"/>
        <w:rPr>
          <w:b/>
          <w:sz w:val="24"/>
          <w:szCs w:val="24"/>
        </w:rPr>
      </w:pPr>
      <w:r w:rsidRPr="004F0A5F">
        <w:rPr>
          <w:b/>
          <w:sz w:val="24"/>
          <w:szCs w:val="24"/>
        </w:rPr>
        <w:t>Farmakodynamiske egenskaber</w:t>
      </w:r>
    </w:p>
    <w:p w:rsidR="00D35802" w:rsidRPr="004F0A5F" w:rsidRDefault="00D35802" w:rsidP="00D35802">
      <w:pPr>
        <w:tabs>
          <w:tab w:val="left" w:pos="851"/>
        </w:tabs>
        <w:ind w:left="851"/>
        <w:rPr>
          <w:sz w:val="24"/>
          <w:szCs w:val="24"/>
        </w:rPr>
      </w:pPr>
    </w:p>
    <w:p w:rsidR="00D35802" w:rsidRPr="004F0A5F" w:rsidRDefault="00D35802" w:rsidP="00D35802">
      <w:pPr>
        <w:tabs>
          <w:tab w:val="left" w:pos="851"/>
        </w:tabs>
        <w:ind w:left="851"/>
        <w:rPr>
          <w:sz w:val="24"/>
          <w:szCs w:val="24"/>
          <w:u w:val="single"/>
        </w:rPr>
      </w:pPr>
      <w:r w:rsidRPr="004F0A5F">
        <w:rPr>
          <w:sz w:val="24"/>
          <w:szCs w:val="24"/>
          <w:u w:val="single"/>
        </w:rPr>
        <w:t>Virkningsmekanisme</w:t>
      </w:r>
    </w:p>
    <w:p w:rsidR="00D35802" w:rsidRDefault="00D35802" w:rsidP="00D35802">
      <w:pPr>
        <w:tabs>
          <w:tab w:val="left" w:pos="851"/>
        </w:tabs>
        <w:ind w:left="851" w:hanging="851"/>
        <w:rPr>
          <w:spacing w:val="-3"/>
          <w:sz w:val="24"/>
          <w:szCs w:val="24"/>
        </w:rPr>
      </w:pPr>
      <w:r w:rsidRPr="004F0A5F">
        <w:rPr>
          <w:sz w:val="24"/>
          <w:szCs w:val="24"/>
        </w:rPr>
        <w:tab/>
      </w:r>
      <w:r w:rsidRPr="004F0A5F">
        <w:rPr>
          <w:spacing w:val="-3"/>
          <w:sz w:val="24"/>
          <w:szCs w:val="24"/>
        </w:rPr>
        <w:t xml:space="preserve">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er en ren gestagenholdig tablet, som indeholder gestagenet desogestrel. Ligesom andre piller, som kun </w:t>
      </w:r>
      <w:r w:rsidR="005E3905" w:rsidRPr="004F0A5F">
        <w:rPr>
          <w:spacing w:val="-3"/>
          <w:sz w:val="24"/>
          <w:szCs w:val="24"/>
        </w:rPr>
        <w:t xml:space="preserve">gestagen, </w:t>
      </w:r>
      <w:r w:rsidR="005E3905">
        <w:rPr>
          <w:spacing w:val="-3"/>
          <w:sz w:val="24"/>
          <w:szCs w:val="24"/>
        </w:rPr>
        <w:t>kan</w:t>
      </w:r>
      <w:r w:rsidR="005E3905" w:rsidRPr="004F0A5F">
        <w:rPr>
          <w:spacing w:val="-3"/>
          <w:sz w:val="24"/>
          <w:szCs w:val="24"/>
        </w:rPr>
        <w:t xml:space="preserve"> Desogestrel </w:t>
      </w:r>
      <w:r w:rsidR="005E3905">
        <w:rPr>
          <w:spacing w:val="-3"/>
          <w:sz w:val="24"/>
          <w:szCs w:val="24"/>
        </w:rPr>
        <w:t>"</w:t>
      </w:r>
      <w:r w:rsidR="005E3905" w:rsidRPr="004F0A5F">
        <w:rPr>
          <w:spacing w:val="-3"/>
          <w:sz w:val="24"/>
          <w:szCs w:val="24"/>
        </w:rPr>
        <w:t>Sandoz</w:t>
      </w:r>
      <w:r w:rsidR="005E3905">
        <w:rPr>
          <w:spacing w:val="-3"/>
          <w:sz w:val="24"/>
          <w:szCs w:val="24"/>
        </w:rPr>
        <w:t>"</w:t>
      </w:r>
      <w:r w:rsidR="005E3905" w:rsidRPr="004F0A5F">
        <w:rPr>
          <w:spacing w:val="-3"/>
          <w:sz w:val="24"/>
          <w:szCs w:val="24"/>
        </w:rPr>
        <w:t xml:space="preserve"> </w:t>
      </w:r>
      <w:r w:rsidR="005E3905">
        <w:rPr>
          <w:spacing w:val="-3"/>
          <w:sz w:val="24"/>
          <w:szCs w:val="24"/>
        </w:rPr>
        <w:t>anvendes hos</w:t>
      </w:r>
      <w:r w:rsidR="005E3905" w:rsidRPr="004F0A5F">
        <w:rPr>
          <w:spacing w:val="-3"/>
          <w:sz w:val="24"/>
          <w:szCs w:val="24"/>
        </w:rPr>
        <w:t xml:space="preserve"> kvinder, </w:t>
      </w:r>
      <w:r w:rsidR="005E3905">
        <w:rPr>
          <w:spacing w:val="-3"/>
          <w:sz w:val="24"/>
          <w:szCs w:val="24"/>
        </w:rPr>
        <w:t>der</w:t>
      </w:r>
      <w:r w:rsidR="005E3905" w:rsidRPr="004F0A5F">
        <w:rPr>
          <w:spacing w:val="-3"/>
          <w:sz w:val="24"/>
          <w:szCs w:val="24"/>
        </w:rPr>
        <w:t xml:space="preserve"> ikke kan eller ikke ønsker at </w:t>
      </w:r>
      <w:r w:rsidR="005E3905">
        <w:rPr>
          <w:spacing w:val="-3"/>
          <w:sz w:val="24"/>
          <w:szCs w:val="24"/>
        </w:rPr>
        <w:t xml:space="preserve">bruge </w:t>
      </w:r>
      <w:r w:rsidR="005E3905" w:rsidRPr="004F0A5F">
        <w:rPr>
          <w:spacing w:val="-3"/>
          <w:sz w:val="24"/>
          <w:szCs w:val="24"/>
        </w:rPr>
        <w:t>østrogener. I modsætning</w:t>
      </w:r>
      <w:r w:rsidRPr="004F0A5F">
        <w:rPr>
          <w:spacing w:val="-3"/>
          <w:sz w:val="24"/>
          <w:szCs w:val="24"/>
        </w:rPr>
        <w:t xml:space="preserve"> til de traditionelle piller, som kun indeholder gestagen, opnås desogestrels svangerskabsforebyggende virkning primært ved hæmning af ovulationen. Andre virkninger omfatter øget viskositet af cervikalslimhinden.</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pacing w:val="-3"/>
          <w:sz w:val="24"/>
          <w:szCs w:val="24"/>
          <w:u w:val="single"/>
        </w:rPr>
      </w:pPr>
      <w:r w:rsidRPr="004F0A5F">
        <w:rPr>
          <w:spacing w:val="-3"/>
          <w:sz w:val="24"/>
          <w:szCs w:val="24"/>
        </w:rPr>
        <w:tab/>
      </w:r>
      <w:r w:rsidRPr="004F0A5F">
        <w:rPr>
          <w:spacing w:val="-3"/>
          <w:sz w:val="24"/>
          <w:szCs w:val="24"/>
          <w:u w:val="single"/>
        </w:rPr>
        <w:t>Klinisk virkning og sikkerhed</w:t>
      </w:r>
    </w:p>
    <w:p w:rsidR="00D35802" w:rsidRPr="004F0A5F" w:rsidRDefault="00D35802" w:rsidP="00D35802">
      <w:pPr>
        <w:tabs>
          <w:tab w:val="left" w:pos="851"/>
        </w:tabs>
        <w:ind w:left="851" w:hanging="851"/>
        <w:rPr>
          <w:spacing w:val="-3"/>
          <w:sz w:val="24"/>
          <w:szCs w:val="24"/>
        </w:rPr>
      </w:pPr>
      <w:r w:rsidRPr="004F0A5F">
        <w:rPr>
          <w:spacing w:val="-3"/>
          <w:sz w:val="24"/>
          <w:szCs w:val="24"/>
        </w:rPr>
        <w:tab/>
        <w:t>I et studie hvor ovulationsforekomsten blev undersøgt over to cykler (hvor ovulations</w:t>
      </w:r>
      <w:r>
        <w:rPr>
          <w:spacing w:val="-3"/>
          <w:sz w:val="24"/>
          <w:szCs w:val="24"/>
        </w:rPr>
        <w:softHyphen/>
      </w:r>
      <w:r w:rsidRPr="004F0A5F">
        <w:rPr>
          <w:spacing w:val="-3"/>
          <w:sz w:val="24"/>
          <w:szCs w:val="24"/>
        </w:rPr>
        <w:t xml:space="preserve">definitionen var: et progesteron niveau på mere end 16 nmol/l i 5 dage i træk), var ovulationsforekomsten 1 % (1/103) med et 95 % konfidensinterval på 0,02 % - 5,29 % i </w:t>
      </w:r>
      <w:smartTag w:uri="urn:schemas-microsoft-com:office:smarttags" w:element="stockticker">
        <w:r w:rsidRPr="004F0A5F">
          <w:rPr>
            <w:spacing w:val="-3"/>
            <w:sz w:val="24"/>
            <w:szCs w:val="24"/>
          </w:rPr>
          <w:t>ITT</w:t>
        </w:r>
      </w:smartTag>
      <w:r w:rsidRPr="004F0A5F">
        <w:rPr>
          <w:spacing w:val="-3"/>
          <w:sz w:val="24"/>
          <w:szCs w:val="24"/>
        </w:rPr>
        <w:t xml:space="preserve"> (</w:t>
      </w:r>
      <w:r>
        <w:rPr>
          <w:spacing w:val="-3"/>
          <w:sz w:val="24"/>
          <w:szCs w:val="24"/>
        </w:rPr>
        <w:t>"</w:t>
      </w:r>
      <w:r w:rsidRPr="004F0A5F">
        <w:rPr>
          <w:spacing w:val="-3"/>
          <w:sz w:val="24"/>
          <w:szCs w:val="24"/>
        </w:rPr>
        <w:t>Intent-to-Treat</w:t>
      </w:r>
      <w:r>
        <w:rPr>
          <w:spacing w:val="-3"/>
          <w:sz w:val="24"/>
          <w:szCs w:val="24"/>
        </w:rPr>
        <w:t>"</w:t>
      </w:r>
      <w:r w:rsidRPr="004F0A5F">
        <w:rPr>
          <w:spacing w:val="-3"/>
          <w:sz w:val="24"/>
          <w:szCs w:val="24"/>
        </w:rPr>
        <w:t>) gruppen (bruger- og metodefejl). Ovulationshæmning blev opnået fra den første desogestrel cyklus. Efter ophør med desogestrel efter 2 cykler (56 dage i træk) indtrådte ovulationen i gennemsnit efter 17 dage (variationsbredde 7-30 dage).</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pacing w:val="-3"/>
          <w:sz w:val="24"/>
          <w:szCs w:val="24"/>
        </w:rPr>
      </w:pPr>
      <w:r w:rsidRPr="004F0A5F">
        <w:rPr>
          <w:spacing w:val="-3"/>
          <w:sz w:val="24"/>
          <w:szCs w:val="24"/>
        </w:rPr>
        <w:tab/>
        <w:t>I et</w:t>
      </w:r>
      <w:r w:rsidRPr="004F0A5F">
        <w:rPr>
          <w:b/>
          <w:spacing w:val="-3"/>
          <w:sz w:val="24"/>
          <w:szCs w:val="24"/>
        </w:rPr>
        <w:t xml:space="preserve"> </w:t>
      </w:r>
      <w:r w:rsidRPr="004F0A5F">
        <w:rPr>
          <w:spacing w:val="-3"/>
          <w:sz w:val="24"/>
          <w:szCs w:val="24"/>
        </w:rPr>
        <w:t xml:space="preserve">sammenlignende effektstudie (hvor der ved glemte piller maksimalt måtte være gået 3 timer) var det overordnede </w:t>
      </w:r>
      <w:smartTag w:uri="urn:schemas-microsoft-com:office:smarttags" w:element="stockticker">
        <w:r w:rsidRPr="004F0A5F">
          <w:rPr>
            <w:spacing w:val="-3"/>
            <w:sz w:val="24"/>
            <w:szCs w:val="24"/>
          </w:rPr>
          <w:t>ITT</w:t>
        </w:r>
      </w:smartTag>
      <w:r w:rsidRPr="004F0A5F">
        <w:rPr>
          <w:spacing w:val="-3"/>
          <w:sz w:val="24"/>
          <w:szCs w:val="24"/>
        </w:rPr>
        <w:t xml:space="preserve"> Pearl-indeks for desogestrel 0,4 (95 % konfidensinterval 0,09 – 1,20) sammenlignet med 1,6 (95 % konfidensinterval 0,42 – 3,96) for 30 µg levonorgestrel. </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pacing w:val="-3"/>
          <w:sz w:val="24"/>
          <w:szCs w:val="24"/>
        </w:rPr>
      </w:pPr>
      <w:r w:rsidRPr="004F0A5F">
        <w:rPr>
          <w:spacing w:val="-3"/>
          <w:sz w:val="24"/>
          <w:szCs w:val="24"/>
        </w:rPr>
        <w:tab/>
        <w:t>Pearl-indekset for desogestrel er sammen</w:t>
      </w:r>
      <w:r w:rsidRPr="004F0A5F">
        <w:rPr>
          <w:spacing w:val="-3"/>
          <w:sz w:val="24"/>
          <w:szCs w:val="24"/>
        </w:rPr>
        <w:softHyphen/>
        <w:t xml:space="preserve">ligneligt med det, som tidligere er fundet for p-piller af kombinationstypen i en almindelig population af p-pillebrugere. </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pacing w:val="-3"/>
          <w:sz w:val="24"/>
          <w:szCs w:val="24"/>
        </w:rPr>
      </w:pPr>
      <w:r w:rsidRPr="004F0A5F">
        <w:rPr>
          <w:spacing w:val="-3"/>
          <w:sz w:val="24"/>
          <w:szCs w:val="24"/>
        </w:rPr>
        <w:tab/>
        <w:t>Behandling med desogestrel medfører sænkning af estradiolniveauet til et niveau svarende til den tidlige follikulære fase. Der er ikke observeret klinisk relevante virkninger på kulhydratmetabo</w:t>
      </w:r>
      <w:r w:rsidRPr="004F0A5F">
        <w:rPr>
          <w:spacing w:val="-3"/>
          <w:sz w:val="24"/>
          <w:szCs w:val="24"/>
        </w:rPr>
        <w:softHyphen/>
        <w:t>lisme, lipidmetabolisme eller hæmostase.</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left="851" w:hanging="851"/>
        <w:rPr>
          <w:sz w:val="24"/>
          <w:szCs w:val="24"/>
          <w:u w:val="single"/>
        </w:rPr>
      </w:pPr>
      <w:r w:rsidRPr="004F0A5F">
        <w:rPr>
          <w:i/>
          <w:sz w:val="24"/>
          <w:szCs w:val="24"/>
        </w:rPr>
        <w:tab/>
      </w:r>
      <w:r w:rsidRPr="004F0A5F">
        <w:rPr>
          <w:sz w:val="24"/>
          <w:szCs w:val="24"/>
          <w:u w:val="single"/>
        </w:rPr>
        <w:t>Pædiatrisk population</w:t>
      </w:r>
    </w:p>
    <w:p w:rsidR="00D35802" w:rsidRPr="004F0A5F" w:rsidRDefault="00D35802" w:rsidP="00D35802">
      <w:pPr>
        <w:tabs>
          <w:tab w:val="left" w:pos="851"/>
        </w:tabs>
        <w:ind w:left="851" w:hanging="851"/>
        <w:rPr>
          <w:sz w:val="24"/>
          <w:szCs w:val="24"/>
        </w:rPr>
      </w:pPr>
      <w:r w:rsidRPr="004F0A5F">
        <w:rPr>
          <w:sz w:val="24"/>
          <w:szCs w:val="24"/>
        </w:rPr>
        <w:tab/>
        <w:t>Der er ingen kliniske data tilgængelig på virkning og sikkerhed hos unge under 18 år.</w:t>
      </w:r>
    </w:p>
    <w:p w:rsidR="00D35802" w:rsidRPr="004F0A5F" w:rsidRDefault="00D35802" w:rsidP="00D35802">
      <w:pPr>
        <w:tabs>
          <w:tab w:val="left" w:pos="851"/>
        </w:tabs>
        <w:rPr>
          <w:sz w:val="24"/>
          <w:szCs w:val="24"/>
        </w:rPr>
      </w:pPr>
    </w:p>
    <w:p w:rsidR="00D35802" w:rsidRPr="004F0A5F" w:rsidRDefault="00D35802" w:rsidP="00D35802">
      <w:pPr>
        <w:numPr>
          <w:ilvl w:val="1"/>
          <w:numId w:val="3"/>
        </w:numPr>
        <w:rPr>
          <w:b/>
          <w:sz w:val="24"/>
          <w:szCs w:val="24"/>
        </w:rPr>
      </w:pPr>
      <w:r w:rsidRPr="004F0A5F">
        <w:rPr>
          <w:b/>
          <w:sz w:val="24"/>
          <w:szCs w:val="24"/>
        </w:rPr>
        <w:t>Farmakokinetiske egenskaber</w:t>
      </w:r>
    </w:p>
    <w:p w:rsidR="00D35802" w:rsidRPr="004F0A5F" w:rsidRDefault="00D35802" w:rsidP="00D35802">
      <w:pPr>
        <w:tabs>
          <w:tab w:val="left" w:pos="0"/>
          <w:tab w:val="left" w:pos="851"/>
          <w:tab w:val="left" w:pos="2583"/>
        </w:tabs>
        <w:ind w:left="855"/>
        <w:rPr>
          <w:sz w:val="24"/>
          <w:szCs w:val="24"/>
        </w:rPr>
      </w:pPr>
    </w:p>
    <w:p w:rsidR="00D35802" w:rsidRPr="004F0A5F" w:rsidRDefault="00D35802" w:rsidP="00D35802">
      <w:pPr>
        <w:tabs>
          <w:tab w:val="left" w:pos="0"/>
          <w:tab w:val="left" w:pos="851"/>
          <w:tab w:val="left" w:pos="2583"/>
        </w:tabs>
        <w:ind w:left="850" w:hanging="850"/>
        <w:rPr>
          <w:spacing w:val="-3"/>
          <w:sz w:val="24"/>
          <w:szCs w:val="24"/>
          <w:u w:val="single"/>
        </w:rPr>
      </w:pPr>
      <w:r w:rsidRPr="004F0A5F">
        <w:rPr>
          <w:sz w:val="24"/>
          <w:szCs w:val="24"/>
        </w:rPr>
        <w:tab/>
      </w:r>
      <w:r w:rsidRPr="004F0A5F">
        <w:rPr>
          <w:spacing w:val="-3"/>
          <w:sz w:val="24"/>
          <w:szCs w:val="24"/>
          <w:u w:val="single"/>
        </w:rPr>
        <w:t>Absorption</w:t>
      </w:r>
    </w:p>
    <w:p w:rsidR="00D35802" w:rsidRPr="004F0A5F" w:rsidRDefault="00D35802" w:rsidP="00D35802">
      <w:pPr>
        <w:tabs>
          <w:tab w:val="left" w:pos="0"/>
          <w:tab w:val="left" w:pos="851"/>
          <w:tab w:val="left" w:pos="2583"/>
        </w:tabs>
        <w:ind w:left="850" w:hanging="850"/>
        <w:rPr>
          <w:spacing w:val="-3"/>
          <w:sz w:val="24"/>
          <w:szCs w:val="24"/>
        </w:rPr>
      </w:pPr>
      <w:r w:rsidRPr="004F0A5F">
        <w:rPr>
          <w:spacing w:val="-3"/>
          <w:sz w:val="24"/>
          <w:szCs w:val="24"/>
        </w:rPr>
        <w:tab/>
        <w:t xml:space="preserve">Efter oral indtagelse af Desogestrel </w:t>
      </w:r>
      <w:r>
        <w:rPr>
          <w:spacing w:val="-3"/>
          <w:sz w:val="24"/>
          <w:szCs w:val="24"/>
        </w:rPr>
        <w:t>"</w:t>
      </w:r>
      <w:r w:rsidRPr="004F0A5F">
        <w:rPr>
          <w:spacing w:val="-3"/>
          <w:sz w:val="24"/>
          <w:szCs w:val="24"/>
        </w:rPr>
        <w:t>Sandoz</w:t>
      </w:r>
      <w:r>
        <w:rPr>
          <w:spacing w:val="-3"/>
          <w:sz w:val="24"/>
          <w:szCs w:val="24"/>
        </w:rPr>
        <w:t>"</w:t>
      </w:r>
      <w:r w:rsidRPr="004F0A5F">
        <w:rPr>
          <w:spacing w:val="-3"/>
          <w:sz w:val="24"/>
          <w:szCs w:val="24"/>
        </w:rPr>
        <w:t xml:space="preserve"> absorberes desogestrel hurtigt og omdannes til etonogestrel. Under steady state-forhold nås peakplasmaniveauerne 1,8 ti</w:t>
      </w:r>
      <w:r w:rsidRPr="004F0A5F">
        <w:rPr>
          <w:spacing w:val="-3"/>
          <w:sz w:val="24"/>
          <w:szCs w:val="24"/>
        </w:rPr>
        <w:softHyphen/>
        <w:t>mer efter tabletindtagelse, og etonogestrels absolutte biotilgængelighed er ca. 70 %.</w:t>
      </w:r>
    </w:p>
    <w:p w:rsidR="00D35802" w:rsidRPr="004F0A5F" w:rsidRDefault="00D35802" w:rsidP="00D35802">
      <w:pPr>
        <w:tabs>
          <w:tab w:val="left" w:pos="0"/>
          <w:tab w:val="left" w:pos="851"/>
          <w:tab w:val="left" w:pos="2583"/>
        </w:tabs>
        <w:rPr>
          <w:spacing w:val="-3"/>
          <w:sz w:val="24"/>
          <w:szCs w:val="24"/>
        </w:rPr>
      </w:pPr>
    </w:p>
    <w:p w:rsidR="00D35802" w:rsidRPr="004F0A5F" w:rsidRDefault="00D35802" w:rsidP="00D35802">
      <w:pPr>
        <w:tabs>
          <w:tab w:val="left" w:pos="0"/>
          <w:tab w:val="left" w:pos="851"/>
          <w:tab w:val="left" w:pos="2583"/>
        </w:tabs>
        <w:ind w:left="850" w:hanging="850"/>
        <w:rPr>
          <w:spacing w:val="-3"/>
          <w:sz w:val="24"/>
          <w:szCs w:val="24"/>
          <w:u w:val="single"/>
        </w:rPr>
      </w:pPr>
      <w:r w:rsidRPr="004F0A5F">
        <w:rPr>
          <w:b/>
          <w:spacing w:val="-3"/>
          <w:sz w:val="24"/>
          <w:szCs w:val="24"/>
        </w:rPr>
        <w:tab/>
      </w:r>
      <w:r w:rsidRPr="004F0A5F">
        <w:rPr>
          <w:spacing w:val="-3"/>
          <w:sz w:val="24"/>
          <w:szCs w:val="24"/>
          <w:u w:val="single"/>
        </w:rPr>
        <w:t>Distribution</w:t>
      </w:r>
    </w:p>
    <w:p w:rsidR="00D35802" w:rsidRPr="004F0A5F" w:rsidRDefault="00D35802" w:rsidP="00D35802">
      <w:pPr>
        <w:tabs>
          <w:tab w:val="left" w:pos="0"/>
          <w:tab w:val="left" w:pos="851"/>
          <w:tab w:val="left" w:pos="2583"/>
        </w:tabs>
        <w:ind w:left="850" w:hanging="850"/>
        <w:rPr>
          <w:spacing w:val="-3"/>
          <w:sz w:val="24"/>
          <w:szCs w:val="24"/>
        </w:rPr>
      </w:pPr>
      <w:r w:rsidRPr="004F0A5F">
        <w:rPr>
          <w:spacing w:val="-3"/>
          <w:sz w:val="24"/>
          <w:szCs w:val="24"/>
        </w:rPr>
        <w:tab/>
        <w:t xml:space="preserve">Etonogestrel er for 95,5-99 % vedkommende bundet til plasmaproteinerne, hovedsageligt til albumin og i mindre grad til </w:t>
      </w:r>
      <w:r w:rsidRPr="007C49CA">
        <w:rPr>
          <w:spacing w:val="-3"/>
          <w:sz w:val="24"/>
          <w:szCs w:val="24"/>
        </w:rPr>
        <w:t xml:space="preserve">kønshormonbindende globulin </w:t>
      </w:r>
      <w:r>
        <w:rPr>
          <w:spacing w:val="-3"/>
          <w:sz w:val="24"/>
          <w:szCs w:val="24"/>
        </w:rPr>
        <w:t>(</w:t>
      </w:r>
      <w:r w:rsidRPr="004F0A5F">
        <w:rPr>
          <w:spacing w:val="-3"/>
          <w:sz w:val="24"/>
          <w:szCs w:val="24"/>
        </w:rPr>
        <w:t>SHBG</w:t>
      </w:r>
      <w:r>
        <w:rPr>
          <w:spacing w:val="-3"/>
          <w:sz w:val="24"/>
          <w:szCs w:val="24"/>
        </w:rPr>
        <w:t>)</w:t>
      </w:r>
      <w:r w:rsidRPr="004F0A5F">
        <w:rPr>
          <w:spacing w:val="-3"/>
          <w:sz w:val="24"/>
          <w:szCs w:val="24"/>
        </w:rPr>
        <w:t>.</w:t>
      </w:r>
    </w:p>
    <w:p w:rsidR="00D35802" w:rsidRPr="004F0A5F" w:rsidRDefault="00D35802" w:rsidP="00D35802">
      <w:pPr>
        <w:tabs>
          <w:tab w:val="left" w:pos="0"/>
          <w:tab w:val="left" w:pos="851"/>
          <w:tab w:val="left" w:pos="2583"/>
        </w:tabs>
        <w:rPr>
          <w:spacing w:val="-3"/>
          <w:sz w:val="24"/>
          <w:szCs w:val="24"/>
        </w:rPr>
      </w:pPr>
    </w:p>
    <w:p w:rsidR="00D35802" w:rsidRPr="004F0A5F" w:rsidRDefault="00D35802" w:rsidP="00D35802">
      <w:pPr>
        <w:tabs>
          <w:tab w:val="left" w:pos="0"/>
          <w:tab w:val="left" w:pos="851"/>
          <w:tab w:val="left" w:pos="2583"/>
        </w:tabs>
        <w:ind w:left="850" w:hanging="850"/>
        <w:rPr>
          <w:spacing w:val="-3"/>
          <w:sz w:val="24"/>
          <w:szCs w:val="24"/>
          <w:u w:val="single"/>
        </w:rPr>
      </w:pPr>
      <w:r w:rsidRPr="004F0A5F">
        <w:rPr>
          <w:b/>
          <w:spacing w:val="-3"/>
          <w:sz w:val="24"/>
          <w:szCs w:val="24"/>
        </w:rPr>
        <w:tab/>
      </w:r>
      <w:r>
        <w:rPr>
          <w:spacing w:val="-3"/>
          <w:sz w:val="24"/>
          <w:szCs w:val="24"/>
          <w:u w:val="single"/>
        </w:rPr>
        <w:t>Biotransformation</w:t>
      </w:r>
    </w:p>
    <w:p w:rsidR="00D35802" w:rsidRPr="004F0A5F" w:rsidRDefault="00D35802" w:rsidP="00D35802">
      <w:pPr>
        <w:tabs>
          <w:tab w:val="left" w:pos="0"/>
          <w:tab w:val="left" w:pos="851"/>
          <w:tab w:val="left" w:pos="2583"/>
        </w:tabs>
        <w:ind w:left="850" w:hanging="850"/>
        <w:rPr>
          <w:spacing w:val="-3"/>
          <w:sz w:val="24"/>
          <w:szCs w:val="24"/>
        </w:rPr>
      </w:pPr>
      <w:r w:rsidRPr="004F0A5F">
        <w:rPr>
          <w:spacing w:val="-3"/>
          <w:sz w:val="24"/>
          <w:szCs w:val="24"/>
        </w:rPr>
        <w:tab/>
        <w:t xml:space="preserve">Desogestrel metaboliseres via hydroxylering og dehydrogenering til den aktive metabolit etonogestrel. Etonogestrel metaboliseres </w:t>
      </w:r>
      <w:r w:rsidRPr="007C49CA">
        <w:rPr>
          <w:spacing w:val="-3"/>
          <w:sz w:val="24"/>
          <w:szCs w:val="24"/>
        </w:rPr>
        <w:t>af cytochrom P450 3A (CYP3A)-isoenzymer og konjugeres efterfølgende med sulfat og glucuronid</w:t>
      </w:r>
      <w:r w:rsidRPr="004F0A5F">
        <w:rPr>
          <w:spacing w:val="-3"/>
          <w:sz w:val="24"/>
          <w:szCs w:val="24"/>
        </w:rPr>
        <w:t>.</w:t>
      </w:r>
    </w:p>
    <w:p w:rsidR="00D35802" w:rsidRPr="004F0A5F" w:rsidRDefault="00D35802" w:rsidP="00D35802">
      <w:pPr>
        <w:tabs>
          <w:tab w:val="left" w:pos="0"/>
          <w:tab w:val="left" w:pos="851"/>
          <w:tab w:val="left" w:pos="2583"/>
        </w:tabs>
        <w:rPr>
          <w:spacing w:val="-3"/>
          <w:sz w:val="24"/>
          <w:szCs w:val="24"/>
        </w:rPr>
      </w:pPr>
    </w:p>
    <w:p w:rsidR="00D35802" w:rsidRPr="004F0A5F" w:rsidRDefault="00D35802" w:rsidP="00D35802">
      <w:pPr>
        <w:tabs>
          <w:tab w:val="left" w:pos="0"/>
          <w:tab w:val="left" w:pos="851"/>
          <w:tab w:val="left" w:pos="2583"/>
        </w:tabs>
        <w:ind w:left="850" w:hanging="850"/>
        <w:rPr>
          <w:spacing w:val="-3"/>
          <w:sz w:val="24"/>
          <w:szCs w:val="24"/>
        </w:rPr>
      </w:pPr>
      <w:r w:rsidRPr="004F0A5F">
        <w:rPr>
          <w:b/>
          <w:spacing w:val="-3"/>
          <w:sz w:val="24"/>
          <w:szCs w:val="24"/>
        </w:rPr>
        <w:tab/>
      </w:r>
      <w:r>
        <w:rPr>
          <w:spacing w:val="-3"/>
          <w:sz w:val="24"/>
          <w:szCs w:val="24"/>
          <w:u w:val="single"/>
        </w:rPr>
        <w:t>Elimination</w:t>
      </w:r>
    </w:p>
    <w:p w:rsidR="00D35802" w:rsidRPr="004F0A5F" w:rsidRDefault="00D35802" w:rsidP="00D35802">
      <w:pPr>
        <w:tabs>
          <w:tab w:val="left" w:pos="851"/>
        </w:tabs>
        <w:ind w:left="851" w:hanging="851"/>
        <w:rPr>
          <w:spacing w:val="-3"/>
          <w:sz w:val="24"/>
          <w:szCs w:val="24"/>
        </w:rPr>
      </w:pPr>
      <w:r w:rsidRPr="004F0A5F">
        <w:rPr>
          <w:spacing w:val="-3"/>
          <w:sz w:val="24"/>
          <w:szCs w:val="24"/>
        </w:rPr>
        <w:tab/>
        <w:t>Etonogestrel elimineres med en gennemsnitlig halveringstid på ca. 30 timer, uden nogen forskel mellem enkelt og multipel dosering. Steady state niveau</w:t>
      </w:r>
      <w:r w:rsidRPr="004F0A5F">
        <w:rPr>
          <w:spacing w:val="-3"/>
          <w:sz w:val="24"/>
          <w:szCs w:val="24"/>
        </w:rPr>
        <w:softHyphen/>
        <w:t>erne i plasma nås efter 4-5 dage. Plasma-clearance efter i.v. administration af etonogestrel er ca. 10 l/time. Udskillelse af etonogestrel og dets metabolitter, enten som frie steroider eller som konjugater, sker via urinen og fæces (ratio 1,5:1). Hos ammende kvinder udskilles etonogestrel i brystmælken med et mælk/plasma-forhold på 0,37-0,55. Ud fra disse data og en estimeret mælkeind</w:t>
      </w:r>
      <w:r w:rsidRPr="004F0A5F">
        <w:rPr>
          <w:spacing w:val="-3"/>
          <w:sz w:val="24"/>
          <w:szCs w:val="24"/>
        </w:rPr>
        <w:softHyphen/>
        <w:t>tagelse på 150 ml/kg/dag, kan 0,01-0,05 mikrogram etonogestrel blive indtaget af barnet.</w:t>
      </w:r>
    </w:p>
    <w:p w:rsidR="00D35802" w:rsidRPr="004F0A5F" w:rsidRDefault="00D35802" w:rsidP="00D35802">
      <w:pPr>
        <w:tabs>
          <w:tab w:val="left" w:pos="851"/>
        </w:tabs>
        <w:ind w:left="851" w:hanging="851"/>
        <w:rPr>
          <w:spacing w:val="-3"/>
          <w:sz w:val="24"/>
          <w:szCs w:val="24"/>
        </w:rPr>
      </w:pPr>
    </w:p>
    <w:p w:rsidR="00D35802" w:rsidRPr="004F0A5F" w:rsidRDefault="00D35802" w:rsidP="00D35802">
      <w:pPr>
        <w:tabs>
          <w:tab w:val="left" w:pos="851"/>
        </w:tabs>
        <w:ind w:firstLine="851"/>
        <w:rPr>
          <w:sz w:val="24"/>
          <w:szCs w:val="24"/>
        </w:rPr>
      </w:pPr>
      <w:r w:rsidRPr="004F0A5F">
        <w:rPr>
          <w:sz w:val="24"/>
          <w:szCs w:val="24"/>
          <w:u w:val="single"/>
        </w:rPr>
        <w:t>Særlige populationer</w:t>
      </w:r>
    </w:p>
    <w:p w:rsidR="00D35802" w:rsidRPr="004F0A5F" w:rsidRDefault="00D35802" w:rsidP="00D35802">
      <w:pPr>
        <w:tabs>
          <w:tab w:val="left" w:pos="851"/>
        </w:tabs>
        <w:ind w:firstLine="851"/>
        <w:rPr>
          <w:i/>
          <w:sz w:val="24"/>
          <w:szCs w:val="24"/>
        </w:rPr>
      </w:pPr>
    </w:p>
    <w:p w:rsidR="00D35802" w:rsidRPr="004F0A5F" w:rsidRDefault="00D35802" w:rsidP="00D35802">
      <w:pPr>
        <w:tabs>
          <w:tab w:val="left" w:pos="851"/>
        </w:tabs>
        <w:ind w:firstLine="851"/>
        <w:rPr>
          <w:sz w:val="24"/>
          <w:szCs w:val="24"/>
        </w:rPr>
      </w:pPr>
      <w:r>
        <w:rPr>
          <w:i/>
          <w:sz w:val="24"/>
          <w:szCs w:val="24"/>
        </w:rPr>
        <w:t>N</w:t>
      </w:r>
      <w:r w:rsidRPr="004F0A5F">
        <w:rPr>
          <w:i/>
          <w:sz w:val="24"/>
          <w:szCs w:val="24"/>
        </w:rPr>
        <w:t>edsat nyrefunktion</w:t>
      </w:r>
    </w:p>
    <w:p w:rsidR="00D35802" w:rsidRDefault="00D35802" w:rsidP="00D35802">
      <w:pPr>
        <w:tabs>
          <w:tab w:val="left" w:pos="851"/>
        </w:tabs>
        <w:ind w:left="851"/>
        <w:rPr>
          <w:sz w:val="24"/>
          <w:szCs w:val="24"/>
        </w:rPr>
      </w:pPr>
      <w:r w:rsidRPr="004F0A5F">
        <w:rPr>
          <w:sz w:val="24"/>
          <w:szCs w:val="24"/>
        </w:rPr>
        <w:t>Der er ikke udført studier til vurdering af virkningen af nyresygdom på desogestrels farmakokinetik.</w:t>
      </w:r>
    </w:p>
    <w:p w:rsidR="00D35802" w:rsidRPr="004F0A5F" w:rsidRDefault="00D35802" w:rsidP="00D35802">
      <w:pPr>
        <w:tabs>
          <w:tab w:val="left" w:pos="851"/>
        </w:tabs>
        <w:ind w:left="851"/>
        <w:rPr>
          <w:sz w:val="24"/>
          <w:szCs w:val="24"/>
        </w:rPr>
      </w:pPr>
    </w:p>
    <w:p w:rsidR="00D35802" w:rsidRPr="004F0A5F" w:rsidRDefault="00D35802" w:rsidP="00D35802">
      <w:pPr>
        <w:tabs>
          <w:tab w:val="left" w:pos="851"/>
        </w:tabs>
        <w:ind w:left="851"/>
        <w:rPr>
          <w:sz w:val="24"/>
          <w:szCs w:val="24"/>
        </w:rPr>
      </w:pPr>
      <w:r>
        <w:rPr>
          <w:i/>
          <w:sz w:val="24"/>
          <w:szCs w:val="24"/>
        </w:rPr>
        <w:t>N</w:t>
      </w:r>
      <w:r w:rsidRPr="004F0A5F">
        <w:rPr>
          <w:i/>
          <w:sz w:val="24"/>
          <w:szCs w:val="24"/>
        </w:rPr>
        <w:t>edsat leverfunktion</w:t>
      </w:r>
    </w:p>
    <w:p w:rsidR="00D35802" w:rsidRPr="004F0A5F" w:rsidRDefault="00D35802" w:rsidP="00D35802">
      <w:pPr>
        <w:tabs>
          <w:tab w:val="left" w:pos="851"/>
        </w:tabs>
        <w:ind w:left="851"/>
        <w:rPr>
          <w:sz w:val="24"/>
          <w:szCs w:val="24"/>
        </w:rPr>
      </w:pPr>
      <w:r w:rsidRPr="004F0A5F">
        <w:rPr>
          <w:sz w:val="24"/>
          <w:szCs w:val="24"/>
        </w:rPr>
        <w:t xml:space="preserve">Der er ikke udført studier til vurdering af virkningen af leversygdom på desogestrels farmakokinetik. Omsætningen af steroidhormoner kan dog være nedsat hos kvinder med nedsat leverfunktion. </w:t>
      </w:r>
    </w:p>
    <w:p w:rsidR="00D35802" w:rsidRPr="004F0A5F" w:rsidRDefault="00D35802" w:rsidP="00D35802">
      <w:pPr>
        <w:tabs>
          <w:tab w:val="left" w:pos="851"/>
        </w:tabs>
        <w:ind w:left="851"/>
        <w:rPr>
          <w:sz w:val="24"/>
          <w:szCs w:val="24"/>
        </w:rPr>
      </w:pPr>
    </w:p>
    <w:p w:rsidR="00D35802" w:rsidRPr="004F0A5F" w:rsidRDefault="00D35802" w:rsidP="00D35802">
      <w:pPr>
        <w:tabs>
          <w:tab w:val="left" w:pos="851"/>
        </w:tabs>
        <w:ind w:left="851"/>
        <w:rPr>
          <w:sz w:val="24"/>
          <w:szCs w:val="24"/>
        </w:rPr>
      </w:pPr>
      <w:r w:rsidRPr="004F0A5F">
        <w:rPr>
          <w:i/>
          <w:sz w:val="24"/>
          <w:szCs w:val="24"/>
        </w:rPr>
        <w:t>Etniske grupper</w:t>
      </w:r>
    </w:p>
    <w:p w:rsidR="00D35802" w:rsidRPr="004F0A5F" w:rsidRDefault="00D35802" w:rsidP="00D35802">
      <w:pPr>
        <w:tabs>
          <w:tab w:val="left" w:pos="851"/>
        </w:tabs>
        <w:ind w:left="851"/>
        <w:rPr>
          <w:sz w:val="24"/>
          <w:szCs w:val="24"/>
        </w:rPr>
      </w:pPr>
      <w:r w:rsidRPr="004F0A5F">
        <w:rPr>
          <w:sz w:val="24"/>
          <w:szCs w:val="24"/>
        </w:rPr>
        <w:t>Der er ikke udført studier til vurdering af farmakokinetikken hos etniske grupper.</w:t>
      </w:r>
    </w:p>
    <w:p w:rsidR="00D35802" w:rsidRPr="004F0A5F" w:rsidRDefault="00D35802" w:rsidP="00D35802">
      <w:pPr>
        <w:tabs>
          <w:tab w:val="left" w:pos="851"/>
        </w:tabs>
        <w:rPr>
          <w:sz w:val="24"/>
          <w:szCs w:val="24"/>
        </w:rPr>
      </w:pPr>
    </w:p>
    <w:p w:rsidR="00D35802" w:rsidRPr="004F0A5F" w:rsidRDefault="00D35802" w:rsidP="00D35802">
      <w:pPr>
        <w:numPr>
          <w:ilvl w:val="1"/>
          <w:numId w:val="4"/>
        </w:numPr>
        <w:rPr>
          <w:b/>
          <w:sz w:val="24"/>
          <w:szCs w:val="24"/>
        </w:rPr>
      </w:pPr>
      <w:r w:rsidRPr="004F0A5F">
        <w:rPr>
          <w:b/>
          <w:sz w:val="24"/>
          <w:szCs w:val="24"/>
        </w:rPr>
        <w:t>Prækliniske sikkerhedsdata</w:t>
      </w:r>
    </w:p>
    <w:p w:rsidR="00D35802" w:rsidRDefault="00D35802" w:rsidP="00D35802">
      <w:pPr>
        <w:tabs>
          <w:tab w:val="left" w:pos="851"/>
        </w:tabs>
        <w:ind w:left="851"/>
        <w:rPr>
          <w:spacing w:val="-3"/>
          <w:sz w:val="24"/>
          <w:szCs w:val="24"/>
        </w:rPr>
      </w:pPr>
      <w:r w:rsidRPr="004F0A5F">
        <w:rPr>
          <w:spacing w:val="-3"/>
          <w:sz w:val="24"/>
          <w:szCs w:val="24"/>
        </w:rPr>
        <w:t>Toksikologiske studier har ikke afsløret andre virkninger end de, som kan for</w:t>
      </w:r>
      <w:r w:rsidRPr="004F0A5F">
        <w:rPr>
          <w:spacing w:val="-3"/>
          <w:sz w:val="24"/>
          <w:szCs w:val="24"/>
        </w:rPr>
        <w:softHyphen/>
        <w:t>klares ud fra desogestrels hormonelle egenskaber.</w:t>
      </w:r>
    </w:p>
    <w:p w:rsidR="00D35802" w:rsidRDefault="00D35802" w:rsidP="00D35802">
      <w:pPr>
        <w:tabs>
          <w:tab w:val="left" w:pos="851"/>
        </w:tabs>
        <w:ind w:left="851"/>
        <w:rPr>
          <w:spacing w:val="-3"/>
          <w:sz w:val="24"/>
          <w:szCs w:val="24"/>
        </w:rPr>
      </w:pPr>
    </w:p>
    <w:p w:rsidR="00D35802" w:rsidRPr="008E02AF" w:rsidRDefault="00D35802" w:rsidP="00D35802">
      <w:pPr>
        <w:tabs>
          <w:tab w:val="left" w:pos="851"/>
        </w:tabs>
        <w:ind w:left="851"/>
        <w:rPr>
          <w:sz w:val="24"/>
          <w:szCs w:val="24"/>
          <w:u w:val="single"/>
        </w:rPr>
      </w:pPr>
      <w:r w:rsidRPr="008E02AF">
        <w:rPr>
          <w:sz w:val="24"/>
          <w:szCs w:val="24"/>
          <w:u w:val="single"/>
        </w:rPr>
        <w:t>Miljørisikovurdering</w:t>
      </w:r>
    </w:p>
    <w:p w:rsidR="00D35802" w:rsidRPr="008E02AF" w:rsidRDefault="00D35802" w:rsidP="00D35802">
      <w:pPr>
        <w:tabs>
          <w:tab w:val="left" w:pos="851"/>
        </w:tabs>
        <w:ind w:left="851"/>
        <w:rPr>
          <w:sz w:val="24"/>
          <w:szCs w:val="24"/>
        </w:rPr>
      </w:pPr>
      <w:r w:rsidRPr="008E02AF">
        <w:rPr>
          <w:sz w:val="24"/>
          <w:szCs w:val="24"/>
        </w:rPr>
        <w:t>Det aktive stof etonogestrel udviser en miljømæssig risiko for fisk.</w:t>
      </w:r>
    </w:p>
    <w:p w:rsidR="00D35802" w:rsidRPr="008E02AF" w:rsidRDefault="00D35802" w:rsidP="00D35802">
      <w:pPr>
        <w:tabs>
          <w:tab w:val="left" w:pos="851"/>
        </w:tabs>
        <w:ind w:left="851" w:hanging="851"/>
        <w:rPr>
          <w:sz w:val="24"/>
          <w:szCs w:val="24"/>
        </w:rPr>
      </w:pPr>
    </w:p>
    <w:p w:rsidR="00D35802" w:rsidRPr="004F0A5F" w:rsidRDefault="00D35802" w:rsidP="00D35802">
      <w:pPr>
        <w:tabs>
          <w:tab w:val="left" w:pos="851"/>
        </w:tabs>
        <w:rPr>
          <w:sz w:val="24"/>
          <w:szCs w:val="24"/>
        </w:rPr>
      </w:pPr>
    </w:p>
    <w:p w:rsidR="00D35802" w:rsidRPr="004F0A5F" w:rsidRDefault="00D35802" w:rsidP="00D35802">
      <w:pPr>
        <w:numPr>
          <w:ilvl w:val="0"/>
          <w:numId w:val="3"/>
        </w:numPr>
        <w:rPr>
          <w:b/>
          <w:sz w:val="24"/>
          <w:szCs w:val="24"/>
        </w:rPr>
      </w:pPr>
      <w:r w:rsidRPr="004F0A5F">
        <w:rPr>
          <w:b/>
          <w:sz w:val="24"/>
          <w:szCs w:val="24"/>
        </w:rPr>
        <w:t>FARMACEUTISKE OPLYSNINGER</w:t>
      </w:r>
    </w:p>
    <w:p w:rsidR="00D35802" w:rsidRPr="004F0A5F" w:rsidRDefault="00D35802" w:rsidP="00D35802">
      <w:pPr>
        <w:tabs>
          <w:tab w:val="left" w:pos="851"/>
        </w:tabs>
        <w:rPr>
          <w:b/>
          <w:sz w:val="24"/>
          <w:szCs w:val="24"/>
        </w:rPr>
      </w:pPr>
    </w:p>
    <w:p w:rsidR="00D35802" w:rsidRPr="004F0A5F" w:rsidRDefault="00D35802" w:rsidP="00D35802">
      <w:pPr>
        <w:numPr>
          <w:ilvl w:val="1"/>
          <w:numId w:val="5"/>
        </w:numPr>
        <w:rPr>
          <w:b/>
          <w:sz w:val="24"/>
          <w:szCs w:val="24"/>
        </w:rPr>
      </w:pPr>
      <w:r w:rsidRPr="004F0A5F">
        <w:rPr>
          <w:b/>
          <w:sz w:val="24"/>
          <w:szCs w:val="24"/>
        </w:rPr>
        <w:t>Hjælpestoffer</w:t>
      </w:r>
    </w:p>
    <w:p w:rsidR="00D35802" w:rsidRPr="004F0A5F" w:rsidRDefault="00D35802" w:rsidP="00D35802">
      <w:pPr>
        <w:tabs>
          <w:tab w:val="left" w:pos="0"/>
          <w:tab w:val="left" w:pos="851"/>
          <w:tab w:val="left" w:pos="2583"/>
        </w:tabs>
        <w:ind w:left="855"/>
        <w:rPr>
          <w:sz w:val="24"/>
          <w:szCs w:val="24"/>
        </w:rPr>
      </w:pPr>
    </w:p>
    <w:p w:rsidR="00D35802" w:rsidRPr="004F0A5F" w:rsidRDefault="00D35802" w:rsidP="00D35802">
      <w:pPr>
        <w:tabs>
          <w:tab w:val="left" w:pos="0"/>
          <w:tab w:val="left" w:pos="851"/>
          <w:tab w:val="left" w:pos="2583"/>
        </w:tabs>
        <w:ind w:left="850" w:hanging="850"/>
        <w:rPr>
          <w:spacing w:val="-3"/>
          <w:sz w:val="24"/>
          <w:szCs w:val="24"/>
          <w:u w:val="single"/>
        </w:rPr>
      </w:pPr>
      <w:r w:rsidRPr="004F0A5F">
        <w:rPr>
          <w:sz w:val="24"/>
          <w:szCs w:val="24"/>
        </w:rPr>
        <w:tab/>
      </w:r>
      <w:r w:rsidRPr="004F0A5F">
        <w:rPr>
          <w:spacing w:val="-3"/>
          <w:sz w:val="24"/>
          <w:szCs w:val="24"/>
          <w:u w:val="single"/>
        </w:rPr>
        <w:t>Tabletkerne</w:t>
      </w:r>
    </w:p>
    <w:p w:rsidR="00D35802" w:rsidRPr="004F0A5F" w:rsidRDefault="00D35802" w:rsidP="00D35802">
      <w:pPr>
        <w:tabs>
          <w:tab w:val="left" w:pos="0"/>
          <w:tab w:val="left" w:pos="851"/>
          <w:tab w:val="left" w:pos="2583"/>
        </w:tabs>
        <w:ind w:left="850" w:hanging="850"/>
        <w:rPr>
          <w:spacing w:val="-3"/>
          <w:sz w:val="24"/>
          <w:szCs w:val="24"/>
        </w:rPr>
      </w:pPr>
      <w:r w:rsidRPr="004F0A5F">
        <w:rPr>
          <w:i/>
          <w:spacing w:val="-3"/>
          <w:sz w:val="24"/>
          <w:szCs w:val="24"/>
        </w:rPr>
        <w:tab/>
      </w:r>
      <w:r w:rsidRPr="004F0A5F">
        <w:rPr>
          <w:spacing w:val="-3"/>
          <w:sz w:val="24"/>
          <w:szCs w:val="24"/>
        </w:rPr>
        <w:tab/>
        <w:t>Lactosemonohydrat</w:t>
      </w:r>
    </w:p>
    <w:p w:rsidR="00D35802" w:rsidRPr="004F0A5F" w:rsidRDefault="00D35802" w:rsidP="00D35802">
      <w:pPr>
        <w:tabs>
          <w:tab w:val="left" w:pos="0"/>
          <w:tab w:val="left" w:pos="851"/>
          <w:tab w:val="left" w:pos="2583"/>
        </w:tabs>
        <w:ind w:left="850" w:hanging="850"/>
        <w:rPr>
          <w:spacing w:val="-3"/>
          <w:sz w:val="24"/>
          <w:szCs w:val="24"/>
        </w:rPr>
      </w:pPr>
      <w:r w:rsidRPr="004F0A5F">
        <w:rPr>
          <w:spacing w:val="-3"/>
          <w:sz w:val="24"/>
          <w:szCs w:val="24"/>
        </w:rPr>
        <w:tab/>
        <w:t>Majsstivelse</w:t>
      </w:r>
    </w:p>
    <w:p w:rsidR="00D35802" w:rsidRPr="004F0A5F" w:rsidRDefault="00D35802" w:rsidP="00D35802">
      <w:pPr>
        <w:tabs>
          <w:tab w:val="left" w:pos="0"/>
          <w:tab w:val="left" w:pos="851"/>
          <w:tab w:val="left" w:pos="2583"/>
        </w:tabs>
        <w:ind w:left="850" w:hanging="850"/>
        <w:rPr>
          <w:spacing w:val="-3"/>
          <w:sz w:val="24"/>
          <w:szCs w:val="24"/>
        </w:rPr>
      </w:pPr>
      <w:r w:rsidRPr="004F0A5F">
        <w:rPr>
          <w:spacing w:val="-3"/>
          <w:sz w:val="24"/>
          <w:szCs w:val="24"/>
        </w:rPr>
        <w:tab/>
        <w:t>Povidon K30</w:t>
      </w:r>
    </w:p>
    <w:p w:rsidR="00D35802" w:rsidRPr="004F0A5F" w:rsidRDefault="00D35802" w:rsidP="00D35802">
      <w:pPr>
        <w:tabs>
          <w:tab w:val="left" w:pos="0"/>
          <w:tab w:val="left" w:pos="851"/>
          <w:tab w:val="left" w:pos="2583"/>
        </w:tabs>
        <w:ind w:left="850" w:hanging="850"/>
        <w:rPr>
          <w:spacing w:val="-3"/>
          <w:sz w:val="24"/>
          <w:szCs w:val="24"/>
        </w:rPr>
      </w:pPr>
      <w:r w:rsidRPr="004F0A5F">
        <w:rPr>
          <w:spacing w:val="-3"/>
          <w:sz w:val="24"/>
          <w:szCs w:val="24"/>
        </w:rPr>
        <w:tab/>
        <w:t>Stearinsyre</w:t>
      </w:r>
    </w:p>
    <w:p w:rsidR="00D35802" w:rsidRPr="004F0A5F" w:rsidRDefault="00D35802" w:rsidP="00D35802">
      <w:pPr>
        <w:tabs>
          <w:tab w:val="left" w:pos="0"/>
          <w:tab w:val="left" w:pos="851"/>
          <w:tab w:val="left" w:pos="2583"/>
        </w:tabs>
        <w:ind w:left="850" w:firstLine="1"/>
        <w:rPr>
          <w:spacing w:val="-3"/>
          <w:sz w:val="24"/>
          <w:szCs w:val="24"/>
        </w:rPr>
      </w:pPr>
      <w:r w:rsidRPr="004F0A5F">
        <w:rPr>
          <w:spacing w:val="-3"/>
          <w:sz w:val="24"/>
          <w:szCs w:val="24"/>
        </w:rPr>
        <w:t>α-Tocopherol, all-rac-</w:t>
      </w:r>
    </w:p>
    <w:p w:rsidR="00D35802" w:rsidRPr="004F0A5F" w:rsidRDefault="00D35802" w:rsidP="00D35802">
      <w:pPr>
        <w:tabs>
          <w:tab w:val="left" w:pos="0"/>
          <w:tab w:val="left" w:pos="851"/>
          <w:tab w:val="left" w:pos="2583"/>
        </w:tabs>
        <w:ind w:left="850" w:firstLine="1"/>
        <w:rPr>
          <w:spacing w:val="-3"/>
          <w:sz w:val="24"/>
          <w:szCs w:val="24"/>
        </w:rPr>
      </w:pPr>
      <w:r w:rsidRPr="004F0A5F">
        <w:rPr>
          <w:spacing w:val="-3"/>
          <w:sz w:val="24"/>
          <w:szCs w:val="24"/>
        </w:rPr>
        <w:t>Silica, kolloid vandfri</w:t>
      </w:r>
    </w:p>
    <w:p w:rsidR="00D35802" w:rsidRPr="004F0A5F" w:rsidRDefault="00D35802" w:rsidP="00D35802">
      <w:pPr>
        <w:tabs>
          <w:tab w:val="left" w:pos="0"/>
          <w:tab w:val="left" w:pos="851"/>
          <w:tab w:val="left" w:pos="2583"/>
        </w:tabs>
        <w:ind w:left="850" w:hanging="850"/>
        <w:rPr>
          <w:spacing w:val="-3"/>
          <w:sz w:val="24"/>
          <w:szCs w:val="24"/>
        </w:rPr>
      </w:pPr>
    </w:p>
    <w:p w:rsidR="00D35802" w:rsidRPr="004F0A5F" w:rsidRDefault="00D35802" w:rsidP="00D35802">
      <w:pPr>
        <w:tabs>
          <w:tab w:val="left" w:pos="851"/>
        </w:tabs>
        <w:ind w:left="851" w:hanging="851"/>
        <w:rPr>
          <w:spacing w:val="-3"/>
          <w:sz w:val="24"/>
          <w:szCs w:val="24"/>
        </w:rPr>
      </w:pPr>
      <w:r w:rsidRPr="004F0A5F">
        <w:rPr>
          <w:spacing w:val="-3"/>
          <w:sz w:val="24"/>
          <w:szCs w:val="24"/>
        </w:rPr>
        <w:tab/>
      </w:r>
      <w:r w:rsidRPr="004F0A5F">
        <w:rPr>
          <w:spacing w:val="-3"/>
          <w:sz w:val="24"/>
          <w:szCs w:val="24"/>
          <w:u w:val="single"/>
        </w:rPr>
        <w:t>Overtræk</w:t>
      </w:r>
    </w:p>
    <w:p w:rsidR="00D35802" w:rsidRPr="004F0A5F" w:rsidRDefault="00D35802" w:rsidP="00D35802">
      <w:pPr>
        <w:tabs>
          <w:tab w:val="left" w:pos="851"/>
        </w:tabs>
        <w:ind w:left="851" w:hanging="851"/>
        <w:rPr>
          <w:spacing w:val="-3"/>
          <w:sz w:val="24"/>
          <w:szCs w:val="24"/>
        </w:rPr>
      </w:pPr>
      <w:r w:rsidRPr="004F0A5F">
        <w:rPr>
          <w:spacing w:val="-3"/>
          <w:sz w:val="24"/>
          <w:szCs w:val="24"/>
        </w:rPr>
        <w:tab/>
        <w:t>Hypromellose</w:t>
      </w:r>
    </w:p>
    <w:p w:rsidR="00D35802" w:rsidRPr="004F0A5F" w:rsidRDefault="00D35802" w:rsidP="00D35802">
      <w:pPr>
        <w:tabs>
          <w:tab w:val="left" w:pos="851"/>
        </w:tabs>
        <w:ind w:left="851" w:hanging="851"/>
        <w:rPr>
          <w:sz w:val="24"/>
          <w:szCs w:val="24"/>
        </w:rPr>
      </w:pPr>
      <w:r w:rsidRPr="004F0A5F">
        <w:rPr>
          <w:spacing w:val="-3"/>
          <w:sz w:val="24"/>
          <w:szCs w:val="24"/>
        </w:rPr>
        <w:tab/>
        <w:t>Titandioxid (E171)</w:t>
      </w:r>
    </w:p>
    <w:p w:rsidR="00D35802" w:rsidRPr="004F0A5F" w:rsidRDefault="00D35802" w:rsidP="00D35802">
      <w:pPr>
        <w:tabs>
          <w:tab w:val="left" w:pos="851"/>
        </w:tabs>
        <w:ind w:left="851" w:hanging="851"/>
        <w:rPr>
          <w:spacing w:val="-3"/>
          <w:sz w:val="24"/>
          <w:szCs w:val="24"/>
        </w:rPr>
      </w:pPr>
      <w:r w:rsidRPr="004F0A5F">
        <w:rPr>
          <w:spacing w:val="-3"/>
          <w:sz w:val="24"/>
          <w:szCs w:val="24"/>
        </w:rPr>
        <w:tab/>
        <w:t xml:space="preserve">Macrogol </w:t>
      </w:r>
    </w:p>
    <w:p w:rsidR="00D35802" w:rsidRPr="004F0A5F" w:rsidRDefault="00D35802" w:rsidP="00D35802">
      <w:pPr>
        <w:tabs>
          <w:tab w:val="left" w:pos="851"/>
        </w:tabs>
        <w:ind w:left="851" w:hanging="851"/>
        <w:rPr>
          <w:spacing w:val="-3"/>
          <w:sz w:val="24"/>
          <w:szCs w:val="24"/>
        </w:rPr>
      </w:pPr>
      <w:r w:rsidRPr="004F0A5F">
        <w:rPr>
          <w:spacing w:val="-3"/>
          <w:sz w:val="24"/>
          <w:szCs w:val="24"/>
        </w:rPr>
        <w:tab/>
        <w:t>Polysorbat 80</w:t>
      </w:r>
    </w:p>
    <w:p w:rsidR="00D35802" w:rsidRDefault="00D35802" w:rsidP="00D35802">
      <w:pPr>
        <w:tabs>
          <w:tab w:val="left" w:pos="851"/>
        </w:tabs>
        <w:ind w:left="851" w:hanging="851"/>
        <w:rPr>
          <w:spacing w:val="-3"/>
          <w:sz w:val="24"/>
          <w:szCs w:val="24"/>
        </w:rPr>
      </w:pPr>
      <w:r w:rsidRPr="004F0A5F">
        <w:rPr>
          <w:spacing w:val="-3"/>
          <w:sz w:val="24"/>
          <w:szCs w:val="24"/>
        </w:rPr>
        <w:tab/>
      </w:r>
    </w:p>
    <w:p w:rsidR="00D35802" w:rsidRDefault="00D35802" w:rsidP="00D35802">
      <w:pPr>
        <w:rPr>
          <w:spacing w:val="-3"/>
          <w:sz w:val="24"/>
          <w:szCs w:val="24"/>
        </w:rPr>
      </w:pPr>
      <w:r>
        <w:rPr>
          <w:spacing w:val="-3"/>
          <w:sz w:val="24"/>
          <w:szCs w:val="24"/>
        </w:rPr>
        <w:br w:type="page"/>
      </w:r>
    </w:p>
    <w:p w:rsidR="00D35802" w:rsidRPr="004F0A5F" w:rsidRDefault="00D35802" w:rsidP="00D35802">
      <w:pPr>
        <w:tabs>
          <w:tab w:val="left" w:pos="851"/>
        </w:tabs>
        <w:ind w:left="851" w:hanging="851"/>
        <w:rPr>
          <w:sz w:val="24"/>
          <w:szCs w:val="24"/>
        </w:rPr>
      </w:pPr>
    </w:p>
    <w:p w:rsidR="00D35802" w:rsidRPr="004F0A5F" w:rsidRDefault="00D35802" w:rsidP="00D35802">
      <w:pPr>
        <w:numPr>
          <w:ilvl w:val="1"/>
          <w:numId w:val="5"/>
        </w:numPr>
        <w:rPr>
          <w:b/>
          <w:sz w:val="24"/>
          <w:szCs w:val="24"/>
        </w:rPr>
      </w:pPr>
      <w:r w:rsidRPr="004F0A5F">
        <w:rPr>
          <w:b/>
          <w:sz w:val="24"/>
          <w:szCs w:val="24"/>
        </w:rPr>
        <w:t>Uforligeligheder</w:t>
      </w:r>
    </w:p>
    <w:p w:rsidR="00D35802" w:rsidRPr="004F0A5F" w:rsidRDefault="00D35802" w:rsidP="00D35802">
      <w:pPr>
        <w:tabs>
          <w:tab w:val="left" w:pos="851"/>
        </w:tabs>
        <w:ind w:left="851" w:hanging="851"/>
        <w:rPr>
          <w:sz w:val="24"/>
          <w:szCs w:val="24"/>
        </w:rPr>
      </w:pPr>
      <w:r w:rsidRPr="004F0A5F">
        <w:rPr>
          <w:sz w:val="24"/>
          <w:szCs w:val="24"/>
        </w:rPr>
        <w:tab/>
      </w:r>
      <w:r w:rsidRPr="004F0A5F">
        <w:rPr>
          <w:spacing w:val="-3"/>
          <w:sz w:val="24"/>
          <w:szCs w:val="24"/>
        </w:rPr>
        <w:t>Ikke relevant.</w:t>
      </w:r>
    </w:p>
    <w:p w:rsidR="00D35802" w:rsidRPr="004F0A5F" w:rsidRDefault="00D35802" w:rsidP="00D35802">
      <w:pPr>
        <w:tabs>
          <w:tab w:val="left" w:pos="851"/>
        </w:tabs>
        <w:rPr>
          <w:sz w:val="24"/>
          <w:szCs w:val="24"/>
        </w:rPr>
      </w:pPr>
    </w:p>
    <w:p w:rsidR="00D35802" w:rsidRPr="004F0A5F" w:rsidRDefault="00D35802" w:rsidP="00D35802">
      <w:pPr>
        <w:numPr>
          <w:ilvl w:val="1"/>
          <w:numId w:val="5"/>
        </w:numPr>
        <w:rPr>
          <w:b/>
          <w:sz w:val="24"/>
          <w:szCs w:val="24"/>
        </w:rPr>
      </w:pPr>
      <w:r w:rsidRPr="004F0A5F">
        <w:rPr>
          <w:b/>
          <w:sz w:val="24"/>
          <w:szCs w:val="24"/>
        </w:rPr>
        <w:t>Opbevaringstid</w:t>
      </w:r>
    </w:p>
    <w:p w:rsidR="00D35802" w:rsidRPr="004F0A5F" w:rsidRDefault="00D35802" w:rsidP="00D35802">
      <w:pPr>
        <w:tabs>
          <w:tab w:val="left" w:pos="851"/>
        </w:tabs>
        <w:ind w:left="855"/>
        <w:rPr>
          <w:sz w:val="24"/>
          <w:szCs w:val="24"/>
        </w:rPr>
      </w:pPr>
      <w:r w:rsidRPr="004F0A5F">
        <w:rPr>
          <w:sz w:val="24"/>
          <w:szCs w:val="24"/>
        </w:rPr>
        <w:t>2 år.</w:t>
      </w:r>
    </w:p>
    <w:p w:rsidR="00D35802" w:rsidRPr="004F0A5F" w:rsidRDefault="00D35802" w:rsidP="00D35802">
      <w:pPr>
        <w:tabs>
          <w:tab w:val="left" w:pos="851"/>
        </w:tabs>
        <w:rPr>
          <w:sz w:val="24"/>
          <w:szCs w:val="24"/>
        </w:rPr>
      </w:pPr>
    </w:p>
    <w:p w:rsidR="00D35802" w:rsidRPr="004F0A5F" w:rsidRDefault="00D35802" w:rsidP="00D35802">
      <w:pPr>
        <w:numPr>
          <w:ilvl w:val="1"/>
          <w:numId w:val="5"/>
        </w:numPr>
        <w:rPr>
          <w:b/>
          <w:sz w:val="24"/>
          <w:szCs w:val="24"/>
        </w:rPr>
      </w:pPr>
      <w:r w:rsidRPr="004F0A5F">
        <w:rPr>
          <w:b/>
          <w:sz w:val="24"/>
          <w:szCs w:val="24"/>
        </w:rPr>
        <w:t>Særlige opbevaringsforhold</w:t>
      </w:r>
    </w:p>
    <w:p w:rsidR="00D35802" w:rsidRPr="004F0A5F" w:rsidRDefault="00D35802" w:rsidP="00D35802">
      <w:pPr>
        <w:tabs>
          <w:tab w:val="left" w:pos="851"/>
        </w:tabs>
        <w:ind w:left="855"/>
        <w:rPr>
          <w:sz w:val="24"/>
          <w:szCs w:val="24"/>
        </w:rPr>
      </w:pPr>
      <w:r w:rsidRPr="004F0A5F">
        <w:rPr>
          <w:noProof/>
          <w:sz w:val="24"/>
          <w:szCs w:val="24"/>
        </w:rPr>
        <w:t>Ingen særlige opbevaringsbetingelser.</w:t>
      </w:r>
    </w:p>
    <w:p w:rsidR="00D35802" w:rsidRPr="004F0A5F" w:rsidRDefault="00D35802" w:rsidP="00D35802">
      <w:pPr>
        <w:tabs>
          <w:tab w:val="left" w:pos="851"/>
        </w:tabs>
        <w:rPr>
          <w:sz w:val="24"/>
          <w:szCs w:val="24"/>
        </w:rPr>
      </w:pPr>
    </w:p>
    <w:p w:rsidR="00D35802" w:rsidRPr="004F0A5F" w:rsidRDefault="00D35802" w:rsidP="00D35802">
      <w:pPr>
        <w:numPr>
          <w:ilvl w:val="1"/>
          <w:numId w:val="5"/>
        </w:numPr>
        <w:rPr>
          <w:b/>
          <w:sz w:val="24"/>
          <w:szCs w:val="24"/>
        </w:rPr>
      </w:pPr>
      <w:r w:rsidRPr="004F0A5F">
        <w:rPr>
          <w:b/>
          <w:sz w:val="24"/>
          <w:szCs w:val="24"/>
        </w:rPr>
        <w:t>Emballagetyper og pakningsstørrelser</w:t>
      </w:r>
    </w:p>
    <w:p w:rsidR="00D35802" w:rsidRPr="004F0A5F" w:rsidRDefault="00D35802" w:rsidP="00D35802">
      <w:pPr>
        <w:tabs>
          <w:tab w:val="left" w:pos="851"/>
        </w:tabs>
        <w:ind w:left="855"/>
        <w:rPr>
          <w:spacing w:val="-3"/>
          <w:sz w:val="24"/>
          <w:szCs w:val="24"/>
        </w:rPr>
      </w:pPr>
      <w:r w:rsidRPr="004F0A5F">
        <w:rPr>
          <w:sz w:val="24"/>
          <w:szCs w:val="24"/>
        </w:rPr>
        <w:t>PVDC (</w:t>
      </w:r>
      <w:r>
        <w:rPr>
          <w:spacing w:val="-3"/>
          <w:sz w:val="24"/>
          <w:szCs w:val="24"/>
        </w:rPr>
        <w:t>PVC/PE/PVDC) blister</w:t>
      </w:r>
      <w:r w:rsidR="000A56F4">
        <w:rPr>
          <w:spacing w:val="-3"/>
          <w:sz w:val="24"/>
          <w:szCs w:val="24"/>
        </w:rPr>
        <w:t>.</w:t>
      </w:r>
    </w:p>
    <w:p w:rsidR="00D35802" w:rsidRPr="004F0A5F" w:rsidRDefault="00D35802" w:rsidP="00D35802">
      <w:pPr>
        <w:tabs>
          <w:tab w:val="left" w:pos="851"/>
        </w:tabs>
        <w:ind w:left="855"/>
        <w:rPr>
          <w:spacing w:val="-3"/>
          <w:sz w:val="24"/>
          <w:szCs w:val="24"/>
        </w:rPr>
      </w:pPr>
      <w:r w:rsidRPr="004F0A5F">
        <w:rPr>
          <w:spacing w:val="-3"/>
          <w:sz w:val="24"/>
          <w:szCs w:val="24"/>
        </w:rPr>
        <w:t xml:space="preserve">Hvert blisterkort er pakket separat i aluminiumlaminerede poser. </w:t>
      </w:r>
    </w:p>
    <w:p w:rsidR="00D35802" w:rsidRPr="004F0A5F" w:rsidRDefault="00D35802" w:rsidP="00D35802">
      <w:pPr>
        <w:tabs>
          <w:tab w:val="left" w:pos="851"/>
        </w:tabs>
        <w:ind w:left="855"/>
        <w:rPr>
          <w:spacing w:val="-3"/>
          <w:sz w:val="24"/>
          <w:szCs w:val="24"/>
        </w:rPr>
      </w:pPr>
      <w:r w:rsidRPr="004F0A5F">
        <w:rPr>
          <w:spacing w:val="-3"/>
          <w:sz w:val="24"/>
          <w:szCs w:val="24"/>
        </w:rPr>
        <w:t>Blisterkortene er forseglede i ’flow-pack’-poser.</w:t>
      </w:r>
    </w:p>
    <w:p w:rsidR="00D35802" w:rsidRPr="004F0A5F" w:rsidRDefault="00D35802" w:rsidP="00D35802">
      <w:pPr>
        <w:tabs>
          <w:tab w:val="left" w:pos="851"/>
        </w:tabs>
        <w:ind w:left="855"/>
        <w:rPr>
          <w:spacing w:val="-3"/>
          <w:sz w:val="24"/>
          <w:szCs w:val="24"/>
        </w:rPr>
      </w:pPr>
    </w:p>
    <w:p w:rsidR="00D35802" w:rsidRDefault="00D35802" w:rsidP="00D35802">
      <w:pPr>
        <w:tabs>
          <w:tab w:val="left" w:pos="851"/>
        </w:tabs>
        <w:ind w:left="855"/>
        <w:rPr>
          <w:spacing w:val="-3"/>
          <w:sz w:val="24"/>
          <w:szCs w:val="24"/>
        </w:rPr>
      </w:pPr>
      <w:r w:rsidRPr="004F0A5F">
        <w:rPr>
          <w:spacing w:val="-3"/>
          <w:sz w:val="24"/>
          <w:szCs w:val="24"/>
          <w:u w:val="single"/>
        </w:rPr>
        <w:t>Pakningsstørrelser</w:t>
      </w:r>
    </w:p>
    <w:p w:rsidR="00D35802" w:rsidRPr="004F0A5F" w:rsidRDefault="00D35802" w:rsidP="00D35802">
      <w:pPr>
        <w:tabs>
          <w:tab w:val="left" w:pos="851"/>
        </w:tabs>
        <w:ind w:left="855"/>
        <w:rPr>
          <w:spacing w:val="-3"/>
          <w:sz w:val="24"/>
          <w:szCs w:val="24"/>
        </w:rPr>
      </w:pPr>
      <w:r w:rsidRPr="004F0A5F">
        <w:rPr>
          <w:spacing w:val="-3"/>
          <w:sz w:val="24"/>
          <w:szCs w:val="24"/>
        </w:rPr>
        <w:t>Hver æske indeholder 1, 3, 6 eller 13 blisterkort med 28 tabletter hver.</w:t>
      </w:r>
    </w:p>
    <w:p w:rsidR="00D35802" w:rsidRPr="004F0A5F" w:rsidRDefault="00D35802" w:rsidP="00D35802">
      <w:pPr>
        <w:tabs>
          <w:tab w:val="left" w:pos="851"/>
        </w:tabs>
        <w:rPr>
          <w:sz w:val="24"/>
          <w:szCs w:val="24"/>
        </w:rPr>
      </w:pPr>
      <w:r w:rsidRPr="004F0A5F">
        <w:rPr>
          <w:spacing w:val="-3"/>
          <w:sz w:val="24"/>
          <w:szCs w:val="24"/>
        </w:rPr>
        <w:tab/>
      </w:r>
      <w:r w:rsidRPr="004F0A5F">
        <w:rPr>
          <w:sz w:val="24"/>
          <w:szCs w:val="24"/>
        </w:rPr>
        <w:t>Ikke alle pakningsstørrelser er nødvendigvis markedsført.</w:t>
      </w:r>
    </w:p>
    <w:p w:rsidR="00D35802" w:rsidRPr="004F0A5F" w:rsidRDefault="00D35802" w:rsidP="00D35802">
      <w:pPr>
        <w:tabs>
          <w:tab w:val="left" w:pos="851"/>
        </w:tabs>
        <w:rPr>
          <w:sz w:val="24"/>
          <w:szCs w:val="24"/>
        </w:rPr>
      </w:pPr>
    </w:p>
    <w:p w:rsidR="00D35802" w:rsidRPr="004F0A5F" w:rsidRDefault="00D35802" w:rsidP="00D35802">
      <w:pPr>
        <w:numPr>
          <w:ilvl w:val="1"/>
          <w:numId w:val="5"/>
        </w:numPr>
        <w:rPr>
          <w:b/>
          <w:sz w:val="24"/>
          <w:szCs w:val="24"/>
        </w:rPr>
      </w:pPr>
      <w:r w:rsidRPr="004F0A5F">
        <w:rPr>
          <w:b/>
          <w:sz w:val="24"/>
          <w:szCs w:val="24"/>
        </w:rPr>
        <w:t>Regler for destruktion og anden håndtering</w:t>
      </w:r>
    </w:p>
    <w:p w:rsidR="00D35802" w:rsidRPr="004F0A5F" w:rsidRDefault="00D35802" w:rsidP="00D35802">
      <w:pPr>
        <w:tabs>
          <w:tab w:val="left" w:pos="851"/>
        </w:tabs>
        <w:ind w:left="855"/>
        <w:rPr>
          <w:sz w:val="24"/>
          <w:szCs w:val="24"/>
        </w:rPr>
      </w:pPr>
      <w:r w:rsidRPr="004F0A5F">
        <w:rPr>
          <w:sz w:val="24"/>
          <w:szCs w:val="24"/>
        </w:rPr>
        <w:t>Ikke anvendte lægemidler samt affald heraf bør destrueres i henhold til lokale retningslinjer.</w:t>
      </w:r>
    </w:p>
    <w:p w:rsidR="00D35802" w:rsidRPr="004F0A5F" w:rsidRDefault="00D35802" w:rsidP="00D35802">
      <w:pPr>
        <w:rPr>
          <w:sz w:val="24"/>
          <w:szCs w:val="24"/>
        </w:rPr>
      </w:pPr>
    </w:p>
    <w:p w:rsidR="00D35802" w:rsidRPr="004F0A5F" w:rsidRDefault="00D35802" w:rsidP="00D35802">
      <w:pPr>
        <w:tabs>
          <w:tab w:val="left" w:pos="851"/>
        </w:tabs>
        <w:rPr>
          <w:b/>
          <w:sz w:val="24"/>
          <w:szCs w:val="24"/>
        </w:rPr>
      </w:pPr>
      <w:r w:rsidRPr="004F0A5F">
        <w:rPr>
          <w:b/>
          <w:sz w:val="24"/>
          <w:szCs w:val="24"/>
        </w:rPr>
        <w:t>7.</w:t>
      </w:r>
      <w:r w:rsidRPr="004F0A5F">
        <w:rPr>
          <w:b/>
          <w:sz w:val="24"/>
          <w:szCs w:val="24"/>
        </w:rPr>
        <w:tab/>
        <w:t>INDEHAVER AF MARKEDSFØRINGSTILLADELSEN</w:t>
      </w:r>
    </w:p>
    <w:p w:rsidR="00D35802" w:rsidRPr="004F0A5F" w:rsidRDefault="00D35802" w:rsidP="00D35802">
      <w:pPr>
        <w:tabs>
          <w:tab w:val="left" w:pos="851"/>
        </w:tabs>
        <w:ind w:left="855"/>
        <w:rPr>
          <w:sz w:val="24"/>
          <w:szCs w:val="24"/>
        </w:rPr>
      </w:pPr>
      <w:r w:rsidRPr="004F0A5F">
        <w:rPr>
          <w:sz w:val="24"/>
          <w:szCs w:val="24"/>
        </w:rPr>
        <w:t xml:space="preserve">Sandoz A/S </w:t>
      </w:r>
    </w:p>
    <w:p w:rsidR="00D35802" w:rsidRPr="004F0A5F" w:rsidRDefault="00D35802" w:rsidP="00D35802">
      <w:pPr>
        <w:tabs>
          <w:tab w:val="left" w:pos="851"/>
        </w:tabs>
        <w:ind w:left="855"/>
        <w:rPr>
          <w:sz w:val="24"/>
          <w:szCs w:val="24"/>
        </w:rPr>
      </w:pPr>
      <w:r w:rsidRPr="004F0A5F">
        <w:rPr>
          <w:sz w:val="24"/>
          <w:szCs w:val="24"/>
        </w:rPr>
        <w:t>Edvard Thomsens Vej 14</w:t>
      </w:r>
    </w:p>
    <w:p w:rsidR="00D35802" w:rsidRPr="004F0A5F" w:rsidRDefault="00D35802" w:rsidP="00D35802">
      <w:pPr>
        <w:tabs>
          <w:tab w:val="left" w:pos="851"/>
        </w:tabs>
        <w:ind w:left="855"/>
        <w:rPr>
          <w:sz w:val="24"/>
          <w:szCs w:val="24"/>
        </w:rPr>
      </w:pPr>
      <w:r w:rsidRPr="004F0A5F">
        <w:rPr>
          <w:sz w:val="24"/>
          <w:szCs w:val="24"/>
        </w:rPr>
        <w:t>2300 København S</w:t>
      </w:r>
    </w:p>
    <w:p w:rsidR="00D35802" w:rsidRPr="004F0A5F" w:rsidRDefault="00D35802" w:rsidP="00D35802">
      <w:pPr>
        <w:tabs>
          <w:tab w:val="left" w:pos="851"/>
        </w:tabs>
        <w:rPr>
          <w:sz w:val="24"/>
          <w:szCs w:val="24"/>
        </w:rPr>
      </w:pPr>
    </w:p>
    <w:p w:rsidR="00D35802" w:rsidRPr="004F0A5F" w:rsidRDefault="00D35802" w:rsidP="00D35802">
      <w:pPr>
        <w:tabs>
          <w:tab w:val="left" w:pos="851"/>
        </w:tabs>
        <w:rPr>
          <w:b/>
          <w:sz w:val="24"/>
          <w:szCs w:val="24"/>
        </w:rPr>
      </w:pPr>
      <w:r w:rsidRPr="004F0A5F">
        <w:rPr>
          <w:b/>
          <w:sz w:val="24"/>
          <w:szCs w:val="24"/>
        </w:rPr>
        <w:t>8.</w:t>
      </w:r>
      <w:r w:rsidRPr="004F0A5F">
        <w:rPr>
          <w:b/>
          <w:sz w:val="24"/>
          <w:szCs w:val="24"/>
        </w:rPr>
        <w:tab/>
        <w:t>MARKEDSFØRINGSTILLADELSESNUMMER (NUMRE)</w:t>
      </w:r>
    </w:p>
    <w:p w:rsidR="00D35802" w:rsidRPr="004F0A5F" w:rsidRDefault="00D35802" w:rsidP="00D35802">
      <w:pPr>
        <w:tabs>
          <w:tab w:val="left" w:pos="851"/>
        </w:tabs>
        <w:ind w:left="851" w:hanging="851"/>
        <w:rPr>
          <w:sz w:val="24"/>
          <w:szCs w:val="24"/>
        </w:rPr>
      </w:pPr>
      <w:r w:rsidRPr="004F0A5F">
        <w:rPr>
          <w:sz w:val="24"/>
          <w:szCs w:val="24"/>
        </w:rPr>
        <w:tab/>
        <w:t>47097</w:t>
      </w:r>
    </w:p>
    <w:p w:rsidR="00D35802" w:rsidRPr="004F0A5F" w:rsidRDefault="00D35802" w:rsidP="00D35802">
      <w:pPr>
        <w:tabs>
          <w:tab w:val="left" w:pos="851"/>
        </w:tabs>
        <w:jc w:val="both"/>
        <w:rPr>
          <w:sz w:val="24"/>
          <w:szCs w:val="24"/>
        </w:rPr>
      </w:pPr>
    </w:p>
    <w:p w:rsidR="00D35802" w:rsidRPr="004F0A5F" w:rsidRDefault="00D35802" w:rsidP="00D35802">
      <w:pPr>
        <w:tabs>
          <w:tab w:val="left" w:pos="851"/>
        </w:tabs>
        <w:rPr>
          <w:b/>
          <w:sz w:val="24"/>
          <w:szCs w:val="24"/>
        </w:rPr>
      </w:pPr>
      <w:r w:rsidRPr="004F0A5F">
        <w:rPr>
          <w:b/>
          <w:sz w:val="24"/>
          <w:szCs w:val="24"/>
        </w:rPr>
        <w:t>9.</w:t>
      </w:r>
      <w:r w:rsidRPr="004F0A5F">
        <w:rPr>
          <w:b/>
          <w:sz w:val="24"/>
          <w:szCs w:val="24"/>
        </w:rPr>
        <w:tab/>
        <w:t>DATO FOR FØRSTE MARKEDSFØRINGSTILLADELSE</w:t>
      </w:r>
    </w:p>
    <w:p w:rsidR="00D35802" w:rsidRPr="004F0A5F" w:rsidRDefault="00D35802" w:rsidP="00D35802">
      <w:pPr>
        <w:tabs>
          <w:tab w:val="left" w:pos="851"/>
        </w:tabs>
        <w:rPr>
          <w:sz w:val="24"/>
          <w:szCs w:val="24"/>
        </w:rPr>
      </w:pPr>
      <w:r w:rsidRPr="004F0A5F">
        <w:rPr>
          <w:sz w:val="24"/>
          <w:szCs w:val="24"/>
        </w:rPr>
        <w:tab/>
        <w:t>22. august 2011</w:t>
      </w:r>
    </w:p>
    <w:p w:rsidR="00D35802" w:rsidRPr="004F0A5F" w:rsidRDefault="00D35802" w:rsidP="00D35802">
      <w:pPr>
        <w:tabs>
          <w:tab w:val="left" w:pos="851"/>
        </w:tabs>
        <w:rPr>
          <w:sz w:val="24"/>
          <w:szCs w:val="24"/>
        </w:rPr>
      </w:pPr>
    </w:p>
    <w:p w:rsidR="00D35802" w:rsidRPr="004F0A5F" w:rsidRDefault="00D35802" w:rsidP="00D35802">
      <w:pPr>
        <w:tabs>
          <w:tab w:val="left" w:pos="851"/>
        </w:tabs>
        <w:rPr>
          <w:b/>
          <w:sz w:val="24"/>
          <w:szCs w:val="24"/>
        </w:rPr>
      </w:pPr>
      <w:r w:rsidRPr="004F0A5F">
        <w:rPr>
          <w:b/>
          <w:sz w:val="24"/>
          <w:szCs w:val="24"/>
        </w:rPr>
        <w:t>10.</w:t>
      </w:r>
      <w:r w:rsidRPr="004F0A5F">
        <w:rPr>
          <w:b/>
          <w:sz w:val="24"/>
          <w:szCs w:val="24"/>
        </w:rPr>
        <w:tab/>
        <w:t>DATO FOR ÆNDRING AF TEKSTEN</w:t>
      </w:r>
    </w:p>
    <w:p w:rsidR="009260DE" w:rsidRPr="00267ADC" w:rsidRDefault="00D35802" w:rsidP="00267ADC">
      <w:pPr>
        <w:tabs>
          <w:tab w:val="left" w:pos="851"/>
        </w:tabs>
        <w:rPr>
          <w:sz w:val="24"/>
          <w:szCs w:val="24"/>
        </w:rPr>
      </w:pPr>
      <w:r w:rsidRPr="004F0A5F">
        <w:rPr>
          <w:sz w:val="24"/>
          <w:szCs w:val="24"/>
        </w:rPr>
        <w:tab/>
      </w:r>
      <w:r w:rsidR="00267ADC">
        <w:rPr>
          <w:sz w:val="24"/>
          <w:szCs w:val="24"/>
        </w:rPr>
        <w:t>12. oktober 2020</w:t>
      </w:r>
      <w:bookmarkStart w:id="0" w:name="_GoBack"/>
      <w:bookmarkEnd w:id="0"/>
    </w:p>
    <w:sectPr w:rsidR="009260DE" w:rsidRPr="00267AD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802" w:rsidRDefault="00D35802">
      <w:r>
        <w:separator/>
      </w:r>
    </w:p>
  </w:endnote>
  <w:endnote w:type="continuationSeparator" w:id="0">
    <w:p w:rsidR="00D35802" w:rsidRDefault="00D3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A56F4">
      <w:rPr>
        <w:i/>
        <w:noProof/>
        <w:sz w:val="18"/>
        <w:szCs w:val="18"/>
      </w:rPr>
      <w:t>Desogestrel Sandoz, filmovertrukne tabletter 75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802" w:rsidRDefault="00D35802">
      <w:r>
        <w:separator/>
      </w:r>
    </w:p>
  </w:footnote>
  <w:footnote w:type="continuationSeparator" w:id="0">
    <w:p w:rsidR="00D35802" w:rsidRDefault="00D35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EFA48D0"/>
    <w:multiLevelType w:val="singleLevel"/>
    <w:tmpl w:val="04060001"/>
    <w:lvl w:ilvl="0">
      <w:start w:val="1"/>
      <w:numFmt w:val="bullet"/>
      <w:lvlText w:val=""/>
      <w:lvlJc w:val="left"/>
      <w:pPr>
        <w:tabs>
          <w:tab w:val="num" w:pos="720"/>
        </w:tabs>
        <w:ind w:left="720" w:hanging="360"/>
      </w:pPr>
      <w:rPr>
        <w:rFonts w:ascii="Symbol" w:hAnsi="Symbo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02"/>
    <w:rsid w:val="000259B9"/>
    <w:rsid w:val="00041491"/>
    <w:rsid w:val="00050D16"/>
    <w:rsid w:val="00074F2A"/>
    <w:rsid w:val="000A1CA8"/>
    <w:rsid w:val="000A466B"/>
    <w:rsid w:val="000A56F4"/>
    <w:rsid w:val="000B058C"/>
    <w:rsid w:val="000E4EE6"/>
    <w:rsid w:val="001454E2"/>
    <w:rsid w:val="00206CE8"/>
    <w:rsid w:val="0021526C"/>
    <w:rsid w:val="00267ADC"/>
    <w:rsid w:val="00283A2B"/>
    <w:rsid w:val="002A40F5"/>
    <w:rsid w:val="002B30AD"/>
    <w:rsid w:val="002C2C01"/>
    <w:rsid w:val="003A29AE"/>
    <w:rsid w:val="003A32D7"/>
    <w:rsid w:val="003A48FC"/>
    <w:rsid w:val="003B4074"/>
    <w:rsid w:val="003C769A"/>
    <w:rsid w:val="003F1838"/>
    <w:rsid w:val="0045746C"/>
    <w:rsid w:val="0049104B"/>
    <w:rsid w:val="004E3B12"/>
    <w:rsid w:val="00532310"/>
    <w:rsid w:val="00560BED"/>
    <w:rsid w:val="00560ECC"/>
    <w:rsid w:val="00565F0F"/>
    <w:rsid w:val="00594A86"/>
    <w:rsid w:val="00596D86"/>
    <w:rsid w:val="005E3905"/>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D772F"/>
    <w:rsid w:val="00C36276"/>
    <w:rsid w:val="00C42586"/>
    <w:rsid w:val="00C57F18"/>
    <w:rsid w:val="00C60CCD"/>
    <w:rsid w:val="00C84483"/>
    <w:rsid w:val="00C95551"/>
    <w:rsid w:val="00CB20D7"/>
    <w:rsid w:val="00D020B0"/>
    <w:rsid w:val="00D11748"/>
    <w:rsid w:val="00D35802"/>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B9932BE"/>
  <w15:chartTrackingRefBased/>
  <w15:docId w15:val="{C9E26E88-BB31-4967-9161-CC12732A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Indent1">
    <w:name w:val="Indent1"/>
    <w:basedOn w:val="Normal"/>
    <w:link w:val="Indent1Char"/>
    <w:rsid w:val="00D35802"/>
    <w:pPr>
      <w:spacing w:after="120" w:line="300" w:lineRule="atLeast"/>
      <w:ind w:left="709"/>
    </w:pPr>
    <w:rPr>
      <w:rFonts w:ascii="Arial" w:hAnsi="Arial"/>
      <w:sz w:val="22"/>
      <w:lang w:val="en-GB"/>
    </w:rPr>
  </w:style>
  <w:style w:type="character" w:customStyle="1" w:styleId="Indent1Char">
    <w:name w:val="Indent1 Char"/>
    <w:basedOn w:val="Standardskrifttypeiafsnit"/>
    <w:link w:val="Indent1"/>
    <w:rsid w:val="00D35802"/>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12</Pages>
  <Words>3505</Words>
  <Characters>23364</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2020000933 var 17 prac anbefaling</dc:description>
  <cp:lastModifiedBy>Hanne Thy Iversen</cp:lastModifiedBy>
  <cp:revision>4</cp:revision>
  <cp:lastPrinted>2020-10-12T13:13:00Z</cp:lastPrinted>
  <dcterms:created xsi:type="dcterms:W3CDTF">2020-03-30T23:45:00Z</dcterms:created>
  <dcterms:modified xsi:type="dcterms:W3CDTF">2020-10-12T13:14:00Z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