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2E239A2B" w:rsidR="009260DE" w:rsidRPr="00FA2D09" w:rsidRDefault="009260DE" w:rsidP="009260DE">
      <w:pPr>
        <w:pStyle w:val="Titel"/>
        <w:tabs>
          <w:tab w:val="right" w:pos="9356"/>
        </w:tabs>
        <w:jc w:val="left"/>
        <w:rPr>
          <w:b w:val="0"/>
          <w:szCs w:val="24"/>
          <w:lang w:eastAsia="en-US"/>
        </w:rPr>
      </w:pPr>
      <w:r w:rsidRPr="0099172B">
        <w:rPr>
          <w:b w:val="0"/>
          <w:szCs w:val="24"/>
          <w:lang w:eastAsia="en-US"/>
        </w:rPr>
        <w:tab/>
      </w:r>
      <w:r w:rsidR="00CB21E2">
        <w:rPr>
          <w:szCs w:val="24"/>
        </w:rPr>
        <w:t>30. juli 2026</w:t>
      </w:r>
    </w:p>
    <w:p w14:paraId="79563976" w14:textId="77777777" w:rsidR="009260DE" w:rsidRPr="00FA2D09" w:rsidRDefault="009260DE" w:rsidP="009260DE">
      <w:pPr>
        <w:pStyle w:val="Titel"/>
        <w:tabs>
          <w:tab w:val="left" w:pos="8222"/>
        </w:tabs>
        <w:jc w:val="left"/>
        <w:rPr>
          <w:b w:val="0"/>
          <w:szCs w:val="24"/>
        </w:rPr>
      </w:pPr>
    </w:p>
    <w:p w14:paraId="7BE769FC" w14:textId="77777777" w:rsidR="009260DE" w:rsidRPr="00FA2D09" w:rsidRDefault="009260DE" w:rsidP="009260DE">
      <w:pPr>
        <w:pStyle w:val="Titel"/>
        <w:jc w:val="left"/>
        <w:rPr>
          <w:b w:val="0"/>
          <w:szCs w:val="24"/>
        </w:rPr>
      </w:pPr>
    </w:p>
    <w:p w14:paraId="77D9EE24" w14:textId="77777777" w:rsidR="009260DE" w:rsidRPr="00FA2D09" w:rsidRDefault="009260DE" w:rsidP="009260DE">
      <w:pPr>
        <w:pStyle w:val="Titel"/>
        <w:jc w:val="left"/>
        <w:rPr>
          <w:b w:val="0"/>
          <w:szCs w:val="24"/>
        </w:rPr>
      </w:pPr>
    </w:p>
    <w:p w14:paraId="7E91D62F" w14:textId="77777777" w:rsidR="009260DE" w:rsidRPr="00FA2D09" w:rsidRDefault="009260DE" w:rsidP="009260DE">
      <w:pPr>
        <w:jc w:val="center"/>
        <w:rPr>
          <w:b/>
          <w:sz w:val="24"/>
          <w:szCs w:val="24"/>
        </w:rPr>
      </w:pPr>
      <w:r w:rsidRPr="00FA2D09">
        <w:rPr>
          <w:b/>
          <w:sz w:val="24"/>
          <w:szCs w:val="24"/>
        </w:rPr>
        <w:t>PRODUKTRESUMÉ</w:t>
      </w:r>
    </w:p>
    <w:p w14:paraId="3BD2B3B3" w14:textId="77777777" w:rsidR="009260DE" w:rsidRPr="00FA2D09" w:rsidRDefault="009260DE" w:rsidP="009260DE">
      <w:pPr>
        <w:jc w:val="center"/>
        <w:rPr>
          <w:b/>
          <w:sz w:val="24"/>
          <w:szCs w:val="24"/>
        </w:rPr>
      </w:pPr>
    </w:p>
    <w:p w14:paraId="1D449FCA" w14:textId="77777777" w:rsidR="009260DE" w:rsidRPr="00FA2D09" w:rsidRDefault="009260DE" w:rsidP="009260DE">
      <w:pPr>
        <w:jc w:val="center"/>
        <w:rPr>
          <w:b/>
          <w:sz w:val="24"/>
          <w:szCs w:val="24"/>
        </w:rPr>
      </w:pPr>
      <w:r w:rsidRPr="00FA2D09">
        <w:rPr>
          <w:b/>
          <w:sz w:val="24"/>
          <w:szCs w:val="24"/>
        </w:rPr>
        <w:t>for</w:t>
      </w:r>
    </w:p>
    <w:p w14:paraId="6CB2BFFA" w14:textId="77777777" w:rsidR="000B058C" w:rsidRPr="00FA2D09" w:rsidRDefault="000B058C" w:rsidP="009260DE">
      <w:pPr>
        <w:jc w:val="center"/>
        <w:rPr>
          <w:b/>
          <w:sz w:val="24"/>
          <w:szCs w:val="24"/>
        </w:rPr>
      </w:pPr>
    </w:p>
    <w:p w14:paraId="207BD17C" w14:textId="2B019F53" w:rsidR="009260DE" w:rsidRPr="00FA2D09" w:rsidRDefault="00FA2D09" w:rsidP="009260DE">
      <w:pPr>
        <w:jc w:val="center"/>
        <w:rPr>
          <w:b/>
          <w:sz w:val="24"/>
          <w:szCs w:val="24"/>
        </w:rPr>
      </w:pPr>
      <w:r w:rsidRPr="00FA2D09">
        <w:rPr>
          <w:b/>
          <w:sz w:val="24"/>
          <w:szCs w:val="24"/>
        </w:rPr>
        <w:t>Devofaroz</w:t>
      </w:r>
      <w:r w:rsidR="00D61F32" w:rsidRPr="00FA2D09">
        <w:rPr>
          <w:b/>
          <w:sz w:val="24"/>
          <w:szCs w:val="24"/>
        </w:rPr>
        <w:t>, oral opløsning</w:t>
      </w:r>
    </w:p>
    <w:p w14:paraId="492038AB" w14:textId="77777777" w:rsidR="009260DE" w:rsidRPr="00FA2D09" w:rsidRDefault="009260DE" w:rsidP="009260DE">
      <w:pPr>
        <w:jc w:val="both"/>
        <w:rPr>
          <w:sz w:val="24"/>
          <w:szCs w:val="24"/>
        </w:rPr>
      </w:pPr>
    </w:p>
    <w:p w14:paraId="742AE1EB" w14:textId="77777777" w:rsidR="009260DE" w:rsidRPr="00FA2D09" w:rsidRDefault="009260DE" w:rsidP="009260DE">
      <w:pPr>
        <w:jc w:val="both"/>
        <w:rPr>
          <w:sz w:val="24"/>
          <w:szCs w:val="24"/>
        </w:rPr>
      </w:pPr>
    </w:p>
    <w:p w14:paraId="2C29E07F" w14:textId="77777777" w:rsidR="009260DE" w:rsidRPr="00FA2D09" w:rsidRDefault="009260DE" w:rsidP="009260DE">
      <w:pPr>
        <w:tabs>
          <w:tab w:val="left" w:pos="851"/>
        </w:tabs>
        <w:ind w:left="851" w:hanging="851"/>
        <w:rPr>
          <w:b/>
          <w:sz w:val="24"/>
          <w:szCs w:val="24"/>
        </w:rPr>
      </w:pPr>
      <w:r w:rsidRPr="00FA2D09">
        <w:rPr>
          <w:b/>
          <w:sz w:val="24"/>
          <w:szCs w:val="24"/>
        </w:rPr>
        <w:t>0.</w:t>
      </w:r>
      <w:r w:rsidRPr="00FA2D09">
        <w:rPr>
          <w:b/>
          <w:sz w:val="24"/>
          <w:szCs w:val="24"/>
        </w:rPr>
        <w:tab/>
        <w:t>D.SP.NR.</w:t>
      </w:r>
    </w:p>
    <w:p w14:paraId="5D961FCF" w14:textId="711D8E02" w:rsidR="009260DE" w:rsidRPr="0099172B" w:rsidRDefault="00D61F32" w:rsidP="009260DE">
      <w:pPr>
        <w:tabs>
          <w:tab w:val="left" w:pos="851"/>
        </w:tabs>
        <w:ind w:left="851"/>
        <w:rPr>
          <w:sz w:val="24"/>
          <w:szCs w:val="24"/>
        </w:rPr>
      </w:pPr>
      <w:r w:rsidRPr="0099172B">
        <w:rPr>
          <w:sz w:val="24"/>
          <w:szCs w:val="24"/>
        </w:rPr>
        <w:t>3448</w:t>
      </w:r>
      <w:r w:rsidR="00FA2D09">
        <w:rPr>
          <w:sz w:val="24"/>
          <w:szCs w:val="24"/>
        </w:rPr>
        <w:t>7</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49B0B72A" w:rsidR="009260DE" w:rsidRPr="0099172B" w:rsidRDefault="00FA2D09" w:rsidP="009260DE">
      <w:pPr>
        <w:tabs>
          <w:tab w:val="left" w:pos="851"/>
        </w:tabs>
        <w:ind w:left="851"/>
        <w:rPr>
          <w:sz w:val="24"/>
          <w:szCs w:val="24"/>
        </w:rPr>
      </w:pPr>
      <w:r>
        <w:rPr>
          <w:sz w:val="24"/>
          <w:szCs w:val="24"/>
        </w:rPr>
        <w:t>Devofaroz</w:t>
      </w:r>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vortioxetinhydrobromid svarende til 5 mg vortioxetin.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ethanol,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2401B4E5"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r w:rsidR="00FA2D09">
        <w:rPr>
          <w:sz w:val="24"/>
          <w:szCs w:val="24"/>
          <w:lang w:bidi="en-US"/>
        </w:rPr>
        <w:t>Devofaroz</w:t>
      </w:r>
      <w:r w:rsidRPr="0099172B">
        <w:rPr>
          <w:sz w:val="24"/>
          <w:szCs w:val="24"/>
          <w:lang w:bidi="en-US"/>
        </w:rPr>
        <w:t xml:space="preserve"> er 10 mg vortioxetin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Afhængigt af den enkelte patients respons kan denne dosis øges til maksimalt 20 mg vortioxetin en gang dagligt eller nedsættes til mindst 5 mg vortioxetin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En gradvis reduktion af dosis kan overvejes for at undgå forekomsten af seponeringssymptomer (se pkt. 4.8). Der er imidlertid ikke tilstrækkelige data til at give specifikke anbefalinger til et nedtrapningsskema for patienter, der behandles med vortioxetin.</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Den mindste virksomme dosis på 5 mg vortioxetin en gang dagligt bør altid anvendes som startdosis til patienter ≥ 65 år. Forsigtighed tilrådes ved behandling af patienter ≥ 65 år med doser over 10 mg vortioxetin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CYP-hæmmere</w:t>
      </w:r>
    </w:p>
    <w:p w14:paraId="28C7E5DE" w14:textId="77777777" w:rsidR="003C6DDD" w:rsidRPr="0099172B" w:rsidRDefault="003C6DDD" w:rsidP="003C6DDD">
      <w:pPr>
        <w:ind w:left="851"/>
        <w:rPr>
          <w:sz w:val="24"/>
          <w:szCs w:val="24"/>
          <w:lang w:bidi="en-US"/>
        </w:rPr>
      </w:pPr>
      <w:r w:rsidRPr="0099172B">
        <w:rPr>
          <w:sz w:val="24"/>
          <w:szCs w:val="24"/>
          <w:lang w:bidi="en-US"/>
        </w:rPr>
        <w:t>Afhængigt af den enkelte patients respons kan det overvejes at give en lavere dosis vortioxetin, ved samtidig behandling med potente CYP2D6-hæmmere (f.eks. bupropion, quinidin, fluoxetin, paroxetin)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Afhængigt af den enkelte patients respons kan det overvejes at justere dosis af vortioxetin, ved samtidig behandling med en bred CYP-induktor (f.eks. rifampicin, carbamazepin, phenytoin)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r w:rsidRPr="0099172B">
        <w:rPr>
          <w:sz w:val="24"/>
          <w:szCs w:val="24"/>
          <w:lang w:bidi="en-US"/>
        </w:rPr>
        <w:t>Vortioxetin bør ikke anvendes til pædiatriske patienter (under 18 år) med moderate til svære depressive episoder, da virkningen ikke er påvist (se pkt. 5.1). Vortioxetin</w:t>
      </w:r>
      <w:r w:rsidR="00452110">
        <w:rPr>
          <w:sz w:val="24"/>
          <w:szCs w:val="24"/>
          <w:lang w:bidi="en-US"/>
        </w:rPr>
        <w:t>s</w:t>
      </w:r>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4B7FDD99" w:rsidR="003C6DDD" w:rsidRPr="0099172B" w:rsidRDefault="00FA2D09" w:rsidP="003C6DDD">
      <w:pPr>
        <w:ind w:left="851"/>
        <w:rPr>
          <w:sz w:val="24"/>
          <w:szCs w:val="24"/>
          <w:lang w:bidi="en-US"/>
        </w:rPr>
      </w:pPr>
      <w:r>
        <w:rPr>
          <w:sz w:val="24"/>
          <w:szCs w:val="24"/>
          <w:lang w:bidi="en-US"/>
        </w:rPr>
        <w:t>Devofaroz</w:t>
      </w:r>
      <w:r w:rsidR="003C6DDD"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Samtidig anvendelse af ikke-selektive monoaminoxidasehæmmere (MAO-hæmmere) eller selektive MAO-A-hæmmere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5A7B2B24" w:rsidR="009D146D" w:rsidRPr="009D146D" w:rsidRDefault="00FA2D09" w:rsidP="003C6DDD">
      <w:pPr>
        <w:ind w:left="851"/>
        <w:rPr>
          <w:sz w:val="24"/>
          <w:szCs w:val="24"/>
        </w:rPr>
      </w:pPr>
      <w:r>
        <w:rPr>
          <w:sz w:val="24"/>
          <w:szCs w:val="24"/>
        </w:rPr>
        <w:t>Devofaroz</w:t>
      </w:r>
      <w:r w:rsidR="009D146D" w:rsidRPr="009D146D">
        <w:rPr>
          <w:sz w:val="24"/>
          <w:szCs w:val="24"/>
        </w:rPr>
        <w:t xml:space="preserve"> bør ikke anvendes til børn og unge i alderen 7 til 17 år med moderate til svære depressive episoder, da virkningen ikke er påvist (se pkt. 5.1). Generelt svarede vortioxetins bivirkningsprofil hos børn og unge til den, der ses hos voksne. Dog var der i pædiatriske patienter en hyppigere forekomst af hændelser med abdominalsmerter og specifikt hos unge en hyppigere forekomst af selvmordstanker sammenlignet med voksne (se pkt. 4.8 og 5.1). I kliniske studier med børn og unge, der blev behandlet med antidepressiva,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selvmordstanker eller for at forsøge at begå selvmord og bør følges tæt under behandlingen. En metaanalyse af placebokontrollerede kliniske studier med antidepressiva hos voksne patienter med psykiatriske lidelser viste en øget risiko for selvmordsrelateret adfærd hos patienter under 25 år, der blev behandlet med antidepressiva,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r w:rsidRPr="009D146D">
        <w:rPr>
          <w:sz w:val="24"/>
          <w:szCs w:val="24"/>
        </w:rPr>
        <w:t>Antidepressiva indebærer en potentiel risiko for krampeanfald. Derfor bør behandling med vortioxetin indledes med forsigtighed hos patienter med krampeanfald i anamnesen eller med ustabil epilepsi (se pkt. 4.5). Behandlingen skal seponeres hos patienter, der udvikler krampeanfald, eller som får en øget anfaldsfrekvens.</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r w:rsidRPr="009D146D">
        <w:rPr>
          <w:sz w:val="24"/>
          <w:szCs w:val="24"/>
          <w:u w:val="single"/>
        </w:rPr>
        <w:t>Serotonergt syndrom eller malignt neuroleptikasyndrom</w:t>
      </w:r>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 xml:space="preserve">Under behandling med vortioxetin kan der forekomme serotonergt syndrom eller malignt neuroleptikasyndrom, som er potentielt livstruende tilstande. Risikoen for disse syndromer </w:t>
      </w:r>
      <w:r w:rsidRPr="009D146D">
        <w:rPr>
          <w:sz w:val="24"/>
          <w:szCs w:val="24"/>
        </w:rPr>
        <w:lastRenderedPageBreak/>
        <w:t>øges ved samtidig anvendelse af serotonerge stoffer (herunder opioider og triptaner), lægemidler, der hæmmer serotonins metabolisme (herunder MAO-hæmmere), antipsykotika og andre dopaminantagonister.</w:t>
      </w:r>
    </w:p>
    <w:p w14:paraId="667B7047" w14:textId="77777777" w:rsidR="009D146D" w:rsidRPr="009D146D" w:rsidRDefault="009D146D" w:rsidP="003C6DDD">
      <w:pPr>
        <w:ind w:left="851"/>
        <w:rPr>
          <w:sz w:val="24"/>
          <w:szCs w:val="24"/>
        </w:rPr>
      </w:pPr>
      <w:r w:rsidRPr="009D146D">
        <w:rPr>
          <w:sz w:val="24"/>
          <w:szCs w:val="24"/>
        </w:rPr>
        <w:t>Patienterne bør kontrolleres for symptomer på serotonergt syndrom og malignt neuroleptikasyndrom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Symptomerne på et serotonergt syndrom omfatter ændringer i mental tilstand (f.eks. agitation, hallucinationer, koma), autonom ustabilitet (f.eks. takykardi, labilt blodtryk, hypertermi), neuromuskulære forstyrrelser (f.eks. hyperrefleksi, manglende koordination) og/eller gastrointestinale symptomer (f.eks. kvalme, opkastning, diarré). Hvis disse symptomer opstår, skal behandlingen med vortioxetin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Mani/hypomani</w:t>
      </w:r>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r w:rsidRPr="009D146D">
        <w:rPr>
          <w:sz w:val="24"/>
          <w:szCs w:val="24"/>
        </w:rPr>
        <w:t>Vortioxetin bør anvendes med forsigtighed til patienter med mani/hypomani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Patienter, der behandles med antidepressiva, herunder vortioxetin,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Blødningsforstyrrelser såsom ekkymose, purpura og andre blødningshændelser såsom gastrointestinal eller gynækologisk blødning er blevet indberettet i sjældne tilfælde i forbindelse med brug af antidepressiva med serotonerg virkning, herunder vortioxetin. SSRI/SNRI kan øge risikoen for postpartum blødning, og denne risiko kan potentielt også gælde for vortioxetin (se pkt. 4.6).</w:t>
      </w:r>
    </w:p>
    <w:p w14:paraId="002E13C2" w14:textId="77777777" w:rsidR="009D146D" w:rsidRPr="009D146D" w:rsidRDefault="009D146D" w:rsidP="003C6DDD">
      <w:pPr>
        <w:ind w:left="851"/>
        <w:rPr>
          <w:sz w:val="24"/>
          <w:szCs w:val="24"/>
        </w:rPr>
      </w:pPr>
      <w:r w:rsidRPr="009D146D">
        <w:rPr>
          <w:sz w:val="24"/>
          <w:szCs w:val="24"/>
        </w:rPr>
        <w:t>Forsigtighed tilrådes hos patienter, der tager antikoagulantia og/eller lægemidler med kendt påvirkning af trombocytfunktionen [f.eks. atypiske antipsykotika og phenothiaziner, de fleste tricykliske antidepressiva, non-steroide antiinflammatoriske lægemidler (NSAID), acetylsalicylsyre (ASA)] (se pkt. 4.5) samt hos patienter med blødningstendens/blødningsforstyrrelser.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r w:rsidRPr="009D146D">
        <w:rPr>
          <w:sz w:val="24"/>
          <w:szCs w:val="24"/>
          <w:u w:val="single"/>
        </w:rPr>
        <w:t>Hyponatriæmi</w:t>
      </w:r>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I forbindelse med brug af antidepressiva med serotonerg effekt (SSRI, SNRI) er der indberettet sjældne tilfælde af hyponatriæmi, som formentlig skyldes uhensigtsmæssig produktion af antidiuretisk hormon (SIADH-syndrom). Forsigtighed tilrådes hos patienter i risikogruppe såsom ældre, patienter med levercirrose eller patienter, der er i samtidig behandling med lægemidler, der kan forårsage hyponatriæmi.</w:t>
      </w:r>
    </w:p>
    <w:p w14:paraId="2E70D25A" w14:textId="77777777" w:rsidR="009D146D" w:rsidRPr="009D146D" w:rsidRDefault="009D146D" w:rsidP="003C6DDD">
      <w:pPr>
        <w:ind w:left="851"/>
        <w:rPr>
          <w:sz w:val="24"/>
          <w:szCs w:val="24"/>
        </w:rPr>
      </w:pPr>
      <w:r w:rsidRPr="009D146D">
        <w:rPr>
          <w:sz w:val="24"/>
          <w:szCs w:val="24"/>
        </w:rPr>
        <w:t>Det bør overvejes at seponere vortioxetin hos patienter med symptomatisk hyponatriæmi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r w:rsidRPr="009D146D">
        <w:rPr>
          <w:sz w:val="24"/>
          <w:szCs w:val="24"/>
          <w:u w:val="single"/>
        </w:rPr>
        <w:t>Glaukom</w:t>
      </w:r>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Der er indberettet mydriasis i forbindelse med brugen af antidepressiva, herunder vortioxetin. Denne pupiludvidende effekt kan potentielt medvirke til at indsnævre øjets vinkel, hvilket resulterer i forhøjet intraokulært tryk og vinkellukningsglaukom. Forsigtighed tilrådes ved ordination af vortioxetin til patienter med forhøjet intraokulært tryk eller med risiko for akut snævervinklet glaukom.</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380A68EB" w:rsidR="009D146D" w:rsidRPr="009D146D" w:rsidRDefault="009D146D" w:rsidP="003C6DDD">
      <w:pPr>
        <w:ind w:left="851"/>
        <w:rPr>
          <w:sz w:val="24"/>
          <w:szCs w:val="24"/>
        </w:rPr>
      </w:pPr>
      <w:r w:rsidRPr="009D146D">
        <w:rPr>
          <w:sz w:val="24"/>
          <w:szCs w:val="24"/>
        </w:rPr>
        <w:t xml:space="preserve">Der foreligger begrænsede data om anvendelse af </w:t>
      </w:r>
      <w:r w:rsidR="00FA2D09">
        <w:rPr>
          <w:sz w:val="24"/>
          <w:szCs w:val="24"/>
        </w:rPr>
        <w:t>Devofaroz</w:t>
      </w:r>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65 år med doser over 10 mg vortioxetin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6407C9AB"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r w:rsidR="00FA2D09">
        <w:rPr>
          <w:sz w:val="24"/>
          <w:szCs w:val="24"/>
        </w:rPr>
        <w:t>Devofaroz</w:t>
      </w:r>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712D2ED0" w:rsidR="009D146D" w:rsidRPr="009D146D" w:rsidRDefault="00FA2D09" w:rsidP="003C6DDD">
      <w:pPr>
        <w:ind w:left="851"/>
        <w:rPr>
          <w:sz w:val="24"/>
          <w:szCs w:val="24"/>
        </w:rPr>
      </w:pPr>
      <w:r>
        <w:rPr>
          <w:sz w:val="24"/>
          <w:szCs w:val="24"/>
          <w:u w:val="single"/>
        </w:rPr>
        <w:t>Devofaroz</w:t>
      </w:r>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r w:rsidRPr="009D146D">
        <w:rPr>
          <w:sz w:val="24"/>
          <w:szCs w:val="24"/>
        </w:rPr>
        <w:t>Vortioxetin metaboliseres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Andre lægemidlers potentielle påvirkning af vortioxetin</w:t>
      </w:r>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MAO-hæmmere</w:t>
      </w:r>
    </w:p>
    <w:p w14:paraId="66B4E768" w14:textId="77777777" w:rsidR="009D146D" w:rsidRPr="009D146D" w:rsidRDefault="009D146D" w:rsidP="003C6DDD">
      <w:pPr>
        <w:ind w:left="851"/>
        <w:rPr>
          <w:sz w:val="24"/>
          <w:szCs w:val="24"/>
        </w:rPr>
      </w:pPr>
      <w:r w:rsidRPr="009D146D">
        <w:rPr>
          <w:sz w:val="24"/>
          <w:szCs w:val="24"/>
        </w:rPr>
        <w:t>På grund af risikoen for serotonergt syndrom er vortioxetin kontraindiceret i enhver kombination med irreversible ikke-selektive MAO-hæmmere. Vortioxetin må ikke initieres før mindst 14 dage efter seponering af en irreversibel ikke-</w:t>
      </w:r>
      <w:proofErr w:type="gramStart"/>
      <w:r w:rsidRPr="009D146D">
        <w:rPr>
          <w:sz w:val="24"/>
          <w:szCs w:val="24"/>
        </w:rPr>
        <w:t>selektiv</w:t>
      </w:r>
      <w:proofErr w:type="gramEnd"/>
      <w:r w:rsidRPr="009D146D">
        <w:rPr>
          <w:sz w:val="24"/>
          <w:szCs w:val="24"/>
        </w:rPr>
        <w:t xml:space="preserve"> MAO-hæmmer. Vortioxetin skal seponeres mindst 14 dage før start på behandling med en irreversibel, ikke-</w:t>
      </w:r>
      <w:proofErr w:type="gramStart"/>
      <w:r w:rsidRPr="009D146D">
        <w:rPr>
          <w:sz w:val="24"/>
          <w:szCs w:val="24"/>
        </w:rPr>
        <w:t>selektiv</w:t>
      </w:r>
      <w:proofErr w:type="gramEnd"/>
      <w:r w:rsidRPr="009D146D">
        <w:rPr>
          <w:sz w:val="24"/>
          <w:szCs w:val="24"/>
        </w:rPr>
        <w:t xml:space="preserve">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(moclobemid)</w:t>
      </w:r>
    </w:p>
    <w:p w14:paraId="3CF9DDAC" w14:textId="77777777" w:rsidR="009D146D" w:rsidRPr="009D146D" w:rsidRDefault="009D146D" w:rsidP="003C6DDD">
      <w:pPr>
        <w:ind w:left="851"/>
        <w:rPr>
          <w:sz w:val="24"/>
          <w:szCs w:val="24"/>
        </w:rPr>
      </w:pPr>
      <w:r w:rsidRPr="009D146D">
        <w:rPr>
          <w:sz w:val="24"/>
          <w:szCs w:val="24"/>
        </w:rPr>
        <w:t>Kombination af vortioxetin med en reversibel og selektiv MAO-A-hæmmer som moclobemid er kontraindiceret (se pkt. 4.3). Hvis kombination er nødvendig, skal det tillagte lægemiddel gives i mindste dosering og under tæt klinisk monitorering for serotonergt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w:t>
      </w:r>
      <w:proofErr w:type="gramStart"/>
      <w:r w:rsidRPr="009D146D">
        <w:rPr>
          <w:i/>
          <w:sz w:val="24"/>
          <w:szCs w:val="24"/>
        </w:rPr>
        <w:t>selektiv</w:t>
      </w:r>
      <w:proofErr w:type="gramEnd"/>
      <w:r w:rsidRPr="009D146D">
        <w:rPr>
          <w:i/>
          <w:sz w:val="24"/>
          <w:szCs w:val="24"/>
        </w:rPr>
        <w:t xml:space="preserve"> MAO-hæmmer (linezolid)</w:t>
      </w:r>
    </w:p>
    <w:p w14:paraId="2C6D03C2" w14:textId="77777777" w:rsidR="009D146D" w:rsidRPr="009D146D" w:rsidRDefault="009D146D" w:rsidP="003C6DDD">
      <w:pPr>
        <w:ind w:left="851"/>
        <w:rPr>
          <w:sz w:val="24"/>
          <w:szCs w:val="24"/>
        </w:rPr>
      </w:pPr>
      <w:r w:rsidRPr="009D146D">
        <w:rPr>
          <w:sz w:val="24"/>
          <w:szCs w:val="24"/>
        </w:rPr>
        <w:t>Kombination af vortioxetin med en svag reversibel, ikke-</w:t>
      </w:r>
      <w:proofErr w:type="gramStart"/>
      <w:r w:rsidRPr="009D146D">
        <w:rPr>
          <w:sz w:val="24"/>
          <w:szCs w:val="24"/>
        </w:rPr>
        <w:t>selektiv</w:t>
      </w:r>
      <w:proofErr w:type="gramEnd"/>
      <w:r w:rsidRPr="009D146D">
        <w:rPr>
          <w:sz w:val="24"/>
          <w:szCs w:val="24"/>
        </w:rPr>
        <w:t xml:space="preserve"> MAO-hæmmer som antibiotikummet linezolid er kontraindiceret (se pkt. 4.3). Hvis kombination er nødvendig, skal det tillagte lægemiddel gives i mindste dosering og under tæt klinisk monitorering for serotonergt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MAO-B-hæmmere (selegilin, rasagilin)</w:t>
      </w:r>
    </w:p>
    <w:p w14:paraId="4FCBFE0A" w14:textId="77777777" w:rsidR="009D146D" w:rsidRPr="009D146D" w:rsidRDefault="009D146D" w:rsidP="003C6DDD">
      <w:pPr>
        <w:ind w:left="851"/>
        <w:rPr>
          <w:sz w:val="24"/>
          <w:szCs w:val="24"/>
        </w:rPr>
      </w:pPr>
      <w:r w:rsidRPr="009D146D">
        <w:rPr>
          <w:sz w:val="24"/>
          <w:szCs w:val="24"/>
        </w:rPr>
        <w:t>Selv om risikoen for serotonergt syndrom forventes at være lavere med selektive MAO-B-hæmmere end med MAO-A-hæmmere, skal der udvises forsigtighed ved kombination af vortioxetin og irreversible MAO-B-hæmmere såsom selegilin og rasagilin. Tæt monitorering for serotonergt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r w:rsidRPr="009D146D">
        <w:rPr>
          <w:i/>
          <w:sz w:val="24"/>
          <w:szCs w:val="24"/>
        </w:rPr>
        <w:t>Serotonerge lægemidler</w:t>
      </w:r>
    </w:p>
    <w:p w14:paraId="26E501B0" w14:textId="77777777" w:rsidR="009D146D" w:rsidRPr="009D146D" w:rsidRDefault="009D146D" w:rsidP="003C6DDD">
      <w:pPr>
        <w:ind w:left="851"/>
        <w:rPr>
          <w:sz w:val="24"/>
          <w:szCs w:val="24"/>
        </w:rPr>
      </w:pPr>
      <w:r w:rsidRPr="009D146D">
        <w:rPr>
          <w:sz w:val="24"/>
          <w:szCs w:val="24"/>
        </w:rPr>
        <w:t>Samtidig behandling med serotonerge lægemidler f.eks. opioider (herunder tramadol) og triptaner (herunder sumatriptan), kan medføre serotonergt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Samtidig brug af antidepressiva med serotonerg virkning og naturlægemidler, der indeholder perikon (</w:t>
      </w:r>
      <w:r w:rsidRPr="009D146D">
        <w:rPr>
          <w:i/>
          <w:sz w:val="24"/>
          <w:szCs w:val="24"/>
        </w:rPr>
        <w:t>Hypericum perforatum</w:t>
      </w:r>
      <w:r w:rsidRPr="009D146D">
        <w:rPr>
          <w:sz w:val="24"/>
          <w:szCs w:val="24"/>
        </w:rPr>
        <w:t>), kan medføre en øget forekomst af bivirkninger inklusive serotonergt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r w:rsidRPr="009D146D">
        <w:rPr>
          <w:sz w:val="24"/>
          <w:szCs w:val="24"/>
        </w:rPr>
        <w:t>Antidepressiva med serotonerg virkning kan sænke krampetærsklen. Forsigtighed tilrådes ved samtidig brug af andre lægemidler, der kan sænke krampetærsklen [f.eks. antidepressiva (tricykliske, SSRI eller SNRI), antipsykotika (phenothiaziner, thioxanthener og butyrophenoner), mefloquin, bupropion og tramadol]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r w:rsidRPr="009D146D">
        <w:rPr>
          <w:i/>
          <w:sz w:val="24"/>
          <w:szCs w:val="24"/>
        </w:rPr>
        <w:t>Elektrokonvulsiv terapi (ECT)</w:t>
      </w:r>
    </w:p>
    <w:p w14:paraId="1DFE2EDB" w14:textId="77777777" w:rsidR="009D146D" w:rsidRPr="009D146D" w:rsidRDefault="009D146D" w:rsidP="003C6DDD">
      <w:pPr>
        <w:ind w:left="851"/>
        <w:rPr>
          <w:sz w:val="24"/>
          <w:szCs w:val="24"/>
        </w:rPr>
      </w:pPr>
      <w:r w:rsidRPr="009D146D">
        <w:rPr>
          <w:sz w:val="24"/>
          <w:szCs w:val="24"/>
        </w:rPr>
        <w:t>Der er ingen klinisk erfaring med ECT og samtidig administration af vortioxetin.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Eksponeringen for vortioxetin steg med faktor 2,3 målt som areal under kurven (AUC) ved samtidig administration af vortioxetin 10 mg/dag og bupropion (en potent CYP2D6-hæmmer) 150 mg to gange dagligt i 14 dage hos raske forsøgspersoner. Co-administration resulterede i en højere forekomst af bivirkninger, når bupropion blev føjet til vortioxetin, end når vortioxetin blev føjet til bupropion.</w:t>
      </w:r>
    </w:p>
    <w:p w14:paraId="5DA3CA48" w14:textId="77777777" w:rsidR="003C6DDD" w:rsidRPr="0099172B" w:rsidRDefault="009D146D" w:rsidP="003C6DDD">
      <w:pPr>
        <w:ind w:left="851"/>
        <w:rPr>
          <w:sz w:val="24"/>
          <w:szCs w:val="24"/>
        </w:rPr>
      </w:pPr>
      <w:r w:rsidRPr="009D146D">
        <w:rPr>
          <w:sz w:val="24"/>
          <w:szCs w:val="24"/>
        </w:rPr>
        <w:t>Afhængigt af den enkelte patients respons kan det overvejes at give en lavere dosis vortioxetin ved tilføjelse af potente CYP2D6-hæmmere (f.eks. bupropion, quinidin, fluoxetin, paroxetin) til behandling med vortioxetin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200F2FB9" w:rsidR="009D146D" w:rsidRPr="009D146D" w:rsidRDefault="009D146D" w:rsidP="003C6DDD">
      <w:pPr>
        <w:ind w:left="851"/>
        <w:rPr>
          <w:sz w:val="24"/>
          <w:szCs w:val="24"/>
        </w:rPr>
      </w:pPr>
      <w:r w:rsidRPr="009D146D">
        <w:rPr>
          <w:sz w:val="24"/>
          <w:szCs w:val="24"/>
        </w:rPr>
        <w:t>Når vortioxetin blev tilføjet efter administration af ketoconazol (en CYP3A4/5- og P-glykoprotein-hæmmer) 400 mg/dag i 6 dage eller af fluconazol (en CYP2C9-, CYP2C19- og CYP3A4/5-hæmmer) 200 mg/dag i 6 dage til raske forsøgspersoner, observeredes en stigning på henholdsvis faktor 1,3 og 1,5 i AUC for vortioxetin.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Der sås ingen hæmmende virkning af 40 mg omeprazol (CYP2C19-hæmmer) som enkeltdosis på vortioxetins farmakokinetiske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01A68D79" w:rsidR="009D146D" w:rsidRPr="009D146D" w:rsidRDefault="009D146D" w:rsidP="003C6DDD">
      <w:pPr>
        <w:ind w:left="851"/>
        <w:rPr>
          <w:sz w:val="24"/>
          <w:szCs w:val="24"/>
        </w:rPr>
      </w:pPr>
      <w:r w:rsidRPr="009D146D">
        <w:rPr>
          <w:sz w:val="24"/>
          <w:szCs w:val="24"/>
        </w:rPr>
        <w:t xml:space="preserve">Samtidig administration af potente CYP3A4-hæmmere (såsom itraconazol, voriconazol, clarithromycin, telithromycin, nefazodon, conivaptan og mange HIV-proteasehæmmere) og CYP2C9-hæmmere (såsom fluconazol og amiodaron) til patienter med nedsat </w:t>
      </w:r>
      <w:r w:rsidRPr="009D146D">
        <w:rPr>
          <w:sz w:val="24"/>
          <w:szCs w:val="24"/>
        </w:rPr>
        <w:lastRenderedPageBreak/>
        <w:t>CYP2D6-metabolisme (se pkt.</w:t>
      </w:r>
      <w:r w:rsidR="0099172B">
        <w:rPr>
          <w:sz w:val="24"/>
          <w:szCs w:val="24"/>
        </w:rPr>
        <w:t xml:space="preserve"> </w:t>
      </w:r>
      <w:r w:rsidRPr="009D146D">
        <w:rPr>
          <w:sz w:val="24"/>
          <w:szCs w:val="24"/>
        </w:rPr>
        <w:t>5.2) er ikke undersøgt specifikt, men forventes at føre til en betydeligt øget eksponering for vortioxetin hos denne patientgruppe sammenlignet med den moderate effekt beskrevet ovenfor. Afhængigt af den enkelte patients respons kan det overvejes at give en lavere dosis vortioxetin,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Når en enkelt dosis på 20 mg vortioxetin blev tilføjet efter administration af rifampicin (en bred induktor af CYP-isoenzymer) 600 mg/dag i 10 dage til raske forsøgspersoner, observeredes en formindskelse på 72 % i AUC for vortioxetin. Afhængigt af den enkelte patients respons kan det overvejes at justere dosis af vortioxetin, hvis en bred CYP-induktor (f.eks. rifampicin, carbamazepin, phenytoin) føjes til behandling med vortioxetin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Efter co-administration af en enkeltdosis af vortioxetin på 20 mg eller 40 mg og en enkeltdosis ethanol (0,6 g/kg) til raske forsøgspersoner observeredes ingen påvirkning af hverken vortioxetins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6D8E1673" w:rsidR="009D146D" w:rsidRPr="009D146D" w:rsidRDefault="009D146D" w:rsidP="003C6DDD">
      <w:pPr>
        <w:ind w:left="851"/>
        <w:rPr>
          <w:sz w:val="24"/>
          <w:szCs w:val="24"/>
        </w:rPr>
      </w:pPr>
      <w:r w:rsidRPr="009D146D">
        <w:rPr>
          <w:sz w:val="24"/>
          <w:szCs w:val="24"/>
        </w:rPr>
        <w:t>Hos raske forsøgspersoner observeredes ingen virkning af gentagne doser acetylsalicylsyre</w:t>
      </w:r>
      <w:r w:rsidR="008F6F34">
        <w:rPr>
          <w:sz w:val="24"/>
          <w:szCs w:val="24"/>
        </w:rPr>
        <w:t xml:space="preserve"> </w:t>
      </w:r>
      <w:r w:rsidRPr="009D146D">
        <w:rPr>
          <w:sz w:val="24"/>
          <w:szCs w:val="24"/>
        </w:rPr>
        <w:t>150 mg/dag på farmakokinetikken efter gentagne doser vortioxetin.</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r w:rsidRPr="009D146D">
        <w:rPr>
          <w:sz w:val="24"/>
          <w:szCs w:val="24"/>
          <w:u w:val="single"/>
        </w:rPr>
        <w:t>Vortioxetins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r w:rsidRPr="009D146D">
        <w:rPr>
          <w:i/>
          <w:sz w:val="24"/>
          <w:szCs w:val="24"/>
        </w:rPr>
        <w:t>Antikoagulantia og trombocythæmmende lægemidler</w:t>
      </w:r>
    </w:p>
    <w:p w14:paraId="1CEEB626" w14:textId="77777777" w:rsidR="009D146D" w:rsidRDefault="009D146D" w:rsidP="003C6DDD">
      <w:pPr>
        <w:ind w:left="851"/>
        <w:rPr>
          <w:sz w:val="24"/>
          <w:szCs w:val="24"/>
        </w:rPr>
      </w:pPr>
      <w:r w:rsidRPr="009D146D">
        <w:rPr>
          <w:sz w:val="24"/>
          <w:szCs w:val="24"/>
        </w:rPr>
        <w:t>Der sås ingen signifikante påvirkninger sammenholdt med placebo af INR, protrombin eller plasma- R-/S-warfarin efter administration af gentagne doser vortioxetin sammen med stabile doser warfarin hos raske forsøgspersoner. Der sås heller ingen signifikant hæmmende virkning på trombocytaggregation eller farmakokinetikken af acetylsalicylsyre eller salicylsyre sammenholdt med placebo, når acetylsalicylsyre 150 mg/dag blev administreret til raske forsøgspersoner efter gentagne doser vortioxetin. Der bør dog udvises forsigtighed, når vortioxetin kombineres med orale antikoagulantia, trombocythæmmende lægemidler eller smertestillende lægemidler (f.eks. acetylsalicylsyre (ASA) eller NSAID), da den potentielle risiko for blødninger, der kan henføres til en farmakodynamisk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vitro </w:t>
      </w:r>
      <w:r w:rsidRPr="009D146D">
        <w:rPr>
          <w:sz w:val="24"/>
          <w:szCs w:val="24"/>
        </w:rPr>
        <w:t>udviste vortioxetin ikke relevant potentiale på hæmning eller induktion af CYP-isoenzymer (se pkt. 5.2).</w:t>
      </w:r>
    </w:p>
    <w:p w14:paraId="52DFD401" w14:textId="77777777" w:rsidR="009D146D" w:rsidRPr="009D146D" w:rsidRDefault="009D146D" w:rsidP="003C6DDD">
      <w:pPr>
        <w:ind w:left="851"/>
        <w:rPr>
          <w:sz w:val="24"/>
          <w:szCs w:val="24"/>
        </w:rPr>
      </w:pPr>
    </w:p>
    <w:p w14:paraId="1B82895D" w14:textId="15DDE854" w:rsidR="003C6DDD" w:rsidRPr="0099172B" w:rsidRDefault="009D146D" w:rsidP="003C6DDD">
      <w:pPr>
        <w:ind w:left="851"/>
        <w:rPr>
          <w:sz w:val="24"/>
          <w:szCs w:val="24"/>
        </w:rPr>
      </w:pPr>
      <w:r w:rsidRPr="009D146D">
        <w:rPr>
          <w:sz w:val="24"/>
          <w:szCs w:val="24"/>
        </w:rPr>
        <w:t>Efter gentagne doser vortioxetin til raske forsøgspersoner sås der ikke hæmmende virkninger på CYP-isoenzymerne CYP2C19 (omeprazol, diazepam), CYP3A4/5 (ethinylestradiol, midazolam), CYP2B6 (bupropion), CYP2C9 (tolbutamid, S-warfarin), CYP1A2 (caffein) eller CYP2D6 (dextromethorphan).</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 xml:space="preserve">Der sås ingen farmakodyanamiske interaktioner. Der sås ingen signifikant nedsættelse af den kognitive funktion i forhold til placebo efter samtidig administration af vortioxetin og en enkelt dosis diazepam på 10 mg. Der sås ingen signifikant påvirkning i forhold til </w:t>
      </w:r>
      <w:r w:rsidRPr="009D146D">
        <w:rPr>
          <w:sz w:val="24"/>
          <w:szCs w:val="24"/>
        </w:rPr>
        <w:lastRenderedPageBreak/>
        <w:t>placebo af niveauet af kønshormoner efter co-administration af vortioxetin og et oralt kontraceptivum af kombinationstypen (ethinylestradiol 30 μg/ levonorgestrel 150 μg).</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r w:rsidRPr="009D146D">
        <w:rPr>
          <w:i/>
          <w:sz w:val="24"/>
          <w:szCs w:val="24"/>
        </w:rPr>
        <w:t>Lithium,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vortioxetin til raske forsøgspersoner, eksponeret for lithium ved </w:t>
      </w:r>
      <w:r w:rsidRPr="009D146D">
        <w:rPr>
          <w:i/>
          <w:sz w:val="24"/>
          <w:szCs w:val="24"/>
        </w:rPr>
        <w:t>steady state</w:t>
      </w:r>
      <w:r w:rsidRPr="009D146D">
        <w:rPr>
          <w:sz w:val="24"/>
          <w:szCs w:val="24"/>
        </w:rPr>
        <w:t>. Der foreligger dog rapporter om forstærket virkning, hvis der samtidig gives antidepressiva med serotonerg virkning og lithium eller tryptophan, og forsigtighed tilrådes derfor ved samtidig brug af vortioxetin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Der findes indberetninger om falsk positive resultater i enzymimmunanalyser for metadon i urin hos patienter, som har taget vortioxetin.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Der er utilstrækkelige data fra anvendelse af vortioxetin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Følgende symptomer kan forekomme hos nyfødte, hvis mødre har taget serotonerge lægemidler sidst i graviditeten: vejrtrækningsbesvær, cyanose, apnø, krampeanfald, ustabil temperatur, besvær med at spise, opkastning, hypoglykæmi, hypertoni, hypotoni, hyperrefleksi, tremor, spjætten, irritabilitet, letargi, konstant gråd, døsighed og søvnbesvær. Disse symptomer kan enten skyldes abstinenssymptomer eller overdreven serotonerg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SSRI-antidepressiva under graviditet, især sidst i graviditeten, kan øge risikoen for persisterende pulmonal hypertension hos nyfødte (PPHN). Selv om ingen studier har undersøgt forbindelsen mellem PPHN og behandling med vortioxetin,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0F01B0D1" w:rsidR="009D146D" w:rsidRPr="009D146D" w:rsidRDefault="00FA2D09" w:rsidP="003C6DDD">
      <w:pPr>
        <w:ind w:left="851"/>
        <w:rPr>
          <w:sz w:val="24"/>
          <w:szCs w:val="24"/>
        </w:rPr>
      </w:pPr>
      <w:r>
        <w:rPr>
          <w:sz w:val="24"/>
          <w:szCs w:val="24"/>
        </w:rPr>
        <w:t>Devofaroz</w:t>
      </w:r>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Observationsdata giver evidens for øget risiko (mindre end en fordobling) for postpartum blødning efter eksponering for en SSRI eller SNRI i måneden forud for fødslen. Der er ikke foretaget studier af sammenhængen mellem vortioxetinbehandling og postpartum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Begrænsede publicerede data viser, at vortioxetin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lastRenderedPageBreak/>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5B8B3189" w:rsidR="009D146D" w:rsidRPr="009D146D" w:rsidRDefault="009D146D" w:rsidP="003C6DDD">
      <w:pPr>
        <w:ind w:left="851"/>
        <w:rPr>
          <w:sz w:val="24"/>
          <w:szCs w:val="24"/>
        </w:rPr>
      </w:pPr>
      <w:r w:rsidRPr="009D146D">
        <w:rPr>
          <w:sz w:val="24"/>
          <w:szCs w:val="24"/>
        </w:rPr>
        <w:t xml:space="preserve">Det skal besluttes, om amning skal ophøre eller behandling med </w:t>
      </w:r>
      <w:r w:rsidR="00FA2D09">
        <w:rPr>
          <w:sz w:val="24"/>
          <w:szCs w:val="24"/>
        </w:rPr>
        <w:t>Devofaroz</w:t>
      </w:r>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Fertilitetsstudier af vortioxetin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Der er indberettet tilfælde af reversibel påvirkning af sædkvaliteten hos mennesker for beslægtede antidepressiva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1E7F9891" w:rsidR="009D146D" w:rsidRPr="009D146D" w:rsidRDefault="00FA2D09" w:rsidP="003C6DDD">
      <w:pPr>
        <w:ind w:left="851"/>
        <w:rPr>
          <w:sz w:val="24"/>
          <w:szCs w:val="24"/>
        </w:rPr>
      </w:pPr>
      <w:r>
        <w:rPr>
          <w:sz w:val="24"/>
          <w:szCs w:val="24"/>
        </w:rPr>
        <w:t>Devofaroz</w:t>
      </w:r>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r w:rsidRPr="009D146D">
              <w:rPr>
                <w:sz w:val="24"/>
                <w:szCs w:val="24"/>
              </w:rPr>
              <w:t>Anafylaktisk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r w:rsidRPr="009D146D">
              <w:rPr>
                <w:sz w:val="24"/>
                <w:szCs w:val="24"/>
              </w:rPr>
              <w:t>Hyperprolactinæmi, i en række</w:t>
            </w:r>
            <w:r w:rsidR="003C6DDD" w:rsidRPr="0099172B">
              <w:rPr>
                <w:sz w:val="24"/>
                <w:szCs w:val="24"/>
              </w:rPr>
              <w:t xml:space="preserve"> </w:t>
            </w:r>
            <w:r w:rsidRPr="009D146D">
              <w:rPr>
                <w:sz w:val="24"/>
                <w:szCs w:val="24"/>
              </w:rPr>
              <w:t>tilfælde i forbindelse med galaktoré</w:t>
            </w:r>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r w:rsidRPr="009D146D">
              <w:rPr>
                <w:sz w:val="24"/>
                <w:szCs w:val="24"/>
              </w:rPr>
              <w:t>Hyponatriæmi</w:t>
            </w:r>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r w:rsidRPr="009D146D">
              <w:rPr>
                <w:sz w:val="24"/>
                <w:szCs w:val="24"/>
              </w:rPr>
              <w:t>Tremor</w:t>
            </w:r>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r w:rsidRPr="009D146D">
              <w:rPr>
                <w:sz w:val="24"/>
                <w:szCs w:val="24"/>
              </w:rPr>
              <w:t>Serotonergt syndrom, Hovedpine,</w:t>
            </w:r>
            <w:r w:rsidR="003C6DDD" w:rsidRPr="0099172B">
              <w:rPr>
                <w:sz w:val="24"/>
                <w:szCs w:val="24"/>
              </w:rPr>
              <w:t xml:space="preserve"> </w:t>
            </w:r>
            <w:r w:rsidRPr="009D146D">
              <w:rPr>
                <w:sz w:val="24"/>
                <w:szCs w:val="24"/>
              </w:rPr>
              <w:t xml:space="preserve">akatisi, bruxisme, </w:t>
            </w:r>
            <w:r w:rsidRPr="009D146D">
              <w:rPr>
                <w:sz w:val="24"/>
                <w:szCs w:val="24"/>
              </w:rPr>
              <w:lastRenderedPageBreak/>
              <w:t>trismus,</w:t>
            </w:r>
            <w:r w:rsidR="003C6DDD" w:rsidRPr="0099172B">
              <w:rPr>
                <w:sz w:val="24"/>
                <w:szCs w:val="24"/>
              </w:rPr>
              <w:t xml:space="preserve"> </w:t>
            </w:r>
            <w:r w:rsidRPr="009D146D">
              <w:rPr>
                <w:sz w:val="24"/>
                <w:szCs w:val="24"/>
              </w:rPr>
              <w:t>uro i benene (restless legs</w:t>
            </w:r>
            <w:r w:rsidR="003C6DDD" w:rsidRPr="0099172B">
              <w:rPr>
                <w:sz w:val="24"/>
                <w:szCs w:val="24"/>
              </w:rPr>
              <w:t xml:space="preserve"> </w:t>
            </w:r>
            <w:r w:rsidRPr="009D146D">
              <w:rPr>
                <w:sz w:val="24"/>
                <w:szCs w:val="24"/>
              </w:rPr>
              <w:t>syndrome)</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lastRenderedPageBreak/>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r w:rsidRPr="009D146D">
              <w:rPr>
                <w:sz w:val="24"/>
                <w:szCs w:val="24"/>
              </w:rPr>
              <w:t>Mydriasis (som kan føre til akut snævervinklet glaukom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r w:rsidRPr="009D146D">
              <w:rPr>
                <w:sz w:val="24"/>
                <w:szCs w:val="24"/>
              </w:rPr>
              <w:t>Flushing</w:t>
            </w:r>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Blødning (herunder kontusion, ekkymose, epistaxis, gastrointestinal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r w:rsidRPr="009D146D">
              <w:rPr>
                <w:sz w:val="24"/>
                <w:szCs w:val="24"/>
              </w:rPr>
              <w:t>Pruritus, herunder generaliseret pruritus,</w:t>
            </w:r>
            <w:r w:rsidR="003C6DDD" w:rsidRPr="0099172B">
              <w:rPr>
                <w:sz w:val="24"/>
                <w:szCs w:val="24"/>
              </w:rPr>
              <w:t xml:space="preserve"> </w:t>
            </w:r>
            <w:r w:rsidRPr="009D146D">
              <w:rPr>
                <w:sz w:val="24"/>
                <w:szCs w:val="24"/>
              </w:rPr>
              <w:t>hyperhidrose</w:t>
            </w:r>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r w:rsidRPr="009D146D">
              <w:rPr>
                <w:sz w:val="24"/>
                <w:szCs w:val="24"/>
              </w:rPr>
              <w:t>Angioødem,</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r w:rsidRPr="009D146D">
              <w:rPr>
                <w:sz w:val="24"/>
                <w:szCs w:val="24"/>
              </w:rPr>
              <w:t>Seponeringssyndrom</w:t>
            </w:r>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Kvalme var sædvanligvis let eller moderat og indtrådte i løbet af de første to behandlingsuger. Bivirkningerne var sædvanligvis forbigående og medførte normalt ikke seponering. Gastrointestinale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10 mg vortioxetin en gang dagligt var seponeringsraten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vortioxetin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Arizona Sexual Experience Scale</w:t>
      </w:r>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20 mg vortioxetin var forbundet med en højere frekvens af seksuel dysfunktion (TESD) (se pkt. 5.1). Efter markedsføringen er der indberettet tilfælde af seksuel dysfunktion med doser af vortioxetin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Epidemiologiske studier hovedsageligt udført hos patienter på 50 år og opefter viser en øget risiko for knoglebrud hos patienter i behandling med farmakologisk beslægtede antidepressiva (SSRI’er eller TCA’er). Mekanismen bag dette er ukendt, og det vides ikke, om denne risiko også er relevant for vortioxetin.</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I alt 304 børn i alderen 7 til 11 år og 308 unge i alderen 12 til 17 år med moderate til svære depressive episoder blev behandlet med vortioxetin i henholdsvis to dobbeltblindede, placebokontrollerede studier. Generelt svarede vortioxetins bivirkningsprofil hos børn og unge til den, der observeres hos voksne. Dog var der specifikt hos unge en hyppigere forekomst af hændelser med abdominalsmerter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Der blev udført to åbne langvarige forlængelsesstudier med vortioxetindoser på 5 til 20</w:t>
      </w:r>
      <w:r w:rsidR="00452110">
        <w:rPr>
          <w:sz w:val="24"/>
          <w:szCs w:val="24"/>
        </w:rPr>
        <w:t> </w:t>
      </w:r>
      <w:r w:rsidRPr="009D146D">
        <w:rPr>
          <w:sz w:val="24"/>
          <w:szCs w:val="24"/>
        </w:rPr>
        <w:t>mg/dag og med en behandlingsvarighed på henholdsvis 6 måneder (N=662) og 18 måneder (N=94). Samlet set var vortioxetins sikkerheds- og tolerabilitetsprofil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Symptomer ved seponering af vortioxetin-behandling</w:t>
      </w:r>
    </w:p>
    <w:p w14:paraId="2E6E4E43" w14:textId="77777777" w:rsidR="009D146D" w:rsidRPr="009D146D" w:rsidRDefault="009D146D" w:rsidP="003C6DDD">
      <w:pPr>
        <w:ind w:left="851"/>
        <w:rPr>
          <w:sz w:val="24"/>
          <w:szCs w:val="24"/>
        </w:rPr>
      </w:pPr>
      <w:r w:rsidRPr="009D146D">
        <w:rPr>
          <w:sz w:val="24"/>
          <w:szCs w:val="24"/>
        </w:rPr>
        <w:t>I de kliniske studier blev seponeringssymptomer systematisk evalueret efter pludseligt ophør af vortioxetin-behandlingen. Der var ingen klinisk relevant forskel i forhold til placebo i forekomsten eller arten af seponeringssymptomer efter behandling med vortioxetin (se pkt. 5.1). Tilfælde, der beskriver seponeringssymptomer, er blevet indberettet efter markedsføringen og har omfattet symptomer såsom svimmelhed, hovedpine, føleforstyrrelser (herunder paræstesi, fornemmelsen af elektrisk stød), søvnforstyrrelser (herunder søvnløshed), kvalme og/eller opkastning, angst, irritabilitet, uro, træthed og tremor. Disse symptomer kan forekomme inden for den første uge efter seponering af vortioxetin.</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benefit/risk-forholdet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77777777" w:rsidR="009D146D" w:rsidRPr="009D146D" w:rsidRDefault="009D146D" w:rsidP="003C6DDD">
      <w:pPr>
        <w:ind w:left="851"/>
        <w:rPr>
          <w:sz w:val="24"/>
          <w:szCs w:val="24"/>
        </w:rPr>
      </w:pPr>
      <w:r w:rsidRPr="009D146D">
        <w:rPr>
          <w:sz w:val="24"/>
          <w:szCs w:val="24"/>
        </w:rPr>
        <w:t xml:space="preserve">Indtagelse af vortioxetin i kliniske studier inden for dosisområdet 40 mg -75 mg har medført forstærkning af følgende bivirkninger: kvalme, postural svimmelhed, diarré, abdominalgener, generaliseret pruritus, døsighed og </w:t>
      </w:r>
      <w:r w:rsidRPr="009D146D">
        <w:rPr>
          <w:i/>
          <w:sz w:val="24"/>
          <w:szCs w:val="24"/>
        </w:rPr>
        <w:t>flushing</w:t>
      </w:r>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Der er begrænset erfaring med overdosering af vortioxetin over 80 mg. Efter doseringer, der er mange gange højere end det terapeutiske dosisområde, er tilfælde af krampeanfald og serotonergt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t>Farmakodynamiske egenskaber</w:t>
      </w:r>
    </w:p>
    <w:p w14:paraId="0A45B28B" w14:textId="77777777" w:rsidR="0099172B" w:rsidRDefault="009D146D" w:rsidP="003C6DDD">
      <w:pPr>
        <w:ind w:left="851"/>
        <w:rPr>
          <w:sz w:val="24"/>
          <w:szCs w:val="24"/>
        </w:rPr>
      </w:pPr>
      <w:r w:rsidRPr="009D146D">
        <w:rPr>
          <w:sz w:val="24"/>
          <w:szCs w:val="24"/>
        </w:rPr>
        <w:t xml:space="preserve">Farmakoterapeutisk klassifikation: Psykoanaleptika: Andre antidepressiva,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06A09887" w:rsidR="009D146D" w:rsidRPr="009D146D" w:rsidRDefault="009D146D" w:rsidP="003C6DDD">
      <w:pPr>
        <w:ind w:left="851"/>
        <w:rPr>
          <w:sz w:val="24"/>
          <w:szCs w:val="24"/>
        </w:rPr>
      </w:pPr>
      <w:r w:rsidRPr="009D146D">
        <w:rPr>
          <w:sz w:val="24"/>
          <w:szCs w:val="24"/>
        </w:rPr>
        <w:t>Vortioxetins virkningsmekanisme menes at hænge sammen med dets direkte modulering af serotonerg receptoraktivitet og hæmning af serotonin- (5-HT-) transportøren. Prækliniske data indikerer, at vortioxetin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-receptoragonist og en hæmmer af 5-HT-transportøren, hvilket fører til modulering af flere neurotransmittersystemer, herunder primært det serotonerge, men muligvis også det noradrenerge, dopaminerge, histaminerge, acetylcholinerge, GABAerge og glutaminerge system. Denne multimodale aktivitet anses for at være ansvarlig for vortioxetins antidepressive og anxiolytika- lignende virkning og den forbedring af den kognitive funktion, indlæring og hukommelse, som er observeret i dyrestudier af vortioxetin. Det er dog endnu uafklaret, hvorledes påvirkningen af den enkelte receptor bidrager til den observerede farmakodynamiske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Hos mennesker er der udført to studier med positron-emissiontomografi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r w:rsidRPr="009D146D">
        <w:rPr>
          <w:i/>
          <w:sz w:val="24"/>
          <w:szCs w:val="24"/>
        </w:rPr>
        <w:t xml:space="preserve">raphe nuclei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r w:rsidRPr="009D146D">
        <w:rPr>
          <w:sz w:val="24"/>
          <w:szCs w:val="24"/>
        </w:rPr>
        <w:t>Vortioxetins effekt og sikkerhed er undersøgt i et klinisk program, der omfattede over 6.700 patienter, hvoraf over 3.700 blev behandlet med vortioxetin i korttidsstudier (</w:t>
      </w:r>
      <w:r w:rsidR="00452110">
        <w:rPr>
          <w:sz w:val="24"/>
          <w:szCs w:val="24"/>
        </w:rPr>
        <w:t>≤</w:t>
      </w:r>
      <w:r w:rsidRPr="009D146D">
        <w:rPr>
          <w:sz w:val="24"/>
          <w:szCs w:val="24"/>
        </w:rPr>
        <w:t>12 uger) af moderate til svære depressive episoder. Der blev udført 12 dobbeltblindede, placebokontrollerede 6- eller 8-ugers studier med fast dosering for at undersøge vortioxetins korttidseffekt på moderate til svære depressive episoder hos voksne (herunder ældre). Vortioxetins virkning blev påvist med mindst én dosisgruppe i 9 af de 12 studier, som viste en forskel på mindst 2 point i forhold til placebo på MADRS-skalaen (</w:t>
      </w:r>
      <w:r w:rsidRPr="009D146D">
        <w:rPr>
          <w:i/>
          <w:sz w:val="24"/>
          <w:szCs w:val="24"/>
        </w:rPr>
        <w:t>Montgomery and Åsberg Depression Rating Scale</w:t>
      </w:r>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r w:rsidRPr="009D146D">
        <w:rPr>
          <w:i/>
          <w:sz w:val="24"/>
          <w:szCs w:val="24"/>
        </w:rPr>
        <w:t>Clinical Global Impression – Global Improvement</w:t>
      </w:r>
      <w:r w:rsidRPr="009D146D">
        <w:rPr>
          <w:sz w:val="24"/>
          <w:szCs w:val="24"/>
        </w:rPr>
        <w:t>). Effekten af vortioxetin steg med stigende doser.</w:t>
      </w:r>
    </w:p>
    <w:p w14:paraId="02C7A05E" w14:textId="77777777" w:rsidR="009D146D" w:rsidRPr="009D146D" w:rsidRDefault="009D146D" w:rsidP="003C6DDD">
      <w:pPr>
        <w:ind w:left="851"/>
        <w:rPr>
          <w:sz w:val="24"/>
          <w:szCs w:val="24"/>
        </w:rPr>
      </w:pPr>
    </w:p>
    <w:p w14:paraId="700DC561" w14:textId="77777777"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 xml:space="preserve">i den samlede MADRS-score i uge 6/8 i de kortvarige, placebokontrollerede studier hos voksne. I metaanalysen var den samlede gennemsnitsforskel fra placebo statistisk signifikant på tværs af studierne: -2,3 point </w:t>
      </w:r>
      <w:r w:rsidRPr="009D146D">
        <w:rPr>
          <w:sz w:val="24"/>
          <w:szCs w:val="24"/>
        </w:rPr>
        <w:lastRenderedPageBreak/>
        <w:t>(p=0,007); -3,6 point (p&lt;0,001) og -4,6 point (p&lt;0,001) for hhv. 5, 10 og 20 mg/dag. 15 mg/dag administrationen adskilte sig ikke fra placebo i metaanalysen, men gennemsnitsforskellen fra placebo var -2,6 point. Effekten af vortioxetin er understøttet af den poolede respondentanalyse, hvor procentdelen af responderende varierede fra 46 % til 49 % for vortioxetin i forhold til 34 % for placebo (p&lt;0,01); NRI-analyse).</w:t>
      </w:r>
      <w:r w:rsidR="003C6DDD" w:rsidRPr="0099172B">
        <w:rPr>
          <w:sz w:val="24"/>
          <w:szCs w:val="24"/>
        </w:rPr>
        <w:t xml:space="preserve"> </w:t>
      </w:r>
    </w:p>
    <w:p w14:paraId="06E0B847" w14:textId="7D8EF303"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vortioxetin på et bredt udvalg af depressive symptomer (vurderet som bedring i scoren for alle de enkelte punkter på MADRS) i dosisområdet 5-20 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vortioxetin 10 og 20 mg/dag </w:t>
      </w:r>
      <w:r w:rsidRPr="009D146D">
        <w:rPr>
          <w:i/>
          <w:sz w:val="24"/>
          <w:szCs w:val="24"/>
        </w:rPr>
        <w:t xml:space="preserve">versus </w:t>
      </w:r>
      <w:r w:rsidRPr="009D146D">
        <w:rPr>
          <w:sz w:val="24"/>
          <w:szCs w:val="24"/>
        </w:rPr>
        <w:t>agomelatin 25 og 50 mg/dag blev derudover vist i et 12-ugers dobbeltblindet, sammenlignende studie med fleksibel dosis hos patienter med moderate til svære depressive episoder. Vortioxetin var statistisk signifikant bedre end agomelatin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vortioxetin blev randomiseret dobbeltblindet til vortioxetin 5 eller 10 mg/dag eller placebo og observeret for recidiv i en periode på mindst 24 uger (24 til 64 uger). Vortioxetin var bedre (p=0,004) end placebo, hvad angår det primære effektmål, tid til recidiv af moderat til svære depressiv episode, med en </w:t>
      </w:r>
      <w:r w:rsidRPr="009D146D">
        <w:rPr>
          <w:i/>
          <w:sz w:val="24"/>
          <w:szCs w:val="24"/>
        </w:rPr>
        <w:t xml:space="preserve">hazard </w:t>
      </w:r>
      <w:r w:rsidRPr="009D146D">
        <w:rPr>
          <w:sz w:val="24"/>
          <w:szCs w:val="24"/>
        </w:rPr>
        <w:t>ratio på 2,0. Således var risikoen for recidiv dobbelt så høj i placebogruppen som i gruppen, der fik vortioxetin.</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65 år, n=452, hvoraf 156 fik vortioxetin) var vortioxetin 5</w:t>
      </w:r>
      <w:r w:rsidR="00452110">
        <w:rPr>
          <w:sz w:val="24"/>
          <w:szCs w:val="24"/>
        </w:rPr>
        <w:t> </w:t>
      </w:r>
      <w:r w:rsidRPr="009D146D">
        <w:rPr>
          <w:sz w:val="24"/>
          <w:szCs w:val="24"/>
        </w:rPr>
        <w:t>mg/dag superior i forhold til placebo målt som bedring af totalscore på MADRS og HAM-D</w:t>
      </w:r>
      <w:r w:rsidRPr="009D146D">
        <w:rPr>
          <w:sz w:val="24"/>
          <w:szCs w:val="24"/>
          <w:vertAlign w:val="subscript"/>
        </w:rPr>
        <w:t>24.</w:t>
      </w:r>
      <w:r w:rsidRPr="009D146D">
        <w:rPr>
          <w:sz w:val="24"/>
          <w:szCs w:val="24"/>
        </w:rPr>
        <w:t xml:space="preserve"> Effekten af vortioxetin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20) udviste vortioxetin også effekt i korttidsstudierne hos voksne (den samlede gennemsnitsforskel fra placebo i MADRS totalscore i uge 6/8 afveg med henholdsvis 2,8-7,3 point og 3,6-7,3 point (MMRM-analyse)). I studiet kun med ældre var vortioxetin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Virkningen af vortioxetin bedømt ud fra scoringen i DSST (the Digit Symbol Substitution Test) og UPSA (the University of California San Diego Performance-Based Skills Assessment) (objektive mål) og ud fra scoringen i spørgeskemaerne PDQ (the Perceived Deficits Questionnaire) og CPFQ (the Cognitive and Physical Functioning Questionnaire)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lastRenderedPageBreak/>
        <w:t>Virkningen af vortioxetin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r w:rsidRPr="009D146D">
        <w:rPr>
          <w:sz w:val="24"/>
          <w:szCs w:val="24"/>
        </w:rPr>
        <w:t xml:space="preserve">Vortioxetin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r w:rsidRPr="009D146D">
        <w:rPr>
          <w:sz w:val="24"/>
          <w:szCs w:val="24"/>
        </w:rPr>
        <w:t xml:space="preserve">Vortioxetin adskilte sig fra placebo (p&lt;0,05) med en standardiseret virkning på 0,35 i meta-analyserne (ANCOVA, LOCF) af den gennemsnitlige ændring fra </w:t>
      </w:r>
      <w:r w:rsidRPr="009D146D">
        <w:rPr>
          <w:i/>
          <w:sz w:val="24"/>
          <w:szCs w:val="24"/>
        </w:rPr>
        <w:t xml:space="preserve">baseline </w:t>
      </w:r>
      <w:r w:rsidRPr="009D146D">
        <w:rPr>
          <w:sz w:val="24"/>
          <w:szCs w:val="24"/>
        </w:rPr>
        <w:t xml:space="preserve">i </w:t>
      </w:r>
      <w:proofErr w:type="gramStart"/>
      <w:r w:rsidRPr="009D146D">
        <w:rPr>
          <w:sz w:val="24"/>
          <w:szCs w:val="24"/>
        </w:rPr>
        <w:t>DSST antal</w:t>
      </w:r>
      <w:proofErr w:type="gramEnd"/>
      <w:r w:rsidRPr="009D146D">
        <w:rPr>
          <w:sz w:val="24"/>
          <w:szCs w:val="24"/>
        </w:rPr>
        <w:t xml:space="preserve"> af korrekte symboler i alle tre studier. Når der justeredes for ændring på MADRS, viste den samlede score i meta-analyserne af de samme studier, at vortioxetin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Et studie undersøgte virkningen af vortioxetin på funktionsevnen ved hjælp af testen UPSA. Vortioxetin adskilte sig fra placebo statistisk set med et resultat på 8,0 point for vortioxetin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I et studie var vortioxetin bedre end placebo på subjektive mål vurderet vha. PDQ med resultater på -14,6 for vortioxetin og -10,5 for placebo (p=0,002). Vortioxetin adskilte sig ikke fra placebo på</w:t>
      </w:r>
      <w:r w:rsidR="003C6DDD" w:rsidRPr="0099172B">
        <w:rPr>
          <w:sz w:val="24"/>
          <w:szCs w:val="24"/>
        </w:rPr>
        <w:t xml:space="preserve"> </w:t>
      </w:r>
      <w:r w:rsidRPr="009D146D">
        <w:rPr>
          <w:sz w:val="24"/>
          <w:szCs w:val="24"/>
        </w:rPr>
        <w:t>subjektive mål vurderet vha. CPFQ med et resultat på -8,1 for vortioxetin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r w:rsidRPr="009D146D">
        <w:rPr>
          <w:i/>
          <w:sz w:val="24"/>
          <w:szCs w:val="24"/>
        </w:rPr>
        <w:t>Tolerabilitet og sikkerhed</w:t>
      </w:r>
    </w:p>
    <w:p w14:paraId="69C6B9F0" w14:textId="77777777" w:rsidR="009D146D" w:rsidRPr="009D146D" w:rsidRDefault="009D146D" w:rsidP="003C6DDD">
      <w:pPr>
        <w:ind w:left="851"/>
        <w:rPr>
          <w:sz w:val="24"/>
          <w:szCs w:val="24"/>
        </w:rPr>
      </w:pPr>
      <w:r w:rsidRPr="009D146D">
        <w:rPr>
          <w:sz w:val="24"/>
          <w:szCs w:val="24"/>
        </w:rPr>
        <w:t>Vortioxetins sikkerhed og tolerabilitet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r w:rsidRPr="009D146D">
        <w:rPr>
          <w:sz w:val="24"/>
          <w:szCs w:val="24"/>
        </w:rPr>
        <w:t>Vortioxetin øgede ikke forekomsten af insomni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I kliniske, placebokontrollerede korttids- og langtidsstudier blev potentielle seponeringssymptomer systematisk evalueret efter abrupt seponering af vortioxetin. Der var ingen klinisk relevant forskel i forhold til placebo i forekomsten eller arten af seponeringssymptomer efter hverken korttidsbehandling (6-12 uger) eller langtidsbehandling (24-64 uger) med vortioxetin.</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Forekomsten af selvindberettede seksuelle bivirkninger var lav og sammenlignelig med placebo i kliniske korttids- og langtidsstudier med vortioxetin. I studier, der anvendte ASEX-skalaen (</w:t>
      </w:r>
      <w:r w:rsidRPr="009D146D">
        <w:rPr>
          <w:i/>
          <w:sz w:val="24"/>
          <w:szCs w:val="24"/>
        </w:rPr>
        <w:t>Arizona Sexual Experience Scale</w:t>
      </w:r>
      <w:r w:rsidRPr="009D146D">
        <w:rPr>
          <w:sz w:val="24"/>
          <w:szCs w:val="24"/>
        </w:rPr>
        <w:t>), sås ingen klinisk relevant forskel i forekomsten af seksuel dysfunktion opstået under behandlingen (TESD), og ASEX-totalscoren viste ingen klinisk relevant forskel i symptomerne på seksuel dysfunktion ved en vortioxetindosis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32343FBA" w:rsidR="009D146D" w:rsidRPr="009D146D" w:rsidRDefault="009D146D" w:rsidP="003C6DDD">
      <w:pPr>
        <w:ind w:left="851"/>
        <w:rPr>
          <w:sz w:val="24"/>
          <w:szCs w:val="24"/>
        </w:rPr>
      </w:pPr>
      <w:r w:rsidRPr="009D146D">
        <w:rPr>
          <w:sz w:val="24"/>
          <w:szCs w:val="24"/>
        </w:rPr>
        <w:t xml:space="preserve">Vortioxetins effekt på seksuel funktion blev undersøgt nærmere i et 8-ugers dobbeltblindet, sammenlignende studie med fleksibel dosis (n=424) </w:t>
      </w:r>
      <w:r w:rsidRPr="009D146D">
        <w:rPr>
          <w:i/>
          <w:sz w:val="24"/>
          <w:szCs w:val="24"/>
        </w:rPr>
        <w:t xml:space="preserve">versus </w:t>
      </w:r>
      <w:r w:rsidRPr="009D146D">
        <w:rPr>
          <w:sz w:val="24"/>
          <w:szCs w:val="24"/>
        </w:rPr>
        <w:t xml:space="preserve">escitalopram hos patienter, som blev behandlet i mindst 6 uger med en SSRI (citalopram, paroxetin eller sertralin), og som havde depressive symptomer i lav grad (CGI-S ved </w:t>
      </w:r>
      <w:r w:rsidRPr="009D146D">
        <w:rPr>
          <w:i/>
          <w:sz w:val="24"/>
          <w:szCs w:val="24"/>
        </w:rPr>
        <w:t xml:space="preserve">baseline </w:t>
      </w:r>
      <w:r w:rsidR="00DB46D6">
        <w:rPr>
          <w:sz w:val="24"/>
          <w:szCs w:val="24"/>
        </w:rPr>
        <w:t>≤</w:t>
      </w:r>
      <w:r w:rsidRPr="009D146D">
        <w:rPr>
          <w:sz w:val="24"/>
          <w:szCs w:val="24"/>
        </w:rPr>
        <w:t xml:space="preserve">3) og TESD induceret af den forudgående SSRI-behandling. Vortioxetin 10-20 mg/dag havde statistik signifikant færre TESD´er end escitalopram 10-20 mg/dag som målt ved ændringen i samlet CSFQ-14-score (2,2 point, p=0,013) ved uge 8. Andelen med respons var ikke signifikant forskellig i vortioxetin-gruppen (162 (74,4 %)) sammenlignet med escitalopram-gruppen (137 </w:t>
      </w:r>
      <w:r w:rsidRPr="009D146D">
        <w:rPr>
          <w:sz w:val="24"/>
          <w:szCs w:val="24"/>
        </w:rPr>
        <w:lastRenderedPageBreak/>
        <w:t>(66,2</w:t>
      </w:r>
      <w:r w:rsidR="00CB21E2">
        <w:rPr>
          <w:sz w:val="24"/>
          <w:szCs w:val="24"/>
        </w:rPr>
        <w:t> </w:t>
      </w:r>
      <w:r w:rsidRPr="009D146D">
        <w:rPr>
          <w:sz w:val="24"/>
          <w:szCs w:val="24"/>
        </w:rPr>
        <w:t>%))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I kliniske korttids- eller langtidsstudier påvirkede vortioxetin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r w:rsidRPr="009D146D">
        <w:rPr>
          <w:sz w:val="24"/>
          <w:szCs w:val="24"/>
        </w:rPr>
        <w:t>Vortioxetin har ikke vist klinisk signifikant påvirkning af EKG-parametre, herunder QT-, QTc-, PR- og QRS-intervallet, hos patienter med moderate til svære depressive episoder. I et omfattende studie af QTc-intervallet hos raske forsøgspersoner, der fik doser på op til 40</w:t>
      </w:r>
      <w:r w:rsidR="00452110">
        <w:rPr>
          <w:sz w:val="24"/>
          <w:szCs w:val="24"/>
        </w:rPr>
        <w:t> </w:t>
      </w:r>
      <w:r w:rsidRPr="009D146D">
        <w:rPr>
          <w:sz w:val="24"/>
          <w:szCs w:val="24"/>
        </w:rPr>
        <w:t>mg dagligt, blev der ikke observeret potentiale for forlængelse af QTc-intervallet.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(vortioxetin 10 mg/dag og 20 mg/dag) og aktiv reference (fluoxetin);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197D9C56" w:rsidR="009D146D" w:rsidRPr="009D146D" w:rsidRDefault="009D146D" w:rsidP="003C6DDD">
      <w:pPr>
        <w:ind w:left="851"/>
        <w:rPr>
          <w:sz w:val="24"/>
          <w:szCs w:val="24"/>
        </w:rPr>
      </w:pPr>
      <w:r w:rsidRPr="009D146D">
        <w:rPr>
          <w:sz w:val="24"/>
          <w:szCs w:val="24"/>
        </w:rPr>
        <w:t>I studiet med børn i alderen 7 til 11 år var den gennemsnitlige virkning af de to vortioxetindoser på 10 og 20 mg/dag ikke statistisk signifikant forskellig fra placebo på baggrund af CDRS-R (</w:t>
      </w:r>
      <w:r w:rsidRPr="009D146D">
        <w:rPr>
          <w:i/>
          <w:sz w:val="24"/>
          <w:szCs w:val="24"/>
        </w:rPr>
        <w:t>Children’s Depression Rating Scale-Revised</w:t>
      </w:r>
      <w:r w:rsidRPr="009D146D">
        <w:rPr>
          <w:sz w:val="24"/>
          <w:szCs w:val="24"/>
        </w:rPr>
        <w:t>) total score i uge 8, og det var den aktive reference (fluoxetin</w:t>
      </w:r>
      <w:r w:rsidR="008962D7">
        <w:rPr>
          <w:sz w:val="24"/>
          <w:szCs w:val="24"/>
        </w:rPr>
        <w:t xml:space="preserve"> </w:t>
      </w:r>
      <w:r w:rsidRPr="009D146D">
        <w:rPr>
          <w:sz w:val="24"/>
          <w:szCs w:val="24"/>
        </w:rPr>
        <w:t>20 mg/dag) heller ikke. De individuelle vortioxetindoser (10 og 20 mg/dag) viste heller ikke en nominelt signifikant forskel fra placebo. Generelt svarede vortioxetins bivirkningsprofil hos børn til</w:t>
      </w:r>
      <w:r w:rsidR="003C6DDD" w:rsidRPr="0099172B">
        <w:rPr>
          <w:sz w:val="24"/>
          <w:szCs w:val="24"/>
        </w:rPr>
        <w:t xml:space="preserve"> </w:t>
      </w:r>
      <w:r w:rsidRPr="009D146D">
        <w:rPr>
          <w:sz w:val="24"/>
          <w:szCs w:val="24"/>
        </w:rPr>
        <w:t>den, der ses hos voksne. Dog blev der specifikt hos børn indberettet en hyppigere forekomst af hændelser med abdominalsmerter sammenlignet med voksne. Seponering på grund af bivirkninger var 2,0 % hos patienter behandlet med vortioxetin 20 mg/dag, 1,3 % for vortioxetin 10</w:t>
      </w:r>
      <w:r w:rsidR="008962D7">
        <w:rPr>
          <w:sz w:val="24"/>
          <w:szCs w:val="24"/>
        </w:rPr>
        <w:t> </w:t>
      </w:r>
      <w:r w:rsidRPr="009D146D">
        <w:rPr>
          <w:sz w:val="24"/>
          <w:szCs w:val="24"/>
        </w:rPr>
        <w:t>mg/dag, 0,7 % for placebo, og ingen seponeringer for fluoxetin. De hyppigst indberettede bivirkninger i de behandlingsgrupper, der fik vortioxetin, var kvalme, hovedpine, opkastning, svimmelhed og mavesmerter. Forekomsten af kvalme, opkastning og mavesmerter var højere i vortioxetingrupperne end i placebogruppen. Selvmordstanker og -adfærd blev indberettet som bivirkninger i den 4-ugers enkeltblindede indkøringsperiode (placebo 2/677 [0,3 %]) og i den 8-ugers behandlingsperiode (vortioxetin 10 mg/dag 1/149 [0,7 %], placebo 1/153 [0,7 %]). Derudover blev hændelsen ”ikke-specifikke aktive selvmordstanker” rapporteret i C-SSRS hos 5 patienter i løbet af den 8-ugers behandlingsperiode (vortioxetin 20 mg/dag 1/153 [0,7 %], placebo 1/153 [0,7</w:t>
      </w:r>
      <w:r w:rsidR="008962D7">
        <w:rPr>
          <w:sz w:val="24"/>
          <w:szCs w:val="24"/>
        </w:rPr>
        <w:t> </w:t>
      </w:r>
      <w:r w:rsidRPr="009D146D">
        <w:rPr>
          <w:sz w:val="24"/>
          <w:szCs w:val="24"/>
        </w:rPr>
        <w:t>%] og fluoxetin 3/82 [3,7 %]). Selvmordstanker og -adfærd målt med CDRS-R (</w:t>
      </w:r>
      <w:r w:rsidRPr="009D146D">
        <w:rPr>
          <w:i/>
          <w:sz w:val="24"/>
          <w:szCs w:val="24"/>
        </w:rPr>
        <w:t>Children’s Depression Rating Scale- Revised</w:t>
      </w:r>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I studiet med unge i alderen 12 til 17 år var hverken vortioxetin 10 mg/dag eller 20 mg/dag statistisk signifikant bedre end placebo på baggrund af CDRS-R (</w:t>
      </w:r>
      <w:r w:rsidRPr="009D146D">
        <w:rPr>
          <w:i/>
          <w:sz w:val="24"/>
          <w:szCs w:val="24"/>
        </w:rPr>
        <w:t>Children’s Depression Rating Scale-Revised</w:t>
      </w:r>
      <w:r w:rsidRPr="009D146D">
        <w:rPr>
          <w:sz w:val="24"/>
          <w:szCs w:val="24"/>
        </w:rPr>
        <w:t xml:space="preserve">) total score. Den aktive reference (fluoxetin 20 mg/dag) afveg statistisk fra placebo i CDRS-R total score. Generelt svarede vortioxetins bivirkningsprofil hos unge til den, der ses hos voksne. Dog blev der hos unge indberettet hyppigere forekomster af hændelser med abdominalsmerter og selvmordstanker end hos voksne. </w:t>
      </w:r>
      <w:r w:rsidRPr="009D146D">
        <w:rPr>
          <w:sz w:val="24"/>
          <w:szCs w:val="24"/>
        </w:rPr>
        <w:lastRenderedPageBreak/>
        <w:t>Seponering på grund af bivirkninger (overvejende på grund af selvmordstanker, kvalme og opkastning) forekom hyppigst hos patienter, der fik behandling med vortioxetin 20 mg/dag (5,6 %), sammenlignet med vortioxetin 10 mg/dag (2,7 %), fluoxetin (3,3 %) og placebo (1,3 %). De hyppigst indberettede bivirkninger i de behandlingsgrupper, der fik vortioxetin, var kvalme, opkastning og hovedpine. Selvmordstanker og -adfærd blev indberettet som bivirkninger både i den enkeltblindede 4-ugers indkøringsperiode (placebo 13/777 [1,7 %]) og i behandlingsperioden på 8 uger (vortioxetin 10 mg/dag 2/147 [1,4 %], vortioxetin 20 mg/dag 6/161 [3,7 %], fluoxetin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25623D63" w:rsidR="009D146D" w:rsidRPr="009D146D" w:rsidRDefault="00FA2D09" w:rsidP="003C6DDD">
      <w:pPr>
        <w:ind w:left="851"/>
        <w:rPr>
          <w:sz w:val="24"/>
          <w:szCs w:val="24"/>
        </w:rPr>
      </w:pPr>
      <w:r>
        <w:rPr>
          <w:sz w:val="24"/>
          <w:szCs w:val="24"/>
        </w:rPr>
        <w:t>Devofaroz</w:t>
      </w:r>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Det Europæiske Lægemiddelagentur har dispenseret fra kravet om at fremlægge resultaterne af studier med vortioxetin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t>Farmakokinetiske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r w:rsidRPr="009D146D">
        <w:rPr>
          <w:sz w:val="24"/>
          <w:szCs w:val="24"/>
        </w:rPr>
        <w:t>Vortioxetin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mg/dag sås gennemsnitsværdier for C</w:t>
      </w:r>
      <w:r w:rsidRPr="009D146D">
        <w:rPr>
          <w:sz w:val="24"/>
          <w:szCs w:val="24"/>
          <w:vertAlign w:val="subscript"/>
        </w:rPr>
        <w:t>max</w:t>
      </w:r>
      <w:r w:rsidRPr="009D146D">
        <w:rPr>
          <w:sz w:val="24"/>
          <w:szCs w:val="24"/>
        </w:rPr>
        <w:t xml:space="preserve"> på 9-33 ng/ml.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(V</w:t>
      </w:r>
      <w:r w:rsidRPr="009D146D">
        <w:rPr>
          <w:sz w:val="24"/>
          <w:szCs w:val="24"/>
          <w:vertAlign w:val="subscript"/>
        </w:rPr>
        <w:t>ss</w:t>
      </w:r>
      <w:r w:rsidRPr="009D146D">
        <w:rPr>
          <w:sz w:val="24"/>
          <w:szCs w:val="24"/>
        </w:rPr>
        <w:t>) er 2.600 l, hvilket indikerer betydelig ekstravaskulær fordeling. Vortioxetin bindes med høj affinitet til plasmaproteiner (98-99</w:t>
      </w:r>
      <w:r w:rsidR="008962D7">
        <w:rPr>
          <w:sz w:val="24"/>
          <w:szCs w:val="24"/>
        </w:rPr>
        <w:t> </w:t>
      </w:r>
      <w:r w:rsidRPr="009D146D">
        <w:rPr>
          <w:sz w:val="24"/>
          <w:szCs w:val="24"/>
        </w:rPr>
        <w:t>%), og bindingen synes at være uafhængig af vortioxetins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r w:rsidRPr="009D146D">
        <w:rPr>
          <w:sz w:val="24"/>
          <w:szCs w:val="24"/>
        </w:rPr>
        <w:t>Vortioxetin metaboliseres i omfattende grad i leveren og primært gennem oxidation katalyseret af CYP2D6 og i mindre grad af CYP3A4/5 og CYP2C9 og efterfølgende konjugering til glukuronsyre. Der blev ikke observeret hæmmende eller inducerende virkning af vortioxetin på CYP-isoenzymerne CYP1A2, CYP2A6, CYP2B6, CYP2C8, CYP2C9, CYP2C19, CYP2D6, CYP2E1 eller CYP3A4/5 (se</w:t>
      </w:r>
      <w:r w:rsidR="003C6DDD" w:rsidRPr="0099172B">
        <w:rPr>
          <w:sz w:val="24"/>
          <w:szCs w:val="24"/>
        </w:rPr>
        <w:t xml:space="preserve"> </w:t>
      </w:r>
      <w:r w:rsidRPr="009D146D">
        <w:rPr>
          <w:sz w:val="24"/>
          <w:szCs w:val="24"/>
        </w:rPr>
        <w:t>pkt. 4.5) i lægemiddel-interaktionsstudier. Vortioxetin er et svagt P-gp-substrat og en svag P-gp-hæmmer.</w:t>
      </w:r>
    </w:p>
    <w:p w14:paraId="6416BCC8" w14:textId="77777777" w:rsidR="009D146D" w:rsidRPr="009D146D" w:rsidRDefault="009D146D" w:rsidP="003C6DDD">
      <w:pPr>
        <w:ind w:left="851"/>
        <w:rPr>
          <w:sz w:val="24"/>
          <w:szCs w:val="24"/>
        </w:rPr>
      </w:pPr>
      <w:r w:rsidRPr="009D146D">
        <w:rPr>
          <w:sz w:val="24"/>
          <w:szCs w:val="24"/>
        </w:rPr>
        <w:t>Vortioxetins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clearance er henholdsvis 66 timer og 33 l/time. Ca. 2/3 af vortioxetins inaktive metabolitter udskilles i urinen og ca. 1/3 i fæces. Der udskilles kun ubetydelige mængder vortioxetin i fæces. </w:t>
      </w:r>
      <w:r w:rsidRPr="009D146D">
        <w:rPr>
          <w:i/>
          <w:sz w:val="24"/>
          <w:szCs w:val="24"/>
        </w:rPr>
        <w:t>Steady state</w:t>
      </w:r>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lastRenderedPageBreak/>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697D4BA0"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65 år; n=20) steg eksponeringen for vortioxetin med op til 27 % (C</w:t>
      </w:r>
      <w:r w:rsidRPr="009D146D">
        <w:rPr>
          <w:sz w:val="24"/>
          <w:szCs w:val="24"/>
          <w:vertAlign w:val="subscript"/>
        </w:rPr>
        <w:t>max</w:t>
      </w:r>
      <w:r w:rsidRPr="009D146D">
        <w:rPr>
          <w:sz w:val="24"/>
          <w:szCs w:val="24"/>
        </w:rPr>
        <w:t xml:space="preserve"> og AUC) i forhold til hos unge raske kontrolpersoner (i alderen </w:t>
      </w:r>
      <w:r w:rsidR="00DB46D6">
        <w:rPr>
          <w:sz w:val="24"/>
          <w:szCs w:val="24"/>
        </w:rPr>
        <w:t>≤</w:t>
      </w:r>
      <w:r w:rsidRPr="009D146D">
        <w:rPr>
          <w:sz w:val="24"/>
          <w:szCs w:val="24"/>
        </w:rPr>
        <w:t xml:space="preserve">45 år) efter gentagne doser på 10 mg/dag. Den laveste virksomme dosis på 5 mg vortioxetin en gang dagligt bør altid anvendes som startdosis til patienter </w:t>
      </w:r>
      <w:r w:rsidR="008962D7">
        <w:rPr>
          <w:sz w:val="24"/>
          <w:szCs w:val="24"/>
        </w:rPr>
        <w:t>≥</w:t>
      </w:r>
      <w:r w:rsidRPr="009D146D">
        <w:rPr>
          <w:sz w:val="24"/>
          <w:szCs w:val="24"/>
        </w:rPr>
        <w:t>65 år (se pkt. 4.2), og der skal udvises forsigtighed ved ordination af doser over 10 mg vortioxetin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Efter en enkelt dosis vortioxetin på 10 mg forårsagede nedsat nyrefunktion – estimeret i henhold til Cockcroft-Gault-formlen (let, moderat eller svær; n=8 pr. gruppe) – moderate stigninger i eksponeringen (op til 30 %) sammenlignet med raske, matchende kontrolpersoner. Hos patienter med nyresygdom i terminalfasen gik kun en lille andel af vortioxetin tabt under dialyse (AUC og C</w:t>
      </w:r>
      <w:r w:rsidRPr="009D146D">
        <w:rPr>
          <w:sz w:val="24"/>
          <w:szCs w:val="24"/>
          <w:vertAlign w:val="subscript"/>
        </w:rPr>
        <w:t>max</w:t>
      </w:r>
      <w:r w:rsidRPr="009D146D">
        <w:rPr>
          <w:sz w:val="24"/>
          <w:szCs w:val="24"/>
        </w:rPr>
        <w:t xml:space="preserve"> var henholdsvis 13 % og 27 % lavere; n=8) efter en enkelt dosis vortioxetin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Child-Pugh-klasse A, B eller C) blev sammenlignet med den hos raske frivillige. Ændringerne i AUC var under 10 % lavere hos patienter med let eller moderat nedsat leverfunktion og 10 % højere hos patienter med svært nedsat leverfunktion. Ændringerne i C</w:t>
      </w:r>
      <w:r w:rsidRPr="009D146D">
        <w:rPr>
          <w:sz w:val="24"/>
          <w:szCs w:val="24"/>
          <w:vertAlign w:val="subscript"/>
        </w:rPr>
        <w:t>max</w:t>
      </w:r>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77777777" w:rsidR="009D146D" w:rsidRPr="009D146D" w:rsidRDefault="009D146D" w:rsidP="003C6DDD">
      <w:pPr>
        <w:ind w:left="851"/>
        <w:rPr>
          <w:sz w:val="24"/>
          <w:szCs w:val="24"/>
        </w:rPr>
      </w:pPr>
      <w:r w:rsidRPr="009D146D">
        <w:rPr>
          <w:sz w:val="24"/>
          <w:szCs w:val="24"/>
        </w:rPr>
        <w:t>Plasmakoncentrationen af vortioxetin var ca. dobbelt så høj hos patienter med nedsat CYP2D6- 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Hos patienter med ultrahurtig CYP2D6-metabolisme lå plasmakoncentrationen ved vortioxetin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r w:rsidRPr="009D146D">
        <w:rPr>
          <w:sz w:val="24"/>
          <w:szCs w:val="24"/>
        </w:rPr>
        <w:t>Vortioxetins farmakokinetik hos pædiatriske patienter med moderate til svære depressive episoder efter oral administration af 5 til 20 mg én gang dagligt blev karakteriseret vha. populationsmodelleringsanalyser baseret på data fra et farmakokinetisk studie (7-17 år) samt to studier</w:t>
      </w:r>
      <w:r w:rsidR="003C6DDD" w:rsidRPr="0099172B">
        <w:rPr>
          <w:sz w:val="24"/>
          <w:szCs w:val="24"/>
        </w:rPr>
        <w:t xml:space="preserve"> </w:t>
      </w:r>
      <w:r w:rsidRPr="009D146D">
        <w:rPr>
          <w:sz w:val="24"/>
          <w:szCs w:val="24"/>
        </w:rPr>
        <w:t>af virkning og sikkerhed (7-17 år). Vortioxetins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 xml:space="preserve">I de generelle toksicitetsstudier var administration af vortioxetin til mus, rotter og hunde især forbundet med CNS-relaterede kliniske symptomer. De omfatter spytflåd (rotte og </w:t>
      </w:r>
      <w:r w:rsidRPr="009D146D">
        <w:rPr>
          <w:sz w:val="24"/>
          <w:szCs w:val="24"/>
        </w:rPr>
        <w:lastRenderedPageBreak/>
        <w:t>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(glomerulonefritis, obstruktion af nyretubuli, krystallinsk materiale i nyretubuli) og i leveren hos mus og rotter (hepatocellulær hypertrofi, hepatocytnekrose, galdevejshyperplasi, krystallinsk materiale i galdegange) forekom ved eksponeringer over 10 gange (mus) og 2 gange (rotter) den humane eksponering ved den maksimale anbefalede terapeutiske dosis på 20 mg/dag. Disse fund blev især tilskrevet obstruktion af henholdsvis nyretubuli og galdegange forårsaget af gnaverspecifikke vortioxetin-relateret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r w:rsidRPr="009D146D">
        <w:rPr>
          <w:sz w:val="24"/>
          <w:szCs w:val="24"/>
        </w:rPr>
        <w:t xml:space="preserve">Vortioxetin var ikke genotoksisk i en standardrække af </w:t>
      </w:r>
      <w:r w:rsidRPr="009D146D">
        <w:rPr>
          <w:i/>
          <w:sz w:val="24"/>
          <w:szCs w:val="24"/>
        </w:rPr>
        <w:t>in vitro</w:t>
      </w:r>
      <w:r w:rsidRPr="009D146D">
        <w:rPr>
          <w:sz w:val="24"/>
          <w:szCs w:val="24"/>
        </w:rPr>
        <w:t xml:space="preserve">- og </w:t>
      </w:r>
      <w:r w:rsidRPr="009D146D">
        <w:rPr>
          <w:i/>
          <w:sz w:val="24"/>
          <w:szCs w:val="24"/>
        </w:rPr>
        <w:t>in vivo</w:t>
      </w:r>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Ud fra resultaterne fra konventionelle toårige karcinogenicitetsstudier hos mus og rotter anses vortioxetin ikke for at indebære en risiko for karcinogenicitet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r w:rsidRPr="009D146D">
        <w:rPr>
          <w:sz w:val="24"/>
          <w:szCs w:val="24"/>
        </w:rPr>
        <w:t>Vortioxetin påvirkede ikke rotters fertilitet, parringsadfærd, reproduktionsorganer eller sædmorfologi og -motilitet. Vortioxetin var ikke teratogent hos rotter og kaniner, men der er set reproduktionstoksicitet i form af påvirkning af fostervægt og forsinket ossifikation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I et præ- og postnatalt studie hos rotter blev vortioxetin sat i forbindelse med øget mortalitet hos afkommet, nedsat vægtstigning og forsinket udvikling af afkommet ved doser, der ikke medførte toksicitet hos moderdyret, og resulterede i eksponeringer svarende til niveauet hos mennesker efter administration af vortioxetin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r w:rsidRPr="009D146D">
        <w:rPr>
          <w:sz w:val="24"/>
          <w:szCs w:val="24"/>
        </w:rPr>
        <w:t>Vortioxetin-relaterede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I toksicitetsstudier hos juvenile rotter stemte alle fund relateret til behandling med vortioxetin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Miljørisikovurderingsstudier har vist, at vortioxetin har potentiale til at være persistent, bioakkumulerende og toksisk for miljøet (skadeligt for fisk). Ved den anbefalede brug til patienter anses vortioxetin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r w:rsidRPr="0099172B">
        <w:rPr>
          <w:iCs/>
          <w:sz w:val="24"/>
          <w:szCs w:val="24"/>
        </w:rPr>
        <w:t xml:space="preserve">Hydroxypropylbetadex </w:t>
      </w:r>
    </w:p>
    <w:p w14:paraId="2EF9D5D0" w14:textId="77777777" w:rsidR="003C6DDD" w:rsidRPr="0099172B" w:rsidRDefault="003C6DDD" w:rsidP="003C6DDD">
      <w:pPr>
        <w:ind w:left="851"/>
        <w:rPr>
          <w:iCs/>
          <w:sz w:val="24"/>
          <w:szCs w:val="24"/>
        </w:rPr>
      </w:pPr>
      <w:r w:rsidRPr="0099172B">
        <w:rPr>
          <w:iCs/>
          <w:sz w:val="24"/>
          <w:szCs w:val="24"/>
        </w:rPr>
        <w:t>Natriumcitratdihydrat</w:t>
      </w:r>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r w:rsidRPr="0099172B">
        <w:rPr>
          <w:iCs/>
          <w:sz w:val="24"/>
          <w:szCs w:val="24"/>
        </w:rPr>
        <w:t xml:space="preserve">Ethanol,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r w:rsidRPr="0099172B">
        <w:rPr>
          <w:iCs/>
          <w:sz w:val="24"/>
          <w:szCs w:val="24"/>
        </w:rPr>
        <w:t xml:space="preserve">Sucralose </w:t>
      </w:r>
    </w:p>
    <w:p w14:paraId="560E161F" w14:textId="77777777" w:rsidR="003C6DDD" w:rsidRPr="0099172B" w:rsidRDefault="003C6DDD" w:rsidP="003C6DDD">
      <w:pPr>
        <w:ind w:left="851"/>
        <w:rPr>
          <w:iCs/>
          <w:sz w:val="24"/>
          <w:szCs w:val="24"/>
        </w:rPr>
      </w:pPr>
      <w:r w:rsidRPr="0099172B">
        <w:rPr>
          <w:iCs/>
          <w:sz w:val="24"/>
          <w:szCs w:val="24"/>
        </w:rPr>
        <w:lastRenderedPageBreak/>
        <w:t>Kirsebæraroma herunder triacetin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5550EF52"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polyethylen) i en æske, der også indeholder en 5 ml oral doseringssprøjte (gennemsigtig polyethylenbeholder og stempel, </w:t>
      </w:r>
      <w:proofErr w:type="gramStart"/>
      <w:r w:rsidRPr="0099172B">
        <w:rPr>
          <w:sz w:val="24"/>
          <w:szCs w:val="24"/>
          <w:lang w:bidi="en-US"/>
        </w:rPr>
        <w:t>hvid</w:t>
      </w:r>
      <w:r w:rsidR="00452110">
        <w:rPr>
          <w:sz w:val="24"/>
          <w:szCs w:val="24"/>
          <w:lang w:bidi="en-US"/>
        </w:rPr>
        <w:t xml:space="preserve"> </w:t>
      </w:r>
      <w:r w:rsidRPr="0099172B">
        <w:rPr>
          <w:sz w:val="24"/>
          <w:szCs w:val="24"/>
          <w:lang w:bidi="en-US"/>
        </w:rPr>
        <w:t>polystyrenstempel</w:t>
      </w:r>
      <w:proofErr w:type="gramEnd"/>
      <w:r w:rsidRPr="0099172B">
        <w:rPr>
          <w:sz w:val="24"/>
          <w:szCs w:val="24"/>
          <w:lang w:bidi="en-US"/>
        </w:rPr>
        <w:t>) med 0,25 ml gradueringer og en gennemsigtig adapter til sprøjten (polyethylen).</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r w:rsidRPr="003C6DDD">
        <w:rPr>
          <w:sz w:val="24"/>
          <w:szCs w:val="24"/>
        </w:rPr>
        <w:t>PharmaPath S.A.</w:t>
      </w:r>
    </w:p>
    <w:p w14:paraId="447C7E1E" w14:textId="3E00920E" w:rsidR="003C6DDD" w:rsidRPr="003C6DDD" w:rsidRDefault="003C6DDD" w:rsidP="003C6DDD">
      <w:pPr>
        <w:ind w:left="851"/>
        <w:rPr>
          <w:sz w:val="24"/>
          <w:szCs w:val="24"/>
        </w:rPr>
      </w:pPr>
      <w:r w:rsidRPr="003C6DDD">
        <w:rPr>
          <w:sz w:val="24"/>
          <w:szCs w:val="24"/>
        </w:rPr>
        <w:t xml:space="preserve">28is Oktovriou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r w:rsidR="003C6DDD" w:rsidRPr="003C6DDD">
        <w:rPr>
          <w:sz w:val="24"/>
          <w:szCs w:val="24"/>
        </w:rPr>
        <w:t xml:space="preserve">Agia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4AF817BD" w:rsidR="009260DE" w:rsidRPr="0099172B" w:rsidRDefault="003C6DDD" w:rsidP="009260DE">
      <w:pPr>
        <w:tabs>
          <w:tab w:val="left" w:pos="851"/>
        </w:tabs>
        <w:ind w:left="851"/>
        <w:rPr>
          <w:sz w:val="24"/>
          <w:szCs w:val="24"/>
        </w:rPr>
      </w:pPr>
      <w:r w:rsidRPr="0099172B">
        <w:rPr>
          <w:sz w:val="24"/>
          <w:szCs w:val="24"/>
        </w:rPr>
        <w:t>7348</w:t>
      </w:r>
      <w:r w:rsidR="00FA2D09">
        <w:rPr>
          <w:sz w:val="24"/>
          <w:szCs w:val="24"/>
        </w:rPr>
        <w:t>5</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6376EA58" w:rsidR="009260DE" w:rsidRPr="0099172B" w:rsidRDefault="00CB21E2"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7C212ED9"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F6F34">
      <w:rPr>
        <w:i/>
        <w:noProof/>
        <w:sz w:val="18"/>
        <w:szCs w:val="18"/>
      </w:rPr>
      <w:t>Devofaroz,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32310"/>
    <w:rsid w:val="00565F0F"/>
    <w:rsid w:val="00594A86"/>
    <w:rsid w:val="00596D86"/>
    <w:rsid w:val="005D58DD"/>
    <w:rsid w:val="00637F5A"/>
    <w:rsid w:val="00641C65"/>
    <w:rsid w:val="006560B1"/>
    <w:rsid w:val="006756DD"/>
    <w:rsid w:val="006B6DDC"/>
    <w:rsid w:val="0071241E"/>
    <w:rsid w:val="00737275"/>
    <w:rsid w:val="00740EEC"/>
    <w:rsid w:val="0078011A"/>
    <w:rsid w:val="00782AF4"/>
    <w:rsid w:val="00790EE7"/>
    <w:rsid w:val="007B6649"/>
    <w:rsid w:val="0082576E"/>
    <w:rsid w:val="00830FB0"/>
    <w:rsid w:val="0089346F"/>
    <w:rsid w:val="008962D7"/>
    <w:rsid w:val="008C278C"/>
    <w:rsid w:val="008F6F34"/>
    <w:rsid w:val="00907F75"/>
    <w:rsid w:val="009260DE"/>
    <w:rsid w:val="0093258A"/>
    <w:rsid w:val="0099172B"/>
    <w:rsid w:val="009C7BA3"/>
    <w:rsid w:val="009D146D"/>
    <w:rsid w:val="009D1F5A"/>
    <w:rsid w:val="00A10294"/>
    <w:rsid w:val="00B003BF"/>
    <w:rsid w:val="00B373D7"/>
    <w:rsid w:val="00B55271"/>
    <w:rsid w:val="00B64493"/>
    <w:rsid w:val="00B81197"/>
    <w:rsid w:val="00BD7931"/>
    <w:rsid w:val="00BF6243"/>
    <w:rsid w:val="00C36276"/>
    <w:rsid w:val="00C42586"/>
    <w:rsid w:val="00C45F6B"/>
    <w:rsid w:val="00C60CCD"/>
    <w:rsid w:val="00C84483"/>
    <w:rsid w:val="00C95551"/>
    <w:rsid w:val="00CB20D7"/>
    <w:rsid w:val="00CB21E2"/>
    <w:rsid w:val="00CF5BC4"/>
    <w:rsid w:val="00D020B0"/>
    <w:rsid w:val="00D11748"/>
    <w:rsid w:val="00D237F6"/>
    <w:rsid w:val="00D34D98"/>
    <w:rsid w:val="00D366CF"/>
    <w:rsid w:val="00D61F32"/>
    <w:rsid w:val="00D93992"/>
    <w:rsid w:val="00DB46D6"/>
    <w:rsid w:val="00E108AA"/>
    <w:rsid w:val="00E3749A"/>
    <w:rsid w:val="00E7437F"/>
    <w:rsid w:val="00E865B8"/>
    <w:rsid w:val="00EC0B9B"/>
    <w:rsid w:val="00ED5E9F"/>
    <w:rsid w:val="00F66D4F"/>
    <w:rsid w:val="00FA2D09"/>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9</TotalTime>
  <Pages>19</Pages>
  <Words>6652</Words>
  <Characters>42827</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2025031397, MT</dc:description>
  <cp:lastModifiedBy>Gitte Jørgensen</cp:lastModifiedBy>
  <cp:revision>8</cp:revision>
  <cp:lastPrinted>2012-08-22T08:53:00Z</cp:lastPrinted>
  <dcterms:created xsi:type="dcterms:W3CDTF">2026-07-21T12:52:00Z</dcterms:created>
  <dcterms:modified xsi:type="dcterms:W3CDTF">2026-07-30T13:15:00Z</dcterms:modified>
</cp:coreProperties>
</file>