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4E4F5" w14:textId="7C7CED5A"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BEB34FB" wp14:editId="195C5B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51070B8" w14:textId="23DDF84A" w:rsidR="009260DE" w:rsidRPr="00C84483" w:rsidRDefault="009260DE" w:rsidP="009260DE">
      <w:pPr>
        <w:pStyle w:val="Titel"/>
        <w:tabs>
          <w:tab w:val="right" w:pos="9356"/>
        </w:tabs>
        <w:jc w:val="left"/>
        <w:rPr>
          <w:b w:val="0"/>
          <w:szCs w:val="24"/>
          <w:lang w:eastAsia="en-US"/>
        </w:rPr>
      </w:pPr>
    </w:p>
    <w:p w14:paraId="22C11F9B" w14:textId="48ABB88D"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70043">
        <w:rPr>
          <w:szCs w:val="24"/>
        </w:rPr>
        <w:t>23</w:t>
      </w:r>
      <w:r w:rsidR="004B56BF">
        <w:rPr>
          <w:szCs w:val="24"/>
        </w:rPr>
        <w:t xml:space="preserve">. </w:t>
      </w:r>
      <w:r w:rsidR="00B70043">
        <w:rPr>
          <w:szCs w:val="24"/>
        </w:rPr>
        <w:t>maj</w:t>
      </w:r>
      <w:r w:rsidR="007C52B0">
        <w:rPr>
          <w:szCs w:val="24"/>
        </w:rPr>
        <w:t xml:space="preserve"> 2</w:t>
      </w:r>
      <w:r w:rsidR="00E2237A">
        <w:rPr>
          <w:szCs w:val="24"/>
        </w:rPr>
        <w:t>02</w:t>
      </w:r>
      <w:r w:rsidR="007C52B0">
        <w:rPr>
          <w:szCs w:val="24"/>
        </w:rPr>
        <w:t>2</w:t>
      </w:r>
    </w:p>
    <w:p w14:paraId="65E65233" w14:textId="67A4BD15" w:rsidR="009260DE" w:rsidRPr="00C84483" w:rsidRDefault="009260DE" w:rsidP="009260DE">
      <w:pPr>
        <w:pStyle w:val="Titel"/>
        <w:tabs>
          <w:tab w:val="left" w:pos="8222"/>
        </w:tabs>
        <w:jc w:val="left"/>
        <w:rPr>
          <w:b w:val="0"/>
          <w:szCs w:val="24"/>
        </w:rPr>
      </w:pPr>
    </w:p>
    <w:p w14:paraId="4FEC6703" w14:textId="77777777" w:rsidR="009260DE" w:rsidRPr="00C84483" w:rsidRDefault="009260DE" w:rsidP="009260DE">
      <w:pPr>
        <w:pStyle w:val="Titel"/>
        <w:jc w:val="left"/>
        <w:rPr>
          <w:b w:val="0"/>
          <w:szCs w:val="24"/>
        </w:rPr>
      </w:pPr>
    </w:p>
    <w:p w14:paraId="3B38BAED" w14:textId="77777777" w:rsidR="009260DE" w:rsidRPr="00C84483" w:rsidRDefault="009260DE" w:rsidP="009260DE">
      <w:pPr>
        <w:pStyle w:val="Titel"/>
        <w:jc w:val="left"/>
        <w:rPr>
          <w:b w:val="0"/>
          <w:szCs w:val="24"/>
        </w:rPr>
      </w:pPr>
    </w:p>
    <w:p w14:paraId="0A67F1F7" w14:textId="77777777" w:rsidR="009260DE" w:rsidRPr="00C84483" w:rsidRDefault="009260DE" w:rsidP="009260DE">
      <w:pPr>
        <w:jc w:val="center"/>
        <w:rPr>
          <w:b/>
          <w:sz w:val="24"/>
          <w:szCs w:val="24"/>
        </w:rPr>
      </w:pPr>
      <w:r w:rsidRPr="00C84483">
        <w:rPr>
          <w:b/>
          <w:sz w:val="24"/>
          <w:szCs w:val="24"/>
        </w:rPr>
        <w:t>PRODUKTRESUMÉ</w:t>
      </w:r>
    </w:p>
    <w:p w14:paraId="50BA385E" w14:textId="77777777" w:rsidR="009260DE" w:rsidRPr="00C84483" w:rsidRDefault="009260DE" w:rsidP="009260DE">
      <w:pPr>
        <w:jc w:val="center"/>
        <w:rPr>
          <w:b/>
          <w:sz w:val="24"/>
          <w:szCs w:val="24"/>
        </w:rPr>
      </w:pPr>
    </w:p>
    <w:p w14:paraId="13114B5D" w14:textId="77777777" w:rsidR="009260DE" w:rsidRDefault="009260DE" w:rsidP="009260DE">
      <w:pPr>
        <w:jc w:val="center"/>
        <w:rPr>
          <w:b/>
          <w:sz w:val="24"/>
          <w:szCs w:val="24"/>
        </w:rPr>
      </w:pPr>
      <w:r w:rsidRPr="00C84483">
        <w:rPr>
          <w:b/>
          <w:sz w:val="24"/>
          <w:szCs w:val="24"/>
        </w:rPr>
        <w:t>for</w:t>
      </w:r>
    </w:p>
    <w:p w14:paraId="1984E0C4" w14:textId="77777777" w:rsidR="000B058C" w:rsidRPr="00C84483" w:rsidRDefault="000B058C" w:rsidP="009260DE">
      <w:pPr>
        <w:jc w:val="center"/>
        <w:rPr>
          <w:b/>
          <w:sz w:val="24"/>
          <w:szCs w:val="24"/>
        </w:rPr>
      </w:pPr>
    </w:p>
    <w:p w14:paraId="19AF789A" w14:textId="77777777" w:rsidR="009260DE" w:rsidRPr="00C84483" w:rsidRDefault="00242491" w:rsidP="009260DE">
      <w:pPr>
        <w:jc w:val="center"/>
        <w:rPr>
          <w:b/>
          <w:sz w:val="24"/>
          <w:szCs w:val="24"/>
        </w:rPr>
      </w:pPr>
      <w:proofErr w:type="spellStart"/>
      <w:r>
        <w:rPr>
          <w:b/>
          <w:sz w:val="24"/>
          <w:szCs w:val="24"/>
        </w:rPr>
        <w:t>Dexacur</w:t>
      </w:r>
      <w:proofErr w:type="spellEnd"/>
      <w:r>
        <w:rPr>
          <w:b/>
          <w:sz w:val="24"/>
          <w:szCs w:val="24"/>
        </w:rPr>
        <w:t>, injektions-/infusionsvæske opløsning</w:t>
      </w:r>
    </w:p>
    <w:p w14:paraId="7BB264AA" w14:textId="77777777" w:rsidR="009260DE" w:rsidRPr="00C84483" w:rsidRDefault="009260DE" w:rsidP="009260DE">
      <w:pPr>
        <w:jc w:val="both"/>
        <w:rPr>
          <w:sz w:val="24"/>
          <w:szCs w:val="24"/>
        </w:rPr>
      </w:pPr>
    </w:p>
    <w:p w14:paraId="05CCBADB" w14:textId="77777777" w:rsidR="009260DE" w:rsidRPr="00C84483" w:rsidRDefault="009260DE" w:rsidP="009260DE">
      <w:pPr>
        <w:jc w:val="both"/>
        <w:rPr>
          <w:sz w:val="24"/>
          <w:szCs w:val="24"/>
        </w:rPr>
      </w:pPr>
    </w:p>
    <w:p w14:paraId="1A29290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81766E7" w14:textId="28ECC6B4" w:rsidR="009260DE" w:rsidRPr="00C84483" w:rsidRDefault="008F42C4" w:rsidP="009260DE">
      <w:pPr>
        <w:tabs>
          <w:tab w:val="left" w:pos="851"/>
        </w:tabs>
        <w:ind w:left="851"/>
        <w:rPr>
          <w:sz w:val="24"/>
          <w:szCs w:val="24"/>
        </w:rPr>
      </w:pPr>
      <w:r>
        <w:rPr>
          <w:sz w:val="24"/>
          <w:szCs w:val="24"/>
        </w:rPr>
        <w:t>31894</w:t>
      </w:r>
    </w:p>
    <w:p w14:paraId="74D38DB2" w14:textId="77777777" w:rsidR="009260DE" w:rsidRPr="00C84483" w:rsidRDefault="009260DE" w:rsidP="009260DE">
      <w:pPr>
        <w:tabs>
          <w:tab w:val="left" w:pos="851"/>
        </w:tabs>
        <w:ind w:left="851"/>
        <w:rPr>
          <w:sz w:val="24"/>
          <w:szCs w:val="24"/>
        </w:rPr>
      </w:pPr>
    </w:p>
    <w:p w14:paraId="72EFE77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88EA49A" w14:textId="78730263" w:rsidR="009260DE" w:rsidRPr="00C84483" w:rsidRDefault="008F42C4" w:rsidP="009260DE">
      <w:pPr>
        <w:tabs>
          <w:tab w:val="left" w:pos="851"/>
        </w:tabs>
        <w:ind w:left="851"/>
        <w:rPr>
          <w:sz w:val="24"/>
          <w:szCs w:val="24"/>
        </w:rPr>
      </w:pPr>
      <w:proofErr w:type="spellStart"/>
      <w:r>
        <w:rPr>
          <w:sz w:val="24"/>
          <w:szCs w:val="24"/>
        </w:rPr>
        <w:t>Dexacur</w:t>
      </w:r>
      <w:proofErr w:type="spellEnd"/>
    </w:p>
    <w:p w14:paraId="134D9DF6" w14:textId="77777777" w:rsidR="009260DE" w:rsidRPr="00C84483" w:rsidRDefault="009260DE" w:rsidP="009260DE">
      <w:pPr>
        <w:tabs>
          <w:tab w:val="left" w:pos="851"/>
        </w:tabs>
        <w:ind w:left="851"/>
        <w:rPr>
          <w:sz w:val="24"/>
          <w:szCs w:val="24"/>
        </w:rPr>
      </w:pPr>
    </w:p>
    <w:p w14:paraId="23B19D2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DF81D10" w14:textId="77777777" w:rsidR="00497E99" w:rsidRPr="00497E99" w:rsidRDefault="00497E99" w:rsidP="00497E99">
      <w:pPr>
        <w:tabs>
          <w:tab w:val="left" w:pos="851"/>
        </w:tabs>
        <w:ind w:left="851"/>
        <w:rPr>
          <w:sz w:val="24"/>
          <w:szCs w:val="24"/>
        </w:rPr>
      </w:pPr>
      <w:r w:rsidRPr="00497E99">
        <w:rPr>
          <w:sz w:val="24"/>
          <w:szCs w:val="24"/>
        </w:rPr>
        <w:t xml:space="preserve">1 ml indeholder </w:t>
      </w:r>
      <w:proofErr w:type="spellStart"/>
      <w:r w:rsidRPr="00497E99">
        <w:rPr>
          <w:sz w:val="24"/>
          <w:szCs w:val="24"/>
        </w:rPr>
        <w:t>dexamethasonnatriumphosphat</w:t>
      </w:r>
      <w:proofErr w:type="spellEnd"/>
      <w:r w:rsidRPr="00497E99">
        <w:rPr>
          <w:sz w:val="24"/>
          <w:szCs w:val="24"/>
        </w:rPr>
        <w:t xml:space="preserve"> svarende til 4 mg </w:t>
      </w:r>
      <w:proofErr w:type="spellStart"/>
      <w:r w:rsidRPr="00497E99">
        <w:rPr>
          <w:sz w:val="24"/>
          <w:szCs w:val="24"/>
        </w:rPr>
        <w:t>dexamethasonphosphat</w:t>
      </w:r>
      <w:proofErr w:type="spellEnd"/>
      <w:r w:rsidRPr="00497E99">
        <w:rPr>
          <w:sz w:val="24"/>
          <w:szCs w:val="24"/>
        </w:rPr>
        <w:t xml:space="preserve">. 4 mg </w:t>
      </w:r>
      <w:proofErr w:type="spellStart"/>
      <w:r w:rsidRPr="00497E99">
        <w:rPr>
          <w:sz w:val="24"/>
          <w:szCs w:val="24"/>
        </w:rPr>
        <w:t>dexamethasonphosphat</w:t>
      </w:r>
      <w:proofErr w:type="spellEnd"/>
      <w:r w:rsidRPr="00497E99">
        <w:rPr>
          <w:sz w:val="24"/>
          <w:szCs w:val="24"/>
        </w:rPr>
        <w:t xml:space="preserve"> svarer til 3,33 mg </w:t>
      </w:r>
      <w:proofErr w:type="spellStart"/>
      <w:r w:rsidRPr="00497E99">
        <w:rPr>
          <w:sz w:val="24"/>
          <w:szCs w:val="24"/>
        </w:rPr>
        <w:t>dexamethason</w:t>
      </w:r>
      <w:proofErr w:type="spellEnd"/>
      <w:r w:rsidRPr="00497E99">
        <w:rPr>
          <w:sz w:val="24"/>
          <w:szCs w:val="24"/>
        </w:rPr>
        <w:t>.</w:t>
      </w:r>
    </w:p>
    <w:p w14:paraId="227FB878" w14:textId="77777777" w:rsidR="00497E99" w:rsidRPr="00497E99" w:rsidRDefault="00497E99" w:rsidP="00497E99">
      <w:pPr>
        <w:tabs>
          <w:tab w:val="left" w:pos="851"/>
        </w:tabs>
        <w:ind w:left="851"/>
        <w:rPr>
          <w:sz w:val="24"/>
          <w:szCs w:val="24"/>
        </w:rPr>
      </w:pPr>
    </w:p>
    <w:p w14:paraId="18D49C47" w14:textId="77777777" w:rsidR="00497E99" w:rsidRPr="00497E99" w:rsidRDefault="00497E99" w:rsidP="00497E99">
      <w:pPr>
        <w:tabs>
          <w:tab w:val="left" w:pos="851"/>
        </w:tabs>
        <w:ind w:left="851"/>
        <w:rPr>
          <w:sz w:val="24"/>
          <w:szCs w:val="24"/>
        </w:rPr>
      </w:pPr>
      <w:r w:rsidRPr="00497E99">
        <w:rPr>
          <w:sz w:val="24"/>
          <w:szCs w:val="24"/>
        </w:rPr>
        <w:t>Alle hjælpestoffer er anført under pkt. 6.1.</w:t>
      </w:r>
    </w:p>
    <w:p w14:paraId="6F1D02A7" w14:textId="77777777" w:rsidR="009260DE" w:rsidRPr="00C84483" w:rsidRDefault="009260DE" w:rsidP="009260DE">
      <w:pPr>
        <w:tabs>
          <w:tab w:val="left" w:pos="851"/>
        </w:tabs>
        <w:ind w:left="851"/>
        <w:rPr>
          <w:sz w:val="24"/>
          <w:szCs w:val="24"/>
        </w:rPr>
      </w:pPr>
    </w:p>
    <w:p w14:paraId="46FBC5D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AD78C7E" w14:textId="4A572776" w:rsidR="00F84D1A" w:rsidRDefault="00F84D1A" w:rsidP="00F84D1A">
      <w:pPr>
        <w:tabs>
          <w:tab w:val="left" w:pos="851"/>
        </w:tabs>
        <w:ind w:left="851"/>
        <w:rPr>
          <w:sz w:val="24"/>
          <w:szCs w:val="24"/>
        </w:rPr>
      </w:pPr>
      <w:r w:rsidRPr="00F84D1A">
        <w:rPr>
          <w:sz w:val="24"/>
          <w:szCs w:val="24"/>
        </w:rPr>
        <w:t>Injektions-/infusionsvæske, opløsning</w:t>
      </w:r>
    </w:p>
    <w:p w14:paraId="0C91A9AB" w14:textId="77777777" w:rsidR="00F84D1A" w:rsidRPr="00F84D1A" w:rsidRDefault="00F84D1A" w:rsidP="00F84D1A">
      <w:pPr>
        <w:tabs>
          <w:tab w:val="left" w:pos="851"/>
        </w:tabs>
        <w:ind w:left="851"/>
        <w:rPr>
          <w:sz w:val="24"/>
          <w:szCs w:val="24"/>
        </w:rPr>
      </w:pPr>
    </w:p>
    <w:p w14:paraId="2A3583D5" w14:textId="77777777" w:rsidR="00F84D1A" w:rsidRPr="00F84D1A" w:rsidRDefault="00F84D1A" w:rsidP="00F84D1A">
      <w:pPr>
        <w:tabs>
          <w:tab w:val="left" w:pos="851"/>
        </w:tabs>
        <w:ind w:left="851"/>
        <w:rPr>
          <w:sz w:val="24"/>
          <w:szCs w:val="24"/>
        </w:rPr>
      </w:pPr>
      <w:r w:rsidRPr="00F84D1A">
        <w:rPr>
          <w:sz w:val="24"/>
          <w:szCs w:val="24"/>
        </w:rPr>
        <w:t>Klar, farveløs opløsning.</w:t>
      </w:r>
    </w:p>
    <w:p w14:paraId="1E6ECB9F" w14:textId="77777777" w:rsidR="009260DE" w:rsidRPr="00C84483" w:rsidRDefault="009260DE" w:rsidP="009260DE">
      <w:pPr>
        <w:tabs>
          <w:tab w:val="left" w:pos="851"/>
        </w:tabs>
        <w:ind w:left="851"/>
        <w:rPr>
          <w:sz w:val="24"/>
          <w:szCs w:val="24"/>
        </w:rPr>
      </w:pPr>
    </w:p>
    <w:p w14:paraId="1B864F3B" w14:textId="77777777" w:rsidR="009260DE" w:rsidRPr="00C84483" w:rsidRDefault="009260DE" w:rsidP="009260DE">
      <w:pPr>
        <w:tabs>
          <w:tab w:val="left" w:pos="851"/>
        </w:tabs>
        <w:ind w:left="851"/>
        <w:rPr>
          <w:sz w:val="24"/>
          <w:szCs w:val="24"/>
        </w:rPr>
      </w:pPr>
    </w:p>
    <w:p w14:paraId="0A9A545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DA15EA5" w14:textId="77777777" w:rsidR="009260DE" w:rsidRPr="00C84483" w:rsidRDefault="009260DE" w:rsidP="009260DE">
      <w:pPr>
        <w:tabs>
          <w:tab w:val="left" w:pos="851"/>
        </w:tabs>
        <w:ind w:left="851"/>
        <w:rPr>
          <w:b/>
          <w:sz w:val="24"/>
          <w:szCs w:val="24"/>
        </w:rPr>
      </w:pPr>
    </w:p>
    <w:p w14:paraId="12B8DB20"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0D561CB" w14:textId="77777777" w:rsidR="00F84D1A" w:rsidRPr="00F84D1A" w:rsidRDefault="00F84D1A" w:rsidP="00F84D1A">
      <w:pPr>
        <w:numPr>
          <w:ilvl w:val="0"/>
          <w:numId w:val="6"/>
        </w:numPr>
        <w:ind w:left="1134" w:hanging="283"/>
        <w:rPr>
          <w:sz w:val="24"/>
          <w:szCs w:val="24"/>
        </w:rPr>
      </w:pPr>
      <w:r w:rsidRPr="00F84D1A">
        <w:rPr>
          <w:sz w:val="24"/>
          <w:szCs w:val="24"/>
        </w:rPr>
        <w:t>Cerebralt ødem forårsaget af cerebral tumor, neurokirurgiske indgreb, hjerneabsces, bakteriel meningitis.</w:t>
      </w:r>
    </w:p>
    <w:p w14:paraId="65157399" w14:textId="77777777" w:rsidR="00F84D1A" w:rsidRPr="00F84D1A" w:rsidRDefault="00F84D1A" w:rsidP="00F84D1A">
      <w:pPr>
        <w:numPr>
          <w:ilvl w:val="0"/>
          <w:numId w:val="6"/>
        </w:numPr>
        <w:ind w:left="1134" w:hanging="283"/>
        <w:rPr>
          <w:sz w:val="24"/>
          <w:szCs w:val="24"/>
        </w:rPr>
      </w:pPr>
      <w:r w:rsidRPr="00F84D1A">
        <w:rPr>
          <w:sz w:val="24"/>
          <w:szCs w:val="24"/>
        </w:rPr>
        <w:t>Alvorligt, akut astmaanfald.</w:t>
      </w:r>
    </w:p>
    <w:p w14:paraId="0300A009" w14:textId="77777777" w:rsidR="00F84D1A" w:rsidRPr="00F84D1A" w:rsidRDefault="00F84D1A" w:rsidP="00F84D1A">
      <w:pPr>
        <w:numPr>
          <w:ilvl w:val="0"/>
          <w:numId w:val="6"/>
        </w:numPr>
        <w:ind w:left="1134" w:hanging="283"/>
        <w:rPr>
          <w:sz w:val="24"/>
          <w:szCs w:val="24"/>
        </w:rPr>
      </w:pPr>
      <w:r w:rsidRPr="00F84D1A">
        <w:rPr>
          <w:sz w:val="24"/>
          <w:szCs w:val="24"/>
        </w:rPr>
        <w:t xml:space="preserve">Indledende parenteral behandling af udbredte, akutte, svære hudsygdomme såsom </w:t>
      </w:r>
      <w:proofErr w:type="spellStart"/>
      <w:r w:rsidRPr="00F84D1A">
        <w:rPr>
          <w:sz w:val="24"/>
          <w:szCs w:val="24"/>
        </w:rPr>
        <w:t>erytrodermi</w:t>
      </w:r>
      <w:proofErr w:type="spellEnd"/>
      <w:r w:rsidRPr="00F84D1A">
        <w:rPr>
          <w:sz w:val="24"/>
          <w:szCs w:val="24"/>
        </w:rPr>
        <w:t xml:space="preserve">, </w:t>
      </w:r>
      <w:proofErr w:type="spellStart"/>
      <w:r w:rsidRPr="00F84D1A">
        <w:rPr>
          <w:sz w:val="24"/>
          <w:szCs w:val="24"/>
        </w:rPr>
        <w:t>pemphigus</w:t>
      </w:r>
      <w:proofErr w:type="spellEnd"/>
      <w:r w:rsidRPr="00F84D1A">
        <w:rPr>
          <w:sz w:val="24"/>
          <w:szCs w:val="24"/>
        </w:rPr>
        <w:t xml:space="preserve"> </w:t>
      </w:r>
      <w:proofErr w:type="spellStart"/>
      <w:r w:rsidRPr="00F84D1A">
        <w:rPr>
          <w:sz w:val="24"/>
          <w:szCs w:val="24"/>
        </w:rPr>
        <w:t>vulgaris</w:t>
      </w:r>
      <w:proofErr w:type="spellEnd"/>
      <w:r w:rsidRPr="00F84D1A">
        <w:rPr>
          <w:sz w:val="24"/>
          <w:szCs w:val="24"/>
        </w:rPr>
        <w:t>, akut eksem.</w:t>
      </w:r>
    </w:p>
    <w:p w14:paraId="4A081884" w14:textId="77777777" w:rsidR="00F84D1A" w:rsidRPr="00F84D1A" w:rsidRDefault="00F84D1A" w:rsidP="00F84D1A">
      <w:pPr>
        <w:numPr>
          <w:ilvl w:val="0"/>
          <w:numId w:val="6"/>
        </w:numPr>
        <w:ind w:left="1134" w:hanging="283"/>
        <w:rPr>
          <w:sz w:val="24"/>
          <w:szCs w:val="24"/>
        </w:rPr>
      </w:pPr>
      <w:r w:rsidRPr="00F84D1A">
        <w:rPr>
          <w:sz w:val="24"/>
          <w:szCs w:val="24"/>
        </w:rPr>
        <w:t xml:space="preserve">Initial parenteral behandling af aktive faser af </w:t>
      </w:r>
      <w:proofErr w:type="spellStart"/>
      <w:r w:rsidRPr="00F84D1A">
        <w:rPr>
          <w:sz w:val="24"/>
          <w:szCs w:val="24"/>
        </w:rPr>
        <w:t>kollagenoser</w:t>
      </w:r>
      <w:proofErr w:type="spellEnd"/>
      <w:r w:rsidRPr="00F84D1A">
        <w:rPr>
          <w:sz w:val="24"/>
          <w:szCs w:val="24"/>
        </w:rPr>
        <w:t xml:space="preserve">, såsom systemisk lupus </w:t>
      </w:r>
      <w:proofErr w:type="spellStart"/>
      <w:r w:rsidRPr="00F84D1A">
        <w:rPr>
          <w:sz w:val="24"/>
          <w:szCs w:val="24"/>
        </w:rPr>
        <w:t>erythematosus</w:t>
      </w:r>
      <w:proofErr w:type="spellEnd"/>
      <w:r w:rsidRPr="00F84D1A">
        <w:rPr>
          <w:sz w:val="24"/>
          <w:szCs w:val="24"/>
        </w:rPr>
        <w:t xml:space="preserve">, især </w:t>
      </w:r>
      <w:proofErr w:type="spellStart"/>
      <w:r w:rsidRPr="00F84D1A">
        <w:rPr>
          <w:sz w:val="24"/>
          <w:szCs w:val="24"/>
        </w:rPr>
        <w:t>viscerale</w:t>
      </w:r>
      <w:proofErr w:type="spellEnd"/>
      <w:r w:rsidRPr="00F84D1A">
        <w:rPr>
          <w:sz w:val="24"/>
          <w:szCs w:val="24"/>
        </w:rPr>
        <w:t xml:space="preserve"> former.</w:t>
      </w:r>
    </w:p>
    <w:p w14:paraId="33A14FFB" w14:textId="77777777" w:rsidR="00F84D1A" w:rsidRPr="00F84D1A" w:rsidRDefault="00F84D1A" w:rsidP="00F84D1A">
      <w:pPr>
        <w:numPr>
          <w:ilvl w:val="0"/>
          <w:numId w:val="6"/>
        </w:numPr>
        <w:ind w:left="1134" w:hanging="283"/>
        <w:rPr>
          <w:sz w:val="24"/>
          <w:szCs w:val="24"/>
        </w:rPr>
      </w:pPr>
      <w:r w:rsidRPr="00F84D1A">
        <w:rPr>
          <w:sz w:val="24"/>
          <w:szCs w:val="24"/>
        </w:rPr>
        <w:t xml:space="preserve">Kortvarig </w:t>
      </w:r>
      <w:proofErr w:type="spellStart"/>
      <w:r w:rsidRPr="00F84D1A">
        <w:rPr>
          <w:sz w:val="24"/>
          <w:szCs w:val="24"/>
        </w:rPr>
        <w:t>co-adjuvant</w:t>
      </w:r>
      <w:proofErr w:type="spellEnd"/>
      <w:r w:rsidRPr="00F84D1A">
        <w:rPr>
          <w:sz w:val="24"/>
          <w:szCs w:val="24"/>
        </w:rPr>
        <w:t xml:space="preserve"> behandling ved akutte udbrud eller forværring af reumatiske sygdomme.</w:t>
      </w:r>
    </w:p>
    <w:p w14:paraId="4E861A5D" w14:textId="77777777" w:rsidR="00F84D1A" w:rsidRPr="00F84D1A" w:rsidRDefault="00F84D1A" w:rsidP="00F84D1A">
      <w:pPr>
        <w:numPr>
          <w:ilvl w:val="0"/>
          <w:numId w:val="6"/>
        </w:numPr>
        <w:ind w:left="1134" w:hanging="283"/>
        <w:rPr>
          <w:sz w:val="24"/>
          <w:szCs w:val="24"/>
        </w:rPr>
      </w:pPr>
      <w:r w:rsidRPr="00F84D1A">
        <w:rPr>
          <w:sz w:val="24"/>
          <w:szCs w:val="24"/>
        </w:rPr>
        <w:t xml:space="preserve">Alvorlige infektionssygdomme med toksiske tilstande (f.eks. tuberkulose, tyfus, </w:t>
      </w:r>
      <w:proofErr w:type="spellStart"/>
      <w:r w:rsidRPr="00F84D1A">
        <w:rPr>
          <w:sz w:val="24"/>
          <w:szCs w:val="24"/>
        </w:rPr>
        <w:t>brucellose</w:t>
      </w:r>
      <w:proofErr w:type="spellEnd"/>
      <w:r w:rsidRPr="00F84D1A">
        <w:rPr>
          <w:sz w:val="24"/>
          <w:szCs w:val="24"/>
        </w:rPr>
        <w:t xml:space="preserve">) kun med samtidig </w:t>
      </w:r>
      <w:proofErr w:type="spellStart"/>
      <w:r w:rsidRPr="00F84D1A">
        <w:rPr>
          <w:sz w:val="24"/>
          <w:szCs w:val="24"/>
        </w:rPr>
        <w:t>anti</w:t>
      </w:r>
      <w:proofErr w:type="spellEnd"/>
      <w:r w:rsidRPr="00F84D1A">
        <w:rPr>
          <w:sz w:val="24"/>
          <w:szCs w:val="24"/>
        </w:rPr>
        <w:t>-infektionsbehandling.</w:t>
      </w:r>
    </w:p>
    <w:p w14:paraId="6BEA1BFD" w14:textId="3FB44E99" w:rsidR="004B56BF" w:rsidRPr="004B56BF" w:rsidRDefault="00F84D1A" w:rsidP="004B56BF">
      <w:pPr>
        <w:pStyle w:val="Listeafsnit"/>
        <w:numPr>
          <w:ilvl w:val="0"/>
          <w:numId w:val="8"/>
        </w:numPr>
        <w:ind w:left="1134" w:hanging="283"/>
        <w:rPr>
          <w:sz w:val="24"/>
          <w:szCs w:val="24"/>
        </w:rPr>
      </w:pPr>
      <w:r w:rsidRPr="004B56BF">
        <w:rPr>
          <w:sz w:val="24"/>
          <w:szCs w:val="24"/>
        </w:rPr>
        <w:t xml:space="preserve">Profylakse og behandling af postoperativ eller </w:t>
      </w:r>
      <w:proofErr w:type="spellStart"/>
      <w:r w:rsidRPr="004B56BF">
        <w:rPr>
          <w:sz w:val="24"/>
          <w:szCs w:val="24"/>
        </w:rPr>
        <w:t>cytostatika</w:t>
      </w:r>
      <w:proofErr w:type="spellEnd"/>
      <w:r w:rsidRPr="004B56BF">
        <w:rPr>
          <w:sz w:val="24"/>
          <w:szCs w:val="24"/>
        </w:rPr>
        <w:t xml:space="preserve">-induceret opkastning ved </w:t>
      </w:r>
      <w:proofErr w:type="spellStart"/>
      <w:r w:rsidRPr="004B56BF">
        <w:rPr>
          <w:sz w:val="24"/>
          <w:szCs w:val="24"/>
        </w:rPr>
        <w:t>antiemetiske</w:t>
      </w:r>
      <w:proofErr w:type="spellEnd"/>
      <w:r w:rsidRPr="004B56BF">
        <w:rPr>
          <w:sz w:val="24"/>
          <w:szCs w:val="24"/>
        </w:rPr>
        <w:t xml:space="preserve"> regimer.</w:t>
      </w:r>
      <w:r w:rsidR="004B56BF" w:rsidRPr="004B56BF">
        <w:rPr>
          <w:sz w:val="24"/>
          <w:szCs w:val="24"/>
        </w:rPr>
        <w:t xml:space="preserve"> </w:t>
      </w:r>
    </w:p>
    <w:p w14:paraId="0F40B033" w14:textId="77777777" w:rsidR="004B56BF" w:rsidRPr="004B56BF" w:rsidRDefault="004B56BF" w:rsidP="004B56BF">
      <w:pPr>
        <w:pStyle w:val="Listeafsnit"/>
        <w:numPr>
          <w:ilvl w:val="0"/>
          <w:numId w:val="8"/>
        </w:numPr>
        <w:ind w:left="1134" w:hanging="283"/>
        <w:rPr>
          <w:sz w:val="24"/>
          <w:szCs w:val="24"/>
        </w:rPr>
      </w:pPr>
      <w:r w:rsidRPr="004B56BF">
        <w:rPr>
          <w:sz w:val="24"/>
          <w:szCs w:val="24"/>
        </w:rPr>
        <w:lastRenderedPageBreak/>
        <w:t xml:space="preserve">Behandling af </w:t>
      </w:r>
      <w:proofErr w:type="spellStart"/>
      <w:r w:rsidRPr="004B56BF">
        <w:rPr>
          <w:sz w:val="24"/>
          <w:szCs w:val="24"/>
        </w:rPr>
        <w:t>coronavirussygdom</w:t>
      </w:r>
      <w:proofErr w:type="spellEnd"/>
      <w:r w:rsidRPr="004B56BF">
        <w:rPr>
          <w:sz w:val="24"/>
          <w:szCs w:val="24"/>
        </w:rPr>
        <w:t xml:space="preserve"> 2019 (COVID</w:t>
      </w:r>
      <w:r w:rsidRPr="004B56BF">
        <w:rPr>
          <w:sz w:val="24"/>
          <w:szCs w:val="24"/>
        </w:rPr>
        <w:noBreakHyphen/>
        <w:t>19) hos voksne og unge patienter (12 år og ældre med en legemsvægt på mindst 40 kg), der har behov for supplerende iltbehandling.</w:t>
      </w:r>
    </w:p>
    <w:p w14:paraId="7B2F866F" w14:textId="77777777" w:rsidR="00F84D1A" w:rsidRPr="00F84D1A" w:rsidRDefault="00F84D1A" w:rsidP="00F84D1A">
      <w:pPr>
        <w:tabs>
          <w:tab w:val="left" w:pos="851"/>
        </w:tabs>
        <w:ind w:left="851"/>
        <w:rPr>
          <w:sz w:val="24"/>
          <w:szCs w:val="24"/>
        </w:rPr>
      </w:pPr>
    </w:p>
    <w:p w14:paraId="69454356" w14:textId="77777777" w:rsidR="00F84D1A" w:rsidRPr="00F84D1A" w:rsidRDefault="00F84D1A" w:rsidP="00F84D1A">
      <w:pPr>
        <w:tabs>
          <w:tab w:val="left" w:pos="851"/>
        </w:tabs>
        <w:ind w:left="851"/>
        <w:rPr>
          <w:sz w:val="24"/>
          <w:szCs w:val="24"/>
          <w:u w:val="single"/>
        </w:rPr>
      </w:pPr>
      <w:r w:rsidRPr="00F84D1A">
        <w:rPr>
          <w:sz w:val="24"/>
          <w:szCs w:val="24"/>
          <w:u w:val="single"/>
        </w:rPr>
        <w:t>Lokal administration</w:t>
      </w:r>
    </w:p>
    <w:p w14:paraId="2135338E" w14:textId="77777777" w:rsidR="00F84D1A" w:rsidRPr="00F84D1A" w:rsidRDefault="00F84D1A" w:rsidP="00F84D1A">
      <w:pPr>
        <w:tabs>
          <w:tab w:val="left" w:pos="851"/>
        </w:tabs>
        <w:ind w:left="851"/>
        <w:rPr>
          <w:sz w:val="24"/>
          <w:szCs w:val="24"/>
        </w:rPr>
      </w:pPr>
      <w:r w:rsidRPr="00F84D1A">
        <w:rPr>
          <w:sz w:val="24"/>
          <w:szCs w:val="24"/>
        </w:rPr>
        <w:t xml:space="preserve">Intra- og </w:t>
      </w:r>
      <w:proofErr w:type="spellStart"/>
      <w:r w:rsidRPr="00F84D1A">
        <w:rPr>
          <w:sz w:val="24"/>
          <w:szCs w:val="24"/>
        </w:rPr>
        <w:t>periartikulær</w:t>
      </w:r>
      <w:proofErr w:type="spellEnd"/>
      <w:r w:rsidRPr="00F84D1A">
        <w:rPr>
          <w:sz w:val="24"/>
          <w:szCs w:val="24"/>
        </w:rPr>
        <w:t xml:space="preserve"> brug ved inflammatoriske sygdomme såsom </w:t>
      </w:r>
      <w:proofErr w:type="spellStart"/>
      <w:r w:rsidRPr="00F84D1A">
        <w:rPr>
          <w:sz w:val="24"/>
          <w:szCs w:val="24"/>
        </w:rPr>
        <w:t>reumatoid</w:t>
      </w:r>
      <w:proofErr w:type="spellEnd"/>
      <w:r w:rsidRPr="00F84D1A">
        <w:rPr>
          <w:sz w:val="24"/>
          <w:szCs w:val="24"/>
        </w:rPr>
        <w:t xml:space="preserve"> artritis, </w:t>
      </w:r>
      <w:proofErr w:type="spellStart"/>
      <w:r w:rsidRPr="00F84D1A">
        <w:rPr>
          <w:sz w:val="24"/>
          <w:szCs w:val="24"/>
        </w:rPr>
        <w:t>osteoartritis</w:t>
      </w:r>
      <w:proofErr w:type="spellEnd"/>
      <w:r w:rsidRPr="00F84D1A">
        <w:rPr>
          <w:sz w:val="24"/>
          <w:szCs w:val="24"/>
        </w:rPr>
        <w:t xml:space="preserve">, periartritis og </w:t>
      </w:r>
      <w:proofErr w:type="spellStart"/>
      <w:r w:rsidRPr="00F84D1A">
        <w:rPr>
          <w:sz w:val="24"/>
          <w:szCs w:val="24"/>
        </w:rPr>
        <w:t>epicondolytis</w:t>
      </w:r>
      <w:proofErr w:type="spellEnd"/>
    </w:p>
    <w:p w14:paraId="110784FD" w14:textId="77777777" w:rsidR="00F84D1A" w:rsidRPr="00F84D1A" w:rsidRDefault="00F84D1A" w:rsidP="00F84D1A">
      <w:pPr>
        <w:tabs>
          <w:tab w:val="left" w:pos="851"/>
        </w:tabs>
        <w:ind w:left="851"/>
        <w:rPr>
          <w:sz w:val="24"/>
          <w:szCs w:val="24"/>
        </w:rPr>
      </w:pPr>
      <w:r w:rsidRPr="00F84D1A">
        <w:rPr>
          <w:sz w:val="24"/>
          <w:szCs w:val="24"/>
        </w:rPr>
        <w:t xml:space="preserve">Non-bakteriel </w:t>
      </w:r>
      <w:proofErr w:type="spellStart"/>
      <w:r w:rsidRPr="00F84D1A">
        <w:rPr>
          <w:sz w:val="24"/>
          <w:szCs w:val="24"/>
        </w:rPr>
        <w:t>tendovaginitis</w:t>
      </w:r>
      <w:proofErr w:type="spellEnd"/>
      <w:r w:rsidRPr="00F84D1A">
        <w:rPr>
          <w:sz w:val="24"/>
          <w:szCs w:val="24"/>
        </w:rPr>
        <w:t xml:space="preserve"> og </w:t>
      </w:r>
      <w:proofErr w:type="spellStart"/>
      <w:r w:rsidRPr="00F84D1A">
        <w:rPr>
          <w:sz w:val="24"/>
          <w:szCs w:val="24"/>
        </w:rPr>
        <w:t>bursitis</w:t>
      </w:r>
      <w:proofErr w:type="spellEnd"/>
      <w:r w:rsidRPr="00F84D1A">
        <w:rPr>
          <w:sz w:val="24"/>
          <w:szCs w:val="24"/>
        </w:rPr>
        <w:t xml:space="preserve">, </w:t>
      </w:r>
      <w:proofErr w:type="spellStart"/>
      <w:r w:rsidRPr="00F84D1A">
        <w:rPr>
          <w:sz w:val="24"/>
          <w:szCs w:val="24"/>
        </w:rPr>
        <w:t>periartropati</w:t>
      </w:r>
      <w:proofErr w:type="spellEnd"/>
      <w:r w:rsidRPr="00F84D1A">
        <w:rPr>
          <w:sz w:val="24"/>
          <w:szCs w:val="24"/>
        </w:rPr>
        <w:t xml:space="preserve">, </w:t>
      </w:r>
      <w:proofErr w:type="spellStart"/>
      <w:r w:rsidRPr="00F84D1A">
        <w:rPr>
          <w:sz w:val="24"/>
          <w:szCs w:val="24"/>
        </w:rPr>
        <w:t>insertionel</w:t>
      </w:r>
      <w:proofErr w:type="spellEnd"/>
      <w:r w:rsidRPr="00F84D1A">
        <w:rPr>
          <w:sz w:val="24"/>
          <w:szCs w:val="24"/>
        </w:rPr>
        <w:t xml:space="preserve"> </w:t>
      </w:r>
      <w:proofErr w:type="spellStart"/>
      <w:r w:rsidRPr="00F84D1A">
        <w:rPr>
          <w:sz w:val="24"/>
          <w:szCs w:val="24"/>
        </w:rPr>
        <w:t>tendinopati</w:t>
      </w:r>
      <w:proofErr w:type="spellEnd"/>
      <w:r w:rsidRPr="00F84D1A">
        <w:rPr>
          <w:sz w:val="24"/>
          <w:szCs w:val="24"/>
        </w:rPr>
        <w:t>.</w:t>
      </w:r>
    </w:p>
    <w:p w14:paraId="1EA52441" w14:textId="77777777" w:rsidR="009260DE" w:rsidRPr="00C84483" w:rsidRDefault="009260DE" w:rsidP="009260DE">
      <w:pPr>
        <w:tabs>
          <w:tab w:val="left" w:pos="851"/>
        </w:tabs>
        <w:ind w:left="851"/>
        <w:rPr>
          <w:sz w:val="24"/>
          <w:szCs w:val="24"/>
        </w:rPr>
      </w:pPr>
    </w:p>
    <w:p w14:paraId="406C86B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045FAA71" w14:textId="77777777" w:rsidR="00F84D1A" w:rsidRPr="00F84D1A" w:rsidRDefault="00F84D1A" w:rsidP="00F84D1A">
      <w:pPr>
        <w:tabs>
          <w:tab w:val="left" w:pos="851"/>
        </w:tabs>
        <w:ind w:left="851"/>
        <w:rPr>
          <w:sz w:val="24"/>
          <w:szCs w:val="24"/>
        </w:rPr>
      </w:pPr>
    </w:p>
    <w:p w14:paraId="651A72E9" w14:textId="77777777" w:rsidR="00F84D1A" w:rsidRPr="00F84D1A" w:rsidRDefault="00F84D1A" w:rsidP="00F84D1A">
      <w:pPr>
        <w:tabs>
          <w:tab w:val="left" w:pos="851"/>
        </w:tabs>
        <w:ind w:left="851"/>
        <w:rPr>
          <w:sz w:val="24"/>
          <w:szCs w:val="24"/>
          <w:u w:val="single"/>
        </w:rPr>
      </w:pPr>
      <w:r w:rsidRPr="00F84D1A">
        <w:rPr>
          <w:sz w:val="24"/>
          <w:szCs w:val="24"/>
          <w:u w:val="single"/>
        </w:rPr>
        <w:t>Dosering</w:t>
      </w:r>
    </w:p>
    <w:p w14:paraId="42B747E2" w14:textId="77777777" w:rsidR="00F84D1A" w:rsidRPr="00F84D1A" w:rsidRDefault="00F84D1A" w:rsidP="00F84D1A">
      <w:pPr>
        <w:tabs>
          <w:tab w:val="left" w:pos="851"/>
        </w:tabs>
        <w:ind w:left="851"/>
        <w:rPr>
          <w:sz w:val="24"/>
          <w:szCs w:val="24"/>
        </w:rPr>
      </w:pPr>
      <w:r w:rsidRPr="00F84D1A">
        <w:rPr>
          <w:sz w:val="24"/>
          <w:szCs w:val="24"/>
        </w:rPr>
        <w:t xml:space="preserve">Generelt set initieres farmakologisk akut behandling med </w:t>
      </w:r>
      <w:proofErr w:type="spellStart"/>
      <w:r w:rsidRPr="00F84D1A">
        <w:rPr>
          <w:sz w:val="24"/>
          <w:szCs w:val="24"/>
        </w:rPr>
        <w:t>glukokortikoider</w:t>
      </w:r>
      <w:proofErr w:type="spellEnd"/>
      <w:r w:rsidRPr="00F84D1A">
        <w:rPr>
          <w:sz w:val="24"/>
          <w:szCs w:val="24"/>
        </w:rPr>
        <w:t xml:space="preserve"> med høje doser, der ofte administreres intravenøst eller intramuskulært. Afhængigt af den terapeutiske indikation og sværhedsgraden af sygdommen fortsættes den initiale dosis i nogle få dage. Når der er opnået et gunstigt initialrespons, bør den korrekte vedligeholdelsesdosis bestemmes ved gradvist at nedsætte initialdosis til den laveste dosis, der er tilstrækkelig til at opretholde det ønskede respons.</w:t>
      </w:r>
    </w:p>
    <w:p w14:paraId="0C4D90E1" w14:textId="77777777" w:rsidR="00F84D1A" w:rsidRPr="00F84D1A" w:rsidRDefault="00F84D1A" w:rsidP="00F84D1A">
      <w:pPr>
        <w:tabs>
          <w:tab w:val="left" w:pos="851"/>
        </w:tabs>
        <w:ind w:left="851"/>
        <w:rPr>
          <w:sz w:val="24"/>
          <w:szCs w:val="24"/>
        </w:rPr>
      </w:pPr>
      <w:r w:rsidRPr="00F84D1A">
        <w:rPr>
          <w:sz w:val="24"/>
          <w:szCs w:val="24"/>
        </w:rPr>
        <w:t xml:space="preserve">Patienterne bør overvåges nøje for tegn, der indikerer, at der er behov for dosisjustering. Dosis bør nedsættes gradvist. Pludselig </w:t>
      </w:r>
      <w:proofErr w:type="spellStart"/>
      <w:r w:rsidRPr="00F84D1A">
        <w:rPr>
          <w:sz w:val="24"/>
          <w:szCs w:val="24"/>
        </w:rPr>
        <w:t>seponering</w:t>
      </w:r>
      <w:proofErr w:type="spellEnd"/>
      <w:r w:rsidRPr="00F84D1A">
        <w:rPr>
          <w:sz w:val="24"/>
          <w:szCs w:val="24"/>
        </w:rPr>
        <w:t xml:space="preserve"> af lægemidlet efter mere end 10 dages behandling kan fremkalde akut binyreinsufficiens, og </w:t>
      </w:r>
      <w:proofErr w:type="spellStart"/>
      <w:r w:rsidRPr="00F84D1A">
        <w:rPr>
          <w:sz w:val="24"/>
          <w:szCs w:val="24"/>
        </w:rPr>
        <w:t>seponering</w:t>
      </w:r>
      <w:proofErr w:type="spellEnd"/>
      <w:r w:rsidRPr="00F84D1A">
        <w:rPr>
          <w:sz w:val="24"/>
          <w:szCs w:val="24"/>
        </w:rPr>
        <w:t xml:space="preserve"> af lægemidlet bør derfor ske gradvist (se pkt. 4.4).</w:t>
      </w:r>
    </w:p>
    <w:p w14:paraId="16BBD12C" w14:textId="77777777" w:rsidR="00F84D1A" w:rsidRPr="00F84D1A" w:rsidRDefault="00F84D1A" w:rsidP="00F84D1A">
      <w:pPr>
        <w:tabs>
          <w:tab w:val="left" w:pos="851"/>
        </w:tabs>
        <w:ind w:left="851"/>
        <w:rPr>
          <w:sz w:val="24"/>
          <w:szCs w:val="24"/>
        </w:rPr>
      </w:pPr>
    </w:p>
    <w:p w14:paraId="3E5438C3" w14:textId="77777777" w:rsidR="00F84D1A" w:rsidRPr="00F84D1A" w:rsidRDefault="00F84D1A" w:rsidP="00F84D1A">
      <w:pPr>
        <w:tabs>
          <w:tab w:val="left" w:pos="851"/>
        </w:tabs>
        <w:ind w:left="851"/>
        <w:rPr>
          <w:sz w:val="24"/>
          <w:szCs w:val="24"/>
        </w:rPr>
      </w:pPr>
      <w:r w:rsidRPr="00F84D1A">
        <w:rPr>
          <w:sz w:val="24"/>
          <w:szCs w:val="24"/>
        </w:rPr>
        <w:t xml:space="preserve">Hvis fortsat vedligeholdelsesbehandling er nødvendig efter den initiale behandling, bør muligheden for fortsat behandling med </w:t>
      </w:r>
      <w:proofErr w:type="spellStart"/>
      <w:r w:rsidRPr="00F84D1A">
        <w:rPr>
          <w:sz w:val="24"/>
          <w:szCs w:val="24"/>
        </w:rPr>
        <w:t>prednison</w:t>
      </w:r>
      <w:proofErr w:type="spellEnd"/>
      <w:r w:rsidRPr="00F84D1A">
        <w:rPr>
          <w:sz w:val="24"/>
          <w:szCs w:val="24"/>
        </w:rPr>
        <w:t>/</w:t>
      </w:r>
      <w:proofErr w:type="spellStart"/>
      <w:r w:rsidRPr="00F84D1A">
        <w:rPr>
          <w:sz w:val="24"/>
          <w:szCs w:val="24"/>
        </w:rPr>
        <w:t>prednisolon</w:t>
      </w:r>
      <w:proofErr w:type="spellEnd"/>
      <w:r w:rsidRPr="00F84D1A">
        <w:rPr>
          <w:sz w:val="24"/>
          <w:szCs w:val="24"/>
        </w:rPr>
        <w:t xml:space="preserve"> overvejes, da disse lægemidler forårsager mindre binyresuppression. Vedligeholdelsesdosen kan også administreres oralt.</w:t>
      </w:r>
    </w:p>
    <w:p w14:paraId="40125806" w14:textId="77777777" w:rsidR="00F84D1A" w:rsidRPr="00F84D1A" w:rsidRDefault="00F84D1A" w:rsidP="00F84D1A">
      <w:pPr>
        <w:tabs>
          <w:tab w:val="left" w:pos="851"/>
        </w:tabs>
        <w:ind w:left="851"/>
        <w:rPr>
          <w:sz w:val="24"/>
          <w:szCs w:val="24"/>
        </w:rPr>
      </w:pPr>
    </w:p>
    <w:p w14:paraId="1AC7A716" w14:textId="77777777" w:rsidR="00F84D1A" w:rsidRPr="00F84D1A" w:rsidRDefault="00F84D1A" w:rsidP="00F84D1A">
      <w:pPr>
        <w:tabs>
          <w:tab w:val="left" w:pos="851"/>
        </w:tabs>
        <w:ind w:left="851"/>
        <w:rPr>
          <w:sz w:val="24"/>
          <w:szCs w:val="24"/>
        </w:rPr>
      </w:pPr>
      <w:r w:rsidRPr="00F84D1A">
        <w:rPr>
          <w:sz w:val="24"/>
          <w:szCs w:val="24"/>
        </w:rPr>
        <w:t xml:space="preserve">Det anbefales at der administreres en dosis på mindst 0,4 mg svarende til 0,1 ml af lægemidlet, og at der anvendes en 1 ml sprøjte til at trække </w:t>
      </w:r>
      <w:proofErr w:type="spellStart"/>
      <w:r w:rsidRPr="00F84D1A">
        <w:rPr>
          <w:sz w:val="24"/>
          <w:szCs w:val="24"/>
        </w:rPr>
        <w:t>Dexacur</w:t>
      </w:r>
      <w:proofErr w:type="spellEnd"/>
      <w:r w:rsidRPr="00F84D1A">
        <w:rPr>
          <w:sz w:val="24"/>
          <w:szCs w:val="24"/>
        </w:rPr>
        <w:t xml:space="preserve"> op fra ampullen.</w:t>
      </w:r>
    </w:p>
    <w:p w14:paraId="7861C6B6" w14:textId="77777777" w:rsidR="00F84D1A" w:rsidRPr="00F84D1A" w:rsidRDefault="00F84D1A" w:rsidP="00F84D1A">
      <w:pPr>
        <w:tabs>
          <w:tab w:val="left" w:pos="851"/>
        </w:tabs>
        <w:ind w:left="851"/>
        <w:rPr>
          <w:sz w:val="24"/>
          <w:szCs w:val="24"/>
        </w:rPr>
      </w:pPr>
    </w:p>
    <w:p w14:paraId="5A113E82" w14:textId="77777777" w:rsidR="00F84D1A" w:rsidRPr="00F84D1A" w:rsidRDefault="00F84D1A" w:rsidP="00F84D1A">
      <w:pPr>
        <w:tabs>
          <w:tab w:val="left" w:pos="851"/>
        </w:tabs>
        <w:ind w:left="851"/>
        <w:rPr>
          <w:sz w:val="24"/>
          <w:szCs w:val="24"/>
        </w:rPr>
      </w:pPr>
      <w:bookmarkStart w:id="0" w:name="_Hlk66891508"/>
      <w:proofErr w:type="spellStart"/>
      <w:r w:rsidRPr="00F84D1A">
        <w:rPr>
          <w:sz w:val="24"/>
          <w:szCs w:val="24"/>
        </w:rPr>
        <w:t>Dexacur</w:t>
      </w:r>
      <w:proofErr w:type="spellEnd"/>
      <w:r w:rsidRPr="00F84D1A">
        <w:rPr>
          <w:sz w:val="24"/>
          <w:szCs w:val="24"/>
        </w:rPr>
        <w:t xml:space="preserve"> kan administreres direkte eller tilsættes i en af følgende opløsninger og administreres som infusion, se pkt. 6.6:</w:t>
      </w:r>
    </w:p>
    <w:p w14:paraId="6297EDF2"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 xml:space="preserve">50 mg/ml </w:t>
      </w:r>
      <w:proofErr w:type="spellStart"/>
      <w:r w:rsidRPr="00F84D1A">
        <w:rPr>
          <w:sz w:val="24"/>
          <w:szCs w:val="24"/>
        </w:rPr>
        <w:t>glucoseopløsning</w:t>
      </w:r>
      <w:proofErr w:type="spellEnd"/>
      <w:r w:rsidRPr="00F84D1A">
        <w:rPr>
          <w:sz w:val="24"/>
          <w:szCs w:val="24"/>
        </w:rPr>
        <w:t xml:space="preserve"> (5 %)</w:t>
      </w:r>
    </w:p>
    <w:p w14:paraId="79904C41"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 xml:space="preserve">9 mg/ml </w:t>
      </w:r>
      <w:proofErr w:type="spellStart"/>
      <w:r w:rsidRPr="00F84D1A">
        <w:rPr>
          <w:sz w:val="24"/>
          <w:szCs w:val="24"/>
        </w:rPr>
        <w:t>natriumchloridopløsning</w:t>
      </w:r>
      <w:proofErr w:type="spellEnd"/>
      <w:r w:rsidRPr="00F84D1A">
        <w:rPr>
          <w:sz w:val="24"/>
          <w:szCs w:val="24"/>
        </w:rPr>
        <w:t xml:space="preserve"> (0,9 %)</w:t>
      </w:r>
    </w:p>
    <w:p w14:paraId="2FCA56AB"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Ringer-laktat-opløsning.</w:t>
      </w:r>
    </w:p>
    <w:bookmarkEnd w:id="0"/>
    <w:p w14:paraId="006BBE1C" w14:textId="77777777" w:rsidR="00F84D1A" w:rsidRPr="00F84D1A" w:rsidRDefault="00F84D1A" w:rsidP="00F84D1A">
      <w:pPr>
        <w:tabs>
          <w:tab w:val="left" w:pos="851"/>
        </w:tabs>
        <w:ind w:left="851"/>
        <w:rPr>
          <w:sz w:val="24"/>
          <w:szCs w:val="24"/>
        </w:rPr>
      </w:pPr>
    </w:p>
    <w:p w14:paraId="12508610" w14:textId="71EE462F" w:rsidR="00F84D1A" w:rsidRPr="00F84D1A" w:rsidRDefault="004A1126" w:rsidP="00F84D1A">
      <w:pPr>
        <w:tabs>
          <w:tab w:val="left" w:pos="851"/>
        </w:tabs>
        <w:ind w:left="851"/>
        <w:rPr>
          <w:i/>
          <w:iCs/>
          <w:sz w:val="24"/>
          <w:szCs w:val="24"/>
        </w:rPr>
      </w:pPr>
      <w:r>
        <w:rPr>
          <w:i/>
          <w:iCs/>
          <w:sz w:val="24"/>
          <w:szCs w:val="24"/>
        </w:rPr>
        <w:t>Dosering, i</w:t>
      </w:r>
      <w:r w:rsidR="00F84D1A" w:rsidRPr="00F84D1A">
        <w:rPr>
          <w:i/>
          <w:iCs/>
          <w:sz w:val="24"/>
          <w:szCs w:val="24"/>
        </w:rPr>
        <w:t>ntravenøs og intramuskulær administration</w:t>
      </w:r>
    </w:p>
    <w:p w14:paraId="3633BF7F" w14:textId="77777777" w:rsidR="00F84D1A" w:rsidRPr="00F84D1A" w:rsidRDefault="00F84D1A" w:rsidP="00F84D1A">
      <w:pPr>
        <w:numPr>
          <w:ilvl w:val="0"/>
          <w:numId w:val="6"/>
        </w:numPr>
        <w:tabs>
          <w:tab w:val="left" w:pos="851"/>
        </w:tabs>
        <w:ind w:left="1134" w:hanging="283"/>
        <w:rPr>
          <w:sz w:val="24"/>
          <w:szCs w:val="24"/>
        </w:rPr>
      </w:pPr>
      <w:proofErr w:type="spellStart"/>
      <w:r w:rsidRPr="00F84D1A">
        <w:rPr>
          <w:sz w:val="24"/>
          <w:szCs w:val="24"/>
        </w:rPr>
        <w:t>Subakutte</w:t>
      </w:r>
      <w:proofErr w:type="spellEnd"/>
      <w:r w:rsidRPr="00F84D1A">
        <w:rPr>
          <w:sz w:val="24"/>
          <w:szCs w:val="24"/>
        </w:rPr>
        <w:t xml:space="preserve"> former af cerebralt ødem: Administrer initialt 8 mg </w:t>
      </w:r>
      <w:proofErr w:type="spellStart"/>
      <w:r w:rsidRPr="00F84D1A">
        <w:rPr>
          <w:sz w:val="24"/>
          <w:szCs w:val="24"/>
        </w:rPr>
        <w:t>dexamethasonphosphat</w:t>
      </w:r>
      <w:proofErr w:type="spellEnd"/>
      <w:r w:rsidRPr="00F84D1A">
        <w:rPr>
          <w:sz w:val="24"/>
          <w:szCs w:val="24"/>
        </w:rPr>
        <w:t xml:space="preserve"> intravenøst efterfulgt af 4 mg intravenøst mindst hver 6. time.</w:t>
      </w:r>
    </w:p>
    <w:p w14:paraId="7A464100"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 xml:space="preserve">Hjerneabsces: Initial dosis er 4-8 mg </w:t>
      </w:r>
      <w:proofErr w:type="spellStart"/>
      <w:r w:rsidRPr="00F84D1A">
        <w:rPr>
          <w:sz w:val="24"/>
          <w:szCs w:val="24"/>
        </w:rPr>
        <w:t>dexamethasonphosphat</w:t>
      </w:r>
      <w:proofErr w:type="spellEnd"/>
      <w:r w:rsidRPr="00F84D1A">
        <w:rPr>
          <w:sz w:val="24"/>
          <w:szCs w:val="24"/>
        </w:rPr>
        <w:t>, 4-6 gange dagligt. Dosis nedtrappes gradvist ved langvarig behandling.</w:t>
      </w:r>
    </w:p>
    <w:p w14:paraId="7438A358"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 xml:space="preserve">Bakteriel meningitis: Før administration af den første antibiotikadosis gives 0,15 mg/kg kropsvægt </w:t>
      </w:r>
      <w:proofErr w:type="spellStart"/>
      <w:r w:rsidRPr="00F84D1A">
        <w:rPr>
          <w:sz w:val="24"/>
          <w:szCs w:val="24"/>
        </w:rPr>
        <w:t>dexamethasonphosphat</w:t>
      </w:r>
      <w:proofErr w:type="spellEnd"/>
      <w:r w:rsidRPr="00F84D1A">
        <w:rPr>
          <w:sz w:val="24"/>
          <w:szCs w:val="24"/>
        </w:rPr>
        <w:t>. Der fortsættes med denne dosis 4 gange dagligt i de første dage af behandlingen.</w:t>
      </w:r>
    </w:p>
    <w:p w14:paraId="3BDF5B09"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 xml:space="preserve">Akutte hudsygdomme og </w:t>
      </w:r>
      <w:proofErr w:type="spellStart"/>
      <w:r w:rsidRPr="00F84D1A">
        <w:rPr>
          <w:sz w:val="24"/>
          <w:szCs w:val="24"/>
        </w:rPr>
        <w:t>kollagenose</w:t>
      </w:r>
      <w:proofErr w:type="spellEnd"/>
      <w:r w:rsidRPr="00F84D1A">
        <w:rPr>
          <w:sz w:val="24"/>
          <w:szCs w:val="24"/>
        </w:rPr>
        <w:t xml:space="preserve">: Afhængigt af sygdommens art og omfang administreres daglige doser på 0,8-9 mg (0,2-2,25 ml) </w:t>
      </w:r>
      <w:proofErr w:type="spellStart"/>
      <w:r w:rsidRPr="00F84D1A">
        <w:rPr>
          <w:sz w:val="24"/>
          <w:szCs w:val="24"/>
        </w:rPr>
        <w:t>dexamethasonphosphat</w:t>
      </w:r>
      <w:proofErr w:type="spellEnd"/>
      <w:r w:rsidRPr="00F84D1A">
        <w:rPr>
          <w:sz w:val="24"/>
          <w:szCs w:val="24"/>
        </w:rPr>
        <w:t xml:space="preserve"> dagligt. Derefter administreres oral </w:t>
      </w:r>
      <w:proofErr w:type="spellStart"/>
      <w:r w:rsidRPr="00F84D1A">
        <w:rPr>
          <w:sz w:val="24"/>
          <w:szCs w:val="24"/>
        </w:rPr>
        <w:t>kortikosteroid</w:t>
      </w:r>
      <w:proofErr w:type="spellEnd"/>
      <w:r w:rsidRPr="00F84D1A">
        <w:rPr>
          <w:sz w:val="24"/>
          <w:szCs w:val="24"/>
        </w:rPr>
        <w:t>-behandling i gradvist faldende doser.</w:t>
      </w:r>
    </w:p>
    <w:p w14:paraId="02B429B0" w14:textId="77777777" w:rsidR="00F84D1A" w:rsidRPr="00F84D1A" w:rsidRDefault="00F84D1A" w:rsidP="004A1126">
      <w:pPr>
        <w:numPr>
          <w:ilvl w:val="0"/>
          <w:numId w:val="6"/>
        </w:numPr>
        <w:ind w:left="1134" w:hanging="283"/>
        <w:rPr>
          <w:sz w:val="24"/>
          <w:szCs w:val="24"/>
        </w:rPr>
      </w:pPr>
      <w:r w:rsidRPr="00F84D1A">
        <w:rPr>
          <w:sz w:val="24"/>
          <w:szCs w:val="24"/>
        </w:rPr>
        <w:t>Alvorligt, akut astmaanfald: Voksne: 8-20 mg intravenøst så tidligt som muligt, om nødvendigt med gentagne injektioner på 8 mg hver 4. time.</w:t>
      </w:r>
    </w:p>
    <w:p w14:paraId="54AFE801" w14:textId="77777777" w:rsidR="00F84D1A" w:rsidRPr="00F84D1A" w:rsidRDefault="00F84D1A" w:rsidP="004A1126">
      <w:pPr>
        <w:ind w:left="1134"/>
        <w:rPr>
          <w:sz w:val="24"/>
          <w:szCs w:val="24"/>
        </w:rPr>
      </w:pPr>
      <w:r w:rsidRPr="00F84D1A">
        <w:rPr>
          <w:sz w:val="24"/>
          <w:szCs w:val="24"/>
        </w:rPr>
        <w:lastRenderedPageBreak/>
        <w:t xml:space="preserve">Børn: 0,15-0,3 mg/kg kropsvægt intravenøst eller oralt, 1,2 mg/kg kropsvægt som en </w:t>
      </w:r>
      <w:proofErr w:type="spellStart"/>
      <w:r w:rsidRPr="00F84D1A">
        <w:rPr>
          <w:sz w:val="24"/>
          <w:szCs w:val="24"/>
        </w:rPr>
        <w:t>initialbolus</w:t>
      </w:r>
      <w:proofErr w:type="spellEnd"/>
      <w:r w:rsidRPr="00F84D1A">
        <w:rPr>
          <w:sz w:val="24"/>
          <w:szCs w:val="24"/>
        </w:rPr>
        <w:t>, derefter 0,3 mg/kg hver 4-6 time.</w:t>
      </w:r>
    </w:p>
    <w:p w14:paraId="7B644880" w14:textId="77777777" w:rsidR="00F84D1A" w:rsidRPr="00F84D1A" w:rsidRDefault="00F84D1A" w:rsidP="004A1126">
      <w:pPr>
        <w:ind w:left="1134"/>
        <w:rPr>
          <w:sz w:val="24"/>
          <w:szCs w:val="24"/>
        </w:rPr>
      </w:pPr>
      <w:proofErr w:type="spellStart"/>
      <w:r w:rsidRPr="00F84D1A">
        <w:rPr>
          <w:sz w:val="24"/>
          <w:szCs w:val="24"/>
        </w:rPr>
        <w:t>Aminiphyllin</w:t>
      </w:r>
      <w:proofErr w:type="spellEnd"/>
      <w:r w:rsidRPr="00F84D1A">
        <w:rPr>
          <w:sz w:val="24"/>
          <w:szCs w:val="24"/>
        </w:rPr>
        <w:t xml:space="preserve"> og </w:t>
      </w:r>
      <w:proofErr w:type="spellStart"/>
      <w:r w:rsidRPr="00F84D1A">
        <w:rPr>
          <w:sz w:val="24"/>
          <w:szCs w:val="24"/>
        </w:rPr>
        <w:t>sekretolytika</w:t>
      </w:r>
      <w:proofErr w:type="spellEnd"/>
      <w:r w:rsidRPr="00F84D1A">
        <w:rPr>
          <w:sz w:val="24"/>
          <w:szCs w:val="24"/>
        </w:rPr>
        <w:t xml:space="preserve"> kan også administreres.</w:t>
      </w:r>
    </w:p>
    <w:p w14:paraId="513E5B0C"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 xml:space="preserve">Alvorlige infektionssygdomme: 4-20 mg </w:t>
      </w:r>
      <w:proofErr w:type="spellStart"/>
      <w:r w:rsidRPr="00F84D1A">
        <w:rPr>
          <w:sz w:val="24"/>
          <w:szCs w:val="24"/>
        </w:rPr>
        <w:t>dexamethasonphosphat</w:t>
      </w:r>
      <w:proofErr w:type="spellEnd"/>
      <w:r w:rsidRPr="00F84D1A">
        <w:rPr>
          <w:sz w:val="24"/>
          <w:szCs w:val="24"/>
        </w:rPr>
        <w:t xml:space="preserve"> dagligt intravenøst eller oral administration af </w:t>
      </w:r>
      <w:proofErr w:type="spellStart"/>
      <w:r w:rsidRPr="00F84D1A">
        <w:rPr>
          <w:sz w:val="24"/>
          <w:szCs w:val="24"/>
        </w:rPr>
        <w:t>dexamethason</w:t>
      </w:r>
      <w:proofErr w:type="spellEnd"/>
      <w:r w:rsidRPr="00F84D1A">
        <w:rPr>
          <w:sz w:val="24"/>
          <w:szCs w:val="24"/>
        </w:rPr>
        <w:t xml:space="preserve"> i nogle dage, men først efter administration af passende </w:t>
      </w:r>
      <w:proofErr w:type="spellStart"/>
      <w:r w:rsidRPr="00F84D1A">
        <w:rPr>
          <w:sz w:val="24"/>
          <w:szCs w:val="24"/>
        </w:rPr>
        <w:t>anti</w:t>
      </w:r>
      <w:proofErr w:type="spellEnd"/>
      <w:r w:rsidRPr="00F84D1A">
        <w:rPr>
          <w:sz w:val="24"/>
          <w:szCs w:val="24"/>
        </w:rPr>
        <w:t>-infektionsbehandling.</w:t>
      </w:r>
    </w:p>
    <w:p w14:paraId="6037C1A3"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 xml:space="preserve">Profylakse og behandling af postoperativ opkastning: En enkelt dosis på 8-20 mg </w:t>
      </w:r>
      <w:proofErr w:type="spellStart"/>
      <w:r w:rsidRPr="00F84D1A">
        <w:rPr>
          <w:sz w:val="24"/>
          <w:szCs w:val="24"/>
        </w:rPr>
        <w:t>dexamethasonphosphat</w:t>
      </w:r>
      <w:proofErr w:type="spellEnd"/>
      <w:r w:rsidRPr="00F84D1A">
        <w:rPr>
          <w:sz w:val="24"/>
          <w:szCs w:val="24"/>
        </w:rPr>
        <w:t xml:space="preserve"> administreres intravenøst før operation. Hos børn på 2 år og derover administreres 0,15-0,5 mg/kg kropsvægt (højst 16 mg).</w:t>
      </w:r>
    </w:p>
    <w:p w14:paraId="560C61BB"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 xml:space="preserve">Profylakse og behandling af opkastning fremkaldt af kemoterapi: 10-20 mg </w:t>
      </w:r>
      <w:proofErr w:type="spellStart"/>
      <w:r w:rsidRPr="00F84D1A">
        <w:rPr>
          <w:sz w:val="24"/>
          <w:szCs w:val="24"/>
        </w:rPr>
        <w:t>dexamethasonphosphat</w:t>
      </w:r>
      <w:proofErr w:type="spellEnd"/>
      <w:r w:rsidRPr="00F84D1A">
        <w:rPr>
          <w:sz w:val="24"/>
          <w:szCs w:val="24"/>
        </w:rPr>
        <w:t xml:space="preserve"> intravenøst eller oral administration af </w:t>
      </w:r>
      <w:proofErr w:type="spellStart"/>
      <w:r w:rsidRPr="00F84D1A">
        <w:rPr>
          <w:sz w:val="24"/>
          <w:szCs w:val="24"/>
        </w:rPr>
        <w:t>dexamethason</w:t>
      </w:r>
      <w:proofErr w:type="spellEnd"/>
      <w:r w:rsidRPr="00F84D1A">
        <w:rPr>
          <w:sz w:val="24"/>
          <w:szCs w:val="24"/>
        </w:rPr>
        <w:t xml:space="preserve"> før kemoterapi påbegyndes. Om nødvendigt, administreres der derefter 4-8 mg </w:t>
      </w:r>
      <w:proofErr w:type="spellStart"/>
      <w:r w:rsidRPr="00F84D1A">
        <w:rPr>
          <w:sz w:val="24"/>
          <w:szCs w:val="24"/>
        </w:rPr>
        <w:t>dexamethason</w:t>
      </w:r>
      <w:proofErr w:type="spellEnd"/>
      <w:r w:rsidRPr="00F84D1A">
        <w:rPr>
          <w:sz w:val="24"/>
          <w:szCs w:val="24"/>
        </w:rPr>
        <w:t xml:space="preserve"> intravenøst 2</w:t>
      </w:r>
      <w:r w:rsidRPr="00F84D1A">
        <w:rPr>
          <w:sz w:val="24"/>
          <w:szCs w:val="24"/>
        </w:rPr>
        <w:noBreakHyphen/>
        <w:t xml:space="preserve">3 gange daglig. Behandlingen kan administreres enten oralt eller parenteralt i 1-3 dage (moderat </w:t>
      </w:r>
      <w:proofErr w:type="spellStart"/>
      <w:r w:rsidRPr="00F84D1A">
        <w:rPr>
          <w:sz w:val="24"/>
          <w:szCs w:val="24"/>
        </w:rPr>
        <w:t>emetogen</w:t>
      </w:r>
      <w:proofErr w:type="spellEnd"/>
      <w:r w:rsidRPr="00F84D1A">
        <w:rPr>
          <w:sz w:val="24"/>
          <w:szCs w:val="24"/>
        </w:rPr>
        <w:t xml:space="preserve"> kemoterapi) eller op til 6 dage (stærkt </w:t>
      </w:r>
      <w:proofErr w:type="spellStart"/>
      <w:r w:rsidRPr="00F84D1A">
        <w:rPr>
          <w:sz w:val="24"/>
          <w:szCs w:val="24"/>
        </w:rPr>
        <w:t>emetogen</w:t>
      </w:r>
      <w:proofErr w:type="spellEnd"/>
      <w:r w:rsidRPr="00F84D1A">
        <w:rPr>
          <w:sz w:val="24"/>
          <w:szCs w:val="24"/>
        </w:rPr>
        <w:t xml:space="preserve"> kemoterapi).</w:t>
      </w:r>
    </w:p>
    <w:p w14:paraId="340E22C5" w14:textId="77777777" w:rsidR="00F84D1A" w:rsidRPr="00F84D1A" w:rsidRDefault="00F84D1A" w:rsidP="00F84D1A">
      <w:pPr>
        <w:numPr>
          <w:ilvl w:val="0"/>
          <w:numId w:val="6"/>
        </w:numPr>
        <w:tabs>
          <w:tab w:val="left" w:pos="851"/>
        </w:tabs>
        <w:ind w:left="1134" w:hanging="283"/>
        <w:rPr>
          <w:sz w:val="24"/>
          <w:szCs w:val="24"/>
        </w:rPr>
      </w:pPr>
      <w:r w:rsidRPr="00F84D1A">
        <w:rPr>
          <w:sz w:val="24"/>
          <w:szCs w:val="24"/>
        </w:rPr>
        <w:t xml:space="preserve">Kortvarig </w:t>
      </w:r>
      <w:proofErr w:type="spellStart"/>
      <w:r w:rsidRPr="00F84D1A">
        <w:rPr>
          <w:sz w:val="24"/>
          <w:szCs w:val="24"/>
        </w:rPr>
        <w:t>adjuverende</w:t>
      </w:r>
      <w:proofErr w:type="spellEnd"/>
      <w:r w:rsidRPr="00F84D1A">
        <w:rPr>
          <w:sz w:val="24"/>
          <w:szCs w:val="24"/>
        </w:rPr>
        <w:t xml:space="preserve"> behandling ved akutte episoder eller forværring af reumatiske sygdomme: Den initiale dosis varierer fra 0,8 til 9 mg dagligt (0,2-2,25 ml), alt efter hvilken sygdom, der behandles. Ved mindre svære tilfælde kan doser på 0,5 mg være tilstrækkelige, mens doser på mere end 9 mg kan være nødvendige i sværere tilfælde. Initialdosis bør opretholdes eller justeres, indtil patientens respons er tilfredsstillende. Hvis der ikke opnås et tilfredsstillende klinisk respons efter en rimelig periode, bør behandlingen med </w:t>
      </w:r>
      <w:proofErr w:type="spellStart"/>
      <w:r w:rsidRPr="00F84D1A">
        <w:rPr>
          <w:sz w:val="24"/>
          <w:szCs w:val="24"/>
        </w:rPr>
        <w:t>dexamethason</w:t>
      </w:r>
      <w:proofErr w:type="spellEnd"/>
      <w:r w:rsidRPr="00F84D1A">
        <w:rPr>
          <w:sz w:val="24"/>
          <w:szCs w:val="24"/>
        </w:rPr>
        <w:t xml:space="preserve"> seponeres, og patienten bør overgå til anden behandling.</w:t>
      </w:r>
    </w:p>
    <w:p w14:paraId="09062397" w14:textId="77777777" w:rsidR="004B56BF" w:rsidRPr="004B56BF" w:rsidRDefault="004B56BF" w:rsidP="004B56BF">
      <w:pPr>
        <w:pStyle w:val="Listeafsnit"/>
        <w:numPr>
          <w:ilvl w:val="0"/>
          <w:numId w:val="6"/>
        </w:numPr>
        <w:ind w:left="1134" w:hanging="283"/>
        <w:rPr>
          <w:sz w:val="24"/>
          <w:szCs w:val="24"/>
        </w:rPr>
      </w:pPr>
      <w:r w:rsidRPr="004B56BF">
        <w:rPr>
          <w:sz w:val="24"/>
          <w:szCs w:val="24"/>
        </w:rPr>
        <w:t>Behandling af COVID 19: Voksne patienter 6 mg intravenøst én gang dagligt i op til 10 dage.</w:t>
      </w:r>
    </w:p>
    <w:p w14:paraId="4B9003EA" w14:textId="77777777" w:rsidR="004B56BF" w:rsidRPr="004B56BF" w:rsidRDefault="004B56BF" w:rsidP="004B56BF">
      <w:pPr>
        <w:ind w:left="1134"/>
        <w:rPr>
          <w:sz w:val="24"/>
          <w:szCs w:val="24"/>
        </w:rPr>
      </w:pPr>
      <w:r w:rsidRPr="004B56BF">
        <w:rPr>
          <w:i/>
          <w:iCs/>
          <w:sz w:val="24"/>
          <w:szCs w:val="24"/>
        </w:rPr>
        <w:t>Pædiatrisk population:</w:t>
      </w:r>
      <w:r w:rsidRPr="004B56BF">
        <w:rPr>
          <w:sz w:val="24"/>
          <w:szCs w:val="24"/>
        </w:rPr>
        <w:t xml:space="preserve"> Pædiatriske patienter (unge på 12 år eller ældre) anbefales at tage 6 mg/dosis intravenøst, én gang dagligt i op til 10 dage.</w:t>
      </w:r>
    </w:p>
    <w:p w14:paraId="6EF2FA5A" w14:textId="77777777" w:rsidR="004B56BF" w:rsidRPr="004B56BF" w:rsidRDefault="004B56BF" w:rsidP="004B56BF">
      <w:pPr>
        <w:pStyle w:val="Listeafsnit"/>
        <w:ind w:left="1134"/>
        <w:rPr>
          <w:sz w:val="24"/>
          <w:szCs w:val="24"/>
        </w:rPr>
      </w:pPr>
      <w:r w:rsidRPr="004B56BF">
        <w:rPr>
          <w:sz w:val="24"/>
          <w:szCs w:val="24"/>
        </w:rPr>
        <w:t>Behandlingsvarigheden skal styres af klinisk respons og individuelle patientbehov.</w:t>
      </w:r>
    </w:p>
    <w:p w14:paraId="7A7B406F" w14:textId="77777777" w:rsidR="004B56BF" w:rsidRPr="004B56BF" w:rsidRDefault="004B56BF" w:rsidP="004B56BF">
      <w:pPr>
        <w:ind w:left="1134"/>
        <w:rPr>
          <w:sz w:val="24"/>
          <w:szCs w:val="24"/>
        </w:rPr>
      </w:pPr>
      <w:r w:rsidRPr="004B56BF">
        <w:rPr>
          <w:i/>
          <w:iCs/>
          <w:sz w:val="24"/>
          <w:szCs w:val="24"/>
        </w:rPr>
        <w:t>Ældre, nedsat nyrefunktion, nedsat leverfunktion:</w:t>
      </w:r>
      <w:r w:rsidRPr="004B56BF">
        <w:rPr>
          <w:sz w:val="24"/>
          <w:szCs w:val="24"/>
        </w:rPr>
        <w:t xml:space="preserve"> Dosisjustering er ikke nødvendig.</w:t>
      </w:r>
    </w:p>
    <w:p w14:paraId="1D589F42" w14:textId="77777777" w:rsidR="00F84D1A" w:rsidRPr="00F84D1A" w:rsidRDefault="00F84D1A" w:rsidP="00F84D1A">
      <w:pPr>
        <w:tabs>
          <w:tab w:val="left" w:pos="851"/>
        </w:tabs>
        <w:ind w:left="851"/>
        <w:rPr>
          <w:sz w:val="24"/>
          <w:szCs w:val="24"/>
        </w:rPr>
      </w:pPr>
    </w:p>
    <w:p w14:paraId="6BE26996" w14:textId="53E78863" w:rsidR="00F84D1A" w:rsidRPr="00F84D1A" w:rsidRDefault="004A1126" w:rsidP="00F84D1A">
      <w:pPr>
        <w:tabs>
          <w:tab w:val="left" w:pos="851"/>
        </w:tabs>
        <w:ind w:left="851"/>
        <w:rPr>
          <w:i/>
          <w:iCs/>
          <w:sz w:val="24"/>
          <w:szCs w:val="24"/>
        </w:rPr>
      </w:pPr>
      <w:r>
        <w:rPr>
          <w:i/>
          <w:iCs/>
          <w:sz w:val="24"/>
          <w:szCs w:val="24"/>
        </w:rPr>
        <w:t xml:space="preserve">Dosering, </w:t>
      </w:r>
      <w:proofErr w:type="spellStart"/>
      <w:r>
        <w:rPr>
          <w:i/>
          <w:iCs/>
          <w:sz w:val="24"/>
          <w:szCs w:val="24"/>
        </w:rPr>
        <w:t>i</w:t>
      </w:r>
      <w:r w:rsidR="00F84D1A" w:rsidRPr="00F84D1A">
        <w:rPr>
          <w:i/>
          <w:iCs/>
          <w:sz w:val="24"/>
          <w:szCs w:val="24"/>
        </w:rPr>
        <w:t>ntraartikulær</w:t>
      </w:r>
      <w:proofErr w:type="spellEnd"/>
      <w:r w:rsidR="00F84D1A" w:rsidRPr="00F84D1A">
        <w:rPr>
          <w:i/>
          <w:iCs/>
          <w:sz w:val="24"/>
          <w:szCs w:val="24"/>
        </w:rPr>
        <w:t xml:space="preserve"> administration og infiltrationsbehandling</w:t>
      </w:r>
    </w:p>
    <w:p w14:paraId="67F98BB0" w14:textId="77777777" w:rsidR="00F84D1A" w:rsidRPr="00F84D1A" w:rsidRDefault="00F84D1A" w:rsidP="00F84D1A">
      <w:pPr>
        <w:tabs>
          <w:tab w:val="left" w:pos="851"/>
        </w:tabs>
        <w:ind w:left="851"/>
        <w:rPr>
          <w:sz w:val="24"/>
          <w:szCs w:val="24"/>
        </w:rPr>
      </w:pPr>
      <w:r w:rsidRPr="00F84D1A">
        <w:rPr>
          <w:sz w:val="24"/>
          <w:szCs w:val="24"/>
        </w:rPr>
        <w:t xml:space="preserve">Ved administration som </w:t>
      </w:r>
      <w:proofErr w:type="spellStart"/>
      <w:r w:rsidRPr="00F84D1A">
        <w:rPr>
          <w:sz w:val="24"/>
          <w:szCs w:val="24"/>
        </w:rPr>
        <w:t>intraartikulær</w:t>
      </w:r>
      <w:proofErr w:type="spellEnd"/>
      <w:r w:rsidRPr="00F84D1A">
        <w:rPr>
          <w:sz w:val="24"/>
          <w:szCs w:val="24"/>
        </w:rPr>
        <w:t xml:space="preserve"> injektion eller injektion i lokale infiltrationer er dosis normalt 0,4-6 mg (0,1-1,5 ml) </w:t>
      </w:r>
      <w:proofErr w:type="spellStart"/>
      <w:r w:rsidRPr="00F84D1A">
        <w:rPr>
          <w:sz w:val="24"/>
          <w:szCs w:val="24"/>
        </w:rPr>
        <w:t>dexamethason</w:t>
      </w:r>
      <w:proofErr w:type="spellEnd"/>
      <w:r w:rsidRPr="00F84D1A">
        <w:rPr>
          <w:sz w:val="24"/>
          <w:szCs w:val="24"/>
        </w:rPr>
        <w:t>.</w:t>
      </w:r>
    </w:p>
    <w:p w14:paraId="6B70C3DD" w14:textId="77777777" w:rsidR="00F84D1A" w:rsidRPr="00F84D1A" w:rsidRDefault="00F84D1A" w:rsidP="00F84D1A">
      <w:pPr>
        <w:tabs>
          <w:tab w:val="left" w:pos="851"/>
        </w:tabs>
        <w:ind w:left="851"/>
        <w:rPr>
          <w:sz w:val="24"/>
          <w:szCs w:val="24"/>
        </w:rPr>
      </w:pPr>
      <w:r w:rsidRPr="00F84D1A">
        <w:rPr>
          <w:sz w:val="24"/>
          <w:szCs w:val="24"/>
        </w:rPr>
        <w:t xml:space="preserve">En enkelt </w:t>
      </w:r>
      <w:proofErr w:type="spellStart"/>
      <w:r w:rsidRPr="00F84D1A">
        <w:rPr>
          <w:sz w:val="24"/>
          <w:szCs w:val="24"/>
        </w:rPr>
        <w:t>intraartikulær</w:t>
      </w:r>
      <w:proofErr w:type="spellEnd"/>
      <w:r w:rsidRPr="00F84D1A">
        <w:rPr>
          <w:sz w:val="24"/>
          <w:szCs w:val="24"/>
        </w:rPr>
        <w:t xml:space="preserve"> injektion giver normalt tilstrækkelig symptomlindring. Hvis en yderligere dosis er påkrævet, bør denne administreres mindst 3-4 uger efter den første dosis. Antallet af injektioner bør begrænses til maksimalt tre eller fire injektioner pr. led. Medicinsk overvågning af leddet anbefales, især hos patienter, der har fået gentagne injektioner.</w:t>
      </w:r>
    </w:p>
    <w:p w14:paraId="6016E8D3" w14:textId="77777777" w:rsidR="00F84D1A" w:rsidRPr="00F84D1A" w:rsidRDefault="00F84D1A" w:rsidP="00F84D1A">
      <w:pPr>
        <w:tabs>
          <w:tab w:val="left" w:pos="851"/>
        </w:tabs>
        <w:ind w:left="851"/>
        <w:rPr>
          <w:sz w:val="24"/>
          <w:szCs w:val="24"/>
        </w:rPr>
      </w:pPr>
    </w:p>
    <w:p w14:paraId="69EEC416" w14:textId="77777777" w:rsidR="00F84D1A" w:rsidRPr="00F84D1A" w:rsidRDefault="00F84D1A" w:rsidP="00F84D1A">
      <w:pPr>
        <w:tabs>
          <w:tab w:val="left" w:pos="851"/>
        </w:tabs>
        <w:ind w:left="851"/>
        <w:rPr>
          <w:sz w:val="24"/>
          <w:szCs w:val="24"/>
          <w:u w:val="single"/>
        </w:rPr>
      </w:pPr>
      <w:r w:rsidRPr="00F84D1A">
        <w:rPr>
          <w:sz w:val="24"/>
          <w:szCs w:val="24"/>
          <w:u w:val="single"/>
        </w:rPr>
        <w:t>Særlige populationer</w:t>
      </w:r>
    </w:p>
    <w:p w14:paraId="7375C2B8" w14:textId="77777777" w:rsidR="00E9330A" w:rsidRDefault="00E9330A" w:rsidP="00F84D1A">
      <w:pPr>
        <w:tabs>
          <w:tab w:val="left" w:pos="851"/>
        </w:tabs>
        <w:ind w:left="851"/>
        <w:rPr>
          <w:i/>
          <w:iCs/>
          <w:sz w:val="24"/>
          <w:szCs w:val="24"/>
        </w:rPr>
      </w:pPr>
    </w:p>
    <w:p w14:paraId="07E56D3E" w14:textId="563CBEEF" w:rsidR="00F84D1A" w:rsidRPr="00F84D1A" w:rsidRDefault="00F84D1A" w:rsidP="00F84D1A">
      <w:pPr>
        <w:tabs>
          <w:tab w:val="left" w:pos="851"/>
        </w:tabs>
        <w:ind w:left="851"/>
        <w:rPr>
          <w:i/>
          <w:iCs/>
          <w:sz w:val="24"/>
          <w:szCs w:val="24"/>
        </w:rPr>
      </w:pPr>
      <w:r w:rsidRPr="00F84D1A">
        <w:rPr>
          <w:i/>
          <w:iCs/>
          <w:sz w:val="24"/>
          <w:szCs w:val="24"/>
        </w:rPr>
        <w:t>Nedsat nyrefunktion</w:t>
      </w:r>
    </w:p>
    <w:p w14:paraId="079C908F" w14:textId="77777777" w:rsidR="00F84D1A" w:rsidRPr="00F84D1A" w:rsidRDefault="00F84D1A" w:rsidP="00F84D1A">
      <w:pPr>
        <w:tabs>
          <w:tab w:val="left" w:pos="851"/>
        </w:tabs>
        <w:ind w:left="851"/>
        <w:rPr>
          <w:sz w:val="24"/>
          <w:szCs w:val="24"/>
        </w:rPr>
      </w:pPr>
      <w:r w:rsidRPr="00F84D1A">
        <w:rPr>
          <w:sz w:val="24"/>
          <w:szCs w:val="24"/>
        </w:rPr>
        <w:t>Dosisjustering er ikke nødvendig hos patienter med nedsat nyrefunktion (se også pkt. 5.2).</w:t>
      </w:r>
    </w:p>
    <w:p w14:paraId="1C6277CC" w14:textId="77777777" w:rsidR="00F84D1A" w:rsidRPr="00F84D1A" w:rsidRDefault="00F84D1A" w:rsidP="00F84D1A">
      <w:pPr>
        <w:tabs>
          <w:tab w:val="left" w:pos="851"/>
        </w:tabs>
        <w:ind w:left="851"/>
        <w:rPr>
          <w:sz w:val="24"/>
          <w:szCs w:val="24"/>
        </w:rPr>
      </w:pPr>
    </w:p>
    <w:p w14:paraId="089A8948" w14:textId="77777777" w:rsidR="00F84D1A" w:rsidRPr="00F84D1A" w:rsidRDefault="00F84D1A" w:rsidP="00F84D1A">
      <w:pPr>
        <w:tabs>
          <w:tab w:val="left" w:pos="851"/>
        </w:tabs>
        <w:ind w:left="851"/>
        <w:rPr>
          <w:i/>
          <w:iCs/>
          <w:sz w:val="24"/>
          <w:szCs w:val="24"/>
        </w:rPr>
      </w:pPr>
      <w:r w:rsidRPr="00F84D1A">
        <w:rPr>
          <w:i/>
          <w:iCs/>
          <w:sz w:val="24"/>
          <w:szCs w:val="24"/>
        </w:rPr>
        <w:t>Nedsat leverfunktion</w:t>
      </w:r>
    </w:p>
    <w:p w14:paraId="2B913D2A" w14:textId="77777777" w:rsidR="00F84D1A" w:rsidRPr="00F84D1A" w:rsidRDefault="00F84D1A" w:rsidP="00F84D1A">
      <w:pPr>
        <w:tabs>
          <w:tab w:val="left" w:pos="851"/>
        </w:tabs>
        <w:ind w:left="851"/>
        <w:rPr>
          <w:sz w:val="24"/>
          <w:szCs w:val="24"/>
        </w:rPr>
      </w:pPr>
      <w:r w:rsidRPr="00F84D1A">
        <w:rPr>
          <w:sz w:val="24"/>
          <w:szCs w:val="24"/>
        </w:rPr>
        <w:t>Dosisjustering kan være nødvendig hos patienter med svær leversygdom (se også pkt. 5.2).</w:t>
      </w:r>
    </w:p>
    <w:p w14:paraId="7DE43BF6" w14:textId="77777777" w:rsidR="00F84D1A" w:rsidRPr="00F84D1A" w:rsidRDefault="00F84D1A" w:rsidP="00F84D1A">
      <w:pPr>
        <w:tabs>
          <w:tab w:val="left" w:pos="851"/>
        </w:tabs>
        <w:ind w:left="851"/>
        <w:rPr>
          <w:sz w:val="24"/>
          <w:szCs w:val="24"/>
        </w:rPr>
      </w:pPr>
    </w:p>
    <w:p w14:paraId="37DD460D" w14:textId="77777777" w:rsidR="00F84D1A" w:rsidRPr="00F84D1A" w:rsidRDefault="00F84D1A" w:rsidP="00F84D1A">
      <w:pPr>
        <w:tabs>
          <w:tab w:val="left" w:pos="851"/>
        </w:tabs>
        <w:ind w:left="851"/>
        <w:rPr>
          <w:sz w:val="24"/>
          <w:szCs w:val="24"/>
          <w:u w:val="single"/>
        </w:rPr>
      </w:pPr>
      <w:r w:rsidRPr="00F84D1A">
        <w:rPr>
          <w:sz w:val="24"/>
          <w:szCs w:val="24"/>
          <w:u w:val="single"/>
        </w:rPr>
        <w:t>Administration</w:t>
      </w:r>
    </w:p>
    <w:p w14:paraId="3ED539F6" w14:textId="77777777" w:rsidR="00F84D1A" w:rsidRPr="00F84D1A" w:rsidRDefault="00F84D1A" w:rsidP="00F84D1A">
      <w:pPr>
        <w:tabs>
          <w:tab w:val="left" w:pos="851"/>
        </w:tabs>
        <w:ind w:left="851"/>
        <w:rPr>
          <w:sz w:val="24"/>
          <w:szCs w:val="24"/>
        </w:rPr>
      </w:pPr>
      <w:proofErr w:type="spellStart"/>
      <w:r w:rsidRPr="00F84D1A">
        <w:rPr>
          <w:sz w:val="24"/>
          <w:szCs w:val="24"/>
        </w:rPr>
        <w:t>Dexacur</w:t>
      </w:r>
      <w:proofErr w:type="spellEnd"/>
      <w:r w:rsidRPr="00F84D1A">
        <w:rPr>
          <w:sz w:val="24"/>
          <w:szCs w:val="24"/>
        </w:rPr>
        <w:t xml:space="preserve"> administreres ved injektion eller ved langsom intravenøs infusion. Alt efter indikationen kan </w:t>
      </w:r>
      <w:proofErr w:type="spellStart"/>
      <w:r w:rsidRPr="00F84D1A">
        <w:rPr>
          <w:sz w:val="24"/>
          <w:szCs w:val="24"/>
        </w:rPr>
        <w:t>Dexacur</w:t>
      </w:r>
      <w:proofErr w:type="spellEnd"/>
      <w:r w:rsidRPr="00F84D1A">
        <w:rPr>
          <w:sz w:val="24"/>
          <w:szCs w:val="24"/>
        </w:rPr>
        <w:t xml:space="preserve"> også administreres som intramuskulær eller </w:t>
      </w:r>
      <w:proofErr w:type="spellStart"/>
      <w:r w:rsidRPr="00F84D1A">
        <w:rPr>
          <w:sz w:val="24"/>
          <w:szCs w:val="24"/>
        </w:rPr>
        <w:t>intraartikulær</w:t>
      </w:r>
      <w:proofErr w:type="spellEnd"/>
      <w:r w:rsidRPr="00F84D1A">
        <w:rPr>
          <w:sz w:val="24"/>
          <w:szCs w:val="24"/>
        </w:rPr>
        <w:t xml:space="preserve"> injektion eller som infiltrationsbehandling.</w:t>
      </w:r>
    </w:p>
    <w:p w14:paraId="151D7906" w14:textId="77777777" w:rsidR="00F84D1A" w:rsidRPr="00F84D1A" w:rsidRDefault="00F84D1A" w:rsidP="00F84D1A">
      <w:pPr>
        <w:tabs>
          <w:tab w:val="left" w:pos="851"/>
        </w:tabs>
        <w:ind w:left="851"/>
        <w:rPr>
          <w:sz w:val="24"/>
          <w:szCs w:val="24"/>
        </w:rPr>
      </w:pPr>
    </w:p>
    <w:p w14:paraId="26B888D0" w14:textId="77777777" w:rsidR="00F84D1A" w:rsidRPr="00F84D1A" w:rsidRDefault="00F84D1A" w:rsidP="00F84D1A">
      <w:pPr>
        <w:tabs>
          <w:tab w:val="left" w:pos="851"/>
        </w:tabs>
        <w:ind w:left="851"/>
        <w:rPr>
          <w:sz w:val="24"/>
          <w:szCs w:val="24"/>
        </w:rPr>
      </w:pPr>
      <w:proofErr w:type="spellStart"/>
      <w:r w:rsidRPr="00F84D1A">
        <w:rPr>
          <w:sz w:val="24"/>
          <w:szCs w:val="24"/>
        </w:rPr>
        <w:t>Intraartikulære</w:t>
      </w:r>
      <w:proofErr w:type="spellEnd"/>
      <w:r w:rsidRPr="00F84D1A">
        <w:rPr>
          <w:sz w:val="24"/>
          <w:szCs w:val="24"/>
        </w:rPr>
        <w:t xml:space="preserve"> injektioner bør administreres under strenge aseptiske forhold.</w:t>
      </w:r>
    </w:p>
    <w:p w14:paraId="10655ECB" w14:textId="77777777" w:rsidR="00F84D1A" w:rsidRPr="00F84D1A" w:rsidRDefault="00F84D1A" w:rsidP="00F84D1A">
      <w:pPr>
        <w:tabs>
          <w:tab w:val="left" w:pos="851"/>
        </w:tabs>
        <w:ind w:left="851"/>
        <w:rPr>
          <w:sz w:val="24"/>
          <w:szCs w:val="24"/>
        </w:rPr>
      </w:pPr>
    </w:p>
    <w:p w14:paraId="1BF25350" w14:textId="77777777" w:rsidR="00F84D1A" w:rsidRPr="00E9330A" w:rsidRDefault="00F84D1A" w:rsidP="00F84D1A">
      <w:pPr>
        <w:tabs>
          <w:tab w:val="left" w:pos="851"/>
        </w:tabs>
        <w:ind w:left="851"/>
        <w:rPr>
          <w:iCs/>
          <w:sz w:val="24"/>
          <w:szCs w:val="24"/>
          <w:u w:val="single"/>
        </w:rPr>
      </w:pPr>
      <w:r w:rsidRPr="00E9330A">
        <w:rPr>
          <w:iCs/>
          <w:sz w:val="24"/>
          <w:szCs w:val="24"/>
          <w:u w:val="single"/>
        </w:rPr>
        <w:t>Infiltrationsbehandling</w:t>
      </w:r>
    </w:p>
    <w:p w14:paraId="3A72D511" w14:textId="77777777" w:rsidR="00F84D1A" w:rsidRPr="00F84D1A" w:rsidRDefault="00F84D1A" w:rsidP="00F84D1A">
      <w:pPr>
        <w:tabs>
          <w:tab w:val="left" w:pos="851"/>
        </w:tabs>
        <w:ind w:left="851"/>
        <w:rPr>
          <w:sz w:val="24"/>
          <w:szCs w:val="24"/>
        </w:rPr>
      </w:pPr>
      <w:proofErr w:type="spellStart"/>
      <w:r w:rsidRPr="00F84D1A">
        <w:rPr>
          <w:sz w:val="24"/>
          <w:szCs w:val="24"/>
        </w:rPr>
        <w:t>Dexacur</w:t>
      </w:r>
      <w:proofErr w:type="spellEnd"/>
      <w:r w:rsidRPr="00F84D1A">
        <w:rPr>
          <w:sz w:val="24"/>
          <w:szCs w:val="24"/>
        </w:rPr>
        <w:t xml:space="preserve"> bør injiceres i området med den største smerte eller i </w:t>
      </w:r>
      <w:proofErr w:type="spellStart"/>
      <w:r w:rsidRPr="00F84D1A">
        <w:rPr>
          <w:sz w:val="24"/>
          <w:szCs w:val="24"/>
        </w:rPr>
        <w:t>senetilhæftningerne</w:t>
      </w:r>
      <w:proofErr w:type="spellEnd"/>
      <w:r w:rsidRPr="00F84D1A">
        <w:rPr>
          <w:sz w:val="24"/>
          <w:szCs w:val="24"/>
        </w:rPr>
        <w:t>. Hyppige injektioner bør undgås, og strenge aseptiske forholdsregler anbefales. Der bør udvises særlig forsigtighed for at undgå injektion direkte i senen.</w:t>
      </w:r>
    </w:p>
    <w:p w14:paraId="51C97413" w14:textId="77777777" w:rsidR="009260DE" w:rsidRPr="00C84483" w:rsidRDefault="009260DE" w:rsidP="009260DE">
      <w:pPr>
        <w:tabs>
          <w:tab w:val="left" w:pos="851"/>
        </w:tabs>
        <w:ind w:left="851"/>
        <w:rPr>
          <w:sz w:val="24"/>
          <w:szCs w:val="24"/>
        </w:rPr>
      </w:pPr>
    </w:p>
    <w:p w14:paraId="6EC9B182"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4C0A084" w14:textId="77777777" w:rsidR="002A3756" w:rsidRPr="002A3756" w:rsidRDefault="002A3756" w:rsidP="002A3756">
      <w:pPr>
        <w:tabs>
          <w:tab w:val="left" w:pos="851"/>
        </w:tabs>
        <w:ind w:left="851"/>
        <w:rPr>
          <w:sz w:val="24"/>
          <w:szCs w:val="24"/>
        </w:rPr>
      </w:pPr>
      <w:r w:rsidRPr="002A3756">
        <w:rPr>
          <w:sz w:val="24"/>
          <w:szCs w:val="24"/>
        </w:rPr>
        <w:t>Overfølsomhed over for det aktive stof eller over for et eller flere af hjælpestofferne anført i pkt. 6.1.</w:t>
      </w:r>
    </w:p>
    <w:p w14:paraId="2CDAB355" w14:textId="77777777" w:rsidR="002A3756" w:rsidRPr="002A3756" w:rsidRDefault="002A3756" w:rsidP="002A3756">
      <w:pPr>
        <w:tabs>
          <w:tab w:val="left" w:pos="851"/>
        </w:tabs>
        <w:ind w:left="851"/>
        <w:rPr>
          <w:sz w:val="24"/>
          <w:szCs w:val="24"/>
        </w:rPr>
      </w:pPr>
      <w:r w:rsidRPr="002A3756">
        <w:rPr>
          <w:sz w:val="24"/>
          <w:szCs w:val="24"/>
        </w:rPr>
        <w:t xml:space="preserve">Systemiske infektioner, medmindre der anvendes specifik </w:t>
      </w:r>
      <w:proofErr w:type="spellStart"/>
      <w:r w:rsidRPr="002A3756">
        <w:rPr>
          <w:sz w:val="24"/>
          <w:szCs w:val="24"/>
        </w:rPr>
        <w:t>anti-infektiv</w:t>
      </w:r>
      <w:proofErr w:type="spellEnd"/>
      <w:r w:rsidRPr="002A3756">
        <w:rPr>
          <w:sz w:val="24"/>
          <w:szCs w:val="24"/>
        </w:rPr>
        <w:t xml:space="preserve"> behandling.</w:t>
      </w:r>
    </w:p>
    <w:p w14:paraId="5D1E9360" w14:textId="2ACE12B2" w:rsidR="002A3756" w:rsidRDefault="002A3756" w:rsidP="002A3756">
      <w:pPr>
        <w:tabs>
          <w:tab w:val="left" w:pos="851"/>
        </w:tabs>
        <w:ind w:left="851"/>
        <w:rPr>
          <w:sz w:val="24"/>
          <w:szCs w:val="24"/>
        </w:rPr>
      </w:pPr>
      <w:r w:rsidRPr="002A3756">
        <w:rPr>
          <w:sz w:val="24"/>
          <w:szCs w:val="24"/>
        </w:rPr>
        <w:t xml:space="preserve">Administration af levende vacciner er kontraindiceret til patienter, der får immunsuppressive doser af </w:t>
      </w:r>
      <w:proofErr w:type="spellStart"/>
      <w:r w:rsidRPr="002A3756">
        <w:rPr>
          <w:sz w:val="24"/>
          <w:szCs w:val="24"/>
        </w:rPr>
        <w:t>dexamethason</w:t>
      </w:r>
      <w:proofErr w:type="spellEnd"/>
      <w:r w:rsidRPr="002A3756">
        <w:rPr>
          <w:sz w:val="24"/>
          <w:szCs w:val="24"/>
        </w:rPr>
        <w:t>.</w:t>
      </w:r>
    </w:p>
    <w:p w14:paraId="3EB0015E" w14:textId="77777777" w:rsidR="00463842" w:rsidRPr="002A3756" w:rsidRDefault="00463842" w:rsidP="002A3756">
      <w:pPr>
        <w:tabs>
          <w:tab w:val="left" w:pos="851"/>
        </w:tabs>
        <w:ind w:left="851"/>
        <w:rPr>
          <w:sz w:val="24"/>
          <w:szCs w:val="24"/>
        </w:rPr>
      </w:pPr>
    </w:p>
    <w:p w14:paraId="7908BF5C" w14:textId="013150AA" w:rsidR="002A3756" w:rsidRPr="00463842" w:rsidRDefault="002A3756" w:rsidP="002A3756">
      <w:pPr>
        <w:tabs>
          <w:tab w:val="left" w:pos="851"/>
        </w:tabs>
        <w:ind w:left="851"/>
        <w:rPr>
          <w:sz w:val="24"/>
          <w:szCs w:val="24"/>
          <w:u w:val="single"/>
        </w:rPr>
      </w:pPr>
      <w:proofErr w:type="spellStart"/>
      <w:r w:rsidRPr="00463842">
        <w:rPr>
          <w:sz w:val="24"/>
          <w:szCs w:val="24"/>
          <w:u w:val="single"/>
        </w:rPr>
        <w:t>Intraartikulære</w:t>
      </w:r>
      <w:proofErr w:type="spellEnd"/>
      <w:r w:rsidRPr="00463842">
        <w:rPr>
          <w:sz w:val="24"/>
          <w:szCs w:val="24"/>
          <w:u w:val="single"/>
        </w:rPr>
        <w:t xml:space="preserve"> </w:t>
      </w:r>
      <w:proofErr w:type="spellStart"/>
      <w:r w:rsidRPr="00463842">
        <w:rPr>
          <w:sz w:val="24"/>
          <w:szCs w:val="24"/>
          <w:u w:val="single"/>
        </w:rPr>
        <w:t>dexamethason</w:t>
      </w:r>
      <w:proofErr w:type="spellEnd"/>
      <w:r w:rsidRPr="00463842">
        <w:rPr>
          <w:sz w:val="24"/>
          <w:szCs w:val="24"/>
          <w:u w:val="single"/>
        </w:rPr>
        <w:t>-injektioner er kontraindicerede i følgende tilfælde</w:t>
      </w:r>
    </w:p>
    <w:p w14:paraId="5FA2256E" w14:textId="77777777" w:rsidR="002A3756" w:rsidRPr="002A3756" w:rsidRDefault="002A3756" w:rsidP="00463842">
      <w:pPr>
        <w:numPr>
          <w:ilvl w:val="0"/>
          <w:numId w:val="6"/>
        </w:numPr>
        <w:tabs>
          <w:tab w:val="left" w:pos="851"/>
        </w:tabs>
        <w:ind w:left="1134" w:hanging="283"/>
        <w:rPr>
          <w:sz w:val="24"/>
          <w:szCs w:val="24"/>
        </w:rPr>
      </w:pPr>
      <w:r w:rsidRPr="002A3756">
        <w:rPr>
          <w:sz w:val="24"/>
          <w:szCs w:val="24"/>
        </w:rPr>
        <w:t>Infektioner i eller meget tæt på det led, der skal behandles, herunder bakteriel artritis</w:t>
      </w:r>
    </w:p>
    <w:p w14:paraId="6A82D449" w14:textId="77777777" w:rsidR="002A3756" w:rsidRPr="002A3756" w:rsidRDefault="002A3756" w:rsidP="00463842">
      <w:pPr>
        <w:numPr>
          <w:ilvl w:val="0"/>
          <w:numId w:val="6"/>
        </w:numPr>
        <w:tabs>
          <w:tab w:val="left" w:pos="851"/>
        </w:tabs>
        <w:ind w:left="1134" w:hanging="283"/>
        <w:rPr>
          <w:sz w:val="24"/>
          <w:szCs w:val="24"/>
        </w:rPr>
      </w:pPr>
      <w:r w:rsidRPr="002A3756">
        <w:rPr>
          <w:sz w:val="24"/>
          <w:szCs w:val="24"/>
        </w:rPr>
        <w:t>Ustabilitet i det led, der skal behandles</w:t>
      </w:r>
    </w:p>
    <w:p w14:paraId="3816E0DE" w14:textId="77777777" w:rsidR="002A3756" w:rsidRPr="002A3756" w:rsidRDefault="002A3756" w:rsidP="00463842">
      <w:pPr>
        <w:numPr>
          <w:ilvl w:val="0"/>
          <w:numId w:val="6"/>
        </w:numPr>
        <w:tabs>
          <w:tab w:val="left" w:pos="851"/>
        </w:tabs>
        <w:ind w:left="1134" w:hanging="283"/>
        <w:rPr>
          <w:sz w:val="24"/>
          <w:szCs w:val="24"/>
        </w:rPr>
      </w:pPr>
      <w:r w:rsidRPr="002A3756">
        <w:rPr>
          <w:sz w:val="24"/>
          <w:szCs w:val="24"/>
        </w:rPr>
        <w:t xml:space="preserve">Blødningstendens (spontan eller på grund af </w:t>
      </w:r>
      <w:proofErr w:type="spellStart"/>
      <w:r w:rsidRPr="002A3756">
        <w:rPr>
          <w:sz w:val="24"/>
          <w:szCs w:val="24"/>
        </w:rPr>
        <w:t>antikoagulantia</w:t>
      </w:r>
      <w:proofErr w:type="spellEnd"/>
      <w:r w:rsidRPr="002A3756">
        <w:rPr>
          <w:sz w:val="24"/>
          <w:szCs w:val="24"/>
        </w:rPr>
        <w:t>)</w:t>
      </w:r>
    </w:p>
    <w:p w14:paraId="60BD7126" w14:textId="77777777" w:rsidR="002A3756" w:rsidRPr="002A3756" w:rsidRDefault="002A3756" w:rsidP="00463842">
      <w:pPr>
        <w:numPr>
          <w:ilvl w:val="0"/>
          <w:numId w:val="6"/>
        </w:numPr>
        <w:tabs>
          <w:tab w:val="left" w:pos="851"/>
        </w:tabs>
        <w:ind w:left="1134" w:hanging="283"/>
        <w:rPr>
          <w:sz w:val="24"/>
          <w:szCs w:val="24"/>
        </w:rPr>
      </w:pPr>
      <w:proofErr w:type="spellStart"/>
      <w:r w:rsidRPr="002A3756">
        <w:rPr>
          <w:sz w:val="24"/>
          <w:szCs w:val="24"/>
        </w:rPr>
        <w:t>Avaskulær</w:t>
      </w:r>
      <w:proofErr w:type="spellEnd"/>
      <w:r w:rsidRPr="002A3756">
        <w:rPr>
          <w:sz w:val="24"/>
          <w:szCs w:val="24"/>
        </w:rPr>
        <w:t xml:space="preserve"> nekrose</w:t>
      </w:r>
    </w:p>
    <w:p w14:paraId="5EAAAA1A" w14:textId="77777777" w:rsidR="002A3756" w:rsidRPr="002A3756" w:rsidRDefault="002A3756" w:rsidP="00463842">
      <w:pPr>
        <w:numPr>
          <w:ilvl w:val="0"/>
          <w:numId w:val="6"/>
        </w:numPr>
        <w:tabs>
          <w:tab w:val="left" w:pos="851"/>
        </w:tabs>
        <w:ind w:left="1134" w:hanging="283"/>
        <w:rPr>
          <w:sz w:val="24"/>
          <w:szCs w:val="24"/>
        </w:rPr>
      </w:pPr>
      <w:proofErr w:type="spellStart"/>
      <w:r w:rsidRPr="002A3756">
        <w:rPr>
          <w:sz w:val="24"/>
          <w:szCs w:val="24"/>
        </w:rPr>
        <w:t>Charcots</w:t>
      </w:r>
      <w:proofErr w:type="spellEnd"/>
      <w:r w:rsidRPr="002A3756">
        <w:rPr>
          <w:sz w:val="24"/>
          <w:szCs w:val="24"/>
        </w:rPr>
        <w:t xml:space="preserve"> led</w:t>
      </w:r>
    </w:p>
    <w:p w14:paraId="544C857B" w14:textId="77777777" w:rsidR="002A3756" w:rsidRPr="002A3756" w:rsidRDefault="002A3756" w:rsidP="00463842">
      <w:pPr>
        <w:numPr>
          <w:ilvl w:val="0"/>
          <w:numId w:val="6"/>
        </w:numPr>
        <w:tabs>
          <w:tab w:val="left" w:pos="851"/>
        </w:tabs>
        <w:ind w:left="1134" w:hanging="283"/>
        <w:rPr>
          <w:sz w:val="24"/>
          <w:szCs w:val="24"/>
        </w:rPr>
      </w:pPr>
      <w:bookmarkStart w:id="1" w:name="_Hlk66895393"/>
      <w:proofErr w:type="spellStart"/>
      <w:r w:rsidRPr="002A3756">
        <w:rPr>
          <w:sz w:val="24"/>
          <w:szCs w:val="24"/>
        </w:rPr>
        <w:t>Periartikulær</w:t>
      </w:r>
      <w:proofErr w:type="spellEnd"/>
      <w:r w:rsidRPr="002A3756">
        <w:rPr>
          <w:sz w:val="24"/>
          <w:szCs w:val="24"/>
        </w:rPr>
        <w:t xml:space="preserve"> forkalkning</w:t>
      </w:r>
    </w:p>
    <w:bookmarkEnd w:id="1"/>
    <w:p w14:paraId="16A997F4" w14:textId="77777777" w:rsidR="002A3756" w:rsidRPr="002A3756" w:rsidRDefault="002A3756" w:rsidP="00463842">
      <w:pPr>
        <w:numPr>
          <w:ilvl w:val="0"/>
          <w:numId w:val="6"/>
        </w:numPr>
        <w:tabs>
          <w:tab w:val="left" w:pos="851"/>
        </w:tabs>
        <w:ind w:left="1134" w:hanging="283"/>
        <w:rPr>
          <w:sz w:val="24"/>
          <w:szCs w:val="24"/>
        </w:rPr>
      </w:pPr>
      <w:proofErr w:type="spellStart"/>
      <w:r w:rsidRPr="002A3756">
        <w:rPr>
          <w:sz w:val="24"/>
          <w:szCs w:val="24"/>
        </w:rPr>
        <w:t>Seneruptur</w:t>
      </w:r>
      <w:proofErr w:type="spellEnd"/>
    </w:p>
    <w:p w14:paraId="38FBCF51" w14:textId="77777777" w:rsidR="009260DE" w:rsidRPr="00C84483" w:rsidRDefault="009260DE" w:rsidP="009260DE">
      <w:pPr>
        <w:tabs>
          <w:tab w:val="left" w:pos="851"/>
        </w:tabs>
        <w:ind w:left="851"/>
        <w:rPr>
          <w:sz w:val="24"/>
          <w:szCs w:val="24"/>
        </w:rPr>
      </w:pPr>
    </w:p>
    <w:p w14:paraId="2F4D1AC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34FA6E5" w14:textId="77777777" w:rsidR="00287B35" w:rsidRPr="00287B35" w:rsidRDefault="00287B35" w:rsidP="00287B35">
      <w:pPr>
        <w:tabs>
          <w:tab w:val="left" w:pos="851"/>
        </w:tabs>
        <w:ind w:left="851"/>
        <w:rPr>
          <w:sz w:val="24"/>
          <w:szCs w:val="24"/>
        </w:rPr>
      </w:pPr>
      <w:r w:rsidRPr="00287B35">
        <w:rPr>
          <w:sz w:val="24"/>
          <w:szCs w:val="24"/>
        </w:rPr>
        <w:t xml:space="preserve">Administration af </w:t>
      </w:r>
      <w:proofErr w:type="spellStart"/>
      <w:r w:rsidRPr="00287B35">
        <w:rPr>
          <w:sz w:val="24"/>
          <w:szCs w:val="24"/>
        </w:rPr>
        <w:t>glukokortikoider</w:t>
      </w:r>
      <w:proofErr w:type="spellEnd"/>
      <w:r w:rsidRPr="00287B35">
        <w:rPr>
          <w:sz w:val="24"/>
          <w:szCs w:val="24"/>
        </w:rPr>
        <w:t xml:space="preserve"> kan fremkalde binyreinsufficiens, især når der administreres høje doser i længere perioder. Pludselig </w:t>
      </w:r>
      <w:proofErr w:type="spellStart"/>
      <w:r w:rsidRPr="00287B35">
        <w:rPr>
          <w:sz w:val="24"/>
          <w:szCs w:val="24"/>
        </w:rPr>
        <w:t>seponering</w:t>
      </w:r>
      <w:proofErr w:type="spellEnd"/>
      <w:r w:rsidRPr="00287B35">
        <w:rPr>
          <w:sz w:val="24"/>
          <w:szCs w:val="24"/>
        </w:rPr>
        <w:t xml:space="preserve"> efter mere end 10 dages behandling kan medføre forværring eller tilbagefald af den underliggende sygdom samt akut binyreinsufficiens/kortison-abstinenssymptom. Derfor skal dosis nedsættes langsomt, hvis behandlingen skal seponeres.</w:t>
      </w:r>
    </w:p>
    <w:p w14:paraId="11C27B0E" w14:textId="77777777" w:rsidR="00287B35" w:rsidRPr="00287B35" w:rsidRDefault="00287B35" w:rsidP="00287B35">
      <w:pPr>
        <w:tabs>
          <w:tab w:val="left" w:pos="851"/>
        </w:tabs>
        <w:ind w:left="851"/>
        <w:rPr>
          <w:sz w:val="24"/>
          <w:szCs w:val="24"/>
        </w:rPr>
      </w:pPr>
    </w:p>
    <w:p w14:paraId="6CF79615" w14:textId="77777777" w:rsidR="00287B35" w:rsidRPr="00287B35" w:rsidRDefault="00287B35" w:rsidP="00287B35">
      <w:pPr>
        <w:tabs>
          <w:tab w:val="left" w:pos="851"/>
        </w:tabs>
        <w:ind w:left="851"/>
        <w:rPr>
          <w:sz w:val="24"/>
          <w:szCs w:val="24"/>
        </w:rPr>
      </w:pPr>
      <w:r w:rsidRPr="00287B35">
        <w:rPr>
          <w:sz w:val="24"/>
          <w:szCs w:val="24"/>
        </w:rPr>
        <w:t xml:space="preserve">I situationer med særlig fysisk belastning (f.eks. traume, operation, fødsel) kan det være nødvendigt at øge den daglige </w:t>
      </w:r>
      <w:proofErr w:type="spellStart"/>
      <w:r w:rsidRPr="00287B35">
        <w:rPr>
          <w:sz w:val="24"/>
          <w:szCs w:val="24"/>
        </w:rPr>
        <w:t>glukokortikoid</w:t>
      </w:r>
      <w:proofErr w:type="spellEnd"/>
      <w:r w:rsidRPr="00287B35">
        <w:rPr>
          <w:sz w:val="24"/>
          <w:szCs w:val="24"/>
        </w:rPr>
        <w:t>-dosis midlertidigt.</w:t>
      </w:r>
    </w:p>
    <w:p w14:paraId="7145A733" w14:textId="77777777" w:rsidR="00287B35" w:rsidRPr="00287B35" w:rsidRDefault="00287B35" w:rsidP="00287B35">
      <w:pPr>
        <w:tabs>
          <w:tab w:val="left" w:pos="851"/>
        </w:tabs>
        <w:ind w:left="851"/>
        <w:rPr>
          <w:sz w:val="24"/>
          <w:szCs w:val="24"/>
        </w:rPr>
      </w:pPr>
    </w:p>
    <w:p w14:paraId="182C4E3C" w14:textId="77777777" w:rsidR="00287B35" w:rsidRPr="00287B35" w:rsidRDefault="00287B35" w:rsidP="00287B35">
      <w:pPr>
        <w:tabs>
          <w:tab w:val="left" w:pos="851"/>
        </w:tabs>
        <w:ind w:left="851"/>
        <w:rPr>
          <w:sz w:val="24"/>
          <w:szCs w:val="24"/>
        </w:rPr>
      </w:pPr>
      <w:r w:rsidRPr="00287B35">
        <w:rPr>
          <w:sz w:val="24"/>
          <w:szCs w:val="24"/>
        </w:rPr>
        <w:t xml:space="preserve">Behandling med </w:t>
      </w:r>
      <w:proofErr w:type="spellStart"/>
      <w:r w:rsidRPr="00287B35">
        <w:rPr>
          <w:sz w:val="24"/>
          <w:szCs w:val="24"/>
        </w:rPr>
        <w:t>Dexacur</w:t>
      </w:r>
      <w:proofErr w:type="spellEnd"/>
      <w:r w:rsidRPr="00287B35">
        <w:rPr>
          <w:sz w:val="24"/>
          <w:szCs w:val="24"/>
        </w:rPr>
        <w:t xml:space="preserve"> kan, på grund af immunsuppression, øge risikoen for infektioner med bakterier, vira, parasitter og svampe samt øge risikoen for opportunistiske infektioner. Symptomer på en eksisterende infektion eller en infektion, som er under udvikling, kan blive sløret og derved gøre det vanskeligere at stille en diagnose. Latente infektioner, såsom tuberkulose eller hepatitis B, kan genaktiveres.</w:t>
      </w:r>
    </w:p>
    <w:p w14:paraId="76C20D44" w14:textId="77777777" w:rsidR="00287B35" w:rsidRPr="00287B35" w:rsidRDefault="00287B35" w:rsidP="00287B35">
      <w:pPr>
        <w:tabs>
          <w:tab w:val="left" w:pos="851"/>
        </w:tabs>
        <w:ind w:left="851"/>
        <w:rPr>
          <w:sz w:val="24"/>
          <w:szCs w:val="24"/>
        </w:rPr>
      </w:pPr>
    </w:p>
    <w:p w14:paraId="0D83CFC2" w14:textId="77777777" w:rsidR="00287B35" w:rsidRPr="00287B35" w:rsidRDefault="00287B35" w:rsidP="00287B35">
      <w:pPr>
        <w:tabs>
          <w:tab w:val="left" w:pos="851"/>
        </w:tabs>
        <w:ind w:left="851"/>
        <w:rPr>
          <w:sz w:val="24"/>
          <w:szCs w:val="24"/>
          <w:u w:val="single"/>
        </w:rPr>
      </w:pPr>
      <w:r w:rsidRPr="00287B35">
        <w:rPr>
          <w:sz w:val="24"/>
          <w:szCs w:val="24"/>
          <w:u w:val="single"/>
        </w:rPr>
        <w:t>Infektioner og vaccinationer</w:t>
      </w:r>
    </w:p>
    <w:p w14:paraId="14C6083E" w14:textId="77777777" w:rsidR="00287B35" w:rsidRPr="00287B35" w:rsidRDefault="00287B35" w:rsidP="00287B35">
      <w:pPr>
        <w:tabs>
          <w:tab w:val="left" w:pos="851"/>
        </w:tabs>
        <w:ind w:left="851"/>
        <w:rPr>
          <w:sz w:val="24"/>
          <w:szCs w:val="24"/>
        </w:rPr>
      </w:pPr>
      <w:r w:rsidRPr="00287B35">
        <w:rPr>
          <w:sz w:val="24"/>
          <w:szCs w:val="24"/>
        </w:rPr>
        <w:t xml:space="preserve">Vaccinationer med inaktiverede vacciner er generelt muligt. Det skal dog bemærkes, at immunresponset og dermed vaccinen kan kompromitteres ved højere doser af </w:t>
      </w:r>
      <w:proofErr w:type="spellStart"/>
      <w:r w:rsidRPr="00287B35">
        <w:rPr>
          <w:sz w:val="24"/>
          <w:szCs w:val="24"/>
        </w:rPr>
        <w:t>kortikosteroider</w:t>
      </w:r>
      <w:proofErr w:type="spellEnd"/>
      <w:r w:rsidRPr="00287B35">
        <w:rPr>
          <w:sz w:val="24"/>
          <w:szCs w:val="24"/>
        </w:rPr>
        <w:t>.</w:t>
      </w:r>
    </w:p>
    <w:p w14:paraId="0C36DFEF" w14:textId="77777777" w:rsidR="00287B35" w:rsidRPr="00287B35" w:rsidRDefault="00287B35" w:rsidP="00287B35">
      <w:pPr>
        <w:tabs>
          <w:tab w:val="left" w:pos="851"/>
        </w:tabs>
        <w:ind w:left="851"/>
        <w:rPr>
          <w:sz w:val="24"/>
          <w:szCs w:val="24"/>
        </w:rPr>
      </w:pPr>
    </w:p>
    <w:p w14:paraId="30398A26" w14:textId="77777777" w:rsidR="00287B35" w:rsidRPr="00287B35" w:rsidRDefault="00287B35" w:rsidP="00287B35">
      <w:pPr>
        <w:tabs>
          <w:tab w:val="left" w:pos="851"/>
        </w:tabs>
        <w:ind w:left="851"/>
        <w:rPr>
          <w:sz w:val="24"/>
          <w:szCs w:val="24"/>
        </w:rPr>
      </w:pPr>
      <w:r w:rsidRPr="00287B35">
        <w:rPr>
          <w:sz w:val="24"/>
          <w:szCs w:val="24"/>
        </w:rPr>
        <w:t xml:space="preserve">Visse virussygdomme (skoldkopper, mæslinger) kan være særligt alvorlige hos patienter, der behandles med </w:t>
      </w:r>
      <w:proofErr w:type="spellStart"/>
      <w:r w:rsidRPr="00287B35">
        <w:rPr>
          <w:sz w:val="24"/>
          <w:szCs w:val="24"/>
        </w:rPr>
        <w:t>glukokortikoider</w:t>
      </w:r>
      <w:proofErr w:type="spellEnd"/>
      <w:r w:rsidRPr="00287B35">
        <w:rPr>
          <w:sz w:val="24"/>
          <w:szCs w:val="24"/>
        </w:rPr>
        <w:t xml:space="preserve">. Især immunkompromitterede patienter, der ikke tidligere har været udsat for infektion med skoldkopper eller mæslinger, har en særlig stor risiko. Hvis disse patienter kommer i kontakt med personer, der er smittet med mæslinger eller skoldkopper, mens de er i behandling med </w:t>
      </w:r>
      <w:proofErr w:type="spellStart"/>
      <w:r w:rsidRPr="00287B35">
        <w:rPr>
          <w:sz w:val="24"/>
          <w:szCs w:val="24"/>
        </w:rPr>
        <w:t>Dexacur</w:t>
      </w:r>
      <w:proofErr w:type="spellEnd"/>
      <w:r w:rsidRPr="00287B35">
        <w:rPr>
          <w:sz w:val="24"/>
          <w:szCs w:val="24"/>
        </w:rPr>
        <w:t>, skal en forebyggende behandling om nødvendigt iværksættes.</w:t>
      </w:r>
    </w:p>
    <w:p w14:paraId="2A75A1BB" w14:textId="77777777" w:rsidR="00287B35" w:rsidRPr="00287B35" w:rsidRDefault="00287B35" w:rsidP="00287B35">
      <w:pPr>
        <w:tabs>
          <w:tab w:val="left" w:pos="851"/>
        </w:tabs>
        <w:ind w:left="851"/>
        <w:rPr>
          <w:sz w:val="24"/>
          <w:szCs w:val="24"/>
        </w:rPr>
      </w:pPr>
    </w:p>
    <w:p w14:paraId="7DCA592C" w14:textId="523FD273" w:rsidR="00287B35" w:rsidRPr="00287B35" w:rsidRDefault="00287B35" w:rsidP="00287B35">
      <w:pPr>
        <w:tabs>
          <w:tab w:val="left" w:pos="851"/>
        </w:tabs>
        <w:ind w:left="851"/>
        <w:rPr>
          <w:sz w:val="24"/>
          <w:szCs w:val="24"/>
          <w:u w:val="single"/>
        </w:rPr>
      </w:pPr>
      <w:r w:rsidRPr="00287B35">
        <w:rPr>
          <w:sz w:val="24"/>
          <w:szCs w:val="24"/>
          <w:u w:val="single"/>
        </w:rPr>
        <w:t>Patienter med følgende tilstande skal overvåges nøje</w:t>
      </w:r>
    </w:p>
    <w:p w14:paraId="56CBEFCF" w14:textId="77777777" w:rsidR="00287B35" w:rsidRPr="00287B35" w:rsidRDefault="00287B35" w:rsidP="00287B35">
      <w:pPr>
        <w:numPr>
          <w:ilvl w:val="0"/>
          <w:numId w:val="6"/>
        </w:numPr>
        <w:tabs>
          <w:tab w:val="left" w:pos="851"/>
        </w:tabs>
        <w:ind w:left="1134" w:hanging="283"/>
        <w:rPr>
          <w:sz w:val="24"/>
          <w:szCs w:val="24"/>
        </w:rPr>
      </w:pPr>
      <w:r w:rsidRPr="00287B35">
        <w:rPr>
          <w:sz w:val="24"/>
          <w:szCs w:val="24"/>
        </w:rPr>
        <w:t xml:space="preserve">akutte virusinfektioner (hepatitis B, herpes </w:t>
      </w:r>
      <w:proofErr w:type="spellStart"/>
      <w:r w:rsidRPr="00287B35">
        <w:rPr>
          <w:sz w:val="24"/>
          <w:szCs w:val="24"/>
        </w:rPr>
        <w:t>zoster</w:t>
      </w:r>
      <w:proofErr w:type="spellEnd"/>
      <w:r w:rsidRPr="00287B35">
        <w:rPr>
          <w:sz w:val="24"/>
          <w:szCs w:val="24"/>
        </w:rPr>
        <w:t xml:space="preserve">, herpes </w:t>
      </w:r>
      <w:proofErr w:type="spellStart"/>
      <w:r w:rsidRPr="00287B35">
        <w:rPr>
          <w:sz w:val="24"/>
          <w:szCs w:val="24"/>
        </w:rPr>
        <w:t>simplex</w:t>
      </w:r>
      <w:proofErr w:type="spellEnd"/>
      <w:r w:rsidRPr="00287B35">
        <w:rPr>
          <w:sz w:val="24"/>
          <w:szCs w:val="24"/>
        </w:rPr>
        <w:t xml:space="preserve">, </w:t>
      </w:r>
      <w:proofErr w:type="spellStart"/>
      <w:r w:rsidRPr="00287B35">
        <w:rPr>
          <w:sz w:val="24"/>
          <w:szCs w:val="24"/>
        </w:rPr>
        <w:t>varicella</w:t>
      </w:r>
      <w:proofErr w:type="spellEnd"/>
      <w:r w:rsidRPr="00287B35">
        <w:rPr>
          <w:sz w:val="24"/>
          <w:szCs w:val="24"/>
        </w:rPr>
        <w:t xml:space="preserve">, </w:t>
      </w:r>
      <w:proofErr w:type="spellStart"/>
      <w:r w:rsidRPr="00287B35">
        <w:rPr>
          <w:sz w:val="24"/>
          <w:szCs w:val="24"/>
        </w:rPr>
        <w:t>herpetisk</w:t>
      </w:r>
      <w:proofErr w:type="spellEnd"/>
      <w:r w:rsidRPr="00287B35">
        <w:rPr>
          <w:sz w:val="24"/>
          <w:szCs w:val="24"/>
        </w:rPr>
        <w:t xml:space="preserve"> </w:t>
      </w:r>
      <w:proofErr w:type="spellStart"/>
      <w:r w:rsidRPr="00287B35">
        <w:rPr>
          <w:sz w:val="24"/>
          <w:szCs w:val="24"/>
        </w:rPr>
        <w:t>keratitis</w:t>
      </w:r>
      <w:proofErr w:type="spellEnd"/>
      <w:r w:rsidRPr="00287B35">
        <w:rPr>
          <w:sz w:val="24"/>
          <w:szCs w:val="24"/>
        </w:rPr>
        <w:t>)</w:t>
      </w:r>
    </w:p>
    <w:p w14:paraId="68BBB7BB" w14:textId="77777777" w:rsidR="00287B35" w:rsidRPr="00287B35" w:rsidRDefault="00287B35" w:rsidP="00287B35">
      <w:pPr>
        <w:numPr>
          <w:ilvl w:val="0"/>
          <w:numId w:val="6"/>
        </w:numPr>
        <w:tabs>
          <w:tab w:val="left" w:pos="851"/>
        </w:tabs>
        <w:ind w:left="1134" w:hanging="283"/>
        <w:rPr>
          <w:sz w:val="24"/>
          <w:szCs w:val="24"/>
        </w:rPr>
      </w:pPr>
      <w:proofErr w:type="spellStart"/>
      <w:r w:rsidRPr="00287B35">
        <w:rPr>
          <w:sz w:val="24"/>
          <w:szCs w:val="24"/>
        </w:rPr>
        <w:t>HBsAg</w:t>
      </w:r>
      <w:proofErr w:type="spellEnd"/>
      <w:r w:rsidRPr="00287B35">
        <w:rPr>
          <w:sz w:val="24"/>
          <w:szCs w:val="24"/>
        </w:rPr>
        <w:t>-positiv kronisk aktiv hepatitis</w:t>
      </w:r>
    </w:p>
    <w:p w14:paraId="0484717B" w14:textId="77777777" w:rsidR="00287B35" w:rsidRPr="00287B35" w:rsidRDefault="00287B35" w:rsidP="00287B35">
      <w:pPr>
        <w:numPr>
          <w:ilvl w:val="0"/>
          <w:numId w:val="6"/>
        </w:numPr>
        <w:tabs>
          <w:tab w:val="left" w:pos="851"/>
        </w:tabs>
        <w:ind w:left="1134" w:hanging="283"/>
        <w:rPr>
          <w:sz w:val="24"/>
          <w:szCs w:val="24"/>
        </w:rPr>
      </w:pPr>
      <w:r w:rsidRPr="00287B35">
        <w:rPr>
          <w:sz w:val="24"/>
          <w:szCs w:val="24"/>
        </w:rPr>
        <w:t>ca. 8 uger før til 2 uger efter vaccination med levende vacciner</w:t>
      </w:r>
    </w:p>
    <w:p w14:paraId="6802286A" w14:textId="77777777" w:rsidR="00287B35" w:rsidRPr="00287B35" w:rsidRDefault="00287B35" w:rsidP="00287B35">
      <w:pPr>
        <w:numPr>
          <w:ilvl w:val="0"/>
          <w:numId w:val="6"/>
        </w:numPr>
        <w:tabs>
          <w:tab w:val="left" w:pos="851"/>
        </w:tabs>
        <w:ind w:left="1134" w:hanging="283"/>
        <w:rPr>
          <w:sz w:val="24"/>
          <w:szCs w:val="24"/>
        </w:rPr>
      </w:pPr>
      <w:r w:rsidRPr="00287B35">
        <w:rPr>
          <w:sz w:val="24"/>
          <w:szCs w:val="24"/>
        </w:rPr>
        <w:t xml:space="preserve">systemiske </w:t>
      </w:r>
      <w:proofErr w:type="spellStart"/>
      <w:r w:rsidRPr="00287B35">
        <w:rPr>
          <w:sz w:val="24"/>
          <w:szCs w:val="24"/>
        </w:rPr>
        <w:t>mykoser</w:t>
      </w:r>
      <w:proofErr w:type="spellEnd"/>
      <w:r w:rsidRPr="00287B35">
        <w:rPr>
          <w:sz w:val="24"/>
          <w:szCs w:val="24"/>
        </w:rPr>
        <w:t xml:space="preserve"> og parasitære sygdomme (f.eks. </w:t>
      </w:r>
      <w:proofErr w:type="spellStart"/>
      <w:r w:rsidRPr="00287B35">
        <w:rPr>
          <w:sz w:val="24"/>
          <w:szCs w:val="24"/>
        </w:rPr>
        <w:t>nematoder</w:t>
      </w:r>
      <w:proofErr w:type="spellEnd"/>
      <w:r w:rsidRPr="00287B35">
        <w:rPr>
          <w:sz w:val="24"/>
          <w:szCs w:val="24"/>
        </w:rPr>
        <w:t>)</w:t>
      </w:r>
    </w:p>
    <w:p w14:paraId="35D55535" w14:textId="77777777" w:rsidR="00287B35" w:rsidRPr="00287B35" w:rsidRDefault="00287B35" w:rsidP="00287B35">
      <w:pPr>
        <w:numPr>
          <w:ilvl w:val="0"/>
          <w:numId w:val="6"/>
        </w:numPr>
        <w:tabs>
          <w:tab w:val="left" w:pos="851"/>
        </w:tabs>
        <w:ind w:left="1134" w:hanging="283"/>
        <w:rPr>
          <w:sz w:val="24"/>
          <w:szCs w:val="24"/>
        </w:rPr>
      </w:pPr>
      <w:r w:rsidRPr="00287B35">
        <w:rPr>
          <w:sz w:val="24"/>
          <w:szCs w:val="24"/>
        </w:rPr>
        <w:t xml:space="preserve">hos patienter med formodet eller bekræftet </w:t>
      </w:r>
      <w:proofErr w:type="spellStart"/>
      <w:r w:rsidRPr="00287B35">
        <w:rPr>
          <w:sz w:val="24"/>
          <w:szCs w:val="24"/>
        </w:rPr>
        <w:t>strongyloides</w:t>
      </w:r>
      <w:proofErr w:type="spellEnd"/>
      <w:r w:rsidRPr="00287B35">
        <w:rPr>
          <w:sz w:val="24"/>
          <w:szCs w:val="24"/>
        </w:rPr>
        <w:t xml:space="preserve"> (infektion med trådorm) kan </w:t>
      </w:r>
      <w:proofErr w:type="spellStart"/>
      <w:r w:rsidRPr="00287B35">
        <w:rPr>
          <w:sz w:val="24"/>
          <w:szCs w:val="24"/>
        </w:rPr>
        <w:t>glukokortikoider</w:t>
      </w:r>
      <w:proofErr w:type="spellEnd"/>
      <w:r w:rsidRPr="00287B35">
        <w:rPr>
          <w:sz w:val="24"/>
          <w:szCs w:val="24"/>
        </w:rPr>
        <w:t xml:space="preserve"> medføre aktivering og masseformering af disse parasitter</w:t>
      </w:r>
    </w:p>
    <w:p w14:paraId="54329EE8" w14:textId="77777777" w:rsidR="00287B35" w:rsidRPr="00287B35" w:rsidRDefault="00287B35" w:rsidP="00287B35">
      <w:pPr>
        <w:numPr>
          <w:ilvl w:val="0"/>
          <w:numId w:val="6"/>
        </w:numPr>
        <w:tabs>
          <w:tab w:val="left" w:pos="851"/>
        </w:tabs>
        <w:ind w:left="1134" w:hanging="283"/>
        <w:rPr>
          <w:sz w:val="24"/>
          <w:szCs w:val="24"/>
        </w:rPr>
      </w:pPr>
      <w:r w:rsidRPr="00287B35">
        <w:rPr>
          <w:sz w:val="24"/>
          <w:szCs w:val="24"/>
        </w:rPr>
        <w:t>poliomyelitis</w:t>
      </w:r>
    </w:p>
    <w:p w14:paraId="3506FD27" w14:textId="77777777" w:rsidR="00287B35" w:rsidRPr="00287B35" w:rsidRDefault="00287B35" w:rsidP="00287B35">
      <w:pPr>
        <w:numPr>
          <w:ilvl w:val="0"/>
          <w:numId w:val="6"/>
        </w:numPr>
        <w:tabs>
          <w:tab w:val="left" w:pos="851"/>
        </w:tabs>
        <w:ind w:left="1134" w:hanging="283"/>
        <w:rPr>
          <w:sz w:val="24"/>
          <w:szCs w:val="24"/>
        </w:rPr>
      </w:pPr>
      <w:proofErr w:type="spellStart"/>
      <w:r w:rsidRPr="00287B35">
        <w:rPr>
          <w:sz w:val="24"/>
          <w:szCs w:val="24"/>
        </w:rPr>
        <w:t>lymfadenitis</w:t>
      </w:r>
      <w:proofErr w:type="spellEnd"/>
      <w:r w:rsidRPr="00287B35">
        <w:rPr>
          <w:sz w:val="24"/>
          <w:szCs w:val="24"/>
        </w:rPr>
        <w:t xml:space="preserve"> efter BCG-vaccination</w:t>
      </w:r>
    </w:p>
    <w:p w14:paraId="682A96F5" w14:textId="77777777" w:rsidR="00287B35" w:rsidRPr="00287B35" w:rsidRDefault="00287B35" w:rsidP="00287B35">
      <w:pPr>
        <w:numPr>
          <w:ilvl w:val="0"/>
          <w:numId w:val="6"/>
        </w:numPr>
        <w:tabs>
          <w:tab w:val="left" w:pos="851"/>
        </w:tabs>
        <w:ind w:left="1134" w:hanging="283"/>
        <w:rPr>
          <w:sz w:val="24"/>
          <w:szCs w:val="24"/>
        </w:rPr>
      </w:pPr>
      <w:r w:rsidRPr="00287B35">
        <w:rPr>
          <w:sz w:val="24"/>
          <w:szCs w:val="24"/>
        </w:rPr>
        <w:t>akutte og kroniske bakterieinfektioner</w:t>
      </w:r>
    </w:p>
    <w:p w14:paraId="44EE3462" w14:textId="77777777" w:rsidR="00287B35" w:rsidRPr="00287B35" w:rsidRDefault="00287B35" w:rsidP="00287B35">
      <w:pPr>
        <w:numPr>
          <w:ilvl w:val="0"/>
          <w:numId w:val="6"/>
        </w:numPr>
        <w:tabs>
          <w:tab w:val="left" w:pos="851"/>
        </w:tabs>
        <w:ind w:left="1134" w:hanging="283"/>
        <w:rPr>
          <w:sz w:val="24"/>
          <w:szCs w:val="24"/>
        </w:rPr>
      </w:pPr>
      <w:r w:rsidRPr="00287B35">
        <w:rPr>
          <w:sz w:val="24"/>
          <w:szCs w:val="24"/>
        </w:rPr>
        <w:t>ved tuberkulose i anamnesen, bør det kun anvendes i kombination med tuberkulose-behandling</w:t>
      </w:r>
    </w:p>
    <w:p w14:paraId="015C655A" w14:textId="77777777" w:rsidR="00287B35" w:rsidRPr="00287B35" w:rsidRDefault="00287B35" w:rsidP="00287B35">
      <w:pPr>
        <w:tabs>
          <w:tab w:val="left" w:pos="851"/>
        </w:tabs>
        <w:ind w:left="851"/>
        <w:rPr>
          <w:sz w:val="24"/>
          <w:szCs w:val="24"/>
        </w:rPr>
      </w:pPr>
    </w:p>
    <w:p w14:paraId="50A8E7B0" w14:textId="77777777" w:rsidR="00287B35" w:rsidRPr="00287B35" w:rsidRDefault="00287B35" w:rsidP="00287B35">
      <w:pPr>
        <w:tabs>
          <w:tab w:val="left" w:pos="851"/>
        </w:tabs>
        <w:ind w:left="851"/>
        <w:rPr>
          <w:sz w:val="24"/>
          <w:szCs w:val="24"/>
          <w:u w:val="single"/>
        </w:rPr>
      </w:pPr>
      <w:proofErr w:type="spellStart"/>
      <w:r w:rsidRPr="00287B35">
        <w:rPr>
          <w:sz w:val="24"/>
          <w:szCs w:val="24"/>
          <w:u w:val="single"/>
        </w:rPr>
        <w:t>Anafylaktiske</w:t>
      </w:r>
      <w:proofErr w:type="spellEnd"/>
      <w:r w:rsidRPr="00287B35">
        <w:rPr>
          <w:sz w:val="24"/>
          <w:szCs w:val="24"/>
          <w:u w:val="single"/>
        </w:rPr>
        <w:t xml:space="preserve"> reaktioner</w:t>
      </w:r>
    </w:p>
    <w:p w14:paraId="7ACD3B67" w14:textId="77777777" w:rsidR="00287B35" w:rsidRPr="00287B35" w:rsidRDefault="00287B35" w:rsidP="00287B35">
      <w:pPr>
        <w:tabs>
          <w:tab w:val="left" w:pos="851"/>
        </w:tabs>
        <w:ind w:left="851"/>
        <w:rPr>
          <w:sz w:val="24"/>
          <w:szCs w:val="24"/>
        </w:rPr>
      </w:pPr>
      <w:r w:rsidRPr="00287B35">
        <w:rPr>
          <w:sz w:val="24"/>
          <w:szCs w:val="24"/>
        </w:rPr>
        <w:t xml:space="preserve">Der kan forekomme alvorlige </w:t>
      </w:r>
      <w:proofErr w:type="spellStart"/>
      <w:r w:rsidRPr="00287B35">
        <w:rPr>
          <w:sz w:val="24"/>
          <w:szCs w:val="24"/>
        </w:rPr>
        <w:t>anafylaktiske</w:t>
      </w:r>
      <w:proofErr w:type="spellEnd"/>
      <w:r w:rsidRPr="00287B35">
        <w:rPr>
          <w:sz w:val="24"/>
          <w:szCs w:val="24"/>
        </w:rPr>
        <w:t xml:space="preserve"> reaktioner.</w:t>
      </w:r>
    </w:p>
    <w:p w14:paraId="2E6CDC60" w14:textId="77777777" w:rsidR="00287B35" w:rsidRPr="00287B35" w:rsidRDefault="00287B35" w:rsidP="00287B35">
      <w:pPr>
        <w:tabs>
          <w:tab w:val="left" w:pos="851"/>
        </w:tabs>
        <w:ind w:left="851"/>
        <w:rPr>
          <w:sz w:val="24"/>
          <w:szCs w:val="24"/>
        </w:rPr>
      </w:pPr>
    </w:p>
    <w:p w14:paraId="214F0F64" w14:textId="77777777" w:rsidR="00287B35" w:rsidRPr="00287B35" w:rsidRDefault="00287B35" w:rsidP="00287B35">
      <w:pPr>
        <w:tabs>
          <w:tab w:val="left" w:pos="851"/>
        </w:tabs>
        <w:ind w:left="851"/>
        <w:rPr>
          <w:sz w:val="24"/>
          <w:szCs w:val="24"/>
          <w:u w:val="single"/>
        </w:rPr>
      </w:pPr>
      <w:proofErr w:type="spellStart"/>
      <w:r w:rsidRPr="00287B35">
        <w:rPr>
          <w:sz w:val="24"/>
          <w:szCs w:val="24"/>
          <w:u w:val="single"/>
        </w:rPr>
        <w:t>Gastrointestinale</w:t>
      </w:r>
      <w:proofErr w:type="spellEnd"/>
      <w:r w:rsidRPr="00287B35">
        <w:rPr>
          <w:sz w:val="24"/>
          <w:szCs w:val="24"/>
          <w:u w:val="single"/>
        </w:rPr>
        <w:t xml:space="preserve"> sygdomme</w:t>
      </w:r>
    </w:p>
    <w:p w14:paraId="710E31DD" w14:textId="77777777" w:rsidR="00287B35" w:rsidRPr="00287B35" w:rsidRDefault="00287B35" w:rsidP="00287B35">
      <w:pPr>
        <w:tabs>
          <w:tab w:val="left" w:pos="851"/>
        </w:tabs>
        <w:ind w:left="851"/>
        <w:rPr>
          <w:sz w:val="24"/>
          <w:szCs w:val="24"/>
        </w:rPr>
      </w:pPr>
      <w:r w:rsidRPr="00287B35">
        <w:rPr>
          <w:sz w:val="24"/>
          <w:szCs w:val="24"/>
        </w:rPr>
        <w:t xml:space="preserve">På grund af den forøgede risiko for tarmperforation bør </w:t>
      </w:r>
      <w:proofErr w:type="spellStart"/>
      <w:r w:rsidRPr="00287B35">
        <w:rPr>
          <w:sz w:val="24"/>
          <w:szCs w:val="24"/>
        </w:rPr>
        <w:t>dexamethason</w:t>
      </w:r>
      <w:proofErr w:type="spellEnd"/>
      <w:r w:rsidRPr="00287B35">
        <w:rPr>
          <w:sz w:val="24"/>
          <w:szCs w:val="24"/>
        </w:rPr>
        <w:t xml:space="preserve"> kun administreres, når det er strengt nødvendigt og under behørig overvågning, i tilfælde såsom:</w:t>
      </w:r>
    </w:p>
    <w:p w14:paraId="489BD083" w14:textId="77777777" w:rsidR="00287B35" w:rsidRPr="00287B35" w:rsidRDefault="00287B35" w:rsidP="00C7649A">
      <w:pPr>
        <w:numPr>
          <w:ilvl w:val="0"/>
          <w:numId w:val="6"/>
        </w:numPr>
        <w:tabs>
          <w:tab w:val="left" w:pos="851"/>
        </w:tabs>
        <w:ind w:left="1134" w:hanging="283"/>
        <w:rPr>
          <w:sz w:val="24"/>
          <w:szCs w:val="24"/>
        </w:rPr>
      </w:pPr>
      <w:r w:rsidRPr="00287B35">
        <w:rPr>
          <w:sz w:val="24"/>
          <w:szCs w:val="24"/>
        </w:rPr>
        <w:t xml:space="preserve">svær colitis </w:t>
      </w:r>
      <w:proofErr w:type="spellStart"/>
      <w:r w:rsidRPr="00287B35">
        <w:rPr>
          <w:sz w:val="24"/>
          <w:szCs w:val="24"/>
        </w:rPr>
        <w:t>ulcerosa</w:t>
      </w:r>
      <w:proofErr w:type="spellEnd"/>
      <w:r w:rsidRPr="00287B35">
        <w:rPr>
          <w:sz w:val="24"/>
          <w:szCs w:val="24"/>
        </w:rPr>
        <w:t xml:space="preserve"> med risiko for perforation og </w:t>
      </w:r>
      <w:proofErr w:type="spellStart"/>
      <w:r w:rsidRPr="00287B35">
        <w:rPr>
          <w:sz w:val="24"/>
          <w:szCs w:val="24"/>
        </w:rPr>
        <w:t>peritoneal</w:t>
      </w:r>
      <w:proofErr w:type="spellEnd"/>
      <w:r w:rsidRPr="00287B35">
        <w:rPr>
          <w:sz w:val="24"/>
          <w:szCs w:val="24"/>
        </w:rPr>
        <w:t xml:space="preserve"> irritation</w:t>
      </w:r>
    </w:p>
    <w:p w14:paraId="1C9B1AB7" w14:textId="77777777" w:rsidR="00287B35" w:rsidRPr="00287B35" w:rsidRDefault="00287B35" w:rsidP="00C7649A">
      <w:pPr>
        <w:numPr>
          <w:ilvl w:val="0"/>
          <w:numId w:val="6"/>
        </w:numPr>
        <w:tabs>
          <w:tab w:val="left" w:pos="851"/>
        </w:tabs>
        <w:ind w:left="1134" w:hanging="283"/>
        <w:rPr>
          <w:sz w:val="24"/>
          <w:szCs w:val="24"/>
        </w:rPr>
      </w:pPr>
      <w:proofErr w:type="spellStart"/>
      <w:r w:rsidRPr="00287B35">
        <w:rPr>
          <w:sz w:val="24"/>
          <w:szCs w:val="24"/>
        </w:rPr>
        <w:t>diverticulitis</w:t>
      </w:r>
      <w:proofErr w:type="spellEnd"/>
    </w:p>
    <w:p w14:paraId="055CB241" w14:textId="77777777" w:rsidR="00287B35" w:rsidRPr="00287B35" w:rsidRDefault="00287B35" w:rsidP="00C7649A">
      <w:pPr>
        <w:numPr>
          <w:ilvl w:val="0"/>
          <w:numId w:val="6"/>
        </w:numPr>
        <w:tabs>
          <w:tab w:val="left" w:pos="851"/>
        </w:tabs>
        <w:ind w:left="1134" w:hanging="283"/>
        <w:rPr>
          <w:sz w:val="24"/>
          <w:szCs w:val="24"/>
        </w:rPr>
      </w:pPr>
      <w:proofErr w:type="spellStart"/>
      <w:r w:rsidRPr="00287B35">
        <w:rPr>
          <w:sz w:val="24"/>
          <w:szCs w:val="24"/>
        </w:rPr>
        <w:t>entero-anastomose</w:t>
      </w:r>
      <w:proofErr w:type="spellEnd"/>
      <w:r w:rsidRPr="00287B35">
        <w:rPr>
          <w:sz w:val="24"/>
          <w:szCs w:val="24"/>
        </w:rPr>
        <w:t xml:space="preserve"> (umiddelbart postoperativt).</w:t>
      </w:r>
    </w:p>
    <w:p w14:paraId="502F1DF0" w14:textId="77777777" w:rsidR="00287B35" w:rsidRPr="00287B35" w:rsidRDefault="00287B35" w:rsidP="00287B35">
      <w:pPr>
        <w:tabs>
          <w:tab w:val="left" w:pos="851"/>
        </w:tabs>
        <w:ind w:left="851"/>
        <w:rPr>
          <w:sz w:val="24"/>
          <w:szCs w:val="24"/>
        </w:rPr>
      </w:pPr>
    </w:p>
    <w:p w14:paraId="3A9C4E1D" w14:textId="77777777" w:rsidR="00287B35" w:rsidRPr="00287B35" w:rsidRDefault="00287B35" w:rsidP="00287B35">
      <w:pPr>
        <w:tabs>
          <w:tab w:val="left" w:pos="851"/>
        </w:tabs>
        <w:ind w:left="851"/>
        <w:rPr>
          <w:sz w:val="24"/>
          <w:szCs w:val="24"/>
        </w:rPr>
      </w:pPr>
      <w:r w:rsidRPr="00287B35">
        <w:rPr>
          <w:sz w:val="24"/>
          <w:szCs w:val="24"/>
        </w:rPr>
        <w:t xml:space="preserve">Tegn på </w:t>
      </w:r>
      <w:proofErr w:type="spellStart"/>
      <w:r w:rsidRPr="00287B35">
        <w:rPr>
          <w:sz w:val="24"/>
          <w:szCs w:val="24"/>
        </w:rPr>
        <w:t>peritoneal</w:t>
      </w:r>
      <w:proofErr w:type="spellEnd"/>
      <w:r w:rsidRPr="00287B35">
        <w:rPr>
          <w:sz w:val="24"/>
          <w:szCs w:val="24"/>
        </w:rPr>
        <w:t xml:space="preserve"> irritation efter </w:t>
      </w:r>
      <w:proofErr w:type="spellStart"/>
      <w:r w:rsidRPr="00287B35">
        <w:rPr>
          <w:sz w:val="24"/>
          <w:szCs w:val="24"/>
        </w:rPr>
        <w:t>gastrointestinal</w:t>
      </w:r>
      <w:proofErr w:type="spellEnd"/>
      <w:r w:rsidRPr="00287B35">
        <w:rPr>
          <w:sz w:val="24"/>
          <w:szCs w:val="24"/>
        </w:rPr>
        <w:t xml:space="preserve"> perforation kan være fraværende hos patienter, som får høje doser af </w:t>
      </w:r>
      <w:proofErr w:type="spellStart"/>
      <w:r w:rsidRPr="00287B35">
        <w:rPr>
          <w:sz w:val="24"/>
          <w:szCs w:val="24"/>
        </w:rPr>
        <w:t>glukokortikoider</w:t>
      </w:r>
      <w:proofErr w:type="spellEnd"/>
      <w:r w:rsidRPr="00287B35">
        <w:rPr>
          <w:sz w:val="24"/>
          <w:szCs w:val="24"/>
        </w:rPr>
        <w:t>.</w:t>
      </w:r>
    </w:p>
    <w:p w14:paraId="196D84C8" w14:textId="77777777" w:rsidR="00287B35" w:rsidRPr="00287B35" w:rsidRDefault="00287B35" w:rsidP="00287B35">
      <w:pPr>
        <w:tabs>
          <w:tab w:val="left" w:pos="851"/>
        </w:tabs>
        <w:ind w:left="851"/>
        <w:rPr>
          <w:sz w:val="24"/>
          <w:szCs w:val="24"/>
        </w:rPr>
      </w:pPr>
    </w:p>
    <w:p w14:paraId="198BA2C2" w14:textId="77777777" w:rsidR="00287B35" w:rsidRPr="00287B35" w:rsidRDefault="00287B35" w:rsidP="00287B35">
      <w:pPr>
        <w:tabs>
          <w:tab w:val="left" w:pos="851"/>
        </w:tabs>
        <w:ind w:left="851"/>
        <w:rPr>
          <w:sz w:val="24"/>
          <w:szCs w:val="24"/>
          <w:u w:val="single"/>
        </w:rPr>
      </w:pPr>
      <w:r w:rsidRPr="00287B35">
        <w:rPr>
          <w:sz w:val="24"/>
          <w:szCs w:val="24"/>
          <w:u w:val="single"/>
        </w:rPr>
        <w:t>Mavesår</w:t>
      </w:r>
    </w:p>
    <w:p w14:paraId="1CEFA580" w14:textId="77777777" w:rsidR="00287B35" w:rsidRPr="00287B35" w:rsidRDefault="00287B35" w:rsidP="00287B35">
      <w:pPr>
        <w:tabs>
          <w:tab w:val="left" w:pos="851"/>
        </w:tabs>
        <w:ind w:left="851"/>
        <w:rPr>
          <w:sz w:val="24"/>
          <w:szCs w:val="24"/>
        </w:rPr>
      </w:pPr>
      <w:r w:rsidRPr="00287B35">
        <w:rPr>
          <w:sz w:val="24"/>
          <w:szCs w:val="24"/>
        </w:rPr>
        <w:t>Samtidig behandling med lægemidler mod mavesår anbefales.</w:t>
      </w:r>
    </w:p>
    <w:p w14:paraId="30ACDBBE" w14:textId="77777777" w:rsidR="00287B35" w:rsidRPr="00287B35" w:rsidRDefault="00287B35" w:rsidP="00287B35">
      <w:pPr>
        <w:tabs>
          <w:tab w:val="left" w:pos="851"/>
        </w:tabs>
        <w:ind w:left="851"/>
        <w:rPr>
          <w:sz w:val="24"/>
          <w:szCs w:val="24"/>
        </w:rPr>
      </w:pPr>
    </w:p>
    <w:p w14:paraId="7276E35C" w14:textId="77777777" w:rsidR="00287B35" w:rsidRPr="00287B35" w:rsidRDefault="00287B35" w:rsidP="00287B35">
      <w:pPr>
        <w:tabs>
          <w:tab w:val="left" w:pos="851"/>
        </w:tabs>
        <w:ind w:left="851"/>
        <w:rPr>
          <w:sz w:val="24"/>
          <w:szCs w:val="24"/>
          <w:u w:val="single"/>
        </w:rPr>
      </w:pPr>
      <w:proofErr w:type="spellStart"/>
      <w:r w:rsidRPr="00287B35">
        <w:rPr>
          <w:sz w:val="24"/>
          <w:szCs w:val="24"/>
          <w:u w:val="single"/>
        </w:rPr>
        <w:t>Fluoroquinoloner</w:t>
      </w:r>
      <w:proofErr w:type="spellEnd"/>
      <w:r w:rsidRPr="00287B35">
        <w:rPr>
          <w:sz w:val="24"/>
          <w:szCs w:val="24"/>
          <w:u w:val="single"/>
        </w:rPr>
        <w:t xml:space="preserve"> og </w:t>
      </w:r>
      <w:proofErr w:type="spellStart"/>
      <w:r w:rsidRPr="00287B35">
        <w:rPr>
          <w:sz w:val="24"/>
          <w:szCs w:val="24"/>
          <w:u w:val="single"/>
        </w:rPr>
        <w:t>kortikosteroider</w:t>
      </w:r>
      <w:proofErr w:type="spellEnd"/>
    </w:p>
    <w:p w14:paraId="55FD2A5F" w14:textId="77777777" w:rsidR="00287B35" w:rsidRPr="00287B35" w:rsidRDefault="00287B35" w:rsidP="00287B35">
      <w:pPr>
        <w:tabs>
          <w:tab w:val="left" w:pos="851"/>
        </w:tabs>
        <w:ind w:left="851"/>
        <w:rPr>
          <w:sz w:val="24"/>
          <w:szCs w:val="24"/>
        </w:rPr>
      </w:pPr>
      <w:r w:rsidRPr="00287B35">
        <w:rPr>
          <w:sz w:val="24"/>
          <w:szCs w:val="24"/>
        </w:rPr>
        <w:t xml:space="preserve">Samtidig administration af </w:t>
      </w:r>
      <w:proofErr w:type="spellStart"/>
      <w:r w:rsidRPr="00287B35">
        <w:rPr>
          <w:sz w:val="24"/>
          <w:szCs w:val="24"/>
        </w:rPr>
        <w:t>fluoroquinoloner</w:t>
      </w:r>
      <w:proofErr w:type="spellEnd"/>
      <w:r w:rsidRPr="00287B35">
        <w:rPr>
          <w:sz w:val="24"/>
          <w:szCs w:val="24"/>
        </w:rPr>
        <w:t xml:space="preserve"> og </w:t>
      </w:r>
      <w:proofErr w:type="spellStart"/>
      <w:r w:rsidRPr="00287B35">
        <w:rPr>
          <w:sz w:val="24"/>
          <w:szCs w:val="24"/>
        </w:rPr>
        <w:t>glukokortikoider</w:t>
      </w:r>
      <w:proofErr w:type="spellEnd"/>
      <w:r w:rsidRPr="00287B35">
        <w:rPr>
          <w:sz w:val="24"/>
          <w:szCs w:val="24"/>
        </w:rPr>
        <w:t xml:space="preserve"> kan øge risikoen for </w:t>
      </w:r>
      <w:proofErr w:type="spellStart"/>
      <w:r w:rsidRPr="00287B35">
        <w:rPr>
          <w:sz w:val="24"/>
          <w:szCs w:val="24"/>
        </w:rPr>
        <w:t>senelidelser</w:t>
      </w:r>
      <w:proofErr w:type="spellEnd"/>
      <w:r w:rsidRPr="00287B35">
        <w:rPr>
          <w:sz w:val="24"/>
          <w:szCs w:val="24"/>
        </w:rPr>
        <w:t xml:space="preserve">, </w:t>
      </w:r>
      <w:proofErr w:type="spellStart"/>
      <w:r w:rsidRPr="00287B35">
        <w:rPr>
          <w:sz w:val="24"/>
          <w:szCs w:val="24"/>
        </w:rPr>
        <w:t>tendinitis</w:t>
      </w:r>
      <w:proofErr w:type="spellEnd"/>
      <w:r w:rsidRPr="00287B35">
        <w:rPr>
          <w:sz w:val="24"/>
          <w:szCs w:val="24"/>
        </w:rPr>
        <w:t xml:space="preserve"> og </w:t>
      </w:r>
      <w:proofErr w:type="spellStart"/>
      <w:r w:rsidRPr="00287B35">
        <w:rPr>
          <w:sz w:val="24"/>
          <w:szCs w:val="24"/>
        </w:rPr>
        <w:t>seneruptur</w:t>
      </w:r>
      <w:proofErr w:type="spellEnd"/>
      <w:r w:rsidRPr="00287B35">
        <w:rPr>
          <w:sz w:val="24"/>
          <w:szCs w:val="24"/>
        </w:rPr>
        <w:t>.</w:t>
      </w:r>
    </w:p>
    <w:p w14:paraId="6C4F525B" w14:textId="77777777" w:rsidR="00287B35" w:rsidRPr="00287B35" w:rsidRDefault="00287B35" w:rsidP="00287B35">
      <w:pPr>
        <w:tabs>
          <w:tab w:val="left" w:pos="851"/>
        </w:tabs>
        <w:ind w:left="851"/>
        <w:rPr>
          <w:sz w:val="24"/>
          <w:szCs w:val="24"/>
        </w:rPr>
      </w:pPr>
    </w:p>
    <w:p w14:paraId="3A1750B7" w14:textId="77777777" w:rsidR="00287B35" w:rsidRPr="00287B35" w:rsidRDefault="00287B35" w:rsidP="00287B35">
      <w:pPr>
        <w:tabs>
          <w:tab w:val="left" w:pos="851"/>
        </w:tabs>
        <w:ind w:left="851"/>
        <w:rPr>
          <w:sz w:val="24"/>
          <w:szCs w:val="24"/>
          <w:u w:val="single"/>
        </w:rPr>
      </w:pPr>
      <w:proofErr w:type="spellStart"/>
      <w:r w:rsidRPr="00287B35">
        <w:rPr>
          <w:sz w:val="24"/>
          <w:szCs w:val="24"/>
          <w:u w:val="single"/>
        </w:rPr>
        <w:t>Myasthenia</w:t>
      </w:r>
      <w:proofErr w:type="spellEnd"/>
      <w:r w:rsidRPr="00287B35">
        <w:rPr>
          <w:sz w:val="24"/>
          <w:szCs w:val="24"/>
          <w:u w:val="single"/>
        </w:rPr>
        <w:t xml:space="preserve"> </w:t>
      </w:r>
      <w:proofErr w:type="spellStart"/>
      <w:r w:rsidRPr="00287B35">
        <w:rPr>
          <w:sz w:val="24"/>
          <w:szCs w:val="24"/>
          <w:u w:val="single"/>
        </w:rPr>
        <w:t>gravis</w:t>
      </w:r>
      <w:proofErr w:type="spellEnd"/>
    </w:p>
    <w:p w14:paraId="2B804670" w14:textId="77777777" w:rsidR="00287B35" w:rsidRPr="00287B35" w:rsidRDefault="00287B35" w:rsidP="00287B35">
      <w:pPr>
        <w:tabs>
          <w:tab w:val="left" w:pos="851"/>
        </w:tabs>
        <w:ind w:left="851"/>
        <w:rPr>
          <w:sz w:val="24"/>
          <w:szCs w:val="24"/>
        </w:rPr>
      </w:pPr>
      <w:proofErr w:type="spellStart"/>
      <w:r w:rsidRPr="00287B35">
        <w:rPr>
          <w:sz w:val="24"/>
          <w:szCs w:val="24"/>
        </w:rPr>
        <w:t>Myasthenia</w:t>
      </w:r>
      <w:proofErr w:type="spellEnd"/>
      <w:r w:rsidRPr="00287B35">
        <w:rPr>
          <w:sz w:val="24"/>
          <w:szCs w:val="24"/>
        </w:rPr>
        <w:t xml:space="preserve"> </w:t>
      </w:r>
      <w:proofErr w:type="spellStart"/>
      <w:r w:rsidRPr="00287B35">
        <w:rPr>
          <w:sz w:val="24"/>
          <w:szCs w:val="24"/>
        </w:rPr>
        <w:t>gravis</w:t>
      </w:r>
      <w:proofErr w:type="spellEnd"/>
      <w:r w:rsidRPr="00287B35">
        <w:rPr>
          <w:sz w:val="24"/>
          <w:szCs w:val="24"/>
        </w:rPr>
        <w:t xml:space="preserve"> kan initialt forværres under behandling med </w:t>
      </w:r>
      <w:proofErr w:type="spellStart"/>
      <w:r w:rsidRPr="00287B35">
        <w:rPr>
          <w:sz w:val="24"/>
          <w:szCs w:val="24"/>
        </w:rPr>
        <w:t>Dexacur</w:t>
      </w:r>
      <w:proofErr w:type="spellEnd"/>
      <w:r w:rsidRPr="00287B35">
        <w:rPr>
          <w:sz w:val="24"/>
          <w:szCs w:val="24"/>
        </w:rPr>
        <w:t>.</w:t>
      </w:r>
    </w:p>
    <w:p w14:paraId="731AF4E0" w14:textId="77777777" w:rsidR="00287B35" w:rsidRPr="00287B35" w:rsidRDefault="00287B35" w:rsidP="00287B35">
      <w:pPr>
        <w:tabs>
          <w:tab w:val="left" w:pos="851"/>
        </w:tabs>
        <w:ind w:left="851"/>
        <w:rPr>
          <w:sz w:val="24"/>
          <w:szCs w:val="24"/>
        </w:rPr>
      </w:pPr>
    </w:p>
    <w:p w14:paraId="6C312C6F" w14:textId="77777777" w:rsidR="00287B35" w:rsidRPr="00287B35" w:rsidRDefault="00287B35" w:rsidP="00287B35">
      <w:pPr>
        <w:tabs>
          <w:tab w:val="left" w:pos="851"/>
        </w:tabs>
        <w:ind w:left="851"/>
        <w:rPr>
          <w:sz w:val="24"/>
          <w:szCs w:val="24"/>
          <w:u w:val="single"/>
        </w:rPr>
      </w:pPr>
      <w:proofErr w:type="spellStart"/>
      <w:r w:rsidRPr="00287B35">
        <w:rPr>
          <w:sz w:val="24"/>
          <w:szCs w:val="24"/>
          <w:u w:val="single"/>
        </w:rPr>
        <w:t>Kardiovaskulær</w:t>
      </w:r>
      <w:proofErr w:type="spellEnd"/>
      <w:r w:rsidRPr="00287B35">
        <w:rPr>
          <w:sz w:val="24"/>
          <w:szCs w:val="24"/>
          <w:u w:val="single"/>
        </w:rPr>
        <w:t xml:space="preserve"> sygdom</w:t>
      </w:r>
    </w:p>
    <w:p w14:paraId="3582904B" w14:textId="77777777" w:rsidR="00287B35" w:rsidRPr="00287B35" w:rsidRDefault="00287B35" w:rsidP="00287B35">
      <w:pPr>
        <w:tabs>
          <w:tab w:val="left" w:pos="851"/>
        </w:tabs>
        <w:ind w:left="851"/>
        <w:rPr>
          <w:sz w:val="24"/>
          <w:szCs w:val="24"/>
        </w:rPr>
      </w:pPr>
      <w:r w:rsidRPr="00287B35">
        <w:rPr>
          <w:sz w:val="24"/>
          <w:szCs w:val="24"/>
        </w:rPr>
        <w:t>Nøje overvågning er påkrævet, hvis patienten har svært hjertesvigt eller har hypertension, som er vanskelig at kontrollere, og hos patienter der får behandling med blodtrykslægemidler.</w:t>
      </w:r>
    </w:p>
    <w:p w14:paraId="6CE64B5C" w14:textId="77777777" w:rsidR="00287B35" w:rsidRPr="00287B35" w:rsidRDefault="00287B35" w:rsidP="00287B35">
      <w:pPr>
        <w:tabs>
          <w:tab w:val="left" w:pos="851"/>
        </w:tabs>
        <w:ind w:left="851"/>
        <w:rPr>
          <w:sz w:val="24"/>
          <w:szCs w:val="24"/>
        </w:rPr>
      </w:pPr>
      <w:r w:rsidRPr="00287B35">
        <w:rPr>
          <w:sz w:val="24"/>
          <w:szCs w:val="24"/>
        </w:rPr>
        <w:t xml:space="preserve">Administration af høje doser </w:t>
      </w:r>
      <w:proofErr w:type="spellStart"/>
      <w:r w:rsidRPr="00287B35">
        <w:rPr>
          <w:sz w:val="24"/>
          <w:szCs w:val="24"/>
        </w:rPr>
        <w:t>dexamethason</w:t>
      </w:r>
      <w:proofErr w:type="spellEnd"/>
      <w:r w:rsidRPr="00287B35">
        <w:rPr>
          <w:sz w:val="24"/>
          <w:szCs w:val="24"/>
        </w:rPr>
        <w:t xml:space="preserve"> kan forårsage bradykardi hos nogle patienter.</w:t>
      </w:r>
    </w:p>
    <w:p w14:paraId="59E5F883" w14:textId="77777777" w:rsidR="00287B35" w:rsidRPr="00287B35" w:rsidRDefault="00287B35" w:rsidP="00287B35">
      <w:pPr>
        <w:tabs>
          <w:tab w:val="left" w:pos="851"/>
        </w:tabs>
        <w:ind w:left="851"/>
        <w:rPr>
          <w:sz w:val="24"/>
          <w:szCs w:val="24"/>
        </w:rPr>
      </w:pPr>
    </w:p>
    <w:p w14:paraId="667BAF9A" w14:textId="77777777" w:rsidR="00287B35" w:rsidRPr="00287B35" w:rsidRDefault="00287B35" w:rsidP="00287B35">
      <w:pPr>
        <w:tabs>
          <w:tab w:val="left" w:pos="851"/>
        </w:tabs>
        <w:ind w:left="851"/>
        <w:rPr>
          <w:sz w:val="24"/>
          <w:szCs w:val="24"/>
          <w:u w:val="single"/>
        </w:rPr>
      </w:pPr>
      <w:proofErr w:type="spellStart"/>
      <w:r w:rsidRPr="00287B35">
        <w:rPr>
          <w:sz w:val="24"/>
          <w:szCs w:val="24"/>
          <w:u w:val="single"/>
        </w:rPr>
        <w:t>Myokardieruptur</w:t>
      </w:r>
      <w:proofErr w:type="spellEnd"/>
      <w:r w:rsidRPr="00287B35">
        <w:rPr>
          <w:sz w:val="24"/>
          <w:szCs w:val="24"/>
          <w:u w:val="single"/>
        </w:rPr>
        <w:t xml:space="preserve"> efter nyligt myokardieinfarkt</w:t>
      </w:r>
    </w:p>
    <w:p w14:paraId="320C8402" w14:textId="77777777" w:rsidR="00287B35" w:rsidRPr="00287B35" w:rsidRDefault="00287B35" w:rsidP="00287B35">
      <w:pPr>
        <w:tabs>
          <w:tab w:val="left" w:pos="851"/>
        </w:tabs>
        <w:ind w:left="851"/>
        <w:rPr>
          <w:sz w:val="24"/>
          <w:szCs w:val="24"/>
        </w:rPr>
      </w:pPr>
      <w:r w:rsidRPr="00287B35">
        <w:rPr>
          <w:sz w:val="24"/>
          <w:szCs w:val="24"/>
        </w:rPr>
        <w:t xml:space="preserve">Rapporter i litteraturen har vist, at der en sammenhæng mellem brug af </w:t>
      </w:r>
      <w:proofErr w:type="spellStart"/>
      <w:r w:rsidRPr="00287B35">
        <w:rPr>
          <w:sz w:val="24"/>
          <w:szCs w:val="24"/>
        </w:rPr>
        <w:t>kortikosteroider</w:t>
      </w:r>
      <w:proofErr w:type="spellEnd"/>
      <w:r w:rsidRPr="00287B35">
        <w:rPr>
          <w:sz w:val="24"/>
          <w:szCs w:val="24"/>
        </w:rPr>
        <w:t xml:space="preserve"> og ruptur i den frie væg i venstre ventrikel efter et nyligt myokardieinfarkt. Der skal udvises stor forsigtighed ved behandling med </w:t>
      </w:r>
      <w:proofErr w:type="spellStart"/>
      <w:r w:rsidRPr="00287B35">
        <w:rPr>
          <w:sz w:val="24"/>
          <w:szCs w:val="24"/>
        </w:rPr>
        <w:t>kortikosteroider</w:t>
      </w:r>
      <w:proofErr w:type="spellEnd"/>
      <w:r w:rsidRPr="00287B35">
        <w:rPr>
          <w:sz w:val="24"/>
          <w:szCs w:val="24"/>
        </w:rPr>
        <w:t xml:space="preserve"> hos disse patienter.</w:t>
      </w:r>
    </w:p>
    <w:p w14:paraId="25310B22" w14:textId="77777777" w:rsidR="00287B35" w:rsidRPr="00287B35" w:rsidRDefault="00287B35" w:rsidP="00287B35">
      <w:pPr>
        <w:tabs>
          <w:tab w:val="left" w:pos="851"/>
        </w:tabs>
        <w:ind w:left="851"/>
        <w:rPr>
          <w:sz w:val="24"/>
          <w:szCs w:val="24"/>
        </w:rPr>
      </w:pPr>
    </w:p>
    <w:p w14:paraId="6584D8FD" w14:textId="77777777" w:rsidR="00287B35" w:rsidRPr="00287B35" w:rsidRDefault="00287B35" w:rsidP="00260EC8">
      <w:pPr>
        <w:keepNext/>
        <w:tabs>
          <w:tab w:val="left" w:pos="851"/>
        </w:tabs>
        <w:ind w:left="851"/>
        <w:rPr>
          <w:sz w:val="24"/>
          <w:szCs w:val="24"/>
        </w:rPr>
      </w:pPr>
      <w:r w:rsidRPr="00287B35">
        <w:rPr>
          <w:sz w:val="24"/>
          <w:szCs w:val="24"/>
          <w:u w:val="single"/>
        </w:rPr>
        <w:lastRenderedPageBreak/>
        <w:t>Øjensygdomme</w:t>
      </w:r>
    </w:p>
    <w:p w14:paraId="3485403F" w14:textId="77777777" w:rsidR="00287B35" w:rsidRPr="00287B35" w:rsidRDefault="00287B35" w:rsidP="00287B35">
      <w:pPr>
        <w:tabs>
          <w:tab w:val="left" w:pos="851"/>
        </w:tabs>
        <w:ind w:left="851"/>
        <w:rPr>
          <w:sz w:val="24"/>
          <w:szCs w:val="24"/>
        </w:rPr>
      </w:pPr>
      <w:r w:rsidRPr="00287B35">
        <w:rPr>
          <w:sz w:val="24"/>
          <w:szCs w:val="24"/>
        </w:rPr>
        <w:t xml:space="preserve">Snævervinklet og åbenvinklet </w:t>
      </w:r>
      <w:proofErr w:type="spellStart"/>
      <w:r w:rsidRPr="00287B35">
        <w:rPr>
          <w:sz w:val="24"/>
          <w:szCs w:val="24"/>
        </w:rPr>
        <w:t>glaukom</w:t>
      </w:r>
      <w:proofErr w:type="spellEnd"/>
      <w:r w:rsidRPr="00287B35">
        <w:rPr>
          <w:sz w:val="24"/>
          <w:szCs w:val="24"/>
        </w:rPr>
        <w:t>: Oftalmologisk monitorering og tillægsbehandling anbefales.</w:t>
      </w:r>
    </w:p>
    <w:p w14:paraId="76FE7EA9" w14:textId="77777777" w:rsidR="00287B35" w:rsidRPr="00287B35" w:rsidRDefault="00287B35" w:rsidP="00287B35">
      <w:pPr>
        <w:tabs>
          <w:tab w:val="left" w:pos="851"/>
        </w:tabs>
        <w:ind w:left="851"/>
        <w:rPr>
          <w:sz w:val="24"/>
          <w:szCs w:val="24"/>
        </w:rPr>
      </w:pPr>
      <w:r w:rsidRPr="00287B35">
        <w:rPr>
          <w:sz w:val="24"/>
          <w:szCs w:val="24"/>
        </w:rPr>
        <w:t>Sår eller læsioner på hornhinden: Oftalmologisk monitorering og tillægsbehandling anbefales.</w:t>
      </w:r>
    </w:p>
    <w:p w14:paraId="507CDEBF" w14:textId="77777777" w:rsidR="00287B35" w:rsidRPr="00287B35" w:rsidRDefault="00287B35" w:rsidP="00287B35">
      <w:pPr>
        <w:tabs>
          <w:tab w:val="left" w:pos="851"/>
        </w:tabs>
        <w:ind w:left="851"/>
        <w:rPr>
          <w:sz w:val="24"/>
          <w:szCs w:val="24"/>
        </w:rPr>
      </w:pPr>
    </w:p>
    <w:p w14:paraId="78983297" w14:textId="77777777" w:rsidR="00287B35" w:rsidRPr="00287B35" w:rsidRDefault="00287B35" w:rsidP="00287B35">
      <w:pPr>
        <w:tabs>
          <w:tab w:val="left" w:pos="851"/>
        </w:tabs>
        <w:ind w:left="851"/>
        <w:rPr>
          <w:sz w:val="24"/>
          <w:szCs w:val="24"/>
          <w:u w:val="single"/>
        </w:rPr>
      </w:pPr>
      <w:r w:rsidRPr="00287B35">
        <w:rPr>
          <w:sz w:val="24"/>
          <w:szCs w:val="24"/>
          <w:u w:val="single"/>
        </w:rPr>
        <w:t>Diabetes</w:t>
      </w:r>
    </w:p>
    <w:p w14:paraId="01D9B076" w14:textId="77777777" w:rsidR="00287B35" w:rsidRPr="00287B35" w:rsidRDefault="00287B35" w:rsidP="00287B35">
      <w:pPr>
        <w:tabs>
          <w:tab w:val="left" w:pos="851"/>
        </w:tabs>
        <w:ind w:left="851"/>
        <w:rPr>
          <w:sz w:val="24"/>
          <w:szCs w:val="24"/>
        </w:rPr>
      </w:pPr>
      <w:proofErr w:type="spellStart"/>
      <w:r w:rsidRPr="00287B35">
        <w:rPr>
          <w:sz w:val="24"/>
          <w:szCs w:val="24"/>
        </w:rPr>
        <w:t>Glukokortikoider</w:t>
      </w:r>
      <w:proofErr w:type="spellEnd"/>
      <w:r w:rsidRPr="00287B35">
        <w:rPr>
          <w:sz w:val="24"/>
          <w:szCs w:val="24"/>
        </w:rPr>
        <w:t xml:space="preserve"> kan forsage </w:t>
      </w:r>
      <w:proofErr w:type="spellStart"/>
      <w:r w:rsidRPr="00287B35">
        <w:rPr>
          <w:sz w:val="24"/>
          <w:szCs w:val="24"/>
        </w:rPr>
        <w:t>hyperglykæmi</w:t>
      </w:r>
      <w:proofErr w:type="spellEnd"/>
      <w:r w:rsidRPr="00287B35">
        <w:rPr>
          <w:sz w:val="24"/>
          <w:szCs w:val="24"/>
        </w:rPr>
        <w:t xml:space="preserve">. Derfor bør </w:t>
      </w:r>
      <w:proofErr w:type="spellStart"/>
      <w:r w:rsidRPr="00287B35">
        <w:rPr>
          <w:sz w:val="24"/>
          <w:szCs w:val="24"/>
        </w:rPr>
        <w:t>blodglucose</w:t>
      </w:r>
      <w:proofErr w:type="spellEnd"/>
      <w:r w:rsidRPr="00287B35">
        <w:rPr>
          <w:sz w:val="24"/>
          <w:szCs w:val="24"/>
        </w:rPr>
        <w:t xml:space="preserve"> overvåges regelmæssigt hos patienter med diabetes. Det kan være nødvendigt at øge insulindosis under behandling med </w:t>
      </w:r>
      <w:proofErr w:type="spellStart"/>
      <w:r w:rsidRPr="00287B35">
        <w:rPr>
          <w:sz w:val="24"/>
          <w:szCs w:val="24"/>
        </w:rPr>
        <w:t>kortikosteroider</w:t>
      </w:r>
      <w:proofErr w:type="spellEnd"/>
      <w:r w:rsidRPr="00287B35">
        <w:rPr>
          <w:sz w:val="24"/>
          <w:szCs w:val="24"/>
        </w:rPr>
        <w:t>.</w:t>
      </w:r>
    </w:p>
    <w:p w14:paraId="17535E09" w14:textId="77777777" w:rsidR="00287B35" w:rsidRPr="00287B35" w:rsidRDefault="00287B35" w:rsidP="00287B35">
      <w:pPr>
        <w:tabs>
          <w:tab w:val="left" w:pos="851"/>
        </w:tabs>
        <w:ind w:left="851"/>
        <w:rPr>
          <w:sz w:val="24"/>
          <w:szCs w:val="24"/>
        </w:rPr>
      </w:pPr>
    </w:p>
    <w:p w14:paraId="744B3777" w14:textId="77777777" w:rsidR="00287B35" w:rsidRPr="00287B35" w:rsidRDefault="00287B35" w:rsidP="00287B35">
      <w:pPr>
        <w:tabs>
          <w:tab w:val="left" w:pos="851"/>
        </w:tabs>
        <w:ind w:left="851"/>
        <w:rPr>
          <w:sz w:val="24"/>
          <w:szCs w:val="24"/>
          <w:u w:val="single"/>
        </w:rPr>
      </w:pPr>
      <w:proofErr w:type="spellStart"/>
      <w:r w:rsidRPr="00287B35">
        <w:rPr>
          <w:sz w:val="24"/>
          <w:szCs w:val="24"/>
          <w:u w:val="single"/>
        </w:rPr>
        <w:t>Hypothyroidisme</w:t>
      </w:r>
      <w:proofErr w:type="spellEnd"/>
    </w:p>
    <w:p w14:paraId="049BC9EB" w14:textId="77777777" w:rsidR="00287B35" w:rsidRPr="00287B35" w:rsidRDefault="00287B35" w:rsidP="00287B35">
      <w:pPr>
        <w:tabs>
          <w:tab w:val="left" w:pos="851"/>
        </w:tabs>
        <w:ind w:left="851"/>
        <w:rPr>
          <w:sz w:val="24"/>
          <w:szCs w:val="24"/>
        </w:rPr>
      </w:pPr>
      <w:r w:rsidRPr="00287B35">
        <w:rPr>
          <w:sz w:val="24"/>
          <w:szCs w:val="24"/>
        </w:rPr>
        <w:t xml:space="preserve">Den farmakologiske virkning af </w:t>
      </w:r>
      <w:proofErr w:type="spellStart"/>
      <w:r w:rsidRPr="00287B35">
        <w:rPr>
          <w:sz w:val="24"/>
          <w:szCs w:val="24"/>
        </w:rPr>
        <w:t>glukokortikoider</w:t>
      </w:r>
      <w:proofErr w:type="spellEnd"/>
      <w:r w:rsidRPr="00287B35">
        <w:rPr>
          <w:sz w:val="24"/>
          <w:szCs w:val="24"/>
        </w:rPr>
        <w:t xml:space="preserve"> kan øges hos patienter med </w:t>
      </w:r>
      <w:proofErr w:type="spellStart"/>
      <w:r w:rsidRPr="00287B35">
        <w:rPr>
          <w:sz w:val="24"/>
          <w:szCs w:val="24"/>
        </w:rPr>
        <w:t>hypothyroidisme</w:t>
      </w:r>
      <w:proofErr w:type="spellEnd"/>
      <w:r w:rsidRPr="00287B35">
        <w:rPr>
          <w:sz w:val="24"/>
          <w:szCs w:val="24"/>
        </w:rPr>
        <w:t>, og dosisreduktion kan være påkrævet.</w:t>
      </w:r>
    </w:p>
    <w:p w14:paraId="679DEF3F" w14:textId="77777777" w:rsidR="00287B35" w:rsidRPr="00287B35" w:rsidRDefault="00287B35" w:rsidP="00287B35">
      <w:pPr>
        <w:tabs>
          <w:tab w:val="left" w:pos="851"/>
        </w:tabs>
        <w:ind w:left="851"/>
        <w:rPr>
          <w:sz w:val="24"/>
          <w:szCs w:val="24"/>
        </w:rPr>
      </w:pPr>
    </w:p>
    <w:p w14:paraId="30F02A8A" w14:textId="77777777" w:rsidR="00287B35" w:rsidRPr="00287B35" w:rsidRDefault="00287B35" w:rsidP="00287B35">
      <w:pPr>
        <w:tabs>
          <w:tab w:val="left" w:pos="851"/>
        </w:tabs>
        <w:ind w:left="851"/>
        <w:rPr>
          <w:sz w:val="24"/>
          <w:szCs w:val="24"/>
          <w:u w:val="single"/>
        </w:rPr>
      </w:pPr>
      <w:r w:rsidRPr="00287B35">
        <w:rPr>
          <w:sz w:val="24"/>
          <w:szCs w:val="24"/>
          <w:u w:val="single"/>
        </w:rPr>
        <w:t>Psykiatriske tilstande, herunder selvmordsrisiko</w:t>
      </w:r>
    </w:p>
    <w:p w14:paraId="089CC422" w14:textId="77777777" w:rsidR="00287B35" w:rsidRPr="00287B35" w:rsidRDefault="00287B35" w:rsidP="00287B35">
      <w:pPr>
        <w:tabs>
          <w:tab w:val="left" w:pos="851"/>
        </w:tabs>
        <w:ind w:left="851"/>
        <w:rPr>
          <w:sz w:val="24"/>
          <w:szCs w:val="24"/>
        </w:rPr>
      </w:pPr>
      <w:r w:rsidRPr="00287B35">
        <w:rPr>
          <w:sz w:val="24"/>
          <w:szCs w:val="24"/>
        </w:rPr>
        <w:t>Neurologisk og psykiatrisk overvågning af patienten anbefales.</w:t>
      </w:r>
    </w:p>
    <w:p w14:paraId="011CF138" w14:textId="77777777" w:rsidR="00287B35" w:rsidRPr="00287B35" w:rsidRDefault="00287B35" w:rsidP="00287B35">
      <w:pPr>
        <w:tabs>
          <w:tab w:val="left" w:pos="851"/>
        </w:tabs>
        <w:ind w:left="851"/>
        <w:rPr>
          <w:sz w:val="24"/>
          <w:szCs w:val="24"/>
        </w:rPr>
      </w:pPr>
    </w:p>
    <w:p w14:paraId="4E5EB2E8" w14:textId="77777777" w:rsidR="00287B35" w:rsidRPr="00287B35" w:rsidRDefault="00287B35" w:rsidP="00287B35">
      <w:pPr>
        <w:tabs>
          <w:tab w:val="left" w:pos="851"/>
        </w:tabs>
        <w:ind w:left="851"/>
        <w:rPr>
          <w:sz w:val="24"/>
          <w:szCs w:val="24"/>
          <w:u w:val="single"/>
        </w:rPr>
      </w:pPr>
      <w:r w:rsidRPr="00287B35">
        <w:rPr>
          <w:sz w:val="24"/>
          <w:szCs w:val="24"/>
          <w:u w:val="single"/>
        </w:rPr>
        <w:t>Osteoporose</w:t>
      </w:r>
    </w:p>
    <w:p w14:paraId="220245A7" w14:textId="77777777" w:rsidR="00287B35" w:rsidRPr="00287B35" w:rsidRDefault="00287B35" w:rsidP="00287B35">
      <w:pPr>
        <w:tabs>
          <w:tab w:val="left" w:pos="851"/>
        </w:tabs>
        <w:ind w:left="851"/>
        <w:rPr>
          <w:sz w:val="24"/>
          <w:szCs w:val="24"/>
        </w:rPr>
      </w:pPr>
      <w:r w:rsidRPr="00287B35">
        <w:rPr>
          <w:sz w:val="24"/>
          <w:szCs w:val="24"/>
        </w:rPr>
        <w:t>Behandling bør kun anvendes, hvis det er tvingende nødvendigt og, om nødvendigt, yderligere specifik behandling.</w:t>
      </w:r>
    </w:p>
    <w:p w14:paraId="4C36CEAA" w14:textId="77777777" w:rsidR="00287B35" w:rsidRPr="00287B35" w:rsidRDefault="00287B35" w:rsidP="00287B35">
      <w:pPr>
        <w:tabs>
          <w:tab w:val="left" w:pos="851"/>
        </w:tabs>
        <w:ind w:left="851"/>
        <w:rPr>
          <w:sz w:val="24"/>
          <w:szCs w:val="24"/>
        </w:rPr>
      </w:pPr>
    </w:p>
    <w:p w14:paraId="6DA33608" w14:textId="77777777" w:rsidR="00287B35" w:rsidRPr="00287B35" w:rsidRDefault="00287B35" w:rsidP="00287B35">
      <w:pPr>
        <w:tabs>
          <w:tab w:val="left" w:pos="851"/>
        </w:tabs>
        <w:ind w:left="851"/>
        <w:rPr>
          <w:sz w:val="24"/>
          <w:szCs w:val="24"/>
          <w:u w:val="single"/>
        </w:rPr>
      </w:pPr>
      <w:r w:rsidRPr="00287B35">
        <w:rPr>
          <w:sz w:val="24"/>
          <w:szCs w:val="24"/>
          <w:u w:val="single"/>
        </w:rPr>
        <w:t>Kalium</w:t>
      </w:r>
    </w:p>
    <w:p w14:paraId="295CCECA" w14:textId="77777777" w:rsidR="00287B35" w:rsidRPr="00287B35" w:rsidRDefault="00287B35" w:rsidP="00287B35">
      <w:pPr>
        <w:tabs>
          <w:tab w:val="left" w:pos="851"/>
        </w:tabs>
        <w:ind w:left="851"/>
        <w:rPr>
          <w:sz w:val="24"/>
          <w:szCs w:val="24"/>
        </w:rPr>
      </w:pPr>
      <w:r w:rsidRPr="00287B35">
        <w:rPr>
          <w:sz w:val="24"/>
          <w:szCs w:val="24"/>
        </w:rPr>
        <w:t xml:space="preserve">Behandling med høje doser </w:t>
      </w:r>
      <w:proofErr w:type="spellStart"/>
      <w:r w:rsidRPr="00287B35">
        <w:rPr>
          <w:sz w:val="24"/>
          <w:szCs w:val="24"/>
        </w:rPr>
        <w:t>dexamethason</w:t>
      </w:r>
      <w:proofErr w:type="spellEnd"/>
      <w:r w:rsidRPr="00287B35">
        <w:rPr>
          <w:sz w:val="24"/>
          <w:szCs w:val="24"/>
        </w:rPr>
        <w:t xml:space="preserve"> kræver tilstrækkeligt tilskud af kalium og begrænsning af salt i kosten. Derfor bør kaliumkoncentrationen i plasma overvåges.</w:t>
      </w:r>
    </w:p>
    <w:p w14:paraId="6875D4DA" w14:textId="77777777" w:rsidR="00287B35" w:rsidRPr="00287B35" w:rsidRDefault="00287B35" w:rsidP="00287B35">
      <w:pPr>
        <w:tabs>
          <w:tab w:val="left" w:pos="851"/>
        </w:tabs>
        <w:ind w:left="851"/>
        <w:rPr>
          <w:sz w:val="24"/>
          <w:szCs w:val="24"/>
        </w:rPr>
      </w:pPr>
    </w:p>
    <w:p w14:paraId="0B739540" w14:textId="77777777" w:rsidR="00287B35" w:rsidRPr="00287B35" w:rsidRDefault="00287B35" w:rsidP="00287B35">
      <w:pPr>
        <w:tabs>
          <w:tab w:val="left" w:pos="851"/>
        </w:tabs>
        <w:ind w:left="851"/>
        <w:rPr>
          <w:sz w:val="24"/>
          <w:szCs w:val="24"/>
          <w:u w:val="single"/>
        </w:rPr>
      </w:pPr>
      <w:r w:rsidRPr="00287B35">
        <w:rPr>
          <w:sz w:val="24"/>
          <w:szCs w:val="24"/>
          <w:u w:val="single"/>
        </w:rPr>
        <w:t>Tumorlysesyndrom</w:t>
      </w:r>
    </w:p>
    <w:p w14:paraId="6C317ADC" w14:textId="085DA497" w:rsidR="00287B35" w:rsidRDefault="00287B35" w:rsidP="00287B35">
      <w:pPr>
        <w:tabs>
          <w:tab w:val="left" w:pos="851"/>
        </w:tabs>
        <w:ind w:left="851"/>
        <w:rPr>
          <w:sz w:val="24"/>
          <w:szCs w:val="24"/>
        </w:rPr>
      </w:pPr>
      <w:r w:rsidRPr="00287B35">
        <w:rPr>
          <w:sz w:val="24"/>
          <w:szCs w:val="24"/>
        </w:rPr>
        <w:t xml:space="preserve">Efter markedsføringen er der rapporteret om tumorlysesyndrom hos patienter med hæmatologiske </w:t>
      </w:r>
      <w:proofErr w:type="spellStart"/>
      <w:r w:rsidRPr="00287B35">
        <w:rPr>
          <w:sz w:val="24"/>
          <w:szCs w:val="24"/>
        </w:rPr>
        <w:t>maligniteter</w:t>
      </w:r>
      <w:proofErr w:type="spellEnd"/>
      <w:r w:rsidRPr="00287B35">
        <w:rPr>
          <w:sz w:val="24"/>
          <w:szCs w:val="24"/>
        </w:rPr>
        <w:t xml:space="preserve"> efter brug af </w:t>
      </w:r>
      <w:proofErr w:type="spellStart"/>
      <w:r w:rsidRPr="00287B35">
        <w:rPr>
          <w:sz w:val="24"/>
          <w:szCs w:val="24"/>
        </w:rPr>
        <w:t>dexamethason</w:t>
      </w:r>
      <w:proofErr w:type="spellEnd"/>
      <w:r w:rsidRPr="00287B35">
        <w:rPr>
          <w:sz w:val="24"/>
          <w:szCs w:val="24"/>
        </w:rPr>
        <w:t xml:space="preserve"> alene eller i kombination med andre kemoterapeutiske midler. Patienter med høj risiko for tumorlysesyndrom, f.eks. patienter med høj </w:t>
      </w:r>
      <w:proofErr w:type="spellStart"/>
      <w:r w:rsidRPr="00287B35">
        <w:rPr>
          <w:sz w:val="24"/>
          <w:szCs w:val="24"/>
        </w:rPr>
        <w:t>proliferationsrate</w:t>
      </w:r>
      <w:proofErr w:type="spellEnd"/>
      <w:r w:rsidRPr="00287B35">
        <w:rPr>
          <w:sz w:val="24"/>
          <w:szCs w:val="24"/>
        </w:rPr>
        <w:t xml:space="preserve">, høj tumorbyrde og høj følsomhed over for </w:t>
      </w:r>
      <w:proofErr w:type="spellStart"/>
      <w:r w:rsidRPr="00287B35">
        <w:rPr>
          <w:sz w:val="24"/>
          <w:szCs w:val="24"/>
        </w:rPr>
        <w:t>cytotoksiske</w:t>
      </w:r>
      <w:proofErr w:type="spellEnd"/>
      <w:r w:rsidRPr="00287B35">
        <w:rPr>
          <w:sz w:val="24"/>
          <w:szCs w:val="24"/>
        </w:rPr>
        <w:t xml:space="preserve"> midler, bør overvåges nøje, og der bør tages passende forholdsregler.</w:t>
      </w:r>
    </w:p>
    <w:p w14:paraId="0B7FF3A6" w14:textId="46B2E306" w:rsidR="004B56BF" w:rsidRDefault="004B56BF" w:rsidP="00287B35">
      <w:pPr>
        <w:tabs>
          <w:tab w:val="left" w:pos="851"/>
        </w:tabs>
        <w:ind w:left="851"/>
        <w:rPr>
          <w:sz w:val="24"/>
          <w:szCs w:val="24"/>
        </w:rPr>
      </w:pPr>
    </w:p>
    <w:p w14:paraId="5356B7D4" w14:textId="77777777" w:rsidR="00B70043" w:rsidRDefault="00B70043" w:rsidP="00B70043">
      <w:pPr>
        <w:autoSpaceDE w:val="0"/>
        <w:autoSpaceDN w:val="0"/>
        <w:adjustRightInd w:val="0"/>
        <w:ind w:left="851"/>
        <w:rPr>
          <w:rFonts w:ascii="TimesNewRomanPSMT" w:hAnsi="TimesNewRomanPSMT" w:cs="TimesNewRomanPSMT"/>
          <w:sz w:val="24"/>
          <w:szCs w:val="24"/>
          <w:u w:val="single"/>
          <w:lang w:eastAsia="en-GB"/>
        </w:rPr>
      </w:pPr>
      <w:r>
        <w:rPr>
          <w:rFonts w:ascii="TimesNewRomanPSMT" w:hAnsi="TimesNewRomanPSMT" w:cs="TimesNewRomanPSMT"/>
          <w:sz w:val="24"/>
          <w:szCs w:val="24"/>
          <w:u w:val="single"/>
          <w:lang w:eastAsia="en-GB"/>
        </w:rPr>
        <w:t>Covid-19</w:t>
      </w:r>
    </w:p>
    <w:p w14:paraId="40D71CED" w14:textId="77777777" w:rsidR="00B70043" w:rsidRDefault="00B70043" w:rsidP="00B70043">
      <w:pPr>
        <w:autoSpaceDE w:val="0"/>
        <w:autoSpaceDN w:val="0"/>
        <w:adjustRightInd w:val="0"/>
        <w:ind w:left="851"/>
        <w:rPr>
          <w:rFonts w:ascii="TimesNewRomanPSMT" w:hAnsi="TimesNewRomanPSMT" w:cs="TimesNewRomanPSMT"/>
          <w:sz w:val="24"/>
          <w:szCs w:val="24"/>
          <w:lang w:eastAsia="en-GB"/>
        </w:rPr>
      </w:pPr>
      <w:r>
        <w:rPr>
          <w:rFonts w:ascii="TimesNewRomanPSMT" w:hAnsi="TimesNewRomanPSMT" w:cs="TimesNewRomanPSMT"/>
          <w:sz w:val="24"/>
          <w:szCs w:val="24"/>
          <w:lang w:eastAsia="en-GB"/>
        </w:rPr>
        <w:t xml:space="preserve">Behandling med systemiske </w:t>
      </w:r>
      <w:proofErr w:type="spellStart"/>
      <w:r>
        <w:rPr>
          <w:rFonts w:ascii="TimesNewRomanPSMT" w:hAnsi="TimesNewRomanPSMT" w:cs="TimesNewRomanPSMT"/>
          <w:sz w:val="24"/>
          <w:szCs w:val="24"/>
          <w:lang w:eastAsia="en-GB"/>
        </w:rPr>
        <w:t>kortikosteroider</w:t>
      </w:r>
      <w:proofErr w:type="spellEnd"/>
      <w:r>
        <w:rPr>
          <w:rFonts w:ascii="TimesNewRomanPSMT" w:hAnsi="TimesNewRomanPSMT" w:cs="TimesNewRomanPSMT"/>
          <w:sz w:val="24"/>
          <w:szCs w:val="24"/>
          <w:lang w:eastAsia="en-GB"/>
        </w:rPr>
        <w:t xml:space="preserve"> bør ikke stoppes hos patienter, der i forvejen er i behandling med systemiske (orale) </w:t>
      </w:r>
      <w:proofErr w:type="spellStart"/>
      <w:r>
        <w:rPr>
          <w:rFonts w:ascii="TimesNewRomanPSMT" w:hAnsi="TimesNewRomanPSMT" w:cs="TimesNewRomanPSMT"/>
          <w:sz w:val="24"/>
          <w:szCs w:val="24"/>
          <w:lang w:eastAsia="en-GB"/>
        </w:rPr>
        <w:t>kortikosteroider</w:t>
      </w:r>
      <w:proofErr w:type="spellEnd"/>
      <w:r>
        <w:rPr>
          <w:rFonts w:ascii="TimesNewRomanPSMT" w:hAnsi="TimesNewRomanPSMT" w:cs="TimesNewRomanPSMT"/>
          <w:sz w:val="24"/>
          <w:szCs w:val="24"/>
          <w:lang w:eastAsia="en-GB"/>
        </w:rPr>
        <w:t xml:space="preserve"> af andre årsager (f.eks. patienter med kronisk obstruktiv lungesygdom), men ikke har behov for supplerende iltbehandling.</w:t>
      </w:r>
    </w:p>
    <w:p w14:paraId="177D92EE" w14:textId="77777777" w:rsidR="00B70043" w:rsidRDefault="00B70043" w:rsidP="00B70043">
      <w:pPr>
        <w:tabs>
          <w:tab w:val="left" w:pos="851"/>
        </w:tabs>
        <w:ind w:left="851"/>
        <w:rPr>
          <w:sz w:val="24"/>
          <w:szCs w:val="24"/>
        </w:rPr>
      </w:pPr>
    </w:p>
    <w:p w14:paraId="477A7E57" w14:textId="77777777" w:rsidR="00B70043" w:rsidRDefault="00B70043" w:rsidP="00B70043">
      <w:pPr>
        <w:tabs>
          <w:tab w:val="left" w:pos="851"/>
        </w:tabs>
        <w:ind w:left="851"/>
        <w:rPr>
          <w:u w:val="single"/>
        </w:rPr>
      </w:pPr>
      <w:proofErr w:type="spellStart"/>
      <w:r>
        <w:rPr>
          <w:u w:val="single"/>
        </w:rPr>
        <w:t>Hypertrofisk</w:t>
      </w:r>
      <w:proofErr w:type="spellEnd"/>
      <w:r>
        <w:rPr>
          <w:u w:val="single"/>
        </w:rPr>
        <w:t xml:space="preserve"> </w:t>
      </w:r>
      <w:proofErr w:type="spellStart"/>
      <w:r>
        <w:rPr>
          <w:u w:val="single"/>
        </w:rPr>
        <w:t>kardiomyopati</w:t>
      </w:r>
      <w:proofErr w:type="spellEnd"/>
    </w:p>
    <w:p w14:paraId="414DAD31" w14:textId="77777777" w:rsidR="00B70043" w:rsidRDefault="00B70043" w:rsidP="00B70043">
      <w:pPr>
        <w:tabs>
          <w:tab w:val="left" w:pos="851"/>
        </w:tabs>
        <w:ind w:left="851"/>
      </w:pPr>
      <w:r>
        <w:t xml:space="preserve">Der blev rapporteret om </w:t>
      </w:r>
      <w:proofErr w:type="spellStart"/>
      <w:r>
        <w:t>hypertrofisk</w:t>
      </w:r>
      <w:proofErr w:type="spellEnd"/>
      <w:r>
        <w:t xml:space="preserve"> </w:t>
      </w:r>
      <w:proofErr w:type="spellStart"/>
      <w:r>
        <w:t>kardiomyopati</w:t>
      </w:r>
      <w:proofErr w:type="spellEnd"/>
      <w:r>
        <w:t xml:space="preserve"> efter systemisk administration af </w:t>
      </w:r>
      <w:proofErr w:type="spellStart"/>
      <w:r>
        <w:t>kortikosteroider</w:t>
      </w:r>
      <w:proofErr w:type="spellEnd"/>
      <w:r>
        <w:t xml:space="preserve">, herunder </w:t>
      </w:r>
      <w:proofErr w:type="spellStart"/>
      <w:r>
        <w:t>dexamethason</w:t>
      </w:r>
      <w:proofErr w:type="spellEnd"/>
      <w:r>
        <w:t xml:space="preserve">, til for tidligt fødte børn. I de fleste indberettede tilfælde var dette reversibelt ved </w:t>
      </w:r>
      <w:proofErr w:type="spellStart"/>
      <w:r>
        <w:t>seponering</w:t>
      </w:r>
      <w:proofErr w:type="spellEnd"/>
      <w:r>
        <w:t xml:space="preserve"> af behandlingen. Hos for tidligt fødte børn, der behandles med systemisk </w:t>
      </w:r>
      <w:proofErr w:type="spellStart"/>
      <w:r>
        <w:t>dexamethason</w:t>
      </w:r>
      <w:proofErr w:type="spellEnd"/>
      <w:r>
        <w:t>, skal der foretages en diagnostisk vurdering og overvågning af hjertefunktionen og -strukturen (punkt 4.8).</w:t>
      </w:r>
    </w:p>
    <w:p w14:paraId="5BFA059E" w14:textId="77777777" w:rsidR="00B70043" w:rsidRDefault="00B70043" w:rsidP="00B70043">
      <w:pPr>
        <w:tabs>
          <w:tab w:val="left" w:pos="851"/>
        </w:tabs>
        <w:ind w:left="851"/>
      </w:pPr>
    </w:p>
    <w:p w14:paraId="21B66FEB" w14:textId="77777777" w:rsidR="00B70043" w:rsidRDefault="00B70043" w:rsidP="00B70043">
      <w:pPr>
        <w:tabs>
          <w:tab w:val="left" w:pos="851"/>
        </w:tabs>
        <w:ind w:left="851"/>
        <w:rPr>
          <w:sz w:val="24"/>
          <w:szCs w:val="24"/>
          <w:u w:val="single"/>
        </w:rPr>
      </w:pPr>
      <w:proofErr w:type="spellStart"/>
      <w:r>
        <w:rPr>
          <w:sz w:val="24"/>
          <w:szCs w:val="24"/>
          <w:u w:val="single"/>
        </w:rPr>
        <w:t>Fæokromocytom</w:t>
      </w:r>
      <w:proofErr w:type="spellEnd"/>
      <w:r>
        <w:rPr>
          <w:sz w:val="24"/>
          <w:szCs w:val="24"/>
          <w:u w:val="single"/>
        </w:rPr>
        <w:t xml:space="preserve">-krise </w:t>
      </w:r>
    </w:p>
    <w:p w14:paraId="6EF044F6" w14:textId="77777777" w:rsidR="00B70043" w:rsidRDefault="00B70043" w:rsidP="00B70043">
      <w:pPr>
        <w:tabs>
          <w:tab w:val="left" w:pos="851"/>
        </w:tabs>
        <w:ind w:left="851"/>
        <w:rPr>
          <w:sz w:val="24"/>
          <w:szCs w:val="24"/>
        </w:rPr>
      </w:pPr>
      <w:r>
        <w:rPr>
          <w:sz w:val="24"/>
          <w:szCs w:val="24"/>
        </w:rPr>
        <w:t xml:space="preserve">Der er indberettet </w:t>
      </w:r>
      <w:proofErr w:type="spellStart"/>
      <w:r>
        <w:rPr>
          <w:sz w:val="24"/>
          <w:szCs w:val="24"/>
        </w:rPr>
        <w:t>fæokromocytom</w:t>
      </w:r>
      <w:proofErr w:type="spellEnd"/>
      <w:r>
        <w:rPr>
          <w:sz w:val="24"/>
          <w:szCs w:val="24"/>
        </w:rPr>
        <w:t xml:space="preserve">-krise, som kan være dødelig, efter administration af systemiske </w:t>
      </w:r>
      <w:proofErr w:type="spellStart"/>
      <w:r>
        <w:rPr>
          <w:sz w:val="24"/>
          <w:szCs w:val="24"/>
        </w:rPr>
        <w:t>kortikosteroider</w:t>
      </w:r>
      <w:proofErr w:type="spellEnd"/>
      <w:r>
        <w:rPr>
          <w:sz w:val="24"/>
          <w:szCs w:val="24"/>
        </w:rPr>
        <w:t xml:space="preserve">. </w:t>
      </w:r>
      <w:proofErr w:type="spellStart"/>
      <w:r>
        <w:rPr>
          <w:sz w:val="24"/>
          <w:szCs w:val="24"/>
        </w:rPr>
        <w:t>Kortikosteroider</w:t>
      </w:r>
      <w:proofErr w:type="spellEnd"/>
      <w:r>
        <w:rPr>
          <w:sz w:val="24"/>
          <w:szCs w:val="24"/>
        </w:rPr>
        <w:t xml:space="preserve"> bør kun administreres til patienter med formodet eller identificeret </w:t>
      </w:r>
      <w:proofErr w:type="spellStart"/>
      <w:r>
        <w:rPr>
          <w:sz w:val="24"/>
          <w:szCs w:val="24"/>
        </w:rPr>
        <w:t>fæokromocytom</w:t>
      </w:r>
      <w:proofErr w:type="spellEnd"/>
      <w:r>
        <w:rPr>
          <w:sz w:val="24"/>
          <w:szCs w:val="24"/>
        </w:rPr>
        <w:t xml:space="preserve"> efter en passende </w:t>
      </w:r>
      <w:proofErr w:type="spellStart"/>
      <w:r>
        <w:rPr>
          <w:sz w:val="24"/>
          <w:szCs w:val="24"/>
        </w:rPr>
        <w:t>risk</w:t>
      </w:r>
      <w:proofErr w:type="spellEnd"/>
      <w:r>
        <w:rPr>
          <w:sz w:val="24"/>
          <w:szCs w:val="24"/>
        </w:rPr>
        <w:t>/benefit-vurdering.</w:t>
      </w:r>
    </w:p>
    <w:p w14:paraId="12929339" w14:textId="77777777" w:rsidR="00B70043" w:rsidRDefault="00B70043" w:rsidP="00B70043">
      <w:pPr>
        <w:tabs>
          <w:tab w:val="left" w:pos="851"/>
        </w:tabs>
        <w:ind w:left="851"/>
        <w:rPr>
          <w:sz w:val="24"/>
          <w:szCs w:val="24"/>
        </w:rPr>
      </w:pPr>
    </w:p>
    <w:p w14:paraId="1C269CF1" w14:textId="77777777" w:rsidR="00B70043" w:rsidRDefault="00B70043" w:rsidP="00B70043">
      <w:pPr>
        <w:tabs>
          <w:tab w:val="left" w:pos="851"/>
        </w:tabs>
        <w:ind w:left="851"/>
        <w:rPr>
          <w:sz w:val="24"/>
          <w:szCs w:val="24"/>
          <w:u w:val="single"/>
        </w:rPr>
      </w:pPr>
      <w:r>
        <w:rPr>
          <w:sz w:val="24"/>
          <w:szCs w:val="24"/>
          <w:u w:val="single"/>
        </w:rPr>
        <w:t>Administration</w:t>
      </w:r>
    </w:p>
    <w:p w14:paraId="105F9BFA" w14:textId="77777777" w:rsidR="00B70043" w:rsidRDefault="00B70043" w:rsidP="00B70043">
      <w:pPr>
        <w:tabs>
          <w:tab w:val="left" w:pos="851"/>
        </w:tabs>
        <w:ind w:left="851"/>
        <w:rPr>
          <w:sz w:val="24"/>
          <w:szCs w:val="24"/>
        </w:rPr>
      </w:pPr>
      <w:r>
        <w:rPr>
          <w:sz w:val="24"/>
          <w:szCs w:val="24"/>
        </w:rPr>
        <w:lastRenderedPageBreak/>
        <w:t>Ved lokal administration bør der tages højde for, at der kan forekomme systemiske bivirkninger og interaktioner.</w:t>
      </w:r>
    </w:p>
    <w:p w14:paraId="3EEF71CE" w14:textId="77777777" w:rsidR="00B70043" w:rsidRDefault="00B70043" w:rsidP="00B70043">
      <w:pPr>
        <w:tabs>
          <w:tab w:val="left" w:pos="851"/>
        </w:tabs>
        <w:ind w:left="851"/>
        <w:rPr>
          <w:sz w:val="24"/>
          <w:szCs w:val="24"/>
        </w:rPr>
      </w:pPr>
    </w:p>
    <w:p w14:paraId="02EDB738" w14:textId="77777777" w:rsidR="00B70043" w:rsidRDefault="00B70043" w:rsidP="00B70043">
      <w:pPr>
        <w:tabs>
          <w:tab w:val="left" w:pos="851"/>
        </w:tabs>
        <w:ind w:left="851"/>
        <w:rPr>
          <w:i/>
          <w:iCs/>
          <w:sz w:val="24"/>
          <w:szCs w:val="24"/>
        </w:rPr>
      </w:pPr>
      <w:proofErr w:type="spellStart"/>
      <w:r>
        <w:rPr>
          <w:i/>
          <w:iCs/>
          <w:sz w:val="24"/>
          <w:szCs w:val="24"/>
        </w:rPr>
        <w:t>Intraartikulær</w:t>
      </w:r>
      <w:proofErr w:type="spellEnd"/>
      <w:r>
        <w:rPr>
          <w:i/>
          <w:iCs/>
          <w:sz w:val="24"/>
          <w:szCs w:val="24"/>
        </w:rPr>
        <w:t xml:space="preserve"> administration</w:t>
      </w:r>
    </w:p>
    <w:p w14:paraId="749A887A" w14:textId="77777777" w:rsidR="00B70043" w:rsidRDefault="00B70043" w:rsidP="00B70043">
      <w:pPr>
        <w:tabs>
          <w:tab w:val="left" w:pos="851"/>
        </w:tabs>
        <w:ind w:left="851"/>
        <w:rPr>
          <w:sz w:val="24"/>
          <w:szCs w:val="24"/>
        </w:rPr>
      </w:pPr>
      <w:proofErr w:type="spellStart"/>
      <w:r>
        <w:rPr>
          <w:sz w:val="24"/>
          <w:szCs w:val="24"/>
        </w:rPr>
        <w:t>Intraartikulær</w:t>
      </w:r>
      <w:proofErr w:type="spellEnd"/>
      <w:r>
        <w:rPr>
          <w:sz w:val="24"/>
          <w:szCs w:val="24"/>
        </w:rPr>
        <w:t xml:space="preserve"> administration af </w:t>
      </w:r>
      <w:proofErr w:type="spellStart"/>
      <w:r>
        <w:rPr>
          <w:sz w:val="24"/>
          <w:szCs w:val="24"/>
        </w:rPr>
        <w:t>glukokortikoider</w:t>
      </w:r>
      <w:proofErr w:type="spellEnd"/>
      <w:r>
        <w:rPr>
          <w:sz w:val="24"/>
          <w:szCs w:val="24"/>
        </w:rPr>
        <w:t xml:space="preserve"> øger risikoen for infektion i leddet. Når smerten og andre symptomer aftager kan gentagen og langvarig anvendelse af </w:t>
      </w:r>
      <w:proofErr w:type="spellStart"/>
      <w:r>
        <w:rPr>
          <w:sz w:val="24"/>
          <w:szCs w:val="24"/>
        </w:rPr>
        <w:t>glukokortikoider</w:t>
      </w:r>
      <w:proofErr w:type="spellEnd"/>
      <w:r>
        <w:rPr>
          <w:sz w:val="24"/>
          <w:szCs w:val="24"/>
        </w:rPr>
        <w:t xml:space="preserve"> i vægtbærende led forårsage nedbrydning af leddet på grund af slitage ved for stor belastning af det berørte led.</w:t>
      </w:r>
    </w:p>
    <w:p w14:paraId="6772A5CF" w14:textId="77777777" w:rsidR="00B70043" w:rsidRDefault="00B70043" w:rsidP="00B70043">
      <w:pPr>
        <w:tabs>
          <w:tab w:val="left" w:pos="851"/>
        </w:tabs>
        <w:ind w:left="851"/>
        <w:rPr>
          <w:sz w:val="24"/>
          <w:szCs w:val="24"/>
        </w:rPr>
      </w:pPr>
    </w:p>
    <w:p w14:paraId="344FDFED" w14:textId="77777777" w:rsidR="00B70043" w:rsidRDefault="00B70043" w:rsidP="00B70043">
      <w:pPr>
        <w:tabs>
          <w:tab w:val="left" w:pos="851"/>
        </w:tabs>
        <w:ind w:left="851"/>
        <w:rPr>
          <w:sz w:val="24"/>
          <w:szCs w:val="24"/>
          <w:u w:val="single"/>
        </w:rPr>
      </w:pPr>
      <w:r>
        <w:rPr>
          <w:sz w:val="24"/>
          <w:szCs w:val="24"/>
          <w:u w:val="single"/>
        </w:rPr>
        <w:t>Pædiatrisk population</w:t>
      </w:r>
    </w:p>
    <w:p w14:paraId="774E45E2" w14:textId="77777777" w:rsidR="00B70043" w:rsidRDefault="00B70043" w:rsidP="00B70043">
      <w:pPr>
        <w:tabs>
          <w:tab w:val="left" w:pos="851"/>
        </w:tabs>
        <w:ind w:left="851"/>
        <w:rPr>
          <w:sz w:val="24"/>
          <w:szCs w:val="24"/>
        </w:rPr>
      </w:pPr>
      <w:r>
        <w:rPr>
          <w:sz w:val="24"/>
          <w:szCs w:val="24"/>
        </w:rPr>
        <w:t xml:space="preserve">Vækst og udvikling skal overvåges nøje hos børn, da </w:t>
      </w:r>
      <w:proofErr w:type="spellStart"/>
      <w:r>
        <w:rPr>
          <w:sz w:val="24"/>
          <w:szCs w:val="24"/>
        </w:rPr>
        <w:t>kortikosteroider</w:t>
      </w:r>
      <w:proofErr w:type="spellEnd"/>
      <w:r>
        <w:rPr>
          <w:sz w:val="24"/>
          <w:szCs w:val="24"/>
        </w:rPr>
        <w:t xml:space="preserve"> kan give anledning til tidlig lukning af </w:t>
      </w:r>
      <w:proofErr w:type="spellStart"/>
      <w:r>
        <w:rPr>
          <w:sz w:val="24"/>
          <w:szCs w:val="24"/>
        </w:rPr>
        <w:t>epifyserne</w:t>
      </w:r>
      <w:proofErr w:type="spellEnd"/>
      <w:r>
        <w:rPr>
          <w:sz w:val="24"/>
          <w:szCs w:val="24"/>
        </w:rPr>
        <w:t>.</w:t>
      </w:r>
    </w:p>
    <w:p w14:paraId="10DBF78D" w14:textId="77777777" w:rsidR="00B70043" w:rsidRDefault="00B70043" w:rsidP="00B70043">
      <w:pPr>
        <w:tabs>
          <w:tab w:val="left" w:pos="851"/>
        </w:tabs>
        <w:ind w:left="851"/>
        <w:rPr>
          <w:sz w:val="24"/>
          <w:szCs w:val="24"/>
        </w:rPr>
      </w:pPr>
    </w:p>
    <w:p w14:paraId="61B486DB" w14:textId="77777777" w:rsidR="00B70043" w:rsidRDefault="00B70043" w:rsidP="00B70043">
      <w:pPr>
        <w:tabs>
          <w:tab w:val="left" w:pos="851"/>
        </w:tabs>
        <w:ind w:left="851"/>
        <w:rPr>
          <w:i/>
          <w:iCs/>
          <w:sz w:val="24"/>
          <w:szCs w:val="24"/>
        </w:rPr>
      </w:pPr>
      <w:r>
        <w:rPr>
          <w:i/>
          <w:iCs/>
          <w:sz w:val="24"/>
          <w:szCs w:val="24"/>
        </w:rPr>
        <w:t>Præmature nyfødte</w:t>
      </w:r>
    </w:p>
    <w:p w14:paraId="65A666F5" w14:textId="77777777" w:rsidR="00B70043" w:rsidRDefault="00B70043" w:rsidP="00B70043">
      <w:pPr>
        <w:tabs>
          <w:tab w:val="left" w:pos="851"/>
        </w:tabs>
        <w:ind w:left="851"/>
        <w:rPr>
          <w:sz w:val="24"/>
          <w:szCs w:val="24"/>
        </w:rPr>
      </w:pPr>
      <w:r>
        <w:rPr>
          <w:sz w:val="24"/>
          <w:szCs w:val="24"/>
        </w:rPr>
        <w:t xml:space="preserve">Tilgængelige data tyder på langvarige </w:t>
      </w:r>
      <w:proofErr w:type="spellStart"/>
      <w:r>
        <w:rPr>
          <w:sz w:val="24"/>
          <w:szCs w:val="24"/>
        </w:rPr>
        <w:t>neuroudviklingsmæssige</w:t>
      </w:r>
      <w:proofErr w:type="spellEnd"/>
      <w:r>
        <w:rPr>
          <w:sz w:val="24"/>
          <w:szCs w:val="24"/>
        </w:rPr>
        <w:t xml:space="preserve"> bivirkninger efter tidlig behandling (&lt; 96 timer) af præmature spædbørn med kronisk lungesygdom med en initialdosis på 0,25 mg/kg 2 gange dagligt.</w:t>
      </w:r>
    </w:p>
    <w:p w14:paraId="3BC8B852" w14:textId="77777777" w:rsidR="00B70043" w:rsidRDefault="00B70043" w:rsidP="00B70043">
      <w:pPr>
        <w:tabs>
          <w:tab w:val="left" w:pos="851"/>
        </w:tabs>
        <w:ind w:left="851"/>
        <w:rPr>
          <w:sz w:val="24"/>
          <w:szCs w:val="24"/>
        </w:rPr>
      </w:pPr>
    </w:p>
    <w:p w14:paraId="1E53EA2C" w14:textId="77777777" w:rsidR="00B70043" w:rsidRDefault="00B70043" w:rsidP="00B70043">
      <w:pPr>
        <w:tabs>
          <w:tab w:val="left" w:pos="851"/>
        </w:tabs>
        <w:ind w:left="851"/>
        <w:rPr>
          <w:sz w:val="24"/>
          <w:szCs w:val="24"/>
          <w:u w:val="single"/>
        </w:rPr>
      </w:pPr>
      <w:r>
        <w:rPr>
          <w:sz w:val="24"/>
          <w:szCs w:val="24"/>
          <w:u w:val="single"/>
        </w:rPr>
        <w:t>Ældre patienter</w:t>
      </w:r>
    </w:p>
    <w:p w14:paraId="144B5F4C" w14:textId="77777777" w:rsidR="00B70043" w:rsidRDefault="00B70043" w:rsidP="00B70043">
      <w:pPr>
        <w:tabs>
          <w:tab w:val="left" w:pos="851"/>
        </w:tabs>
        <w:ind w:left="851"/>
        <w:rPr>
          <w:sz w:val="24"/>
          <w:szCs w:val="24"/>
        </w:rPr>
      </w:pPr>
      <w:r>
        <w:rPr>
          <w:sz w:val="24"/>
          <w:szCs w:val="24"/>
        </w:rPr>
        <w:t>Da ældre patienter har en øget risiko for at få osteoporose, skal benefit/</w:t>
      </w:r>
      <w:proofErr w:type="spellStart"/>
      <w:r>
        <w:rPr>
          <w:sz w:val="24"/>
          <w:szCs w:val="24"/>
        </w:rPr>
        <w:t>risk</w:t>
      </w:r>
      <w:proofErr w:type="spellEnd"/>
      <w:r>
        <w:rPr>
          <w:sz w:val="24"/>
          <w:szCs w:val="24"/>
        </w:rPr>
        <w:t xml:space="preserve">-forholdet ved behandling med </w:t>
      </w:r>
      <w:proofErr w:type="spellStart"/>
      <w:r>
        <w:rPr>
          <w:sz w:val="24"/>
          <w:szCs w:val="24"/>
        </w:rPr>
        <w:t>Dexacur</w:t>
      </w:r>
      <w:proofErr w:type="spellEnd"/>
      <w:r>
        <w:rPr>
          <w:sz w:val="24"/>
          <w:szCs w:val="24"/>
        </w:rPr>
        <w:t xml:space="preserve"> vurderes nøje.</w:t>
      </w:r>
    </w:p>
    <w:p w14:paraId="2A939AC3" w14:textId="77777777" w:rsidR="00B70043" w:rsidRDefault="00B70043" w:rsidP="00B70043">
      <w:pPr>
        <w:tabs>
          <w:tab w:val="left" w:pos="851"/>
        </w:tabs>
        <w:ind w:left="851"/>
        <w:rPr>
          <w:sz w:val="24"/>
          <w:szCs w:val="24"/>
        </w:rPr>
      </w:pPr>
    </w:p>
    <w:p w14:paraId="7BA4EE7F" w14:textId="77777777" w:rsidR="00B70043" w:rsidRDefault="00B70043" w:rsidP="00B70043">
      <w:pPr>
        <w:tabs>
          <w:tab w:val="left" w:pos="851"/>
        </w:tabs>
        <w:ind w:left="851"/>
        <w:rPr>
          <w:sz w:val="24"/>
          <w:szCs w:val="24"/>
          <w:u w:val="single"/>
        </w:rPr>
      </w:pPr>
      <w:r>
        <w:rPr>
          <w:sz w:val="24"/>
          <w:szCs w:val="24"/>
          <w:u w:val="single"/>
        </w:rPr>
        <w:t>Andet</w:t>
      </w:r>
    </w:p>
    <w:p w14:paraId="015E7F2B" w14:textId="77777777" w:rsidR="00B70043" w:rsidRDefault="00B70043" w:rsidP="00B70043">
      <w:pPr>
        <w:tabs>
          <w:tab w:val="left" w:pos="851"/>
        </w:tabs>
        <w:ind w:left="851"/>
        <w:rPr>
          <w:sz w:val="24"/>
          <w:szCs w:val="24"/>
        </w:rPr>
      </w:pPr>
      <w:r>
        <w:rPr>
          <w:sz w:val="24"/>
          <w:szCs w:val="24"/>
        </w:rPr>
        <w:t>Dette lægemiddel indeholder mindre end 1 mmol (23 mg) natrium pr. ampul, dvs. det er i det væsentlige natriumfrit.</w:t>
      </w:r>
    </w:p>
    <w:p w14:paraId="2BDCEFA5" w14:textId="77777777" w:rsidR="009260DE" w:rsidRPr="00C84483" w:rsidRDefault="009260DE" w:rsidP="009260DE">
      <w:pPr>
        <w:tabs>
          <w:tab w:val="left" w:pos="851"/>
        </w:tabs>
        <w:ind w:left="851"/>
        <w:rPr>
          <w:sz w:val="24"/>
          <w:szCs w:val="24"/>
        </w:rPr>
      </w:pPr>
    </w:p>
    <w:p w14:paraId="55E262BC"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1F79B7B" w14:textId="77777777" w:rsidR="00C860BA" w:rsidRPr="00C860BA" w:rsidRDefault="00C860BA" w:rsidP="00C860BA">
      <w:pPr>
        <w:tabs>
          <w:tab w:val="left" w:pos="851"/>
        </w:tabs>
        <w:ind w:left="851"/>
        <w:rPr>
          <w:sz w:val="24"/>
          <w:szCs w:val="24"/>
        </w:rPr>
      </w:pPr>
      <w:r w:rsidRPr="00C860BA">
        <w:rPr>
          <w:sz w:val="24"/>
          <w:szCs w:val="24"/>
        </w:rPr>
        <w:t xml:space="preserve">Det forventes, at samtidig behandling med CYP3A-hæmmere, herunder </w:t>
      </w:r>
      <w:proofErr w:type="spellStart"/>
      <w:r w:rsidRPr="00C860BA">
        <w:rPr>
          <w:sz w:val="24"/>
          <w:szCs w:val="24"/>
        </w:rPr>
        <w:t>cobicistat-holdige</w:t>
      </w:r>
      <w:proofErr w:type="spellEnd"/>
      <w:r w:rsidRPr="00C860BA">
        <w:rPr>
          <w:sz w:val="24"/>
          <w:szCs w:val="24"/>
        </w:rPr>
        <w:t xml:space="preserve"> lægemidler, øger risikoen for systemiske bivirkninger. Kombinationen bør undgås, medmindre fordelen opvejer den øgede risiko for systemiske </w:t>
      </w:r>
      <w:proofErr w:type="spellStart"/>
      <w:r w:rsidRPr="00C860BA">
        <w:rPr>
          <w:sz w:val="24"/>
          <w:szCs w:val="24"/>
        </w:rPr>
        <w:t>kortikosteroid</w:t>
      </w:r>
      <w:proofErr w:type="spellEnd"/>
      <w:r w:rsidRPr="00C860BA">
        <w:rPr>
          <w:sz w:val="24"/>
          <w:szCs w:val="24"/>
        </w:rPr>
        <w:t xml:space="preserve">-bivirkninger. Patienterne skal i givet fald overvåges for systemiske </w:t>
      </w:r>
      <w:proofErr w:type="spellStart"/>
      <w:r w:rsidRPr="00C860BA">
        <w:rPr>
          <w:sz w:val="24"/>
          <w:szCs w:val="24"/>
        </w:rPr>
        <w:t>kortikosteroid</w:t>
      </w:r>
      <w:proofErr w:type="spellEnd"/>
      <w:r w:rsidRPr="00C860BA">
        <w:rPr>
          <w:sz w:val="24"/>
          <w:szCs w:val="24"/>
        </w:rPr>
        <w:t>-bivirkninger.</w:t>
      </w:r>
    </w:p>
    <w:p w14:paraId="131477E8" w14:textId="77777777" w:rsidR="00C860BA" w:rsidRPr="00C860BA" w:rsidRDefault="00C860BA" w:rsidP="00C860BA">
      <w:pPr>
        <w:tabs>
          <w:tab w:val="left" w:pos="851"/>
        </w:tabs>
        <w:ind w:left="851"/>
        <w:rPr>
          <w:sz w:val="24"/>
          <w:szCs w:val="24"/>
        </w:rPr>
      </w:pPr>
    </w:p>
    <w:p w14:paraId="1348B7EF" w14:textId="77777777" w:rsidR="00C860BA" w:rsidRPr="00C860BA" w:rsidRDefault="00C860BA" w:rsidP="00C860BA">
      <w:pPr>
        <w:tabs>
          <w:tab w:val="left" w:pos="851"/>
        </w:tabs>
        <w:ind w:left="851"/>
        <w:rPr>
          <w:sz w:val="24"/>
          <w:szCs w:val="24"/>
          <w:u w:val="single"/>
        </w:rPr>
      </w:pPr>
      <w:r w:rsidRPr="00C860BA">
        <w:rPr>
          <w:sz w:val="24"/>
          <w:szCs w:val="24"/>
          <w:u w:val="single"/>
        </w:rPr>
        <w:t xml:space="preserve">CYP3A4-inducere såsom </w:t>
      </w:r>
      <w:proofErr w:type="spellStart"/>
      <w:r w:rsidRPr="00C860BA">
        <w:rPr>
          <w:sz w:val="24"/>
          <w:szCs w:val="24"/>
          <w:u w:val="single"/>
        </w:rPr>
        <w:t>rifampicin</w:t>
      </w:r>
      <w:proofErr w:type="spellEnd"/>
      <w:r w:rsidRPr="00C860BA">
        <w:rPr>
          <w:sz w:val="24"/>
          <w:szCs w:val="24"/>
          <w:u w:val="single"/>
        </w:rPr>
        <w:t xml:space="preserve">, </w:t>
      </w:r>
      <w:proofErr w:type="spellStart"/>
      <w:r w:rsidRPr="00C860BA">
        <w:rPr>
          <w:sz w:val="24"/>
          <w:szCs w:val="24"/>
          <w:u w:val="single"/>
        </w:rPr>
        <w:t>phenytoin</w:t>
      </w:r>
      <w:proofErr w:type="spellEnd"/>
      <w:r w:rsidRPr="00C860BA">
        <w:rPr>
          <w:sz w:val="24"/>
          <w:szCs w:val="24"/>
          <w:u w:val="single"/>
        </w:rPr>
        <w:t xml:space="preserve">, </w:t>
      </w:r>
      <w:proofErr w:type="spellStart"/>
      <w:r w:rsidRPr="00C860BA">
        <w:rPr>
          <w:sz w:val="24"/>
          <w:szCs w:val="24"/>
          <w:u w:val="single"/>
        </w:rPr>
        <w:t>carbamazepin</w:t>
      </w:r>
      <w:proofErr w:type="spellEnd"/>
      <w:r w:rsidRPr="00C860BA">
        <w:rPr>
          <w:sz w:val="24"/>
          <w:szCs w:val="24"/>
          <w:u w:val="single"/>
        </w:rPr>
        <w:t xml:space="preserve">, </w:t>
      </w:r>
      <w:proofErr w:type="spellStart"/>
      <w:r w:rsidRPr="00C860BA">
        <w:rPr>
          <w:sz w:val="24"/>
          <w:szCs w:val="24"/>
          <w:u w:val="single"/>
        </w:rPr>
        <w:t>efedrin</w:t>
      </w:r>
      <w:proofErr w:type="spellEnd"/>
      <w:r w:rsidRPr="00C860BA">
        <w:rPr>
          <w:sz w:val="24"/>
          <w:szCs w:val="24"/>
          <w:u w:val="single"/>
        </w:rPr>
        <w:t xml:space="preserve">, </w:t>
      </w:r>
      <w:proofErr w:type="spellStart"/>
      <w:r w:rsidRPr="00C860BA">
        <w:rPr>
          <w:sz w:val="24"/>
          <w:szCs w:val="24"/>
          <w:u w:val="single"/>
        </w:rPr>
        <w:t>aminoglutethimid</w:t>
      </w:r>
      <w:proofErr w:type="spellEnd"/>
      <w:r w:rsidRPr="00C860BA">
        <w:rPr>
          <w:sz w:val="24"/>
          <w:szCs w:val="24"/>
          <w:u w:val="single"/>
        </w:rPr>
        <w:t xml:space="preserve">, barbiturater, </w:t>
      </w:r>
      <w:proofErr w:type="spellStart"/>
      <w:r w:rsidRPr="00C860BA">
        <w:rPr>
          <w:sz w:val="24"/>
          <w:szCs w:val="24"/>
          <w:u w:val="single"/>
        </w:rPr>
        <w:t>rifabutin</w:t>
      </w:r>
      <w:proofErr w:type="spellEnd"/>
      <w:r w:rsidRPr="00C860BA">
        <w:rPr>
          <w:sz w:val="24"/>
          <w:szCs w:val="24"/>
          <w:u w:val="single"/>
        </w:rPr>
        <w:t xml:space="preserve"> og </w:t>
      </w:r>
      <w:proofErr w:type="spellStart"/>
      <w:r w:rsidRPr="00C860BA">
        <w:rPr>
          <w:sz w:val="24"/>
          <w:szCs w:val="24"/>
          <w:u w:val="single"/>
        </w:rPr>
        <w:t>primidon</w:t>
      </w:r>
      <w:proofErr w:type="spellEnd"/>
    </w:p>
    <w:p w14:paraId="67C4FC3A" w14:textId="77777777" w:rsidR="00C860BA" w:rsidRPr="00C860BA" w:rsidRDefault="00C860BA" w:rsidP="00C860BA">
      <w:pPr>
        <w:tabs>
          <w:tab w:val="left" w:pos="851"/>
        </w:tabs>
        <w:ind w:left="851"/>
        <w:rPr>
          <w:sz w:val="24"/>
          <w:szCs w:val="24"/>
        </w:rPr>
      </w:pPr>
      <w:r w:rsidRPr="00C860BA">
        <w:rPr>
          <w:sz w:val="24"/>
          <w:szCs w:val="24"/>
        </w:rPr>
        <w:t xml:space="preserve">Disse lægemidler kan øge den metaboliske </w:t>
      </w:r>
      <w:proofErr w:type="spellStart"/>
      <w:r w:rsidRPr="00C860BA">
        <w:rPr>
          <w:sz w:val="24"/>
          <w:szCs w:val="24"/>
        </w:rPr>
        <w:t>clearance</w:t>
      </w:r>
      <w:proofErr w:type="spellEnd"/>
      <w:r w:rsidRPr="00C860BA">
        <w:rPr>
          <w:sz w:val="24"/>
          <w:szCs w:val="24"/>
        </w:rPr>
        <w:t xml:space="preserve"> af </w:t>
      </w:r>
      <w:proofErr w:type="spellStart"/>
      <w:r w:rsidRPr="00C860BA">
        <w:rPr>
          <w:sz w:val="24"/>
          <w:szCs w:val="24"/>
        </w:rPr>
        <w:t>kortikosteroider</w:t>
      </w:r>
      <w:proofErr w:type="spellEnd"/>
      <w:r w:rsidRPr="00C860BA">
        <w:rPr>
          <w:sz w:val="24"/>
          <w:szCs w:val="24"/>
        </w:rPr>
        <w:t xml:space="preserve">, hvilket resulterer i nedsat koncentration i blodet og reduceret farmakologisk virkning. Dette kan nødvendiggøre en forøgelse af </w:t>
      </w:r>
      <w:proofErr w:type="spellStart"/>
      <w:r w:rsidRPr="00C860BA">
        <w:rPr>
          <w:sz w:val="24"/>
          <w:szCs w:val="24"/>
        </w:rPr>
        <w:t>dexamethason</w:t>
      </w:r>
      <w:proofErr w:type="spellEnd"/>
      <w:r w:rsidRPr="00C860BA">
        <w:rPr>
          <w:sz w:val="24"/>
          <w:szCs w:val="24"/>
        </w:rPr>
        <w:t xml:space="preserve">-dosis. Disse interaktioner kan påvirke </w:t>
      </w:r>
      <w:proofErr w:type="spellStart"/>
      <w:r w:rsidRPr="00C860BA">
        <w:rPr>
          <w:sz w:val="24"/>
          <w:szCs w:val="24"/>
        </w:rPr>
        <w:t>dexamethason</w:t>
      </w:r>
      <w:proofErr w:type="spellEnd"/>
      <w:r w:rsidRPr="00C860BA">
        <w:rPr>
          <w:sz w:val="24"/>
          <w:szCs w:val="24"/>
        </w:rPr>
        <w:t>-suppressionstesten, som bør tolkes med forsigtighed ved administration af disse lægemidler.</w:t>
      </w:r>
    </w:p>
    <w:p w14:paraId="0B0D23F3" w14:textId="77777777" w:rsidR="00C860BA" w:rsidRPr="00C860BA" w:rsidRDefault="00C860BA" w:rsidP="00C860BA">
      <w:pPr>
        <w:tabs>
          <w:tab w:val="left" w:pos="851"/>
        </w:tabs>
        <w:ind w:left="851"/>
        <w:rPr>
          <w:sz w:val="24"/>
          <w:szCs w:val="24"/>
        </w:rPr>
      </w:pPr>
    </w:p>
    <w:p w14:paraId="1228E3D1" w14:textId="77777777" w:rsidR="00C860BA" w:rsidRPr="00C860BA" w:rsidRDefault="00C860BA" w:rsidP="00C860BA">
      <w:pPr>
        <w:tabs>
          <w:tab w:val="left" w:pos="851"/>
        </w:tabs>
        <w:ind w:left="851"/>
        <w:rPr>
          <w:sz w:val="24"/>
          <w:szCs w:val="24"/>
          <w:u w:val="single"/>
        </w:rPr>
      </w:pPr>
      <w:r w:rsidRPr="00C860BA">
        <w:rPr>
          <w:sz w:val="24"/>
          <w:szCs w:val="24"/>
          <w:u w:val="single"/>
        </w:rPr>
        <w:t xml:space="preserve">CYP3A4-hæmmere såsom </w:t>
      </w:r>
      <w:proofErr w:type="spellStart"/>
      <w:r w:rsidRPr="00C860BA">
        <w:rPr>
          <w:sz w:val="24"/>
          <w:szCs w:val="24"/>
          <w:u w:val="single"/>
        </w:rPr>
        <w:t>ketoconazol</w:t>
      </w:r>
      <w:proofErr w:type="spellEnd"/>
      <w:r w:rsidRPr="00C860BA">
        <w:rPr>
          <w:sz w:val="24"/>
          <w:szCs w:val="24"/>
          <w:u w:val="single"/>
        </w:rPr>
        <w:t xml:space="preserve"> og </w:t>
      </w:r>
      <w:proofErr w:type="spellStart"/>
      <w:r w:rsidRPr="00C860BA">
        <w:rPr>
          <w:sz w:val="24"/>
          <w:szCs w:val="24"/>
          <w:u w:val="single"/>
        </w:rPr>
        <w:t>itraconazol</w:t>
      </w:r>
      <w:proofErr w:type="spellEnd"/>
    </w:p>
    <w:p w14:paraId="45B887CA" w14:textId="77777777" w:rsidR="00C860BA" w:rsidRPr="00C860BA" w:rsidRDefault="00C860BA" w:rsidP="00C860BA">
      <w:pPr>
        <w:tabs>
          <w:tab w:val="left" w:pos="851"/>
        </w:tabs>
        <w:ind w:left="851"/>
        <w:rPr>
          <w:sz w:val="24"/>
          <w:szCs w:val="24"/>
        </w:rPr>
      </w:pPr>
      <w:r w:rsidRPr="00C860BA">
        <w:rPr>
          <w:sz w:val="24"/>
          <w:szCs w:val="24"/>
        </w:rPr>
        <w:t xml:space="preserve">Disse lægemidler kan nedsætte metabolismen af </w:t>
      </w:r>
      <w:proofErr w:type="spellStart"/>
      <w:r w:rsidRPr="00C860BA">
        <w:rPr>
          <w:sz w:val="24"/>
          <w:szCs w:val="24"/>
        </w:rPr>
        <w:t>kortikosteroider</w:t>
      </w:r>
      <w:proofErr w:type="spellEnd"/>
      <w:r w:rsidRPr="00C860BA">
        <w:rPr>
          <w:sz w:val="24"/>
          <w:szCs w:val="24"/>
        </w:rPr>
        <w:t xml:space="preserve"> og dermed øge plasmakoncentrationen af </w:t>
      </w:r>
      <w:proofErr w:type="spellStart"/>
      <w:r w:rsidRPr="00C860BA">
        <w:rPr>
          <w:sz w:val="24"/>
          <w:szCs w:val="24"/>
        </w:rPr>
        <w:t>dexamethason</w:t>
      </w:r>
      <w:proofErr w:type="spellEnd"/>
      <w:r w:rsidRPr="00C860BA">
        <w:rPr>
          <w:sz w:val="24"/>
          <w:szCs w:val="24"/>
        </w:rPr>
        <w:t>.</w:t>
      </w:r>
    </w:p>
    <w:p w14:paraId="533E396E" w14:textId="77777777" w:rsidR="00C860BA" w:rsidRPr="00C860BA" w:rsidRDefault="00C860BA" w:rsidP="00C860BA">
      <w:pPr>
        <w:tabs>
          <w:tab w:val="left" w:pos="851"/>
        </w:tabs>
        <w:ind w:left="851"/>
        <w:rPr>
          <w:sz w:val="24"/>
          <w:szCs w:val="24"/>
        </w:rPr>
      </w:pPr>
    </w:p>
    <w:p w14:paraId="152E2421" w14:textId="77777777" w:rsidR="00C860BA" w:rsidRPr="00C860BA" w:rsidRDefault="00C860BA" w:rsidP="00C860BA">
      <w:pPr>
        <w:tabs>
          <w:tab w:val="left" w:pos="851"/>
        </w:tabs>
        <w:ind w:left="851"/>
        <w:rPr>
          <w:sz w:val="24"/>
          <w:szCs w:val="24"/>
          <w:u w:val="single"/>
        </w:rPr>
      </w:pPr>
      <w:r w:rsidRPr="00C860BA">
        <w:rPr>
          <w:sz w:val="24"/>
          <w:szCs w:val="24"/>
          <w:u w:val="single"/>
        </w:rPr>
        <w:t>Non-</w:t>
      </w:r>
      <w:proofErr w:type="spellStart"/>
      <w:r w:rsidRPr="00C860BA">
        <w:rPr>
          <w:sz w:val="24"/>
          <w:szCs w:val="24"/>
          <w:u w:val="single"/>
        </w:rPr>
        <w:t>steroide</w:t>
      </w:r>
      <w:proofErr w:type="spellEnd"/>
      <w:r w:rsidRPr="00C860BA">
        <w:rPr>
          <w:sz w:val="24"/>
          <w:szCs w:val="24"/>
          <w:u w:val="single"/>
        </w:rPr>
        <w:t xml:space="preserve"> antiinflammatoriske lægemidler (NSAID), acetylsalicylsyre og andre </w:t>
      </w:r>
      <w:proofErr w:type="spellStart"/>
      <w:r w:rsidRPr="00C860BA">
        <w:rPr>
          <w:sz w:val="24"/>
          <w:szCs w:val="24"/>
          <w:u w:val="single"/>
        </w:rPr>
        <w:t>salicylater</w:t>
      </w:r>
      <w:proofErr w:type="spellEnd"/>
    </w:p>
    <w:p w14:paraId="262CC06F" w14:textId="77777777" w:rsidR="00C860BA" w:rsidRPr="00C860BA" w:rsidRDefault="00C860BA" w:rsidP="00C860BA">
      <w:pPr>
        <w:tabs>
          <w:tab w:val="left" w:pos="851"/>
        </w:tabs>
        <w:ind w:left="851"/>
        <w:rPr>
          <w:sz w:val="24"/>
          <w:szCs w:val="24"/>
        </w:rPr>
      </w:pPr>
      <w:r w:rsidRPr="00C860BA">
        <w:rPr>
          <w:sz w:val="24"/>
          <w:szCs w:val="24"/>
        </w:rPr>
        <w:t xml:space="preserve">Risikoen for </w:t>
      </w:r>
      <w:proofErr w:type="spellStart"/>
      <w:r w:rsidRPr="00C860BA">
        <w:rPr>
          <w:sz w:val="24"/>
          <w:szCs w:val="24"/>
        </w:rPr>
        <w:t>gastrointestinale</w:t>
      </w:r>
      <w:proofErr w:type="spellEnd"/>
      <w:r w:rsidRPr="00C860BA">
        <w:rPr>
          <w:sz w:val="24"/>
          <w:szCs w:val="24"/>
        </w:rPr>
        <w:t xml:space="preserve"> bivirkninger, såsom mavesår eller blødning, kan være øget ved samtidig brug af </w:t>
      </w:r>
      <w:proofErr w:type="spellStart"/>
      <w:r w:rsidRPr="00C860BA">
        <w:rPr>
          <w:sz w:val="24"/>
          <w:szCs w:val="24"/>
        </w:rPr>
        <w:t>dexamethason</w:t>
      </w:r>
      <w:proofErr w:type="spellEnd"/>
      <w:r w:rsidRPr="00C860BA">
        <w:rPr>
          <w:sz w:val="24"/>
          <w:szCs w:val="24"/>
        </w:rPr>
        <w:t>.</w:t>
      </w:r>
    </w:p>
    <w:p w14:paraId="1DDF2FE1" w14:textId="77777777" w:rsidR="00C860BA" w:rsidRPr="00C860BA" w:rsidRDefault="00C860BA" w:rsidP="00C860BA">
      <w:pPr>
        <w:tabs>
          <w:tab w:val="left" w:pos="851"/>
        </w:tabs>
        <w:ind w:left="851"/>
        <w:rPr>
          <w:sz w:val="24"/>
          <w:szCs w:val="24"/>
        </w:rPr>
      </w:pPr>
      <w:proofErr w:type="spellStart"/>
      <w:r w:rsidRPr="00C860BA">
        <w:rPr>
          <w:sz w:val="24"/>
          <w:szCs w:val="24"/>
        </w:rPr>
        <w:t>Dexamethason</w:t>
      </w:r>
      <w:proofErr w:type="spellEnd"/>
      <w:r w:rsidRPr="00C860BA">
        <w:rPr>
          <w:sz w:val="24"/>
          <w:szCs w:val="24"/>
        </w:rPr>
        <w:t xml:space="preserve"> øger </w:t>
      </w:r>
      <w:proofErr w:type="spellStart"/>
      <w:r w:rsidRPr="00C860BA">
        <w:rPr>
          <w:sz w:val="24"/>
          <w:szCs w:val="24"/>
        </w:rPr>
        <w:t>salicylat-clearance</w:t>
      </w:r>
      <w:proofErr w:type="spellEnd"/>
      <w:r w:rsidRPr="00C860BA">
        <w:rPr>
          <w:sz w:val="24"/>
          <w:szCs w:val="24"/>
        </w:rPr>
        <w:t xml:space="preserve">, og </w:t>
      </w:r>
      <w:proofErr w:type="spellStart"/>
      <w:r w:rsidRPr="00C860BA">
        <w:rPr>
          <w:sz w:val="24"/>
          <w:szCs w:val="24"/>
        </w:rPr>
        <w:t>salicylat</w:t>
      </w:r>
      <w:proofErr w:type="spellEnd"/>
      <w:r w:rsidRPr="00C860BA">
        <w:rPr>
          <w:sz w:val="24"/>
          <w:szCs w:val="24"/>
        </w:rPr>
        <w:t xml:space="preserve">-dosis bør reduceres sideløbende med </w:t>
      </w:r>
      <w:proofErr w:type="spellStart"/>
      <w:r w:rsidRPr="00C860BA">
        <w:rPr>
          <w:sz w:val="24"/>
          <w:szCs w:val="24"/>
        </w:rPr>
        <w:t>seponering</w:t>
      </w:r>
      <w:proofErr w:type="spellEnd"/>
      <w:r w:rsidRPr="00C860BA">
        <w:rPr>
          <w:sz w:val="24"/>
          <w:szCs w:val="24"/>
        </w:rPr>
        <w:t xml:space="preserve"> af behandling med steroider.</w:t>
      </w:r>
    </w:p>
    <w:p w14:paraId="163C7E24" w14:textId="77777777" w:rsidR="00C860BA" w:rsidRPr="00C860BA" w:rsidRDefault="00C860BA" w:rsidP="00C860BA">
      <w:pPr>
        <w:tabs>
          <w:tab w:val="left" w:pos="851"/>
        </w:tabs>
        <w:ind w:left="851"/>
        <w:rPr>
          <w:sz w:val="24"/>
          <w:szCs w:val="24"/>
        </w:rPr>
      </w:pPr>
    </w:p>
    <w:p w14:paraId="29BFF5C9" w14:textId="77777777" w:rsidR="00C860BA" w:rsidRPr="00C860BA" w:rsidRDefault="00C860BA" w:rsidP="00C860BA">
      <w:pPr>
        <w:tabs>
          <w:tab w:val="left" w:pos="851"/>
        </w:tabs>
        <w:ind w:left="851"/>
        <w:rPr>
          <w:sz w:val="24"/>
          <w:szCs w:val="24"/>
        </w:rPr>
      </w:pPr>
      <w:r w:rsidRPr="00C860BA">
        <w:rPr>
          <w:sz w:val="24"/>
          <w:szCs w:val="24"/>
        </w:rPr>
        <w:lastRenderedPageBreak/>
        <w:t xml:space="preserve">Falsk negative resultater er blevet rapporteret i </w:t>
      </w:r>
      <w:proofErr w:type="spellStart"/>
      <w:r w:rsidRPr="00C860BA">
        <w:rPr>
          <w:sz w:val="24"/>
          <w:szCs w:val="24"/>
        </w:rPr>
        <w:t>dexamethason</w:t>
      </w:r>
      <w:proofErr w:type="spellEnd"/>
      <w:r w:rsidRPr="00C860BA">
        <w:rPr>
          <w:sz w:val="24"/>
          <w:szCs w:val="24"/>
        </w:rPr>
        <w:t xml:space="preserve"> suppressionstest hos patienter behandlet med </w:t>
      </w:r>
      <w:proofErr w:type="spellStart"/>
      <w:r w:rsidRPr="00C860BA">
        <w:rPr>
          <w:sz w:val="24"/>
          <w:szCs w:val="24"/>
        </w:rPr>
        <w:t>indomethacin</w:t>
      </w:r>
      <w:proofErr w:type="spellEnd"/>
      <w:r w:rsidRPr="00C860BA">
        <w:rPr>
          <w:sz w:val="24"/>
          <w:szCs w:val="24"/>
        </w:rPr>
        <w:t>. Disse resultater bør derfor fortolkes med forsigtighed.</w:t>
      </w:r>
    </w:p>
    <w:p w14:paraId="4444D72B" w14:textId="77777777" w:rsidR="00C860BA" w:rsidRPr="00C860BA" w:rsidRDefault="00C860BA" w:rsidP="00C860BA">
      <w:pPr>
        <w:tabs>
          <w:tab w:val="left" w:pos="851"/>
        </w:tabs>
        <w:ind w:left="851"/>
        <w:rPr>
          <w:sz w:val="24"/>
          <w:szCs w:val="24"/>
        </w:rPr>
      </w:pPr>
    </w:p>
    <w:p w14:paraId="1FFF5A79" w14:textId="77777777" w:rsidR="00C860BA" w:rsidRPr="00C860BA" w:rsidRDefault="00C860BA" w:rsidP="00C860BA">
      <w:pPr>
        <w:tabs>
          <w:tab w:val="left" w:pos="851"/>
        </w:tabs>
        <w:ind w:left="851"/>
        <w:rPr>
          <w:sz w:val="24"/>
          <w:szCs w:val="24"/>
          <w:u w:val="single"/>
        </w:rPr>
      </w:pPr>
      <w:proofErr w:type="spellStart"/>
      <w:r w:rsidRPr="00C860BA">
        <w:rPr>
          <w:sz w:val="24"/>
          <w:szCs w:val="24"/>
          <w:u w:val="single"/>
        </w:rPr>
        <w:t>Coumarin</w:t>
      </w:r>
      <w:proofErr w:type="spellEnd"/>
      <w:r w:rsidRPr="00C860BA">
        <w:rPr>
          <w:sz w:val="24"/>
          <w:szCs w:val="24"/>
          <w:u w:val="single"/>
        </w:rPr>
        <w:t xml:space="preserve"> </w:t>
      </w:r>
      <w:proofErr w:type="spellStart"/>
      <w:r w:rsidRPr="00C860BA">
        <w:rPr>
          <w:sz w:val="24"/>
          <w:szCs w:val="24"/>
          <w:u w:val="single"/>
        </w:rPr>
        <w:t>antikoagulantia</w:t>
      </w:r>
      <w:proofErr w:type="spellEnd"/>
    </w:p>
    <w:p w14:paraId="223EA33C" w14:textId="77777777" w:rsidR="00C860BA" w:rsidRPr="00C860BA" w:rsidRDefault="00C860BA" w:rsidP="00C860BA">
      <w:pPr>
        <w:tabs>
          <w:tab w:val="left" w:pos="851"/>
        </w:tabs>
        <w:ind w:left="851"/>
        <w:rPr>
          <w:sz w:val="24"/>
          <w:szCs w:val="24"/>
        </w:rPr>
      </w:pPr>
      <w:r w:rsidRPr="00C860BA">
        <w:rPr>
          <w:sz w:val="24"/>
          <w:szCs w:val="24"/>
        </w:rPr>
        <w:t xml:space="preserve">Samtidig behandling med </w:t>
      </w:r>
      <w:proofErr w:type="spellStart"/>
      <w:r w:rsidRPr="00C860BA">
        <w:rPr>
          <w:sz w:val="24"/>
          <w:szCs w:val="24"/>
        </w:rPr>
        <w:t>kortikosteroid</w:t>
      </w:r>
      <w:proofErr w:type="spellEnd"/>
      <w:r w:rsidRPr="00C860BA">
        <w:rPr>
          <w:sz w:val="24"/>
          <w:szCs w:val="24"/>
        </w:rPr>
        <w:t xml:space="preserve"> kan påvirke virkningen af orale </w:t>
      </w:r>
      <w:proofErr w:type="spellStart"/>
      <w:r w:rsidRPr="00C860BA">
        <w:rPr>
          <w:sz w:val="24"/>
          <w:szCs w:val="24"/>
        </w:rPr>
        <w:t>antikoagulantia</w:t>
      </w:r>
      <w:proofErr w:type="spellEnd"/>
      <w:r w:rsidRPr="00C860BA">
        <w:rPr>
          <w:sz w:val="24"/>
          <w:szCs w:val="24"/>
        </w:rPr>
        <w:t xml:space="preserve"> og det kan være nødvendigt at justere </w:t>
      </w:r>
      <w:proofErr w:type="spellStart"/>
      <w:r w:rsidRPr="00C860BA">
        <w:rPr>
          <w:sz w:val="24"/>
          <w:szCs w:val="24"/>
        </w:rPr>
        <w:t>antikoagulantia</w:t>
      </w:r>
      <w:proofErr w:type="spellEnd"/>
      <w:r w:rsidRPr="00C860BA">
        <w:rPr>
          <w:sz w:val="24"/>
          <w:szCs w:val="24"/>
        </w:rPr>
        <w:t xml:space="preserve">-dosis. For at undgå spontan blødning, bør </w:t>
      </w:r>
      <w:proofErr w:type="spellStart"/>
      <w:r w:rsidRPr="00C860BA">
        <w:rPr>
          <w:sz w:val="24"/>
          <w:szCs w:val="24"/>
        </w:rPr>
        <w:t>protrombintid</w:t>
      </w:r>
      <w:proofErr w:type="spellEnd"/>
      <w:r w:rsidRPr="00C860BA">
        <w:rPr>
          <w:sz w:val="24"/>
          <w:szCs w:val="24"/>
        </w:rPr>
        <w:t xml:space="preserve"> overvåges hyppigt hos patienter i samtidig behandling med </w:t>
      </w:r>
      <w:proofErr w:type="spellStart"/>
      <w:r w:rsidRPr="00C860BA">
        <w:rPr>
          <w:sz w:val="24"/>
          <w:szCs w:val="24"/>
        </w:rPr>
        <w:t>antikoagulantia</w:t>
      </w:r>
      <w:proofErr w:type="spellEnd"/>
      <w:r w:rsidRPr="00C860BA">
        <w:rPr>
          <w:sz w:val="24"/>
          <w:szCs w:val="24"/>
        </w:rPr>
        <w:t xml:space="preserve"> og </w:t>
      </w:r>
      <w:proofErr w:type="spellStart"/>
      <w:r w:rsidRPr="00C860BA">
        <w:rPr>
          <w:sz w:val="24"/>
          <w:szCs w:val="24"/>
        </w:rPr>
        <w:t>kortikosteroider</w:t>
      </w:r>
      <w:proofErr w:type="spellEnd"/>
      <w:r w:rsidRPr="00C860BA">
        <w:rPr>
          <w:sz w:val="24"/>
          <w:szCs w:val="24"/>
        </w:rPr>
        <w:t>.</w:t>
      </w:r>
    </w:p>
    <w:p w14:paraId="5808EF04" w14:textId="77777777" w:rsidR="00C860BA" w:rsidRPr="00C860BA" w:rsidRDefault="00C860BA" w:rsidP="00C860BA">
      <w:pPr>
        <w:tabs>
          <w:tab w:val="left" w:pos="851"/>
        </w:tabs>
        <w:ind w:left="851"/>
        <w:rPr>
          <w:sz w:val="24"/>
          <w:szCs w:val="24"/>
        </w:rPr>
      </w:pPr>
    </w:p>
    <w:p w14:paraId="69C64B76" w14:textId="77777777" w:rsidR="00C860BA" w:rsidRPr="00C860BA" w:rsidRDefault="00C860BA" w:rsidP="00260EC8">
      <w:pPr>
        <w:keepNext/>
        <w:tabs>
          <w:tab w:val="left" w:pos="851"/>
        </w:tabs>
        <w:ind w:left="851"/>
        <w:rPr>
          <w:sz w:val="24"/>
          <w:szCs w:val="24"/>
          <w:u w:val="single"/>
        </w:rPr>
      </w:pPr>
      <w:r w:rsidRPr="00C860BA">
        <w:rPr>
          <w:sz w:val="24"/>
          <w:szCs w:val="24"/>
          <w:u w:val="single"/>
        </w:rPr>
        <w:t xml:space="preserve">Ikke-kaliumbesparende </w:t>
      </w:r>
      <w:proofErr w:type="spellStart"/>
      <w:r w:rsidRPr="00C860BA">
        <w:rPr>
          <w:sz w:val="24"/>
          <w:szCs w:val="24"/>
          <w:u w:val="single"/>
        </w:rPr>
        <w:t>diuretika</w:t>
      </w:r>
      <w:proofErr w:type="spellEnd"/>
    </w:p>
    <w:p w14:paraId="7749D3FE" w14:textId="77777777" w:rsidR="00C860BA" w:rsidRPr="00C860BA" w:rsidRDefault="00C860BA" w:rsidP="00C860BA">
      <w:pPr>
        <w:tabs>
          <w:tab w:val="left" w:pos="851"/>
        </w:tabs>
        <w:ind w:left="851"/>
        <w:rPr>
          <w:sz w:val="24"/>
          <w:szCs w:val="24"/>
        </w:rPr>
      </w:pPr>
      <w:r w:rsidRPr="00C860BA">
        <w:rPr>
          <w:sz w:val="24"/>
          <w:szCs w:val="24"/>
        </w:rPr>
        <w:t xml:space="preserve">Når </w:t>
      </w:r>
      <w:proofErr w:type="spellStart"/>
      <w:r w:rsidRPr="00C860BA">
        <w:rPr>
          <w:sz w:val="24"/>
          <w:szCs w:val="24"/>
        </w:rPr>
        <w:t>kortikosteroider</w:t>
      </w:r>
      <w:proofErr w:type="spellEnd"/>
      <w:r w:rsidRPr="00C860BA">
        <w:rPr>
          <w:sz w:val="24"/>
          <w:szCs w:val="24"/>
        </w:rPr>
        <w:t xml:space="preserve"> administreres samtidig med ikke-kaliumbesparende </w:t>
      </w:r>
      <w:proofErr w:type="spellStart"/>
      <w:r w:rsidRPr="00C860BA">
        <w:rPr>
          <w:sz w:val="24"/>
          <w:szCs w:val="24"/>
        </w:rPr>
        <w:t>diuretika</w:t>
      </w:r>
      <w:proofErr w:type="spellEnd"/>
      <w:r w:rsidRPr="00C860BA">
        <w:rPr>
          <w:sz w:val="24"/>
          <w:szCs w:val="24"/>
        </w:rPr>
        <w:t xml:space="preserve">, bør patienterne overvåges nøje for at undgå udvikling af </w:t>
      </w:r>
      <w:proofErr w:type="spellStart"/>
      <w:r w:rsidRPr="00C860BA">
        <w:rPr>
          <w:sz w:val="24"/>
          <w:szCs w:val="24"/>
        </w:rPr>
        <w:t>hypokaliæmi</w:t>
      </w:r>
      <w:proofErr w:type="spellEnd"/>
      <w:r w:rsidRPr="00C860BA">
        <w:rPr>
          <w:sz w:val="24"/>
          <w:szCs w:val="24"/>
        </w:rPr>
        <w:t>.</w:t>
      </w:r>
    </w:p>
    <w:p w14:paraId="6656A737" w14:textId="77777777" w:rsidR="00C860BA" w:rsidRPr="00C860BA" w:rsidRDefault="00C860BA" w:rsidP="00C860BA">
      <w:pPr>
        <w:tabs>
          <w:tab w:val="left" w:pos="851"/>
        </w:tabs>
        <w:ind w:left="851"/>
        <w:rPr>
          <w:sz w:val="24"/>
          <w:szCs w:val="24"/>
        </w:rPr>
      </w:pPr>
    </w:p>
    <w:p w14:paraId="2559D135" w14:textId="77777777" w:rsidR="00C860BA" w:rsidRPr="00C860BA" w:rsidRDefault="00C860BA" w:rsidP="00C860BA">
      <w:pPr>
        <w:tabs>
          <w:tab w:val="left" w:pos="851"/>
        </w:tabs>
        <w:ind w:left="851"/>
        <w:rPr>
          <w:sz w:val="24"/>
          <w:szCs w:val="24"/>
          <w:u w:val="single"/>
        </w:rPr>
      </w:pPr>
      <w:proofErr w:type="spellStart"/>
      <w:r w:rsidRPr="00C860BA">
        <w:rPr>
          <w:sz w:val="24"/>
          <w:szCs w:val="24"/>
          <w:u w:val="single"/>
        </w:rPr>
        <w:t>Antidiabetika</w:t>
      </w:r>
      <w:proofErr w:type="spellEnd"/>
    </w:p>
    <w:p w14:paraId="01BBAB22" w14:textId="77777777" w:rsidR="00C860BA" w:rsidRPr="00C860BA" w:rsidRDefault="00C860BA" w:rsidP="00C860BA">
      <w:pPr>
        <w:tabs>
          <w:tab w:val="left" w:pos="851"/>
        </w:tabs>
        <w:ind w:left="851"/>
        <w:rPr>
          <w:sz w:val="24"/>
          <w:szCs w:val="24"/>
        </w:rPr>
      </w:pPr>
      <w:proofErr w:type="spellStart"/>
      <w:r w:rsidRPr="00C860BA">
        <w:rPr>
          <w:sz w:val="24"/>
          <w:szCs w:val="24"/>
        </w:rPr>
        <w:t>Kortikosteroider</w:t>
      </w:r>
      <w:proofErr w:type="spellEnd"/>
      <w:r w:rsidRPr="00C860BA">
        <w:rPr>
          <w:sz w:val="24"/>
          <w:szCs w:val="24"/>
        </w:rPr>
        <w:t xml:space="preserve"> kan øge </w:t>
      </w:r>
      <w:proofErr w:type="spellStart"/>
      <w:r w:rsidRPr="00C860BA">
        <w:rPr>
          <w:sz w:val="24"/>
          <w:szCs w:val="24"/>
        </w:rPr>
        <w:t>blodglucose</w:t>
      </w:r>
      <w:proofErr w:type="spellEnd"/>
      <w:r w:rsidRPr="00C860BA">
        <w:rPr>
          <w:sz w:val="24"/>
          <w:szCs w:val="24"/>
        </w:rPr>
        <w:t xml:space="preserve">-niveauet. Det kan være nødvendigt at justere dosis af oral </w:t>
      </w:r>
      <w:proofErr w:type="spellStart"/>
      <w:r w:rsidRPr="00C860BA">
        <w:rPr>
          <w:sz w:val="24"/>
          <w:szCs w:val="24"/>
        </w:rPr>
        <w:t>antidiabetika</w:t>
      </w:r>
      <w:proofErr w:type="spellEnd"/>
      <w:r w:rsidRPr="00C860BA">
        <w:rPr>
          <w:sz w:val="24"/>
          <w:szCs w:val="24"/>
        </w:rPr>
        <w:t xml:space="preserve">, insulin eller </w:t>
      </w:r>
      <w:proofErr w:type="spellStart"/>
      <w:r w:rsidRPr="00C860BA">
        <w:rPr>
          <w:sz w:val="24"/>
          <w:szCs w:val="24"/>
        </w:rPr>
        <w:t>glukokortikoider</w:t>
      </w:r>
      <w:proofErr w:type="spellEnd"/>
      <w:r w:rsidRPr="00C860BA">
        <w:rPr>
          <w:sz w:val="24"/>
          <w:szCs w:val="24"/>
        </w:rPr>
        <w:t>, ved samtidig administration af disse lægemidler.</w:t>
      </w:r>
    </w:p>
    <w:p w14:paraId="17A0F8C4" w14:textId="77777777" w:rsidR="00C860BA" w:rsidRPr="00C860BA" w:rsidRDefault="00C860BA" w:rsidP="00C860BA">
      <w:pPr>
        <w:tabs>
          <w:tab w:val="left" w:pos="851"/>
        </w:tabs>
        <w:ind w:left="851"/>
        <w:rPr>
          <w:sz w:val="24"/>
          <w:szCs w:val="24"/>
        </w:rPr>
      </w:pPr>
    </w:p>
    <w:p w14:paraId="157440A3" w14:textId="77777777" w:rsidR="00C860BA" w:rsidRPr="00C860BA" w:rsidRDefault="00C860BA" w:rsidP="00C860BA">
      <w:pPr>
        <w:tabs>
          <w:tab w:val="left" w:pos="851"/>
        </w:tabs>
        <w:ind w:left="851"/>
        <w:rPr>
          <w:sz w:val="24"/>
          <w:szCs w:val="24"/>
          <w:u w:val="single"/>
        </w:rPr>
      </w:pPr>
      <w:r w:rsidRPr="00C860BA">
        <w:rPr>
          <w:sz w:val="24"/>
          <w:szCs w:val="24"/>
          <w:u w:val="single"/>
        </w:rPr>
        <w:t>Hjerteglykosider</w:t>
      </w:r>
    </w:p>
    <w:p w14:paraId="27E077FF" w14:textId="77777777" w:rsidR="00C860BA" w:rsidRPr="00C860BA" w:rsidRDefault="00C860BA" w:rsidP="00C860BA">
      <w:pPr>
        <w:tabs>
          <w:tab w:val="left" w:pos="851"/>
        </w:tabs>
        <w:ind w:left="851"/>
        <w:rPr>
          <w:sz w:val="24"/>
          <w:szCs w:val="24"/>
        </w:rPr>
      </w:pPr>
      <w:r w:rsidRPr="00C860BA">
        <w:rPr>
          <w:sz w:val="24"/>
          <w:szCs w:val="24"/>
        </w:rPr>
        <w:t xml:space="preserve">Patienter, der får behandling med </w:t>
      </w:r>
      <w:proofErr w:type="spellStart"/>
      <w:r w:rsidRPr="00C860BA">
        <w:rPr>
          <w:sz w:val="24"/>
          <w:szCs w:val="24"/>
        </w:rPr>
        <w:t>dexamethason</w:t>
      </w:r>
      <w:proofErr w:type="spellEnd"/>
      <w:r w:rsidRPr="00C860BA">
        <w:rPr>
          <w:sz w:val="24"/>
          <w:szCs w:val="24"/>
        </w:rPr>
        <w:t xml:space="preserve"> og hjerteglykosider, skal overvåges nøje, da disse patienter kan have øget risiko for </w:t>
      </w:r>
      <w:proofErr w:type="spellStart"/>
      <w:r w:rsidRPr="00C860BA">
        <w:rPr>
          <w:sz w:val="24"/>
          <w:szCs w:val="24"/>
        </w:rPr>
        <w:t>arytmi</w:t>
      </w:r>
      <w:proofErr w:type="spellEnd"/>
      <w:r w:rsidRPr="00C860BA">
        <w:rPr>
          <w:sz w:val="24"/>
          <w:szCs w:val="24"/>
        </w:rPr>
        <w:t xml:space="preserve"> forårsaget af </w:t>
      </w:r>
      <w:proofErr w:type="spellStart"/>
      <w:r w:rsidRPr="00C860BA">
        <w:rPr>
          <w:sz w:val="24"/>
          <w:szCs w:val="24"/>
        </w:rPr>
        <w:t>hypokaliæmi</w:t>
      </w:r>
      <w:proofErr w:type="spellEnd"/>
      <w:r w:rsidRPr="00C860BA">
        <w:rPr>
          <w:sz w:val="24"/>
          <w:szCs w:val="24"/>
        </w:rPr>
        <w:t>.</w:t>
      </w:r>
    </w:p>
    <w:p w14:paraId="69682FC0" w14:textId="77777777" w:rsidR="00C860BA" w:rsidRPr="00C860BA" w:rsidRDefault="00C860BA" w:rsidP="00C860BA">
      <w:pPr>
        <w:tabs>
          <w:tab w:val="left" w:pos="851"/>
        </w:tabs>
        <w:ind w:left="851"/>
        <w:rPr>
          <w:sz w:val="24"/>
          <w:szCs w:val="24"/>
        </w:rPr>
      </w:pPr>
    </w:p>
    <w:p w14:paraId="5CFCC8D7" w14:textId="77777777" w:rsidR="00C860BA" w:rsidRPr="00C860BA" w:rsidRDefault="00C860BA" w:rsidP="00C860BA">
      <w:pPr>
        <w:tabs>
          <w:tab w:val="left" w:pos="851"/>
        </w:tabs>
        <w:ind w:left="851"/>
        <w:rPr>
          <w:sz w:val="24"/>
          <w:szCs w:val="24"/>
          <w:u w:val="single"/>
        </w:rPr>
      </w:pPr>
      <w:r w:rsidRPr="00C860BA">
        <w:rPr>
          <w:sz w:val="24"/>
          <w:szCs w:val="24"/>
          <w:u w:val="single"/>
        </w:rPr>
        <w:t>Østrogener</w:t>
      </w:r>
    </w:p>
    <w:p w14:paraId="68B1D61E" w14:textId="77777777" w:rsidR="00C860BA" w:rsidRPr="00C860BA" w:rsidRDefault="00C860BA" w:rsidP="00C860BA">
      <w:pPr>
        <w:tabs>
          <w:tab w:val="left" w:pos="851"/>
        </w:tabs>
        <w:ind w:left="851"/>
        <w:rPr>
          <w:sz w:val="24"/>
          <w:szCs w:val="24"/>
        </w:rPr>
      </w:pPr>
      <w:r w:rsidRPr="00C860BA">
        <w:rPr>
          <w:sz w:val="24"/>
          <w:szCs w:val="24"/>
        </w:rPr>
        <w:t xml:space="preserve">Østrogener kan hæmme metabolismen af </w:t>
      </w:r>
      <w:proofErr w:type="spellStart"/>
      <w:r w:rsidRPr="00C860BA">
        <w:rPr>
          <w:sz w:val="24"/>
          <w:szCs w:val="24"/>
        </w:rPr>
        <w:t>dexamethason</w:t>
      </w:r>
      <w:proofErr w:type="spellEnd"/>
      <w:r w:rsidRPr="00C860BA">
        <w:rPr>
          <w:sz w:val="24"/>
          <w:szCs w:val="24"/>
        </w:rPr>
        <w:t xml:space="preserve"> og derved forstærke dets virkning.</w:t>
      </w:r>
    </w:p>
    <w:p w14:paraId="097019F7" w14:textId="77777777" w:rsidR="00C860BA" w:rsidRPr="00C860BA" w:rsidRDefault="00C860BA" w:rsidP="00C860BA">
      <w:pPr>
        <w:tabs>
          <w:tab w:val="left" w:pos="851"/>
        </w:tabs>
        <w:ind w:left="851"/>
        <w:rPr>
          <w:sz w:val="24"/>
          <w:szCs w:val="24"/>
        </w:rPr>
      </w:pPr>
    </w:p>
    <w:p w14:paraId="2CA0BCC6" w14:textId="77777777" w:rsidR="00C860BA" w:rsidRPr="00C860BA" w:rsidRDefault="00C860BA" w:rsidP="00C860BA">
      <w:pPr>
        <w:tabs>
          <w:tab w:val="left" w:pos="851"/>
        </w:tabs>
        <w:ind w:left="851"/>
        <w:rPr>
          <w:sz w:val="24"/>
          <w:szCs w:val="24"/>
          <w:u w:val="single"/>
        </w:rPr>
      </w:pPr>
      <w:proofErr w:type="spellStart"/>
      <w:r w:rsidRPr="00C860BA">
        <w:rPr>
          <w:sz w:val="24"/>
          <w:szCs w:val="24"/>
          <w:u w:val="single"/>
        </w:rPr>
        <w:t>Isoniazid</w:t>
      </w:r>
      <w:proofErr w:type="spellEnd"/>
    </w:p>
    <w:p w14:paraId="2D76B991" w14:textId="77777777" w:rsidR="00C860BA" w:rsidRPr="00C860BA" w:rsidRDefault="00C860BA" w:rsidP="00C860BA">
      <w:pPr>
        <w:tabs>
          <w:tab w:val="left" w:pos="851"/>
        </w:tabs>
        <w:ind w:left="851"/>
        <w:rPr>
          <w:sz w:val="24"/>
          <w:szCs w:val="24"/>
        </w:rPr>
      </w:pPr>
      <w:proofErr w:type="spellStart"/>
      <w:r w:rsidRPr="00C860BA">
        <w:rPr>
          <w:sz w:val="24"/>
          <w:szCs w:val="24"/>
        </w:rPr>
        <w:t>Isoniazids</w:t>
      </w:r>
      <w:proofErr w:type="spellEnd"/>
      <w:r w:rsidRPr="00C860BA">
        <w:rPr>
          <w:sz w:val="24"/>
          <w:szCs w:val="24"/>
        </w:rPr>
        <w:t xml:space="preserve"> plasmakoncentration kan nedsættes, når det anvendes samtidig med </w:t>
      </w:r>
      <w:proofErr w:type="spellStart"/>
      <w:r w:rsidRPr="00C860BA">
        <w:rPr>
          <w:sz w:val="24"/>
          <w:szCs w:val="24"/>
        </w:rPr>
        <w:t>dexamethason</w:t>
      </w:r>
      <w:proofErr w:type="spellEnd"/>
      <w:r w:rsidRPr="00C860BA">
        <w:rPr>
          <w:sz w:val="24"/>
          <w:szCs w:val="24"/>
        </w:rPr>
        <w:t>.</w:t>
      </w:r>
    </w:p>
    <w:p w14:paraId="3EB9CE03" w14:textId="77777777" w:rsidR="00C860BA" w:rsidRPr="00C860BA" w:rsidRDefault="00C860BA" w:rsidP="00C860BA">
      <w:pPr>
        <w:tabs>
          <w:tab w:val="left" w:pos="851"/>
        </w:tabs>
        <w:ind w:left="851"/>
        <w:rPr>
          <w:sz w:val="24"/>
          <w:szCs w:val="24"/>
        </w:rPr>
      </w:pPr>
    </w:p>
    <w:p w14:paraId="792116DD" w14:textId="77777777" w:rsidR="00C860BA" w:rsidRPr="00C860BA" w:rsidRDefault="00C860BA" w:rsidP="00C860BA">
      <w:pPr>
        <w:tabs>
          <w:tab w:val="left" w:pos="851"/>
        </w:tabs>
        <w:ind w:left="851"/>
        <w:rPr>
          <w:sz w:val="24"/>
          <w:szCs w:val="24"/>
          <w:u w:val="single"/>
        </w:rPr>
      </w:pPr>
      <w:r w:rsidRPr="00C860BA">
        <w:rPr>
          <w:sz w:val="24"/>
          <w:szCs w:val="24"/>
          <w:u w:val="single"/>
        </w:rPr>
        <w:t>Laboratorieværdier</w:t>
      </w:r>
    </w:p>
    <w:p w14:paraId="05770AF5" w14:textId="77777777" w:rsidR="00C860BA" w:rsidRPr="00C860BA" w:rsidRDefault="00C860BA" w:rsidP="00C860BA">
      <w:pPr>
        <w:tabs>
          <w:tab w:val="left" w:pos="851"/>
        </w:tabs>
        <w:ind w:left="851"/>
        <w:rPr>
          <w:sz w:val="24"/>
          <w:szCs w:val="24"/>
        </w:rPr>
      </w:pPr>
      <w:r w:rsidRPr="00C860BA">
        <w:rPr>
          <w:sz w:val="24"/>
          <w:szCs w:val="24"/>
        </w:rPr>
        <w:t>Dette lægemiddel kan ændre følgende laboratorieværdier:</w:t>
      </w:r>
    </w:p>
    <w:p w14:paraId="42EC176B" w14:textId="77777777" w:rsidR="00C860BA" w:rsidRPr="00C860BA" w:rsidRDefault="00C860BA" w:rsidP="005270B9">
      <w:pPr>
        <w:numPr>
          <w:ilvl w:val="0"/>
          <w:numId w:val="6"/>
        </w:numPr>
        <w:tabs>
          <w:tab w:val="left" w:pos="851"/>
        </w:tabs>
        <w:ind w:left="1134" w:hanging="283"/>
        <w:rPr>
          <w:sz w:val="24"/>
          <w:szCs w:val="24"/>
        </w:rPr>
      </w:pPr>
      <w:r w:rsidRPr="00C860BA">
        <w:rPr>
          <w:sz w:val="24"/>
          <w:szCs w:val="24"/>
        </w:rPr>
        <w:t xml:space="preserve">Blod: Forhøjet kolesterol- og </w:t>
      </w:r>
      <w:proofErr w:type="spellStart"/>
      <w:r w:rsidRPr="00C860BA">
        <w:rPr>
          <w:sz w:val="24"/>
          <w:szCs w:val="24"/>
        </w:rPr>
        <w:t>glucose</w:t>
      </w:r>
      <w:proofErr w:type="spellEnd"/>
      <w:r w:rsidRPr="00C860BA">
        <w:rPr>
          <w:sz w:val="24"/>
          <w:szCs w:val="24"/>
        </w:rPr>
        <w:t>-niveau, og reduktion af calcium, kalium og skjoldbruskkirtelhormoner.</w:t>
      </w:r>
    </w:p>
    <w:p w14:paraId="764B4979" w14:textId="77777777" w:rsidR="00C860BA" w:rsidRPr="00C860BA" w:rsidRDefault="00C860BA" w:rsidP="005270B9">
      <w:pPr>
        <w:numPr>
          <w:ilvl w:val="0"/>
          <w:numId w:val="6"/>
        </w:numPr>
        <w:tabs>
          <w:tab w:val="left" w:pos="851"/>
        </w:tabs>
        <w:ind w:left="1134" w:hanging="283"/>
        <w:rPr>
          <w:sz w:val="24"/>
          <w:szCs w:val="24"/>
        </w:rPr>
      </w:pPr>
      <w:r w:rsidRPr="00C860BA">
        <w:rPr>
          <w:sz w:val="24"/>
          <w:szCs w:val="24"/>
        </w:rPr>
        <w:t xml:space="preserve">Urin: Øget </w:t>
      </w:r>
      <w:proofErr w:type="spellStart"/>
      <w:r w:rsidRPr="00C860BA">
        <w:rPr>
          <w:sz w:val="24"/>
          <w:szCs w:val="24"/>
        </w:rPr>
        <w:t>glucose</w:t>
      </w:r>
      <w:proofErr w:type="spellEnd"/>
      <w:r w:rsidRPr="00C860BA">
        <w:rPr>
          <w:sz w:val="24"/>
          <w:szCs w:val="24"/>
        </w:rPr>
        <w:t>.</w:t>
      </w:r>
    </w:p>
    <w:p w14:paraId="414E8C7C" w14:textId="77777777" w:rsidR="00C860BA" w:rsidRPr="00C860BA" w:rsidRDefault="00C860BA" w:rsidP="005270B9">
      <w:pPr>
        <w:numPr>
          <w:ilvl w:val="0"/>
          <w:numId w:val="6"/>
        </w:numPr>
        <w:tabs>
          <w:tab w:val="left" w:pos="851"/>
        </w:tabs>
        <w:ind w:left="1134" w:hanging="283"/>
        <w:rPr>
          <w:sz w:val="24"/>
          <w:szCs w:val="24"/>
        </w:rPr>
      </w:pPr>
      <w:r w:rsidRPr="00C860BA">
        <w:rPr>
          <w:sz w:val="24"/>
          <w:szCs w:val="24"/>
        </w:rPr>
        <w:t>Hudtest: Tuberkulintest og allergi-priktest.</w:t>
      </w:r>
    </w:p>
    <w:p w14:paraId="7D704FAE" w14:textId="77777777" w:rsidR="00C860BA" w:rsidRPr="00C860BA" w:rsidRDefault="00C860BA" w:rsidP="00C860BA">
      <w:pPr>
        <w:tabs>
          <w:tab w:val="left" w:pos="851"/>
        </w:tabs>
        <w:ind w:left="851"/>
        <w:rPr>
          <w:sz w:val="24"/>
          <w:szCs w:val="24"/>
        </w:rPr>
      </w:pPr>
    </w:p>
    <w:p w14:paraId="58ADAFDC" w14:textId="77777777" w:rsidR="00C860BA" w:rsidRPr="00C860BA" w:rsidRDefault="00C860BA" w:rsidP="00C860BA">
      <w:pPr>
        <w:tabs>
          <w:tab w:val="left" w:pos="851"/>
        </w:tabs>
        <w:ind w:left="851"/>
        <w:rPr>
          <w:sz w:val="24"/>
          <w:szCs w:val="24"/>
          <w:u w:val="single"/>
        </w:rPr>
      </w:pPr>
      <w:proofErr w:type="spellStart"/>
      <w:r w:rsidRPr="00C860BA">
        <w:rPr>
          <w:sz w:val="24"/>
          <w:szCs w:val="24"/>
          <w:u w:val="single"/>
        </w:rPr>
        <w:t>Saluretika</w:t>
      </w:r>
      <w:proofErr w:type="spellEnd"/>
      <w:r w:rsidRPr="00C860BA">
        <w:rPr>
          <w:sz w:val="24"/>
          <w:szCs w:val="24"/>
          <w:u w:val="single"/>
        </w:rPr>
        <w:t>/laksativer</w:t>
      </w:r>
    </w:p>
    <w:p w14:paraId="1A406942" w14:textId="77777777" w:rsidR="00C860BA" w:rsidRPr="00C860BA" w:rsidRDefault="00C860BA" w:rsidP="00C860BA">
      <w:pPr>
        <w:tabs>
          <w:tab w:val="left" w:pos="851"/>
        </w:tabs>
        <w:ind w:left="851"/>
        <w:rPr>
          <w:sz w:val="24"/>
          <w:szCs w:val="24"/>
        </w:rPr>
      </w:pPr>
      <w:r w:rsidRPr="00C860BA">
        <w:rPr>
          <w:sz w:val="24"/>
          <w:szCs w:val="24"/>
        </w:rPr>
        <w:t>Udskillelse af kalium kan være øget.</w:t>
      </w:r>
    </w:p>
    <w:p w14:paraId="3412D6C1" w14:textId="77777777" w:rsidR="00C860BA" w:rsidRPr="00C860BA" w:rsidRDefault="00C860BA" w:rsidP="00C860BA">
      <w:pPr>
        <w:tabs>
          <w:tab w:val="left" w:pos="851"/>
        </w:tabs>
        <w:ind w:left="851"/>
        <w:rPr>
          <w:sz w:val="24"/>
          <w:szCs w:val="24"/>
        </w:rPr>
      </w:pPr>
    </w:p>
    <w:p w14:paraId="51C5726B" w14:textId="77777777" w:rsidR="00C860BA" w:rsidRPr="00C860BA" w:rsidRDefault="00C860BA" w:rsidP="00C860BA">
      <w:pPr>
        <w:tabs>
          <w:tab w:val="left" w:pos="851"/>
        </w:tabs>
        <w:ind w:left="851"/>
        <w:rPr>
          <w:sz w:val="24"/>
          <w:szCs w:val="24"/>
          <w:u w:val="single"/>
        </w:rPr>
      </w:pPr>
      <w:r w:rsidRPr="00C860BA">
        <w:rPr>
          <w:sz w:val="24"/>
          <w:szCs w:val="24"/>
          <w:u w:val="single"/>
        </w:rPr>
        <w:t>Ikke-</w:t>
      </w:r>
      <w:proofErr w:type="spellStart"/>
      <w:r w:rsidRPr="00C860BA">
        <w:rPr>
          <w:sz w:val="24"/>
          <w:szCs w:val="24"/>
          <w:u w:val="single"/>
        </w:rPr>
        <w:t>depolariserende</w:t>
      </w:r>
      <w:proofErr w:type="spellEnd"/>
      <w:r w:rsidRPr="00C860BA">
        <w:rPr>
          <w:sz w:val="24"/>
          <w:szCs w:val="24"/>
          <w:u w:val="single"/>
        </w:rPr>
        <w:t xml:space="preserve"> </w:t>
      </w:r>
      <w:proofErr w:type="spellStart"/>
      <w:r w:rsidRPr="00C860BA">
        <w:rPr>
          <w:sz w:val="24"/>
          <w:szCs w:val="24"/>
          <w:u w:val="single"/>
        </w:rPr>
        <w:t>muskelrelaksantia</w:t>
      </w:r>
      <w:proofErr w:type="spellEnd"/>
    </w:p>
    <w:p w14:paraId="1EC35794" w14:textId="77777777" w:rsidR="00C860BA" w:rsidRPr="00C860BA" w:rsidRDefault="00C860BA" w:rsidP="00C860BA">
      <w:pPr>
        <w:tabs>
          <w:tab w:val="left" w:pos="851"/>
        </w:tabs>
        <w:ind w:left="851"/>
        <w:rPr>
          <w:sz w:val="24"/>
          <w:szCs w:val="24"/>
        </w:rPr>
      </w:pPr>
      <w:r w:rsidRPr="00C860BA">
        <w:rPr>
          <w:sz w:val="24"/>
          <w:szCs w:val="24"/>
        </w:rPr>
        <w:t>Den muskelrelakserende virkning kan være forlænget.</w:t>
      </w:r>
    </w:p>
    <w:p w14:paraId="47038109" w14:textId="77777777" w:rsidR="00C860BA" w:rsidRPr="00C860BA" w:rsidRDefault="00C860BA" w:rsidP="00C860BA">
      <w:pPr>
        <w:tabs>
          <w:tab w:val="left" w:pos="851"/>
        </w:tabs>
        <w:ind w:left="851"/>
        <w:rPr>
          <w:sz w:val="24"/>
          <w:szCs w:val="24"/>
        </w:rPr>
      </w:pPr>
    </w:p>
    <w:p w14:paraId="6C7A1FEB" w14:textId="77777777" w:rsidR="00C860BA" w:rsidRPr="00C860BA" w:rsidRDefault="00C860BA" w:rsidP="00C860BA">
      <w:pPr>
        <w:tabs>
          <w:tab w:val="left" w:pos="851"/>
        </w:tabs>
        <w:ind w:left="851"/>
        <w:rPr>
          <w:sz w:val="24"/>
          <w:szCs w:val="24"/>
          <w:u w:val="single"/>
        </w:rPr>
      </w:pPr>
      <w:r w:rsidRPr="00C860BA">
        <w:rPr>
          <w:sz w:val="24"/>
          <w:szCs w:val="24"/>
          <w:u w:val="single"/>
        </w:rPr>
        <w:t xml:space="preserve">Atropin, andre </w:t>
      </w:r>
      <w:proofErr w:type="spellStart"/>
      <w:r w:rsidRPr="00C860BA">
        <w:rPr>
          <w:sz w:val="24"/>
          <w:szCs w:val="24"/>
          <w:u w:val="single"/>
        </w:rPr>
        <w:t>antikolinerge</w:t>
      </w:r>
      <w:proofErr w:type="spellEnd"/>
      <w:r w:rsidRPr="00C860BA">
        <w:rPr>
          <w:sz w:val="24"/>
          <w:szCs w:val="24"/>
          <w:u w:val="single"/>
        </w:rPr>
        <w:t xml:space="preserve"> midler</w:t>
      </w:r>
    </w:p>
    <w:p w14:paraId="2427588F" w14:textId="77777777" w:rsidR="00C860BA" w:rsidRPr="00C860BA" w:rsidRDefault="00C860BA" w:rsidP="00C860BA">
      <w:pPr>
        <w:tabs>
          <w:tab w:val="left" w:pos="851"/>
        </w:tabs>
        <w:ind w:left="851"/>
        <w:rPr>
          <w:sz w:val="24"/>
          <w:szCs w:val="24"/>
        </w:rPr>
      </w:pPr>
      <w:r w:rsidRPr="00C860BA">
        <w:rPr>
          <w:sz w:val="24"/>
          <w:szCs w:val="24"/>
        </w:rPr>
        <w:t xml:space="preserve">Yderligere stigninger i det </w:t>
      </w:r>
      <w:proofErr w:type="spellStart"/>
      <w:r w:rsidRPr="00C860BA">
        <w:rPr>
          <w:sz w:val="24"/>
          <w:szCs w:val="24"/>
        </w:rPr>
        <w:t>intraokulære</w:t>
      </w:r>
      <w:proofErr w:type="spellEnd"/>
      <w:r w:rsidRPr="00C860BA">
        <w:rPr>
          <w:sz w:val="24"/>
          <w:szCs w:val="24"/>
        </w:rPr>
        <w:t xml:space="preserve"> tryk kan forekomme ved samtidig brug.</w:t>
      </w:r>
    </w:p>
    <w:p w14:paraId="147D25DE" w14:textId="77777777" w:rsidR="00C860BA" w:rsidRPr="00C860BA" w:rsidRDefault="00C860BA" w:rsidP="00C860BA">
      <w:pPr>
        <w:tabs>
          <w:tab w:val="left" w:pos="851"/>
        </w:tabs>
        <w:ind w:left="851"/>
        <w:rPr>
          <w:sz w:val="24"/>
          <w:szCs w:val="24"/>
        </w:rPr>
      </w:pPr>
    </w:p>
    <w:p w14:paraId="202266CE" w14:textId="77777777" w:rsidR="00C860BA" w:rsidRPr="00C860BA" w:rsidRDefault="00C860BA" w:rsidP="00C860BA">
      <w:pPr>
        <w:tabs>
          <w:tab w:val="left" w:pos="851"/>
        </w:tabs>
        <w:ind w:left="851"/>
        <w:rPr>
          <w:sz w:val="24"/>
          <w:szCs w:val="24"/>
          <w:u w:val="single"/>
        </w:rPr>
      </w:pPr>
      <w:proofErr w:type="spellStart"/>
      <w:r w:rsidRPr="00C860BA">
        <w:rPr>
          <w:sz w:val="24"/>
          <w:szCs w:val="24"/>
          <w:u w:val="single"/>
        </w:rPr>
        <w:t>Chloroquin</w:t>
      </w:r>
      <w:proofErr w:type="spellEnd"/>
      <w:r w:rsidRPr="00C860BA">
        <w:rPr>
          <w:sz w:val="24"/>
          <w:szCs w:val="24"/>
          <w:u w:val="single"/>
        </w:rPr>
        <w:t xml:space="preserve">, </w:t>
      </w:r>
      <w:proofErr w:type="spellStart"/>
      <w:r w:rsidRPr="00C860BA">
        <w:rPr>
          <w:sz w:val="24"/>
          <w:szCs w:val="24"/>
          <w:u w:val="single"/>
        </w:rPr>
        <w:t>hydroxychloroquin</w:t>
      </w:r>
      <w:proofErr w:type="spellEnd"/>
      <w:r w:rsidRPr="00C860BA">
        <w:rPr>
          <w:sz w:val="24"/>
          <w:szCs w:val="24"/>
          <w:u w:val="single"/>
        </w:rPr>
        <w:t xml:space="preserve">, </w:t>
      </w:r>
      <w:proofErr w:type="spellStart"/>
      <w:r w:rsidRPr="00C860BA">
        <w:rPr>
          <w:sz w:val="24"/>
          <w:szCs w:val="24"/>
          <w:u w:val="single"/>
        </w:rPr>
        <w:t>mefloquin</w:t>
      </w:r>
      <w:proofErr w:type="spellEnd"/>
    </w:p>
    <w:p w14:paraId="62CEA64E" w14:textId="77777777" w:rsidR="00C860BA" w:rsidRPr="00C860BA" w:rsidRDefault="00C860BA" w:rsidP="00C860BA">
      <w:pPr>
        <w:tabs>
          <w:tab w:val="left" w:pos="851"/>
        </w:tabs>
        <w:ind w:left="851"/>
        <w:rPr>
          <w:sz w:val="24"/>
          <w:szCs w:val="24"/>
        </w:rPr>
      </w:pPr>
      <w:r w:rsidRPr="00C860BA">
        <w:rPr>
          <w:sz w:val="24"/>
          <w:szCs w:val="24"/>
        </w:rPr>
        <w:t xml:space="preserve">Der er en øget risiko for forekomst af </w:t>
      </w:r>
      <w:proofErr w:type="spellStart"/>
      <w:r w:rsidRPr="00C860BA">
        <w:rPr>
          <w:sz w:val="24"/>
          <w:szCs w:val="24"/>
        </w:rPr>
        <w:t>myopatier</w:t>
      </w:r>
      <w:proofErr w:type="spellEnd"/>
      <w:r w:rsidRPr="00C860BA">
        <w:rPr>
          <w:sz w:val="24"/>
          <w:szCs w:val="24"/>
        </w:rPr>
        <w:t xml:space="preserve">, </w:t>
      </w:r>
      <w:proofErr w:type="spellStart"/>
      <w:r w:rsidRPr="00C860BA">
        <w:rPr>
          <w:sz w:val="24"/>
          <w:szCs w:val="24"/>
        </w:rPr>
        <w:t>kardiomyopati</w:t>
      </w:r>
      <w:proofErr w:type="spellEnd"/>
      <w:r w:rsidRPr="00C860BA">
        <w:rPr>
          <w:sz w:val="24"/>
          <w:szCs w:val="24"/>
        </w:rPr>
        <w:t>.</w:t>
      </w:r>
    </w:p>
    <w:p w14:paraId="2CCEE464" w14:textId="77777777" w:rsidR="00C860BA" w:rsidRPr="00C860BA" w:rsidRDefault="00C860BA" w:rsidP="00C860BA">
      <w:pPr>
        <w:tabs>
          <w:tab w:val="left" w:pos="851"/>
        </w:tabs>
        <w:ind w:left="851"/>
        <w:rPr>
          <w:sz w:val="24"/>
          <w:szCs w:val="24"/>
        </w:rPr>
      </w:pPr>
    </w:p>
    <w:p w14:paraId="181C92F1" w14:textId="77777777" w:rsidR="00C860BA" w:rsidRPr="00C860BA" w:rsidRDefault="00C860BA" w:rsidP="00C860BA">
      <w:pPr>
        <w:tabs>
          <w:tab w:val="left" w:pos="851"/>
        </w:tabs>
        <w:ind w:left="851"/>
        <w:rPr>
          <w:sz w:val="24"/>
          <w:szCs w:val="24"/>
          <w:u w:val="single"/>
        </w:rPr>
      </w:pPr>
      <w:proofErr w:type="spellStart"/>
      <w:r w:rsidRPr="00C860BA">
        <w:rPr>
          <w:sz w:val="24"/>
          <w:szCs w:val="24"/>
          <w:u w:val="single"/>
        </w:rPr>
        <w:t>Protirelin</w:t>
      </w:r>
      <w:proofErr w:type="spellEnd"/>
    </w:p>
    <w:p w14:paraId="1B3DED63" w14:textId="77777777" w:rsidR="00C860BA" w:rsidRPr="00C860BA" w:rsidRDefault="00C860BA" w:rsidP="00C860BA">
      <w:pPr>
        <w:tabs>
          <w:tab w:val="left" w:pos="851"/>
        </w:tabs>
        <w:ind w:left="851"/>
        <w:rPr>
          <w:sz w:val="24"/>
          <w:szCs w:val="24"/>
        </w:rPr>
      </w:pPr>
      <w:r w:rsidRPr="00C860BA">
        <w:rPr>
          <w:sz w:val="24"/>
          <w:szCs w:val="24"/>
        </w:rPr>
        <w:t xml:space="preserve">Stigningen i TSH kan være nedsat ved administration af </w:t>
      </w:r>
      <w:proofErr w:type="spellStart"/>
      <w:r w:rsidRPr="00C860BA">
        <w:rPr>
          <w:sz w:val="24"/>
          <w:szCs w:val="24"/>
        </w:rPr>
        <w:t>protirelin</w:t>
      </w:r>
      <w:proofErr w:type="spellEnd"/>
      <w:r w:rsidRPr="00C860BA">
        <w:rPr>
          <w:sz w:val="24"/>
          <w:szCs w:val="24"/>
        </w:rPr>
        <w:t>.</w:t>
      </w:r>
    </w:p>
    <w:p w14:paraId="31C8AD88" w14:textId="77777777" w:rsidR="00C860BA" w:rsidRPr="00C860BA" w:rsidRDefault="00C860BA" w:rsidP="00C860BA">
      <w:pPr>
        <w:tabs>
          <w:tab w:val="left" w:pos="851"/>
        </w:tabs>
        <w:ind w:left="851"/>
        <w:rPr>
          <w:iCs/>
          <w:sz w:val="24"/>
          <w:szCs w:val="24"/>
        </w:rPr>
      </w:pPr>
    </w:p>
    <w:p w14:paraId="7AB60794" w14:textId="77777777" w:rsidR="00C860BA" w:rsidRPr="00C860BA" w:rsidRDefault="00C860BA" w:rsidP="00C860BA">
      <w:pPr>
        <w:tabs>
          <w:tab w:val="left" w:pos="851"/>
        </w:tabs>
        <w:ind w:left="851"/>
        <w:rPr>
          <w:iCs/>
          <w:sz w:val="24"/>
          <w:szCs w:val="24"/>
          <w:u w:val="single"/>
        </w:rPr>
      </w:pPr>
      <w:proofErr w:type="spellStart"/>
      <w:r w:rsidRPr="00C860BA">
        <w:rPr>
          <w:iCs/>
          <w:sz w:val="24"/>
          <w:szCs w:val="24"/>
          <w:u w:val="single"/>
        </w:rPr>
        <w:t>Immunsuppressiva</w:t>
      </w:r>
      <w:proofErr w:type="spellEnd"/>
    </w:p>
    <w:p w14:paraId="344DBC6A" w14:textId="77777777" w:rsidR="00C860BA" w:rsidRPr="00C860BA" w:rsidRDefault="00C860BA" w:rsidP="00C860BA">
      <w:pPr>
        <w:tabs>
          <w:tab w:val="left" w:pos="851"/>
        </w:tabs>
        <w:ind w:left="851"/>
        <w:rPr>
          <w:iCs/>
          <w:sz w:val="24"/>
          <w:szCs w:val="24"/>
        </w:rPr>
      </w:pPr>
      <w:r w:rsidRPr="00C860BA">
        <w:rPr>
          <w:iCs/>
          <w:sz w:val="24"/>
          <w:szCs w:val="24"/>
        </w:rPr>
        <w:t>Øget modtagelighed over for infektioner og mulig forværring eller manifestation af latente infektioner.</w:t>
      </w:r>
    </w:p>
    <w:p w14:paraId="25420DE5" w14:textId="77777777" w:rsidR="00C860BA" w:rsidRPr="00C860BA" w:rsidRDefault="00C860BA" w:rsidP="00C860BA">
      <w:pPr>
        <w:tabs>
          <w:tab w:val="left" w:pos="851"/>
        </w:tabs>
        <w:ind w:left="851"/>
        <w:rPr>
          <w:iCs/>
          <w:sz w:val="24"/>
          <w:szCs w:val="24"/>
        </w:rPr>
      </w:pPr>
    </w:p>
    <w:p w14:paraId="721BC66E" w14:textId="77777777" w:rsidR="00C860BA" w:rsidRPr="00C860BA" w:rsidRDefault="00C860BA" w:rsidP="00C860BA">
      <w:pPr>
        <w:tabs>
          <w:tab w:val="left" w:pos="851"/>
        </w:tabs>
        <w:ind w:left="851"/>
        <w:rPr>
          <w:iCs/>
          <w:sz w:val="24"/>
          <w:szCs w:val="24"/>
          <w:u w:val="single"/>
        </w:rPr>
      </w:pPr>
      <w:proofErr w:type="spellStart"/>
      <w:r w:rsidRPr="00C860BA">
        <w:rPr>
          <w:iCs/>
          <w:sz w:val="24"/>
          <w:szCs w:val="24"/>
          <w:u w:val="single"/>
        </w:rPr>
        <w:t>Fluoroquinoloner</w:t>
      </w:r>
      <w:proofErr w:type="spellEnd"/>
    </w:p>
    <w:p w14:paraId="2E986BAA" w14:textId="77777777" w:rsidR="00C860BA" w:rsidRPr="00C860BA" w:rsidRDefault="00C860BA" w:rsidP="00C860BA">
      <w:pPr>
        <w:tabs>
          <w:tab w:val="left" w:pos="851"/>
        </w:tabs>
        <w:ind w:left="851"/>
        <w:rPr>
          <w:iCs/>
          <w:sz w:val="24"/>
          <w:szCs w:val="24"/>
        </w:rPr>
      </w:pPr>
      <w:proofErr w:type="spellStart"/>
      <w:r w:rsidRPr="00C860BA">
        <w:rPr>
          <w:iCs/>
          <w:sz w:val="24"/>
          <w:szCs w:val="24"/>
        </w:rPr>
        <w:t>Fluoroquinoloner</w:t>
      </w:r>
      <w:proofErr w:type="spellEnd"/>
      <w:r w:rsidRPr="00C860BA">
        <w:rPr>
          <w:iCs/>
          <w:sz w:val="24"/>
          <w:szCs w:val="24"/>
        </w:rPr>
        <w:t xml:space="preserve"> kan øge risikoen for </w:t>
      </w:r>
      <w:proofErr w:type="spellStart"/>
      <w:r w:rsidRPr="00C860BA">
        <w:rPr>
          <w:iCs/>
          <w:sz w:val="24"/>
          <w:szCs w:val="24"/>
        </w:rPr>
        <w:t>seneproblemer</w:t>
      </w:r>
      <w:proofErr w:type="spellEnd"/>
      <w:r w:rsidRPr="00C860BA">
        <w:rPr>
          <w:iCs/>
          <w:sz w:val="24"/>
          <w:szCs w:val="24"/>
        </w:rPr>
        <w:t>.</w:t>
      </w:r>
    </w:p>
    <w:p w14:paraId="3ED691CF" w14:textId="77777777" w:rsidR="009260DE" w:rsidRPr="00C84483" w:rsidRDefault="009260DE" w:rsidP="009260DE">
      <w:pPr>
        <w:tabs>
          <w:tab w:val="left" w:pos="851"/>
        </w:tabs>
        <w:ind w:left="851"/>
        <w:rPr>
          <w:sz w:val="24"/>
          <w:szCs w:val="24"/>
        </w:rPr>
      </w:pPr>
    </w:p>
    <w:p w14:paraId="48A4928F" w14:textId="77777777" w:rsidR="009260DE" w:rsidRPr="00C84483" w:rsidRDefault="009260DE" w:rsidP="00260EC8">
      <w:pPr>
        <w:keepNext/>
        <w:tabs>
          <w:tab w:val="left" w:pos="851"/>
        </w:tabs>
        <w:ind w:left="851" w:hanging="851"/>
        <w:rPr>
          <w:b/>
          <w:sz w:val="24"/>
          <w:szCs w:val="24"/>
        </w:rPr>
      </w:pPr>
      <w:r w:rsidRPr="00C84483">
        <w:rPr>
          <w:b/>
          <w:sz w:val="24"/>
          <w:szCs w:val="24"/>
        </w:rPr>
        <w:t>4.6</w:t>
      </w:r>
      <w:r w:rsidRPr="00C84483">
        <w:rPr>
          <w:b/>
          <w:sz w:val="24"/>
          <w:szCs w:val="24"/>
        </w:rPr>
        <w:tab/>
        <w:t>Graviditet og amning</w:t>
      </w:r>
    </w:p>
    <w:p w14:paraId="4DF33144" w14:textId="77777777" w:rsidR="00D303C4" w:rsidRPr="00D303C4" w:rsidRDefault="00D303C4" w:rsidP="00260EC8">
      <w:pPr>
        <w:keepNext/>
        <w:tabs>
          <w:tab w:val="left" w:pos="851"/>
        </w:tabs>
        <w:ind w:left="851"/>
        <w:rPr>
          <w:sz w:val="24"/>
          <w:szCs w:val="24"/>
        </w:rPr>
      </w:pPr>
    </w:p>
    <w:p w14:paraId="1D43ABDC" w14:textId="77777777" w:rsidR="00B70043" w:rsidRDefault="00B70043" w:rsidP="00B70043">
      <w:pPr>
        <w:tabs>
          <w:tab w:val="left" w:pos="851"/>
        </w:tabs>
        <w:ind w:left="851"/>
        <w:rPr>
          <w:sz w:val="24"/>
          <w:szCs w:val="24"/>
          <w:u w:val="single"/>
        </w:rPr>
      </w:pPr>
      <w:r>
        <w:rPr>
          <w:sz w:val="24"/>
          <w:szCs w:val="24"/>
          <w:u w:val="single"/>
        </w:rPr>
        <w:t>Graviditet</w:t>
      </w:r>
    </w:p>
    <w:p w14:paraId="4824C993" w14:textId="77777777" w:rsidR="00B70043" w:rsidRDefault="00B70043" w:rsidP="00B70043">
      <w:pPr>
        <w:tabs>
          <w:tab w:val="left" w:pos="851"/>
        </w:tabs>
        <w:ind w:left="851"/>
        <w:rPr>
          <w:sz w:val="24"/>
          <w:szCs w:val="24"/>
        </w:rPr>
      </w:pPr>
      <w:proofErr w:type="spellStart"/>
      <w:r>
        <w:rPr>
          <w:sz w:val="24"/>
          <w:szCs w:val="24"/>
        </w:rPr>
        <w:t>Dexamethason</w:t>
      </w:r>
      <w:proofErr w:type="spellEnd"/>
      <w:r>
        <w:rPr>
          <w:sz w:val="24"/>
          <w:szCs w:val="24"/>
        </w:rPr>
        <w:t xml:space="preserve"> passerer placenta. Under graviditet, især i det første trimester, bør </w:t>
      </w:r>
      <w:proofErr w:type="spellStart"/>
      <w:r>
        <w:rPr>
          <w:sz w:val="24"/>
          <w:szCs w:val="24"/>
        </w:rPr>
        <w:t>dexamethason</w:t>
      </w:r>
      <w:proofErr w:type="spellEnd"/>
      <w:r>
        <w:rPr>
          <w:sz w:val="24"/>
          <w:szCs w:val="24"/>
        </w:rPr>
        <w:t xml:space="preserve"> kun administreres efter en benefit/</w:t>
      </w:r>
      <w:proofErr w:type="spellStart"/>
      <w:r>
        <w:rPr>
          <w:sz w:val="24"/>
          <w:szCs w:val="24"/>
        </w:rPr>
        <w:t>risk</w:t>
      </w:r>
      <w:proofErr w:type="spellEnd"/>
      <w:r>
        <w:rPr>
          <w:sz w:val="24"/>
          <w:szCs w:val="24"/>
        </w:rPr>
        <w:t xml:space="preserve">-vurdering. Dyrestudier har vist, at </w:t>
      </w:r>
      <w:proofErr w:type="spellStart"/>
      <w:r>
        <w:rPr>
          <w:sz w:val="24"/>
          <w:szCs w:val="24"/>
        </w:rPr>
        <w:t>dexamethason</w:t>
      </w:r>
      <w:proofErr w:type="spellEnd"/>
      <w:r>
        <w:rPr>
          <w:sz w:val="24"/>
          <w:szCs w:val="24"/>
        </w:rPr>
        <w:t xml:space="preserve"> kan fremkalde ganespalte. Der foreligger begrænsede data vedrørende den forhøjede risiko for ganespalte hos børn, hvor moderen har fået </w:t>
      </w:r>
      <w:proofErr w:type="spellStart"/>
      <w:r>
        <w:rPr>
          <w:sz w:val="24"/>
          <w:szCs w:val="24"/>
        </w:rPr>
        <w:t>glukokortikoider</w:t>
      </w:r>
      <w:proofErr w:type="spellEnd"/>
      <w:r>
        <w:rPr>
          <w:sz w:val="24"/>
          <w:szCs w:val="24"/>
        </w:rPr>
        <w:t xml:space="preserve"> i det første trimester af graviditeten.</w:t>
      </w:r>
    </w:p>
    <w:p w14:paraId="4655DE26" w14:textId="77777777" w:rsidR="00B70043" w:rsidRDefault="00B70043" w:rsidP="00B70043">
      <w:pPr>
        <w:tabs>
          <w:tab w:val="left" w:pos="851"/>
        </w:tabs>
        <w:ind w:left="851"/>
        <w:rPr>
          <w:sz w:val="24"/>
          <w:szCs w:val="24"/>
        </w:rPr>
      </w:pPr>
      <w:r>
        <w:rPr>
          <w:sz w:val="24"/>
          <w:szCs w:val="24"/>
        </w:rPr>
        <w:t xml:space="preserve">Ændringer hos fosteret kan ikke udelukkes ved langvarig behandling med </w:t>
      </w:r>
      <w:proofErr w:type="spellStart"/>
      <w:r>
        <w:rPr>
          <w:sz w:val="24"/>
          <w:szCs w:val="24"/>
        </w:rPr>
        <w:t>glukokortikoider</w:t>
      </w:r>
      <w:proofErr w:type="spellEnd"/>
      <w:r>
        <w:rPr>
          <w:sz w:val="24"/>
          <w:szCs w:val="24"/>
        </w:rPr>
        <w:t xml:space="preserve"> under graviditeten. Hvis moderen behandles med </w:t>
      </w:r>
      <w:proofErr w:type="spellStart"/>
      <w:r>
        <w:rPr>
          <w:sz w:val="24"/>
          <w:szCs w:val="24"/>
        </w:rPr>
        <w:t>glukokortikoider</w:t>
      </w:r>
      <w:proofErr w:type="spellEnd"/>
      <w:r>
        <w:rPr>
          <w:sz w:val="24"/>
          <w:szCs w:val="24"/>
        </w:rPr>
        <w:t xml:space="preserve"> mod graviditetens slutning, er der risiko for atrofiering af binyrebarken hos det nyfødte barn, og dette kan nødvendiggøre substitutionsbehandling af det nyfødte barn. Substitutionsbehandlingen bør gradvist nedsættes. Studier har vist en øget risiko for hypoglykæmi hos nyfødte efter kortvarig administration af </w:t>
      </w:r>
      <w:proofErr w:type="spellStart"/>
      <w:r>
        <w:rPr>
          <w:sz w:val="24"/>
          <w:szCs w:val="24"/>
        </w:rPr>
        <w:t>kortikosteroider</w:t>
      </w:r>
      <w:proofErr w:type="spellEnd"/>
      <w:r>
        <w:rPr>
          <w:sz w:val="24"/>
          <w:szCs w:val="24"/>
        </w:rPr>
        <w:t xml:space="preserve">, herunder </w:t>
      </w:r>
      <w:proofErr w:type="spellStart"/>
      <w:r>
        <w:rPr>
          <w:sz w:val="24"/>
          <w:szCs w:val="24"/>
        </w:rPr>
        <w:t>dexamethason</w:t>
      </w:r>
      <w:proofErr w:type="spellEnd"/>
      <w:r>
        <w:rPr>
          <w:sz w:val="24"/>
          <w:szCs w:val="24"/>
        </w:rPr>
        <w:t>, hos kvinder, der er i risiko for sen præmatur fødsel.</w:t>
      </w:r>
    </w:p>
    <w:p w14:paraId="67383829" w14:textId="77777777" w:rsidR="00B70043" w:rsidRDefault="00B70043" w:rsidP="00B70043">
      <w:pPr>
        <w:tabs>
          <w:tab w:val="left" w:pos="851"/>
        </w:tabs>
        <w:ind w:left="851"/>
        <w:rPr>
          <w:sz w:val="24"/>
          <w:szCs w:val="24"/>
        </w:rPr>
      </w:pPr>
    </w:p>
    <w:p w14:paraId="72CF6D5C" w14:textId="77777777" w:rsidR="00B70043" w:rsidRDefault="00B70043" w:rsidP="00B70043">
      <w:pPr>
        <w:tabs>
          <w:tab w:val="left" w:pos="851"/>
        </w:tabs>
        <w:ind w:left="851"/>
        <w:rPr>
          <w:sz w:val="24"/>
          <w:szCs w:val="24"/>
          <w:u w:val="single"/>
        </w:rPr>
      </w:pPr>
      <w:r>
        <w:rPr>
          <w:sz w:val="24"/>
          <w:szCs w:val="24"/>
          <w:u w:val="single"/>
        </w:rPr>
        <w:t>Amning</w:t>
      </w:r>
    </w:p>
    <w:p w14:paraId="1AA354EA" w14:textId="77777777" w:rsidR="00B70043" w:rsidRDefault="00B70043" w:rsidP="00B70043">
      <w:pPr>
        <w:tabs>
          <w:tab w:val="left" w:pos="851"/>
        </w:tabs>
        <w:ind w:left="851"/>
        <w:rPr>
          <w:sz w:val="24"/>
          <w:szCs w:val="24"/>
        </w:rPr>
      </w:pPr>
      <w:proofErr w:type="spellStart"/>
      <w:r>
        <w:rPr>
          <w:sz w:val="24"/>
          <w:szCs w:val="24"/>
        </w:rPr>
        <w:t>Dexamethason</w:t>
      </w:r>
      <w:proofErr w:type="spellEnd"/>
      <w:r>
        <w:rPr>
          <w:sz w:val="24"/>
          <w:szCs w:val="24"/>
        </w:rPr>
        <w:t xml:space="preserve"> udskilles i human mælk. Påvirkningen af </w:t>
      </w:r>
      <w:proofErr w:type="spellStart"/>
      <w:r>
        <w:rPr>
          <w:sz w:val="24"/>
          <w:szCs w:val="24"/>
        </w:rPr>
        <w:t>dexamethason</w:t>
      </w:r>
      <w:proofErr w:type="spellEnd"/>
      <w:r>
        <w:rPr>
          <w:sz w:val="24"/>
          <w:szCs w:val="24"/>
        </w:rPr>
        <w:t xml:space="preserve"> på det nyfødte barn kendes ikke. Det anbefales dog, at </w:t>
      </w:r>
      <w:proofErr w:type="spellStart"/>
      <w:r>
        <w:rPr>
          <w:sz w:val="24"/>
          <w:szCs w:val="24"/>
        </w:rPr>
        <w:t>Dexacur</w:t>
      </w:r>
      <w:proofErr w:type="spellEnd"/>
      <w:r>
        <w:rPr>
          <w:sz w:val="24"/>
          <w:szCs w:val="24"/>
        </w:rPr>
        <w:t xml:space="preserve"> kun ordineres under amning på tvingende indikation. Amning bør ophøre, hvis der ordineres høje doser af </w:t>
      </w:r>
      <w:proofErr w:type="spellStart"/>
      <w:r>
        <w:rPr>
          <w:sz w:val="24"/>
          <w:szCs w:val="24"/>
        </w:rPr>
        <w:t>dexamethason</w:t>
      </w:r>
      <w:proofErr w:type="spellEnd"/>
      <w:r>
        <w:rPr>
          <w:sz w:val="24"/>
          <w:szCs w:val="24"/>
        </w:rPr>
        <w:t>.</w:t>
      </w:r>
    </w:p>
    <w:p w14:paraId="01CDDF38" w14:textId="77777777" w:rsidR="009260DE" w:rsidRPr="00C84483" w:rsidRDefault="009260DE" w:rsidP="009260DE">
      <w:pPr>
        <w:tabs>
          <w:tab w:val="left" w:pos="851"/>
        </w:tabs>
        <w:ind w:left="851"/>
        <w:rPr>
          <w:sz w:val="24"/>
          <w:szCs w:val="24"/>
        </w:rPr>
      </w:pPr>
    </w:p>
    <w:p w14:paraId="51F9096F"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25EE99B6" w14:textId="77777777" w:rsidR="00D303C4" w:rsidRPr="00D303C4" w:rsidRDefault="00D303C4" w:rsidP="00D303C4">
      <w:pPr>
        <w:tabs>
          <w:tab w:val="left" w:pos="851"/>
        </w:tabs>
        <w:ind w:left="851"/>
        <w:rPr>
          <w:sz w:val="24"/>
          <w:szCs w:val="24"/>
        </w:rPr>
      </w:pPr>
      <w:r w:rsidRPr="00D303C4">
        <w:rPr>
          <w:sz w:val="24"/>
          <w:szCs w:val="24"/>
        </w:rPr>
        <w:t>Ikke mærkning.</w:t>
      </w:r>
    </w:p>
    <w:p w14:paraId="4D8B988F" w14:textId="77777777" w:rsidR="00D303C4" w:rsidRPr="00D303C4" w:rsidRDefault="00D303C4" w:rsidP="00D303C4">
      <w:pPr>
        <w:tabs>
          <w:tab w:val="left" w:pos="851"/>
        </w:tabs>
        <w:ind w:left="851"/>
        <w:rPr>
          <w:sz w:val="24"/>
          <w:szCs w:val="24"/>
        </w:rPr>
      </w:pPr>
      <w:proofErr w:type="spellStart"/>
      <w:r w:rsidRPr="00D303C4">
        <w:rPr>
          <w:sz w:val="24"/>
          <w:szCs w:val="24"/>
        </w:rPr>
        <w:t>Dexacur</w:t>
      </w:r>
      <w:proofErr w:type="spellEnd"/>
      <w:r w:rsidRPr="00D303C4">
        <w:rPr>
          <w:sz w:val="24"/>
          <w:szCs w:val="24"/>
        </w:rPr>
        <w:t xml:space="preserve"> påvirker ikke eller kun i ubetydelig grad evnen til at føre motorkøretøj og betjene maskiner.</w:t>
      </w:r>
    </w:p>
    <w:p w14:paraId="4815C620" w14:textId="77777777" w:rsidR="009260DE" w:rsidRPr="00C84483" w:rsidRDefault="009260DE" w:rsidP="009260DE">
      <w:pPr>
        <w:tabs>
          <w:tab w:val="left" w:pos="851"/>
        </w:tabs>
        <w:ind w:left="851"/>
        <w:rPr>
          <w:sz w:val="24"/>
          <w:szCs w:val="24"/>
        </w:rPr>
      </w:pPr>
    </w:p>
    <w:p w14:paraId="42671917" w14:textId="166D26B4" w:rsidR="00B70043" w:rsidRPr="00B70043" w:rsidRDefault="009260DE" w:rsidP="00B70043">
      <w:pPr>
        <w:tabs>
          <w:tab w:val="left" w:pos="851"/>
        </w:tabs>
        <w:ind w:left="851" w:hanging="851"/>
        <w:rPr>
          <w:b/>
          <w:sz w:val="24"/>
          <w:szCs w:val="24"/>
        </w:rPr>
      </w:pPr>
      <w:r w:rsidRPr="00C84483">
        <w:rPr>
          <w:b/>
          <w:sz w:val="24"/>
          <w:szCs w:val="24"/>
        </w:rPr>
        <w:t>4.8</w:t>
      </w:r>
      <w:r w:rsidRPr="00C84483">
        <w:rPr>
          <w:b/>
          <w:sz w:val="24"/>
          <w:szCs w:val="24"/>
        </w:rPr>
        <w:tab/>
        <w:t>Bivirkninger</w:t>
      </w:r>
    </w:p>
    <w:p w14:paraId="083A68FE" w14:textId="77777777" w:rsidR="00B70043" w:rsidRPr="00D303C4" w:rsidRDefault="00B70043" w:rsidP="00B70043">
      <w:pPr>
        <w:pStyle w:val="Sidehoved"/>
        <w:tabs>
          <w:tab w:val="left" w:pos="851"/>
        </w:tabs>
        <w:ind w:left="851"/>
        <w:rPr>
          <w:szCs w:val="24"/>
        </w:rPr>
      </w:pPr>
      <w:r w:rsidRPr="00D303C4">
        <w:rPr>
          <w:szCs w:val="24"/>
        </w:rPr>
        <w:t xml:space="preserve">Der foreligger ikke nyere klinisk dokumentation for dette lægemiddel, der kan fungere som grundlag for vurdering af bivirkningernes hyppigheden. Bortset fra substitutionsbehandling, er behandling med </w:t>
      </w:r>
      <w:proofErr w:type="spellStart"/>
      <w:r w:rsidRPr="00D303C4">
        <w:rPr>
          <w:szCs w:val="24"/>
        </w:rPr>
        <w:t>kortikosteroider</w:t>
      </w:r>
      <w:proofErr w:type="spellEnd"/>
      <w:r w:rsidRPr="00D303C4">
        <w:rPr>
          <w:szCs w:val="24"/>
        </w:rPr>
        <w:t xml:space="preserve"> altid ensbetydende med en overdosis i forhold til fysiologiske betingelser. Bivirkninger af farmakologiske doser af </w:t>
      </w:r>
      <w:proofErr w:type="spellStart"/>
      <w:r w:rsidRPr="00D303C4">
        <w:rPr>
          <w:szCs w:val="24"/>
        </w:rPr>
        <w:t>kortikosteroider</w:t>
      </w:r>
      <w:proofErr w:type="spellEnd"/>
      <w:r w:rsidRPr="00D303C4">
        <w:rPr>
          <w:szCs w:val="24"/>
        </w:rPr>
        <w:t xml:space="preserve"> er en naturlig konsekvens af den udtalte </w:t>
      </w:r>
      <w:proofErr w:type="spellStart"/>
      <w:r w:rsidRPr="00D303C4">
        <w:rPr>
          <w:szCs w:val="24"/>
        </w:rPr>
        <w:t>kortikoide</w:t>
      </w:r>
      <w:proofErr w:type="spellEnd"/>
      <w:r w:rsidRPr="00D303C4">
        <w:rPr>
          <w:szCs w:val="24"/>
        </w:rPr>
        <w:t xml:space="preserve"> virkning. Bivirkninger afhænger af dosis, dosisinterval, behandlingsvarighed og individuel følsomhed.</w:t>
      </w:r>
    </w:p>
    <w:p w14:paraId="43DA7F63" w14:textId="77777777" w:rsidR="00B70043" w:rsidRPr="00D303C4" w:rsidRDefault="00B70043" w:rsidP="00B70043">
      <w:pPr>
        <w:pStyle w:val="Sidehoved"/>
        <w:tabs>
          <w:tab w:val="left" w:pos="851"/>
        </w:tabs>
        <w:ind w:left="851"/>
        <w:rPr>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983"/>
        <w:gridCol w:w="1982"/>
        <w:gridCol w:w="1559"/>
        <w:gridCol w:w="2095"/>
      </w:tblGrid>
      <w:tr w:rsidR="00B70043" w:rsidRPr="00260EC8" w14:paraId="241C9441" w14:textId="77777777" w:rsidTr="00CC58D8">
        <w:trPr>
          <w:cantSplit/>
          <w:tblHeader/>
        </w:trPr>
        <w:tc>
          <w:tcPr>
            <w:tcW w:w="1696" w:type="dxa"/>
            <w:tcBorders>
              <w:top w:val="single" w:sz="4" w:space="0" w:color="auto"/>
              <w:left w:val="single" w:sz="4" w:space="0" w:color="auto"/>
              <w:bottom w:val="single" w:sz="4" w:space="0" w:color="auto"/>
              <w:right w:val="single" w:sz="4" w:space="0" w:color="auto"/>
            </w:tcBorders>
          </w:tcPr>
          <w:p w14:paraId="3055CBC3" w14:textId="77777777" w:rsidR="00B70043" w:rsidRPr="00260EC8" w:rsidRDefault="00B70043" w:rsidP="00CC58D8">
            <w:pPr>
              <w:pStyle w:val="Sidehoved"/>
              <w:ind w:left="29"/>
              <w:rPr>
                <w:b/>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14:paraId="6676C6AA" w14:textId="77777777" w:rsidR="00B70043" w:rsidRPr="00260EC8" w:rsidRDefault="00B70043" w:rsidP="00CC58D8">
            <w:pPr>
              <w:pStyle w:val="Sidehoved"/>
              <w:rPr>
                <w:b/>
                <w:sz w:val="22"/>
                <w:szCs w:val="22"/>
              </w:rPr>
            </w:pPr>
            <w:r w:rsidRPr="00260EC8">
              <w:rPr>
                <w:b/>
                <w:sz w:val="22"/>
                <w:szCs w:val="22"/>
              </w:rPr>
              <w:t>Almindelig (</w:t>
            </w:r>
            <w:r w:rsidRPr="00260EC8">
              <w:rPr>
                <w:b/>
                <w:sz w:val="22"/>
                <w:szCs w:val="22"/>
              </w:rPr>
              <w:sym w:font="Symbol" w:char="F0B3"/>
            </w:r>
            <w:r w:rsidRPr="00260EC8">
              <w:rPr>
                <w:b/>
                <w:sz w:val="22"/>
                <w:szCs w:val="22"/>
              </w:rPr>
              <w:t>1/100 til &lt;1/10)</w:t>
            </w:r>
          </w:p>
        </w:tc>
        <w:tc>
          <w:tcPr>
            <w:tcW w:w="1984" w:type="dxa"/>
            <w:tcBorders>
              <w:top w:val="single" w:sz="4" w:space="0" w:color="auto"/>
              <w:left w:val="single" w:sz="4" w:space="0" w:color="auto"/>
              <w:bottom w:val="single" w:sz="4" w:space="0" w:color="auto"/>
              <w:right w:val="single" w:sz="4" w:space="0" w:color="auto"/>
            </w:tcBorders>
            <w:hideMark/>
          </w:tcPr>
          <w:p w14:paraId="75B044E4" w14:textId="77777777" w:rsidR="00B70043" w:rsidRPr="00260EC8" w:rsidRDefault="00B70043" w:rsidP="00CC58D8">
            <w:pPr>
              <w:pStyle w:val="Sidehoved"/>
              <w:rPr>
                <w:b/>
                <w:sz w:val="22"/>
                <w:szCs w:val="22"/>
              </w:rPr>
            </w:pPr>
            <w:r w:rsidRPr="00260EC8">
              <w:rPr>
                <w:b/>
                <w:sz w:val="22"/>
                <w:szCs w:val="22"/>
              </w:rPr>
              <w:t>Ikke almindelig (</w:t>
            </w:r>
            <w:r w:rsidRPr="00260EC8">
              <w:rPr>
                <w:b/>
                <w:sz w:val="22"/>
                <w:szCs w:val="22"/>
              </w:rPr>
              <w:sym w:font="Symbol" w:char="F0B3"/>
            </w:r>
            <w:r w:rsidRPr="00260EC8">
              <w:rPr>
                <w:b/>
                <w:sz w:val="22"/>
                <w:szCs w:val="22"/>
              </w:rPr>
              <w:t>1/1.000 til &lt;1/100)</w:t>
            </w:r>
          </w:p>
        </w:tc>
        <w:tc>
          <w:tcPr>
            <w:tcW w:w="1560" w:type="dxa"/>
            <w:tcBorders>
              <w:top w:val="single" w:sz="4" w:space="0" w:color="auto"/>
              <w:left w:val="single" w:sz="4" w:space="0" w:color="auto"/>
              <w:bottom w:val="single" w:sz="4" w:space="0" w:color="auto"/>
              <w:right w:val="single" w:sz="4" w:space="0" w:color="auto"/>
            </w:tcBorders>
            <w:hideMark/>
          </w:tcPr>
          <w:p w14:paraId="064FD691" w14:textId="77777777" w:rsidR="00B70043" w:rsidRPr="00260EC8" w:rsidRDefault="00B70043" w:rsidP="00CC58D8">
            <w:pPr>
              <w:pStyle w:val="Sidehoved"/>
              <w:ind w:left="38"/>
              <w:rPr>
                <w:b/>
                <w:sz w:val="22"/>
                <w:szCs w:val="22"/>
              </w:rPr>
            </w:pPr>
            <w:r w:rsidRPr="00260EC8">
              <w:rPr>
                <w:b/>
                <w:sz w:val="22"/>
                <w:szCs w:val="22"/>
              </w:rPr>
              <w:t>Sjælden (</w:t>
            </w:r>
            <w:r w:rsidRPr="00260EC8">
              <w:rPr>
                <w:b/>
                <w:sz w:val="22"/>
                <w:szCs w:val="22"/>
              </w:rPr>
              <w:sym w:font="Symbol" w:char="F0B3"/>
            </w:r>
            <w:r w:rsidRPr="00260EC8">
              <w:rPr>
                <w:b/>
                <w:sz w:val="22"/>
                <w:szCs w:val="22"/>
              </w:rPr>
              <w:t>1/10.000 til &lt;1/1.000)</w:t>
            </w:r>
          </w:p>
        </w:tc>
        <w:tc>
          <w:tcPr>
            <w:tcW w:w="2097" w:type="dxa"/>
            <w:tcBorders>
              <w:top w:val="single" w:sz="4" w:space="0" w:color="auto"/>
              <w:left w:val="single" w:sz="4" w:space="0" w:color="auto"/>
              <w:bottom w:val="single" w:sz="4" w:space="0" w:color="auto"/>
              <w:right w:val="single" w:sz="4" w:space="0" w:color="auto"/>
            </w:tcBorders>
            <w:hideMark/>
          </w:tcPr>
          <w:p w14:paraId="3FE73658" w14:textId="77777777" w:rsidR="00B70043" w:rsidRPr="00260EC8" w:rsidRDefault="00B70043" w:rsidP="00CC58D8">
            <w:pPr>
              <w:pStyle w:val="Sidehoved"/>
              <w:ind w:left="38"/>
              <w:rPr>
                <w:b/>
                <w:sz w:val="22"/>
                <w:szCs w:val="22"/>
              </w:rPr>
            </w:pPr>
            <w:r w:rsidRPr="00260EC8">
              <w:rPr>
                <w:b/>
                <w:sz w:val="22"/>
                <w:szCs w:val="22"/>
              </w:rPr>
              <w:t>Ikke kendt (kan ikke estimeres ud fra forhånden</w:t>
            </w:r>
            <w:r w:rsidRPr="00260EC8">
              <w:rPr>
                <w:b/>
                <w:sz w:val="22"/>
                <w:szCs w:val="22"/>
              </w:rPr>
              <w:softHyphen/>
              <w:t>værende data)</w:t>
            </w:r>
          </w:p>
        </w:tc>
      </w:tr>
      <w:tr w:rsidR="00B70043" w:rsidRPr="00260EC8" w14:paraId="215AB326"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7770439F" w14:textId="77777777" w:rsidR="00B70043" w:rsidRPr="00260EC8" w:rsidRDefault="00B70043" w:rsidP="00CC58D8">
            <w:pPr>
              <w:pStyle w:val="Sidehoved"/>
              <w:ind w:left="29"/>
              <w:rPr>
                <w:sz w:val="22"/>
                <w:szCs w:val="22"/>
              </w:rPr>
            </w:pPr>
            <w:r w:rsidRPr="00260EC8">
              <w:rPr>
                <w:b/>
                <w:sz w:val="22"/>
                <w:szCs w:val="22"/>
              </w:rPr>
              <w:t>Infektioner og parasitære sygdomme</w:t>
            </w:r>
          </w:p>
        </w:tc>
        <w:tc>
          <w:tcPr>
            <w:tcW w:w="1985" w:type="dxa"/>
            <w:tcBorders>
              <w:top w:val="single" w:sz="4" w:space="0" w:color="auto"/>
              <w:left w:val="single" w:sz="4" w:space="0" w:color="auto"/>
              <w:bottom w:val="single" w:sz="4" w:space="0" w:color="auto"/>
              <w:right w:val="single" w:sz="4" w:space="0" w:color="auto"/>
            </w:tcBorders>
            <w:hideMark/>
          </w:tcPr>
          <w:p w14:paraId="28DF2BF1" w14:textId="77777777" w:rsidR="00B70043" w:rsidRPr="00260EC8" w:rsidRDefault="00B70043" w:rsidP="00CC58D8">
            <w:pPr>
              <w:pStyle w:val="Sidehoved"/>
              <w:rPr>
                <w:sz w:val="22"/>
                <w:szCs w:val="22"/>
              </w:rPr>
            </w:pPr>
            <w:r w:rsidRPr="00260EC8">
              <w:rPr>
                <w:sz w:val="22"/>
                <w:szCs w:val="22"/>
              </w:rPr>
              <w:t>Øget modtagelighed for infektioner</w:t>
            </w:r>
          </w:p>
        </w:tc>
        <w:tc>
          <w:tcPr>
            <w:tcW w:w="1984" w:type="dxa"/>
            <w:tcBorders>
              <w:top w:val="single" w:sz="4" w:space="0" w:color="auto"/>
              <w:left w:val="single" w:sz="4" w:space="0" w:color="auto"/>
              <w:bottom w:val="single" w:sz="4" w:space="0" w:color="auto"/>
              <w:right w:val="single" w:sz="4" w:space="0" w:color="auto"/>
            </w:tcBorders>
          </w:tcPr>
          <w:p w14:paraId="14A575B9" w14:textId="77777777" w:rsidR="00B70043" w:rsidRPr="00260EC8" w:rsidRDefault="00B70043" w:rsidP="00CC58D8">
            <w:pPr>
              <w:pStyle w:val="Sidehoved"/>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2AA20463"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tcPr>
          <w:p w14:paraId="248F1D10" w14:textId="77777777" w:rsidR="00B70043" w:rsidRPr="00260EC8" w:rsidRDefault="00B70043" w:rsidP="00CC58D8">
            <w:pPr>
              <w:pStyle w:val="Sidehoved"/>
              <w:ind w:left="38"/>
              <w:rPr>
                <w:sz w:val="22"/>
                <w:szCs w:val="22"/>
              </w:rPr>
            </w:pPr>
          </w:p>
        </w:tc>
      </w:tr>
      <w:tr w:rsidR="00B70043" w:rsidRPr="00260EC8" w14:paraId="0737E43B"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2F978575" w14:textId="77777777" w:rsidR="00B70043" w:rsidRPr="00260EC8" w:rsidRDefault="00B70043" w:rsidP="00CC58D8">
            <w:pPr>
              <w:pStyle w:val="Sidehoved"/>
              <w:ind w:left="29"/>
              <w:rPr>
                <w:sz w:val="22"/>
                <w:szCs w:val="22"/>
              </w:rPr>
            </w:pPr>
            <w:r w:rsidRPr="00260EC8">
              <w:rPr>
                <w:b/>
                <w:sz w:val="22"/>
                <w:szCs w:val="22"/>
              </w:rPr>
              <w:lastRenderedPageBreak/>
              <w:t>Det endokrine system</w:t>
            </w:r>
          </w:p>
        </w:tc>
        <w:tc>
          <w:tcPr>
            <w:tcW w:w="1985" w:type="dxa"/>
            <w:tcBorders>
              <w:top w:val="single" w:sz="4" w:space="0" w:color="auto"/>
              <w:left w:val="single" w:sz="4" w:space="0" w:color="auto"/>
              <w:bottom w:val="single" w:sz="4" w:space="0" w:color="auto"/>
              <w:right w:val="single" w:sz="4" w:space="0" w:color="auto"/>
            </w:tcBorders>
            <w:hideMark/>
          </w:tcPr>
          <w:p w14:paraId="62E7AC5F" w14:textId="77777777" w:rsidR="00B70043" w:rsidRPr="00260EC8" w:rsidRDefault="00B70043" w:rsidP="00CC58D8">
            <w:pPr>
              <w:pStyle w:val="Sidehoved"/>
              <w:rPr>
                <w:sz w:val="22"/>
                <w:szCs w:val="22"/>
              </w:rPr>
            </w:pPr>
            <w:r w:rsidRPr="00260EC8">
              <w:rPr>
                <w:sz w:val="22"/>
                <w:szCs w:val="22"/>
              </w:rPr>
              <w:t xml:space="preserve">Binyresuppression, </w:t>
            </w:r>
            <w:proofErr w:type="spellStart"/>
            <w:r w:rsidRPr="00260EC8">
              <w:rPr>
                <w:sz w:val="22"/>
                <w:szCs w:val="22"/>
              </w:rPr>
              <w:t>Cushing</w:t>
            </w:r>
            <w:proofErr w:type="spellEnd"/>
            <w:r w:rsidRPr="00260EC8">
              <w:rPr>
                <w:sz w:val="22"/>
                <w:szCs w:val="22"/>
              </w:rPr>
              <w:t xml:space="preserve">-lignende symptomer, nedsat vækst hos børn, diabetes mellitus, forhøjet </w:t>
            </w:r>
            <w:proofErr w:type="spellStart"/>
            <w:r w:rsidRPr="00260EC8">
              <w:rPr>
                <w:sz w:val="22"/>
                <w:szCs w:val="22"/>
              </w:rPr>
              <w:t>blodglucose</w:t>
            </w:r>
            <w:proofErr w:type="spellEnd"/>
          </w:p>
        </w:tc>
        <w:tc>
          <w:tcPr>
            <w:tcW w:w="1984" w:type="dxa"/>
            <w:tcBorders>
              <w:top w:val="single" w:sz="4" w:space="0" w:color="auto"/>
              <w:left w:val="single" w:sz="4" w:space="0" w:color="auto"/>
              <w:bottom w:val="single" w:sz="4" w:space="0" w:color="auto"/>
              <w:right w:val="single" w:sz="4" w:space="0" w:color="auto"/>
            </w:tcBorders>
          </w:tcPr>
          <w:p w14:paraId="6CCCB4AA" w14:textId="77777777" w:rsidR="00B70043" w:rsidRPr="00260EC8" w:rsidRDefault="00B70043" w:rsidP="00CC58D8">
            <w:pPr>
              <w:pStyle w:val="Sidehoved"/>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43BDD24"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hideMark/>
          </w:tcPr>
          <w:p w14:paraId="079F5977" w14:textId="77777777" w:rsidR="00B70043" w:rsidRPr="00260EC8" w:rsidRDefault="00B70043" w:rsidP="00CC58D8">
            <w:pPr>
              <w:pStyle w:val="Sidehoved"/>
              <w:ind w:left="38"/>
              <w:rPr>
                <w:sz w:val="22"/>
                <w:szCs w:val="22"/>
              </w:rPr>
            </w:pPr>
            <w:r w:rsidRPr="00260EC8">
              <w:rPr>
                <w:iCs/>
                <w:sz w:val="22"/>
                <w:szCs w:val="22"/>
              </w:rPr>
              <w:t>Menstruations-forstyrrelser</w:t>
            </w:r>
          </w:p>
        </w:tc>
      </w:tr>
      <w:tr w:rsidR="00B70043" w:rsidRPr="00260EC8" w14:paraId="0386CC1B"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063B4F2E" w14:textId="77777777" w:rsidR="00B70043" w:rsidRPr="00260EC8" w:rsidRDefault="00B70043" w:rsidP="00CC58D8">
            <w:pPr>
              <w:pStyle w:val="Sidehoved"/>
              <w:ind w:left="29"/>
              <w:rPr>
                <w:sz w:val="22"/>
                <w:szCs w:val="22"/>
              </w:rPr>
            </w:pPr>
            <w:r w:rsidRPr="00260EC8">
              <w:rPr>
                <w:b/>
                <w:sz w:val="22"/>
                <w:szCs w:val="22"/>
              </w:rPr>
              <w:t>Metabolisme og ernæring</w:t>
            </w:r>
          </w:p>
        </w:tc>
        <w:tc>
          <w:tcPr>
            <w:tcW w:w="1985" w:type="dxa"/>
            <w:tcBorders>
              <w:top w:val="single" w:sz="4" w:space="0" w:color="auto"/>
              <w:left w:val="single" w:sz="4" w:space="0" w:color="auto"/>
              <w:bottom w:val="single" w:sz="4" w:space="0" w:color="auto"/>
              <w:right w:val="single" w:sz="4" w:space="0" w:color="auto"/>
            </w:tcBorders>
            <w:hideMark/>
          </w:tcPr>
          <w:p w14:paraId="2C593D7A" w14:textId="77777777" w:rsidR="00B70043" w:rsidRPr="00260EC8" w:rsidRDefault="00B70043" w:rsidP="00CC58D8">
            <w:pPr>
              <w:pStyle w:val="Sidehoved"/>
              <w:rPr>
                <w:sz w:val="22"/>
                <w:szCs w:val="22"/>
              </w:rPr>
            </w:pPr>
            <w:r w:rsidRPr="00260EC8">
              <w:rPr>
                <w:iCs/>
                <w:sz w:val="22"/>
                <w:szCs w:val="22"/>
              </w:rPr>
              <w:t>Negativ nitrogenbalance</w:t>
            </w:r>
          </w:p>
        </w:tc>
        <w:tc>
          <w:tcPr>
            <w:tcW w:w="1984" w:type="dxa"/>
            <w:tcBorders>
              <w:top w:val="single" w:sz="4" w:space="0" w:color="auto"/>
              <w:left w:val="single" w:sz="4" w:space="0" w:color="auto"/>
              <w:bottom w:val="single" w:sz="4" w:space="0" w:color="auto"/>
              <w:right w:val="single" w:sz="4" w:space="0" w:color="auto"/>
            </w:tcBorders>
            <w:hideMark/>
          </w:tcPr>
          <w:p w14:paraId="769839C6" w14:textId="77777777" w:rsidR="00B70043" w:rsidRPr="00260EC8" w:rsidRDefault="00B70043" w:rsidP="00CC58D8">
            <w:pPr>
              <w:pStyle w:val="Sidehoved"/>
              <w:rPr>
                <w:sz w:val="22"/>
                <w:szCs w:val="22"/>
              </w:rPr>
            </w:pPr>
            <w:proofErr w:type="spellStart"/>
            <w:r w:rsidRPr="00260EC8">
              <w:rPr>
                <w:sz w:val="22"/>
                <w:szCs w:val="22"/>
              </w:rPr>
              <w:t>Hypokaliæmi</w:t>
            </w:r>
            <w:proofErr w:type="spellEnd"/>
            <w:r w:rsidRPr="00260EC8">
              <w:rPr>
                <w:sz w:val="22"/>
                <w:szCs w:val="22"/>
              </w:rPr>
              <w:t>, natriumretention</w:t>
            </w:r>
          </w:p>
        </w:tc>
        <w:tc>
          <w:tcPr>
            <w:tcW w:w="1560" w:type="dxa"/>
            <w:tcBorders>
              <w:top w:val="single" w:sz="4" w:space="0" w:color="auto"/>
              <w:left w:val="single" w:sz="4" w:space="0" w:color="auto"/>
              <w:bottom w:val="single" w:sz="4" w:space="0" w:color="auto"/>
              <w:right w:val="single" w:sz="4" w:space="0" w:color="auto"/>
            </w:tcBorders>
          </w:tcPr>
          <w:p w14:paraId="48ED5392"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hideMark/>
          </w:tcPr>
          <w:p w14:paraId="53ABDE95" w14:textId="77777777" w:rsidR="00B70043" w:rsidRPr="00260EC8" w:rsidRDefault="00B70043" w:rsidP="00CC58D8">
            <w:pPr>
              <w:pStyle w:val="Sidehoved"/>
              <w:ind w:left="38"/>
              <w:rPr>
                <w:sz w:val="22"/>
                <w:szCs w:val="22"/>
              </w:rPr>
            </w:pPr>
            <w:r w:rsidRPr="00260EC8">
              <w:rPr>
                <w:sz w:val="22"/>
                <w:szCs w:val="22"/>
              </w:rPr>
              <w:t xml:space="preserve">Væskeretention, </w:t>
            </w:r>
            <w:proofErr w:type="spellStart"/>
            <w:r w:rsidRPr="00260EC8">
              <w:rPr>
                <w:sz w:val="22"/>
                <w:szCs w:val="22"/>
              </w:rPr>
              <w:t>hypokalæmisk</w:t>
            </w:r>
            <w:proofErr w:type="spellEnd"/>
            <w:r w:rsidRPr="00260EC8">
              <w:rPr>
                <w:sz w:val="22"/>
                <w:szCs w:val="22"/>
              </w:rPr>
              <w:t xml:space="preserve"> </w:t>
            </w:r>
            <w:proofErr w:type="spellStart"/>
            <w:r w:rsidRPr="00260EC8">
              <w:rPr>
                <w:sz w:val="22"/>
                <w:szCs w:val="22"/>
              </w:rPr>
              <w:t>alkalose</w:t>
            </w:r>
            <w:proofErr w:type="spellEnd"/>
            <w:r w:rsidRPr="00260EC8">
              <w:rPr>
                <w:sz w:val="22"/>
                <w:szCs w:val="22"/>
              </w:rPr>
              <w:t>, nedsat karbohydrat-tolerance</w:t>
            </w:r>
          </w:p>
        </w:tc>
      </w:tr>
      <w:tr w:rsidR="00B70043" w:rsidRPr="00260EC8" w14:paraId="548C6B3F"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6550D058" w14:textId="77777777" w:rsidR="00B70043" w:rsidRPr="00260EC8" w:rsidRDefault="00B70043" w:rsidP="00CC58D8">
            <w:pPr>
              <w:pStyle w:val="Sidehoved"/>
              <w:ind w:left="29"/>
              <w:rPr>
                <w:sz w:val="22"/>
                <w:szCs w:val="22"/>
              </w:rPr>
            </w:pPr>
            <w:r w:rsidRPr="00260EC8">
              <w:rPr>
                <w:b/>
                <w:sz w:val="22"/>
                <w:szCs w:val="22"/>
              </w:rPr>
              <w:t>Psykiske forstyrrelser</w:t>
            </w:r>
          </w:p>
        </w:tc>
        <w:tc>
          <w:tcPr>
            <w:tcW w:w="1985" w:type="dxa"/>
            <w:tcBorders>
              <w:top w:val="single" w:sz="4" w:space="0" w:color="auto"/>
              <w:left w:val="single" w:sz="4" w:space="0" w:color="auto"/>
              <w:bottom w:val="single" w:sz="4" w:space="0" w:color="auto"/>
              <w:right w:val="single" w:sz="4" w:space="0" w:color="auto"/>
            </w:tcBorders>
            <w:hideMark/>
          </w:tcPr>
          <w:p w14:paraId="6855A412" w14:textId="77777777" w:rsidR="00B70043" w:rsidRPr="00260EC8" w:rsidRDefault="00B70043" w:rsidP="00CC58D8">
            <w:pPr>
              <w:pStyle w:val="Sidehoved"/>
              <w:rPr>
                <w:sz w:val="22"/>
                <w:szCs w:val="22"/>
              </w:rPr>
            </w:pPr>
            <w:r w:rsidRPr="00260EC8">
              <w:rPr>
                <w:iCs/>
                <w:sz w:val="22"/>
                <w:szCs w:val="22"/>
              </w:rPr>
              <w:t>Psykiske forstyrrelser rangerende fra eufori, søvnløshed, humørændringer, depression til psykose</w:t>
            </w:r>
          </w:p>
        </w:tc>
        <w:tc>
          <w:tcPr>
            <w:tcW w:w="1984" w:type="dxa"/>
            <w:tcBorders>
              <w:top w:val="single" w:sz="4" w:space="0" w:color="auto"/>
              <w:left w:val="single" w:sz="4" w:space="0" w:color="auto"/>
              <w:bottom w:val="single" w:sz="4" w:space="0" w:color="auto"/>
              <w:right w:val="single" w:sz="4" w:space="0" w:color="auto"/>
            </w:tcBorders>
          </w:tcPr>
          <w:p w14:paraId="38843A27" w14:textId="77777777" w:rsidR="00B70043" w:rsidRPr="00260EC8" w:rsidRDefault="00B70043" w:rsidP="00CC58D8">
            <w:pPr>
              <w:pStyle w:val="Sidehoved"/>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43B7CE6C"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tcPr>
          <w:p w14:paraId="7D76E06B" w14:textId="77777777" w:rsidR="00B70043" w:rsidRPr="00260EC8" w:rsidRDefault="00B70043" w:rsidP="00CC58D8">
            <w:pPr>
              <w:pStyle w:val="Sidehoved"/>
              <w:ind w:left="38"/>
              <w:rPr>
                <w:sz w:val="22"/>
                <w:szCs w:val="22"/>
              </w:rPr>
            </w:pPr>
          </w:p>
        </w:tc>
      </w:tr>
      <w:tr w:rsidR="00B70043" w:rsidRPr="00260EC8" w14:paraId="2F217F95"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29FB2BD3" w14:textId="77777777" w:rsidR="00B70043" w:rsidRPr="00260EC8" w:rsidRDefault="00B70043" w:rsidP="00CC58D8">
            <w:pPr>
              <w:pStyle w:val="Sidehoved"/>
              <w:ind w:left="29"/>
              <w:rPr>
                <w:sz w:val="22"/>
                <w:szCs w:val="22"/>
              </w:rPr>
            </w:pPr>
            <w:r w:rsidRPr="00260EC8">
              <w:rPr>
                <w:b/>
                <w:sz w:val="22"/>
                <w:szCs w:val="22"/>
              </w:rPr>
              <w:t>Nervesystemet</w:t>
            </w:r>
          </w:p>
        </w:tc>
        <w:tc>
          <w:tcPr>
            <w:tcW w:w="1985" w:type="dxa"/>
            <w:tcBorders>
              <w:top w:val="single" w:sz="4" w:space="0" w:color="auto"/>
              <w:left w:val="single" w:sz="4" w:space="0" w:color="auto"/>
              <w:bottom w:val="single" w:sz="4" w:space="0" w:color="auto"/>
              <w:right w:val="single" w:sz="4" w:space="0" w:color="auto"/>
            </w:tcBorders>
          </w:tcPr>
          <w:p w14:paraId="23CD12A0" w14:textId="77777777" w:rsidR="00B70043" w:rsidRPr="00260EC8" w:rsidRDefault="00B70043" w:rsidP="00CC58D8">
            <w:pPr>
              <w:pStyle w:val="Sidehoved"/>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D5036DB" w14:textId="77777777" w:rsidR="00B70043" w:rsidRPr="00260EC8" w:rsidRDefault="00B70043" w:rsidP="00CC58D8">
            <w:pPr>
              <w:pStyle w:val="Sidehoved"/>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595521E9" w14:textId="77777777" w:rsidR="00B70043" w:rsidRPr="00260EC8" w:rsidRDefault="00B70043" w:rsidP="00CC58D8">
            <w:pPr>
              <w:pStyle w:val="Sidehoved"/>
              <w:ind w:left="38"/>
              <w:rPr>
                <w:sz w:val="22"/>
                <w:szCs w:val="22"/>
              </w:rPr>
            </w:pPr>
            <w:r w:rsidRPr="00260EC8">
              <w:rPr>
                <w:iCs/>
                <w:sz w:val="22"/>
                <w:szCs w:val="22"/>
              </w:rPr>
              <w:t xml:space="preserve">Øget </w:t>
            </w:r>
            <w:proofErr w:type="spellStart"/>
            <w:r w:rsidRPr="00260EC8">
              <w:rPr>
                <w:iCs/>
                <w:sz w:val="22"/>
                <w:szCs w:val="22"/>
              </w:rPr>
              <w:t>intrakranielt</w:t>
            </w:r>
            <w:proofErr w:type="spellEnd"/>
            <w:r w:rsidRPr="00260EC8">
              <w:rPr>
                <w:iCs/>
                <w:sz w:val="22"/>
                <w:szCs w:val="22"/>
              </w:rPr>
              <w:t xml:space="preserve"> tryk</w:t>
            </w:r>
          </w:p>
        </w:tc>
        <w:tc>
          <w:tcPr>
            <w:tcW w:w="2097" w:type="dxa"/>
            <w:tcBorders>
              <w:top w:val="single" w:sz="4" w:space="0" w:color="auto"/>
              <w:left w:val="single" w:sz="4" w:space="0" w:color="auto"/>
              <w:bottom w:val="single" w:sz="4" w:space="0" w:color="auto"/>
              <w:right w:val="single" w:sz="4" w:space="0" w:color="auto"/>
            </w:tcBorders>
            <w:hideMark/>
          </w:tcPr>
          <w:p w14:paraId="3202C3E2" w14:textId="77777777" w:rsidR="00B70043" w:rsidRPr="00260EC8" w:rsidRDefault="00B70043" w:rsidP="00CC58D8">
            <w:pPr>
              <w:pStyle w:val="Sidehoved"/>
              <w:ind w:left="38"/>
              <w:rPr>
                <w:sz w:val="22"/>
                <w:szCs w:val="22"/>
              </w:rPr>
            </w:pPr>
            <w:r w:rsidRPr="00260EC8">
              <w:rPr>
                <w:iCs/>
                <w:sz w:val="22"/>
                <w:szCs w:val="22"/>
              </w:rPr>
              <w:t xml:space="preserve">Krampeanfald, </w:t>
            </w:r>
            <w:proofErr w:type="spellStart"/>
            <w:r w:rsidRPr="00260EC8">
              <w:rPr>
                <w:iCs/>
                <w:sz w:val="22"/>
                <w:szCs w:val="22"/>
              </w:rPr>
              <w:t>vertigo</w:t>
            </w:r>
            <w:proofErr w:type="spellEnd"/>
            <w:r w:rsidRPr="00260EC8">
              <w:rPr>
                <w:iCs/>
                <w:sz w:val="22"/>
                <w:szCs w:val="22"/>
              </w:rPr>
              <w:t>, hovedpine</w:t>
            </w:r>
          </w:p>
        </w:tc>
      </w:tr>
      <w:tr w:rsidR="00B70043" w:rsidRPr="00260EC8" w14:paraId="49DAADDC" w14:textId="77777777" w:rsidTr="00CC58D8">
        <w:trPr>
          <w:cantSplit/>
          <w:trHeight w:val="950"/>
        </w:trPr>
        <w:tc>
          <w:tcPr>
            <w:tcW w:w="1696" w:type="dxa"/>
            <w:tcBorders>
              <w:top w:val="single" w:sz="4" w:space="0" w:color="auto"/>
              <w:left w:val="single" w:sz="4" w:space="0" w:color="auto"/>
              <w:bottom w:val="single" w:sz="4" w:space="0" w:color="auto"/>
              <w:right w:val="single" w:sz="4" w:space="0" w:color="auto"/>
            </w:tcBorders>
            <w:hideMark/>
          </w:tcPr>
          <w:p w14:paraId="33283FBC" w14:textId="77777777" w:rsidR="00B70043" w:rsidRPr="00260EC8" w:rsidRDefault="00B70043" w:rsidP="00CC58D8">
            <w:pPr>
              <w:pStyle w:val="Sidehoved"/>
              <w:ind w:left="29"/>
              <w:rPr>
                <w:sz w:val="22"/>
                <w:szCs w:val="22"/>
              </w:rPr>
            </w:pPr>
            <w:r w:rsidRPr="00260EC8">
              <w:rPr>
                <w:b/>
                <w:iCs/>
                <w:sz w:val="22"/>
                <w:szCs w:val="22"/>
              </w:rPr>
              <w:t>Øjne</w:t>
            </w:r>
          </w:p>
        </w:tc>
        <w:tc>
          <w:tcPr>
            <w:tcW w:w="1985" w:type="dxa"/>
            <w:tcBorders>
              <w:top w:val="single" w:sz="4" w:space="0" w:color="auto"/>
              <w:left w:val="single" w:sz="4" w:space="0" w:color="auto"/>
              <w:bottom w:val="single" w:sz="4" w:space="0" w:color="auto"/>
              <w:right w:val="single" w:sz="4" w:space="0" w:color="auto"/>
            </w:tcBorders>
          </w:tcPr>
          <w:p w14:paraId="2A21E983" w14:textId="77777777" w:rsidR="00B70043" w:rsidRPr="00260EC8" w:rsidRDefault="00B70043" w:rsidP="00CC58D8">
            <w:pPr>
              <w:pStyle w:val="Sidehoved"/>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720814BD" w14:textId="77777777" w:rsidR="00B70043" w:rsidRPr="00260EC8" w:rsidRDefault="00B70043" w:rsidP="00CC58D8">
            <w:pPr>
              <w:pStyle w:val="Sidehoved"/>
              <w:rPr>
                <w:sz w:val="22"/>
                <w:szCs w:val="22"/>
              </w:rPr>
            </w:pPr>
            <w:r w:rsidRPr="00260EC8">
              <w:rPr>
                <w:iCs/>
                <w:sz w:val="22"/>
                <w:szCs w:val="22"/>
              </w:rPr>
              <w:t xml:space="preserve">Forhøjet </w:t>
            </w:r>
            <w:proofErr w:type="spellStart"/>
            <w:r w:rsidRPr="00260EC8">
              <w:rPr>
                <w:iCs/>
                <w:sz w:val="22"/>
                <w:szCs w:val="22"/>
              </w:rPr>
              <w:t>intraokulært</w:t>
            </w:r>
            <w:proofErr w:type="spellEnd"/>
            <w:r w:rsidRPr="00260EC8">
              <w:rPr>
                <w:iCs/>
                <w:sz w:val="22"/>
                <w:szCs w:val="22"/>
              </w:rPr>
              <w:t xml:space="preserve"> tryk, </w:t>
            </w:r>
            <w:proofErr w:type="spellStart"/>
            <w:r w:rsidRPr="00260EC8">
              <w:rPr>
                <w:iCs/>
                <w:sz w:val="22"/>
                <w:szCs w:val="22"/>
              </w:rPr>
              <w:t>glaukom</w:t>
            </w:r>
            <w:proofErr w:type="spellEnd"/>
            <w:r w:rsidRPr="00260EC8">
              <w:rPr>
                <w:iCs/>
                <w:sz w:val="22"/>
                <w:szCs w:val="22"/>
              </w:rPr>
              <w:t xml:space="preserve">, </w:t>
            </w:r>
            <w:proofErr w:type="spellStart"/>
            <w:r w:rsidRPr="00260EC8">
              <w:rPr>
                <w:iCs/>
                <w:sz w:val="22"/>
                <w:szCs w:val="22"/>
              </w:rPr>
              <w:t>posterior</w:t>
            </w:r>
            <w:proofErr w:type="spellEnd"/>
            <w:r w:rsidRPr="00260EC8">
              <w:rPr>
                <w:iCs/>
                <w:sz w:val="22"/>
                <w:szCs w:val="22"/>
              </w:rPr>
              <w:t xml:space="preserve"> katarakt, </w:t>
            </w:r>
            <w:proofErr w:type="spellStart"/>
            <w:r w:rsidRPr="00260EC8">
              <w:rPr>
                <w:iCs/>
                <w:sz w:val="22"/>
                <w:szCs w:val="22"/>
              </w:rPr>
              <w:t>eksoftalmi</w:t>
            </w:r>
            <w:proofErr w:type="spellEnd"/>
          </w:p>
        </w:tc>
        <w:tc>
          <w:tcPr>
            <w:tcW w:w="1560" w:type="dxa"/>
            <w:tcBorders>
              <w:top w:val="single" w:sz="4" w:space="0" w:color="auto"/>
              <w:left w:val="single" w:sz="4" w:space="0" w:color="auto"/>
              <w:bottom w:val="single" w:sz="4" w:space="0" w:color="auto"/>
              <w:right w:val="single" w:sz="4" w:space="0" w:color="auto"/>
            </w:tcBorders>
          </w:tcPr>
          <w:p w14:paraId="3B1081CF"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hideMark/>
          </w:tcPr>
          <w:p w14:paraId="0350B274" w14:textId="77777777" w:rsidR="00B70043" w:rsidRPr="00260EC8" w:rsidRDefault="00B70043" w:rsidP="00CC58D8">
            <w:pPr>
              <w:pStyle w:val="Sidehoved"/>
              <w:ind w:left="38"/>
              <w:rPr>
                <w:sz w:val="22"/>
                <w:szCs w:val="22"/>
              </w:rPr>
            </w:pPr>
            <w:proofErr w:type="spellStart"/>
            <w:r w:rsidRPr="00260EC8">
              <w:rPr>
                <w:iCs/>
                <w:sz w:val="22"/>
                <w:szCs w:val="22"/>
              </w:rPr>
              <w:t>Korioretinopati</w:t>
            </w:r>
            <w:proofErr w:type="spellEnd"/>
            <w:r w:rsidRPr="00260EC8">
              <w:rPr>
                <w:iCs/>
                <w:sz w:val="22"/>
                <w:szCs w:val="22"/>
              </w:rPr>
              <w:t>, sløret syn (se også pkt. 4.4)</w:t>
            </w:r>
          </w:p>
        </w:tc>
      </w:tr>
      <w:tr w:rsidR="00B70043" w:rsidRPr="00260EC8" w14:paraId="4A6936C2"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654CA0B9" w14:textId="77777777" w:rsidR="00B70043" w:rsidRPr="00260EC8" w:rsidRDefault="00B70043" w:rsidP="00CC58D8">
            <w:pPr>
              <w:pStyle w:val="Sidehoved"/>
              <w:ind w:left="29"/>
              <w:rPr>
                <w:sz w:val="22"/>
                <w:szCs w:val="22"/>
              </w:rPr>
            </w:pPr>
            <w:r w:rsidRPr="00260EC8">
              <w:rPr>
                <w:b/>
                <w:iCs/>
                <w:sz w:val="22"/>
                <w:szCs w:val="22"/>
              </w:rPr>
              <w:t>Hjerte</w:t>
            </w:r>
          </w:p>
        </w:tc>
        <w:tc>
          <w:tcPr>
            <w:tcW w:w="1985" w:type="dxa"/>
            <w:tcBorders>
              <w:top w:val="single" w:sz="4" w:space="0" w:color="auto"/>
              <w:left w:val="single" w:sz="4" w:space="0" w:color="auto"/>
              <w:bottom w:val="single" w:sz="4" w:space="0" w:color="auto"/>
              <w:right w:val="single" w:sz="4" w:space="0" w:color="auto"/>
            </w:tcBorders>
            <w:hideMark/>
          </w:tcPr>
          <w:p w14:paraId="47BEB4D8" w14:textId="77777777" w:rsidR="00B70043" w:rsidRPr="00260EC8" w:rsidRDefault="00B70043" w:rsidP="00CC58D8">
            <w:pPr>
              <w:pStyle w:val="Sidehoved"/>
              <w:rPr>
                <w:sz w:val="22"/>
                <w:szCs w:val="22"/>
              </w:rPr>
            </w:pPr>
            <w:r w:rsidRPr="00260EC8">
              <w:rPr>
                <w:sz w:val="22"/>
                <w:szCs w:val="22"/>
              </w:rPr>
              <w:t>Bradykardi</w:t>
            </w:r>
          </w:p>
        </w:tc>
        <w:tc>
          <w:tcPr>
            <w:tcW w:w="1984" w:type="dxa"/>
            <w:tcBorders>
              <w:top w:val="single" w:sz="4" w:space="0" w:color="auto"/>
              <w:left w:val="single" w:sz="4" w:space="0" w:color="auto"/>
              <w:bottom w:val="single" w:sz="4" w:space="0" w:color="auto"/>
              <w:right w:val="single" w:sz="4" w:space="0" w:color="auto"/>
            </w:tcBorders>
            <w:hideMark/>
          </w:tcPr>
          <w:p w14:paraId="7A2CA1ED" w14:textId="77777777" w:rsidR="00B70043" w:rsidRPr="00260EC8" w:rsidRDefault="00B70043" w:rsidP="00CC58D8">
            <w:pPr>
              <w:pStyle w:val="Sidehoved"/>
              <w:rPr>
                <w:sz w:val="22"/>
                <w:szCs w:val="22"/>
              </w:rPr>
            </w:pPr>
            <w:r w:rsidRPr="00260EC8">
              <w:rPr>
                <w:iCs/>
                <w:sz w:val="22"/>
                <w:szCs w:val="22"/>
              </w:rPr>
              <w:t xml:space="preserve">Kardial </w:t>
            </w:r>
            <w:proofErr w:type="spellStart"/>
            <w:r w:rsidRPr="00260EC8">
              <w:rPr>
                <w:iCs/>
                <w:sz w:val="22"/>
                <w:szCs w:val="22"/>
              </w:rPr>
              <w:t>dekompensation</w:t>
            </w:r>
            <w:proofErr w:type="spellEnd"/>
            <w:r w:rsidRPr="00260EC8">
              <w:rPr>
                <w:iCs/>
                <w:sz w:val="22"/>
                <w:szCs w:val="22"/>
              </w:rPr>
              <w:t>, hypertension</w:t>
            </w:r>
          </w:p>
        </w:tc>
        <w:tc>
          <w:tcPr>
            <w:tcW w:w="1560" w:type="dxa"/>
            <w:tcBorders>
              <w:top w:val="single" w:sz="4" w:space="0" w:color="auto"/>
              <w:left w:val="single" w:sz="4" w:space="0" w:color="auto"/>
              <w:bottom w:val="single" w:sz="4" w:space="0" w:color="auto"/>
              <w:right w:val="single" w:sz="4" w:space="0" w:color="auto"/>
            </w:tcBorders>
          </w:tcPr>
          <w:p w14:paraId="1D4CEAAD"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hideMark/>
          </w:tcPr>
          <w:p w14:paraId="2AD39FC7" w14:textId="77777777" w:rsidR="00B70043" w:rsidRDefault="00B70043" w:rsidP="00CC58D8">
            <w:pPr>
              <w:pStyle w:val="Sidehoved"/>
              <w:ind w:left="38"/>
              <w:rPr>
                <w:sz w:val="22"/>
                <w:szCs w:val="22"/>
              </w:rPr>
            </w:pPr>
            <w:proofErr w:type="spellStart"/>
            <w:r w:rsidRPr="00260EC8">
              <w:rPr>
                <w:sz w:val="22"/>
                <w:szCs w:val="22"/>
              </w:rPr>
              <w:t>Myokardieruptur</w:t>
            </w:r>
            <w:proofErr w:type="spellEnd"/>
            <w:r w:rsidRPr="00260EC8">
              <w:rPr>
                <w:sz w:val="22"/>
                <w:szCs w:val="22"/>
              </w:rPr>
              <w:t xml:space="preserve"> efter nyligt myokardieinfarkt</w:t>
            </w:r>
            <w:r>
              <w:rPr>
                <w:sz w:val="22"/>
                <w:szCs w:val="22"/>
              </w:rPr>
              <w:t>,</w:t>
            </w:r>
          </w:p>
          <w:p w14:paraId="13A56039" w14:textId="77777777" w:rsidR="00B70043" w:rsidRPr="00260EC8" w:rsidRDefault="00B70043" w:rsidP="00CC58D8">
            <w:pPr>
              <w:pStyle w:val="Sidehoved"/>
              <w:ind w:left="38"/>
              <w:rPr>
                <w:sz w:val="22"/>
                <w:szCs w:val="22"/>
              </w:rPr>
            </w:pPr>
            <w:proofErr w:type="spellStart"/>
            <w:r w:rsidRPr="00352664">
              <w:rPr>
                <w:sz w:val="22"/>
                <w:szCs w:val="22"/>
              </w:rPr>
              <w:t>hypertrofisk</w:t>
            </w:r>
            <w:proofErr w:type="spellEnd"/>
            <w:r w:rsidRPr="00352664">
              <w:rPr>
                <w:sz w:val="22"/>
                <w:szCs w:val="22"/>
              </w:rPr>
              <w:t xml:space="preserve"> </w:t>
            </w:r>
            <w:proofErr w:type="spellStart"/>
            <w:r w:rsidRPr="00352664">
              <w:rPr>
                <w:sz w:val="22"/>
                <w:szCs w:val="22"/>
              </w:rPr>
              <w:t>kardiomyopati</w:t>
            </w:r>
            <w:proofErr w:type="spellEnd"/>
            <w:r w:rsidRPr="00352664">
              <w:rPr>
                <w:sz w:val="22"/>
                <w:szCs w:val="22"/>
              </w:rPr>
              <w:t xml:space="preserve"> hos for tidligt fødte børn (se pkt. 4.4).</w:t>
            </w:r>
          </w:p>
        </w:tc>
      </w:tr>
      <w:tr w:rsidR="00B70043" w:rsidRPr="00260EC8" w14:paraId="2D9E5DA6"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41669854" w14:textId="77777777" w:rsidR="00B70043" w:rsidRPr="00260EC8" w:rsidRDefault="00B70043" w:rsidP="00CC58D8">
            <w:pPr>
              <w:pStyle w:val="Sidehoved"/>
              <w:ind w:left="29"/>
              <w:rPr>
                <w:b/>
                <w:iCs/>
                <w:sz w:val="22"/>
                <w:szCs w:val="22"/>
              </w:rPr>
            </w:pPr>
            <w:proofErr w:type="spellStart"/>
            <w:r w:rsidRPr="00260EC8">
              <w:rPr>
                <w:b/>
                <w:iCs/>
                <w:sz w:val="22"/>
                <w:szCs w:val="22"/>
              </w:rPr>
              <w:t>Vaskulære</w:t>
            </w:r>
            <w:proofErr w:type="spellEnd"/>
            <w:r w:rsidRPr="00260EC8">
              <w:rPr>
                <w:b/>
                <w:iCs/>
                <w:sz w:val="22"/>
                <w:szCs w:val="22"/>
              </w:rPr>
              <w:t xml:space="preserve"> sygdomme</w:t>
            </w:r>
          </w:p>
        </w:tc>
        <w:tc>
          <w:tcPr>
            <w:tcW w:w="1985" w:type="dxa"/>
            <w:tcBorders>
              <w:top w:val="single" w:sz="4" w:space="0" w:color="auto"/>
              <w:left w:val="single" w:sz="4" w:space="0" w:color="auto"/>
              <w:bottom w:val="single" w:sz="4" w:space="0" w:color="auto"/>
              <w:right w:val="single" w:sz="4" w:space="0" w:color="auto"/>
            </w:tcBorders>
          </w:tcPr>
          <w:p w14:paraId="17EE9EEB" w14:textId="77777777" w:rsidR="00B70043" w:rsidRPr="00260EC8" w:rsidRDefault="00B70043" w:rsidP="00CC58D8">
            <w:pPr>
              <w:pStyle w:val="Sidehoved"/>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38534D07" w14:textId="77777777" w:rsidR="00B70043" w:rsidRPr="00260EC8" w:rsidRDefault="00B70043" w:rsidP="00CC58D8">
            <w:pPr>
              <w:pStyle w:val="Sidehoved"/>
              <w:rPr>
                <w:iCs/>
                <w:sz w:val="22"/>
                <w:szCs w:val="22"/>
              </w:rPr>
            </w:pPr>
            <w:r w:rsidRPr="00260EC8">
              <w:rPr>
                <w:iCs/>
                <w:sz w:val="22"/>
                <w:szCs w:val="22"/>
              </w:rPr>
              <w:t>Trombose</w:t>
            </w:r>
          </w:p>
        </w:tc>
        <w:tc>
          <w:tcPr>
            <w:tcW w:w="1560" w:type="dxa"/>
            <w:tcBorders>
              <w:top w:val="single" w:sz="4" w:space="0" w:color="auto"/>
              <w:left w:val="single" w:sz="4" w:space="0" w:color="auto"/>
              <w:bottom w:val="single" w:sz="4" w:space="0" w:color="auto"/>
              <w:right w:val="single" w:sz="4" w:space="0" w:color="auto"/>
            </w:tcBorders>
          </w:tcPr>
          <w:p w14:paraId="6EBECD19"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hideMark/>
          </w:tcPr>
          <w:p w14:paraId="28CF23D5" w14:textId="77777777" w:rsidR="00B70043" w:rsidRPr="00260EC8" w:rsidRDefault="00B70043" w:rsidP="00CC58D8">
            <w:pPr>
              <w:pStyle w:val="Sidehoved"/>
              <w:ind w:left="38"/>
              <w:rPr>
                <w:sz w:val="22"/>
                <w:szCs w:val="22"/>
              </w:rPr>
            </w:pPr>
            <w:proofErr w:type="spellStart"/>
            <w:r w:rsidRPr="00260EC8">
              <w:rPr>
                <w:iCs/>
                <w:sz w:val="22"/>
                <w:szCs w:val="22"/>
              </w:rPr>
              <w:t>Tromboemboli</w:t>
            </w:r>
            <w:proofErr w:type="spellEnd"/>
          </w:p>
        </w:tc>
      </w:tr>
      <w:tr w:rsidR="00B70043" w:rsidRPr="00260EC8" w14:paraId="65406AD8"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2F7B76C8" w14:textId="77777777" w:rsidR="00B70043" w:rsidRPr="00260EC8" w:rsidRDefault="00B70043" w:rsidP="00CC58D8">
            <w:pPr>
              <w:pStyle w:val="Sidehoved"/>
              <w:ind w:left="29"/>
              <w:rPr>
                <w:b/>
                <w:iCs/>
                <w:sz w:val="22"/>
                <w:szCs w:val="22"/>
              </w:rPr>
            </w:pPr>
            <w:r w:rsidRPr="00260EC8">
              <w:rPr>
                <w:b/>
                <w:sz w:val="22"/>
                <w:szCs w:val="22"/>
              </w:rPr>
              <w:t>Mave-tarm-kanalen</w:t>
            </w:r>
          </w:p>
        </w:tc>
        <w:tc>
          <w:tcPr>
            <w:tcW w:w="1985" w:type="dxa"/>
            <w:tcBorders>
              <w:top w:val="single" w:sz="4" w:space="0" w:color="auto"/>
              <w:left w:val="single" w:sz="4" w:space="0" w:color="auto"/>
              <w:bottom w:val="single" w:sz="4" w:space="0" w:color="auto"/>
              <w:right w:val="single" w:sz="4" w:space="0" w:color="auto"/>
            </w:tcBorders>
          </w:tcPr>
          <w:p w14:paraId="2E88A974" w14:textId="77777777" w:rsidR="00B70043" w:rsidRPr="00260EC8" w:rsidRDefault="00B70043" w:rsidP="00CC58D8">
            <w:pPr>
              <w:pStyle w:val="Sidehoved"/>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4BD995F7" w14:textId="77777777" w:rsidR="00B70043" w:rsidRPr="00260EC8" w:rsidRDefault="00B70043" w:rsidP="00CC58D8">
            <w:pPr>
              <w:pStyle w:val="Sidehoved"/>
              <w:rPr>
                <w:iCs/>
                <w:sz w:val="22"/>
                <w:szCs w:val="22"/>
              </w:rPr>
            </w:pPr>
            <w:proofErr w:type="spellStart"/>
            <w:r w:rsidRPr="00260EC8">
              <w:rPr>
                <w:iCs/>
                <w:sz w:val="22"/>
                <w:szCs w:val="22"/>
              </w:rPr>
              <w:t>Gastrointestinale</w:t>
            </w:r>
            <w:proofErr w:type="spellEnd"/>
            <w:r w:rsidRPr="00260EC8">
              <w:rPr>
                <w:iCs/>
                <w:sz w:val="22"/>
                <w:szCs w:val="22"/>
              </w:rPr>
              <w:t xml:space="preserve"> forstyrrelser såsom kvalme og mavesår</w:t>
            </w:r>
          </w:p>
        </w:tc>
        <w:tc>
          <w:tcPr>
            <w:tcW w:w="1560" w:type="dxa"/>
            <w:tcBorders>
              <w:top w:val="single" w:sz="4" w:space="0" w:color="auto"/>
              <w:left w:val="single" w:sz="4" w:space="0" w:color="auto"/>
              <w:bottom w:val="single" w:sz="4" w:space="0" w:color="auto"/>
              <w:right w:val="single" w:sz="4" w:space="0" w:color="auto"/>
            </w:tcBorders>
          </w:tcPr>
          <w:p w14:paraId="755B01DD"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hideMark/>
          </w:tcPr>
          <w:p w14:paraId="3F637305" w14:textId="77777777" w:rsidR="00B70043" w:rsidRPr="00260EC8" w:rsidRDefault="00B70043" w:rsidP="00CC58D8">
            <w:pPr>
              <w:pStyle w:val="Sidehoved"/>
              <w:ind w:left="38"/>
              <w:rPr>
                <w:sz w:val="22"/>
                <w:szCs w:val="22"/>
              </w:rPr>
            </w:pPr>
            <w:proofErr w:type="spellStart"/>
            <w:r w:rsidRPr="00260EC8">
              <w:rPr>
                <w:iCs/>
                <w:sz w:val="22"/>
                <w:szCs w:val="22"/>
              </w:rPr>
              <w:t>Hæmoragisk</w:t>
            </w:r>
            <w:proofErr w:type="spellEnd"/>
            <w:r w:rsidRPr="00260EC8">
              <w:rPr>
                <w:iCs/>
                <w:sz w:val="22"/>
                <w:szCs w:val="22"/>
              </w:rPr>
              <w:t xml:space="preserve"> perforation af tarmen, </w:t>
            </w:r>
            <w:r w:rsidRPr="00260EC8">
              <w:rPr>
                <w:sz w:val="22"/>
                <w:szCs w:val="22"/>
              </w:rPr>
              <w:t xml:space="preserve">ulcerøs </w:t>
            </w:r>
            <w:proofErr w:type="spellStart"/>
            <w:r w:rsidRPr="00260EC8">
              <w:rPr>
                <w:sz w:val="22"/>
                <w:szCs w:val="22"/>
              </w:rPr>
              <w:t>øsofagitis</w:t>
            </w:r>
            <w:proofErr w:type="spellEnd"/>
            <w:r w:rsidRPr="00260EC8">
              <w:rPr>
                <w:sz w:val="22"/>
                <w:szCs w:val="22"/>
              </w:rPr>
              <w:t xml:space="preserve">, </w:t>
            </w:r>
            <w:proofErr w:type="spellStart"/>
            <w:r w:rsidRPr="00260EC8">
              <w:rPr>
                <w:sz w:val="22"/>
                <w:szCs w:val="22"/>
              </w:rPr>
              <w:t>pankreatitis</w:t>
            </w:r>
            <w:proofErr w:type="spellEnd"/>
            <w:r w:rsidRPr="00260EC8">
              <w:rPr>
                <w:sz w:val="22"/>
                <w:szCs w:val="22"/>
              </w:rPr>
              <w:t xml:space="preserve">, </w:t>
            </w:r>
            <w:proofErr w:type="spellStart"/>
            <w:r w:rsidRPr="00260EC8">
              <w:rPr>
                <w:sz w:val="22"/>
                <w:szCs w:val="22"/>
              </w:rPr>
              <w:t>abdominal</w:t>
            </w:r>
            <w:proofErr w:type="spellEnd"/>
            <w:r w:rsidRPr="00260EC8">
              <w:rPr>
                <w:sz w:val="22"/>
                <w:szCs w:val="22"/>
              </w:rPr>
              <w:t xml:space="preserve"> </w:t>
            </w:r>
            <w:proofErr w:type="spellStart"/>
            <w:r w:rsidRPr="00260EC8">
              <w:rPr>
                <w:sz w:val="22"/>
                <w:szCs w:val="22"/>
              </w:rPr>
              <w:t>distension</w:t>
            </w:r>
            <w:proofErr w:type="spellEnd"/>
          </w:p>
        </w:tc>
      </w:tr>
      <w:tr w:rsidR="00B70043" w:rsidRPr="00260EC8" w14:paraId="5B3F5DDC" w14:textId="77777777" w:rsidTr="00CC58D8">
        <w:trPr>
          <w:cantSplit/>
          <w:trHeight w:val="2536"/>
        </w:trPr>
        <w:tc>
          <w:tcPr>
            <w:tcW w:w="1696" w:type="dxa"/>
            <w:tcBorders>
              <w:top w:val="single" w:sz="4" w:space="0" w:color="auto"/>
              <w:left w:val="single" w:sz="4" w:space="0" w:color="auto"/>
              <w:bottom w:val="single" w:sz="4" w:space="0" w:color="auto"/>
              <w:right w:val="single" w:sz="4" w:space="0" w:color="auto"/>
            </w:tcBorders>
            <w:hideMark/>
          </w:tcPr>
          <w:p w14:paraId="734FCD1D" w14:textId="77777777" w:rsidR="00B70043" w:rsidRPr="00260EC8" w:rsidRDefault="00B70043" w:rsidP="00CC58D8">
            <w:pPr>
              <w:pStyle w:val="Sidehoved"/>
              <w:ind w:left="29"/>
              <w:rPr>
                <w:b/>
                <w:sz w:val="22"/>
                <w:szCs w:val="22"/>
              </w:rPr>
            </w:pPr>
            <w:r w:rsidRPr="00260EC8">
              <w:rPr>
                <w:b/>
                <w:sz w:val="22"/>
                <w:szCs w:val="22"/>
              </w:rPr>
              <w:t>Hud og subkutane væv</w:t>
            </w:r>
          </w:p>
        </w:tc>
        <w:tc>
          <w:tcPr>
            <w:tcW w:w="1985" w:type="dxa"/>
            <w:tcBorders>
              <w:top w:val="single" w:sz="4" w:space="0" w:color="auto"/>
              <w:left w:val="single" w:sz="4" w:space="0" w:color="auto"/>
              <w:bottom w:val="single" w:sz="4" w:space="0" w:color="auto"/>
              <w:right w:val="single" w:sz="4" w:space="0" w:color="auto"/>
            </w:tcBorders>
            <w:hideMark/>
          </w:tcPr>
          <w:p w14:paraId="577CB9E9" w14:textId="77777777" w:rsidR="00B70043" w:rsidRPr="00260EC8" w:rsidRDefault="00B70043" w:rsidP="00CC58D8">
            <w:pPr>
              <w:pStyle w:val="Sidehoved"/>
              <w:rPr>
                <w:sz w:val="22"/>
                <w:szCs w:val="22"/>
              </w:rPr>
            </w:pPr>
            <w:r w:rsidRPr="00260EC8">
              <w:rPr>
                <w:sz w:val="22"/>
                <w:szCs w:val="22"/>
              </w:rPr>
              <w:t xml:space="preserve">Akne, </w:t>
            </w:r>
            <w:proofErr w:type="spellStart"/>
            <w:r w:rsidRPr="00260EC8">
              <w:rPr>
                <w:sz w:val="22"/>
                <w:szCs w:val="22"/>
              </w:rPr>
              <w:t>hirsutisme</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66F4FA88" w14:textId="77777777" w:rsidR="00B70043" w:rsidRPr="00260EC8" w:rsidRDefault="00B70043" w:rsidP="00CC58D8">
            <w:pPr>
              <w:pStyle w:val="Sidehoved"/>
              <w:rPr>
                <w:iCs/>
                <w:sz w:val="22"/>
                <w:szCs w:val="22"/>
              </w:rPr>
            </w:pPr>
            <w:r w:rsidRPr="00260EC8">
              <w:rPr>
                <w:sz w:val="22"/>
                <w:szCs w:val="22"/>
              </w:rPr>
              <w:t xml:space="preserve">Hudatrofi, forsinket sårheling, suppression af hudtests, hudreaktioner såsom allergisk </w:t>
            </w:r>
            <w:proofErr w:type="spellStart"/>
            <w:r w:rsidRPr="00260EC8">
              <w:rPr>
                <w:sz w:val="22"/>
                <w:szCs w:val="22"/>
              </w:rPr>
              <w:t>dermatitis</w:t>
            </w:r>
            <w:proofErr w:type="spellEnd"/>
            <w:r w:rsidRPr="00260EC8">
              <w:rPr>
                <w:sz w:val="22"/>
                <w:szCs w:val="22"/>
              </w:rPr>
              <w:t xml:space="preserve">, </w:t>
            </w:r>
            <w:proofErr w:type="spellStart"/>
            <w:r w:rsidRPr="00260EC8">
              <w:rPr>
                <w:sz w:val="22"/>
                <w:szCs w:val="22"/>
              </w:rPr>
              <w:t>urticaria</w:t>
            </w:r>
            <w:proofErr w:type="spellEnd"/>
            <w:r w:rsidRPr="00260EC8">
              <w:rPr>
                <w:sz w:val="22"/>
                <w:szCs w:val="22"/>
              </w:rPr>
              <w:t xml:space="preserve">, </w:t>
            </w:r>
            <w:proofErr w:type="spellStart"/>
            <w:r w:rsidRPr="00260EC8">
              <w:rPr>
                <w:sz w:val="22"/>
                <w:szCs w:val="22"/>
              </w:rPr>
              <w:t>angioneurotisk</w:t>
            </w:r>
            <w:proofErr w:type="spellEnd"/>
            <w:r w:rsidRPr="00260EC8">
              <w:rPr>
                <w:sz w:val="22"/>
                <w:szCs w:val="22"/>
              </w:rPr>
              <w:t xml:space="preserve"> ødem</w:t>
            </w:r>
          </w:p>
        </w:tc>
        <w:tc>
          <w:tcPr>
            <w:tcW w:w="1560" w:type="dxa"/>
            <w:tcBorders>
              <w:top w:val="single" w:sz="4" w:space="0" w:color="auto"/>
              <w:left w:val="single" w:sz="4" w:space="0" w:color="auto"/>
              <w:bottom w:val="single" w:sz="4" w:space="0" w:color="auto"/>
              <w:right w:val="single" w:sz="4" w:space="0" w:color="auto"/>
            </w:tcBorders>
          </w:tcPr>
          <w:p w14:paraId="5F3C19E8"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hideMark/>
          </w:tcPr>
          <w:p w14:paraId="1FBAC5B4" w14:textId="77777777" w:rsidR="00B70043" w:rsidRPr="00260EC8" w:rsidRDefault="00B70043" w:rsidP="00CC58D8">
            <w:pPr>
              <w:pStyle w:val="Sidehoved"/>
              <w:ind w:left="38"/>
              <w:rPr>
                <w:iCs/>
                <w:sz w:val="22"/>
                <w:szCs w:val="22"/>
              </w:rPr>
            </w:pPr>
            <w:proofErr w:type="spellStart"/>
            <w:r w:rsidRPr="00260EC8">
              <w:rPr>
                <w:sz w:val="22"/>
                <w:szCs w:val="22"/>
              </w:rPr>
              <w:t>Petekkier</w:t>
            </w:r>
            <w:proofErr w:type="spellEnd"/>
            <w:r w:rsidRPr="00260EC8">
              <w:rPr>
                <w:sz w:val="22"/>
                <w:szCs w:val="22"/>
              </w:rPr>
              <w:t xml:space="preserve">, </w:t>
            </w:r>
            <w:proofErr w:type="spellStart"/>
            <w:r w:rsidRPr="00260EC8">
              <w:rPr>
                <w:sz w:val="22"/>
                <w:szCs w:val="22"/>
              </w:rPr>
              <w:t>erytem</w:t>
            </w:r>
            <w:proofErr w:type="spellEnd"/>
            <w:r w:rsidRPr="00260EC8">
              <w:rPr>
                <w:sz w:val="22"/>
                <w:szCs w:val="22"/>
              </w:rPr>
              <w:t xml:space="preserve">, </w:t>
            </w:r>
            <w:proofErr w:type="spellStart"/>
            <w:r w:rsidRPr="00260EC8">
              <w:rPr>
                <w:sz w:val="22"/>
                <w:szCs w:val="22"/>
              </w:rPr>
              <w:t>ekkymose</w:t>
            </w:r>
            <w:proofErr w:type="spellEnd"/>
            <w:r w:rsidRPr="00260EC8">
              <w:rPr>
                <w:sz w:val="22"/>
                <w:szCs w:val="22"/>
              </w:rPr>
              <w:t xml:space="preserve">, </w:t>
            </w:r>
            <w:proofErr w:type="spellStart"/>
            <w:r w:rsidRPr="00260EC8">
              <w:rPr>
                <w:sz w:val="22"/>
                <w:szCs w:val="22"/>
              </w:rPr>
              <w:t>hyperhidrose</w:t>
            </w:r>
            <w:proofErr w:type="spellEnd"/>
          </w:p>
        </w:tc>
      </w:tr>
      <w:tr w:rsidR="00B70043" w:rsidRPr="00260EC8" w14:paraId="4F3CB49F"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2900A81A" w14:textId="77777777" w:rsidR="00B70043" w:rsidRPr="00260EC8" w:rsidRDefault="00B70043" w:rsidP="00CC58D8">
            <w:pPr>
              <w:pStyle w:val="Sidehoved"/>
              <w:ind w:left="29"/>
              <w:rPr>
                <w:b/>
                <w:sz w:val="22"/>
                <w:szCs w:val="22"/>
              </w:rPr>
            </w:pPr>
            <w:r w:rsidRPr="00260EC8">
              <w:rPr>
                <w:b/>
                <w:sz w:val="22"/>
                <w:szCs w:val="22"/>
              </w:rPr>
              <w:lastRenderedPageBreak/>
              <w:t>Knogler, led, muskler og bindevæv</w:t>
            </w:r>
          </w:p>
        </w:tc>
        <w:tc>
          <w:tcPr>
            <w:tcW w:w="1985" w:type="dxa"/>
            <w:tcBorders>
              <w:top w:val="single" w:sz="4" w:space="0" w:color="auto"/>
              <w:left w:val="single" w:sz="4" w:space="0" w:color="auto"/>
              <w:bottom w:val="single" w:sz="4" w:space="0" w:color="auto"/>
              <w:right w:val="single" w:sz="4" w:space="0" w:color="auto"/>
            </w:tcBorders>
            <w:hideMark/>
          </w:tcPr>
          <w:p w14:paraId="193DA57F" w14:textId="77777777" w:rsidR="00B70043" w:rsidRPr="00260EC8" w:rsidRDefault="00B70043" w:rsidP="00CC58D8">
            <w:pPr>
              <w:pStyle w:val="Sidehoved"/>
              <w:rPr>
                <w:sz w:val="22"/>
                <w:szCs w:val="22"/>
              </w:rPr>
            </w:pPr>
            <w:r w:rsidRPr="00260EC8">
              <w:rPr>
                <w:iCs/>
                <w:sz w:val="22"/>
                <w:szCs w:val="22"/>
              </w:rPr>
              <w:t>Muskelatrofi, osteoporose</w:t>
            </w:r>
          </w:p>
        </w:tc>
        <w:tc>
          <w:tcPr>
            <w:tcW w:w="1984" w:type="dxa"/>
            <w:tcBorders>
              <w:top w:val="single" w:sz="4" w:space="0" w:color="auto"/>
              <w:left w:val="single" w:sz="4" w:space="0" w:color="auto"/>
              <w:bottom w:val="single" w:sz="4" w:space="0" w:color="auto"/>
              <w:right w:val="single" w:sz="4" w:space="0" w:color="auto"/>
            </w:tcBorders>
          </w:tcPr>
          <w:p w14:paraId="6D02A784" w14:textId="77777777" w:rsidR="00B70043" w:rsidRPr="00260EC8" w:rsidRDefault="00B70043" w:rsidP="00CC58D8">
            <w:pPr>
              <w:pStyle w:val="Sidehoved"/>
              <w:rPr>
                <w:iCs/>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14:paraId="19E15D81" w14:textId="77777777" w:rsidR="00B70043" w:rsidRPr="00260EC8" w:rsidRDefault="00B70043" w:rsidP="00CC58D8">
            <w:pPr>
              <w:pStyle w:val="Sidehoved"/>
              <w:ind w:left="38"/>
              <w:rPr>
                <w:sz w:val="22"/>
                <w:szCs w:val="22"/>
              </w:rPr>
            </w:pPr>
            <w:r w:rsidRPr="00260EC8">
              <w:rPr>
                <w:sz w:val="22"/>
                <w:szCs w:val="22"/>
              </w:rPr>
              <w:t xml:space="preserve">Aseptisk knoglenekrose, </w:t>
            </w:r>
            <w:proofErr w:type="spellStart"/>
            <w:r w:rsidRPr="00260EC8">
              <w:rPr>
                <w:sz w:val="22"/>
                <w:szCs w:val="22"/>
              </w:rPr>
              <w:t>seneruptur</w:t>
            </w:r>
            <w:proofErr w:type="spellEnd"/>
          </w:p>
        </w:tc>
        <w:tc>
          <w:tcPr>
            <w:tcW w:w="2097" w:type="dxa"/>
            <w:tcBorders>
              <w:top w:val="single" w:sz="4" w:space="0" w:color="auto"/>
              <w:left w:val="single" w:sz="4" w:space="0" w:color="auto"/>
              <w:bottom w:val="single" w:sz="4" w:space="0" w:color="auto"/>
              <w:right w:val="single" w:sz="4" w:space="0" w:color="auto"/>
            </w:tcBorders>
            <w:hideMark/>
          </w:tcPr>
          <w:p w14:paraId="75CCDCBA" w14:textId="77777777" w:rsidR="00B70043" w:rsidRPr="00260EC8" w:rsidRDefault="00B70043" w:rsidP="00CC58D8">
            <w:pPr>
              <w:pStyle w:val="Sidehoved"/>
              <w:ind w:left="38"/>
              <w:rPr>
                <w:iCs/>
                <w:sz w:val="22"/>
                <w:szCs w:val="22"/>
              </w:rPr>
            </w:pPr>
            <w:r w:rsidRPr="00260EC8">
              <w:rPr>
                <w:sz w:val="22"/>
                <w:szCs w:val="22"/>
              </w:rPr>
              <w:t xml:space="preserve">Proksimal </w:t>
            </w:r>
            <w:proofErr w:type="spellStart"/>
            <w:r w:rsidRPr="00260EC8">
              <w:rPr>
                <w:sz w:val="22"/>
                <w:szCs w:val="22"/>
              </w:rPr>
              <w:t>myopati</w:t>
            </w:r>
            <w:proofErr w:type="spellEnd"/>
            <w:r w:rsidRPr="00260EC8">
              <w:rPr>
                <w:sz w:val="22"/>
                <w:szCs w:val="22"/>
              </w:rPr>
              <w:t xml:space="preserve">, </w:t>
            </w:r>
            <w:proofErr w:type="spellStart"/>
            <w:r w:rsidRPr="00260EC8">
              <w:rPr>
                <w:sz w:val="22"/>
                <w:szCs w:val="22"/>
              </w:rPr>
              <w:t>vertebrale</w:t>
            </w:r>
            <w:proofErr w:type="spellEnd"/>
            <w:r w:rsidRPr="00260EC8">
              <w:rPr>
                <w:sz w:val="22"/>
                <w:szCs w:val="22"/>
              </w:rPr>
              <w:t xml:space="preserve"> frakturer og frakturer i lange knogler</w:t>
            </w:r>
          </w:p>
        </w:tc>
      </w:tr>
      <w:tr w:rsidR="00B70043" w:rsidRPr="00260EC8" w14:paraId="74F264AA" w14:textId="77777777" w:rsidTr="00CC58D8">
        <w:trPr>
          <w:cantSplit/>
        </w:trPr>
        <w:tc>
          <w:tcPr>
            <w:tcW w:w="1696" w:type="dxa"/>
            <w:tcBorders>
              <w:top w:val="single" w:sz="4" w:space="0" w:color="auto"/>
              <w:left w:val="single" w:sz="4" w:space="0" w:color="auto"/>
              <w:bottom w:val="single" w:sz="4" w:space="0" w:color="auto"/>
              <w:right w:val="single" w:sz="4" w:space="0" w:color="auto"/>
            </w:tcBorders>
            <w:hideMark/>
          </w:tcPr>
          <w:p w14:paraId="66EA04B6" w14:textId="77777777" w:rsidR="00B70043" w:rsidRPr="00260EC8" w:rsidRDefault="00B70043" w:rsidP="00CC58D8">
            <w:pPr>
              <w:pStyle w:val="Sidehoved"/>
              <w:ind w:left="29"/>
              <w:rPr>
                <w:b/>
                <w:sz w:val="22"/>
                <w:szCs w:val="22"/>
              </w:rPr>
            </w:pPr>
            <w:r w:rsidRPr="00260EC8">
              <w:rPr>
                <w:b/>
                <w:sz w:val="22"/>
                <w:szCs w:val="22"/>
              </w:rPr>
              <w:t>Almene symptomer og reaktioner på administrationsstedet</w:t>
            </w:r>
          </w:p>
        </w:tc>
        <w:tc>
          <w:tcPr>
            <w:tcW w:w="1985" w:type="dxa"/>
            <w:tcBorders>
              <w:top w:val="single" w:sz="4" w:space="0" w:color="auto"/>
              <w:left w:val="single" w:sz="4" w:space="0" w:color="auto"/>
              <w:bottom w:val="single" w:sz="4" w:space="0" w:color="auto"/>
              <w:right w:val="single" w:sz="4" w:space="0" w:color="auto"/>
            </w:tcBorders>
          </w:tcPr>
          <w:p w14:paraId="3AC3A8DD" w14:textId="77777777" w:rsidR="00B70043" w:rsidRPr="00260EC8" w:rsidRDefault="00B70043" w:rsidP="00CC58D8">
            <w:pPr>
              <w:pStyle w:val="Sidehoved"/>
              <w:rPr>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7F31EB97" w14:textId="77777777" w:rsidR="00B70043" w:rsidRPr="00260EC8" w:rsidRDefault="00B70043" w:rsidP="00CC58D8">
            <w:pPr>
              <w:pStyle w:val="Sidehoved"/>
              <w:rPr>
                <w:iCs/>
                <w:sz w:val="22"/>
                <w:szCs w:val="22"/>
              </w:rPr>
            </w:pPr>
            <w:r w:rsidRPr="00260EC8">
              <w:rPr>
                <w:iCs/>
                <w:sz w:val="22"/>
                <w:szCs w:val="22"/>
              </w:rPr>
              <w:t>Overfølsomheds-reaktioner, ødem, øget appetit, vægtøgning</w:t>
            </w:r>
          </w:p>
        </w:tc>
        <w:tc>
          <w:tcPr>
            <w:tcW w:w="1560" w:type="dxa"/>
            <w:tcBorders>
              <w:top w:val="single" w:sz="4" w:space="0" w:color="auto"/>
              <w:left w:val="single" w:sz="4" w:space="0" w:color="auto"/>
              <w:bottom w:val="single" w:sz="4" w:space="0" w:color="auto"/>
              <w:right w:val="single" w:sz="4" w:space="0" w:color="auto"/>
            </w:tcBorders>
          </w:tcPr>
          <w:p w14:paraId="392800BC" w14:textId="77777777" w:rsidR="00B70043" w:rsidRPr="00260EC8" w:rsidRDefault="00B70043" w:rsidP="00CC58D8">
            <w:pPr>
              <w:pStyle w:val="Sidehoved"/>
              <w:ind w:left="38"/>
              <w:rPr>
                <w:sz w:val="22"/>
                <w:szCs w:val="22"/>
              </w:rPr>
            </w:pPr>
          </w:p>
        </w:tc>
        <w:tc>
          <w:tcPr>
            <w:tcW w:w="2097" w:type="dxa"/>
            <w:tcBorders>
              <w:top w:val="single" w:sz="4" w:space="0" w:color="auto"/>
              <w:left w:val="single" w:sz="4" w:space="0" w:color="auto"/>
              <w:bottom w:val="single" w:sz="4" w:space="0" w:color="auto"/>
              <w:right w:val="single" w:sz="4" w:space="0" w:color="auto"/>
            </w:tcBorders>
            <w:hideMark/>
          </w:tcPr>
          <w:p w14:paraId="4EB0EFF5" w14:textId="77777777" w:rsidR="00B70043" w:rsidRPr="00260EC8" w:rsidRDefault="00B70043" w:rsidP="00CC58D8">
            <w:pPr>
              <w:pStyle w:val="Sidehoved"/>
              <w:ind w:left="38"/>
              <w:rPr>
                <w:iCs/>
                <w:sz w:val="22"/>
                <w:szCs w:val="22"/>
              </w:rPr>
            </w:pPr>
            <w:r w:rsidRPr="00260EC8">
              <w:rPr>
                <w:iCs/>
                <w:sz w:val="22"/>
                <w:szCs w:val="22"/>
              </w:rPr>
              <w:t>Utilpashed</w:t>
            </w:r>
          </w:p>
        </w:tc>
      </w:tr>
    </w:tbl>
    <w:p w14:paraId="120CC5B9" w14:textId="77777777" w:rsidR="00B70043" w:rsidRPr="00D303C4" w:rsidRDefault="00B70043" w:rsidP="00B70043">
      <w:pPr>
        <w:pStyle w:val="Sidehoved"/>
        <w:tabs>
          <w:tab w:val="left" w:pos="851"/>
        </w:tabs>
        <w:ind w:left="851"/>
        <w:rPr>
          <w:szCs w:val="24"/>
        </w:rPr>
      </w:pPr>
    </w:p>
    <w:p w14:paraId="0F09F658" w14:textId="77777777" w:rsidR="00B70043" w:rsidRPr="00D303C4" w:rsidRDefault="00B70043" w:rsidP="00B70043">
      <w:pPr>
        <w:pStyle w:val="Sidehoved"/>
        <w:tabs>
          <w:tab w:val="left" w:pos="851"/>
        </w:tabs>
        <w:ind w:left="851"/>
        <w:rPr>
          <w:szCs w:val="24"/>
        </w:rPr>
      </w:pPr>
      <w:proofErr w:type="spellStart"/>
      <w:r w:rsidRPr="00D303C4">
        <w:rPr>
          <w:szCs w:val="24"/>
        </w:rPr>
        <w:t>Incidensen</w:t>
      </w:r>
      <w:proofErr w:type="spellEnd"/>
      <w:r w:rsidRPr="00D303C4">
        <w:rPr>
          <w:szCs w:val="24"/>
        </w:rPr>
        <w:t xml:space="preserve"> at forudsigelige bivirkninger, herunder </w:t>
      </w:r>
      <w:proofErr w:type="spellStart"/>
      <w:r w:rsidRPr="00D303C4">
        <w:rPr>
          <w:szCs w:val="24"/>
        </w:rPr>
        <w:t>hypothalamisk-hypofysær</w:t>
      </w:r>
      <w:proofErr w:type="spellEnd"/>
      <w:r w:rsidRPr="00D303C4">
        <w:rPr>
          <w:szCs w:val="24"/>
        </w:rPr>
        <w:t xml:space="preserve"> binyresuppression (som forårsager hæmning af ACTH og kortisol) afhænger af behandlingsvarighed, doseringen og administrationstidspunktet.</w:t>
      </w:r>
    </w:p>
    <w:p w14:paraId="0C3C40EC" w14:textId="77777777" w:rsidR="00B70043" w:rsidRPr="00D303C4" w:rsidRDefault="00B70043" w:rsidP="00B70043">
      <w:pPr>
        <w:pStyle w:val="Sidehoved"/>
        <w:tabs>
          <w:tab w:val="left" w:pos="851"/>
        </w:tabs>
        <w:ind w:left="851"/>
        <w:rPr>
          <w:szCs w:val="24"/>
        </w:rPr>
      </w:pPr>
    </w:p>
    <w:p w14:paraId="7E9364FD" w14:textId="77777777" w:rsidR="00B70043" w:rsidRPr="00D303C4" w:rsidRDefault="00B70043" w:rsidP="00B70043">
      <w:pPr>
        <w:pStyle w:val="Sidehoved"/>
        <w:tabs>
          <w:tab w:val="left" w:pos="851"/>
        </w:tabs>
        <w:ind w:left="851"/>
        <w:rPr>
          <w:szCs w:val="24"/>
        </w:rPr>
      </w:pPr>
      <w:r w:rsidRPr="00D303C4">
        <w:rPr>
          <w:szCs w:val="24"/>
        </w:rPr>
        <w:t>Diabetes mellitus kan forværres og latent diabetes blive manifest.</w:t>
      </w:r>
    </w:p>
    <w:p w14:paraId="77963425" w14:textId="77777777" w:rsidR="00B70043" w:rsidRPr="00D303C4" w:rsidRDefault="00B70043" w:rsidP="00B70043">
      <w:pPr>
        <w:pStyle w:val="Sidehoved"/>
        <w:tabs>
          <w:tab w:val="left" w:pos="851"/>
        </w:tabs>
        <w:ind w:left="851"/>
        <w:rPr>
          <w:szCs w:val="24"/>
        </w:rPr>
      </w:pPr>
    </w:p>
    <w:p w14:paraId="585B618E" w14:textId="77777777" w:rsidR="00B70043" w:rsidRPr="00D303C4" w:rsidRDefault="00B70043" w:rsidP="00B70043">
      <w:pPr>
        <w:pStyle w:val="Sidehoved"/>
        <w:tabs>
          <w:tab w:val="left" w:pos="851"/>
        </w:tabs>
        <w:ind w:left="851"/>
        <w:rPr>
          <w:szCs w:val="24"/>
        </w:rPr>
      </w:pPr>
      <w:r w:rsidRPr="00D303C4">
        <w:rPr>
          <w:szCs w:val="24"/>
        </w:rPr>
        <w:t>Infektionsforsvaret kan hæmmes, så modtageligheden for infektioner øges. Infektioner kan blive aktiveret, f.eks. tuberkulose.</w:t>
      </w:r>
    </w:p>
    <w:p w14:paraId="44BA7700" w14:textId="77777777" w:rsidR="00B70043" w:rsidRPr="00D303C4" w:rsidRDefault="00B70043" w:rsidP="00B70043">
      <w:pPr>
        <w:pStyle w:val="Sidehoved"/>
        <w:tabs>
          <w:tab w:val="left" w:pos="851"/>
        </w:tabs>
        <w:ind w:left="851"/>
        <w:rPr>
          <w:i/>
          <w:szCs w:val="24"/>
        </w:rPr>
      </w:pPr>
    </w:p>
    <w:p w14:paraId="407422DA" w14:textId="77777777" w:rsidR="00B70043" w:rsidRPr="00D303C4" w:rsidRDefault="00B70043" w:rsidP="00B70043">
      <w:pPr>
        <w:pStyle w:val="Sidehoved"/>
        <w:tabs>
          <w:tab w:val="left" w:pos="851"/>
        </w:tabs>
        <w:ind w:left="851"/>
        <w:rPr>
          <w:szCs w:val="24"/>
          <w:u w:val="single"/>
        </w:rPr>
      </w:pPr>
      <w:r w:rsidRPr="00D303C4">
        <w:rPr>
          <w:szCs w:val="24"/>
          <w:u w:val="single"/>
        </w:rPr>
        <w:t>Indberetning af formodede bivirkninger</w:t>
      </w:r>
    </w:p>
    <w:p w14:paraId="4269D598" w14:textId="77777777" w:rsidR="00B70043" w:rsidRDefault="00B70043" w:rsidP="00B70043">
      <w:pPr>
        <w:pStyle w:val="Sidehoved"/>
        <w:tabs>
          <w:tab w:val="left" w:pos="851"/>
        </w:tabs>
        <w:ind w:left="851"/>
        <w:rPr>
          <w:szCs w:val="24"/>
        </w:rPr>
      </w:pPr>
      <w:r w:rsidRPr="00D303C4">
        <w:rPr>
          <w:szCs w:val="24"/>
        </w:rPr>
        <w:t>Når lægemidlet er godkendt, er indberetning af formodede bivirkninger vigtig. Det muliggør løbende overvågning af benefit/</w:t>
      </w:r>
      <w:proofErr w:type="spellStart"/>
      <w:r w:rsidRPr="00D303C4">
        <w:rPr>
          <w:szCs w:val="24"/>
        </w:rPr>
        <w:t>risk</w:t>
      </w:r>
      <w:proofErr w:type="spellEnd"/>
      <w:r w:rsidRPr="00D303C4">
        <w:rPr>
          <w:szCs w:val="24"/>
        </w:rPr>
        <w:t>-forholdet for lægemidlet. Sundhedspersoner anmodes om at indberette alle formodede bivirkninger via</w:t>
      </w:r>
      <w:r>
        <w:rPr>
          <w:szCs w:val="24"/>
        </w:rPr>
        <w:t>:</w:t>
      </w:r>
    </w:p>
    <w:p w14:paraId="7133FE3C" w14:textId="77777777" w:rsidR="00B70043" w:rsidRPr="00D303C4" w:rsidRDefault="00B70043" w:rsidP="00B70043">
      <w:pPr>
        <w:pStyle w:val="Sidehoved"/>
        <w:tabs>
          <w:tab w:val="left" w:pos="851"/>
        </w:tabs>
        <w:ind w:left="851"/>
        <w:rPr>
          <w:szCs w:val="24"/>
        </w:rPr>
      </w:pPr>
    </w:p>
    <w:p w14:paraId="72AD31B7" w14:textId="77777777" w:rsidR="00B70043" w:rsidRPr="00D303C4" w:rsidRDefault="00B70043" w:rsidP="00B70043">
      <w:pPr>
        <w:pStyle w:val="Sidehoved"/>
        <w:tabs>
          <w:tab w:val="left" w:pos="851"/>
        </w:tabs>
        <w:ind w:left="851"/>
        <w:rPr>
          <w:szCs w:val="24"/>
        </w:rPr>
      </w:pPr>
      <w:r w:rsidRPr="00D303C4">
        <w:rPr>
          <w:szCs w:val="24"/>
        </w:rPr>
        <w:t>Lægemiddelstyrelsen</w:t>
      </w:r>
    </w:p>
    <w:p w14:paraId="7959254D" w14:textId="77777777" w:rsidR="00B70043" w:rsidRPr="00D303C4" w:rsidRDefault="00B70043" w:rsidP="00B70043">
      <w:pPr>
        <w:pStyle w:val="Sidehoved"/>
        <w:tabs>
          <w:tab w:val="left" w:pos="851"/>
        </w:tabs>
        <w:ind w:left="851"/>
        <w:rPr>
          <w:szCs w:val="24"/>
        </w:rPr>
      </w:pPr>
      <w:r w:rsidRPr="00D303C4">
        <w:rPr>
          <w:szCs w:val="24"/>
        </w:rPr>
        <w:t>Axel Heides Gade 1</w:t>
      </w:r>
    </w:p>
    <w:p w14:paraId="6BF8E37F" w14:textId="77777777" w:rsidR="00B70043" w:rsidRPr="00D303C4" w:rsidRDefault="00B70043" w:rsidP="00B70043">
      <w:pPr>
        <w:pStyle w:val="Sidehoved"/>
        <w:tabs>
          <w:tab w:val="left" w:pos="851"/>
        </w:tabs>
        <w:ind w:left="851"/>
        <w:rPr>
          <w:szCs w:val="24"/>
        </w:rPr>
      </w:pPr>
      <w:r w:rsidRPr="00D303C4">
        <w:rPr>
          <w:szCs w:val="24"/>
        </w:rPr>
        <w:t>DK-2300 København S</w:t>
      </w:r>
    </w:p>
    <w:p w14:paraId="463C67F6" w14:textId="77777777" w:rsidR="00B70043" w:rsidRPr="00D303C4" w:rsidRDefault="00B70043" w:rsidP="00B70043">
      <w:pPr>
        <w:pStyle w:val="Sidehoved"/>
        <w:tabs>
          <w:tab w:val="left" w:pos="851"/>
        </w:tabs>
        <w:ind w:left="851"/>
        <w:rPr>
          <w:szCs w:val="24"/>
        </w:rPr>
      </w:pPr>
      <w:r w:rsidRPr="00D303C4">
        <w:rPr>
          <w:szCs w:val="24"/>
        </w:rPr>
        <w:t>Website: www.meldenbivirkning.dk</w:t>
      </w:r>
    </w:p>
    <w:p w14:paraId="04D6A838" w14:textId="77777777" w:rsidR="00D303C4" w:rsidRPr="00D303C4" w:rsidRDefault="00D303C4" w:rsidP="00D303C4">
      <w:pPr>
        <w:pStyle w:val="Sidehoved"/>
        <w:tabs>
          <w:tab w:val="left" w:pos="851"/>
        </w:tabs>
        <w:ind w:left="851"/>
        <w:rPr>
          <w:szCs w:val="24"/>
        </w:rPr>
      </w:pPr>
    </w:p>
    <w:p w14:paraId="421F694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F38C97D" w14:textId="77777777" w:rsidR="004144BF" w:rsidRPr="004144BF" w:rsidRDefault="004144BF" w:rsidP="004144BF">
      <w:pPr>
        <w:tabs>
          <w:tab w:val="left" w:pos="851"/>
        </w:tabs>
        <w:ind w:left="851"/>
        <w:rPr>
          <w:i/>
          <w:iCs/>
          <w:sz w:val="24"/>
          <w:szCs w:val="24"/>
        </w:rPr>
      </w:pPr>
    </w:p>
    <w:p w14:paraId="39C11CE1" w14:textId="77777777" w:rsidR="004144BF" w:rsidRPr="004144BF" w:rsidRDefault="004144BF" w:rsidP="004144BF">
      <w:pPr>
        <w:tabs>
          <w:tab w:val="left" w:pos="851"/>
        </w:tabs>
        <w:ind w:left="851"/>
        <w:rPr>
          <w:iCs/>
          <w:sz w:val="24"/>
          <w:szCs w:val="24"/>
          <w:u w:val="single"/>
        </w:rPr>
      </w:pPr>
      <w:r w:rsidRPr="004144BF">
        <w:rPr>
          <w:iCs/>
          <w:sz w:val="24"/>
          <w:szCs w:val="24"/>
          <w:u w:val="single"/>
        </w:rPr>
        <w:t>Toksicitet og symptomer</w:t>
      </w:r>
    </w:p>
    <w:p w14:paraId="2096AE7B" w14:textId="74F01777" w:rsidR="004144BF" w:rsidRPr="004144BF" w:rsidRDefault="004144BF" w:rsidP="004144BF">
      <w:pPr>
        <w:tabs>
          <w:tab w:val="left" w:pos="851"/>
        </w:tabs>
        <w:ind w:left="851"/>
        <w:rPr>
          <w:sz w:val="24"/>
          <w:szCs w:val="24"/>
        </w:rPr>
      </w:pPr>
      <w:r w:rsidRPr="004144BF">
        <w:rPr>
          <w:sz w:val="24"/>
          <w:szCs w:val="24"/>
        </w:rPr>
        <w:t xml:space="preserve">Akut toksicitet medfører sædvanligvis ikke kliniske problemer, selv ved meget høje doser. En akut overdosis kan muligvis forværre præeksisterende sygdomstilstande såsom ulcus, elektrolytforstyrrelser, infektioner og ødem. De fleste reaktioner er </w:t>
      </w:r>
      <w:proofErr w:type="spellStart"/>
      <w:r w:rsidRPr="004144BF">
        <w:rPr>
          <w:sz w:val="24"/>
          <w:szCs w:val="24"/>
        </w:rPr>
        <w:t>neuropsykiatriske</w:t>
      </w:r>
      <w:proofErr w:type="spellEnd"/>
      <w:r w:rsidRPr="004144BF">
        <w:rPr>
          <w:sz w:val="24"/>
          <w:szCs w:val="24"/>
        </w:rPr>
        <w:t xml:space="preserve">, men krampeanfald og anafylaksi er blevet observeret. Gentagne store doser </w:t>
      </w:r>
      <w:proofErr w:type="spellStart"/>
      <w:r w:rsidRPr="004144BF">
        <w:rPr>
          <w:sz w:val="24"/>
          <w:szCs w:val="24"/>
        </w:rPr>
        <w:t>methylprednisolon</w:t>
      </w:r>
      <w:proofErr w:type="spellEnd"/>
      <w:r w:rsidRPr="004144BF">
        <w:rPr>
          <w:sz w:val="24"/>
          <w:szCs w:val="24"/>
        </w:rPr>
        <w:t xml:space="preserve"> har medført levernekrose og stigninger i amylase. Ved intravenøs administration af store doser </w:t>
      </w:r>
      <w:proofErr w:type="spellStart"/>
      <w:r w:rsidRPr="004144BF">
        <w:rPr>
          <w:sz w:val="24"/>
          <w:szCs w:val="24"/>
        </w:rPr>
        <w:t>methylprednisolon</w:t>
      </w:r>
      <w:proofErr w:type="spellEnd"/>
      <w:r w:rsidRPr="004144BF">
        <w:rPr>
          <w:sz w:val="24"/>
          <w:szCs w:val="24"/>
        </w:rPr>
        <w:t xml:space="preserve"> og </w:t>
      </w:r>
      <w:proofErr w:type="spellStart"/>
      <w:r w:rsidRPr="004144BF">
        <w:rPr>
          <w:sz w:val="24"/>
          <w:szCs w:val="24"/>
        </w:rPr>
        <w:t>dexamethason</w:t>
      </w:r>
      <w:proofErr w:type="spellEnd"/>
      <w:r w:rsidRPr="004144BF">
        <w:rPr>
          <w:sz w:val="24"/>
          <w:szCs w:val="24"/>
        </w:rPr>
        <w:t xml:space="preserve"> er der observeret </w:t>
      </w:r>
      <w:proofErr w:type="spellStart"/>
      <w:r w:rsidRPr="004144BF">
        <w:rPr>
          <w:sz w:val="24"/>
          <w:szCs w:val="24"/>
        </w:rPr>
        <w:t>bradyarytmier</w:t>
      </w:r>
      <w:proofErr w:type="spellEnd"/>
      <w:r w:rsidRPr="004144BF">
        <w:rPr>
          <w:sz w:val="24"/>
          <w:szCs w:val="24"/>
        </w:rPr>
        <w:t xml:space="preserve">, </w:t>
      </w:r>
      <w:proofErr w:type="spellStart"/>
      <w:r w:rsidRPr="004144BF">
        <w:rPr>
          <w:sz w:val="24"/>
          <w:szCs w:val="24"/>
        </w:rPr>
        <w:t>ventrikulære</w:t>
      </w:r>
      <w:proofErr w:type="spellEnd"/>
      <w:r w:rsidRPr="004144BF">
        <w:rPr>
          <w:sz w:val="24"/>
          <w:szCs w:val="24"/>
        </w:rPr>
        <w:t xml:space="preserve"> </w:t>
      </w:r>
      <w:proofErr w:type="spellStart"/>
      <w:r w:rsidRPr="004144BF">
        <w:rPr>
          <w:sz w:val="24"/>
          <w:szCs w:val="24"/>
        </w:rPr>
        <w:t>arytmier</w:t>
      </w:r>
      <w:proofErr w:type="spellEnd"/>
      <w:r w:rsidRPr="004144BF">
        <w:rPr>
          <w:sz w:val="24"/>
          <w:szCs w:val="24"/>
        </w:rPr>
        <w:t xml:space="preserve"> og hjertestop.</w:t>
      </w:r>
    </w:p>
    <w:p w14:paraId="4FB07801" w14:textId="77777777" w:rsidR="004144BF" w:rsidRPr="004144BF" w:rsidRDefault="004144BF" w:rsidP="004144BF">
      <w:pPr>
        <w:tabs>
          <w:tab w:val="left" w:pos="851"/>
        </w:tabs>
        <w:ind w:left="851"/>
        <w:rPr>
          <w:sz w:val="24"/>
          <w:szCs w:val="24"/>
        </w:rPr>
      </w:pPr>
    </w:p>
    <w:p w14:paraId="4177C3E5" w14:textId="77777777" w:rsidR="004144BF" w:rsidRPr="004144BF" w:rsidRDefault="004144BF" w:rsidP="004144BF">
      <w:pPr>
        <w:tabs>
          <w:tab w:val="left" w:pos="851"/>
        </w:tabs>
        <w:ind w:left="851"/>
        <w:rPr>
          <w:iCs/>
          <w:sz w:val="24"/>
          <w:szCs w:val="24"/>
          <w:u w:val="single"/>
        </w:rPr>
      </w:pPr>
      <w:r w:rsidRPr="004144BF">
        <w:rPr>
          <w:iCs/>
          <w:sz w:val="24"/>
          <w:szCs w:val="24"/>
          <w:u w:val="single"/>
        </w:rPr>
        <w:t>Behandling</w:t>
      </w:r>
    </w:p>
    <w:p w14:paraId="3FF8979A" w14:textId="7A9F0460" w:rsidR="004144BF" w:rsidRPr="004144BF" w:rsidRDefault="004144BF" w:rsidP="004144BF">
      <w:pPr>
        <w:tabs>
          <w:tab w:val="left" w:pos="851"/>
        </w:tabs>
        <w:ind w:left="851"/>
        <w:rPr>
          <w:sz w:val="24"/>
          <w:szCs w:val="24"/>
        </w:rPr>
      </w:pPr>
      <w:r w:rsidRPr="004144BF">
        <w:rPr>
          <w:sz w:val="24"/>
          <w:szCs w:val="24"/>
        </w:rPr>
        <w:t>Symptomatisk behandling.</w:t>
      </w:r>
    </w:p>
    <w:p w14:paraId="3EDCD599" w14:textId="77777777" w:rsidR="004144BF" w:rsidRPr="004144BF" w:rsidRDefault="004144BF" w:rsidP="004144BF">
      <w:pPr>
        <w:tabs>
          <w:tab w:val="left" w:pos="851"/>
        </w:tabs>
        <w:ind w:left="851"/>
        <w:rPr>
          <w:sz w:val="24"/>
          <w:szCs w:val="24"/>
        </w:rPr>
      </w:pPr>
    </w:p>
    <w:p w14:paraId="2B1A7E84" w14:textId="7DE09685"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27462D9" w14:textId="67343F6C" w:rsidR="009260DE" w:rsidRPr="00C84483" w:rsidRDefault="0084559B" w:rsidP="009260DE">
      <w:pPr>
        <w:tabs>
          <w:tab w:val="left" w:pos="851"/>
        </w:tabs>
        <w:ind w:left="851"/>
        <w:rPr>
          <w:sz w:val="24"/>
          <w:szCs w:val="24"/>
        </w:rPr>
      </w:pPr>
      <w:r>
        <w:rPr>
          <w:sz w:val="24"/>
          <w:szCs w:val="24"/>
        </w:rPr>
        <w:t>B</w:t>
      </w:r>
    </w:p>
    <w:p w14:paraId="3600F0F4" w14:textId="17EA2E01" w:rsidR="009260DE" w:rsidRDefault="009260DE" w:rsidP="009260DE">
      <w:pPr>
        <w:tabs>
          <w:tab w:val="left" w:pos="851"/>
        </w:tabs>
        <w:ind w:left="851"/>
        <w:rPr>
          <w:sz w:val="24"/>
          <w:szCs w:val="24"/>
        </w:rPr>
      </w:pPr>
    </w:p>
    <w:p w14:paraId="0DF3A5CC" w14:textId="77777777" w:rsidR="00B70043" w:rsidRPr="00C84483" w:rsidRDefault="00B70043" w:rsidP="009260DE">
      <w:pPr>
        <w:tabs>
          <w:tab w:val="left" w:pos="851"/>
        </w:tabs>
        <w:ind w:left="851"/>
        <w:rPr>
          <w:sz w:val="24"/>
          <w:szCs w:val="24"/>
        </w:rPr>
      </w:pPr>
    </w:p>
    <w:p w14:paraId="5D289D7A" w14:textId="77777777" w:rsidR="009260DE" w:rsidRPr="00C84483" w:rsidRDefault="009260DE" w:rsidP="009260DE">
      <w:pPr>
        <w:tabs>
          <w:tab w:val="left" w:pos="851"/>
        </w:tabs>
        <w:ind w:left="851"/>
        <w:rPr>
          <w:sz w:val="24"/>
          <w:szCs w:val="24"/>
        </w:rPr>
      </w:pPr>
    </w:p>
    <w:p w14:paraId="7A2E2D2E" w14:textId="77777777" w:rsidR="009260DE" w:rsidRPr="00C84483" w:rsidRDefault="009260DE" w:rsidP="009260DE">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14:paraId="58883213" w14:textId="77777777" w:rsidR="009260DE" w:rsidRPr="00C84483" w:rsidRDefault="009260DE" w:rsidP="009260DE">
      <w:pPr>
        <w:tabs>
          <w:tab w:val="left" w:pos="851"/>
        </w:tabs>
        <w:ind w:left="851"/>
        <w:rPr>
          <w:sz w:val="24"/>
          <w:szCs w:val="24"/>
        </w:rPr>
      </w:pPr>
    </w:p>
    <w:p w14:paraId="7BF5E02F"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0EB409F1" w14:textId="775D0632" w:rsidR="00FE79A7" w:rsidRPr="00FE79A7" w:rsidRDefault="00FE79A7" w:rsidP="00FE79A7">
      <w:pPr>
        <w:tabs>
          <w:tab w:val="left" w:pos="851"/>
        </w:tabs>
        <w:ind w:left="851"/>
        <w:rPr>
          <w:sz w:val="24"/>
          <w:szCs w:val="24"/>
        </w:rPr>
      </w:pPr>
      <w:r w:rsidRPr="00FE79A7">
        <w:rPr>
          <w:sz w:val="24"/>
          <w:szCs w:val="24"/>
        </w:rPr>
        <w:t>ATC-kode: H</w:t>
      </w:r>
      <w:r>
        <w:rPr>
          <w:sz w:val="24"/>
          <w:szCs w:val="24"/>
        </w:rPr>
        <w:t xml:space="preserve"> </w:t>
      </w:r>
      <w:r w:rsidRPr="00FE79A7">
        <w:rPr>
          <w:sz w:val="24"/>
          <w:szCs w:val="24"/>
        </w:rPr>
        <w:t>02</w:t>
      </w:r>
      <w:r>
        <w:rPr>
          <w:sz w:val="24"/>
          <w:szCs w:val="24"/>
        </w:rPr>
        <w:t xml:space="preserve"> </w:t>
      </w:r>
      <w:r w:rsidRPr="00FE79A7">
        <w:rPr>
          <w:sz w:val="24"/>
          <w:szCs w:val="24"/>
        </w:rPr>
        <w:t>AB</w:t>
      </w:r>
      <w:r>
        <w:rPr>
          <w:sz w:val="24"/>
          <w:szCs w:val="24"/>
        </w:rPr>
        <w:t xml:space="preserve"> </w:t>
      </w:r>
      <w:r w:rsidRPr="00FE79A7">
        <w:rPr>
          <w:sz w:val="24"/>
          <w:szCs w:val="24"/>
        </w:rPr>
        <w:t xml:space="preserve">02. </w:t>
      </w:r>
      <w:proofErr w:type="spellStart"/>
      <w:r w:rsidRPr="00FE79A7">
        <w:rPr>
          <w:sz w:val="24"/>
          <w:szCs w:val="24"/>
        </w:rPr>
        <w:t>Glukokortikoider</w:t>
      </w:r>
      <w:proofErr w:type="spellEnd"/>
      <w:r w:rsidRPr="00FE79A7">
        <w:rPr>
          <w:sz w:val="24"/>
          <w:szCs w:val="24"/>
        </w:rPr>
        <w:t>.</w:t>
      </w:r>
    </w:p>
    <w:p w14:paraId="66402B06" w14:textId="77777777" w:rsidR="009260DE" w:rsidRPr="00C84483" w:rsidRDefault="009260DE" w:rsidP="009260DE">
      <w:pPr>
        <w:tabs>
          <w:tab w:val="left" w:pos="851"/>
        </w:tabs>
        <w:ind w:left="851"/>
        <w:rPr>
          <w:sz w:val="24"/>
          <w:szCs w:val="24"/>
        </w:rPr>
      </w:pPr>
    </w:p>
    <w:p w14:paraId="46BF64A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DCD0317" w14:textId="77777777" w:rsidR="00EF7709" w:rsidRPr="00EF7709" w:rsidRDefault="00EF7709" w:rsidP="00EF7709">
      <w:pPr>
        <w:tabs>
          <w:tab w:val="left" w:pos="851"/>
        </w:tabs>
        <w:ind w:left="851"/>
        <w:rPr>
          <w:sz w:val="24"/>
          <w:szCs w:val="24"/>
        </w:rPr>
      </w:pPr>
      <w:proofErr w:type="spellStart"/>
      <w:r w:rsidRPr="00EF7709">
        <w:rPr>
          <w:sz w:val="24"/>
          <w:szCs w:val="24"/>
        </w:rPr>
        <w:t>Dexacur</w:t>
      </w:r>
      <w:proofErr w:type="spellEnd"/>
      <w:r w:rsidRPr="00EF7709">
        <w:rPr>
          <w:sz w:val="24"/>
          <w:szCs w:val="24"/>
        </w:rPr>
        <w:t xml:space="preserve"> indeholder </w:t>
      </w:r>
      <w:proofErr w:type="spellStart"/>
      <w:r w:rsidRPr="00EF7709">
        <w:rPr>
          <w:sz w:val="24"/>
          <w:szCs w:val="24"/>
        </w:rPr>
        <w:t>dexamethason</w:t>
      </w:r>
      <w:proofErr w:type="spellEnd"/>
      <w:r w:rsidRPr="00EF7709">
        <w:rPr>
          <w:sz w:val="24"/>
          <w:szCs w:val="24"/>
        </w:rPr>
        <w:t xml:space="preserve">, der er et syntetisk </w:t>
      </w:r>
      <w:proofErr w:type="spellStart"/>
      <w:r w:rsidRPr="00EF7709">
        <w:rPr>
          <w:sz w:val="24"/>
          <w:szCs w:val="24"/>
        </w:rPr>
        <w:t>kortikosteroid</w:t>
      </w:r>
      <w:proofErr w:type="spellEnd"/>
      <w:r w:rsidRPr="00EF7709">
        <w:rPr>
          <w:sz w:val="24"/>
          <w:szCs w:val="24"/>
        </w:rPr>
        <w:t xml:space="preserve"> med overvejende </w:t>
      </w:r>
      <w:proofErr w:type="spellStart"/>
      <w:r w:rsidRPr="00EF7709">
        <w:rPr>
          <w:sz w:val="24"/>
          <w:szCs w:val="24"/>
        </w:rPr>
        <w:t>glukokortikoid</w:t>
      </w:r>
      <w:proofErr w:type="spellEnd"/>
      <w:r w:rsidRPr="00EF7709">
        <w:rPr>
          <w:sz w:val="24"/>
          <w:szCs w:val="24"/>
        </w:rPr>
        <w:t xml:space="preserve"> virkning. Stoffet har antiallergen, antiinflammatorisk og </w:t>
      </w:r>
      <w:proofErr w:type="spellStart"/>
      <w:r w:rsidRPr="00EF7709">
        <w:rPr>
          <w:sz w:val="24"/>
          <w:szCs w:val="24"/>
        </w:rPr>
        <w:t>immunosuppressiv</w:t>
      </w:r>
      <w:proofErr w:type="spellEnd"/>
      <w:r w:rsidRPr="00EF7709">
        <w:rPr>
          <w:sz w:val="24"/>
          <w:szCs w:val="24"/>
        </w:rPr>
        <w:t xml:space="preserve"> virkning.</w:t>
      </w:r>
    </w:p>
    <w:p w14:paraId="2CFC6299" w14:textId="77777777" w:rsidR="00EF7709" w:rsidRPr="00EF7709" w:rsidRDefault="00EF7709" w:rsidP="00EF7709">
      <w:pPr>
        <w:tabs>
          <w:tab w:val="left" w:pos="851"/>
        </w:tabs>
        <w:ind w:left="851"/>
        <w:rPr>
          <w:sz w:val="24"/>
          <w:szCs w:val="24"/>
        </w:rPr>
      </w:pPr>
    </w:p>
    <w:p w14:paraId="695F47DE" w14:textId="77777777" w:rsidR="00EF7709" w:rsidRPr="00EF7709" w:rsidRDefault="00EF7709" w:rsidP="00EF7709">
      <w:pPr>
        <w:tabs>
          <w:tab w:val="left" w:pos="851"/>
        </w:tabs>
        <w:ind w:left="851"/>
        <w:rPr>
          <w:sz w:val="24"/>
          <w:szCs w:val="24"/>
        </w:rPr>
      </w:pPr>
      <w:r w:rsidRPr="00EF7709">
        <w:rPr>
          <w:sz w:val="24"/>
          <w:szCs w:val="24"/>
        </w:rPr>
        <w:t xml:space="preserve">Følgende omsætningsforhold kan anvendes ved skift til </w:t>
      </w:r>
      <w:proofErr w:type="spellStart"/>
      <w:r w:rsidRPr="00EF7709">
        <w:rPr>
          <w:sz w:val="24"/>
          <w:szCs w:val="24"/>
        </w:rPr>
        <w:t>dexamethason</w:t>
      </w:r>
      <w:proofErr w:type="spellEnd"/>
      <w:r w:rsidRPr="00EF7709">
        <w:rPr>
          <w:sz w:val="24"/>
          <w:szCs w:val="24"/>
        </w:rPr>
        <w:t xml:space="preserve"> fra andre </w:t>
      </w:r>
      <w:proofErr w:type="spellStart"/>
      <w:r w:rsidRPr="00EF7709">
        <w:rPr>
          <w:sz w:val="24"/>
          <w:szCs w:val="24"/>
        </w:rPr>
        <w:t>glukokortikoider</w:t>
      </w:r>
      <w:proofErr w:type="spellEnd"/>
      <w:r w:rsidRPr="00EF7709">
        <w:rPr>
          <w:sz w:val="24"/>
          <w:szCs w:val="24"/>
        </w:rPr>
        <w:t>:</w:t>
      </w:r>
    </w:p>
    <w:p w14:paraId="07550A03" w14:textId="77777777" w:rsidR="00EF7709" w:rsidRPr="00EF7709" w:rsidRDefault="00EF7709" w:rsidP="00EF7709">
      <w:pPr>
        <w:tabs>
          <w:tab w:val="left" w:pos="851"/>
        </w:tabs>
        <w:ind w:left="851"/>
        <w:rPr>
          <w:sz w:val="24"/>
          <w:szCs w:val="24"/>
        </w:rPr>
      </w:pPr>
      <w:r w:rsidRPr="00EF7709">
        <w:rPr>
          <w:sz w:val="24"/>
          <w:szCs w:val="24"/>
        </w:rPr>
        <w:t xml:space="preserve">Milligram for milligram er </w:t>
      </w:r>
      <w:proofErr w:type="spellStart"/>
      <w:r w:rsidRPr="00EF7709">
        <w:rPr>
          <w:sz w:val="24"/>
          <w:szCs w:val="24"/>
        </w:rPr>
        <w:t>dexamethason</w:t>
      </w:r>
      <w:proofErr w:type="spellEnd"/>
      <w:r w:rsidRPr="00EF7709">
        <w:rPr>
          <w:sz w:val="24"/>
          <w:szCs w:val="24"/>
        </w:rPr>
        <w:t xml:space="preserve"> tilnærmelsesvis ækvivalent med </w:t>
      </w:r>
      <w:proofErr w:type="spellStart"/>
      <w:r w:rsidRPr="00EF7709">
        <w:rPr>
          <w:sz w:val="24"/>
          <w:szCs w:val="24"/>
        </w:rPr>
        <w:t>betamethason</w:t>
      </w:r>
      <w:proofErr w:type="spellEnd"/>
      <w:r w:rsidRPr="00EF7709">
        <w:rPr>
          <w:sz w:val="24"/>
          <w:szCs w:val="24"/>
        </w:rPr>
        <w:t xml:space="preserve">, 4-6 gange mere potent end </w:t>
      </w:r>
      <w:proofErr w:type="spellStart"/>
      <w:r w:rsidRPr="00EF7709">
        <w:rPr>
          <w:sz w:val="24"/>
          <w:szCs w:val="24"/>
        </w:rPr>
        <w:t>methylprednisolon</w:t>
      </w:r>
      <w:proofErr w:type="spellEnd"/>
      <w:r w:rsidRPr="00EF7709">
        <w:rPr>
          <w:sz w:val="24"/>
          <w:szCs w:val="24"/>
        </w:rPr>
        <w:t xml:space="preserve"> og </w:t>
      </w:r>
      <w:proofErr w:type="spellStart"/>
      <w:r w:rsidRPr="00EF7709">
        <w:rPr>
          <w:sz w:val="24"/>
          <w:szCs w:val="24"/>
        </w:rPr>
        <w:t>triamcinolon</w:t>
      </w:r>
      <w:proofErr w:type="spellEnd"/>
      <w:r w:rsidRPr="00EF7709">
        <w:rPr>
          <w:sz w:val="24"/>
          <w:szCs w:val="24"/>
        </w:rPr>
        <w:t xml:space="preserve">, 6-8 gange mere potent end </w:t>
      </w:r>
      <w:proofErr w:type="spellStart"/>
      <w:r w:rsidRPr="00EF7709">
        <w:rPr>
          <w:sz w:val="24"/>
          <w:szCs w:val="24"/>
        </w:rPr>
        <w:t>prednison</w:t>
      </w:r>
      <w:proofErr w:type="spellEnd"/>
      <w:r w:rsidRPr="00EF7709">
        <w:rPr>
          <w:sz w:val="24"/>
          <w:szCs w:val="24"/>
        </w:rPr>
        <w:t xml:space="preserve"> og </w:t>
      </w:r>
      <w:proofErr w:type="spellStart"/>
      <w:r w:rsidRPr="00EF7709">
        <w:rPr>
          <w:sz w:val="24"/>
          <w:szCs w:val="24"/>
        </w:rPr>
        <w:t>prednisolon</w:t>
      </w:r>
      <w:proofErr w:type="spellEnd"/>
      <w:r w:rsidRPr="00EF7709">
        <w:rPr>
          <w:sz w:val="24"/>
          <w:szCs w:val="24"/>
        </w:rPr>
        <w:t xml:space="preserve">, 25-30 gange mere potent end </w:t>
      </w:r>
      <w:proofErr w:type="spellStart"/>
      <w:r w:rsidRPr="00EF7709">
        <w:rPr>
          <w:sz w:val="24"/>
          <w:szCs w:val="24"/>
        </w:rPr>
        <w:t>hydrokortison</w:t>
      </w:r>
      <w:proofErr w:type="spellEnd"/>
      <w:r w:rsidRPr="00EF7709">
        <w:rPr>
          <w:sz w:val="24"/>
          <w:szCs w:val="24"/>
        </w:rPr>
        <w:t>, og 35 gange mere potent end kortison.</w:t>
      </w:r>
    </w:p>
    <w:p w14:paraId="646DB9F4" w14:textId="77777777" w:rsidR="00EF7709" w:rsidRPr="00EF7709" w:rsidRDefault="00EF7709" w:rsidP="00EF7709">
      <w:pPr>
        <w:tabs>
          <w:tab w:val="left" w:pos="851"/>
        </w:tabs>
        <w:ind w:left="851"/>
        <w:rPr>
          <w:sz w:val="24"/>
          <w:szCs w:val="24"/>
        </w:rPr>
      </w:pPr>
    </w:p>
    <w:p w14:paraId="6083AD91" w14:textId="6D4494D8" w:rsidR="00EF7709" w:rsidRDefault="00EF7709" w:rsidP="00EF7709">
      <w:pPr>
        <w:tabs>
          <w:tab w:val="left" w:pos="851"/>
        </w:tabs>
        <w:ind w:left="851"/>
        <w:rPr>
          <w:sz w:val="24"/>
          <w:szCs w:val="24"/>
        </w:rPr>
      </w:pPr>
      <w:r w:rsidRPr="00EF7709">
        <w:rPr>
          <w:sz w:val="24"/>
          <w:szCs w:val="24"/>
        </w:rPr>
        <w:t>Virkningen på elektrolytbalancen er ubetydelig og medfører næsten ingen natrium- eller væskeretention. Den hæmmende virkning på hypofysen er stor.</w:t>
      </w:r>
    </w:p>
    <w:p w14:paraId="029F310D" w14:textId="77777777" w:rsidR="00407FB4" w:rsidRDefault="00407FB4" w:rsidP="00407FB4">
      <w:pPr>
        <w:rPr>
          <w:sz w:val="22"/>
        </w:rPr>
      </w:pPr>
    </w:p>
    <w:p w14:paraId="30296DE2" w14:textId="77777777" w:rsidR="00407FB4" w:rsidRPr="000F09CB" w:rsidRDefault="00407FB4" w:rsidP="000F09CB">
      <w:pPr>
        <w:ind w:left="851"/>
        <w:rPr>
          <w:sz w:val="24"/>
          <w:szCs w:val="24"/>
        </w:rPr>
      </w:pPr>
      <w:r w:rsidRPr="000F09CB">
        <w:rPr>
          <w:sz w:val="24"/>
          <w:szCs w:val="24"/>
        </w:rPr>
        <w:t>RECOVERY-studiet (</w:t>
      </w:r>
      <w:proofErr w:type="spellStart"/>
      <w:r w:rsidRPr="000F09CB">
        <w:rPr>
          <w:sz w:val="24"/>
          <w:szCs w:val="24"/>
        </w:rPr>
        <w:t>Randomized</w:t>
      </w:r>
      <w:proofErr w:type="spellEnd"/>
      <w:r w:rsidRPr="000F09CB">
        <w:rPr>
          <w:sz w:val="24"/>
          <w:szCs w:val="24"/>
        </w:rPr>
        <w:t xml:space="preserve"> Evaluation of COVid-19 </w:t>
      </w:r>
      <w:proofErr w:type="spellStart"/>
      <w:r w:rsidRPr="000F09CB">
        <w:rPr>
          <w:sz w:val="24"/>
          <w:szCs w:val="24"/>
        </w:rPr>
        <w:t>thERapY</w:t>
      </w:r>
      <w:proofErr w:type="spellEnd"/>
      <w:r w:rsidRPr="000F09CB">
        <w:rPr>
          <w:sz w:val="24"/>
          <w:szCs w:val="24"/>
        </w:rPr>
        <w:t>)</w:t>
      </w:r>
      <w:r w:rsidRPr="000F09CB">
        <w:rPr>
          <w:sz w:val="24"/>
          <w:szCs w:val="24"/>
          <w:vertAlign w:val="superscript"/>
        </w:rPr>
        <w:footnoteReference w:id="1"/>
      </w:r>
      <w:r w:rsidRPr="000F09CB">
        <w:rPr>
          <w:sz w:val="24"/>
          <w:szCs w:val="24"/>
        </w:rPr>
        <w:t xml:space="preserve"> er et </w:t>
      </w:r>
      <w:proofErr w:type="spellStart"/>
      <w:r w:rsidRPr="000F09CB">
        <w:rPr>
          <w:sz w:val="24"/>
          <w:szCs w:val="24"/>
        </w:rPr>
        <w:t>investigator</w:t>
      </w:r>
      <w:proofErr w:type="spellEnd"/>
      <w:r w:rsidRPr="000F09CB">
        <w:rPr>
          <w:sz w:val="24"/>
          <w:szCs w:val="24"/>
        </w:rPr>
        <w:t>-initieret, individuelt randomiseret, kontrolleret, åbent, adaptivt platformstudie til evaluering af effekten af potentielle behandlinger hos patienter, der er indlagt med COVID</w:t>
      </w:r>
      <w:r w:rsidRPr="000F09CB">
        <w:rPr>
          <w:sz w:val="24"/>
          <w:szCs w:val="24"/>
        </w:rPr>
        <w:noBreakHyphen/>
        <w:t>19.</w:t>
      </w:r>
    </w:p>
    <w:p w14:paraId="406931E1" w14:textId="77777777" w:rsidR="00407FB4" w:rsidRPr="000F09CB" w:rsidRDefault="00407FB4" w:rsidP="000F09CB">
      <w:pPr>
        <w:ind w:left="851"/>
        <w:rPr>
          <w:sz w:val="24"/>
          <w:szCs w:val="24"/>
        </w:rPr>
      </w:pPr>
    </w:p>
    <w:p w14:paraId="1EAB6DD4" w14:textId="77777777" w:rsidR="00407FB4" w:rsidRPr="000F09CB" w:rsidRDefault="00407FB4" w:rsidP="000F09CB">
      <w:pPr>
        <w:ind w:left="851"/>
        <w:rPr>
          <w:sz w:val="24"/>
          <w:szCs w:val="24"/>
        </w:rPr>
      </w:pPr>
      <w:r w:rsidRPr="000F09CB">
        <w:rPr>
          <w:sz w:val="24"/>
          <w:szCs w:val="24"/>
        </w:rPr>
        <w:t>Studiet blev udført på 176 hospitalsafdelinger i Storbritannien.</w:t>
      </w:r>
    </w:p>
    <w:p w14:paraId="31A11B29" w14:textId="77777777" w:rsidR="00407FB4" w:rsidRPr="000F09CB" w:rsidRDefault="00407FB4" w:rsidP="000F09CB">
      <w:pPr>
        <w:ind w:left="851"/>
        <w:rPr>
          <w:sz w:val="24"/>
          <w:szCs w:val="24"/>
        </w:rPr>
      </w:pPr>
    </w:p>
    <w:p w14:paraId="0C9BAFC4" w14:textId="77777777" w:rsidR="00407FB4" w:rsidRPr="000F09CB" w:rsidRDefault="00407FB4" w:rsidP="000F09CB">
      <w:pPr>
        <w:ind w:left="851"/>
        <w:rPr>
          <w:sz w:val="24"/>
          <w:szCs w:val="24"/>
        </w:rPr>
      </w:pPr>
      <w:r w:rsidRPr="000F09CB">
        <w:rPr>
          <w:sz w:val="24"/>
          <w:szCs w:val="24"/>
        </w:rPr>
        <w:t xml:space="preserve">6.425 patienter blev randomiserede til enten at få </w:t>
      </w:r>
      <w:proofErr w:type="spellStart"/>
      <w:r w:rsidRPr="000F09CB">
        <w:rPr>
          <w:sz w:val="24"/>
          <w:szCs w:val="24"/>
        </w:rPr>
        <w:t>dexamethason</w:t>
      </w:r>
      <w:proofErr w:type="spellEnd"/>
      <w:r w:rsidRPr="000F09CB">
        <w:rPr>
          <w:sz w:val="24"/>
          <w:szCs w:val="24"/>
        </w:rPr>
        <w:t xml:space="preserve"> (2.104 patienter) eller almindelig pleje alene (4.321 patienter). 89 % af patienterne havde laboratoriebekræftet SARS</w:t>
      </w:r>
      <w:r w:rsidRPr="000F09CB">
        <w:rPr>
          <w:sz w:val="24"/>
          <w:szCs w:val="24"/>
        </w:rPr>
        <w:noBreakHyphen/>
        <w:t>CoV</w:t>
      </w:r>
      <w:r w:rsidRPr="000F09CB">
        <w:rPr>
          <w:sz w:val="24"/>
          <w:szCs w:val="24"/>
        </w:rPr>
        <w:noBreakHyphen/>
        <w:t>2-infektion.</w:t>
      </w:r>
    </w:p>
    <w:p w14:paraId="4BB2AAB3" w14:textId="77777777" w:rsidR="00407FB4" w:rsidRPr="000F09CB" w:rsidRDefault="00407FB4" w:rsidP="000F09CB">
      <w:pPr>
        <w:ind w:left="851"/>
        <w:rPr>
          <w:sz w:val="24"/>
          <w:szCs w:val="24"/>
        </w:rPr>
      </w:pPr>
    </w:p>
    <w:p w14:paraId="204B6D38" w14:textId="77777777" w:rsidR="00407FB4" w:rsidRPr="000F09CB" w:rsidRDefault="00407FB4" w:rsidP="000F09CB">
      <w:pPr>
        <w:ind w:left="851"/>
        <w:rPr>
          <w:sz w:val="24"/>
          <w:szCs w:val="24"/>
        </w:rPr>
      </w:pPr>
      <w:r w:rsidRPr="000F09CB">
        <w:rPr>
          <w:sz w:val="24"/>
          <w:szCs w:val="24"/>
        </w:rPr>
        <w:t xml:space="preserve">Ved </w:t>
      </w:r>
      <w:proofErr w:type="spellStart"/>
      <w:r w:rsidRPr="000F09CB">
        <w:rPr>
          <w:sz w:val="24"/>
          <w:szCs w:val="24"/>
        </w:rPr>
        <w:t>randomisering</w:t>
      </w:r>
      <w:proofErr w:type="spellEnd"/>
      <w:r w:rsidRPr="000F09CB">
        <w:rPr>
          <w:sz w:val="24"/>
          <w:szCs w:val="24"/>
        </w:rPr>
        <w:t xml:space="preserve"> fik 16 % af patienterne invasiv mekanisk ventilation eller ekstrakorporal </w:t>
      </w:r>
      <w:proofErr w:type="spellStart"/>
      <w:r w:rsidRPr="000F09CB">
        <w:rPr>
          <w:sz w:val="24"/>
          <w:szCs w:val="24"/>
        </w:rPr>
        <w:t>membranoxygenering</w:t>
      </w:r>
      <w:proofErr w:type="spellEnd"/>
      <w:r w:rsidRPr="000F09CB">
        <w:rPr>
          <w:sz w:val="24"/>
          <w:szCs w:val="24"/>
        </w:rPr>
        <w:t>, 60 % fik kun ilt (med eller uden non</w:t>
      </w:r>
      <w:r w:rsidRPr="000F09CB">
        <w:rPr>
          <w:sz w:val="24"/>
          <w:szCs w:val="24"/>
        </w:rPr>
        <w:noBreakHyphen/>
        <w:t>invasiv ventilation) og 24 % fik ingen af delene.</w:t>
      </w:r>
    </w:p>
    <w:p w14:paraId="08A9CF2B" w14:textId="77777777" w:rsidR="00407FB4" w:rsidRPr="000F09CB" w:rsidRDefault="00407FB4" w:rsidP="000F09CB">
      <w:pPr>
        <w:ind w:left="851"/>
        <w:rPr>
          <w:sz w:val="24"/>
          <w:szCs w:val="24"/>
        </w:rPr>
      </w:pPr>
    </w:p>
    <w:p w14:paraId="757D6595" w14:textId="77777777" w:rsidR="00407FB4" w:rsidRPr="000F09CB" w:rsidRDefault="00407FB4" w:rsidP="000F09CB">
      <w:pPr>
        <w:ind w:left="851"/>
        <w:rPr>
          <w:sz w:val="24"/>
          <w:szCs w:val="24"/>
        </w:rPr>
      </w:pPr>
      <w:r w:rsidRPr="000F09CB">
        <w:rPr>
          <w:sz w:val="24"/>
          <w:szCs w:val="24"/>
        </w:rPr>
        <w:t>Patienternes gennemsnitsalder var 66,1+/-15,7 år. 36 % af patienterne var kvinder. 24 % af patienterne havde diabetes, 27 % havde hjertesygdom og 21 % havde kronisk lungesygdom.</w:t>
      </w:r>
    </w:p>
    <w:p w14:paraId="66AEF179" w14:textId="77777777" w:rsidR="00407FB4" w:rsidRPr="000F09CB" w:rsidRDefault="00407FB4" w:rsidP="000F09CB">
      <w:pPr>
        <w:ind w:left="851"/>
        <w:rPr>
          <w:sz w:val="24"/>
          <w:szCs w:val="24"/>
        </w:rPr>
      </w:pPr>
    </w:p>
    <w:p w14:paraId="6072A1F8" w14:textId="77777777" w:rsidR="00407FB4" w:rsidRPr="000F09CB" w:rsidRDefault="00407FB4" w:rsidP="000F09CB">
      <w:pPr>
        <w:ind w:left="851"/>
        <w:rPr>
          <w:b/>
          <w:bCs/>
          <w:sz w:val="24"/>
          <w:szCs w:val="24"/>
        </w:rPr>
      </w:pPr>
      <w:r w:rsidRPr="000F09CB">
        <w:rPr>
          <w:b/>
          <w:bCs/>
          <w:sz w:val="24"/>
          <w:szCs w:val="24"/>
        </w:rPr>
        <w:t>Primært endepunkt</w:t>
      </w:r>
    </w:p>
    <w:p w14:paraId="28BCA054" w14:textId="77777777" w:rsidR="00407FB4" w:rsidRPr="000F09CB" w:rsidRDefault="00407FB4" w:rsidP="000F09CB">
      <w:pPr>
        <w:ind w:left="851"/>
        <w:rPr>
          <w:sz w:val="24"/>
          <w:szCs w:val="24"/>
        </w:rPr>
      </w:pPr>
      <w:r w:rsidRPr="000F09CB">
        <w:rPr>
          <w:sz w:val="24"/>
          <w:szCs w:val="24"/>
        </w:rPr>
        <w:t xml:space="preserve">Dødeligheden efter 28 dage var signifikant lavere i </w:t>
      </w:r>
      <w:proofErr w:type="spellStart"/>
      <w:r w:rsidRPr="000F09CB">
        <w:rPr>
          <w:sz w:val="24"/>
          <w:szCs w:val="24"/>
        </w:rPr>
        <w:t>dexamethasongruppen</w:t>
      </w:r>
      <w:proofErr w:type="spellEnd"/>
      <w:r w:rsidRPr="000F09CB">
        <w:rPr>
          <w:sz w:val="24"/>
          <w:szCs w:val="24"/>
        </w:rPr>
        <w:t xml:space="preserve"> end i gruppen, der fik almindelig pleje, med rapporterede dødsfald hos henholdsvis 482 ud af 2.104 patienter (22,9 %) og hos 1.110 ud af 4.321 patienter (25,7 %) (rate ratio, 0,83; 95 % konfidensinterval [CI], 0,75</w:t>
      </w:r>
      <w:r w:rsidRPr="000F09CB">
        <w:rPr>
          <w:sz w:val="24"/>
          <w:szCs w:val="24"/>
        </w:rPr>
        <w:noBreakHyphen/>
        <w:t>0,93; p &lt;0,001).</w:t>
      </w:r>
    </w:p>
    <w:p w14:paraId="675F8C4E" w14:textId="77777777" w:rsidR="00407FB4" w:rsidRPr="000F09CB" w:rsidRDefault="00407FB4" w:rsidP="000F09CB">
      <w:pPr>
        <w:ind w:left="851"/>
        <w:rPr>
          <w:sz w:val="24"/>
          <w:szCs w:val="24"/>
        </w:rPr>
      </w:pPr>
      <w:r w:rsidRPr="000F09CB">
        <w:rPr>
          <w:sz w:val="24"/>
          <w:szCs w:val="24"/>
        </w:rPr>
        <w:t xml:space="preserve">I </w:t>
      </w:r>
      <w:proofErr w:type="spellStart"/>
      <w:r w:rsidRPr="000F09CB">
        <w:rPr>
          <w:sz w:val="24"/>
          <w:szCs w:val="24"/>
        </w:rPr>
        <w:t>dexamethasongruppen</w:t>
      </w:r>
      <w:proofErr w:type="spellEnd"/>
      <w:r w:rsidRPr="000F09CB">
        <w:rPr>
          <w:sz w:val="24"/>
          <w:szCs w:val="24"/>
        </w:rPr>
        <w:t xml:space="preserve"> var </w:t>
      </w:r>
      <w:proofErr w:type="spellStart"/>
      <w:r w:rsidRPr="000F09CB">
        <w:rPr>
          <w:sz w:val="24"/>
          <w:szCs w:val="24"/>
        </w:rPr>
        <w:t>incidensen</w:t>
      </w:r>
      <w:proofErr w:type="spellEnd"/>
      <w:r w:rsidRPr="000F09CB">
        <w:rPr>
          <w:sz w:val="24"/>
          <w:szCs w:val="24"/>
        </w:rPr>
        <w:t xml:space="preserve"> af dødsfald lavere end i gruppen, der fik almindelig pleje, blandt patienter, der fik invasiv mekanisk ventilation (29,3 % </w:t>
      </w:r>
      <w:r w:rsidRPr="000F09CB">
        <w:rPr>
          <w:i/>
          <w:iCs/>
          <w:sz w:val="24"/>
          <w:szCs w:val="24"/>
        </w:rPr>
        <w:t>vs.</w:t>
      </w:r>
      <w:r w:rsidRPr="000F09CB">
        <w:rPr>
          <w:sz w:val="24"/>
          <w:szCs w:val="24"/>
        </w:rPr>
        <w:t xml:space="preserve"> 41,4 %; rate ratio, 0,64; 95 % CI, 0,51</w:t>
      </w:r>
      <w:r w:rsidRPr="000F09CB">
        <w:rPr>
          <w:sz w:val="24"/>
          <w:szCs w:val="24"/>
        </w:rPr>
        <w:noBreakHyphen/>
        <w:t xml:space="preserve">0.81), og hos patienter, der fik supplerende iltbehandling uden invasiv mekanisk ventilation (23,3 % </w:t>
      </w:r>
      <w:r w:rsidRPr="000F09CB">
        <w:rPr>
          <w:i/>
          <w:iCs/>
          <w:sz w:val="24"/>
          <w:szCs w:val="24"/>
        </w:rPr>
        <w:t>vs.</w:t>
      </w:r>
      <w:r w:rsidRPr="000F09CB">
        <w:rPr>
          <w:sz w:val="24"/>
          <w:szCs w:val="24"/>
        </w:rPr>
        <w:t xml:space="preserve"> 26,2 %; rate ratio, 0,82; 95 % CI, 0,72</w:t>
      </w:r>
      <w:r w:rsidRPr="000F09CB">
        <w:rPr>
          <w:sz w:val="24"/>
          <w:szCs w:val="24"/>
        </w:rPr>
        <w:noBreakHyphen/>
        <w:t>0,94).</w:t>
      </w:r>
    </w:p>
    <w:p w14:paraId="57968BB7" w14:textId="77777777" w:rsidR="00407FB4" w:rsidRPr="000F09CB" w:rsidRDefault="00407FB4" w:rsidP="000F09CB">
      <w:pPr>
        <w:ind w:left="851"/>
        <w:rPr>
          <w:sz w:val="24"/>
          <w:szCs w:val="24"/>
        </w:rPr>
      </w:pPr>
    </w:p>
    <w:p w14:paraId="457ABD3A" w14:textId="77777777" w:rsidR="00407FB4" w:rsidRPr="000F09CB" w:rsidRDefault="00407FB4" w:rsidP="000F09CB">
      <w:pPr>
        <w:ind w:left="851"/>
        <w:rPr>
          <w:sz w:val="24"/>
          <w:szCs w:val="24"/>
        </w:rPr>
      </w:pPr>
      <w:r w:rsidRPr="000F09CB">
        <w:rPr>
          <w:sz w:val="24"/>
          <w:szCs w:val="24"/>
        </w:rPr>
        <w:t xml:space="preserve">Der var ingen klar effekt af </w:t>
      </w:r>
      <w:proofErr w:type="spellStart"/>
      <w:r w:rsidRPr="000F09CB">
        <w:rPr>
          <w:sz w:val="24"/>
          <w:szCs w:val="24"/>
        </w:rPr>
        <w:t>dexamethason</w:t>
      </w:r>
      <w:proofErr w:type="spellEnd"/>
      <w:r w:rsidRPr="000F09CB">
        <w:rPr>
          <w:sz w:val="24"/>
          <w:szCs w:val="24"/>
        </w:rPr>
        <w:t xml:space="preserve"> blandt patienter, der ikke fik respiratorisk støtte ved </w:t>
      </w:r>
      <w:proofErr w:type="spellStart"/>
      <w:r w:rsidRPr="000F09CB">
        <w:rPr>
          <w:sz w:val="24"/>
          <w:szCs w:val="24"/>
        </w:rPr>
        <w:t>randomisering</w:t>
      </w:r>
      <w:proofErr w:type="spellEnd"/>
      <w:r w:rsidRPr="000F09CB">
        <w:rPr>
          <w:sz w:val="24"/>
          <w:szCs w:val="24"/>
        </w:rPr>
        <w:t xml:space="preserve"> (17,8 % </w:t>
      </w:r>
      <w:r w:rsidRPr="000F09CB">
        <w:rPr>
          <w:i/>
          <w:iCs/>
          <w:sz w:val="24"/>
          <w:szCs w:val="24"/>
        </w:rPr>
        <w:t>vs.</w:t>
      </w:r>
      <w:r w:rsidRPr="000F09CB">
        <w:rPr>
          <w:sz w:val="24"/>
          <w:szCs w:val="24"/>
        </w:rPr>
        <w:t xml:space="preserve"> 14,0 %; rate ratio, 1,19; 95 % CI, 0,91</w:t>
      </w:r>
      <w:r w:rsidRPr="000F09CB">
        <w:rPr>
          <w:sz w:val="24"/>
          <w:szCs w:val="24"/>
        </w:rPr>
        <w:noBreakHyphen/>
        <w:t>1,55).</w:t>
      </w:r>
    </w:p>
    <w:p w14:paraId="10BA3A6E" w14:textId="77777777" w:rsidR="00407FB4" w:rsidRPr="000F09CB" w:rsidRDefault="00407FB4" w:rsidP="000F09CB">
      <w:pPr>
        <w:ind w:left="851"/>
        <w:rPr>
          <w:sz w:val="24"/>
          <w:szCs w:val="24"/>
        </w:rPr>
      </w:pPr>
    </w:p>
    <w:p w14:paraId="53605810" w14:textId="77777777" w:rsidR="00407FB4" w:rsidRPr="000F09CB" w:rsidRDefault="00407FB4" w:rsidP="000F09CB">
      <w:pPr>
        <w:ind w:left="851"/>
        <w:rPr>
          <w:b/>
          <w:bCs/>
          <w:sz w:val="24"/>
          <w:szCs w:val="24"/>
        </w:rPr>
      </w:pPr>
      <w:r w:rsidRPr="000F09CB">
        <w:rPr>
          <w:b/>
          <w:bCs/>
          <w:sz w:val="24"/>
          <w:szCs w:val="24"/>
        </w:rPr>
        <w:t>Sekundære endepunkter</w:t>
      </w:r>
    </w:p>
    <w:p w14:paraId="321F504E" w14:textId="77777777" w:rsidR="00407FB4" w:rsidRPr="000F09CB" w:rsidRDefault="00407FB4" w:rsidP="000F09CB">
      <w:pPr>
        <w:ind w:left="851"/>
        <w:rPr>
          <w:sz w:val="24"/>
          <w:szCs w:val="24"/>
        </w:rPr>
      </w:pPr>
      <w:r w:rsidRPr="000F09CB">
        <w:rPr>
          <w:sz w:val="24"/>
          <w:szCs w:val="24"/>
        </w:rPr>
        <w:t xml:space="preserve">Patienterne i </w:t>
      </w:r>
      <w:proofErr w:type="spellStart"/>
      <w:r w:rsidRPr="000F09CB">
        <w:rPr>
          <w:sz w:val="24"/>
          <w:szCs w:val="24"/>
        </w:rPr>
        <w:t>dexamethasongruppen</w:t>
      </w:r>
      <w:proofErr w:type="spellEnd"/>
      <w:r w:rsidRPr="000F09CB">
        <w:rPr>
          <w:sz w:val="24"/>
          <w:szCs w:val="24"/>
        </w:rPr>
        <w:t xml:space="preserve"> havde en kortere indlæggelsestid end patienterne i gruppen, der fik almindelig pleje (gennemsnit, 12 dage </w:t>
      </w:r>
      <w:r w:rsidRPr="000F09CB">
        <w:rPr>
          <w:i/>
          <w:iCs/>
          <w:sz w:val="24"/>
          <w:szCs w:val="24"/>
        </w:rPr>
        <w:t xml:space="preserve">vs. </w:t>
      </w:r>
      <w:r w:rsidRPr="000F09CB">
        <w:rPr>
          <w:sz w:val="24"/>
          <w:szCs w:val="24"/>
        </w:rPr>
        <w:t>13 dage), og en større sandsynlighed for at blive udskrevet i live inden for 28 dage (rate ratio, 1,10; 95 % CI, 1,03</w:t>
      </w:r>
      <w:r w:rsidRPr="000F09CB">
        <w:rPr>
          <w:sz w:val="24"/>
          <w:szCs w:val="24"/>
        </w:rPr>
        <w:noBreakHyphen/>
        <w:t>1,17).</w:t>
      </w:r>
    </w:p>
    <w:p w14:paraId="3D84A006" w14:textId="564269A5" w:rsidR="00407FB4" w:rsidRPr="000F09CB" w:rsidRDefault="00407FB4" w:rsidP="00B70043">
      <w:pPr>
        <w:ind w:left="851"/>
        <w:rPr>
          <w:sz w:val="24"/>
          <w:szCs w:val="24"/>
        </w:rPr>
      </w:pPr>
      <w:r w:rsidRPr="000F09CB">
        <w:rPr>
          <w:sz w:val="24"/>
          <w:szCs w:val="24"/>
        </w:rPr>
        <w:t xml:space="preserve">I overensstemmelse med det primære endepunkt sås den største effekt med hensyn til udskrivelse inden for 28 dage blandt patienter, der fik invasiv mekanisk ventilation ved </w:t>
      </w:r>
      <w:proofErr w:type="spellStart"/>
      <w:r w:rsidRPr="000F09CB">
        <w:rPr>
          <w:sz w:val="24"/>
          <w:szCs w:val="24"/>
        </w:rPr>
        <w:t>randomisering</w:t>
      </w:r>
      <w:proofErr w:type="spellEnd"/>
      <w:r w:rsidRPr="000F09CB">
        <w:rPr>
          <w:sz w:val="24"/>
          <w:szCs w:val="24"/>
        </w:rPr>
        <w:t xml:space="preserve"> (rate ratio 1,48; 95 % CI 1,16</w:t>
      </w:r>
      <w:r w:rsidRPr="000F09CB">
        <w:rPr>
          <w:sz w:val="24"/>
          <w:szCs w:val="24"/>
        </w:rPr>
        <w:noBreakHyphen/>
        <w:t>1,90), efterfulgt af ilt alene (rate ratio, 1,15; 95 % CI, 1,06</w:t>
      </w:r>
      <w:r w:rsidRPr="000F09CB">
        <w:rPr>
          <w:sz w:val="24"/>
          <w:szCs w:val="24"/>
        </w:rPr>
        <w:noBreakHyphen/>
        <w:t>1,24) og ingen gavnlig effekt hos patienter, der ikke fik ilt (rate ratio, 0,96; 95 % CI, 0,85</w:t>
      </w:r>
      <w:r w:rsidRPr="000F09CB">
        <w:rPr>
          <w:sz w:val="24"/>
          <w:szCs w:val="24"/>
        </w:rPr>
        <w:noBreakHyphen/>
        <w:t>1,08).</w:t>
      </w:r>
    </w:p>
    <w:p w14:paraId="23FBDCB9" w14:textId="77777777" w:rsidR="00407FB4" w:rsidRDefault="00407FB4" w:rsidP="00407FB4"/>
    <w:tbl>
      <w:tblPr>
        <w:tblStyle w:val="Tabel-Gitter"/>
        <w:tblW w:w="9356" w:type="dxa"/>
        <w:tblInd w:w="-5" w:type="dxa"/>
        <w:tblBorders>
          <w:insideH w:val="none" w:sz="0" w:space="0" w:color="auto"/>
          <w:insideV w:val="none" w:sz="0" w:space="0" w:color="auto"/>
        </w:tblBorders>
        <w:tblLook w:val="04A0" w:firstRow="1" w:lastRow="0" w:firstColumn="1" w:lastColumn="0" w:noHBand="0" w:noVBand="1"/>
      </w:tblPr>
      <w:tblGrid>
        <w:gridCol w:w="3791"/>
        <w:gridCol w:w="2056"/>
        <w:gridCol w:w="1767"/>
        <w:gridCol w:w="1742"/>
      </w:tblGrid>
      <w:tr w:rsidR="00407FB4" w:rsidRPr="0022350F" w14:paraId="0DBE7F7E" w14:textId="77777777" w:rsidTr="00407FB4">
        <w:tc>
          <w:tcPr>
            <w:tcW w:w="3791" w:type="dxa"/>
            <w:tcBorders>
              <w:top w:val="single" w:sz="4" w:space="0" w:color="auto"/>
              <w:left w:val="single" w:sz="4" w:space="0" w:color="auto"/>
              <w:bottom w:val="nil"/>
              <w:right w:val="nil"/>
            </w:tcBorders>
          </w:tcPr>
          <w:p w14:paraId="104F772F" w14:textId="77777777" w:rsidR="00407FB4" w:rsidRPr="00407FB4" w:rsidRDefault="00407FB4">
            <w:pPr>
              <w:rPr>
                <w:b/>
                <w:sz w:val="20"/>
                <w:lang w:val="da-DK"/>
              </w:rPr>
            </w:pPr>
          </w:p>
          <w:p w14:paraId="539BEE9C" w14:textId="77777777" w:rsidR="00407FB4" w:rsidRDefault="00407FB4">
            <w:pPr>
              <w:rPr>
                <w:b/>
                <w:sz w:val="20"/>
              </w:rPr>
            </w:pPr>
            <w:proofErr w:type="spellStart"/>
            <w:r>
              <w:rPr>
                <w:b/>
                <w:sz w:val="20"/>
              </w:rPr>
              <w:t>Resultat</w:t>
            </w:r>
            <w:proofErr w:type="spellEnd"/>
          </w:p>
        </w:tc>
        <w:tc>
          <w:tcPr>
            <w:tcW w:w="2056" w:type="dxa"/>
            <w:tcBorders>
              <w:top w:val="single" w:sz="4" w:space="0" w:color="auto"/>
              <w:left w:val="nil"/>
              <w:bottom w:val="nil"/>
              <w:right w:val="nil"/>
            </w:tcBorders>
            <w:hideMark/>
          </w:tcPr>
          <w:p w14:paraId="201DBAC7" w14:textId="77777777" w:rsidR="00407FB4" w:rsidRDefault="00407FB4">
            <w:pPr>
              <w:rPr>
                <w:b/>
                <w:sz w:val="20"/>
              </w:rPr>
            </w:pPr>
            <w:proofErr w:type="spellStart"/>
            <w:r>
              <w:rPr>
                <w:b/>
                <w:sz w:val="20"/>
              </w:rPr>
              <w:t>Dexamethason</w:t>
            </w:r>
            <w:proofErr w:type="spellEnd"/>
          </w:p>
          <w:p w14:paraId="2F93318C" w14:textId="77777777" w:rsidR="00407FB4" w:rsidRDefault="00407FB4">
            <w:pPr>
              <w:rPr>
                <w:b/>
                <w:sz w:val="20"/>
              </w:rPr>
            </w:pPr>
            <w:r>
              <w:rPr>
                <w:b/>
                <w:sz w:val="20"/>
              </w:rPr>
              <w:t>(N = 2.104)</w:t>
            </w:r>
          </w:p>
        </w:tc>
        <w:tc>
          <w:tcPr>
            <w:tcW w:w="1767" w:type="dxa"/>
            <w:tcBorders>
              <w:top w:val="single" w:sz="4" w:space="0" w:color="auto"/>
              <w:left w:val="nil"/>
              <w:bottom w:val="nil"/>
              <w:right w:val="nil"/>
            </w:tcBorders>
          </w:tcPr>
          <w:p w14:paraId="3CE085C0" w14:textId="77777777" w:rsidR="00407FB4" w:rsidRDefault="00407FB4">
            <w:pPr>
              <w:rPr>
                <w:b/>
                <w:sz w:val="20"/>
              </w:rPr>
            </w:pPr>
            <w:proofErr w:type="spellStart"/>
            <w:r>
              <w:rPr>
                <w:b/>
                <w:sz w:val="20"/>
              </w:rPr>
              <w:t>Almindelig</w:t>
            </w:r>
            <w:proofErr w:type="spellEnd"/>
            <w:r>
              <w:rPr>
                <w:b/>
                <w:sz w:val="20"/>
              </w:rPr>
              <w:t xml:space="preserve"> </w:t>
            </w:r>
            <w:proofErr w:type="spellStart"/>
            <w:r>
              <w:rPr>
                <w:b/>
                <w:sz w:val="20"/>
              </w:rPr>
              <w:t>pleje</w:t>
            </w:r>
            <w:proofErr w:type="spellEnd"/>
          </w:p>
          <w:p w14:paraId="0C77F1F1" w14:textId="77777777" w:rsidR="00407FB4" w:rsidRDefault="00407FB4">
            <w:pPr>
              <w:rPr>
                <w:b/>
                <w:sz w:val="20"/>
              </w:rPr>
            </w:pPr>
            <w:r>
              <w:rPr>
                <w:b/>
                <w:sz w:val="20"/>
              </w:rPr>
              <w:t>(N = 4.321)</w:t>
            </w:r>
          </w:p>
          <w:p w14:paraId="70896032" w14:textId="77777777" w:rsidR="00407FB4" w:rsidRDefault="00407FB4">
            <w:pPr>
              <w:rPr>
                <w:b/>
                <w:sz w:val="20"/>
              </w:rPr>
            </w:pPr>
          </w:p>
        </w:tc>
        <w:tc>
          <w:tcPr>
            <w:tcW w:w="1742" w:type="dxa"/>
            <w:tcBorders>
              <w:top w:val="single" w:sz="4" w:space="0" w:color="auto"/>
              <w:left w:val="nil"/>
              <w:bottom w:val="nil"/>
              <w:right w:val="single" w:sz="4" w:space="0" w:color="auto"/>
            </w:tcBorders>
            <w:hideMark/>
          </w:tcPr>
          <w:p w14:paraId="613C6076" w14:textId="77777777" w:rsidR="00407FB4" w:rsidRPr="00407FB4" w:rsidRDefault="00407FB4">
            <w:pPr>
              <w:rPr>
                <w:b/>
                <w:sz w:val="20"/>
                <w:lang w:val="sv-SE"/>
              </w:rPr>
            </w:pPr>
            <w:r w:rsidRPr="00407FB4">
              <w:rPr>
                <w:b/>
                <w:sz w:val="20"/>
                <w:lang w:val="sv-SE"/>
              </w:rPr>
              <w:t xml:space="preserve">Rate eller risk </w:t>
            </w:r>
            <w:proofErr w:type="spellStart"/>
            <w:r w:rsidRPr="00407FB4">
              <w:rPr>
                <w:b/>
                <w:sz w:val="20"/>
                <w:lang w:val="sv-SE"/>
              </w:rPr>
              <w:t>ratio</w:t>
            </w:r>
            <w:proofErr w:type="spellEnd"/>
          </w:p>
          <w:p w14:paraId="644D8A46" w14:textId="77777777" w:rsidR="00407FB4" w:rsidRPr="00407FB4" w:rsidRDefault="00407FB4">
            <w:pPr>
              <w:rPr>
                <w:b/>
                <w:sz w:val="20"/>
                <w:lang w:val="sv-SE"/>
              </w:rPr>
            </w:pPr>
            <w:r w:rsidRPr="00407FB4">
              <w:rPr>
                <w:b/>
                <w:sz w:val="20"/>
                <w:lang w:val="sv-SE"/>
              </w:rPr>
              <w:t>(95 % CI)</w:t>
            </w:r>
            <w:r w:rsidRPr="00407FB4">
              <w:rPr>
                <w:sz w:val="20"/>
                <w:lang w:val="sv-SE"/>
              </w:rPr>
              <w:t xml:space="preserve"> </w:t>
            </w:r>
            <w:r w:rsidRPr="00407FB4">
              <w:rPr>
                <w:b/>
                <w:sz w:val="20"/>
                <w:lang w:val="sv-SE"/>
              </w:rPr>
              <w:t>*</w:t>
            </w:r>
          </w:p>
        </w:tc>
      </w:tr>
      <w:tr w:rsidR="00407FB4" w14:paraId="64E5E6A8" w14:textId="77777777" w:rsidTr="00407FB4">
        <w:tc>
          <w:tcPr>
            <w:tcW w:w="3791" w:type="dxa"/>
            <w:tcBorders>
              <w:top w:val="nil"/>
              <w:left w:val="single" w:sz="4" w:space="0" w:color="auto"/>
              <w:bottom w:val="nil"/>
              <w:right w:val="nil"/>
            </w:tcBorders>
          </w:tcPr>
          <w:p w14:paraId="602DB301" w14:textId="77777777" w:rsidR="00407FB4" w:rsidRPr="00407FB4" w:rsidRDefault="00407FB4">
            <w:pPr>
              <w:rPr>
                <w:b/>
                <w:sz w:val="20"/>
                <w:lang w:val="sv-SE"/>
              </w:rPr>
            </w:pPr>
          </w:p>
        </w:tc>
        <w:tc>
          <w:tcPr>
            <w:tcW w:w="5565" w:type="dxa"/>
            <w:gridSpan w:val="3"/>
            <w:tcBorders>
              <w:top w:val="nil"/>
              <w:left w:val="nil"/>
              <w:bottom w:val="nil"/>
              <w:right w:val="single" w:sz="4" w:space="0" w:color="auto"/>
            </w:tcBorders>
          </w:tcPr>
          <w:p w14:paraId="543909F9" w14:textId="77777777" w:rsidR="00407FB4" w:rsidRDefault="00407FB4">
            <w:pPr>
              <w:jc w:val="center"/>
              <w:rPr>
                <w:i/>
                <w:iCs/>
                <w:sz w:val="20"/>
              </w:rPr>
            </w:pPr>
            <w:proofErr w:type="spellStart"/>
            <w:r>
              <w:rPr>
                <w:i/>
                <w:iCs/>
                <w:sz w:val="20"/>
              </w:rPr>
              <w:t>antal</w:t>
            </w:r>
            <w:proofErr w:type="spellEnd"/>
            <w:r>
              <w:rPr>
                <w:i/>
                <w:iCs/>
                <w:sz w:val="20"/>
              </w:rPr>
              <w:t>/</w:t>
            </w:r>
            <w:proofErr w:type="spellStart"/>
            <w:r>
              <w:rPr>
                <w:i/>
                <w:iCs/>
                <w:sz w:val="20"/>
              </w:rPr>
              <w:t>samlet</w:t>
            </w:r>
            <w:proofErr w:type="spellEnd"/>
            <w:r>
              <w:rPr>
                <w:i/>
                <w:iCs/>
                <w:sz w:val="20"/>
              </w:rPr>
              <w:t xml:space="preserve"> </w:t>
            </w:r>
            <w:proofErr w:type="spellStart"/>
            <w:r>
              <w:rPr>
                <w:i/>
                <w:iCs/>
                <w:sz w:val="20"/>
              </w:rPr>
              <w:t>antal</w:t>
            </w:r>
            <w:proofErr w:type="spellEnd"/>
            <w:r>
              <w:rPr>
                <w:i/>
                <w:iCs/>
                <w:sz w:val="20"/>
              </w:rPr>
              <w:t xml:space="preserve"> </w:t>
            </w:r>
            <w:proofErr w:type="spellStart"/>
            <w:r>
              <w:rPr>
                <w:i/>
                <w:iCs/>
                <w:sz w:val="20"/>
              </w:rPr>
              <w:t>patienter</w:t>
            </w:r>
            <w:proofErr w:type="spellEnd"/>
            <w:r>
              <w:rPr>
                <w:i/>
                <w:iCs/>
                <w:sz w:val="20"/>
              </w:rPr>
              <w:t xml:space="preserve"> (%)</w:t>
            </w:r>
          </w:p>
          <w:p w14:paraId="2B4082C7" w14:textId="77777777" w:rsidR="00407FB4" w:rsidRDefault="00407FB4">
            <w:pPr>
              <w:rPr>
                <w:b/>
                <w:sz w:val="20"/>
              </w:rPr>
            </w:pPr>
          </w:p>
        </w:tc>
      </w:tr>
      <w:tr w:rsidR="00407FB4" w14:paraId="231ACED4" w14:textId="77777777" w:rsidTr="00407FB4">
        <w:tc>
          <w:tcPr>
            <w:tcW w:w="3791" w:type="dxa"/>
            <w:tcBorders>
              <w:top w:val="nil"/>
              <w:left w:val="single" w:sz="4" w:space="0" w:color="auto"/>
              <w:bottom w:val="nil"/>
              <w:right w:val="nil"/>
            </w:tcBorders>
            <w:shd w:val="clear" w:color="auto" w:fill="E7E6E6" w:themeFill="background2"/>
            <w:hideMark/>
          </w:tcPr>
          <w:p w14:paraId="62CE971E" w14:textId="77777777" w:rsidR="00407FB4" w:rsidRDefault="00407FB4">
            <w:pPr>
              <w:rPr>
                <w:b/>
                <w:sz w:val="20"/>
              </w:rPr>
            </w:pPr>
            <w:proofErr w:type="spellStart"/>
            <w:r>
              <w:rPr>
                <w:b/>
                <w:sz w:val="20"/>
              </w:rPr>
              <w:t>Primært</w:t>
            </w:r>
            <w:proofErr w:type="spellEnd"/>
            <w:r>
              <w:rPr>
                <w:b/>
                <w:sz w:val="20"/>
              </w:rPr>
              <w:t xml:space="preserve"> </w:t>
            </w:r>
            <w:proofErr w:type="spellStart"/>
            <w:r>
              <w:rPr>
                <w:b/>
                <w:sz w:val="20"/>
              </w:rPr>
              <w:t>resultat</w:t>
            </w:r>
            <w:proofErr w:type="spellEnd"/>
          </w:p>
        </w:tc>
        <w:tc>
          <w:tcPr>
            <w:tcW w:w="2056" w:type="dxa"/>
            <w:tcBorders>
              <w:top w:val="nil"/>
              <w:left w:val="nil"/>
              <w:bottom w:val="nil"/>
              <w:right w:val="nil"/>
            </w:tcBorders>
            <w:shd w:val="clear" w:color="auto" w:fill="E7E6E6" w:themeFill="background2"/>
          </w:tcPr>
          <w:p w14:paraId="2A883CCE" w14:textId="77777777" w:rsidR="00407FB4" w:rsidRDefault="00407FB4">
            <w:pPr>
              <w:rPr>
                <w:sz w:val="20"/>
              </w:rPr>
            </w:pPr>
          </w:p>
        </w:tc>
        <w:tc>
          <w:tcPr>
            <w:tcW w:w="1767" w:type="dxa"/>
            <w:tcBorders>
              <w:top w:val="nil"/>
              <w:left w:val="nil"/>
              <w:bottom w:val="nil"/>
              <w:right w:val="nil"/>
            </w:tcBorders>
            <w:shd w:val="clear" w:color="auto" w:fill="E7E6E6" w:themeFill="background2"/>
          </w:tcPr>
          <w:p w14:paraId="47917BAF" w14:textId="77777777" w:rsidR="00407FB4" w:rsidRDefault="00407FB4">
            <w:pPr>
              <w:rPr>
                <w:sz w:val="20"/>
              </w:rPr>
            </w:pPr>
          </w:p>
        </w:tc>
        <w:tc>
          <w:tcPr>
            <w:tcW w:w="1742" w:type="dxa"/>
            <w:tcBorders>
              <w:top w:val="nil"/>
              <w:left w:val="nil"/>
              <w:bottom w:val="nil"/>
              <w:right w:val="single" w:sz="4" w:space="0" w:color="auto"/>
            </w:tcBorders>
            <w:shd w:val="clear" w:color="auto" w:fill="E7E6E6" w:themeFill="background2"/>
          </w:tcPr>
          <w:p w14:paraId="3342C20A" w14:textId="77777777" w:rsidR="00407FB4" w:rsidRDefault="00407FB4">
            <w:pPr>
              <w:rPr>
                <w:sz w:val="20"/>
              </w:rPr>
            </w:pPr>
          </w:p>
        </w:tc>
      </w:tr>
      <w:tr w:rsidR="00407FB4" w14:paraId="7CF863D2" w14:textId="77777777" w:rsidTr="00407FB4">
        <w:tc>
          <w:tcPr>
            <w:tcW w:w="3791" w:type="dxa"/>
            <w:tcBorders>
              <w:top w:val="nil"/>
              <w:left w:val="single" w:sz="4" w:space="0" w:color="auto"/>
              <w:bottom w:val="nil"/>
              <w:right w:val="nil"/>
            </w:tcBorders>
            <w:hideMark/>
          </w:tcPr>
          <w:p w14:paraId="567D62A5" w14:textId="77777777" w:rsidR="00407FB4" w:rsidRDefault="00407FB4">
            <w:pPr>
              <w:rPr>
                <w:sz w:val="20"/>
              </w:rPr>
            </w:pPr>
            <w:proofErr w:type="spellStart"/>
            <w:r>
              <w:rPr>
                <w:sz w:val="20"/>
              </w:rPr>
              <w:t>Dødelighed</w:t>
            </w:r>
            <w:proofErr w:type="spellEnd"/>
            <w:r>
              <w:rPr>
                <w:sz w:val="20"/>
              </w:rPr>
              <w:t xml:space="preserve"> </w:t>
            </w:r>
            <w:proofErr w:type="spellStart"/>
            <w:r>
              <w:rPr>
                <w:sz w:val="20"/>
              </w:rPr>
              <w:t>efter</w:t>
            </w:r>
            <w:proofErr w:type="spellEnd"/>
            <w:r>
              <w:rPr>
                <w:sz w:val="20"/>
              </w:rPr>
              <w:t xml:space="preserve"> 28 </w:t>
            </w:r>
            <w:proofErr w:type="spellStart"/>
            <w:r>
              <w:rPr>
                <w:sz w:val="20"/>
              </w:rPr>
              <w:t>dage</w:t>
            </w:r>
            <w:proofErr w:type="spellEnd"/>
          </w:p>
        </w:tc>
        <w:tc>
          <w:tcPr>
            <w:tcW w:w="2056" w:type="dxa"/>
            <w:tcBorders>
              <w:top w:val="nil"/>
              <w:left w:val="nil"/>
              <w:bottom w:val="nil"/>
              <w:right w:val="nil"/>
            </w:tcBorders>
            <w:hideMark/>
          </w:tcPr>
          <w:p w14:paraId="233E46A9" w14:textId="77777777" w:rsidR="00407FB4" w:rsidRDefault="00407FB4">
            <w:pPr>
              <w:rPr>
                <w:sz w:val="20"/>
              </w:rPr>
            </w:pPr>
            <w:r>
              <w:rPr>
                <w:sz w:val="20"/>
              </w:rPr>
              <w:t>482/2.104 (22,9)</w:t>
            </w:r>
          </w:p>
        </w:tc>
        <w:tc>
          <w:tcPr>
            <w:tcW w:w="1767" w:type="dxa"/>
            <w:tcBorders>
              <w:top w:val="nil"/>
              <w:left w:val="nil"/>
              <w:bottom w:val="nil"/>
              <w:right w:val="nil"/>
            </w:tcBorders>
            <w:hideMark/>
          </w:tcPr>
          <w:p w14:paraId="27297865" w14:textId="77777777" w:rsidR="00407FB4" w:rsidRDefault="00407FB4">
            <w:pPr>
              <w:rPr>
                <w:sz w:val="20"/>
              </w:rPr>
            </w:pPr>
            <w:r>
              <w:rPr>
                <w:sz w:val="20"/>
              </w:rPr>
              <w:t>1.110/4.321 (25,7)</w:t>
            </w:r>
          </w:p>
        </w:tc>
        <w:tc>
          <w:tcPr>
            <w:tcW w:w="1742" w:type="dxa"/>
            <w:tcBorders>
              <w:top w:val="nil"/>
              <w:left w:val="nil"/>
              <w:bottom w:val="nil"/>
              <w:right w:val="single" w:sz="4" w:space="0" w:color="auto"/>
            </w:tcBorders>
            <w:hideMark/>
          </w:tcPr>
          <w:p w14:paraId="7CFC7A9A" w14:textId="77777777" w:rsidR="00407FB4" w:rsidRDefault="00407FB4">
            <w:pPr>
              <w:rPr>
                <w:sz w:val="20"/>
              </w:rPr>
            </w:pPr>
            <w:r>
              <w:rPr>
                <w:sz w:val="20"/>
              </w:rPr>
              <w:t>0,83 (0,75-0,93)</w:t>
            </w:r>
          </w:p>
        </w:tc>
      </w:tr>
      <w:tr w:rsidR="00407FB4" w14:paraId="4D1A6407" w14:textId="77777777" w:rsidTr="00407FB4">
        <w:tc>
          <w:tcPr>
            <w:tcW w:w="3791" w:type="dxa"/>
            <w:tcBorders>
              <w:top w:val="nil"/>
              <w:left w:val="single" w:sz="4" w:space="0" w:color="auto"/>
              <w:bottom w:val="nil"/>
              <w:right w:val="nil"/>
            </w:tcBorders>
            <w:shd w:val="clear" w:color="auto" w:fill="E7E6E6" w:themeFill="background2"/>
            <w:hideMark/>
          </w:tcPr>
          <w:p w14:paraId="601A757C" w14:textId="77777777" w:rsidR="00407FB4" w:rsidRDefault="00407FB4">
            <w:pPr>
              <w:rPr>
                <w:b/>
                <w:sz w:val="20"/>
              </w:rPr>
            </w:pPr>
            <w:proofErr w:type="spellStart"/>
            <w:r>
              <w:rPr>
                <w:b/>
                <w:sz w:val="20"/>
              </w:rPr>
              <w:t>Sekundære</w:t>
            </w:r>
            <w:proofErr w:type="spellEnd"/>
            <w:r>
              <w:rPr>
                <w:b/>
                <w:sz w:val="20"/>
              </w:rPr>
              <w:t xml:space="preserve"> </w:t>
            </w:r>
            <w:proofErr w:type="spellStart"/>
            <w:r>
              <w:rPr>
                <w:b/>
                <w:sz w:val="20"/>
              </w:rPr>
              <w:t>resultater</w:t>
            </w:r>
            <w:proofErr w:type="spellEnd"/>
          </w:p>
        </w:tc>
        <w:tc>
          <w:tcPr>
            <w:tcW w:w="2056" w:type="dxa"/>
            <w:tcBorders>
              <w:top w:val="nil"/>
              <w:left w:val="nil"/>
              <w:bottom w:val="nil"/>
              <w:right w:val="nil"/>
            </w:tcBorders>
            <w:shd w:val="clear" w:color="auto" w:fill="E7E6E6" w:themeFill="background2"/>
          </w:tcPr>
          <w:p w14:paraId="7219FC2C" w14:textId="77777777" w:rsidR="00407FB4" w:rsidRDefault="00407FB4">
            <w:pPr>
              <w:rPr>
                <w:sz w:val="20"/>
              </w:rPr>
            </w:pPr>
          </w:p>
        </w:tc>
        <w:tc>
          <w:tcPr>
            <w:tcW w:w="1767" w:type="dxa"/>
            <w:tcBorders>
              <w:top w:val="nil"/>
              <w:left w:val="nil"/>
              <w:bottom w:val="nil"/>
              <w:right w:val="nil"/>
            </w:tcBorders>
            <w:shd w:val="clear" w:color="auto" w:fill="E7E6E6" w:themeFill="background2"/>
          </w:tcPr>
          <w:p w14:paraId="69EC13ED" w14:textId="77777777" w:rsidR="00407FB4" w:rsidRDefault="00407FB4">
            <w:pPr>
              <w:rPr>
                <w:sz w:val="20"/>
              </w:rPr>
            </w:pPr>
          </w:p>
        </w:tc>
        <w:tc>
          <w:tcPr>
            <w:tcW w:w="1742" w:type="dxa"/>
            <w:tcBorders>
              <w:top w:val="nil"/>
              <w:left w:val="nil"/>
              <w:bottom w:val="nil"/>
              <w:right w:val="single" w:sz="4" w:space="0" w:color="auto"/>
            </w:tcBorders>
            <w:shd w:val="clear" w:color="auto" w:fill="E7E6E6" w:themeFill="background2"/>
          </w:tcPr>
          <w:p w14:paraId="20C55353" w14:textId="77777777" w:rsidR="00407FB4" w:rsidRDefault="00407FB4">
            <w:pPr>
              <w:rPr>
                <w:sz w:val="20"/>
              </w:rPr>
            </w:pPr>
          </w:p>
        </w:tc>
      </w:tr>
      <w:tr w:rsidR="00407FB4" w14:paraId="0759E158" w14:textId="77777777" w:rsidTr="00407FB4">
        <w:tc>
          <w:tcPr>
            <w:tcW w:w="3791" w:type="dxa"/>
            <w:tcBorders>
              <w:top w:val="nil"/>
              <w:left w:val="single" w:sz="4" w:space="0" w:color="auto"/>
              <w:bottom w:val="nil"/>
              <w:right w:val="nil"/>
            </w:tcBorders>
            <w:hideMark/>
          </w:tcPr>
          <w:p w14:paraId="087C4853" w14:textId="77777777" w:rsidR="00407FB4" w:rsidRPr="00407FB4" w:rsidRDefault="00407FB4">
            <w:pPr>
              <w:rPr>
                <w:sz w:val="20"/>
                <w:lang w:val="da-DK"/>
              </w:rPr>
            </w:pPr>
            <w:r w:rsidRPr="00407FB4">
              <w:rPr>
                <w:sz w:val="20"/>
                <w:lang w:val="da-DK"/>
              </w:rPr>
              <w:t>Udskrevet fra hospitalet inden for 28 dage</w:t>
            </w:r>
          </w:p>
        </w:tc>
        <w:tc>
          <w:tcPr>
            <w:tcW w:w="2056" w:type="dxa"/>
            <w:tcBorders>
              <w:top w:val="nil"/>
              <w:left w:val="nil"/>
              <w:bottom w:val="nil"/>
              <w:right w:val="nil"/>
            </w:tcBorders>
            <w:hideMark/>
          </w:tcPr>
          <w:p w14:paraId="22EF3B39" w14:textId="77777777" w:rsidR="00407FB4" w:rsidRDefault="00407FB4">
            <w:pPr>
              <w:rPr>
                <w:sz w:val="20"/>
              </w:rPr>
            </w:pPr>
            <w:r>
              <w:rPr>
                <w:sz w:val="20"/>
              </w:rPr>
              <w:t>1.413/2.104 (67,2)</w:t>
            </w:r>
          </w:p>
        </w:tc>
        <w:tc>
          <w:tcPr>
            <w:tcW w:w="1767" w:type="dxa"/>
            <w:tcBorders>
              <w:top w:val="nil"/>
              <w:left w:val="nil"/>
              <w:bottom w:val="nil"/>
              <w:right w:val="nil"/>
            </w:tcBorders>
            <w:hideMark/>
          </w:tcPr>
          <w:p w14:paraId="4EBFAD7B" w14:textId="77777777" w:rsidR="00407FB4" w:rsidRDefault="00407FB4">
            <w:pPr>
              <w:rPr>
                <w:sz w:val="20"/>
              </w:rPr>
            </w:pPr>
            <w:r>
              <w:rPr>
                <w:sz w:val="20"/>
              </w:rPr>
              <w:t>2.745/4.321 (63,5)</w:t>
            </w:r>
          </w:p>
        </w:tc>
        <w:tc>
          <w:tcPr>
            <w:tcW w:w="1742" w:type="dxa"/>
            <w:tcBorders>
              <w:top w:val="nil"/>
              <w:left w:val="nil"/>
              <w:bottom w:val="nil"/>
              <w:right w:val="single" w:sz="4" w:space="0" w:color="auto"/>
            </w:tcBorders>
            <w:hideMark/>
          </w:tcPr>
          <w:p w14:paraId="2A6F353B" w14:textId="77777777" w:rsidR="00407FB4" w:rsidRDefault="00407FB4">
            <w:pPr>
              <w:rPr>
                <w:sz w:val="20"/>
              </w:rPr>
            </w:pPr>
            <w:r>
              <w:rPr>
                <w:sz w:val="20"/>
              </w:rPr>
              <w:t>1,10 (1,03-1,17)</w:t>
            </w:r>
          </w:p>
        </w:tc>
      </w:tr>
      <w:tr w:rsidR="00407FB4" w14:paraId="40D996F4" w14:textId="77777777" w:rsidTr="00407FB4">
        <w:tc>
          <w:tcPr>
            <w:tcW w:w="3791" w:type="dxa"/>
            <w:tcBorders>
              <w:top w:val="nil"/>
              <w:left w:val="single" w:sz="4" w:space="0" w:color="auto"/>
              <w:bottom w:val="nil"/>
              <w:right w:val="nil"/>
            </w:tcBorders>
            <w:shd w:val="clear" w:color="auto" w:fill="E7E6E6" w:themeFill="background2"/>
            <w:hideMark/>
          </w:tcPr>
          <w:p w14:paraId="1E269655" w14:textId="77777777" w:rsidR="00407FB4" w:rsidRPr="00847626" w:rsidRDefault="00407FB4">
            <w:pPr>
              <w:rPr>
                <w:sz w:val="20"/>
                <w:lang w:val="da-DK"/>
              </w:rPr>
            </w:pPr>
            <w:r w:rsidRPr="00847626">
              <w:rPr>
                <w:sz w:val="20"/>
                <w:lang w:val="da-DK"/>
              </w:rPr>
              <w:t>Invasiv mekanisk ventilation eller død †</w:t>
            </w:r>
          </w:p>
        </w:tc>
        <w:tc>
          <w:tcPr>
            <w:tcW w:w="2056" w:type="dxa"/>
            <w:tcBorders>
              <w:top w:val="nil"/>
              <w:left w:val="nil"/>
              <w:bottom w:val="nil"/>
              <w:right w:val="nil"/>
            </w:tcBorders>
            <w:shd w:val="clear" w:color="auto" w:fill="E7E6E6" w:themeFill="background2"/>
            <w:hideMark/>
          </w:tcPr>
          <w:p w14:paraId="4961F88B" w14:textId="77777777" w:rsidR="00407FB4" w:rsidRDefault="00407FB4">
            <w:pPr>
              <w:rPr>
                <w:sz w:val="20"/>
              </w:rPr>
            </w:pPr>
            <w:r>
              <w:rPr>
                <w:sz w:val="20"/>
              </w:rPr>
              <w:t>456/1.780 (25,6)</w:t>
            </w:r>
          </w:p>
        </w:tc>
        <w:tc>
          <w:tcPr>
            <w:tcW w:w="1767" w:type="dxa"/>
            <w:tcBorders>
              <w:top w:val="nil"/>
              <w:left w:val="nil"/>
              <w:bottom w:val="nil"/>
              <w:right w:val="nil"/>
            </w:tcBorders>
            <w:shd w:val="clear" w:color="auto" w:fill="E7E6E6" w:themeFill="background2"/>
            <w:hideMark/>
          </w:tcPr>
          <w:p w14:paraId="4E88D924" w14:textId="77777777" w:rsidR="00407FB4" w:rsidRDefault="00407FB4">
            <w:pPr>
              <w:rPr>
                <w:sz w:val="20"/>
              </w:rPr>
            </w:pPr>
            <w:r>
              <w:rPr>
                <w:sz w:val="20"/>
              </w:rPr>
              <w:t>994/3.638 (27,3)</w:t>
            </w:r>
          </w:p>
        </w:tc>
        <w:tc>
          <w:tcPr>
            <w:tcW w:w="1742" w:type="dxa"/>
            <w:tcBorders>
              <w:top w:val="nil"/>
              <w:left w:val="nil"/>
              <w:bottom w:val="nil"/>
              <w:right w:val="single" w:sz="4" w:space="0" w:color="auto"/>
            </w:tcBorders>
            <w:shd w:val="clear" w:color="auto" w:fill="E7E6E6" w:themeFill="background2"/>
            <w:hideMark/>
          </w:tcPr>
          <w:p w14:paraId="72FF2273" w14:textId="77777777" w:rsidR="00407FB4" w:rsidRDefault="00407FB4">
            <w:pPr>
              <w:rPr>
                <w:sz w:val="20"/>
              </w:rPr>
            </w:pPr>
            <w:r>
              <w:rPr>
                <w:sz w:val="20"/>
              </w:rPr>
              <w:t>0,92 (0,84-1,01)</w:t>
            </w:r>
          </w:p>
        </w:tc>
      </w:tr>
      <w:tr w:rsidR="00407FB4" w14:paraId="66485BF0" w14:textId="77777777" w:rsidTr="00407FB4">
        <w:tc>
          <w:tcPr>
            <w:tcW w:w="3791" w:type="dxa"/>
            <w:tcBorders>
              <w:top w:val="nil"/>
              <w:left w:val="single" w:sz="4" w:space="0" w:color="auto"/>
              <w:bottom w:val="nil"/>
              <w:right w:val="nil"/>
            </w:tcBorders>
            <w:hideMark/>
          </w:tcPr>
          <w:p w14:paraId="7680EE2C" w14:textId="77777777" w:rsidR="00407FB4" w:rsidRDefault="00407FB4">
            <w:pPr>
              <w:ind w:firstLine="179"/>
              <w:rPr>
                <w:sz w:val="20"/>
              </w:rPr>
            </w:pPr>
            <w:proofErr w:type="spellStart"/>
            <w:r>
              <w:rPr>
                <w:sz w:val="20"/>
              </w:rPr>
              <w:t>Invasiv</w:t>
            </w:r>
            <w:proofErr w:type="spellEnd"/>
            <w:r>
              <w:rPr>
                <w:sz w:val="20"/>
              </w:rPr>
              <w:t xml:space="preserve"> </w:t>
            </w:r>
            <w:proofErr w:type="spellStart"/>
            <w:r>
              <w:rPr>
                <w:sz w:val="20"/>
              </w:rPr>
              <w:t>mekanisk</w:t>
            </w:r>
            <w:proofErr w:type="spellEnd"/>
            <w:r>
              <w:rPr>
                <w:sz w:val="20"/>
              </w:rPr>
              <w:t xml:space="preserve"> ventilation</w:t>
            </w:r>
          </w:p>
        </w:tc>
        <w:tc>
          <w:tcPr>
            <w:tcW w:w="2056" w:type="dxa"/>
            <w:tcBorders>
              <w:top w:val="nil"/>
              <w:left w:val="nil"/>
              <w:bottom w:val="nil"/>
              <w:right w:val="nil"/>
            </w:tcBorders>
            <w:hideMark/>
          </w:tcPr>
          <w:p w14:paraId="4B3DFE87" w14:textId="77777777" w:rsidR="00407FB4" w:rsidRDefault="00407FB4">
            <w:pPr>
              <w:rPr>
                <w:sz w:val="20"/>
              </w:rPr>
            </w:pPr>
            <w:r>
              <w:rPr>
                <w:sz w:val="20"/>
              </w:rPr>
              <w:t>102/1.780 (5,7)</w:t>
            </w:r>
          </w:p>
        </w:tc>
        <w:tc>
          <w:tcPr>
            <w:tcW w:w="1767" w:type="dxa"/>
            <w:tcBorders>
              <w:top w:val="nil"/>
              <w:left w:val="nil"/>
              <w:bottom w:val="nil"/>
              <w:right w:val="nil"/>
            </w:tcBorders>
            <w:hideMark/>
          </w:tcPr>
          <w:p w14:paraId="245A544A" w14:textId="77777777" w:rsidR="00407FB4" w:rsidRDefault="00407FB4">
            <w:pPr>
              <w:rPr>
                <w:sz w:val="20"/>
              </w:rPr>
            </w:pPr>
            <w:r>
              <w:rPr>
                <w:sz w:val="20"/>
              </w:rPr>
              <w:t>285/3.638 (7,8)</w:t>
            </w:r>
          </w:p>
        </w:tc>
        <w:tc>
          <w:tcPr>
            <w:tcW w:w="1742" w:type="dxa"/>
            <w:tcBorders>
              <w:top w:val="nil"/>
              <w:left w:val="nil"/>
              <w:bottom w:val="nil"/>
              <w:right w:val="single" w:sz="4" w:space="0" w:color="auto"/>
            </w:tcBorders>
            <w:hideMark/>
          </w:tcPr>
          <w:p w14:paraId="38606D28" w14:textId="77777777" w:rsidR="00407FB4" w:rsidRDefault="00407FB4">
            <w:pPr>
              <w:rPr>
                <w:sz w:val="20"/>
              </w:rPr>
            </w:pPr>
            <w:r>
              <w:rPr>
                <w:sz w:val="20"/>
              </w:rPr>
              <w:t>0,77 (0,62-0,95)</w:t>
            </w:r>
          </w:p>
        </w:tc>
      </w:tr>
      <w:tr w:rsidR="00407FB4" w14:paraId="0EB9BAEE" w14:textId="77777777" w:rsidTr="00407FB4">
        <w:tc>
          <w:tcPr>
            <w:tcW w:w="3791" w:type="dxa"/>
            <w:tcBorders>
              <w:top w:val="nil"/>
              <w:left w:val="single" w:sz="4" w:space="0" w:color="auto"/>
              <w:bottom w:val="single" w:sz="4" w:space="0" w:color="auto"/>
              <w:right w:val="nil"/>
            </w:tcBorders>
            <w:shd w:val="clear" w:color="auto" w:fill="E7E6E6" w:themeFill="background2"/>
            <w:hideMark/>
          </w:tcPr>
          <w:p w14:paraId="00FC002D" w14:textId="77777777" w:rsidR="00407FB4" w:rsidRDefault="00407FB4">
            <w:pPr>
              <w:ind w:firstLine="179"/>
              <w:rPr>
                <w:sz w:val="20"/>
              </w:rPr>
            </w:pPr>
            <w:proofErr w:type="spellStart"/>
            <w:r>
              <w:rPr>
                <w:sz w:val="20"/>
              </w:rPr>
              <w:t>Død</w:t>
            </w:r>
            <w:proofErr w:type="spellEnd"/>
          </w:p>
        </w:tc>
        <w:tc>
          <w:tcPr>
            <w:tcW w:w="2056" w:type="dxa"/>
            <w:tcBorders>
              <w:top w:val="nil"/>
              <w:left w:val="nil"/>
              <w:bottom w:val="single" w:sz="4" w:space="0" w:color="auto"/>
              <w:right w:val="nil"/>
            </w:tcBorders>
            <w:shd w:val="clear" w:color="auto" w:fill="E7E6E6" w:themeFill="background2"/>
            <w:hideMark/>
          </w:tcPr>
          <w:p w14:paraId="5E9F66BC" w14:textId="77777777" w:rsidR="00407FB4" w:rsidRDefault="00407FB4">
            <w:pPr>
              <w:rPr>
                <w:sz w:val="20"/>
              </w:rPr>
            </w:pPr>
            <w:r>
              <w:rPr>
                <w:sz w:val="20"/>
              </w:rPr>
              <w:t>387/1.780 (21,7)</w:t>
            </w:r>
          </w:p>
        </w:tc>
        <w:tc>
          <w:tcPr>
            <w:tcW w:w="1767" w:type="dxa"/>
            <w:tcBorders>
              <w:top w:val="nil"/>
              <w:left w:val="nil"/>
              <w:bottom w:val="single" w:sz="4" w:space="0" w:color="auto"/>
              <w:right w:val="nil"/>
            </w:tcBorders>
            <w:shd w:val="clear" w:color="auto" w:fill="E7E6E6" w:themeFill="background2"/>
            <w:hideMark/>
          </w:tcPr>
          <w:p w14:paraId="24351078" w14:textId="77777777" w:rsidR="00407FB4" w:rsidRDefault="00407FB4">
            <w:pPr>
              <w:rPr>
                <w:sz w:val="20"/>
              </w:rPr>
            </w:pPr>
            <w:r>
              <w:rPr>
                <w:sz w:val="20"/>
              </w:rPr>
              <w:t>827/3.638 (22,7)</w:t>
            </w:r>
          </w:p>
        </w:tc>
        <w:tc>
          <w:tcPr>
            <w:tcW w:w="1742" w:type="dxa"/>
            <w:tcBorders>
              <w:top w:val="nil"/>
              <w:left w:val="nil"/>
              <w:bottom w:val="single" w:sz="4" w:space="0" w:color="auto"/>
              <w:right w:val="single" w:sz="4" w:space="0" w:color="auto"/>
            </w:tcBorders>
            <w:shd w:val="clear" w:color="auto" w:fill="E7E6E6" w:themeFill="background2"/>
            <w:hideMark/>
          </w:tcPr>
          <w:p w14:paraId="22C58631" w14:textId="77777777" w:rsidR="00407FB4" w:rsidRDefault="00407FB4">
            <w:pPr>
              <w:rPr>
                <w:sz w:val="20"/>
              </w:rPr>
            </w:pPr>
            <w:r>
              <w:rPr>
                <w:sz w:val="20"/>
              </w:rPr>
              <w:t>0,93 (0,84-1,03)</w:t>
            </w:r>
          </w:p>
        </w:tc>
      </w:tr>
    </w:tbl>
    <w:p w14:paraId="0644E7A0" w14:textId="77777777" w:rsidR="00407FB4" w:rsidRDefault="00407FB4" w:rsidP="00407FB4">
      <w:pPr>
        <w:rPr>
          <w:sz w:val="20"/>
        </w:rPr>
      </w:pPr>
      <w:r>
        <w:rPr>
          <w:sz w:val="20"/>
        </w:rPr>
        <w:t>* Rate ratio er blevet justeret for alder med hensyn til resultaterne ved dag 28 dødelighed og hospitalsudskrivelse. Risk ratio er blevet justeret for alder med hensyn til resultaterne invasiv mekanisk ventilation eller død og dets underkomponenter.</w:t>
      </w:r>
    </w:p>
    <w:p w14:paraId="1C768A38" w14:textId="77777777" w:rsidR="00407FB4" w:rsidRDefault="00407FB4" w:rsidP="00407FB4">
      <w:pPr>
        <w:rPr>
          <w:sz w:val="20"/>
        </w:rPr>
      </w:pPr>
      <w:r>
        <w:rPr>
          <w:sz w:val="20"/>
        </w:rPr>
        <w:t xml:space="preserve">† Patienter, der fik invasiv mekanisk ventilation ved </w:t>
      </w:r>
      <w:proofErr w:type="spellStart"/>
      <w:r>
        <w:rPr>
          <w:sz w:val="20"/>
        </w:rPr>
        <w:t>randomisering</w:t>
      </w:r>
      <w:proofErr w:type="spellEnd"/>
      <w:r>
        <w:rPr>
          <w:sz w:val="20"/>
        </w:rPr>
        <w:t>, er ekskluderet fra denne kategori.</w:t>
      </w:r>
    </w:p>
    <w:p w14:paraId="0AA13674" w14:textId="77777777" w:rsidR="00407FB4" w:rsidRDefault="00407FB4" w:rsidP="00407FB4">
      <w:pPr>
        <w:rPr>
          <w:sz w:val="22"/>
        </w:rPr>
      </w:pPr>
    </w:p>
    <w:p w14:paraId="65B2A4C7" w14:textId="77777777" w:rsidR="00407FB4" w:rsidRDefault="00407FB4" w:rsidP="000F09CB">
      <w:pPr>
        <w:ind w:left="851"/>
        <w:rPr>
          <w:b/>
          <w:bCs/>
        </w:rPr>
      </w:pPr>
      <w:r>
        <w:rPr>
          <w:b/>
          <w:bCs/>
        </w:rPr>
        <w:t>Sikkerhed</w:t>
      </w:r>
    </w:p>
    <w:p w14:paraId="11685FAE" w14:textId="77777777" w:rsidR="00407FB4" w:rsidRDefault="00407FB4" w:rsidP="000F09CB">
      <w:pPr>
        <w:ind w:left="851"/>
      </w:pPr>
      <w:r>
        <w:t xml:space="preserve">Der var fire alvorlige bivirkningstilfælde relateret til studiebehandlingen: To alvorlige bivirkningstilfælde med </w:t>
      </w:r>
      <w:proofErr w:type="spellStart"/>
      <w:r>
        <w:t>hyperglykæmi</w:t>
      </w:r>
      <w:proofErr w:type="spellEnd"/>
      <w:r>
        <w:t xml:space="preserve">, et alvorligt bivirkningstilfælde med steroidinduceret psykose og et alvorligt bivirkningstilfælde med øvre </w:t>
      </w:r>
      <w:proofErr w:type="spellStart"/>
      <w:r>
        <w:t>gastrointestinal</w:t>
      </w:r>
      <w:proofErr w:type="spellEnd"/>
      <w:r>
        <w:t xml:space="preserve"> blødning. Alle bivirkninger forsvandt.</w:t>
      </w:r>
    </w:p>
    <w:p w14:paraId="6C2B5393" w14:textId="77777777" w:rsidR="00407FB4" w:rsidRDefault="00407FB4" w:rsidP="000F09CB">
      <w:pPr>
        <w:ind w:left="851"/>
      </w:pPr>
    </w:p>
    <w:p w14:paraId="5532258A" w14:textId="77777777" w:rsidR="00407FB4" w:rsidRDefault="00407FB4" w:rsidP="000F09CB">
      <w:pPr>
        <w:keepNext/>
        <w:tabs>
          <w:tab w:val="left" w:pos="567"/>
        </w:tabs>
        <w:autoSpaceDE w:val="0"/>
        <w:autoSpaceDN w:val="0"/>
        <w:adjustRightInd w:val="0"/>
        <w:ind w:left="851"/>
        <w:rPr>
          <w:b/>
          <w:bCs/>
        </w:rPr>
      </w:pPr>
      <w:r>
        <w:rPr>
          <w:b/>
          <w:bCs/>
        </w:rPr>
        <w:t>Undergruppeanalyser</w:t>
      </w:r>
    </w:p>
    <w:p w14:paraId="7FD6F1C6" w14:textId="77777777" w:rsidR="00407FB4" w:rsidRDefault="00407FB4" w:rsidP="00407FB4">
      <w:pPr>
        <w:keepNext/>
        <w:tabs>
          <w:tab w:val="left" w:pos="567"/>
        </w:tabs>
        <w:autoSpaceDE w:val="0"/>
        <w:autoSpaceDN w:val="0"/>
        <w:adjustRightInd w:val="0"/>
        <w:rPr>
          <w:b/>
          <w:bCs/>
        </w:rPr>
      </w:pPr>
    </w:p>
    <w:p w14:paraId="7406468B" w14:textId="77777777" w:rsidR="00407FB4" w:rsidRDefault="00407FB4" w:rsidP="00407FB4">
      <w:pPr>
        <w:keepNext/>
        <w:tabs>
          <w:tab w:val="left" w:pos="567"/>
        </w:tabs>
        <w:autoSpaceDE w:val="0"/>
        <w:autoSpaceDN w:val="0"/>
        <w:adjustRightInd w:val="0"/>
        <w:rPr>
          <w:b/>
          <w:bCs/>
          <w:i/>
        </w:rPr>
      </w:pPr>
      <w:r>
        <w:rPr>
          <w:b/>
          <w:bCs/>
          <w:i/>
        </w:rPr>
        <w:t xml:space="preserve">Effekt af tildeling af </w:t>
      </w:r>
      <w:proofErr w:type="spellStart"/>
      <w:r>
        <w:rPr>
          <w:b/>
          <w:bCs/>
          <w:i/>
        </w:rPr>
        <w:t>dexamethason</w:t>
      </w:r>
      <w:proofErr w:type="spellEnd"/>
      <w:r>
        <w:rPr>
          <w:b/>
          <w:bCs/>
          <w:i/>
        </w:rPr>
        <w:t xml:space="preserve"> på dødeligheden efter 28 dage, efter alder og respiratorisk støtte modtaget ved </w:t>
      </w:r>
      <w:proofErr w:type="spellStart"/>
      <w:r>
        <w:rPr>
          <w:b/>
          <w:bCs/>
          <w:i/>
        </w:rPr>
        <w:t>randomisering</w:t>
      </w:r>
      <w:proofErr w:type="spellEnd"/>
      <w:r>
        <w:rPr>
          <w:b/>
          <w:bCs/>
          <w:i/>
          <w:vertAlign w:val="superscript"/>
        </w:rPr>
        <w:footnoteReference w:id="2"/>
      </w:r>
    </w:p>
    <w:p w14:paraId="2FCD2806" w14:textId="77777777" w:rsidR="00407FB4" w:rsidRDefault="00407FB4" w:rsidP="00407FB4">
      <w:pPr>
        <w:keepNext/>
        <w:tabs>
          <w:tab w:val="left" w:pos="567"/>
        </w:tabs>
        <w:autoSpaceDE w:val="0"/>
        <w:autoSpaceDN w:val="0"/>
        <w:adjustRightInd w:val="0"/>
      </w:pPr>
    </w:p>
    <w:tbl>
      <w:tblPr>
        <w:tblStyle w:val="Tabel-Gitter1"/>
        <w:tblW w:w="5357" w:type="pct"/>
        <w:tblInd w:w="-5" w:type="dxa"/>
        <w:tblLook w:val="04A0" w:firstRow="1" w:lastRow="0" w:firstColumn="1" w:lastColumn="0" w:noHBand="0" w:noVBand="1"/>
      </w:tblPr>
      <w:tblGrid>
        <w:gridCol w:w="1204"/>
        <w:gridCol w:w="1960"/>
        <w:gridCol w:w="2096"/>
        <w:gridCol w:w="1824"/>
        <w:gridCol w:w="1329"/>
        <w:gridCol w:w="1902"/>
      </w:tblGrid>
      <w:tr w:rsidR="00407FB4" w14:paraId="0E32A80E" w14:textId="77777777" w:rsidTr="00407FB4">
        <w:trPr>
          <w:cantSplit/>
        </w:trPr>
        <w:tc>
          <w:tcPr>
            <w:tcW w:w="584" w:type="pct"/>
            <w:tcBorders>
              <w:top w:val="single" w:sz="4" w:space="0" w:color="auto"/>
              <w:left w:val="single" w:sz="4" w:space="0" w:color="auto"/>
              <w:bottom w:val="single" w:sz="4" w:space="0" w:color="auto"/>
              <w:right w:val="single" w:sz="4" w:space="0" w:color="auto"/>
            </w:tcBorders>
          </w:tcPr>
          <w:p w14:paraId="6C854CD0" w14:textId="77777777" w:rsidR="00407FB4" w:rsidRDefault="00407FB4">
            <w:pPr>
              <w:rPr>
                <w:sz w:val="20"/>
              </w:rPr>
            </w:pPr>
          </w:p>
        </w:tc>
        <w:tc>
          <w:tcPr>
            <w:tcW w:w="950" w:type="pct"/>
            <w:tcBorders>
              <w:top w:val="single" w:sz="4" w:space="0" w:color="auto"/>
              <w:left w:val="single" w:sz="4" w:space="0" w:color="auto"/>
              <w:bottom w:val="single" w:sz="4" w:space="0" w:color="auto"/>
              <w:right w:val="single" w:sz="4" w:space="0" w:color="auto"/>
            </w:tcBorders>
            <w:hideMark/>
          </w:tcPr>
          <w:p w14:paraId="50E0B136" w14:textId="77777777" w:rsidR="00407FB4" w:rsidRDefault="00407FB4">
            <w:pPr>
              <w:rPr>
                <w:rFonts w:ascii="Times New Roman" w:hAnsi="Times New Roman" w:cs="Times New Roman"/>
                <w:b/>
                <w:sz w:val="20"/>
                <w:szCs w:val="20"/>
              </w:rPr>
            </w:pPr>
            <w:r>
              <w:rPr>
                <w:b/>
                <w:sz w:val="20"/>
              </w:rPr>
              <w:t>Dexamethason</w:t>
            </w:r>
          </w:p>
        </w:tc>
        <w:tc>
          <w:tcPr>
            <w:tcW w:w="1016" w:type="pct"/>
            <w:tcBorders>
              <w:top w:val="single" w:sz="4" w:space="0" w:color="auto"/>
              <w:left w:val="single" w:sz="4" w:space="0" w:color="auto"/>
              <w:bottom w:val="single" w:sz="4" w:space="0" w:color="auto"/>
              <w:right w:val="single" w:sz="4" w:space="0" w:color="auto"/>
            </w:tcBorders>
            <w:hideMark/>
          </w:tcPr>
          <w:p w14:paraId="56FB42F3" w14:textId="77777777" w:rsidR="00407FB4" w:rsidRDefault="00407FB4">
            <w:pPr>
              <w:rPr>
                <w:rFonts w:ascii="Times New Roman" w:hAnsi="Times New Roman" w:cs="Times New Roman"/>
                <w:b/>
                <w:sz w:val="20"/>
                <w:szCs w:val="20"/>
              </w:rPr>
            </w:pPr>
            <w:r>
              <w:rPr>
                <w:b/>
                <w:sz w:val="20"/>
              </w:rPr>
              <w:t>Almindelig pleje</w:t>
            </w:r>
          </w:p>
        </w:tc>
        <w:tc>
          <w:tcPr>
            <w:tcW w:w="1528" w:type="pct"/>
            <w:gridSpan w:val="2"/>
            <w:vMerge w:val="restart"/>
            <w:tcBorders>
              <w:top w:val="single" w:sz="4" w:space="0" w:color="auto"/>
              <w:left w:val="single" w:sz="4" w:space="0" w:color="auto"/>
              <w:bottom w:val="single" w:sz="4" w:space="0" w:color="auto"/>
              <w:right w:val="single" w:sz="4" w:space="0" w:color="auto"/>
            </w:tcBorders>
            <w:hideMark/>
          </w:tcPr>
          <w:p w14:paraId="0044586C" w14:textId="77777777" w:rsidR="00407FB4" w:rsidRDefault="00407FB4">
            <w:pPr>
              <w:rPr>
                <w:rFonts w:ascii="Times New Roman" w:hAnsi="Times New Roman" w:cs="Times New Roman"/>
                <w:sz w:val="20"/>
                <w:szCs w:val="20"/>
              </w:rPr>
            </w:pPr>
            <w:r>
              <w:rPr>
                <w:noProof/>
                <w:sz w:val="20"/>
                <w:szCs w:val="20"/>
                <w:lang w:eastAsia="sl-SI"/>
              </w:rPr>
              <w:t xml:space="preserve">          </w:t>
            </w:r>
            <w:r>
              <w:rPr>
                <w:rFonts w:ascii="Times New Roman" w:eastAsia="Times New Roman" w:hAnsi="Times New Roman" w:cs="Times New Roman"/>
                <w:sz w:val="20"/>
                <w:szCs w:val="20"/>
                <w:lang w:val="da-DK"/>
              </w:rPr>
              <w:object w:dxaOrig="2748" w:dyaOrig="4668" w14:anchorId="5C429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33.25pt" o:ole="">
                  <v:imagedata r:id="rId8" o:title=""/>
                </v:shape>
                <o:OLEObject Type="Embed" ProgID="PBrush" ShapeID="_x0000_i1025" DrawAspect="Content" ObjectID="_1714453348" r:id="rId9"/>
              </w:object>
            </w:r>
          </w:p>
        </w:tc>
        <w:tc>
          <w:tcPr>
            <w:tcW w:w="922" w:type="pct"/>
            <w:tcBorders>
              <w:top w:val="single" w:sz="4" w:space="0" w:color="auto"/>
              <w:left w:val="single" w:sz="4" w:space="0" w:color="auto"/>
              <w:bottom w:val="single" w:sz="4" w:space="0" w:color="auto"/>
              <w:right w:val="single" w:sz="4" w:space="0" w:color="auto"/>
            </w:tcBorders>
            <w:hideMark/>
          </w:tcPr>
          <w:p w14:paraId="5900C92D" w14:textId="77777777" w:rsidR="00407FB4" w:rsidRDefault="00407FB4">
            <w:pPr>
              <w:rPr>
                <w:rFonts w:ascii="Times New Roman" w:hAnsi="Times New Roman" w:cs="Times New Roman"/>
                <w:b/>
                <w:sz w:val="20"/>
                <w:szCs w:val="20"/>
              </w:rPr>
            </w:pPr>
            <w:r>
              <w:rPr>
                <w:b/>
                <w:sz w:val="20"/>
              </w:rPr>
              <w:t>RR (95 % Cl)</w:t>
            </w:r>
          </w:p>
        </w:tc>
      </w:tr>
      <w:tr w:rsidR="00407FB4" w14:paraId="0D3B1653" w14:textId="77777777" w:rsidTr="00407FB4">
        <w:trPr>
          <w:cantSplit/>
        </w:trPr>
        <w:tc>
          <w:tcPr>
            <w:tcW w:w="2550" w:type="pct"/>
            <w:gridSpan w:val="3"/>
            <w:tcBorders>
              <w:top w:val="single" w:sz="4" w:space="0" w:color="auto"/>
              <w:left w:val="single" w:sz="4" w:space="0" w:color="auto"/>
              <w:bottom w:val="single" w:sz="4" w:space="0" w:color="auto"/>
              <w:right w:val="single" w:sz="4" w:space="0" w:color="auto"/>
            </w:tcBorders>
            <w:hideMark/>
          </w:tcPr>
          <w:p w14:paraId="4865E7BE" w14:textId="77777777" w:rsidR="00407FB4" w:rsidRDefault="00407FB4">
            <w:pPr>
              <w:rPr>
                <w:rFonts w:ascii="Times New Roman" w:hAnsi="Times New Roman" w:cs="Times New Roman"/>
                <w:b/>
                <w:sz w:val="20"/>
                <w:szCs w:val="20"/>
              </w:rPr>
            </w:pPr>
            <w:r>
              <w:rPr>
                <w:b/>
                <w:sz w:val="20"/>
              </w:rPr>
              <w:t>Ingen ilt (x</w:t>
            </w:r>
            <w:r>
              <w:rPr>
                <w:b/>
                <w:sz w:val="20"/>
                <w:vertAlign w:val="subscript"/>
              </w:rPr>
              <w:t>1</w:t>
            </w:r>
            <w:r>
              <w:rPr>
                <w:b/>
                <w:sz w:val="20"/>
                <w:vertAlign w:val="superscript"/>
              </w:rPr>
              <w:t>2</w:t>
            </w:r>
            <w:r>
              <w:rPr>
                <w:b/>
                <w:sz w:val="20"/>
              </w:rPr>
              <w:t>= 0,70; p=0,40)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7848E1" w14:textId="77777777" w:rsidR="00407FB4" w:rsidRDefault="00407FB4">
            <w:pPr>
              <w:rPr>
                <w:rFonts w:ascii="Times New Roman" w:hAnsi="Times New Roman" w:cs="Times New Roman"/>
                <w:sz w:val="20"/>
                <w:szCs w:val="20"/>
              </w:rPr>
            </w:pPr>
          </w:p>
        </w:tc>
        <w:tc>
          <w:tcPr>
            <w:tcW w:w="922" w:type="pct"/>
            <w:tcBorders>
              <w:top w:val="single" w:sz="4" w:space="0" w:color="auto"/>
              <w:left w:val="single" w:sz="4" w:space="0" w:color="auto"/>
              <w:bottom w:val="single" w:sz="4" w:space="0" w:color="auto"/>
              <w:right w:val="single" w:sz="4" w:space="0" w:color="auto"/>
            </w:tcBorders>
          </w:tcPr>
          <w:p w14:paraId="0990A5F3" w14:textId="77777777" w:rsidR="00407FB4" w:rsidRDefault="00407FB4">
            <w:pPr>
              <w:rPr>
                <w:rFonts w:ascii="Times New Roman" w:hAnsi="Times New Roman" w:cs="Times New Roman"/>
                <w:sz w:val="20"/>
                <w:szCs w:val="20"/>
              </w:rPr>
            </w:pPr>
          </w:p>
        </w:tc>
      </w:tr>
      <w:tr w:rsidR="00407FB4" w14:paraId="45C4C868" w14:textId="77777777" w:rsidTr="00407FB4">
        <w:trPr>
          <w:cantSplit/>
          <w:trHeight w:val="925"/>
        </w:trPr>
        <w:tc>
          <w:tcPr>
            <w:tcW w:w="584" w:type="pct"/>
            <w:tcBorders>
              <w:top w:val="single" w:sz="4" w:space="0" w:color="auto"/>
              <w:left w:val="single" w:sz="4" w:space="0" w:color="auto"/>
              <w:bottom w:val="single" w:sz="4" w:space="0" w:color="auto"/>
              <w:right w:val="single" w:sz="4" w:space="0" w:color="auto"/>
            </w:tcBorders>
            <w:hideMark/>
          </w:tcPr>
          <w:p w14:paraId="2ED426B9" w14:textId="77777777" w:rsidR="00407FB4" w:rsidRDefault="00407FB4">
            <w:pPr>
              <w:rPr>
                <w:rFonts w:ascii="Times New Roman" w:hAnsi="Times New Roman" w:cs="Times New Roman"/>
                <w:sz w:val="20"/>
                <w:szCs w:val="20"/>
              </w:rPr>
            </w:pPr>
            <w:r>
              <w:rPr>
                <w:sz w:val="20"/>
              </w:rPr>
              <w:t>&lt;70</w:t>
            </w:r>
          </w:p>
          <w:p w14:paraId="1BDE665E" w14:textId="77777777" w:rsidR="00407FB4" w:rsidRDefault="00407FB4">
            <w:pPr>
              <w:rPr>
                <w:rFonts w:ascii="Times New Roman" w:hAnsi="Times New Roman" w:cs="Times New Roman"/>
                <w:sz w:val="20"/>
                <w:szCs w:val="20"/>
              </w:rPr>
            </w:pPr>
            <w:r>
              <w:rPr>
                <w:sz w:val="20"/>
              </w:rPr>
              <w:t>≥70 &lt;80</w:t>
            </w:r>
          </w:p>
          <w:p w14:paraId="3E09F1D9" w14:textId="77777777" w:rsidR="00407FB4" w:rsidRDefault="00407FB4">
            <w:pPr>
              <w:rPr>
                <w:rFonts w:ascii="Times New Roman" w:hAnsi="Times New Roman" w:cs="Times New Roman"/>
                <w:sz w:val="20"/>
                <w:szCs w:val="20"/>
              </w:rPr>
            </w:pPr>
            <w:r>
              <w:rPr>
                <w:sz w:val="20"/>
              </w:rPr>
              <w:t>≥80</w:t>
            </w:r>
          </w:p>
          <w:p w14:paraId="1E8FF989" w14:textId="77777777" w:rsidR="00407FB4" w:rsidRDefault="00407FB4">
            <w:pPr>
              <w:rPr>
                <w:rFonts w:ascii="Times New Roman" w:hAnsi="Times New Roman" w:cs="Times New Roman"/>
                <w:b/>
                <w:sz w:val="20"/>
                <w:szCs w:val="20"/>
              </w:rPr>
            </w:pPr>
            <w:r>
              <w:rPr>
                <w:b/>
                <w:sz w:val="20"/>
              </w:rPr>
              <w:t>Subtotal</w:t>
            </w:r>
          </w:p>
        </w:tc>
        <w:tc>
          <w:tcPr>
            <w:tcW w:w="950" w:type="pct"/>
            <w:tcBorders>
              <w:top w:val="single" w:sz="4" w:space="0" w:color="auto"/>
              <w:left w:val="single" w:sz="4" w:space="0" w:color="auto"/>
              <w:bottom w:val="single" w:sz="4" w:space="0" w:color="auto"/>
              <w:right w:val="single" w:sz="4" w:space="0" w:color="auto"/>
            </w:tcBorders>
            <w:hideMark/>
          </w:tcPr>
          <w:p w14:paraId="1464BF3C" w14:textId="77777777" w:rsidR="00407FB4" w:rsidRDefault="00407FB4">
            <w:pPr>
              <w:jc w:val="right"/>
              <w:rPr>
                <w:rFonts w:ascii="Times New Roman" w:hAnsi="Times New Roman" w:cs="Times New Roman"/>
                <w:sz w:val="20"/>
                <w:szCs w:val="20"/>
              </w:rPr>
            </w:pPr>
            <w:r>
              <w:rPr>
                <w:sz w:val="20"/>
              </w:rPr>
              <w:t>10/197 (5,1 %)</w:t>
            </w:r>
          </w:p>
          <w:p w14:paraId="780918B1" w14:textId="77777777" w:rsidR="00407FB4" w:rsidRDefault="00407FB4">
            <w:pPr>
              <w:jc w:val="right"/>
              <w:rPr>
                <w:rFonts w:ascii="Times New Roman" w:hAnsi="Times New Roman" w:cs="Times New Roman"/>
                <w:sz w:val="20"/>
                <w:szCs w:val="20"/>
              </w:rPr>
            </w:pPr>
            <w:r>
              <w:rPr>
                <w:sz w:val="20"/>
              </w:rPr>
              <w:t>25/114 (21,9 %)</w:t>
            </w:r>
          </w:p>
          <w:p w14:paraId="10052B79" w14:textId="77777777" w:rsidR="00407FB4" w:rsidRDefault="00407FB4">
            <w:pPr>
              <w:jc w:val="right"/>
              <w:rPr>
                <w:rFonts w:ascii="Times New Roman" w:hAnsi="Times New Roman" w:cs="Times New Roman"/>
                <w:sz w:val="20"/>
                <w:szCs w:val="20"/>
              </w:rPr>
            </w:pPr>
            <w:r>
              <w:rPr>
                <w:sz w:val="20"/>
              </w:rPr>
              <w:t>54/190 (28,4 %)</w:t>
            </w:r>
          </w:p>
          <w:p w14:paraId="31618D76" w14:textId="77777777" w:rsidR="00407FB4" w:rsidRDefault="00407FB4">
            <w:pPr>
              <w:jc w:val="right"/>
              <w:rPr>
                <w:rFonts w:ascii="Times New Roman" w:hAnsi="Times New Roman" w:cs="Times New Roman"/>
                <w:b/>
                <w:sz w:val="20"/>
                <w:szCs w:val="20"/>
              </w:rPr>
            </w:pPr>
            <w:r>
              <w:rPr>
                <w:b/>
                <w:sz w:val="20"/>
              </w:rPr>
              <w:t>89/501 (17,8 %)</w:t>
            </w:r>
          </w:p>
        </w:tc>
        <w:tc>
          <w:tcPr>
            <w:tcW w:w="1016" w:type="pct"/>
            <w:tcBorders>
              <w:top w:val="single" w:sz="4" w:space="0" w:color="auto"/>
              <w:left w:val="single" w:sz="4" w:space="0" w:color="auto"/>
              <w:bottom w:val="single" w:sz="4" w:space="0" w:color="auto"/>
              <w:right w:val="single" w:sz="4" w:space="0" w:color="auto"/>
            </w:tcBorders>
            <w:hideMark/>
          </w:tcPr>
          <w:p w14:paraId="067CACCE" w14:textId="77777777" w:rsidR="00407FB4" w:rsidRDefault="00407FB4">
            <w:pPr>
              <w:jc w:val="right"/>
              <w:rPr>
                <w:rFonts w:ascii="Times New Roman" w:hAnsi="Times New Roman" w:cs="Times New Roman"/>
                <w:sz w:val="20"/>
                <w:szCs w:val="20"/>
              </w:rPr>
            </w:pPr>
            <w:r>
              <w:rPr>
                <w:sz w:val="20"/>
              </w:rPr>
              <w:t>18/462 (3,9 %)</w:t>
            </w:r>
          </w:p>
          <w:p w14:paraId="77FE1281" w14:textId="77777777" w:rsidR="00407FB4" w:rsidRDefault="00407FB4">
            <w:pPr>
              <w:jc w:val="right"/>
              <w:rPr>
                <w:rFonts w:ascii="Times New Roman" w:hAnsi="Times New Roman" w:cs="Times New Roman"/>
                <w:sz w:val="20"/>
                <w:szCs w:val="20"/>
              </w:rPr>
            </w:pPr>
            <w:r>
              <w:rPr>
                <w:sz w:val="20"/>
              </w:rPr>
              <w:t>35/224 (15,6 %)</w:t>
            </w:r>
          </w:p>
          <w:p w14:paraId="6918DD7D" w14:textId="77777777" w:rsidR="00407FB4" w:rsidRDefault="00407FB4">
            <w:pPr>
              <w:jc w:val="right"/>
              <w:rPr>
                <w:rFonts w:ascii="Times New Roman" w:hAnsi="Times New Roman" w:cs="Times New Roman"/>
                <w:sz w:val="20"/>
                <w:szCs w:val="20"/>
              </w:rPr>
            </w:pPr>
            <w:r>
              <w:rPr>
                <w:sz w:val="20"/>
              </w:rPr>
              <w:t>92/348 (26,4 %)</w:t>
            </w:r>
          </w:p>
          <w:p w14:paraId="79F603B6" w14:textId="77777777" w:rsidR="00407FB4" w:rsidRDefault="00407FB4">
            <w:pPr>
              <w:jc w:val="right"/>
              <w:rPr>
                <w:rFonts w:ascii="Times New Roman" w:hAnsi="Times New Roman" w:cs="Times New Roman"/>
                <w:b/>
                <w:sz w:val="20"/>
                <w:szCs w:val="20"/>
              </w:rPr>
            </w:pPr>
            <w:r>
              <w:rPr>
                <w:b/>
                <w:sz w:val="20"/>
              </w:rPr>
              <w:t>145/1.034 (14,0 %)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F94E42" w14:textId="77777777" w:rsidR="00407FB4" w:rsidRDefault="00407FB4">
            <w:pPr>
              <w:rPr>
                <w:rFonts w:ascii="Times New Roman" w:hAnsi="Times New Roman" w:cs="Times New Roman"/>
                <w:sz w:val="20"/>
                <w:szCs w:val="20"/>
              </w:rPr>
            </w:pPr>
          </w:p>
        </w:tc>
        <w:tc>
          <w:tcPr>
            <w:tcW w:w="922" w:type="pct"/>
            <w:tcBorders>
              <w:top w:val="single" w:sz="4" w:space="0" w:color="auto"/>
              <w:left w:val="single" w:sz="4" w:space="0" w:color="auto"/>
              <w:bottom w:val="single" w:sz="4" w:space="0" w:color="auto"/>
              <w:right w:val="single" w:sz="4" w:space="0" w:color="auto"/>
            </w:tcBorders>
            <w:hideMark/>
          </w:tcPr>
          <w:p w14:paraId="103C1E9C" w14:textId="77777777" w:rsidR="00407FB4" w:rsidRDefault="00407FB4">
            <w:pPr>
              <w:rPr>
                <w:rFonts w:ascii="Times New Roman" w:hAnsi="Times New Roman" w:cs="Times New Roman"/>
                <w:sz w:val="20"/>
                <w:szCs w:val="20"/>
              </w:rPr>
            </w:pPr>
            <w:r>
              <w:rPr>
                <w:sz w:val="20"/>
              </w:rPr>
              <w:t>1,31 (0,60</w:t>
            </w:r>
            <w:r>
              <w:rPr>
                <w:sz w:val="20"/>
              </w:rPr>
              <w:noBreakHyphen/>
              <w:t>2,83)</w:t>
            </w:r>
          </w:p>
          <w:p w14:paraId="6D6EF80C" w14:textId="77777777" w:rsidR="00407FB4" w:rsidRDefault="00407FB4">
            <w:pPr>
              <w:rPr>
                <w:rFonts w:ascii="Times New Roman" w:hAnsi="Times New Roman" w:cs="Times New Roman"/>
                <w:sz w:val="20"/>
                <w:szCs w:val="20"/>
              </w:rPr>
            </w:pPr>
            <w:r>
              <w:rPr>
                <w:sz w:val="20"/>
              </w:rPr>
              <w:t>1,46 (0,88</w:t>
            </w:r>
            <w:r>
              <w:rPr>
                <w:sz w:val="20"/>
              </w:rPr>
              <w:noBreakHyphen/>
              <w:t>2,45)</w:t>
            </w:r>
          </w:p>
          <w:p w14:paraId="552ED919" w14:textId="77777777" w:rsidR="00407FB4" w:rsidRDefault="00407FB4">
            <w:pPr>
              <w:rPr>
                <w:rFonts w:ascii="Times New Roman" w:hAnsi="Times New Roman" w:cs="Times New Roman"/>
                <w:sz w:val="20"/>
                <w:szCs w:val="20"/>
              </w:rPr>
            </w:pPr>
            <w:r>
              <w:rPr>
                <w:sz w:val="20"/>
              </w:rPr>
              <w:t>1,06 (0,76</w:t>
            </w:r>
            <w:r>
              <w:rPr>
                <w:sz w:val="20"/>
              </w:rPr>
              <w:noBreakHyphen/>
              <w:t>1,49)</w:t>
            </w:r>
          </w:p>
          <w:p w14:paraId="014B6DED" w14:textId="77777777" w:rsidR="00407FB4" w:rsidRDefault="00407FB4">
            <w:pPr>
              <w:rPr>
                <w:rFonts w:ascii="Times New Roman" w:hAnsi="Times New Roman" w:cs="Times New Roman"/>
                <w:b/>
                <w:sz w:val="20"/>
                <w:szCs w:val="20"/>
              </w:rPr>
            </w:pPr>
            <w:r>
              <w:rPr>
                <w:b/>
                <w:sz w:val="20"/>
              </w:rPr>
              <w:t>1,19 (0,91</w:t>
            </w:r>
            <w:r>
              <w:rPr>
                <w:b/>
                <w:sz w:val="20"/>
              </w:rPr>
              <w:noBreakHyphen/>
              <w:t>1,55)</w:t>
            </w:r>
          </w:p>
        </w:tc>
      </w:tr>
      <w:tr w:rsidR="00407FB4" w14:paraId="7F6751C2" w14:textId="77777777" w:rsidTr="00407FB4">
        <w:trPr>
          <w:cantSplit/>
          <w:trHeight w:val="275"/>
        </w:trPr>
        <w:tc>
          <w:tcPr>
            <w:tcW w:w="2550" w:type="pct"/>
            <w:gridSpan w:val="3"/>
            <w:tcBorders>
              <w:top w:val="single" w:sz="4" w:space="0" w:color="auto"/>
              <w:left w:val="single" w:sz="4" w:space="0" w:color="auto"/>
              <w:bottom w:val="single" w:sz="4" w:space="0" w:color="auto"/>
              <w:right w:val="single" w:sz="4" w:space="0" w:color="auto"/>
            </w:tcBorders>
            <w:hideMark/>
          </w:tcPr>
          <w:p w14:paraId="2949172C" w14:textId="77777777" w:rsidR="00407FB4" w:rsidRDefault="00407FB4">
            <w:pPr>
              <w:rPr>
                <w:rFonts w:ascii="Times New Roman" w:hAnsi="Times New Roman" w:cs="Times New Roman"/>
                <w:b/>
                <w:sz w:val="20"/>
                <w:szCs w:val="20"/>
              </w:rPr>
            </w:pPr>
            <w:r>
              <w:rPr>
                <w:b/>
                <w:sz w:val="20"/>
              </w:rPr>
              <w:t>Kun ilt (x</w:t>
            </w:r>
            <w:r>
              <w:rPr>
                <w:b/>
                <w:sz w:val="20"/>
                <w:vertAlign w:val="subscript"/>
              </w:rPr>
              <w:t>1</w:t>
            </w:r>
            <w:r>
              <w:rPr>
                <w:b/>
                <w:sz w:val="20"/>
                <w:vertAlign w:val="superscript"/>
              </w:rPr>
              <w:t>2</w:t>
            </w:r>
            <w:r>
              <w:rPr>
                <w:b/>
                <w:sz w:val="20"/>
              </w:rPr>
              <w:t>= 2,54; p=0,11)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0ACCAC" w14:textId="77777777" w:rsidR="00407FB4" w:rsidRDefault="00407FB4">
            <w:pPr>
              <w:rPr>
                <w:rFonts w:ascii="Times New Roman" w:hAnsi="Times New Roman" w:cs="Times New Roman"/>
                <w:sz w:val="20"/>
                <w:szCs w:val="20"/>
              </w:rPr>
            </w:pPr>
          </w:p>
        </w:tc>
        <w:tc>
          <w:tcPr>
            <w:tcW w:w="922" w:type="pct"/>
            <w:tcBorders>
              <w:top w:val="single" w:sz="4" w:space="0" w:color="auto"/>
              <w:left w:val="single" w:sz="4" w:space="0" w:color="auto"/>
              <w:bottom w:val="single" w:sz="4" w:space="0" w:color="auto"/>
              <w:right w:val="single" w:sz="4" w:space="0" w:color="auto"/>
            </w:tcBorders>
          </w:tcPr>
          <w:p w14:paraId="5D5ACC95" w14:textId="77777777" w:rsidR="00407FB4" w:rsidRDefault="00407FB4">
            <w:pPr>
              <w:rPr>
                <w:rFonts w:ascii="Times New Roman" w:hAnsi="Times New Roman" w:cs="Times New Roman"/>
                <w:sz w:val="20"/>
                <w:szCs w:val="20"/>
              </w:rPr>
            </w:pPr>
          </w:p>
        </w:tc>
      </w:tr>
      <w:tr w:rsidR="00407FB4" w14:paraId="4A8BAC71" w14:textId="77777777" w:rsidTr="00407FB4">
        <w:trPr>
          <w:cantSplit/>
          <w:trHeight w:val="842"/>
        </w:trPr>
        <w:tc>
          <w:tcPr>
            <w:tcW w:w="584" w:type="pct"/>
            <w:tcBorders>
              <w:top w:val="single" w:sz="4" w:space="0" w:color="auto"/>
              <w:left w:val="single" w:sz="4" w:space="0" w:color="auto"/>
              <w:bottom w:val="single" w:sz="4" w:space="0" w:color="auto"/>
              <w:right w:val="single" w:sz="4" w:space="0" w:color="auto"/>
            </w:tcBorders>
          </w:tcPr>
          <w:p w14:paraId="39B87351" w14:textId="77777777" w:rsidR="00407FB4" w:rsidRDefault="00407FB4">
            <w:pPr>
              <w:rPr>
                <w:rFonts w:ascii="Times New Roman" w:hAnsi="Times New Roman" w:cs="Times New Roman"/>
                <w:sz w:val="20"/>
                <w:szCs w:val="20"/>
              </w:rPr>
            </w:pPr>
            <w:r>
              <w:rPr>
                <w:sz w:val="20"/>
              </w:rPr>
              <w:t>&lt;70</w:t>
            </w:r>
          </w:p>
          <w:p w14:paraId="742CBD5E" w14:textId="77777777" w:rsidR="00407FB4" w:rsidRDefault="00407FB4">
            <w:pPr>
              <w:rPr>
                <w:rFonts w:ascii="Times New Roman" w:hAnsi="Times New Roman" w:cs="Times New Roman"/>
                <w:sz w:val="20"/>
                <w:szCs w:val="20"/>
              </w:rPr>
            </w:pPr>
            <w:r>
              <w:rPr>
                <w:sz w:val="20"/>
              </w:rPr>
              <w:t>≥70 &lt;80</w:t>
            </w:r>
          </w:p>
          <w:p w14:paraId="7369C245" w14:textId="77777777" w:rsidR="00407FB4" w:rsidRDefault="00407FB4">
            <w:pPr>
              <w:rPr>
                <w:rFonts w:ascii="Times New Roman" w:hAnsi="Times New Roman" w:cs="Times New Roman"/>
                <w:sz w:val="20"/>
                <w:szCs w:val="20"/>
              </w:rPr>
            </w:pPr>
            <w:r>
              <w:rPr>
                <w:sz w:val="20"/>
              </w:rPr>
              <w:t>≥80</w:t>
            </w:r>
          </w:p>
          <w:p w14:paraId="3B4ECC79" w14:textId="77777777" w:rsidR="00407FB4" w:rsidRDefault="00407FB4">
            <w:pPr>
              <w:rPr>
                <w:rFonts w:ascii="Times New Roman" w:hAnsi="Times New Roman" w:cs="Times New Roman"/>
                <w:b/>
                <w:sz w:val="20"/>
                <w:szCs w:val="20"/>
              </w:rPr>
            </w:pPr>
            <w:r>
              <w:rPr>
                <w:b/>
                <w:sz w:val="20"/>
              </w:rPr>
              <w:t>Subtotal</w:t>
            </w:r>
          </w:p>
          <w:p w14:paraId="59071E17" w14:textId="77777777" w:rsidR="00407FB4" w:rsidRDefault="00407FB4">
            <w:pPr>
              <w:rPr>
                <w:rFonts w:ascii="Times New Roman" w:hAnsi="Times New Roman" w:cs="Times New Roman"/>
                <w:b/>
                <w:sz w:val="20"/>
                <w:szCs w:val="20"/>
              </w:rPr>
            </w:pPr>
          </w:p>
        </w:tc>
        <w:tc>
          <w:tcPr>
            <w:tcW w:w="950" w:type="pct"/>
            <w:tcBorders>
              <w:top w:val="single" w:sz="4" w:space="0" w:color="auto"/>
              <w:left w:val="single" w:sz="4" w:space="0" w:color="auto"/>
              <w:bottom w:val="single" w:sz="4" w:space="0" w:color="auto"/>
              <w:right w:val="single" w:sz="4" w:space="0" w:color="auto"/>
            </w:tcBorders>
            <w:hideMark/>
          </w:tcPr>
          <w:p w14:paraId="011A33EC" w14:textId="77777777" w:rsidR="00407FB4" w:rsidRDefault="00407FB4">
            <w:pPr>
              <w:jc w:val="right"/>
              <w:rPr>
                <w:rFonts w:ascii="Times New Roman" w:hAnsi="Times New Roman" w:cs="Times New Roman"/>
                <w:sz w:val="20"/>
                <w:szCs w:val="20"/>
              </w:rPr>
            </w:pPr>
            <w:r>
              <w:rPr>
                <w:sz w:val="20"/>
              </w:rPr>
              <w:t>53/675 (7,9 %)</w:t>
            </w:r>
          </w:p>
          <w:p w14:paraId="654696DC" w14:textId="77777777" w:rsidR="00407FB4" w:rsidRDefault="00407FB4">
            <w:pPr>
              <w:jc w:val="right"/>
              <w:rPr>
                <w:rFonts w:ascii="Times New Roman" w:hAnsi="Times New Roman" w:cs="Times New Roman"/>
                <w:sz w:val="20"/>
                <w:szCs w:val="20"/>
              </w:rPr>
            </w:pPr>
            <w:r>
              <w:rPr>
                <w:sz w:val="20"/>
              </w:rPr>
              <w:t>104/306 (34,0 %)</w:t>
            </w:r>
          </w:p>
          <w:p w14:paraId="6016639E" w14:textId="77777777" w:rsidR="00407FB4" w:rsidRDefault="00407FB4">
            <w:pPr>
              <w:jc w:val="right"/>
              <w:rPr>
                <w:rFonts w:ascii="Times New Roman" w:hAnsi="Times New Roman" w:cs="Times New Roman"/>
                <w:sz w:val="20"/>
                <w:szCs w:val="20"/>
              </w:rPr>
            </w:pPr>
            <w:r>
              <w:rPr>
                <w:sz w:val="20"/>
              </w:rPr>
              <w:t>141/298 (47,3 %)</w:t>
            </w:r>
          </w:p>
          <w:p w14:paraId="55F886B4" w14:textId="77777777" w:rsidR="00407FB4" w:rsidRDefault="00407FB4">
            <w:pPr>
              <w:jc w:val="right"/>
              <w:rPr>
                <w:rFonts w:ascii="Times New Roman" w:hAnsi="Times New Roman" w:cs="Times New Roman"/>
                <w:b/>
                <w:bCs/>
                <w:sz w:val="20"/>
                <w:szCs w:val="20"/>
              </w:rPr>
            </w:pPr>
            <w:r>
              <w:rPr>
                <w:b/>
                <w:bCs/>
                <w:sz w:val="20"/>
              </w:rPr>
              <w:t>298/1.279 (23.3 %)</w:t>
            </w:r>
          </w:p>
        </w:tc>
        <w:tc>
          <w:tcPr>
            <w:tcW w:w="1016" w:type="pct"/>
            <w:tcBorders>
              <w:top w:val="single" w:sz="4" w:space="0" w:color="auto"/>
              <w:left w:val="single" w:sz="4" w:space="0" w:color="auto"/>
              <w:bottom w:val="single" w:sz="4" w:space="0" w:color="auto"/>
              <w:right w:val="single" w:sz="4" w:space="0" w:color="auto"/>
            </w:tcBorders>
            <w:hideMark/>
          </w:tcPr>
          <w:p w14:paraId="3A548D38" w14:textId="77777777" w:rsidR="00407FB4" w:rsidRDefault="00407FB4">
            <w:pPr>
              <w:jc w:val="right"/>
              <w:rPr>
                <w:rFonts w:ascii="Times New Roman" w:hAnsi="Times New Roman" w:cs="Times New Roman"/>
                <w:sz w:val="20"/>
                <w:szCs w:val="20"/>
              </w:rPr>
            </w:pPr>
            <w:r>
              <w:rPr>
                <w:sz w:val="20"/>
              </w:rPr>
              <w:t>193/1.473 (13,1 %)</w:t>
            </w:r>
          </w:p>
          <w:p w14:paraId="58BA716A" w14:textId="77777777" w:rsidR="00407FB4" w:rsidRDefault="00407FB4">
            <w:pPr>
              <w:jc w:val="right"/>
              <w:rPr>
                <w:rFonts w:ascii="Times New Roman" w:hAnsi="Times New Roman" w:cs="Times New Roman"/>
                <w:sz w:val="20"/>
                <w:szCs w:val="20"/>
              </w:rPr>
            </w:pPr>
            <w:r>
              <w:rPr>
                <w:sz w:val="20"/>
              </w:rPr>
              <w:t>178/531 (33,5 %)</w:t>
            </w:r>
          </w:p>
          <w:p w14:paraId="039DC1B5" w14:textId="77777777" w:rsidR="00407FB4" w:rsidRDefault="00407FB4">
            <w:pPr>
              <w:jc w:val="right"/>
              <w:rPr>
                <w:rFonts w:ascii="Times New Roman" w:hAnsi="Times New Roman" w:cs="Times New Roman"/>
                <w:sz w:val="20"/>
                <w:szCs w:val="20"/>
              </w:rPr>
            </w:pPr>
            <w:r>
              <w:rPr>
                <w:sz w:val="20"/>
              </w:rPr>
              <w:t>311/600 (51,8 %)</w:t>
            </w:r>
          </w:p>
          <w:p w14:paraId="561CFA32" w14:textId="77777777" w:rsidR="00407FB4" w:rsidRDefault="00407FB4">
            <w:pPr>
              <w:jc w:val="right"/>
              <w:rPr>
                <w:rFonts w:ascii="Times New Roman" w:hAnsi="Times New Roman" w:cs="Times New Roman"/>
                <w:b/>
                <w:sz w:val="20"/>
                <w:szCs w:val="20"/>
              </w:rPr>
            </w:pPr>
            <w:r>
              <w:rPr>
                <w:b/>
                <w:sz w:val="20"/>
              </w:rPr>
              <w:t>682/2.604 (26,2 %)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B727E8" w14:textId="77777777" w:rsidR="00407FB4" w:rsidRDefault="00407FB4">
            <w:pPr>
              <w:rPr>
                <w:rFonts w:ascii="Times New Roman" w:hAnsi="Times New Roman" w:cs="Times New Roman"/>
                <w:sz w:val="20"/>
                <w:szCs w:val="20"/>
              </w:rPr>
            </w:pPr>
          </w:p>
        </w:tc>
        <w:tc>
          <w:tcPr>
            <w:tcW w:w="922" w:type="pct"/>
            <w:tcBorders>
              <w:top w:val="single" w:sz="4" w:space="0" w:color="auto"/>
              <w:left w:val="single" w:sz="4" w:space="0" w:color="auto"/>
              <w:bottom w:val="single" w:sz="4" w:space="0" w:color="auto"/>
              <w:right w:val="single" w:sz="4" w:space="0" w:color="auto"/>
            </w:tcBorders>
            <w:hideMark/>
          </w:tcPr>
          <w:p w14:paraId="7D82BDA7" w14:textId="77777777" w:rsidR="00407FB4" w:rsidRDefault="00407FB4">
            <w:pPr>
              <w:rPr>
                <w:rFonts w:ascii="Times New Roman" w:hAnsi="Times New Roman" w:cs="Times New Roman"/>
                <w:sz w:val="20"/>
                <w:szCs w:val="20"/>
              </w:rPr>
            </w:pPr>
            <w:r>
              <w:rPr>
                <w:sz w:val="20"/>
              </w:rPr>
              <w:t>0,58 (0,43</w:t>
            </w:r>
            <w:r>
              <w:rPr>
                <w:sz w:val="20"/>
              </w:rPr>
              <w:noBreakHyphen/>
              <w:t>0,78)</w:t>
            </w:r>
          </w:p>
          <w:p w14:paraId="1BB2AFB9" w14:textId="77777777" w:rsidR="00407FB4" w:rsidRDefault="00407FB4">
            <w:pPr>
              <w:rPr>
                <w:rFonts w:ascii="Times New Roman" w:hAnsi="Times New Roman" w:cs="Times New Roman"/>
                <w:sz w:val="20"/>
                <w:szCs w:val="20"/>
              </w:rPr>
            </w:pPr>
            <w:r>
              <w:rPr>
                <w:sz w:val="20"/>
              </w:rPr>
              <w:t>0,98 (0,77</w:t>
            </w:r>
            <w:r>
              <w:rPr>
                <w:sz w:val="20"/>
              </w:rPr>
              <w:noBreakHyphen/>
              <w:t>1,25)</w:t>
            </w:r>
          </w:p>
          <w:p w14:paraId="310C1005" w14:textId="77777777" w:rsidR="00407FB4" w:rsidRDefault="00407FB4">
            <w:pPr>
              <w:rPr>
                <w:rFonts w:ascii="Times New Roman" w:hAnsi="Times New Roman" w:cs="Times New Roman"/>
                <w:sz w:val="20"/>
                <w:szCs w:val="20"/>
              </w:rPr>
            </w:pPr>
            <w:r>
              <w:rPr>
                <w:sz w:val="20"/>
              </w:rPr>
              <w:t>0,85 (0,70</w:t>
            </w:r>
            <w:r>
              <w:rPr>
                <w:sz w:val="20"/>
              </w:rPr>
              <w:noBreakHyphen/>
              <w:t>1,04)</w:t>
            </w:r>
          </w:p>
          <w:p w14:paraId="36CF520E" w14:textId="77777777" w:rsidR="00407FB4" w:rsidRDefault="00407FB4">
            <w:pPr>
              <w:rPr>
                <w:rFonts w:ascii="Times New Roman" w:hAnsi="Times New Roman" w:cs="Times New Roman"/>
                <w:b/>
                <w:sz w:val="20"/>
                <w:szCs w:val="20"/>
              </w:rPr>
            </w:pPr>
            <w:r>
              <w:rPr>
                <w:b/>
                <w:sz w:val="20"/>
              </w:rPr>
              <w:t>0,82 (0,72</w:t>
            </w:r>
            <w:r>
              <w:rPr>
                <w:b/>
                <w:sz w:val="20"/>
              </w:rPr>
              <w:noBreakHyphen/>
              <w:t>0,94)</w:t>
            </w:r>
          </w:p>
        </w:tc>
      </w:tr>
      <w:tr w:rsidR="00407FB4" w14:paraId="4F56B1E1" w14:textId="77777777" w:rsidTr="00407FB4">
        <w:trPr>
          <w:cantSplit/>
        </w:trPr>
        <w:tc>
          <w:tcPr>
            <w:tcW w:w="2550" w:type="pct"/>
            <w:gridSpan w:val="3"/>
            <w:tcBorders>
              <w:top w:val="single" w:sz="4" w:space="0" w:color="auto"/>
              <w:left w:val="single" w:sz="4" w:space="0" w:color="auto"/>
              <w:bottom w:val="single" w:sz="4" w:space="0" w:color="auto"/>
              <w:right w:val="single" w:sz="4" w:space="0" w:color="auto"/>
            </w:tcBorders>
            <w:hideMark/>
          </w:tcPr>
          <w:p w14:paraId="6B633E38" w14:textId="77777777" w:rsidR="00407FB4" w:rsidRDefault="00407FB4">
            <w:pPr>
              <w:rPr>
                <w:rFonts w:ascii="Times New Roman" w:hAnsi="Times New Roman" w:cs="Times New Roman"/>
                <w:b/>
                <w:sz w:val="20"/>
                <w:szCs w:val="20"/>
              </w:rPr>
            </w:pPr>
            <w:r>
              <w:rPr>
                <w:b/>
                <w:sz w:val="20"/>
              </w:rPr>
              <w:t>Mekanisk ventilation (x</w:t>
            </w:r>
            <w:r>
              <w:rPr>
                <w:b/>
                <w:sz w:val="20"/>
                <w:vertAlign w:val="subscript"/>
              </w:rPr>
              <w:t>1</w:t>
            </w:r>
            <w:r>
              <w:rPr>
                <w:b/>
                <w:sz w:val="20"/>
                <w:vertAlign w:val="superscript"/>
              </w:rPr>
              <w:t>2</w:t>
            </w:r>
            <w:r>
              <w:rPr>
                <w:b/>
                <w:sz w:val="20"/>
              </w:rPr>
              <w:t>= 0,28; p=0,60)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56DC02" w14:textId="77777777" w:rsidR="00407FB4" w:rsidRDefault="00407FB4">
            <w:pPr>
              <w:rPr>
                <w:rFonts w:ascii="Times New Roman" w:hAnsi="Times New Roman" w:cs="Times New Roman"/>
                <w:sz w:val="20"/>
                <w:szCs w:val="20"/>
              </w:rPr>
            </w:pPr>
          </w:p>
        </w:tc>
        <w:tc>
          <w:tcPr>
            <w:tcW w:w="922" w:type="pct"/>
            <w:tcBorders>
              <w:top w:val="single" w:sz="4" w:space="0" w:color="auto"/>
              <w:left w:val="single" w:sz="4" w:space="0" w:color="auto"/>
              <w:bottom w:val="single" w:sz="4" w:space="0" w:color="auto"/>
              <w:right w:val="single" w:sz="4" w:space="0" w:color="auto"/>
            </w:tcBorders>
          </w:tcPr>
          <w:p w14:paraId="744327B1" w14:textId="77777777" w:rsidR="00407FB4" w:rsidRDefault="00407FB4">
            <w:pPr>
              <w:rPr>
                <w:rFonts w:ascii="Times New Roman" w:hAnsi="Times New Roman" w:cs="Times New Roman"/>
                <w:sz w:val="20"/>
                <w:szCs w:val="20"/>
              </w:rPr>
            </w:pPr>
          </w:p>
        </w:tc>
      </w:tr>
      <w:tr w:rsidR="00407FB4" w14:paraId="6FB5937D" w14:textId="77777777" w:rsidTr="00407FB4">
        <w:trPr>
          <w:cantSplit/>
        </w:trPr>
        <w:tc>
          <w:tcPr>
            <w:tcW w:w="584" w:type="pct"/>
            <w:tcBorders>
              <w:top w:val="single" w:sz="4" w:space="0" w:color="auto"/>
              <w:left w:val="single" w:sz="4" w:space="0" w:color="auto"/>
              <w:bottom w:val="single" w:sz="4" w:space="0" w:color="auto"/>
              <w:right w:val="single" w:sz="4" w:space="0" w:color="auto"/>
            </w:tcBorders>
          </w:tcPr>
          <w:p w14:paraId="4BF2D2E3" w14:textId="77777777" w:rsidR="00407FB4" w:rsidRDefault="00407FB4">
            <w:pPr>
              <w:rPr>
                <w:rFonts w:ascii="Times New Roman" w:hAnsi="Times New Roman" w:cs="Times New Roman"/>
                <w:sz w:val="20"/>
                <w:szCs w:val="20"/>
              </w:rPr>
            </w:pPr>
            <w:r>
              <w:rPr>
                <w:sz w:val="20"/>
              </w:rPr>
              <w:lastRenderedPageBreak/>
              <w:t>&lt;70</w:t>
            </w:r>
          </w:p>
          <w:p w14:paraId="3D91399D" w14:textId="77777777" w:rsidR="00407FB4" w:rsidRDefault="00407FB4">
            <w:pPr>
              <w:rPr>
                <w:rFonts w:ascii="Times New Roman" w:hAnsi="Times New Roman" w:cs="Times New Roman"/>
                <w:sz w:val="20"/>
                <w:szCs w:val="20"/>
              </w:rPr>
            </w:pPr>
            <w:r>
              <w:rPr>
                <w:sz w:val="20"/>
              </w:rPr>
              <w:t>≥70 &lt;80</w:t>
            </w:r>
          </w:p>
          <w:p w14:paraId="075C0C23" w14:textId="77777777" w:rsidR="00407FB4" w:rsidRDefault="00407FB4">
            <w:pPr>
              <w:rPr>
                <w:rFonts w:ascii="Times New Roman" w:hAnsi="Times New Roman" w:cs="Times New Roman"/>
                <w:sz w:val="20"/>
                <w:szCs w:val="20"/>
              </w:rPr>
            </w:pPr>
            <w:r>
              <w:rPr>
                <w:sz w:val="20"/>
              </w:rPr>
              <w:t>≥80</w:t>
            </w:r>
          </w:p>
          <w:p w14:paraId="714A54DB" w14:textId="77777777" w:rsidR="00407FB4" w:rsidRDefault="00407FB4">
            <w:pPr>
              <w:rPr>
                <w:rFonts w:ascii="Times New Roman" w:hAnsi="Times New Roman" w:cs="Times New Roman"/>
                <w:b/>
                <w:sz w:val="20"/>
                <w:szCs w:val="20"/>
              </w:rPr>
            </w:pPr>
            <w:r>
              <w:rPr>
                <w:b/>
                <w:sz w:val="20"/>
              </w:rPr>
              <w:t>Subtotal</w:t>
            </w:r>
          </w:p>
          <w:p w14:paraId="4BA653F6" w14:textId="77777777" w:rsidR="00407FB4" w:rsidRDefault="00407FB4">
            <w:pPr>
              <w:rPr>
                <w:rFonts w:ascii="Times New Roman" w:hAnsi="Times New Roman" w:cs="Times New Roman"/>
                <w:sz w:val="20"/>
                <w:szCs w:val="20"/>
              </w:rPr>
            </w:pPr>
          </w:p>
        </w:tc>
        <w:tc>
          <w:tcPr>
            <w:tcW w:w="950" w:type="pct"/>
            <w:tcBorders>
              <w:top w:val="single" w:sz="4" w:space="0" w:color="auto"/>
              <w:left w:val="single" w:sz="4" w:space="0" w:color="auto"/>
              <w:bottom w:val="single" w:sz="4" w:space="0" w:color="auto"/>
              <w:right w:val="single" w:sz="4" w:space="0" w:color="auto"/>
            </w:tcBorders>
            <w:hideMark/>
          </w:tcPr>
          <w:p w14:paraId="46EFEEB1" w14:textId="77777777" w:rsidR="00407FB4" w:rsidRDefault="00407FB4">
            <w:pPr>
              <w:jc w:val="right"/>
              <w:rPr>
                <w:rFonts w:ascii="Times New Roman" w:hAnsi="Times New Roman" w:cs="Times New Roman"/>
                <w:sz w:val="20"/>
                <w:szCs w:val="20"/>
              </w:rPr>
            </w:pPr>
            <w:r>
              <w:rPr>
                <w:sz w:val="20"/>
              </w:rPr>
              <w:t>66/269 (24,5 %)</w:t>
            </w:r>
          </w:p>
          <w:p w14:paraId="7DA4CC78" w14:textId="77777777" w:rsidR="00407FB4" w:rsidRDefault="00407FB4">
            <w:pPr>
              <w:jc w:val="right"/>
              <w:rPr>
                <w:rFonts w:ascii="Times New Roman" w:hAnsi="Times New Roman" w:cs="Times New Roman"/>
                <w:sz w:val="20"/>
                <w:szCs w:val="20"/>
              </w:rPr>
            </w:pPr>
            <w:r>
              <w:rPr>
                <w:sz w:val="20"/>
              </w:rPr>
              <w:t>26/49 (53,1 %)</w:t>
            </w:r>
          </w:p>
          <w:p w14:paraId="3645256F" w14:textId="77777777" w:rsidR="00407FB4" w:rsidRDefault="00407FB4">
            <w:pPr>
              <w:jc w:val="right"/>
              <w:rPr>
                <w:rFonts w:ascii="Times New Roman" w:hAnsi="Times New Roman" w:cs="Times New Roman"/>
                <w:sz w:val="20"/>
                <w:szCs w:val="20"/>
              </w:rPr>
            </w:pPr>
            <w:r>
              <w:rPr>
                <w:sz w:val="20"/>
              </w:rPr>
              <w:t>3/6 (50,0 %)</w:t>
            </w:r>
          </w:p>
          <w:p w14:paraId="15B9E752" w14:textId="77777777" w:rsidR="00407FB4" w:rsidRDefault="00407FB4">
            <w:pPr>
              <w:jc w:val="right"/>
              <w:rPr>
                <w:rFonts w:ascii="Times New Roman" w:hAnsi="Times New Roman" w:cs="Times New Roman"/>
                <w:b/>
                <w:bCs/>
                <w:sz w:val="20"/>
                <w:szCs w:val="20"/>
              </w:rPr>
            </w:pPr>
            <w:r>
              <w:rPr>
                <w:b/>
                <w:bCs/>
                <w:sz w:val="20"/>
              </w:rPr>
              <w:t>95/324 (29,3 %)</w:t>
            </w:r>
          </w:p>
        </w:tc>
        <w:tc>
          <w:tcPr>
            <w:tcW w:w="1016" w:type="pct"/>
            <w:tcBorders>
              <w:top w:val="single" w:sz="4" w:space="0" w:color="auto"/>
              <w:left w:val="single" w:sz="4" w:space="0" w:color="auto"/>
              <w:bottom w:val="single" w:sz="4" w:space="0" w:color="auto"/>
              <w:right w:val="single" w:sz="4" w:space="0" w:color="auto"/>
            </w:tcBorders>
            <w:hideMark/>
          </w:tcPr>
          <w:p w14:paraId="17EC0005" w14:textId="77777777" w:rsidR="00407FB4" w:rsidRDefault="00407FB4">
            <w:pPr>
              <w:jc w:val="right"/>
              <w:rPr>
                <w:rFonts w:ascii="Times New Roman" w:hAnsi="Times New Roman" w:cs="Times New Roman"/>
                <w:sz w:val="20"/>
                <w:szCs w:val="20"/>
              </w:rPr>
            </w:pPr>
            <w:r>
              <w:rPr>
                <w:sz w:val="20"/>
              </w:rPr>
              <w:t>217/569 (38,1 %)</w:t>
            </w:r>
          </w:p>
          <w:p w14:paraId="53C98161" w14:textId="77777777" w:rsidR="00407FB4" w:rsidRDefault="00407FB4">
            <w:pPr>
              <w:jc w:val="right"/>
              <w:rPr>
                <w:rFonts w:ascii="Times New Roman" w:hAnsi="Times New Roman" w:cs="Times New Roman"/>
                <w:sz w:val="20"/>
                <w:szCs w:val="20"/>
              </w:rPr>
            </w:pPr>
            <w:r>
              <w:rPr>
                <w:sz w:val="20"/>
              </w:rPr>
              <w:t>58/104 (55,8 %)</w:t>
            </w:r>
          </w:p>
          <w:p w14:paraId="74753D9A" w14:textId="77777777" w:rsidR="00407FB4" w:rsidRDefault="00407FB4">
            <w:pPr>
              <w:jc w:val="right"/>
              <w:rPr>
                <w:rFonts w:ascii="Times New Roman" w:hAnsi="Times New Roman" w:cs="Times New Roman"/>
                <w:sz w:val="20"/>
                <w:szCs w:val="20"/>
              </w:rPr>
            </w:pPr>
            <w:r>
              <w:rPr>
                <w:sz w:val="20"/>
              </w:rPr>
              <w:t>8/10 (80,0 %)</w:t>
            </w:r>
          </w:p>
          <w:p w14:paraId="50C93534" w14:textId="77777777" w:rsidR="00407FB4" w:rsidRDefault="00407FB4">
            <w:pPr>
              <w:jc w:val="right"/>
              <w:rPr>
                <w:rFonts w:ascii="Times New Roman" w:hAnsi="Times New Roman" w:cs="Times New Roman"/>
                <w:b/>
                <w:sz w:val="20"/>
                <w:szCs w:val="20"/>
              </w:rPr>
            </w:pPr>
            <w:r>
              <w:rPr>
                <w:b/>
                <w:sz w:val="20"/>
              </w:rPr>
              <w:t>283/683 (41,4 %)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0AFA42" w14:textId="77777777" w:rsidR="00407FB4" w:rsidRDefault="00407FB4">
            <w:pPr>
              <w:rPr>
                <w:rFonts w:ascii="Times New Roman" w:hAnsi="Times New Roman" w:cs="Times New Roman"/>
                <w:sz w:val="20"/>
                <w:szCs w:val="20"/>
              </w:rPr>
            </w:pPr>
          </w:p>
        </w:tc>
        <w:tc>
          <w:tcPr>
            <w:tcW w:w="922" w:type="pct"/>
            <w:tcBorders>
              <w:top w:val="single" w:sz="4" w:space="0" w:color="auto"/>
              <w:left w:val="single" w:sz="4" w:space="0" w:color="auto"/>
              <w:bottom w:val="single" w:sz="4" w:space="0" w:color="auto"/>
              <w:right w:val="single" w:sz="4" w:space="0" w:color="auto"/>
            </w:tcBorders>
            <w:hideMark/>
          </w:tcPr>
          <w:p w14:paraId="0A2FA52C" w14:textId="77777777" w:rsidR="00407FB4" w:rsidRDefault="00407FB4">
            <w:pPr>
              <w:rPr>
                <w:rFonts w:ascii="Times New Roman" w:hAnsi="Times New Roman" w:cs="Times New Roman"/>
                <w:sz w:val="20"/>
                <w:szCs w:val="20"/>
              </w:rPr>
            </w:pPr>
            <w:r>
              <w:rPr>
                <w:sz w:val="20"/>
              </w:rPr>
              <w:t>0,61 (0,46-0,81)</w:t>
            </w:r>
          </w:p>
          <w:p w14:paraId="60E051BD" w14:textId="77777777" w:rsidR="00407FB4" w:rsidRDefault="00407FB4">
            <w:pPr>
              <w:rPr>
                <w:rFonts w:ascii="Times New Roman" w:hAnsi="Times New Roman" w:cs="Times New Roman"/>
                <w:sz w:val="20"/>
                <w:szCs w:val="20"/>
              </w:rPr>
            </w:pPr>
            <w:r>
              <w:rPr>
                <w:sz w:val="20"/>
              </w:rPr>
              <w:t>0,85 (0,53-1,34)</w:t>
            </w:r>
          </w:p>
          <w:p w14:paraId="18ACA7D0" w14:textId="77777777" w:rsidR="00407FB4" w:rsidRDefault="00407FB4">
            <w:pPr>
              <w:rPr>
                <w:rFonts w:ascii="Times New Roman" w:hAnsi="Times New Roman" w:cs="Times New Roman"/>
                <w:sz w:val="20"/>
                <w:szCs w:val="20"/>
              </w:rPr>
            </w:pPr>
            <w:r>
              <w:rPr>
                <w:sz w:val="20"/>
              </w:rPr>
              <w:t>0,39 (0,10-1,47)</w:t>
            </w:r>
          </w:p>
          <w:p w14:paraId="32AE9C79" w14:textId="77777777" w:rsidR="00407FB4" w:rsidRDefault="00407FB4">
            <w:pPr>
              <w:rPr>
                <w:rFonts w:ascii="Times New Roman" w:hAnsi="Times New Roman" w:cs="Times New Roman"/>
                <w:b/>
                <w:sz w:val="20"/>
                <w:szCs w:val="20"/>
              </w:rPr>
            </w:pPr>
            <w:r>
              <w:rPr>
                <w:b/>
                <w:sz w:val="20"/>
              </w:rPr>
              <w:t>0,64 (0,51-0,81)</w:t>
            </w:r>
          </w:p>
        </w:tc>
      </w:tr>
      <w:tr w:rsidR="00407FB4" w14:paraId="65989B72" w14:textId="77777777" w:rsidTr="00407FB4">
        <w:trPr>
          <w:cantSplit/>
        </w:trPr>
        <w:tc>
          <w:tcPr>
            <w:tcW w:w="584" w:type="pct"/>
            <w:tcBorders>
              <w:top w:val="single" w:sz="4" w:space="0" w:color="auto"/>
              <w:left w:val="single" w:sz="4" w:space="0" w:color="auto"/>
              <w:bottom w:val="single" w:sz="4" w:space="0" w:color="auto"/>
              <w:right w:val="single" w:sz="4" w:space="0" w:color="auto"/>
            </w:tcBorders>
          </w:tcPr>
          <w:p w14:paraId="23E811D5" w14:textId="77777777" w:rsidR="00407FB4" w:rsidRDefault="00407FB4">
            <w:pPr>
              <w:rPr>
                <w:rFonts w:ascii="Times New Roman" w:hAnsi="Times New Roman" w:cs="Times New Roman"/>
                <w:b/>
                <w:sz w:val="20"/>
                <w:szCs w:val="20"/>
              </w:rPr>
            </w:pPr>
            <w:r>
              <w:rPr>
                <w:b/>
                <w:sz w:val="20"/>
              </w:rPr>
              <w:t>Alle deltagere</w:t>
            </w:r>
          </w:p>
          <w:p w14:paraId="1900CFC1" w14:textId="77777777" w:rsidR="00407FB4" w:rsidRDefault="00407FB4">
            <w:pPr>
              <w:rPr>
                <w:rFonts w:ascii="Times New Roman" w:hAnsi="Times New Roman" w:cs="Times New Roman"/>
                <w:b/>
                <w:sz w:val="20"/>
                <w:szCs w:val="20"/>
              </w:rPr>
            </w:pPr>
          </w:p>
          <w:p w14:paraId="4F2EDB81" w14:textId="77777777" w:rsidR="00407FB4" w:rsidRDefault="00407FB4">
            <w:pPr>
              <w:rPr>
                <w:rFonts w:ascii="Times New Roman" w:hAnsi="Times New Roman" w:cs="Times New Roman"/>
                <w:b/>
                <w:sz w:val="20"/>
                <w:szCs w:val="20"/>
              </w:rPr>
            </w:pPr>
          </w:p>
        </w:tc>
        <w:tc>
          <w:tcPr>
            <w:tcW w:w="950" w:type="pct"/>
            <w:tcBorders>
              <w:top w:val="single" w:sz="4" w:space="0" w:color="auto"/>
              <w:left w:val="single" w:sz="4" w:space="0" w:color="auto"/>
              <w:bottom w:val="single" w:sz="4" w:space="0" w:color="auto"/>
              <w:right w:val="single" w:sz="4" w:space="0" w:color="auto"/>
            </w:tcBorders>
            <w:hideMark/>
          </w:tcPr>
          <w:p w14:paraId="53A7CD23" w14:textId="77777777" w:rsidR="00407FB4" w:rsidRDefault="00407FB4">
            <w:pPr>
              <w:jc w:val="right"/>
              <w:rPr>
                <w:rFonts w:ascii="Times New Roman" w:hAnsi="Times New Roman" w:cs="Times New Roman"/>
                <w:b/>
                <w:sz w:val="20"/>
                <w:szCs w:val="20"/>
              </w:rPr>
            </w:pPr>
            <w:r>
              <w:rPr>
                <w:b/>
                <w:sz w:val="20"/>
              </w:rPr>
              <w:t>482/2.104 (22,9 %)</w:t>
            </w:r>
          </w:p>
        </w:tc>
        <w:tc>
          <w:tcPr>
            <w:tcW w:w="1016" w:type="pct"/>
            <w:tcBorders>
              <w:top w:val="single" w:sz="4" w:space="0" w:color="auto"/>
              <w:left w:val="single" w:sz="4" w:space="0" w:color="auto"/>
              <w:bottom w:val="single" w:sz="4" w:space="0" w:color="auto"/>
              <w:right w:val="single" w:sz="4" w:space="0" w:color="auto"/>
            </w:tcBorders>
            <w:hideMark/>
          </w:tcPr>
          <w:p w14:paraId="6775996B" w14:textId="77777777" w:rsidR="00407FB4" w:rsidRDefault="00407FB4">
            <w:pPr>
              <w:jc w:val="right"/>
              <w:rPr>
                <w:rFonts w:ascii="Times New Roman" w:hAnsi="Times New Roman" w:cs="Times New Roman"/>
                <w:b/>
                <w:sz w:val="20"/>
                <w:szCs w:val="20"/>
              </w:rPr>
            </w:pPr>
            <w:r>
              <w:rPr>
                <w:b/>
                <w:sz w:val="20"/>
              </w:rPr>
              <w:t>1.110/4321 (25,7 %)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8B98AE" w14:textId="77777777" w:rsidR="00407FB4" w:rsidRDefault="00407FB4">
            <w:pPr>
              <w:rPr>
                <w:rFonts w:ascii="Times New Roman" w:hAnsi="Times New Roman" w:cs="Times New Roman"/>
                <w:sz w:val="20"/>
                <w:szCs w:val="20"/>
              </w:rPr>
            </w:pPr>
          </w:p>
        </w:tc>
        <w:tc>
          <w:tcPr>
            <w:tcW w:w="922" w:type="pct"/>
            <w:tcBorders>
              <w:top w:val="single" w:sz="4" w:space="0" w:color="auto"/>
              <w:left w:val="single" w:sz="4" w:space="0" w:color="auto"/>
              <w:bottom w:val="single" w:sz="4" w:space="0" w:color="auto"/>
              <w:right w:val="single" w:sz="4" w:space="0" w:color="auto"/>
            </w:tcBorders>
            <w:hideMark/>
          </w:tcPr>
          <w:p w14:paraId="776D19E2" w14:textId="77777777" w:rsidR="00407FB4" w:rsidRDefault="00407FB4">
            <w:pPr>
              <w:rPr>
                <w:rFonts w:ascii="Times New Roman" w:hAnsi="Times New Roman" w:cs="Times New Roman"/>
                <w:b/>
                <w:sz w:val="20"/>
                <w:szCs w:val="20"/>
              </w:rPr>
            </w:pPr>
            <w:r>
              <w:rPr>
                <w:b/>
                <w:sz w:val="20"/>
              </w:rPr>
              <w:t>0,83 (0,75-0,93)</w:t>
            </w:r>
          </w:p>
          <w:p w14:paraId="2F86E8AA" w14:textId="77777777" w:rsidR="00407FB4" w:rsidRDefault="00407FB4">
            <w:pPr>
              <w:rPr>
                <w:rFonts w:ascii="Times New Roman" w:hAnsi="Times New Roman" w:cs="Times New Roman"/>
                <w:sz w:val="20"/>
                <w:szCs w:val="20"/>
              </w:rPr>
            </w:pPr>
            <w:r>
              <w:rPr>
                <w:b/>
                <w:sz w:val="20"/>
              </w:rPr>
              <w:t>p &lt;0,001</w:t>
            </w:r>
          </w:p>
        </w:tc>
      </w:tr>
      <w:tr w:rsidR="00407FB4" w14:paraId="73B8EF66" w14:textId="77777777" w:rsidTr="00407FB4">
        <w:trPr>
          <w:cantSplit/>
        </w:trPr>
        <w:tc>
          <w:tcPr>
            <w:tcW w:w="3434" w:type="pct"/>
            <w:gridSpan w:val="4"/>
            <w:tcBorders>
              <w:top w:val="single" w:sz="4" w:space="0" w:color="auto"/>
              <w:left w:val="single" w:sz="4" w:space="0" w:color="auto"/>
              <w:bottom w:val="single" w:sz="4" w:space="0" w:color="auto"/>
              <w:right w:val="single" w:sz="4" w:space="0" w:color="auto"/>
            </w:tcBorders>
            <w:hideMark/>
          </w:tcPr>
          <w:p w14:paraId="2A904E84" w14:textId="77777777" w:rsidR="00407FB4" w:rsidRDefault="00407FB4">
            <w:pPr>
              <w:jc w:val="right"/>
              <w:rPr>
                <w:rFonts w:ascii="Times New Roman" w:hAnsi="Times New Roman" w:cs="Times New Roman"/>
                <w:b/>
                <w:sz w:val="20"/>
                <w:szCs w:val="20"/>
              </w:rPr>
            </w:pPr>
            <w:r>
              <w:rPr>
                <w:b/>
                <w:sz w:val="20"/>
              </w:rPr>
              <w:t xml:space="preserve">Dexamethason </w:t>
            </w:r>
          </w:p>
          <w:p w14:paraId="7D20D938" w14:textId="77777777" w:rsidR="00407FB4" w:rsidRDefault="00407FB4">
            <w:pPr>
              <w:jc w:val="right"/>
              <w:rPr>
                <w:rFonts w:ascii="Times New Roman" w:hAnsi="Times New Roman" w:cs="Times New Roman"/>
                <w:b/>
                <w:sz w:val="20"/>
                <w:szCs w:val="20"/>
              </w:rPr>
            </w:pPr>
            <w:r>
              <w:rPr>
                <w:b/>
                <w:sz w:val="20"/>
              </w:rPr>
              <w:t>bedre</w:t>
            </w:r>
          </w:p>
          <w:p w14:paraId="703A2D2E" w14:textId="77777777" w:rsidR="00407FB4" w:rsidRDefault="00407FB4">
            <w:pPr>
              <w:jc w:val="center"/>
              <w:rPr>
                <w:rFonts w:ascii="Times New Roman" w:hAnsi="Times New Roman" w:cs="Times New Roman"/>
                <w:b/>
                <w:sz w:val="20"/>
                <w:szCs w:val="20"/>
              </w:rPr>
            </w:pPr>
            <w:r>
              <w:rPr>
                <w:b/>
                <w:sz w:val="20"/>
              </w:rPr>
              <w:t xml:space="preserve">                                                                                                    </w:t>
            </w:r>
          </w:p>
        </w:tc>
        <w:tc>
          <w:tcPr>
            <w:tcW w:w="1566" w:type="pct"/>
            <w:gridSpan w:val="2"/>
            <w:tcBorders>
              <w:top w:val="single" w:sz="4" w:space="0" w:color="auto"/>
              <w:left w:val="single" w:sz="4" w:space="0" w:color="auto"/>
              <w:bottom w:val="single" w:sz="4" w:space="0" w:color="auto"/>
              <w:right w:val="single" w:sz="4" w:space="0" w:color="auto"/>
            </w:tcBorders>
          </w:tcPr>
          <w:p w14:paraId="02E43706" w14:textId="77777777" w:rsidR="00407FB4" w:rsidRDefault="00407FB4">
            <w:pPr>
              <w:rPr>
                <w:rFonts w:ascii="Times New Roman" w:hAnsi="Times New Roman" w:cs="Times New Roman"/>
                <w:b/>
                <w:sz w:val="20"/>
                <w:szCs w:val="20"/>
              </w:rPr>
            </w:pPr>
            <w:r>
              <w:rPr>
                <w:b/>
                <w:sz w:val="20"/>
              </w:rPr>
              <w:t xml:space="preserve">Almindelig pleje </w:t>
            </w:r>
          </w:p>
          <w:p w14:paraId="081F97A8" w14:textId="77777777" w:rsidR="00407FB4" w:rsidRDefault="00407FB4">
            <w:pPr>
              <w:rPr>
                <w:rFonts w:ascii="Times New Roman" w:hAnsi="Times New Roman" w:cs="Times New Roman"/>
                <w:b/>
                <w:sz w:val="20"/>
                <w:szCs w:val="20"/>
              </w:rPr>
            </w:pPr>
            <w:r>
              <w:rPr>
                <w:b/>
                <w:sz w:val="20"/>
              </w:rPr>
              <w:t>bedre</w:t>
            </w:r>
          </w:p>
          <w:p w14:paraId="3F09BD88" w14:textId="77777777" w:rsidR="00407FB4" w:rsidRDefault="00407FB4">
            <w:pPr>
              <w:rPr>
                <w:rFonts w:ascii="Times New Roman" w:hAnsi="Times New Roman" w:cs="Times New Roman"/>
                <w:b/>
                <w:sz w:val="20"/>
                <w:szCs w:val="20"/>
              </w:rPr>
            </w:pPr>
          </w:p>
        </w:tc>
      </w:tr>
    </w:tbl>
    <w:p w14:paraId="18C50748" w14:textId="77777777" w:rsidR="00407FB4" w:rsidRDefault="00407FB4" w:rsidP="00407FB4">
      <w:pPr>
        <w:rPr>
          <w:sz w:val="22"/>
        </w:rPr>
      </w:pPr>
      <w:bookmarkStart w:id="2" w:name="_Hlk70672884"/>
    </w:p>
    <w:p w14:paraId="59B505EF" w14:textId="77777777" w:rsidR="00407FB4" w:rsidRDefault="00407FB4" w:rsidP="00407FB4">
      <w:pPr>
        <w:keepNext/>
        <w:tabs>
          <w:tab w:val="left" w:pos="567"/>
        </w:tabs>
        <w:autoSpaceDE w:val="0"/>
        <w:autoSpaceDN w:val="0"/>
        <w:adjustRightInd w:val="0"/>
        <w:rPr>
          <w:b/>
          <w:bCs/>
          <w:i/>
          <w:vertAlign w:val="superscript"/>
        </w:rPr>
      </w:pPr>
      <w:r>
        <w:rPr>
          <w:b/>
          <w:bCs/>
          <w:i/>
        </w:rPr>
        <w:t xml:space="preserve">Effekt af tildeling af </w:t>
      </w:r>
      <w:proofErr w:type="spellStart"/>
      <w:r>
        <w:rPr>
          <w:b/>
          <w:bCs/>
          <w:i/>
        </w:rPr>
        <w:t>dexamethason</w:t>
      </w:r>
      <w:proofErr w:type="spellEnd"/>
      <w:r>
        <w:rPr>
          <w:b/>
          <w:bCs/>
          <w:i/>
        </w:rPr>
        <w:t xml:space="preserve"> på dødeligheden efter 28 dage, efter respiratorisk støtte modtaget ved </w:t>
      </w:r>
      <w:proofErr w:type="spellStart"/>
      <w:r>
        <w:rPr>
          <w:b/>
          <w:bCs/>
          <w:i/>
        </w:rPr>
        <w:t>randomisering</w:t>
      </w:r>
      <w:proofErr w:type="spellEnd"/>
      <w:r>
        <w:rPr>
          <w:b/>
          <w:bCs/>
          <w:i/>
        </w:rPr>
        <w:t xml:space="preserve"> og anamnese med kronisk sygdom.</w:t>
      </w:r>
      <w:r>
        <w:rPr>
          <w:b/>
          <w:bCs/>
          <w:i/>
          <w:vertAlign w:val="superscript"/>
        </w:rPr>
        <w:t xml:space="preserve"> </w:t>
      </w:r>
      <w:r>
        <w:footnoteReference w:id="3"/>
      </w:r>
    </w:p>
    <w:bookmarkEnd w:id="2"/>
    <w:p w14:paraId="10B1852F" w14:textId="77777777" w:rsidR="00407FB4" w:rsidRDefault="00407FB4" w:rsidP="00407FB4">
      <w:pPr>
        <w:keepNext/>
        <w:tabs>
          <w:tab w:val="left" w:pos="567"/>
        </w:tabs>
        <w:autoSpaceDE w:val="0"/>
        <w:autoSpaceDN w:val="0"/>
        <w:adjustRightInd w:val="0"/>
      </w:pPr>
    </w:p>
    <w:tbl>
      <w:tblPr>
        <w:tblStyle w:val="Tabel-Gitter2"/>
        <w:tblW w:w="5401" w:type="pct"/>
        <w:tblInd w:w="-5" w:type="dxa"/>
        <w:tblLook w:val="04A0" w:firstRow="1" w:lastRow="0" w:firstColumn="1" w:lastColumn="0" w:noHBand="0" w:noVBand="1"/>
      </w:tblPr>
      <w:tblGrid>
        <w:gridCol w:w="2111"/>
        <w:gridCol w:w="1808"/>
        <w:gridCol w:w="1828"/>
        <w:gridCol w:w="1847"/>
        <w:gridCol w:w="1256"/>
        <w:gridCol w:w="1550"/>
      </w:tblGrid>
      <w:tr w:rsidR="00407FB4" w14:paraId="483F8F77" w14:textId="77777777" w:rsidTr="00407FB4">
        <w:tc>
          <w:tcPr>
            <w:tcW w:w="1015" w:type="pct"/>
            <w:tcBorders>
              <w:top w:val="single" w:sz="4" w:space="0" w:color="auto"/>
              <w:left w:val="single" w:sz="4" w:space="0" w:color="auto"/>
              <w:bottom w:val="single" w:sz="4" w:space="0" w:color="auto"/>
              <w:right w:val="single" w:sz="4" w:space="0" w:color="auto"/>
            </w:tcBorders>
          </w:tcPr>
          <w:p w14:paraId="054F0A02" w14:textId="77777777" w:rsidR="00407FB4" w:rsidRDefault="00407FB4">
            <w:pPr>
              <w:rPr>
                <w:rFonts w:eastAsia="Calibri"/>
                <w:sz w:val="18"/>
                <w:szCs w:val="18"/>
              </w:rPr>
            </w:pPr>
          </w:p>
        </w:tc>
        <w:tc>
          <w:tcPr>
            <w:tcW w:w="869" w:type="pct"/>
            <w:tcBorders>
              <w:top w:val="single" w:sz="4" w:space="0" w:color="auto"/>
              <w:left w:val="single" w:sz="4" w:space="0" w:color="auto"/>
              <w:bottom w:val="single" w:sz="4" w:space="0" w:color="auto"/>
              <w:right w:val="single" w:sz="4" w:space="0" w:color="auto"/>
            </w:tcBorders>
            <w:hideMark/>
          </w:tcPr>
          <w:p w14:paraId="443FAF77" w14:textId="77777777" w:rsidR="00407FB4" w:rsidRDefault="00407FB4">
            <w:pPr>
              <w:rPr>
                <w:rFonts w:ascii="Times New Roman" w:eastAsia="Calibri" w:hAnsi="Times New Roman" w:cs="Times New Roman"/>
                <w:b/>
                <w:sz w:val="18"/>
                <w:szCs w:val="18"/>
              </w:rPr>
            </w:pPr>
            <w:r>
              <w:rPr>
                <w:rFonts w:ascii="Times New Roman" w:eastAsia="Calibri" w:hAnsi="Times New Roman" w:cs="Times New Roman"/>
                <w:b/>
                <w:sz w:val="18"/>
                <w:szCs w:val="18"/>
              </w:rPr>
              <w:t>Dexamethason</w:t>
            </w:r>
          </w:p>
        </w:tc>
        <w:tc>
          <w:tcPr>
            <w:tcW w:w="879" w:type="pct"/>
            <w:tcBorders>
              <w:top w:val="single" w:sz="4" w:space="0" w:color="auto"/>
              <w:left w:val="single" w:sz="4" w:space="0" w:color="auto"/>
              <w:bottom w:val="single" w:sz="4" w:space="0" w:color="auto"/>
              <w:right w:val="single" w:sz="4" w:space="0" w:color="auto"/>
            </w:tcBorders>
            <w:hideMark/>
          </w:tcPr>
          <w:p w14:paraId="5A3B3FAC" w14:textId="77777777" w:rsidR="00407FB4" w:rsidRDefault="00407FB4">
            <w:pPr>
              <w:rPr>
                <w:rFonts w:ascii="Times New Roman" w:eastAsia="Calibri" w:hAnsi="Times New Roman" w:cs="Times New Roman"/>
                <w:b/>
                <w:sz w:val="18"/>
                <w:szCs w:val="18"/>
              </w:rPr>
            </w:pPr>
            <w:r>
              <w:rPr>
                <w:rFonts w:eastAsia="Calibri"/>
                <w:b/>
                <w:sz w:val="18"/>
                <w:szCs w:val="18"/>
              </w:rPr>
              <w:t>Almindelig pleje</w:t>
            </w:r>
          </w:p>
        </w:tc>
        <w:tc>
          <w:tcPr>
            <w:tcW w:w="1492" w:type="pct"/>
            <w:gridSpan w:val="2"/>
            <w:vMerge w:val="restart"/>
            <w:tcBorders>
              <w:top w:val="single" w:sz="4" w:space="0" w:color="auto"/>
              <w:left w:val="single" w:sz="4" w:space="0" w:color="auto"/>
              <w:bottom w:val="single" w:sz="4" w:space="0" w:color="auto"/>
              <w:right w:val="single" w:sz="4" w:space="0" w:color="auto"/>
            </w:tcBorders>
            <w:hideMark/>
          </w:tcPr>
          <w:p w14:paraId="2E06825A" w14:textId="77777777" w:rsidR="00407FB4" w:rsidRDefault="00407FB4">
            <w:pPr>
              <w:rPr>
                <w:rFonts w:ascii="Times New Roman" w:eastAsia="Calibri" w:hAnsi="Times New Roman" w:cs="Times New Roman"/>
                <w:sz w:val="18"/>
                <w:szCs w:val="18"/>
              </w:rPr>
            </w:pPr>
            <w:r>
              <w:rPr>
                <w:rFonts w:eastAsia="Calibri"/>
                <w:noProof/>
                <w:sz w:val="18"/>
                <w:szCs w:val="18"/>
                <w:lang w:eastAsia="sl-SI"/>
              </w:rPr>
              <w:t xml:space="preserve">          </w:t>
            </w:r>
            <w:r>
              <w:rPr>
                <w:rFonts w:ascii="Times New Roman" w:eastAsia="Times New Roman" w:hAnsi="Times New Roman" w:cs="Times New Roman"/>
                <w:sz w:val="18"/>
                <w:szCs w:val="18"/>
                <w:lang w:val="da-DK"/>
              </w:rPr>
              <w:object w:dxaOrig="2700" w:dyaOrig="4320" w14:anchorId="0124FA33">
                <v:shape id="_x0000_i1026" type="#_x0000_t75" style="width:135pt;height:3in" o:ole="">
                  <v:imagedata r:id="rId10" o:title=""/>
                </v:shape>
                <o:OLEObject Type="Embed" ProgID="PBrush" ShapeID="_x0000_i1026" DrawAspect="Content" ObjectID="_1714453349" r:id="rId11"/>
              </w:object>
            </w:r>
          </w:p>
        </w:tc>
        <w:tc>
          <w:tcPr>
            <w:tcW w:w="745" w:type="pct"/>
            <w:tcBorders>
              <w:top w:val="single" w:sz="4" w:space="0" w:color="auto"/>
              <w:left w:val="single" w:sz="4" w:space="0" w:color="auto"/>
              <w:bottom w:val="single" w:sz="4" w:space="0" w:color="auto"/>
              <w:right w:val="single" w:sz="4" w:space="0" w:color="auto"/>
            </w:tcBorders>
            <w:hideMark/>
          </w:tcPr>
          <w:p w14:paraId="4AC37A81" w14:textId="77777777" w:rsidR="00407FB4" w:rsidRDefault="00407FB4">
            <w:pPr>
              <w:rPr>
                <w:rFonts w:ascii="Times New Roman" w:eastAsia="Calibri" w:hAnsi="Times New Roman" w:cs="Times New Roman"/>
                <w:b/>
                <w:sz w:val="18"/>
                <w:szCs w:val="18"/>
              </w:rPr>
            </w:pPr>
            <w:r>
              <w:rPr>
                <w:rFonts w:eastAsia="Calibri"/>
                <w:b/>
                <w:sz w:val="18"/>
                <w:szCs w:val="18"/>
              </w:rPr>
              <w:t>RR (95 % Cl)</w:t>
            </w:r>
          </w:p>
        </w:tc>
      </w:tr>
      <w:tr w:rsidR="00407FB4" w14:paraId="133A8959" w14:textId="77777777" w:rsidTr="00407FB4">
        <w:tc>
          <w:tcPr>
            <w:tcW w:w="2763" w:type="pct"/>
            <w:gridSpan w:val="3"/>
            <w:tcBorders>
              <w:top w:val="single" w:sz="4" w:space="0" w:color="auto"/>
              <w:left w:val="single" w:sz="4" w:space="0" w:color="auto"/>
              <w:bottom w:val="single" w:sz="4" w:space="0" w:color="auto"/>
              <w:right w:val="single" w:sz="4" w:space="0" w:color="auto"/>
            </w:tcBorders>
            <w:hideMark/>
          </w:tcPr>
          <w:p w14:paraId="496F9196" w14:textId="77777777" w:rsidR="00407FB4" w:rsidRDefault="00407FB4">
            <w:pPr>
              <w:rPr>
                <w:rFonts w:ascii="Times New Roman" w:eastAsia="Calibri" w:hAnsi="Times New Roman" w:cs="Times New Roman"/>
                <w:b/>
                <w:sz w:val="18"/>
                <w:szCs w:val="18"/>
              </w:rPr>
            </w:pPr>
            <w:r>
              <w:rPr>
                <w:rFonts w:eastAsia="Calibri"/>
                <w:b/>
                <w:sz w:val="18"/>
                <w:szCs w:val="18"/>
              </w:rPr>
              <w:t>Ingen ilt (x</w:t>
            </w:r>
            <w:r>
              <w:rPr>
                <w:rFonts w:eastAsia="Calibri"/>
                <w:b/>
                <w:sz w:val="18"/>
                <w:szCs w:val="18"/>
                <w:vertAlign w:val="subscript"/>
              </w:rPr>
              <w:t>1</w:t>
            </w:r>
            <w:r>
              <w:rPr>
                <w:rFonts w:eastAsia="Calibri"/>
                <w:b/>
                <w:sz w:val="18"/>
                <w:szCs w:val="18"/>
                <w:vertAlign w:val="superscript"/>
              </w:rPr>
              <w:t>2</w:t>
            </w:r>
            <w:r>
              <w:rPr>
                <w:rFonts w:ascii="Times New Roman" w:eastAsia="Calibri" w:hAnsi="Times New Roman" w:cs="Times New Roman"/>
                <w:b/>
                <w:sz w:val="18"/>
                <w:szCs w:val="18"/>
              </w:rPr>
              <w:t>= 0,08; p=0,78)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30FAA9" w14:textId="77777777" w:rsidR="00407FB4" w:rsidRDefault="00407FB4">
            <w:pPr>
              <w:rPr>
                <w:rFonts w:ascii="Times New Roman" w:eastAsia="Calibri" w:hAnsi="Times New Roman" w:cs="Times New Roman"/>
                <w:sz w:val="18"/>
                <w:szCs w:val="18"/>
              </w:rPr>
            </w:pPr>
          </w:p>
        </w:tc>
        <w:tc>
          <w:tcPr>
            <w:tcW w:w="745" w:type="pct"/>
            <w:tcBorders>
              <w:top w:val="single" w:sz="4" w:space="0" w:color="auto"/>
              <w:left w:val="single" w:sz="4" w:space="0" w:color="auto"/>
              <w:bottom w:val="single" w:sz="4" w:space="0" w:color="auto"/>
              <w:right w:val="single" w:sz="4" w:space="0" w:color="auto"/>
            </w:tcBorders>
          </w:tcPr>
          <w:p w14:paraId="6A0D170F" w14:textId="77777777" w:rsidR="00407FB4" w:rsidRDefault="00407FB4">
            <w:pPr>
              <w:rPr>
                <w:rFonts w:ascii="Times New Roman" w:eastAsia="Calibri" w:hAnsi="Times New Roman" w:cs="Times New Roman"/>
                <w:sz w:val="18"/>
                <w:szCs w:val="18"/>
              </w:rPr>
            </w:pPr>
          </w:p>
        </w:tc>
      </w:tr>
      <w:tr w:rsidR="00407FB4" w14:paraId="77DAC9BE" w14:textId="77777777" w:rsidTr="00407FB4">
        <w:trPr>
          <w:trHeight w:val="927"/>
        </w:trPr>
        <w:tc>
          <w:tcPr>
            <w:tcW w:w="1015" w:type="pct"/>
            <w:tcBorders>
              <w:top w:val="single" w:sz="4" w:space="0" w:color="auto"/>
              <w:left w:val="single" w:sz="4" w:space="0" w:color="auto"/>
              <w:bottom w:val="single" w:sz="4" w:space="0" w:color="auto"/>
              <w:right w:val="single" w:sz="4" w:space="0" w:color="auto"/>
            </w:tcBorders>
            <w:hideMark/>
          </w:tcPr>
          <w:p w14:paraId="47B3C837" w14:textId="77777777" w:rsidR="00407FB4" w:rsidRDefault="00407FB4">
            <w:pPr>
              <w:rPr>
                <w:rFonts w:ascii="Times New Roman" w:eastAsia="Calibri" w:hAnsi="Times New Roman" w:cs="Times New Roman"/>
                <w:sz w:val="18"/>
                <w:szCs w:val="18"/>
              </w:rPr>
            </w:pPr>
            <w:r>
              <w:rPr>
                <w:rFonts w:eastAsia="Calibri"/>
                <w:sz w:val="18"/>
                <w:szCs w:val="18"/>
              </w:rPr>
              <w:t>Tidligere sygdom</w:t>
            </w:r>
          </w:p>
          <w:p w14:paraId="5714B840" w14:textId="77777777" w:rsidR="00407FB4" w:rsidRDefault="00407FB4">
            <w:pPr>
              <w:rPr>
                <w:rFonts w:ascii="Times New Roman" w:eastAsia="Calibri" w:hAnsi="Times New Roman" w:cs="Times New Roman"/>
                <w:sz w:val="18"/>
                <w:szCs w:val="18"/>
              </w:rPr>
            </w:pPr>
            <w:r>
              <w:rPr>
                <w:rFonts w:eastAsia="Calibri"/>
                <w:sz w:val="18"/>
                <w:szCs w:val="18"/>
              </w:rPr>
              <w:t>Ingen tidligere sygdom</w:t>
            </w:r>
          </w:p>
          <w:p w14:paraId="50ED5A06" w14:textId="77777777" w:rsidR="00407FB4" w:rsidRDefault="00407FB4">
            <w:pPr>
              <w:rPr>
                <w:rFonts w:ascii="Times New Roman" w:eastAsia="Calibri" w:hAnsi="Times New Roman" w:cs="Times New Roman"/>
                <w:b/>
                <w:sz w:val="18"/>
                <w:szCs w:val="18"/>
              </w:rPr>
            </w:pPr>
            <w:r>
              <w:rPr>
                <w:rFonts w:eastAsia="Calibri"/>
                <w:b/>
                <w:sz w:val="18"/>
                <w:szCs w:val="18"/>
              </w:rPr>
              <w:t>Subtotal</w:t>
            </w:r>
          </w:p>
        </w:tc>
        <w:tc>
          <w:tcPr>
            <w:tcW w:w="869" w:type="pct"/>
            <w:tcBorders>
              <w:top w:val="single" w:sz="4" w:space="0" w:color="auto"/>
              <w:left w:val="single" w:sz="4" w:space="0" w:color="auto"/>
              <w:bottom w:val="single" w:sz="4" w:space="0" w:color="auto"/>
              <w:right w:val="single" w:sz="4" w:space="0" w:color="auto"/>
            </w:tcBorders>
            <w:hideMark/>
          </w:tcPr>
          <w:p w14:paraId="3CA36BCD" w14:textId="77777777" w:rsidR="00407FB4" w:rsidRDefault="00407FB4">
            <w:pPr>
              <w:jc w:val="center"/>
              <w:rPr>
                <w:rFonts w:ascii="Times New Roman" w:eastAsia="Calibri" w:hAnsi="Times New Roman" w:cs="Times New Roman"/>
                <w:sz w:val="18"/>
                <w:szCs w:val="18"/>
              </w:rPr>
            </w:pPr>
            <w:r>
              <w:rPr>
                <w:rFonts w:eastAsia="Calibri"/>
                <w:sz w:val="18"/>
                <w:szCs w:val="18"/>
              </w:rPr>
              <w:t>65/313 (20,8 %)</w:t>
            </w:r>
          </w:p>
          <w:p w14:paraId="646B6638" w14:textId="77777777" w:rsidR="00407FB4" w:rsidRDefault="00407FB4">
            <w:pPr>
              <w:jc w:val="center"/>
              <w:rPr>
                <w:rFonts w:ascii="Times New Roman" w:eastAsia="Calibri" w:hAnsi="Times New Roman" w:cs="Times New Roman"/>
                <w:sz w:val="18"/>
                <w:szCs w:val="18"/>
              </w:rPr>
            </w:pPr>
            <w:r>
              <w:rPr>
                <w:rFonts w:eastAsia="Calibri"/>
                <w:sz w:val="18"/>
                <w:szCs w:val="18"/>
              </w:rPr>
              <w:t>24/188 (12,8 %)</w:t>
            </w:r>
          </w:p>
          <w:p w14:paraId="073D6EE1" w14:textId="77777777" w:rsidR="00407FB4" w:rsidRDefault="00407FB4">
            <w:pPr>
              <w:jc w:val="center"/>
              <w:rPr>
                <w:rFonts w:ascii="Times New Roman" w:eastAsia="Calibri" w:hAnsi="Times New Roman" w:cs="Times New Roman"/>
                <w:b/>
                <w:sz w:val="18"/>
                <w:szCs w:val="18"/>
              </w:rPr>
            </w:pPr>
            <w:r>
              <w:rPr>
                <w:rFonts w:eastAsia="Calibri"/>
                <w:b/>
                <w:sz w:val="18"/>
                <w:szCs w:val="18"/>
              </w:rPr>
              <w:t>89/501 (17,8 %)</w:t>
            </w:r>
          </w:p>
        </w:tc>
        <w:tc>
          <w:tcPr>
            <w:tcW w:w="879" w:type="pct"/>
            <w:tcBorders>
              <w:top w:val="single" w:sz="4" w:space="0" w:color="auto"/>
              <w:left w:val="single" w:sz="4" w:space="0" w:color="auto"/>
              <w:bottom w:val="single" w:sz="4" w:space="0" w:color="auto"/>
              <w:right w:val="single" w:sz="4" w:space="0" w:color="auto"/>
            </w:tcBorders>
            <w:hideMark/>
          </w:tcPr>
          <w:p w14:paraId="5AD35CDE" w14:textId="77777777" w:rsidR="00407FB4" w:rsidRDefault="00407FB4">
            <w:pPr>
              <w:jc w:val="center"/>
              <w:rPr>
                <w:rFonts w:ascii="Times New Roman" w:eastAsia="Calibri" w:hAnsi="Times New Roman" w:cs="Times New Roman"/>
                <w:sz w:val="18"/>
                <w:szCs w:val="18"/>
              </w:rPr>
            </w:pPr>
            <w:r>
              <w:rPr>
                <w:rFonts w:eastAsia="Calibri"/>
                <w:sz w:val="18"/>
                <w:szCs w:val="18"/>
              </w:rPr>
              <w:t>100/598 (16,7 %)</w:t>
            </w:r>
          </w:p>
          <w:p w14:paraId="799E9426" w14:textId="77777777" w:rsidR="00407FB4" w:rsidRDefault="00407FB4">
            <w:pPr>
              <w:jc w:val="center"/>
              <w:rPr>
                <w:rFonts w:ascii="Times New Roman" w:eastAsia="Calibri" w:hAnsi="Times New Roman" w:cs="Times New Roman"/>
                <w:sz w:val="18"/>
                <w:szCs w:val="18"/>
              </w:rPr>
            </w:pPr>
            <w:r>
              <w:rPr>
                <w:rFonts w:eastAsia="Calibri"/>
                <w:sz w:val="18"/>
                <w:szCs w:val="18"/>
              </w:rPr>
              <w:t>45/436 (10,3 %)</w:t>
            </w:r>
          </w:p>
          <w:p w14:paraId="53A67E66" w14:textId="77777777" w:rsidR="00407FB4" w:rsidRDefault="00407FB4">
            <w:pPr>
              <w:jc w:val="right"/>
              <w:rPr>
                <w:rFonts w:ascii="Times New Roman" w:eastAsia="Calibri" w:hAnsi="Times New Roman" w:cs="Times New Roman"/>
                <w:b/>
                <w:sz w:val="18"/>
                <w:szCs w:val="18"/>
              </w:rPr>
            </w:pPr>
            <w:r>
              <w:rPr>
                <w:rFonts w:eastAsia="Calibri"/>
                <w:b/>
                <w:sz w:val="18"/>
                <w:szCs w:val="18"/>
              </w:rPr>
              <w:t>145/1.034 (14,0 %)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4BEDFD" w14:textId="77777777" w:rsidR="00407FB4" w:rsidRDefault="00407FB4">
            <w:pPr>
              <w:rPr>
                <w:rFonts w:ascii="Times New Roman" w:eastAsia="Calibri" w:hAnsi="Times New Roman" w:cs="Times New Roman"/>
                <w:sz w:val="18"/>
                <w:szCs w:val="18"/>
              </w:rPr>
            </w:pPr>
          </w:p>
        </w:tc>
        <w:tc>
          <w:tcPr>
            <w:tcW w:w="745" w:type="pct"/>
            <w:tcBorders>
              <w:top w:val="single" w:sz="4" w:space="0" w:color="auto"/>
              <w:left w:val="single" w:sz="4" w:space="0" w:color="auto"/>
              <w:bottom w:val="single" w:sz="4" w:space="0" w:color="auto"/>
              <w:right w:val="single" w:sz="4" w:space="0" w:color="auto"/>
            </w:tcBorders>
            <w:hideMark/>
          </w:tcPr>
          <w:p w14:paraId="3CF5E212" w14:textId="77777777" w:rsidR="00407FB4" w:rsidRDefault="00407FB4">
            <w:pPr>
              <w:rPr>
                <w:rFonts w:ascii="Times New Roman" w:eastAsia="Calibri" w:hAnsi="Times New Roman" w:cs="Times New Roman"/>
                <w:sz w:val="18"/>
                <w:szCs w:val="18"/>
              </w:rPr>
            </w:pPr>
            <w:r>
              <w:rPr>
                <w:rFonts w:eastAsia="Calibri"/>
                <w:sz w:val="18"/>
                <w:szCs w:val="18"/>
              </w:rPr>
              <w:t>1,22 (0,89–1,66)</w:t>
            </w:r>
          </w:p>
          <w:p w14:paraId="3FEE9A3D" w14:textId="77777777" w:rsidR="00407FB4" w:rsidRDefault="00407FB4">
            <w:pPr>
              <w:rPr>
                <w:rFonts w:ascii="Times New Roman" w:eastAsia="Calibri" w:hAnsi="Times New Roman" w:cs="Times New Roman"/>
                <w:sz w:val="18"/>
                <w:szCs w:val="18"/>
              </w:rPr>
            </w:pPr>
            <w:r>
              <w:rPr>
                <w:rFonts w:eastAsia="Calibri"/>
                <w:sz w:val="18"/>
                <w:szCs w:val="18"/>
              </w:rPr>
              <w:t>1,12 (0,68–1,83)</w:t>
            </w:r>
          </w:p>
          <w:p w14:paraId="3F9FFDDC" w14:textId="77777777" w:rsidR="00407FB4" w:rsidRDefault="00407FB4">
            <w:pPr>
              <w:rPr>
                <w:rFonts w:ascii="Times New Roman" w:eastAsia="Calibri" w:hAnsi="Times New Roman" w:cs="Times New Roman"/>
                <w:b/>
                <w:sz w:val="18"/>
                <w:szCs w:val="18"/>
              </w:rPr>
            </w:pPr>
            <w:r>
              <w:rPr>
                <w:rFonts w:eastAsia="Calibri"/>
                <w:b/>
                <w:sz w:val="18"/>
                <w:szCs w:val="18"/>
              </w:rPr>
              <w:t>1,19 (0,91</w:t>
            </w:r>
            <w:r>
              <w:rPr>
                <w:rFonts w:eastAsia="Calibri"/>
                <w:b/>
                <w:sz w:val="18"/>
                <w:szCs w:val="18"/>
              </w:rPr>
              <w:noBreakHyphen/>
              <w:t>1,55)</w:t>
            </w:r>
          </w:p>
        </w:tc>
      </w:tr>
      <w:tr w:rsidR="00407FB4" w14:paraId="0720527B" w14:textId="77777777" w:rsidTr="00407FB4">
        <w:trPr>
          <w:trHeight w:val="275"/>
        </w:trPr>
        <w:tc>
          <w:tcPr>
            <w:tcW w:w="2763" w:type="pct"/>
            <w:gridSpan w:val="3"/>
            <w:tcBorders>
              <w:top w:val="single" w:sz="4" w:space="0" w:color="auto"/>
              <w:left w:val="single" w:sz="4" w:space="0" w:color="auto"/>
              <w:bottom w:val="single" w:sz="4" w:space="0" w:color="auto"/>
              <w:right w:val="single" w:sz="4" w:space="0" w:color="auto"/>
            </w:tcBorders>
            <w:hideMark/>
          </w:tcPr>
          <w:p w14:paraId="1F7A82A6" w14:textId="77777777" w:rsidR="00407FB4" w:rsidRDefault="00407FB4">
            <w:pPr>
              <w:rPr>
                <w:rFonts w:ascii="Times New Roman" w:eastAsia="Calibri" w:hAnsi="Times New Roman" w:cs="Times New Roman"/>
                <w:b/>
                <w:sz w:val="18"/>
                <w:szCs w:val="18"/>
              </w:rPr>
            </w:pPr>
            <w:r>
              <w:rPr>
                <w:rFonts w:eastAsia="Calibri"/>
                <w:b/>
                <w:sz w:val="18"/>
                <w:szCs w:val="18"/>
              </w:rPr>
              <w:t>Kun ilt (x</w:t>
            </w:r>
            <w:r>
              <w:rPr>
                <w:rFonts w:eastAsia="Calibri"/>
                <w:b/>
                <w:sz w:val="18"/>
                <w:szCs w:val="18"/>
                <w:vertAlign w:val="subscript"/>
              </w:rPr>
              <w:t>1</w:t>
            </w:r>
            <w:r>
              <w:rPr>
                <w:rFonts w:eastAsia="Calibri"/>
                <w:b/>
                <w:sz w:val="18"/>
                <w:szCs w:val="18"/>
                <w:vertAlign w:val="superscript"/>
              </w:rPr>
              <w:t>2</w:t>
            </w:r>
            <w:r>
              <w:rPr>
                <w:rFonts w:ascii="Times New Roman" w:eastAsia="Calibri" w:hAnsi="Times New Roman" w:cs="Times New Roman"/>
                <w:b/>
                <w:sz w:val="18"/>
                <w:szCs w:val="18"/>
              </w:rPr>
              <w:t>= 2,05; p=0,15)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F2E143" w14:textId="77777777" w:rsidR="00407FB4" w:rsidRDefault="00407FB4">
            <w:pPr>
              <w:rPr>
                <w:rFonts w:ascii="Times New Roman" w:eastAsia="Calibri" w:hAnsi="Times New Roman" w:cs="Times New Roman"/>
                <w:sz w:val="18"/>
                <w:szCs w:val="18"/>
              </w:rPr>
            </w:pPr>
          </w:p>
        </w:tc>
        <w:tc>
          <w:tcPr>
            <w:tcW w:w="745" w:type="pct"/>
            <w:tcBorders>
              <w:top w:val="single" w:sz="4" w:space="0" w:color="auto"/>
              <w:left w:val="single" w:sz="4" w:space="0" w:color="auto"/>
              <w:bottom w:val="single" w:sz="4" w:space="0" w:color="auto"/>
              <w:right w:val="single" w:sz="4" w:space="0" w:color="auto"/>
            </w:tcBorders>
          </w:tcPr>
          <w:p w14:paraId="35B8A1B4" w14:textId="77777777" w:rsidR="00407FB4" w:rsidRDefault="00407FB4">
            <w:pPr>
              <w:rPr>
                <w:rFonts w:ascii="Times New Roman" w:eastAsia="Calibri" w:hAnsi="Times New Roman" w:cs="Times New Roman"/>
                <w:sz w:val="18"/>
                <w:szCs w:val="18"/>
              </w:rPr>
            </w:pPr>
          </w:p>
        </w:tc>
      </w:tr>
      <w:tr w:rsidR="00407FB4" w14:paraId="5DB36E17" w14:textId="77777777" w:rsidTr="00407FB4">
        <w:trPr>
          <w:trHeight w:val="842"/>
        </w:trPr>
        <w:tc>
          <w:tcPr>
            <w:tcW w:w="1015" w:type="pct"/>
            <w:tcBorders>
              <w:top w:val="single" w:sz="4" w:space="0" w:color="auto"/>
              <w:left w:val="single" w:sz="4" w:space="0" w:color="auto"/>
              <w:bottom w:val="single" w:sz="4" w:space="0" w:color="auto"/>
              <w:right w:val="single" w:sz="4" w:space="0" w:color="auto"/>
            </w:tcBorders>
            <w:hideMark/>
          </w:tcPr>
          <w:p w14:paraId="7E08F539" w14:textId="77777777" w:rsidR="00407FB4" w:rsidRDefault="00407FB4">
            <w:pPr>
              <w:rPr>
                <w:rFonts w:ascii="Times New Roman" w:eastAsia="Calibri" w:hAnsi="Times New Roman" w:cs="Times New Roman"/>
                <w:sz w:val="18"/>
                <w:szCs w:val="18"/>
              </w:rPr>
            </w:pPr>
            <w:r>
              <w:rPr>
                <w:rFonts w:eastAsia="Calibri"/>
                <w:sz w:val="18"/>
                <w:szCs w:val="18"/>
              </w:rPr>
              <w:t>Tidligere sygdom</w:t>
            </w:r>
          </w:p>
          <w:p w14:paraId="38B482EB" w14:textId="77777777" w:rsidR="00407FB4" w:rsidRDefault="00407FB4">
            <w:pPr>
              <w:rPr>
                <w:rFonts w:ascii="Times New Roman" w:eastAsia="Calibri" w:hAnsi="Times New Roman" w:cs="Times New Roman"/>
                <w:sz w:val="18"/>
                <w:szCs w:val="18"/>
              </w:rPr>
            </w:pPr>
            <w:r>
              <w:rPr>
                <w:rFonts w:eastAsia="Calibri"/>
                <w:sz w:val="18"/>
                <w:szCs w:val="18"/>
              </w:rPr>
              <w:t>Ingen tidligere sygdom</w:t>
            </w:r>
          </w:p>
          <w:p w14:paraId="000F4AEA" w14:textId="77777777" w:rsidR="00407FB4" w:rsidRDefault="00407FB4">
            <w:pPr>
              <w:rPr>
                <w:rFonts w:ascii="Times New Roman" w:eastAsia="Calibri" w:hAnsi="Times New Roman" w:cs="Times New Roman"/>
                <w:b/>
                <w:sz w:val="18"/>
                <w:szCs w:val="18"/>
              </w:rPr>
            </w:pPr>
            <w:r>
              <w:rPr>
                <w:rFonts w:eastAsia="Calibri"/>
                <w:b/>
                <w:sz w:val="18"/>
                <w:szCs w:val="18"/>
              </w:rPr>
              <w:t>Subtotal</w:t>
            </w:r>
          </w:p>
        </w:tc>
        <w:tc>
          <w:tcPr>
            <w:tcW w:w="869" w:type="pct"/>
            <w:tcBorders>
              <w:top w:val="single" w:sz="4" w:space="0" w:color="auto"/>
              <w:left w:val="single" w:sz="4" w:space="0" w:color="auto"/>
              <w:bottom w:val="single" w:sz="4" w:space="0" w:color="auto"/>
              <w:right w:val="single" w:sz="4" w:space="0" w:color="auto"/>
            </w:tcBorders>
            <w:hideMark/>
          </w:tcPr>
          <w:p w14:paraId="65B9A8CE" w14:textId="77777777" w:rsidR="00407FB4" w:rsidRDefault="00407FB4">
            <w:pPr>
              <w:jc w:val="right"/>
              <w:rPr>
                <w:rFonts w:ascii="Times New Roman" w:eastAsia="Calibri" w:hAnsi="Times New Roman" w:cs="Times New Roman"/>
                <w:sz w:val="18"/>
                <w:szCs w:val="18"/>
              </w:rPr>
            </w:pPr>
            <w:r>
              <w:rPr>
                <w:rFonts w:ascii="Times New Roman" w:eastAsia="Calibri" w:hAnsi="Times New Roman" w:cs="Times New Roman"/>
                <w:sz w:val="18"/>
                <w:szCs w:val="18"/>
              </w:rPr>
              <w:t>221/702 (31,5 %)</w:t>
            </w:r>
          </w:p>
          <w:p w14:paraId="1E8DD0B7" w14:textId="77777777" w:rsidR="00407FB4" w:rsidRDefault="00407FB4">
            <w:pPr>
              <w:jc w:val="center"/>
              <w:rPr>
                <w:rFonts w:ascii="Times New Roman" w:eastAsia="Calibri" w:hAnsi="Times New Roman" w:cs="Times New Roman"/>
                <w:sz w:val="18"/>
                <w:szCs w:val="18"/>
              </w:rPr>
            </w:pPr>
            <w:r>
              <w:rPr>
                <w:rFonts w:eastAsia="Calibri"/>
                <w:sz w:val="18"/>
                <w:szCs w:val="18"/>
              </w:rPr>
              <w:t>77/577 (13,3 %)</w:t>
            </w:r>
          </w:p>
          <w:p w14:paraId="418CB07B" w14:textId="77777777" w:rsidR="00407FB4" w:rsidRDefault="00407FB4">
            <w:pPr>
              <w:jc w:val="center"/>
              <w:rPr>
                <w:rFonts w:ascii="Times New Roman" w:eastAsia="Calibri" w:hAnsi="Times New Roman" w:cs="Times New Roman"/>
                <w:sz w:val="18"/>
                <w:szCs w:val="18"/>
              </w:rPr>
            </w:pPr>
            <w:r>
              <w:rPr>
                <w:rFonts w:ascii="Times New Roman" w:eastAsia="Calibri" w:hAnsi="Times New Roman" w:cs="Times New Roman"/>
                <w:b/>
                <w:sz w:val="18"/>
                <w:szCs w:val="18"/>
              </w:rPr>
              <w:t>298/1.279 (23,3 %)</w:t>
            </w:r>
          </w:p>
        </w:tc>
        <w:tc>
          <w:tcPr>
            <w:tcW w:w="879" w:type="pct"/>
            <w:tcBorders>
              <w:top w:val="single" w:sz="4" w:space="0" w:color="auto"/>
              <w:left w:val="single" w:sz="4" w:space="0" w:color="auto"/>
              <w:bottom w:val="single" w:sz="4" w:space="0" w:color="auto"/>
              <w:right w:val="single" w:sz="4" w:space="0" w:color="auto"/>
            </w:tcBorders>
            <w:hideMark/>
          </w:tcPr>
          <w:p w14:paraId="4D5B3AC5" w14:textId="77777777" w:rsidR="00407FB4" w:rsidRDefault="00407FB4">
            <w:pPr>
              <w:jc w:val="right"/>
              <w:rPr>
                <w:rFonts w:ascii="Times New Roman" w:eastAsia="Calibri" w:hAnsi="Times New Roman" w:cs="Times New Roman"/>
                <w:sz w:val="18"/>
                <w:szCs w:val="18"/>
              </w:rPr>
            </w:pPr>
            <w:r>
              <w:rPr>
                <w:rFonts w:ascii="Times New Roman" w:eastAsia="Calibri" w:hAnsi="Times New Roman" w:cs="Times New Roman"/>
                <w:sz w:val="18"/>
                <w:szCs w:val="18"/>
              </w:rPr>
              <w:t>481/1.473 (32,7 %)</w:t>
            </w:r>
          </w:p>
          <w:p w14:paraId="3FEA7A79" w14:textId="77777777" w:rsidR="00407FB4" w:rsidRDefault="00407FB4">
            <w:pPr>
              <w:jc w:val="right"/>
              <w:rPr>
                <w:rFonts w:ascii="Times New Roman" w:eastAsia="Calibri" w:hAnsi="Times New Roman" w:cs="Times New Roman"/>
                <w:sz w:val="18"/>
                <w:szCs w:val="18"/>
              </w:rPr>
            </w:pPr>
            <w:r>
              <w:rPr>
                <w:rFonts w:eastAsia="Calibri"/>
                <w:sz w:val="18"/>
                <w:szCs w:val="18"/>
              </w:rPr>
              <w:t>201/1.131 (17,8 %)</w:t>
            </w:r>
          </w:p>
          <w:p w14:paraId="216944CF" w14:textId="77777777" w:rsidR="00407FB4" w:rsidRDefault="00407FB4">
            <w:pPr>
              <w:jc w:val="right"/>
              <w:rPr>
                <w:rFonts w:ascii="Times New Roman" w:eastAsia="Calibri" w:hAnsi="Times New Roman" w:cs="Times New Roman"/>
                <w:b/>
                <w:sz w:val="18"/>
                <w:szCs w:val="18"/>
              </w:rPr>
            </w:pPr>
            <w:r>
              <w:rPr>
                <w:rFonts w:eastAsia="Calibri"/>
                <w:b/>
                <w:sz w:val="18"/>
                <w:szCs w:val="18"/>
              </w:rPr>
              <w:t>682/2.604 (26,2 %)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816C4C" w14:textId="77777777" w:rsidR="00407FB4" w:rsidRDefault="00407FB4">
            <w:pPr>
              <w:rPr>
                <w:rFonts w:ascii="Times New Roman" w:eastAsia="Calibri" w:hAnsi="Times New Roman" w:cs="Times New Roman"/>
                <w:sz w:val="18"/>
                <w:szCs w:val="18"/>
              </w:rPr>
            </w:pPr>
          </w:p>
        </w:tc>
        <w:tc>
          <w:tcPr>
            <w:tcW w:w="745" w:type="pct"/>
            <w:tcBorders>
              <w:top w:val="single" w:sz="4" w:space="0" w:color="auto"/>
              <w:left w:val="single" w:sz="4" w:space="0" w:color="auto"/>
              <w:bottom w:val="single" w:sz="4" w:space="0" w:color="auto"/>
              <w:right w:val="single" w:sz="4" w:space="0" w:color="auto"/>
            </w:tcBorders>
            <w:hideMark/>
          </w:tcPr>
          <w:p w14:paraId="26249B2B" w14:textId="77777777" w:rsidR="00407FB4" w:rsidRDefault="00407FB4">
            <w:pPr>
              <w:rPr>
                <w:rFonts w:ascii="Times New Roman" w:eastAsia="Calibri" w:hAnsi="Times New Roman" w:cs="Times New Roman"/>
                <w:sz w:val="18"/>
                <w:szCs w:val="18"/>
              </w:rPr>
            </w:pPr>
            <w:r>
              <w:rPr>
                <w:rFonts w:eastAsia="Calibri"/>
                <w:sz w:val="18"/>
                <w:szCs w:val="18"/>
              </w:rPr>
              <w:t>0,88 (0,75–1,03)</w:t>
            </w:r>
          </w:p>
          <w:p w14:paraId="65618840" w14:textId="77777777" w:rsidR="00407FB4" w:rsidRDefault="00407FB4">
            <w:pPr>
              <w:rPr>
                <w:rFonts w:ascii="Times New Roman" w:eastAsia="Calibri" w:hAnsi="Times New Roman" w:cs="Times New Roman"/>
                <w:sz w:val="18"/>
                <w:szCs w:val="18"/>
              </w:rPr>
            </w:pPr>
            <w:r>
              <w:rPr>
                <w:rFonts w:eastAsia="Calibri"/>
                <w:sz w:val="18"/>
                <w:szCs w:val="18"/>
              </w:rPr>
              <w:t>0,70 (0,54–0,91)</w:t>
            </w:r>
          </w:p>
          <w:p w14:paraId="69B4F1F7" w14:textId="77777777" w:rsidR="00407FB4" w:rsidRDefault="00407FB4">
            <w:pPr>
              <w:rPr>
                <w:rFonts w:ascii="Times New Roman" w:eastAsia="Calibri" w:hAnsi="Times New Roman" w:cs="Times New Roman"/>
                <w:b/>
                <w:sz w:val="18"/>
                <w:szCs w:val="18"/>
              </w:rPr>
            </w:pPr>
            <w:r>
              <w:rPr>
                <w:rFonts w:eastAsia="Calibri"/>
                <w:b/>
                <w:sz w:val="18"/>
                <w:szCs w:val="18"/>
              </w:rPr>
              <w:t>0,82 (0,72</w:t>
            </w:r>
            <w:r>
              <w:rPr>
                <w:rFonts w:eastAsia="Calibri"/>
                <w:b/>
                <w:sz w:val="18"/>
                <w:szCs w:val="18"/>
              </w:rPr>
              <w:noBreakHyphen/>
              <w:t>0,94)</w:t>
            </w:r>
          </w:p>
        </w:tc>
      </w:tr>
      <w:tr w:rsidR="00407FB4" w14:paraId="5276984F" w14:textId="77777777" w:rsidTr="00407FB4">
        <w:trPr>
          <w:trHeight w:val="275"/>
        </w:trPr>
        <w:tc>
          <w:tcPr>
            <w:tcW w:w="2763" w:type="pct"/>
            <w:gridSpan w:val="3"/>
            <w:tcBorders>
              <w:top w:val="single" w:sz="4" w:space="0" w:color="auto"/>
              <w:left w:val="single" w:sz="4" w:space="0" w:color="auto"/>
              <w:bottom w:val="single" w:sz="4" w:space="0" w:color="auto"/>
              <w:right w:val="single" w:sz="4" w:space="0" w:color="auto"/>
            </w:tcBorders>
            <w:hideMark/>
          </w:tcPr>
          <w:p w14:paraId="47934EA2" w14:textId="77777777" w:rsidR="00407FB4" w:rsidRDefault="00407FB4">
            <w:pPr>
              <w:rPr>
                <w:rFonts w:ascii="Times New Roman" w:eastAsia="Calibri" w:hAnsi="Times New Roman" w:cs="Times New Roman"/>
                <w:b/>
                <w:sz w:val="18"/>
                <w:szCs w:val="18"/>
              </w:rPr>
            </w:pPr>
            <w:r>
              <w:rPr>
                <w:rFonts w:eastAsia="Calibri"/>
                <w:b/>
                <w:sz w:val="18"/>
                <w:szCs w:val="18"/>
              </w:rPr>
              <w:t>Mekanisk ventilation (x</w:t>
            </w:r>
            <w:r>
              <w:rPr>
                <w:rFonts w:eastAsia="Calibri"/>
                <w:b/>
                <w:sz w:val="18"/>
                <w:szCs w:val="18"/>
                <w:vertAlign w:val="subscript"/>
              </w:rPr>
              <w:t>1</w:t>
            </w:r>
            <w:r>
              <w:rPr>
                <w:rFonts w:eastAsia="Calibri"/>
                <w:b/>
                <w:sz w:val="18"/>
                <w:szCs w:val="18"/>
                <w:vertAlign w:val="superscript"/>
              </w:rPr>
              <w:t>2</w:t>
            </w:r>
            <w:r>
              <w:rPr>
                <w:rFonts w:ascii="Times New Roman" w:eastAsia="Calibri" w:hAnsi="Times New Roman" w:cs="Times New Roman"/>
                <w:b/>
                <w:sz w:val="18"/>
                <w:szCs w:val="18"/>
              </w:rPr>
              <w:t>= 1,52; p=0,22)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3C745D" w14:textId="77777777" w:rsidR="00407FB4" w:rsidRDefault="00407FB4">
            <w:pPr>
              <w:rPr>
                <w:rFonts w:ascii="Times New Roman" w:eastAsia="Calibri" w:hAnsi="Times New Roman" w:cs="Times New Roman"/>
                <w:sz w:val="18"/>
                <w:szCs w:val="18"/>
              </w:rPr>
            </w:pPr>
          </w:p>
        </w:tc>
        <w:tc>
          <w:tcPr>
            <w:tcW w:w="745" w:type="pct"/>
            <w:tcBorders>
              <w:top w:val="single" w:sz="4" w:space="0" w:color="auto"/>
              <w:left w:val="single" w:sz="4" w:space="0" w:color="auto"/>
              <w:bottom w:val="single" w:sz="4" w:space="0" w:color="auto"/>
              <w:right w:val="single" w:sz="4" w:space="0" w:color="auto"/>
            </w:tcBorders>
          </w:tcPr>
          <w:p w14:paraId="1F4919FC" w14:textId="77777777" w:rsidR="00407FB4" w:rsidRDefault="00407FB4">
            <w:pPr>
              <w:rPr>
                <w:rFonts w:ascii="Times New Roman" w:eastAsia="Calibri" w:hAnsi="Times New Roman" w:cs="Times New Roman"/>
                <w:sz w:val="18"/>
                <w:szCs w:val="18"/>
              </w:rPr>
            </w:pPr>
          </w:p>
        </w:tc>
      </w:tr>
      <w:tr w:rsidR="00407FB4" w14:paraId="6ABE2296" w14:textId="77777777" w:rsidTr="00407FB4">
        <w:trPr>
          <w:trHeight w:val="833"/>
        </w:trPr>
        <w:tc>
          <w:tcPr>
            <w:tcW w:w="1015" w:type="pct"/>
            <w:tcBorders>
              <w:top w:val="single" w:sz="4" w:space="0" w:color="auto"/>
              <w:left w:val="single" w:sz="4" w:space="0" w:color="auto"/>
              <w:bottom w:val="single" w:sz="4" w:space="0" w:color="auto"/>
              <w:right w:val="single" w:sz="4" w:space="0" w:color="auto"/>
            </w:tcBorders>
            <w:hideMark/>
          </w:tcPr>
          <w:p w14:paraId="2ABDFEA5" w14:textId="77777777" w:rsidR="00407FB4" w:rsidRDefault="00407FB4">
            <w:pPr>
              <w:rPr>
                <w:rFonts w:ascii="Times New Roman" w:eastAsia="Calibri" w:hAnsi="Times New Roman" w:cs="Times New Roman"/>
                <w:sz w:val="18"/>
                <w:szCs w:val="18"/>
              </w:rPr>
            </w:pPr>
            <w:r>
              <w:rPr>
                <w:rFonts w:eastAsia="Calibri"/>
                <w:sz w:val="18"/>
                <w:szCs w:val="18"/>
              </w:rPr>
              <w:t>Tidligere sygdom</w:t>
            </w:r>
          </w:p>
          <w:p w14:paraId="55DEC1A7" w14:textId="77777777" w:rsidR="00407FB4" w:rsidRDefault="00407FB4">
            <w:pPr>
              <w:rPr>
                <w:rFonts w:ascii="Times New Roman" w:eastAsia="Calibri" w:hAnsi="Times New Roman" w:cs="Times New Roman"/>
                <w:sz w:val="18"/>
                <w:szCs w:val="18"/>
              </w:rPr>
            </w:pPr>
            <w:r>
              <w:rPr>
                <w:rFonts w:eastAsia="Calibri"/>
                <w:sz w:val="18"/>
                <w:szCs w:val="18"/>
              </w:rPr>
              <w:t>Ingen tidligere sygdom</w:t>
            </w:r>
          </w:p>
          <w:p w14:paraId="5DB808F8" w14:textId="77777777" w:rsidR="00407FB4" w:rsidRDefault="00407FB4">
            <w:pPr>
              <w:rPr>
                <w:rFonts w:ascii="Times New Roman" w:eastAsia="Calibri" w:hAnsi="Times New Roman" w:cs="Times New Roman"/>
                <w:b/>
                <w:sz w:val="18"/>
                <w:szCs w:val="18"/>
              </w:rPr>
            </w:pPr>
            <w:r>
              <w:rPr>
                <w:rFonts w:eastAsia="Calibri"/>
                <w:b/>
                <w:sz w:val="18"/>
                <w:szCs w:val="18"/>
              </w:rPr>
              <w:t>Subtotal</w:t>
            </w:r>
          </w:p>
        </w:tc>
        <w:tc>
          <w:tcPr>
            <w:tcW w:w="869" w:type="pct"/>
            <w:tcBorders>
              <w:top w:val="single" w:sz="4" w:space="0" w:color="auto"/>
              <w:left w:val="single" w:sz="4" w:space="0" w:color="auto"/>
              <w:bottom w:val="single" w:sz="4" w:space="0" w:color="auto"/>
              <w:right w:val="single" w:sz="4" w:space="0" w:color="auto"/>
            </w:tcBorders>
            <w:hideMark/>
          </w:tcPr>
          <w:p w14:paraId="783D021C" w14:textId="77777777" w:rsidR="00407FB4" w:rsidRDefault="00407FB4">
            <w:pPr>
              <w:jc w:val="center"/>
              <w:rPr>
                <w:rFonts w:ascii="Times New Roman" w:eastAsia="Calibri" w:hAnsi="Times New Roman" w:cs="Times New Roman"/>
                <w:sz w:val="18"/>
                <w:szCs w:val="18"/>
              </w:rPr>
            </w:pPr>
            <w:r>
              <w:rPr>
                <w:rFonts w:ascii="Times New Roman" w:eastAsia="Calibri" w:hAnsi="Times New Roman" w:cs="Times New Roman"/>
                <w:sz w:val="18"/>
                <w:szCs w:val="18"/>
              </w:rPr>
              <w:t>51/159 (32,1 %)</w:t>
            </w:r>
          </w:p>
          <w:p w14:paraId="5786DB37" w14:textId="77777777" w:rsidR="00407FB4" w:rsidRDefault="00407FB4">
            <w:pPr>
              <w:jc w:val="center"/>
              <w:rPr>
                <w:rFonts w:ascii="Times New Roman" w:eastAsia="Calibri" w:hAnsi="Times New Roman" w:cs="Times New Roman"/>
                <w:sz w:val="18"/>
                <w:szCs w:val="18"/>
              </w:rPr>
            </w:pPr>
            <w:r>
              <w:rPr>
                <w:rFonts w:eastAsia="Calibri"/>
                <w:sz w:val="18"/>
                <w:szCs w:val="18"/>
              </w:rPr>
              <w:t>44/165 (26,7 %)</w:t>
            </w:r>
          </w:p>
          <w:p w14:paraId="6B94AE4F" w14:textId="77777777" w:rsidR="00407FB4" w:rsidRDefault="00407FB4">
            <w:pPr>
              <w:jc w:val="center"/>
              <w:rPr>
                <w:rFonts w:ascii="Times New Roman" w:eastAsia="Calibri" w:hAnsi="Times New Roman" w:cs="Times New Roman"/>
                <w:b/>
                <w:sz w:val="18"/>
                <w:szCs w:val="18"/>
              </w:rPr>
            </w:pPr>
            <w:r>
              <w:rPr>
                <w:rFonts w:eastAsia="Calibri"/>
                <w:b/>
                <w:sz w:val="18"/>
                <w:szCs w:val="18"/>
              </w:rPr>
              <w:t>95/324 (29,3 %)</w:t>
            </w:r>
          </w:p>
        </w:tc>
        <w:tc>
          <w:tcPr>
            <w:tcW w:w="879" w:type="pct"/>
            <w:tcBorders>
              <w:top w:val="single" w:sz="4" w:space="0" w:color="auto"/>
              <w:left w:val="single" w:sz="4" w:space="0" w:color="auto"/>
              <w:bottom w:val="single" w:sz="4" w:space="0" w:color="auto"/>
              <w:right w:val="single" w:sz="4" w:space="0" w:color="auto"/>
            </w:tcBorders>
            <w:hideMark/>
          </w:tcPr>
          <w:p w14:paraId="41F00B07" w14:textId="77777777" w:rsidR="00407FB4" w:rsidRDefault="00407FB4">
            <w:pPr>
              <w:jc w:val="center"/>
              <w:rPr>
                <w:rFonts w:ascii="Times New Roman" w:eastAsia="Calibri" w:hAnsi="Times New Roman" w:cs="Times New Roman"/>
                <w:sz w:val="18"/>
                <w:szCs w:val="18"/>
              </w:rPr>
            </w:pPr>
            <w:r>
              <w:rPr>
                <w:rFonts w:eastAsia="Calibri"/>
                <w:sz w:val="18"/>
                <w:szCs w:val="18"/>
              </w:rPr>
              <w:t>150/346 (43,4 %)</w:t>
            </w:r>
          </w:p>
          <w:p w14:paraId="30E3EEF9" w14:textId="77777777" w:rsidR="00407FB4" w:rsidRDefault="00407FB4">
            <w:pPr>
              <w:jc w:val="center"/>
              <w:rPr>
                <w:rFonts w:ascii="Times New Roman" w:eastAsia="Calibri" w:hAnsi="Times New Roman" w:cs="Times New Roman"/>
                <w:sz w:val="18"/>
                <w:szCs w:val="18"/>
              </w:rPr>
            </w:pPr>
            <w:r>
              <w:rPr>
                <w:rFonts w:eastAsia="Calibri"/>
                <w:sz w:val="18"/>
                <w:szCs w:val="18"/>
              </w:rPr>
              <w:t>133/337 (39,5 %)</w:t>
            </w:r>
          </w:p>
          <w:p w14:paraId="3353A1B9" w14:textId="77777777" w:rsidR="00407FB4" w:rsidRDefault="00407FB4">
            <w:pPr>
              <w:jc w:val="center"/>
              <w:rPr>
                <w:rFonts w:ascii="Times New Roman" w:eastAsia="Calibri" w:hAnsi="Times New Roman" w:cs="Times New Roman"/>
                <w:b/>
                <w:sz w:val="18"/>
                <w:szCs w:val="18"/>
              </w:rPr>
            </w:pPr>
            <w:r>
              <w:rPr>
                <w:rFonts w:eastAsia="Calibri"/>
                <w:b/>
                <w:sz w:val="18"/>
                <w:szCs w:val="18"/>
              </w:rPr>
              <w:t>283/683 (41,4 %)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6FF2D3" w14:textId="77777777" w:rsidR="00407FB4" w:rsidRDefault="00407FB4">
            <w:pPr>
              <w:rPr>
                <w:rFonts w:ascii="Times New Roman" w:eastAsia="Calibri" w:hAnsi="Times New Roman" w:cs="Times New Roman"/>
                <w:sz w:val="18"/>
                <w:szCs w:val="18"/>
              </w:rPr>
            </w:pPr>
          </w:p>
        </w:tc>
        <w:tc>
          <w:tcPr>
            <w:tcW w:w="745" w:type="pct"/>
            <w:tcBorders>
              <w:top w:val="single" w:sz="4" w:space="0" w:color="auto"/>
              <w:left w:val="single" w:sz="4" w:space="0" w:color="auto"/>
              <w:bottom w:val="single" w:sz="4" w:space="0" w:color="auto"/>
              <w:right w:val="single" w:sz="4" w:space="0" w:color="auto"/>
            </w:tcBorders>
            <w:hideMark/>
          </w:tcPr>
          <w:p w14:paraId="23C36078" w14:textId="77777777" w:rsidR="00407FB4" w:rsidRDefault="00407FB4">
            <w:pPr>
              <w:rPr>
                <w:rFonts w:ascii="Times New Roman" w:eastAsia="Calibri" w:hAnsi="Times New Roman" w:cs="Times New Roman"/>
                <w:sz w:val="18"/>
                <w:szCs w:val="18"/>
              </w:rPr>
            </w:pPr>
            <w:r>
              <w:rPr>
                <w:rFonts w:eastAsia="Calibri"/>
                <w:sz w:val="18"/>
                <w:szCs w:val="18"/>
              </w:rPr>
              <w:t>0,75 (0,54–1,02)</w:t>
            </w:r>
          </w:p>
          <w:p w14:paraId="1958B0F1" w14:textId="77777777" w:rsidR="00407FB4" w:rsidRDefault="00407FB4">
            <w:pPr>
              <w:rPr>
                <w:rFonts w:ascii="Times New Roman" w:eastAsia="Calibri" w:hAnsi="Times New Roman" w:cs="Times New Roman"/>
                <w:sz w:val="18"/>
                <w:szCs w:val="18"/>
              </w:rPr>
            </w:pPr>
            <w:r>
              <w:rPr>
                <w:rFonts w:eastAsia="Calibri"/>
                <w:sz w:val="18"/>
                <w:szCs w:val="18"/>
              </w:rPr>
              <w:t>0,56 (0,40–0,78)</w:t>
            </w:r>
          </w:p>
          <w:p w14:paraId="7A88BCC1" w14:textId="77777777" w:rsidR="00407FB4" w:rsidRDefault="00407FB4">
            <w:pPr>
              <w:rPr>
                <w:rFonts w:ascii="Times New Roman" w:eastAsia="Calibri" w:hAnsi="Times New Roman" w:cs="Times New Roman"/>
                <w:b/>
                <w:sz w:val="18"/>
                <w:szCs w:val="18"/>
              </w:rPr>
            </w:pPr>
            <w:r>
              <w:rPr>
                <w:rFonts w:eastAsia="Calibri"/>
                <w:b/>
                <w:sz w:val="18"/>
                <w:szCs w:val="18"/>
              </w:rPr>
              <w:t>0,64 (0,51-0,81)</w:t>
            </w:r>
          </w:p>
        </w:tc>
      </w:tr>
      <w:tr w:rsidR="00407FB4" w14:paraId="57B2C591" w14:textId="77777777" w:rsidTr="00407FB4">
        <w:tc>
          <w:tcPr>
            <w:tcW w:w="1015" w:type="pct"/>
            <w:tcBorders>
              <w:top w:val="single" w:sz="4" w:space="0" w:color="auto"/>
              <w:left w:val="single" w:sz="4" w:space="0" w:color="auto"/>
              <w:bottom w:val="single" w:sz="4" w:space="0" w:color="auto"/>
              <w:right w:val="single" w:sz="4" w:space="0" w:color="auto"/>
            </w:tcBorders>
          </w:tcPr>
          <w:p w14:paraId="1B41B2AE" w14:textId="77777777" w:rsidR="00407FB4" w:rsidRDefault="00407FB4">
            <w:pPr>
              <w:rPr>
                <w:rFonts w:ascii="Times New Roman" w:eastAsia="Calibri" w:hAnsi="Times New Roman" w:cs="Times New Roman"/>
                <w:b/>
                <w:sz w:val="18"/>
                <w:szCs w:val="18"/>
              </w:rPr>
            </w:pPr>
            <w:r>
              <w:rPr>
                <w:rFonts w:eastAsia="Calibri"/>
                <w:b/>
                <w:sz w:val="18"/>
                <w:szCs w:val="18"/>
              </w:rPr>
              <w:t>Alle deltagere</w:t>
            </w:r>
          </w:p>
          <w:p w14:paraId="42707D0D" w14:textId="77777777" w:rsidR="00407FB4" w:rsidRDefault="00407FB4">
            <w:pPr>
              <w:rPr>
                <w:rFonts w:ascii="Times New Roman" w:eastAsia="Calibri" w:hAnsi="Times New Roman" w:cs="Times New Roman"/>
                <w:b/>
                <w:sz w:val="18"/>
                <w:szCs w:val="18"/>
              </w:rPr>
            </w:pPr>
          </w:p>
          <w:p w14:paraId="707A2C45" w14:textId="77777777" w:rsidR="00407FB4" w:rsidRDefault="00407FB4">
            <w:pPr>
              <w:rPr>
                <w:rFonts w:ascii="Times New Roman" w:eastAsia="Calibri" w:hAnsi="Times New Roman" w:cs="Times New Roman"/>
                <w:b/>
                <w:sz w:val="18"/>
                <w:szCs w:val="18"/>
              </w:rPr>
            </w:pPr>
          </w:p>
          <w:p w14:paraId="1A013706" w14:textId="77777777" w:rsidR="00407FB4" w:rsidRDefault="00407FB4">
            <w:pPr>
              <w:rPr>
                <w:rFonts w:ascii="Times New Roman" w:eastAsia="Calibri" w:hAnsi="Times New Roman" w:cs="Times New Roman"/>
                <w:b/>
                <w:sz w:val="18"/>
                <w:szCs w:val="18"/>
              </w:rPr>
            </w:pPr>
          </w:p>
        </w:tc>
        <w:tc>
          <w:tcPr>
            <w:tcW w:w="869" w:type="pct"/>
            <w:tcBorders>
              <w:top w:val="single" w:sz="4" w:space="0" w:color="auto"/>
              <w:left w:val="single" w:sz="4" w:space="0" w:color="auto"/>
              <w:bottom w:val="single" w:sz="4" w:space="0" w:color="auto"/>
              <w:right w:val="single" w:sz="4" w:space="0" w:color="auto"/>
            </w:tcBorders>
            <w:hideMark/>
          </w:tcPr>
          <w:p w14:paraId="3BA8A0A5" w14:textId="77777777" w:rsidR="00407FB4" w:rsidRDefault="00407FB4">
            <w:pPr>
              <w:rPr>
                <w:rFonts w:ascii="Times New Roman" w:eastAsia="Calibri" w:hAnsi="Times New Roman" w:cs="Times New Roman"/>
                <w:b/>
                <w:sz w:val="18"/>
                <w:szCs w:val="18"/>
              </w:rPr>
            </w:pPr>
            <w:r>
              <w:rPr>
                <w:rFonts w:eastAsia="Calibri"/>
                <w:b/>
                <w:sz w:val="18"/>
                <w:szCs w:val="18"/>
              </w:rPr>
              <w:t>482/2.104 (22,9 %)</w:t>
            </w:r>
          </w:p>
        </w:tc>
        <w:tc>
          <w:tcPr>
            <w:tcW w:w="879" w:type="pct"/>
            <w:tcBorders>
              <w:top w:val="single" w:sz="4" w:space="0" w:color="auto"/>
              <w:left w:val="single" w:sz="4" w:space="0" w:color="auto"/>
              <w:bottom w:val="single" w:sz="4" w:space="0" w:color="auto"/>
              <w:right w:val="single" w:sz="4" w:space="0" w:color="auto"/>
            </w:tcBorders>
            <w:hideMark/>
          </w:tcPr>
          <w:p w14:paraId="4F27AE03" w14:textId="77777777" w:rsidR="00407FB4" w:rsidRDefault="00407FB4">
            <w:pPr>
              <w:rPr>
                <w:rFonts w:ascii="Times New Roman" w:eastAsia="Calibri" w:hAnsi="Times New Roman" w:cs="Times New Roman"/>
                <w:b/>
                <w:sz w:val="18"/>
                <w:szCs w:val="18"/>
              </w:rPr>
            </w:pPr>
            <w:r>
              <w:rPr>
                <w:rFonts w:eastAsia="Calibri"/>
                <w:b/>
                <w:sz w:val="18"/>
                <w:szCs w:val="18"/>
              </w:rPr>
              <w:t>1.110/4.321 (25,7 %)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4B7B49" w14:textId="77777777" w:rsidR="00407FB4" w:rsidRDefault="00407FB4">
            <w:pPr>
              <w:rPr>
                <w:rFonts w:ascii="Times New Roman" w:eastAsia="Calibri" w:hAnsi="Times New Roman" w:cs="Times New Roman"/>
                <w:sz w:val="18"/>
                <w:szCs w:val="18"/>
              </w:rPr>
            </w:pPr>
          </w:p>
        </w:tc>
        <w:tc>
          <w:tcPr>
            <w:tcW w:w="745" w:type="pct"/>
            <w:tcBorders>
              <w:top w:val="single" w:sz="4" w:space="0" w:color="auto"/>
              <w:left w:val="single" w:sz="4" w:space="0" w:color="auto"/>
              <w:bottom w:val="single" w:sz="4" w:space="0" w:color="auto"/>
              <w:right w:val="single" w:sz="4" w:space="0" w:color="auto"/>
            </w:tcBorders>
            <w:hideMark/>
          </w:tcPr>
          <w:p w14:paraId="2AC58353" w14:textId="77777777" w:rsidR="00407FB4" w:rsidRDefault="00407FB4">
            <w:pPr>
              <w:rPr>
                <w:rFonts w:ascii="Times New Roman" w:eastAsia="Calibri" w:hAnsi="Times New Roman" w:cs="Times New Roman"/>
                <w:b/>
                <w:sz w:val="18"/>
                <w:szCs w:val="18"/>
              </w:rPr>
            </w:pPr>
            <w:r>
              <w:rPr>
                <w:rFonts w:eastAsia="Calibri"/>
                <w:b/>
                <w:sz w:val="18"/>
                <w:szCs w:val="18"/>
              </w:rPr>
              <w:t>0,83 (0,75-0,93)</w:t>
            </w:r>
          </w:p>
          <w:p w14:paraId="764BDEE4" w14:textId="77777777" w:rsidR="00407FB4" w:rsidRDefault="00407FB4">
            <w:pPr>
              <w:rPr>
                <w:rFonts w:ascii="Times New Roman" w:eastAsia="Calibri" w:hAnsi="Times New Roman" w:cs="Times New Roman"/>
                <w:sz w:val="18"/>
                <w:szCs w:val="18"/>
              </w:rPr>
            </w:pPr>
            <w:r>
              <w:rPr>
                <w:rFonts w:eastAsia="Calibri"/>
                <w:b/>
                <w:sz w:val="18"/>
                <w:szCs w:val="18"/>
              </w:rPr>
              <w:t>p &lt;0.001</w:t>
            </w:r>
          </w:p>
        </w:tc>
      </w:tr>
      <w:tr w:rsidR="00407FB4" w14:paraId="19241912" w14:textId="77777777" w:rsidTr="00407FB4">
        <w:tc>
          <w:tcPr>
            <w:tcW w:w="3651" w:type="pct"/>
            <w:gridSpan w:val="4"/>
            <w:tcBorders>
              <w:top w:val="single" w:sz="4" w:space="0" w:color="auto"/>
              <w:left w:val="single" w:sz="4" w:space="0" w:color="auto"/>
              <w:bottom w:val="single" w:sz="4" w:space="0" w:color="auto"/>
              <w:right w:val="single" w:sz="4" w:space="0" w:color="auto"/>
            </w:tcBorders>
            <w:hideMark/>
          </w:tcPr>
          <w:p w14:paraId="00522585" w14:textId="77777777" w:rsidR="00407FB4" w:rsidRDefault="00407FB4">
            <w:pPr>
              <w:jc w:val="right"/>
              <w:rPr>
                <w:rFonts w:ascii="Times New Roman" w:eastAsia="Calibri" w:hAnsi="Times New Roman" w:cs="Times New Roman"/>
                <w:b/>
                <w:sz w:val="18"/>
                <w:szCs w:val="18"/>
              </w:rPr>
            </w:pPr>
            <w:r>
              <w:rPr>
                <w:rFonts w:eastAsia="Calibri"/>
                <w:b/>
                <w:sz w:val="18"/>
                <w:szCs w:val="18"/>
              </w:rPr>
              <w:t>Dexamethason</w:t>
            </w:r>
          </w:p>
          <w:p w14:paraId="6A760A9F" w14:textId="77777777" w:rsidR="00407FB4" w:rsidRDefault="00407FB4">
            <w:pPr>
              <w:jc w:val="right"/>
              <w:rPr>
                <w:rFonts w:ascii="Times New Roman" w:eastAsia="Calibri" w:hAnsi="Times New Roman" w:cs="Times New Roman"/>
                <w:b/>
                <w:sz w:val="18"/>
                <w:szCs w:val="18"/>
              </w:rPr>
            </w:pPr>
            <w:r>
              <w:rPr>
                <w:rFonts w:eastAsia="Calibri"/>
                <w:b/>
                <w:sz w:val="18"/>
                <w:szCs w:val="18"/>
              </w:rPr>
              <w:t>bedre</w:t>
            </w:r>
          </w:p>
          <w:p w14:paraId="4D827584" w14:textId="77777777" w:rsidR="00407FB4" w:rsidRDefault="00407FB4">
            <w:pPr>
              <w:jc w:val="center"/>
              <w:rPr>
                <w:rFonts w:ascii="Times New Roman" w:eastAsia="Calibri" w:hAnsi="Times New Roman" w:cs="Times New Roman"/>
                <w:b/>
                <w:sz w:val="18"/>
                <w:szCs w:val="18"/>
              </w:rPr>
            </w:pPr>
            <w:r>
              <w:rPr>
                <w:rFonts w:eastAsia="Calibri"/>
                <w:b/>
                <w:sz w:val="18"/>
                <w:szCs w:val="18"/>
              </w:rPr>
              <w:t xml:space="preserve">                                                                                                    </w:t>
            </w:r>
          </w:p>
        </w:tc>
        <w:tc>
          <w:tcPr>
            <w:tcW w:w="1349" w:type="pct"/>
            <w:gridSpan w:val="2"/>
            <w:tcBorders>
              <w:top w:val="single" w:sz="4" w:space="0" w:color="auto"/>
              <w:left w:val="single" w:sz="4" w:space="0" w:color="auto"/>
              <w:bottom w:val="single" w:sz="4" w:space="0" w:color="auto"/>
              <w:right w:val="single" w:sz="4" w:space="0" w:color="auto"/>
            </w:tcBorders>
          </w:tcPr>
          <w:p w14:paraId="20E32591" w14:textId="77777777" w:rsidR="00407FB4" w:rsidRDefault="00407FB4">
            <w:pPr>
              <w:rPr>
                <w:rFonts w:ascii="Times New Roman" w:eastAsia="Calibri" w:hAnsi="Times New Roman" w:cs="Times New Roman"/>
                <w:b/>
                <w:sz w:val="18"/>
                <w:szCs w:val="18"/>
              </w:rPr>
            </w:pPr>
            <w:r>
              <w:rPr>
                <w:rFonts w:eastAsia="Calibri"/>
                <w:b/>
                <w:sz w:val="18"/>
                <w:szCs w:val="18"/>
              </w:rPr>
              <w:t>Almindelig pleje</w:t>
            </w:r>
          </w:p>
          <w:p w14:paraId="4524F2A2" w14:textId="77777777" w:rsidR="00407FB4" w:rsidRDefault="00407FB4">
            <w:pPr>
              <w:rPr>
                <w:rFonts w:ascii="Times New Roman" w:eastAsia="Calibri" w:hAnsi="Times New Roman" w:cs="Times New Roman"/>
                <w:b/>
                <w:sz w:val="18"/>
                <w:szCs w:val="18"/>
              </w:rPr>
            </w:pPr>
            <w:r>
              <w:rPr>
                <w:rFonts w:eastAsia="Calibri"/>
                <w:b/>
                <w:sz w:val="18"/>
                <w:szCs w:val="18"/>
              </w:rPr>
              <w:t>bedre</w:t>
            </w:r>
          </w:p>
          <w:p w14:paraId="357D0B37" w14:textId="77777777" w:rsidR="00407FB4" w:rsidRDefault="00407FB4">
            <w:pPr>
              <w:rPr>
                <w:rFonts w:ascii="Times New Roman" w:eastAsia="Calibri" w:hAnsi="Times New Roman" w:cs="Times New Roman"/>
                <w:b/>
                <w:sz w:val="18"/>
                <w:szCs w:val="18"/>
              </w:rPr>
            </w:pPr>
          </w:p>
        </w:tc>
      </w:tr>
    </w:tbl>
    <w:p w14:paraId="18E28415" w14:textId="4CDBCE36" w:rsidR="00407FB4" w:rsidRDefault="00407FB4" w:rsidP="00407FB4">
      <w:pPr>
        <w:rPr>
          <w:sz w:val="22"/>
        </w:rPr>
      </w:pPr>
    </w:p>
    <w:p w14:paraId="2782BD58" w14:textId="5DA696A2" w:rsidR="00B70043" w:rsidRDefault="00B70043" w:rsidP="00407FB4">
      <w:pPr>
        <w:rPr>
          <w:sz w:val="22"/>
        </w:rPr>
      </w:pPr>
    </w:p>
    <w:p w14:paraId="5AEDB17F" w14:textId="6BBF3D82" w:rsidR="00B70043" w:rsidRDefault="00B70043" w:rsidP="00407FB4">
      <w:pPr>
        <w:rPr>
          <w:sz w:val="22"/>
        </w:rPr>
      </w:pPr>
    </w:p>
    <w:p w14:paraId="22A7A568" w14:textId="14813FF4" w:rsidR="00B70043" w:rsidRDefault="00B70043" w:rsidP="00407FB4">
      <w:pPr>
        <w:rPr>
          <w:sz w:val="22"/>
        </w:rPr>
      </w:pPr>
    </w:p>
    <w:p w14:paraId="3D7F3DD2" w14:textId="55737462" w:rsidR="00B70043" w:rsidRDefault="00B70043" w:rsidP="00407FB4">
      <w:pPr>
        <w:rPr>
          <w:sz w:val="22"/>
        </w:rPr>
      </w:pPr>
    </w:p>
    <w:p w14:paraId="4944BE4D" w14:textId="77777777" w:rsidR="00B70043" w:rsidRDefault="00B70043" w:rsidP="00407FB4">
      <w:pPr>
        <w:rPr>
          <w:sz w:val="22"/>
        </w:rPr>
      </w:pPr>
    </w:p>
    <w:p w14:paraId="3EA07DE8" w14:textId="77777777" w:rsidR="009260DE" w:rsidRPr="00C84483" w:rsidRDefault="009260DE" w:rsidP="009260DE">
      <w:pPr>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73AD0E2" w14:textId="77777777" w:rsidR="009F5802" w:rsidRPr="009F5802" w:rsidRDefault="009F5802" w:rsidP="009F5802">
      <w:pPr>
        <w:tabs>
          <w:tab w:val="left" w:pos="851"/>
        </w:tabs>
        <w:ind w:left="851"/>
        <w:rPr>
          <w:sz w:val="24"/>
          <w:szCs w:val="24"/>
        </w:rPr>
      </w:pPr>
    </w:p>
    <w:p w14:paraId="366C48B1" w14:textId="77777777" w:rsidR="009F5802" w:rsidRPr="009F5802" w:rsidRDefault="009F5802" w:rsidP="009F5802">
      <w:pPr>
        <w:tabs>
          <w:tab w:val="left" w:pos="851"/>
        </w:tabs>
        <w:ind w:left="851"/>
        <w:rPr>
          <w:sz w:val="24"/>
          <w:szCs w:val="24"/>
          <w:u w:val="single"/>
        </w:rPr>
      </w:pPr>
      <w:r w:rsidRPr="009F5802">
        <w:rPr>
          <w:sz w:val="24"/>
          <w:szCs w:val="24"/>
          <w:u w:val="single"/>
        </w:rPr>
        <w:t>Absorption</w:t>
      </w:r>
    </w:p>
    <w:p w14:paraId="732D8464" w14:textId="77777777" w:rsidR="009F5802" w:rsidRPr="009F5802" w:rsidRDefault="009F5802" w:rsidP="009F5802">
      <w:pPr>
        <w:tabs>
          <w:tab w:val="left" w:pos="851"/>
        </w:tabs>
        <w:ind w:left="851"/>
        <w:rPr>
          <w:sz w:val="24"/>
          <w:szCs w:val="24"/>
        </w:rPr>
      </w:pPr>
      <w:r w:rsidRPr="009F5802">
        <w:rPr>
          <w:sz w:val="24"/>
          <w:szCs w:val="24"/>
        </w:rPr>
        <w:t xml:space="preserve">Efter intravenøs injektion af </w:t>
      </w:r>
      <w:proofErr w:type="spellStart"/>
      <w:r w:rsidRPr="009F5802">
        <w:rPr>
          <w:sz w:val="24"/>
          <w:szCs w:val="24"/>
        </w:rPr>
        <w:t>dexamethasonphosphat</w:t>
      </w:r>
      <w:proofErr w:type="spellEnd"/>
      <w:r w:rsidRPr="009F5802">
        <w:rPr>
          <w:sz w:val="24"/>
          <w:szCs w:val="24"/>
        </w:rPr>
        <w:t xml:space="preserve"> sker hydrolyse af esteren meget hurtigt. Hos mennesker nås maksimal serumkoncentration af den frie alkohol-form af </w:t>
      </w:r>
      <w:proofErr w:type="spellStart"/>
      <w:r w:rsidRPr="009F5802">
        <w:rPr>
          <w:sz w:val="24"/>
          <w:szCs w:val="24"/>
        </w:rPr>
        <w:t>dexamethason</w:t>
      </w:r>
      <w:proofErr w:type="spellEnd"/>
      <w:r w:rsidRPr="009F5802">
        <w:rPr>
          <w:sz w:val="24"/>
          <w:szCs w:val="24"/>
        </w:rPr>
        <w:t xml:space="preserve"> senest 10 minutter efter injektion af esteren. I alt 90 % af </w:t>
      </w:r>
      <w:proofErr w:type="spellStart"/>
      <w:r w:rsidRPr="009F5802">
        <w:rPr>
          <w:sz w:val="24"/>
          <w:szCs w:val="24"/>
        </w:rPr>
        <w:t>dexamethasonphosphat</w:t>
      </w:r>
      <w:proofErr w:type="spellEnd"/>
      <w:r w:rsidRPr="009F5802">
        <w:rPr>
          <w:sz w:val="24"/>
          <w:szCs w:val="24"/>
        </w:rPr>
        <w:t xml:space="preserve"> omdannes til </w:t>
      </w:r>
      <w:proofErr w:type="gramStart"/>
      <w:r w:rsidRPr="009F5802">
        <w:rPr>
          <w:sz w:val="24"/>
          <w:szCs w:val="24"/>
        </w:rPr>
        <w:t>frit alkohol</w:t>
      </w:r>
      <w:proofErr w:type="gramEnd"/>
      <w:r w:rsidRPr="009F5802">
        <w:rPr>
          <w:sz w:val="24"/>
          <w:szCs w:val="24"/>
        </w:rPr>
        <w:t xml:space="preserve">. Hos patienter med et normalt blodkredsløb absorberes </w:t>
      </w:r>
      <w:proofErr w:type="spellStart"/>
      <w:r w:rsidRPr="009F5802">
        <w:rPr>
          <w:sz w:val="24"/>
          <w:szCs w:val="24"/>
        </w:rPr>
        <w:t>dexamethasonphosphat</w:t>
      </w:r>
      <w:proofErr w:type="spellEnd"/>
      <w:r w:rsidRPr="009F5802">
        <w:rPr>
          <w:sz w:val="24"/>
          <w:szCs w:val="24"/>
        </w:rPr>
        <w:t xml:space="preserve"> hurtigt og næsten fuldstændigt efter intramuskulær injektion. Maksimal serumkoncentration af </w:t>
      </w:r>
      <w:proofErr w:type="spellStart"/>
      <w:r w:rsidRPr="009F5802">
        <w:rPr>
          <w:sz w:val="24"/>
          <w:szCs w:val="24"/>
        </w:rPr>
        <w:t>dexamethason</w:t>
      </w:r>
      <w:proofErr w:type="spellEnd"/>
      <w:r w:rsidRPr="009F5802">
        <w:rPr>
          <w:sz w:val="24"/>
          <w:szCs w:val="24"/>
        </w:rPr>
        <w:t xml:space="preserve"> opnås 60 minutter efter intramuskulær administration.</w:t>
      </w:r>
    </w:p>
    <w:p w14:paraId="075472E8" w14:textId="77777777" w:rsidR="009F5802" w:rsidRPr="009F5802" w:rsidRDefault="009F5802" w:rsidP="009F5802">
      <w:pPr>
        <w:tabs>
          <w:tab w:val="left" w:pos="851"/>
        </w:tabs>
        <w:ind w:left="851"/>
        <w:rPr>
          <w:sz w:val="24"/>
          <w:szCs w:val="24"/>
        </w:rPr>
      </w:pPr>
    </w:p>
    <w:p w14:paraId="1F32569C" w14:textId="77777777" w:rsidR="009F5802" w:rsidRPr="009F5802" w:rsidRDefault="009F5802" w:rsidP="009F5802">
      <w:pPr>
        <w:tabs>
          <w:tab w:val="left" w:pos="851"/>
        </w:tabs>
        <w:ind w:left="851"/>
        <w:rPr>
          <w:sz w:val="24"/>
          <w:szCs w:val="24"/>
          <w:u w:val="single"/>
        </w:rPr>
      </w:pPr>
      <w:r w:rsidRPr="009F5802">
        <w:rPr>
          <w:sz w:val="24"/>
          <w:szCs w:val="24"/>
          <w:u w:val="single"/>
        </w:rPr>
        <w:t>Fordeling</w:t>
      </w:r>
    </w:p>
    <w:p w14:paraId="69315A2A" w14:textId="77777777" w:rsidR="009F5802" w:rsidRPr="009F5802" w:rsidRDefault="009F5802" w:rsidP="009F5802">
      <w:pPr>
        <w:tabs>
          <w:tab w:val="left" w:pos="851"/>
        </w:tabs>
        <w:ind w:left="851"/>
        <w:rPr>
          <w:sz w:val="24"/>
          <w:szCs w:val="24"/>
        </w:rPr>
      </w:pPr>
      <w:proofErr w:type="spellStart"/>
      <w:r w:rsidRPr="009F5802">
        <w:rPr>
          <w:sz w:val="24"/>
          <w:szCs w:val="24"/>
        </w:rPr>
        <w:t>Dexamethason</w:t>
      </w:r>
      <w:proofErr w:type="spellEnd"/>
      <w:r w:rsidRPr="009F5802">
        <w:rPr>
          <w:sz w:val="24"/>
          <w:szCs w:val="24"/>
        </w:rPr>
        <w:t xml:space="preserve"> er bundet til plasmaproteiner til 77 %, hovedsageligt til albumin. Distributionsvolumenet er ca. 0,75 l/kg.</w:t>
      </w:r>
    </w:p>
    <w:p w14:paraId="255CDFA4" w14:textId="77777777" w:rsidR="009F5802" w:rsidRPr="009F5802" w:rsidRDefault="009F5802" w:rsidP="009F5802">
      <w:pPr>
        <w:tabs>
          <w:tab w:val="left" w:pos="851"/>
        </w:tabs>
        <w:ind w:left="851"/>
        <w:rPr>
          <w:sz w:val="24"/>
          <w:szCs w:val="24"/>
        </w:rPr>
      </w:pPr>
    </w:p>
    <w:p w14:paraId="76FC5D02" w14:textId="77777777" w:rsidR="009F5802" w:rsidRPr="009F5802" w:rsidRDefault="009F5802" w:rsidP="009F5802">
      <w:pPr>
        <w:tabs>
          <w:tab w:val="left" w:pos="851"/>
        </w:tabs>
        <w:ind w:left="851"/>
        <w:rPr>
          <w:sz w:val="24"/>
          <w:szCs w:val="24"/>
          <w:u w:val="single"/>
        </w:rPr>
      </w:pPr>
      <w:r w:rsidRPr="009F5802">
        <w:rPr>
          <w:sz w:val="24"/>
          <w:szCs w:val="24"/>
          <w:u w:val="single"/>
        </w:rPr>
        <w:t>Elimination</w:t>
      </w:r>
    </w:p>
    <w:p w14:paraId="4A890C0A" w14:textId="77777777" w:rsidR="009F5802" w:rsidRPr="009F5802" w:rsidRDefault="009F5802" w:rsidP="009F5802">
      <w:pPr>
        <w:tabs>
          <w:tab w:val="left" w:pos="851"/>
        </w:tabs>
        <w:ind w:left="851"/>
        <w:rPr>
          <w:sz w:val="24"/>
          <w:szCs w:val="24"/>
        </w:rPr>
      </w:pPr>
      <w:proofErr w:type="spellStart"/>
      <w:r w:rsidRPr="009F5802">
        <w:rPr>
          <w:sz w:val="24"/>
          <w:szCs w:val="24"/>
        </w:rPr>
        <w:t>Dexamethasons</w:t>
      </w:r>
      <w:proofErr w:type="spellEnd"/>
      <w:r w:rsidRPr="009F5802">
        <w:rPr>
          <w:sz w:val="24"/>
          <w:szCs w:val="24"/>
        </w:rPr>
        <w:t xml:space="preserve"> plasmaeliminationshalveringstid er 3,5-4,5 timer. Halveringstiden for den antiinflammatoriske virkning er 36-54 timer. </w:t>
      </w:r>
      <w:proofErr w:type="spellStart"/>
      <w:r w:rsidRPr="009F5802">
        <w:rPr>
          <w:sz w:val="24"/>
          <w:szCs w:val="24"/>
        </w:rPr>
        <w:t>Dexamethason</w:t>
      </w:r>
      <w:proofErr w:type="spellEnd"/>
      <w:r w:rsidRPr="009F5802">
        <w:rPr>
          <w:sz w:val="24"/>
          <w:szCs w:val="24"/>
        </w:rPr>
        <w:t xml:space="preserve"> </w:t>
      </w:r>
      <w:proofErr w:type="spellStart"/>
      <w:r w:rsidRPr="009F5802">
        <w:rPr>
          <w:sz w:val="24"/>
          <w:szCs w:val="24"/>
        </w:rPr>
        <w:t>metaboliseres</w:t>
      </w:r>
      <w:proofErr w:type="spellEnd"/>
      <w:r w:rsidRPr="009F5802">
        <w:rPr>
          <w:sz w:val="24"/>
          <w:szCs w:val="24"/>
        </w:rPr>
        <w:t xml:space="preserve"> hovedsageligt i leveren, men også i nyrerne. </w:t>
      </w:r>
      <w:proofErr w:type="spellStart"/>
      <w:r w:rsidRPr="009F5802">
        <w:rPr>
          <w:sz w:val="24"/>
          <w:szCs w:val="24"/>
        </w:rPr>
        <w:t>Dexamethason</w:t>
      </w:r>
      <w:proofErr w:type="spellEnd"/>
      <w:r w:rsidRPr="009F5802">
        <w:rPr>
          <w:sz w:val="24"/>
          <w:szCs w:val="24"/>
        </w:rPr>
        <w:t xml:space="preserve"> og dets metabolitter udskilles i urinen. Efter oral administration udskilles ca. 30 % af den samlede dosis som uændret </w:t>
      </w:r>
      <w:proofErr w:type="spellStart"/>
      <w:r w:rsidRPr="009F5802">
        <w:rPr>
          <w:sz w:val="24"/>
          <w:szCs w:val="24"/>
        </w:rPr>
        <w:t>dexamethason</w:t>
      </w:r>
      <w:proofErr w:type="spellEnd"/>
      <w:r w:rsidRPr="009F5802">
        <w:rPr>
          <w:sz w:val="24"/>
          <w:szCs w:val="24"/>
        </w:rPr>
        <w:t xml:space="preserve"> i urinen.</w:t>
      </w:r>
    </w:p>
    <w:p w14:paraId="069FAE48" w14:textId="77777777" w:rsidR="009F5802" w:rsidRPr="009F5802" w:rsidRDefault="009F5802" w:rsidP="009F5802">
      <w:pPr>
        <w:tabs>
          <w:tab w:val="left" w:pos="851"/>
        </w:tabs>
        <w:ind w:left="851"/>
        <w:rPr>
          <w:sz w:val="24"/>
          <w:szCs w:val="24"/>
        </w:rPr>
      </w:pPr>
    </w:p>
    <w:p w14:paraId="36EDC10C" w14:textId="77777777" w:rsidR="009F5802" w:rsidRPr="009F5802" w:rsidRDefault="009F5802" w:rsidP="009F5802">
      <w:pPr>
        <w:tabs>
          <w:tab w:val="left" w:pos="851"/>
        </w:tabs>
        <w:ind w:left="851"/>
        <w:rPr>
          <w:sz w:val="24"/>
          <w:szCs w:val="24"/>
        </w:rPr>
      </w:pPr>
      <w:r w:rsidRPr="009F5802">
        <w:rPr>
          <w:sz w:val="24"/>
          <w:szCs w:val="24"/>
        </w:rPr>
        <w:t xml:space="preserve">Hos patienter med leversygdom er </w:t>
      </w:r>
      <w:proofErr w:type="spellStart"/>
      <w:r w:rsidRPr="009F5802">
        <w:rPr>
          <w:sz w:val="24"/>
          <w:szCs w:val="24"/>
        </w:rPr>
        <w:t>dexamethason-clearance</w:t>
      </w:r>
      <w:proofErr w:type="spellEnd"/>
      <w:r w:rsidRPr="009F5802">
        <w:rPr>
          <w:sz w:val="24"/>
          <w:szCs w:val="24"/>
        </w:rPr>
        <w:t xml:space="preserve"> nedsat på grund af nedsat metabolisme i leveren, omvendt er </w:t>
      </w:r>
      <w:proofErr w:type="spellStart"/>
      <w:r w:rsidRPr="009F5802">
        <w:rPr>
          <w:sz w:val="24"/>
          <w:szCs w:val="24"/>
        </w:rPr>
        <w:t>clearance</w:t>
      </w:r>
      <w:proofErr w:type="spellEnd"/>
      <w:r w:rsidRPr="009F5802">
        <w:rPr>
          <w:sz w:val="24"/>
          <w:szCs w:val="24"/>
        </w:rPr>
        <w:t xml:space="preserve"> forøget hos patienter med nyresvigt på grund af accelereret metabolisme.</w:t>
      </w:r>
    </w:p>
    <w:p w14:paraId="5A13A85F" w14:textId="77777777" w:rsidR="009F5802" w:rsidRPr="009F5802" w:rsidRDefault="009F5802" w:rsidP="009F5802">
      <w:pPr>
        <w:tabs>
          <w:tab w:val="left" w:pos="851"/>
        </w:tabs>
        <w:ind w:left="851"/>
        <w:rPr>
          <w:sz w:val="24"/>
          <w:szCs w:val="24"/>
        </w:rPr>
      </w:pPr>
    </w:p>
    <w:p w14:paraId="68AB1535"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5E84F1B3" w14:textId="77777777" w:rsidR="00695016" w:rsidRPr="00695016" w:rsidRDefault="00695016" w:rsidP="00695016">
      <w:pPr>
        <w:tabs>
          <w:tab w:val="left" w:pos="851"/>
        </w:tabs>
        <w:ind w:left="851"/>
        <w:rPr>
          <w:sz w:val="24"/>
          <w:szCs w:val="24"/>
        </w:rPr>
      </w:pPr>
    </w:p>
    <w:p w14:paraId="2D39543E" w14:textId="77777777" w:rsidR="00695016" w:rsidRPr="00695016" w:rsidRDefault="00695016" w:rsidP="00695016">
      <w:pPr>
        <w:tabs>
          <w:tab w:val="left" w:pos="851"/>
        </w:tabs>
        <w:ind w:left="851"/>
        <w:rPr>
          <w:sz w:val="24"/>
          <w:szCs w:val="24"/>
          <w:u w:val="single"/>
        </w:rPr>
      </w:pPr>
      <w:r w:rsidRPr="00695016">
        <w:rPr>
          <w:sz w:val="24"/>
          <w:szCs w:val="24"/>
          <w:u w:val="single"/>
        </w:rPr>
        <w:t>Akut toksicitet</w:t>
      </w:r>
    </w:p>
    <w:p w14:paraId="0B619DCD" w14:textId="77777777" w:rsidR="00695016" w:rsidRPr="00695016" w:rsidRDefault="00695016" w:rsidP="00695016">
      <w:pPr>
        <w:tabs>
          <w:tab w:val="left" w:pos="851"/>
        </w:tabs>
        <w:ind w:left="851"/>
        <w:rPr>
          <w:sz w:val="24"/>
          <w:szCs w:val="24"/>
        </w:rPr>
      </w:pPr>
      <w:r w:rsidRPr="00695016">
        <w:rPr>
          <w:sz w:val="24"/>
          <w:szCs w:val="24"/>
        </w:rPr>
        <w:t xml:space="preserve">LD50 for </w:t>
      </w:r>
      <w:proofErr w:type="spellStart"/>
      <w:r w:rsidRPr="00695016">
        <w:rPr>
          <w:sz w:val="24"/>
          <w:szCs w:val="24"/>
        </w:rPr>
        <w:t>dexamethason</w:t>
      </w:r>
      <w:proofErr w:type="spellEnd"/>
      <w:r w:rsidRPr="00695016">
        <w:rPr>
          <w:sz w:val="24"/>
          <w:szCs w:val="24"/>
        </w:rPr>
        <w:t xml:space="preserve"> efter en enkelt oral administration inden for de første 7 dage er 16 g/kg kropsvægt hos mus og 3 g/kg kropsvægt hos rotter. Efter en enkelt subkutan administration er LD50 mere end 700 mg/kg kropsvægt hos mus og omkring 120 mg/kg kropsvægt hos rotter inden for de første 7 dage. Ved observation over en periode på 21 dage skifter disse niveauer til lavere intervaller, hvilket tolkes som et resultat af alvorlig infektion forårsaget af hormonrelateret immunsuppression.</w:t>
      </w:r>
    </w:p>
    <w:p w14:paraId="3AEF7BB1" w14:textId="77777777" w:rsidR="00695016" w:rsidRPr="00695016" w:rsidRDefault="00695016" w:rsidP="00695016">
      <w:pPr>
        <w:tabs>
          <w:tab w:val="left" w:pos="851"/>
        </w:tabs>
        <w:ind w:left="851"/>
        <w:rPr>
          <w:sz w:val="24"/>
          <w:szCs w:val="24"/>
        </w:rPr>
      </w:pPr>
    </w:p>
    <w:p w14:paraId="10691450" w14:textId="77777777" w:rsidR="00695016" w:rsidRPr="00695016" w:rsidRDefault="00695016" w:rsidP="00695016">
      <w:pPr>
        <w:tabs>
          <w:tab w:val="left" w:pos="851"/>
        </w:tabs>
        <w:ind w:left="851"/>
        <w:rPr>
          <w:sz w:val="24"/>
          <w:szCs w:val="24"/>
          <w:u w:val="single"/>
        </w:rPr>
      </w:pPr>
      <w:r w:rsidRPr="00695016">
        <w:rPr>
          <w:sz w:val="24"/>
          <w:szCs w:val="24"/>
          <w:u w:val="single"/>
        </w:rPr>
        <w:t>Kronisk toksicitet</w:t>
      </w:r>
    </w:p>
    <w:p w14:paraId="2A3D00D4" w14:textId="77777777" w:rsidR="00695016" w:rsidRPr="00695016" w:rsidRDefault="00695016" w:rsidP="00695016">
      <w:pPr>
        <w:tabs>
          <w:tab w:val="left" w:pos="851"/>
        </w:tabs>
        <w:ind w:left="851"/>
        <w:rPr>
          <w:sz w:val="24"/>
          <w:szCs w:val="24"/>
        </w:rPr>
      </w:pPr>
      <w:r w:rsidRPr="00695016">
        <w:rPr>
          <w:sz w:val="24"/>
          <w:szCs w:val="24"/>
        </w:rPr>
        <w:t xml:space="preserve">Der er ikke påvist kronisk toksicitet hos mennesker og dyr. </w:t>
      </w:r>
      <w:proofErr w:type="spellStart"/>
      <w:r w:rsidRPr="00695016">
        <w:rPr>
          <w:sz w:val="24"/>
          <w:szCs w:val="24"/>
        </w:rPr>
        <w:t>Kortikoid</w:t>
      </w:r>
      <w:proofErr w:type="spellEnd"/>
      <w:r w:rsidRPr="00695016">
        <w:rPr>
          <w:sz w:val="24"/>
          <w:szCs w:val="24"/>
        </w:rPr>
        <w:t>-relaterede symptomer på forgiftning kendes ikke. Langvarig behandling med doser over 1,5 mg/dag forventes at forårsage væsentlige bivirkninger (se pkt. 4.8).</w:t>
      </w:r>
    </w:p>
    <w:p w14:paraId="01558E99" w14:textId="77777777" w:rsidR="00695016" w:rsidRPr="00695016" w:rsidRDefault="00695016" w:rsidP="00695016">
      <w:pPr>
        <w:tabs>
          <w:tab w:val="left" w:pos="851"/>
        </w:tabs>
        <w:ind w:left="851"/>
        <w:rPr>
          <w:sz w:val="24"/>
          <w:szCs w:val="24"/>
        </w:rPr>
      </w:pPr>
    </w:p>
    <w:p w14:paraId="4A4C454B" w14:textId="77777777" w:rsidR="00695016" w:rsidRPr="00695016" w:rsidRDefault="00695016" w:rsidP="00695016">
      <w:pPr>
        <w:tabs>
          <w:tab w:val="left" w:pos="851"/>
        </w:tabs>
        <w:ind w:left="851"/>
        <w:rPr>
          <w:sz w:val="24"/>
          <w:szCs w:val="24"/>
          <w:u w:val="single"/>
        </w:rPr>
      </w:pPr>
      <w:proofErr w:type="spellStart"/>
      <w:r w:rsidRPr="00695016">
        <w:rPr>
          <w:sz w:val="24"/>
          <w:szCs w:val="24"/>
          <w:u w:val="single"/>
        </w:rPr>
        <w:t>Mutagenese</w:t>
      </w:r>
      <w:proofErr w:type="spellEnd"/>
      <w:r w:rsidRPr="00695016">
        <w:rPr>
          <w:sz w:val="24"/>
          <w:szCs w:val="24"/>
          <w:u w:val="single"/>
        </w:rPr>
        <w:t xml:space="preserve"> og </w:t>
      </w:r>
      <w:proofErr w:type="spellStart"/>
      <w:r w:rsidRPr="00695016">
        <w:rPr>
          <w:sz w:val="24"/>
          <w:szCs w:val="24"/>
          <w:u w:val="single"/>
        </w:rPr>
        <w:t>karcinogent</w:t>
      </w:r>
      <w:proofErr w:type="spellEnd"/>
      <w:r w:rsidRPr="00695016">
        <w:rPr>
          <w:sz w:val="24"/>
          <w:szCs w:val="24"/>
          <w:u w:val="single"/>
        </w:rPr>
        <w:t xml:space="preserve"> potentiale</w:t>
      </w:r>
    </w:p>
    <w:p w14:paraId="6B0B338C" w14:textId="77777777" w:rsidR="00695016" w:rsidRPr="00695016" w:rsidRDefault="00695016" w:rsidP="00695016">
      <w:pPr>
        <w:tabs>
          <w:tab w:val="left" w:pos="851"/>
        </w:tabs>
        <w:ind w:left="851"/>
        <w:rPr>
          <w:sz w:val="24"/>
          <w:szCs w:val="24"/>
        </w:rPr>
      </w:pPr>
      <w:r w:rsidRPr="00695016">
        <w:rPr>
          <w:sz w:val="24"/>
          <w:szCs w:val="24"/>
        </w:rPr>
        <w:t xml:space="preserve">Tilgængelige fund for </w:t>
      </w:r>
      <w:proofErr w:type="spellStart"/>
      <w:r w:rsidRPr="00695016">
        <w:rPr>
          <w:sz w:val="24"/>
          <w:szCs w:val="24"/>
        </w:rPr>
        <w:t>glukokortikoider</w:t>
      </w:r>
      <w:proofErr w:type="spellEnd"/>
      <w:r w:rsidRPr="00695016">
        <w:rPr>
          <w:sz w:val="24"/>
          <w:szCs w:val="24"/>
        </w:rPr>
        <w:t xml:space="preserve"> har ikke påvist klinisk relevante genotoksiske egenskaber.</w:t>
      </w:r>
    </w:p>
    <w:p w14:paraId="27C57D58" w14:textId="77777777" w:rsidR="00695016" w:rsidRPr="00695016" w:rsidRDefault="00695016" w:rsidP="00695016">
      <w:pPr>
        <w:tabs>
          <w:tab w:val="left" w:pos="851"/>
        </w:tabs>
        <w:ind w:left="851"/>
        <w:rPr>
          <w:sz w:val="24"/>
          <w:szCs w:val="24"/>
        </w:rPr>
      </w:pPr>
    </w:p>
    <w:p w14:paraId="5E6659A1" w14:textId="77777777" w:rsidR="00695016" w:rsidRPr="00695016" w:rsidRDefault="00695016" w:rsidP="00695016">
      <w:pPr>
        <w:tabs>
          <w:tab w:val="left" w:pos="851"/>
        </w:tabs>
        <w:ind w:left="851"/>
        <w:rPr>
          <w:sz w:val="24"/>
          <w:szCs w:val="24"/>
          <w:u w:val="single"/>
        </w:rPr>
      </w:pPr>
      <w:r w:rsidRPr="00695016">
        <w:rPr>
          <w:sz w:val="24"/>
          <w:szCs w:val="24"/>
          <w:u w:val="single"/>
        </w:rPr>
        <w:t>Reproduktionstoksicitet</w:t>
      </w:r>
    </w:p>
    <w:p w14:paraId="17896C54" w14:textId="77777777" w:rsidR="00695016" w:rsidRPr="00695016" w:rsidRDefault="00695016" w:rsidP="00695016">
      <w:pPr>
        <w:tabs>
          <w:tab w:val="left" w:pos="851"/>
        </w:tabs>
        <w:ind w:left="851"/>
        <w:rPr>
          <w:sz w:val="24"/>
          <w:szCs w:val="24"/>
        </w:rPr>
      </w:pPr>
      <w:r w:rsidRPr="00695016">
        <w:rPr>
          <w:sz w:val="24"/>
          <w:szCs w:val="24"/>
        </w:rPr>
        <w:t>I dyrestudier blev der observeret ganespalte hos rotter, mus, hamstere, kaniner, hunde og primater; men ikke hos heste og får. I nogle tilfælde var disse afvigelser kombineret med defekter i centralnervesystemet og hjertet. Hos primater blev der observeret hjernepåvirkning efter eksponering. Desuden kan intrauterin vækst blive forsinket. Alle disse virkninger er observeret ved høje doser.</w:t>
      </w:r>
    </w:p>
    <w:p w14:paraId="3229C8A6" w14:textId="77777777" w:rsidR="009260DE" w:rsidRPr="00C84483" w:rsidRDefault="009260DE" w:rsidP="009260DE">
      <w:pPr>
        <w:tabs>
          <w:tab w:val="left" w:pos="851"/>
        </w:tabs>
        <w:ind w:left="851"/>
        <w:rPr>
          <w:sz w:val="24"/>
          <w:szCs w:val="24"/>
        </w:rPr>
      </w:pPr>
    </w:p>
    <w:p w14:paraId="08034693" w14:textId="77777777" w:rsidR="009260DE" w:rsidRPr="00C84483" w:rsidRDefault="009260DE" w:rsidP="009260DE">
      <w:pPr>
        <w:tabs>
          <w:tab w:val="left" w:pos="851"/>
        </w:tabs>
        <w:ind w:left="851"/>
        <w:rPr>
          <w:sz w:val="24"/>
          <w:szCs w:val="24"/>
        </w:rPr>
      </w:pPr>
    </w:p>
    <w:p w14:paraId="00B726B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D54B52A" w14:textId="77777777" w:rsidR="009260DE" w:rsidRPr="00BA09F1" w:rsidRDefault="009260DE" w:rsidP="009260DE">
      <w:pPr>
        <w:tabs>
          <w:tab w:val="left" w:pos="851"/>
        </w:tabs>
        <w:ind w:left="851"/>
        <w:rPr>
          <w:sz w:val="24"/>
          <w:szCs w:val="24"/>
        </w:rPr>
      </w:pPr>
    </w:p>
    <w:p w14:paraId="05B6C3B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10B3674" w14:textId="77777777" w:rsidR="007E2BDF" w:rsidRPr="007E2BDF" w:rsidRDefault="007E2BDF" w:rsidP="007E2BDF">
      <w:pPr>
        <w:tabs>
          <w:tab w:val="left" w:pos="851"/>
        </w:tabs>
        <w:ind w:left="851"/>
        <w:rPr>
          <w:sz w:val="24"/>
          <w:szCs w:val="24"/>
        </w:rPr>
      </w:pPr>
      <w:r w:rsidRPr="007E2BDF">
        <w:rPr>
          <w:sz w:val="24"/>
          <w:szCs w:val="24"/>
        </w:rPr>
        <w:t>Natriumcitrat</w:t>
      </w:r>
    </w:p>
    <w:p w14:paraId="6634DC13" w14:textId="77777777" w:rsidR="007E2BDF" w:rsidRPr="007E2BDF" w:rsidRDefault="007E2BDF" w:rsidP="007E2BDF">
      <w:pPr>
        <w:tabs>
          <w:tab w:val="left" w:pos="851"/>
        </w:tabs>
        <w:ind w:left="851"/>
        <w:rPr>
          <w:sz w:val="24"/>
          <w:szCs w:val="24"/>
        </w:rPr>
      </w:pPr>
      <w:proofErr w:type="spellStart"/>
      <w:r w:rsidRPr="007E2BDF">
        <w:rPr>
          <w:sz w:val="24"/>
          <w:szCs w:val="24"/>
        </w:rPr>
        <w:t>Hydroxypropylbetadex</w:t>
      </w:r>
      <w:proofErr w:type="spellEnd"/>
    </w:p>
    <w:p w14:paraId="14EBC03D" w14:textId="77777777" w:rsidR="007E2BDF" w:rsidRPr="007E2BDF" w:rsidRDefault="007E2BDF" w:rsidP="007E2BDF">
      <w:pPr>
        <w:tabs>
          <w:tab w:val="left" w:pos="851"/>
        </w:tabs>
        <w:ind w:left="851"/>
        <w:rPr>
          <w:sz w:val="24"/>
          <w:szCs w:val="24"/>
        </w:rPr>
      </w:pPr>
      <w:r w:rsidRPr="007E2BDF">
        <w:rPr>
          <w:sz w:val="24"/>
          <w:szCs w:val="24"/>
        </w:rPr>
        <w:t>Citronsyre, vandfri</w:t>
      </w:r>
    </w:p>
    <w:p w14:paraId="333A96E3" w14:textId="77777777" w:rsidR="007E2BDF" w:rsidRPr="007E2BDF" w:rsidRDefault="007E2BDF" w:rsidP="007E2BDF">
      <w:pPr>
        <w:tabs>
          <w:tab w:val="left" w:pos="851"/>
        </w:tabs>
        <w:ind w:left="851"/>
        <w:rPr>
          <w:sz w:val="24"/>
          <w:szCs w:val="24"/>
        </w:rPr>
      </w:pPr>
      <w:r w:rsidRPr="007E2BDF">
        <w:rPr>
          <w:sz w:val="24"/>
          <w:szCs w:val="24"/>
        </w:rPr>
        <w:t>Vand til injektionsvæsker</w:t>
      </w:r>
    </w:p>
    <w:p w14:paraId="4D700BD6" w14:textId="77777777" w:rsidR="009260DE" w:rsidRPr="00C84483" w:rsidRDefault="009260DE" w:rsidP="009260DE">
      <w:pPr>
        <w:tabs>
          <w:tab w:val="left" w:pos="851"/>
        </w:tabs>
        <w:ind w:left="851"/>
        <w:rPr>
          <w:sz w:val="24"/>
          <w:szCs w:val="24"/>
        </w:rPr>
      </w:pPr>
    </w:p>
    <w:p w14:paraId="5E82F33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9BC0F1A" w14:textId="77777777" w:rsidR="007E2BDF" w:rsidRPr="007E2BDF" w:rsidRDefault="007E2BDF" w:rsidP="007E2BDF">
      <w:pPr>
        <w:tabs>
          <w:tab w:val="left" w:pos="851"/>
        </w:tabs>
        <w:ind w:left="851"/>
        <w:rPr>
          <w:sz w:val="24"/>
          <w:szCs w:val="24"/>
        </w:rPr>
      </w:pPr>
      <w:r w:rsidRPr="007E2BDF">
        <w:rPr>
          <w:sz w:val="24"/>
          <w:szCs w:val="24"/>
        </w:rPr>
        <w:t xml:space="preserve">Der er blevet beskrevet forskellige typer af uforligeligheder for </w:t>
      </w:r>
      <w:proofErr w:type="spellStart"/>
      <w:r w:rsidRPr="007E2BDF">
        <w:rPr>
          <w:sz w:val="24"/>
          <w:szCs w:val="24"/>
        </w:rPr>
        <w:t>dexamethason</w:t>
      </w:r>
      <w:proofErr w:type="spellEnd"/>
      <w:r w:rsidRPr="007E2BDF">
        <w:rPr>
          <w:sz w:val="24"/>
          <w:szCs w:val="24"/>
        </w:rPr>
        <w:t xml:space="preserve"> og følgende lægemidler. </w:t>
      </w:r>
      <w:proofErr w:type="spellStart"/>
      <w:r w:rsidRPr="007E2BDF">
        <w:rPr>
          <w:sz w:val="24"/>
          <w:szCs w:val="24"/>
        </w:rPr>
        <w:t>Dexacur</w:t>
      </w:r>
      <w:proofErr w:type="spellEnd"/>
      <w:r w:rsidRPr="007E2BDF">
        <w:rPr>
          <w:sz w:val="24"/>
          <w:szCs w:val="24"/>
        </w:rPr>
        <w:t xml:space="preserve"> bør derfor ikke blandes med opløsninger, der indeholder følgende lægemidler:</w:t>
      </w:r>
    </w:p>
    <w:p w14:paraId="1E9C33C9"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Amikacin</w:t>
      </w:r>
      <w:proofErr w:type="spellEnd"/>
    </w:p>
    <w:p w14:paraId="697B699A"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Chlorpromazin</w:t>
      </w:r>
      <w:proofErr w:type="spellEnd"/>
    </w:p>
    <w:p w14:paraId="3E8F3301"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Daunorubicin</w:t>
      </w:r>
      <w:proofErr w:type="spellEnd"/>
    </w:p>
    <w:p w14:paraId="16A48316"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Diphenhydramin</w:t>
      </w:r>
      <w:proofErr w:type="spellEnd"/>
    </w:p>
    <w:p w14:paraId="40458EAD" w14:textId="77777777" w:rsidR="007E2BDF" w:rsidRPr="007E2BDF" w:rsidRDefault="007E2BDF" w:rsidP="007E2BDF">
      <w:pPr>
        <w:numPr>
          <w:ilvl w:val="0"/>
          <w:numId w:val="7"/>
        </w:numPr>
        <w:tabs>
          <w:tab w:val="left" w:pos="851"/>
        </w:tabs>
        <w:ind w:left="1134" w:hanging="283"/>
        <w:rPr>
          <w:sz w:val="24"/>
          <w:szCs w:val="24"/>
        </w:rPr>
      </w:pPr>
      <w:r w:rsidRPr="007E2BDF">
        <w:rPr>
          <w:sz w:val="24"/>
          <w:szCs w:val="24"/>
        </w:rPr>
        <w:t>Doxapram</w:t>
      </w:r>
    </w:p>
    <w:p w14:paraId="477F58B7"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Doxorubicin</w:t>
      </w:r>
      <w:proofErr w:type="spellEnd"/>
    </w:p>
    <w:p w14:paraId="7B7B4476" w14:textId="77777777" w:rsidR="007E2BDF" w:rsidRPr="007E2BDF" w:rsidRDefault="007E2BDF" w:rsidP="007E2BDF">
      <w:pPr>
        <w:numPr>
          <w:ilvl w:val="0"/>
          <w:numId w:val="7"/>
        </w:numPr>
        <w:tabs>
          <w:tab w:val="left" w:pos="851"/>
        </w:tabs>
        <w:ind w:left="1134" w:hanging="283"/>
        <w:rPr>
          <w:sz w:val="24"/>
          <w:szCs w:val="24"/>
        </w:rPr>
      </w:pPr>
      <w:r w:rsidRPr="007E2BDF">
        <w:rPr>
          <w:sz w:val="24"/>
          <w:szCs w:val="24"/>
        </w:rPr>
        <w:t>Galliumnitrat</w:t>
      </w:r>
    </w:p>
    <w:p w14:paraId="42FE56DB"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Glycopyrroniumbromid</w:t>
      </w:r>
      <w:proofErr w:type="spellEnd"/>
    </w:p>
    <w:p w14:paraId="3256F04B"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Hydromorphon</w:t>
      </w:r>
      <w:proofErr w:type="spellEnd"/>
    </w:p>
    <w:p w14:paraId="4C4D33D4"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Idarubicin</w:t>
      </w:r>
      <w:proofErr w:type="spellEnd"/>
    </w:p>
    <w:p w14:paraId="48CA29E7"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Lorazepam</w:t>
      </w:r>
      <w:proofErr w:type="spellEnd"/>
    </w:p>
    <w:p w14:paraId="0EB64D40"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Metaraminol</w:t>
      </w:r>
      <w:proofErr w:type="spellEnd"/>
    </w:p>
    <w:p w14:paraId="02BE4AEC"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Ondansetron</w:t>
      </w:r>
      <w:proofErr w:type="spellEnd"/>
    </w:p>
    <w:p w14:paraId="594CFBD3"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Prochlorperazin</w:t>
      </w:r>
      <w:proofErr w:type="spellEnd"/>
    </w:p>
    <w:p w14:paraId="7965C16A" w14:textId="77777777" w:rsidR="007E2BDF" w:rsidRPr="007E2BDF" w:rsidRDefault="007E2BDF" w:rsidP="007E2BDF">
      <w:pPr>
        <w:numPr>
          <w:ilvl w:val="0"/>
          <w:numId w:val="7"/>
        </w:numPr>
        <w:tabs>
          <w:tab w:val="left" w:pos="851"/>
        </w:tabs>
        <w:ind w:left="1134" w:hanging="283"/>
        <w:rPr>
          <w:sz w:val="24"/>
          <w:szCs w:val="24"/>
        </w:rPr>
      </w:pPr>
      <w:proofErr w:type="spellStart"/>
      <w:r w:rsidRPr="007E2BDF">
        <w:rPr>
          <w:sz w:val="24"/>
          <w:szCs w:val="24"/>
        </w:rPr>
        <w:t>Vancomycin</w:t>
      </w:r>
      <w:proofErr w:type="spellEnd"/>
    </w:p>
    <w:p w14:paraId="299B4E4A" w14:textId="77777777" w:rsidR="009260DE" w:rsidRPr="00C84483" w:rsidRDefault="009260DE" w:rsidP="007E2BDF">
      <w:pPr>
        <w:tabs>
          <w:tab w:val="left" w:pos="851"/>
        </w:tabs>
        <w:ind w:left="1134" w:hanging="283"/>
        <w:rPr>
          <w:sz w:val="24"/>
          <w:szCs w:val="24"/>
        </w:rPr>
      </w:pPr>
    </w:p>
    <w:p w14:paraId="46173FD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18049EF" w14:textId="76FEAF48" w:rsidR="00160555" w:rsidRPr="00160555" w:rsidRDefault="007C52B0" w:rsidP="00160555">
      <w:pPr>
        <w:tabs>
          <w:tab w:val="left" w:pos="851"/>
        </w:tabs>
        <w:ind w:left="851"/>
        <w:rPr>
          <w:sz w:val="24"/>
          <w:szCs w:val="24"/>
        </w:rPr>
      </w:pPr>
      <w:r>
        <w:rPr>
          <w:sz w:val="24"/>
          <w:szCs w:val="24"/>
        </w:rPr>
        <w:t>3</w:t>
      </w:r>
      <w:r w:rsidR="00160555" w:rsidRPr="00160555">
        <w:rPr>
          <w:sz w:val="24"/>
          <w:szCs w:val="24"/>
        </w:rPr>
        <w:t> </w:t>
      </w:r>
      <w:r w:rsidR="00566F7E">
        <w:rPr>
          <w:sz w:val="24"/>
          <w:szCs w:val="24"/>
        </w:rPr>
        <w:t>år</w:t>
      </w:r>
      <w:r w:rsidR="00160555">
        <w:rPr>
          <w:sz w:val="24"/>
          <w:szCs w:val="24"/>
        </w:rPr>
        <w:t>.</w:t>
      </w:r>
    </w:p>
    <w:p w14:paraId="71A13EA5" w14:textId="77777777" w:rsidR="00160555" w:rsidRPr="00160555" w:rsidRDefault="00160555" w:rsidP="00160555">
      <w:pPr>
        <w:tabs>
          <w:tab w:val="left" w:pos="851"/>
        </w:tabs>
        <w:ind w:left="851"/>
        <w:rPr>
          <w:sz w:val="24"/>
          <w:szCs w:val="24"/>
        </w:rPr>
      </w:pPr>
    </w:p>
    <w:p w14:paraId="2E062791" w14:textId="77777777" w:rsidR="00E3258E" w:rsidRPr="00E3258E" w:rsidRDefault="00160555" w:rsidP="00160555">
      <w:pPr>
        <w:tabs>
          <w:tab w:val="left" w:pos="851"/>
        </w:tabs>
        <w:ind w:left="851"/>
        <w:rPr>
          <w:sz w:val="24"/>
          <w:szCs w:val="24"/>
          <w:u w:val="single"/>
        </w:rPr>
      </w:pPr>
      <w:r w:rsidRPr="00E3258E">
        <w:rPr>
          <w:sz w:val="24"/>
          <w:szCs w:val="24"/>
          <w:u w:val="single"/>
        </w:rPr>
        <w:t>Efter fortynding</w:t>
      </w:r>
    </w:p>
    <w:p w14:paraId="51ED4490" w14:textId="68D77DE8" w:rsidR="00160555" w:rsidRPr="00160555" w:rsidRDefault="00160555" w:rsidP="00160555">
      <w:pPr>
        <w:tabs>
          <w:tab w:val="left" w:pos="851"/>
        </w:tabs>
        <w:ind w:left="851"/>
        <w:rPr>
          <w:sz w:val="24"/>
          <w:szCs w:val="24"/>
        </w:rPr>
      </w:pPr>
      <w:r w:rsidRPr="00160555">
        <w:rPr>
          <w:sz w:val="24"/>
          <w:szCs w:val="24"/>
        </w:rPr>
        <w:t>Kemisk og fysisk stabilitet ved brug er påvist i 48 timer ved 25 °C for det fortyndede præparat i forskellige opløsninger, se pkt. 6.6.</w:t>
      </w:r>
    </w:p>
    <w:p w14:paraId="166C35A3" w14:textId="77777777" w:rsidR="00160555" w:rsidRPr="00160555" w:rsidRDefault="00160555" w:rsidP="00160555">
      <w:pPr>
        <w:tabs>
          <w:tab w:val="left" w:pos="851"/>
        </w:tabs>
        <w:ind w:left="851"/>
        <w:rPr>
          <w:sz w:val="24"/>
          <w:szCs w:val="24"/>
        </w:rPr>
      </w:pPr>
    </w:p>
    <w:p w14:paraId="50526237" w14:textId="77777777" w:rsidR="00160555" w:rsidRPr="00160555" w:rsidRDefault="00160555" w:rsidP="00160555">
      <w:pPr>
        <w:tabs>
          <w:tab w:val="left" w:pos="851"/>
        </w:tabs>
        <w:ind w:left="851"/>
        <w:rPr>
          <w:sz w:val="24"/>
          <w:szCs w:val="24"/>
        </w:rPr>
      </w:pPr>
      <w:r w:rsidRPr="00160555">
        <w:rPr>
          <w:sz w:val="24"/>
          <w:szCs w:val="24"/>
        </w:rPr>
        <w:t>Ud fra et mikrobiologisk synspunkt skal præparatet anvendes straks, medmindre fortyndingsmetoden udelukker risikoen for mikrobiel kontaminering. Hvis præparatet ikke anvendes straks, er opbevaringstid og -forhold brugerens eget ansvar.</w:t>
      </w:r>
    </w:p>
    <w:p w14:paraId="4D0A9B30" w14:textId="77777777" w:rsidR="009260DE" w:rsidRPr="00C84483" w:rsidRDefault="009260DE" w:rsidP="009260DE">
      <w:pPr>
        <w:tabs>
          <w:tab w:val="left" w:pos="851"/>
        </w:tabs>
        <w:ind w:left="851"/>
        <w:rPr>
          <w:sz w:val="24"/>
          <w:szCs w:val="24"/>
        </w:rPr>
      </w:pPr>
    </w:p>
    <w:p w14:paraId="2AF0528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B5D1ADC" w14:textId="77777777" w:rsidR="00E3258E" w:rsidRDefault="00E3258E" w:rsidP="00E3258E">
      <w:pPr>
        <w:tabs>
          <w:tab w:val="left" w:pos="851"/>
        </w:tabs>
        <w:ind w:left="851"/>
        <w:rPr>
          <w:sz w:val="24"/>
          <w:szCs w:val="24"/>
        </w:rPr>
      </w:pPr>
      <w:r w:rsidRPr="00E3258E">
        <w:rPr>
          <w:sz w:val="24"/>
          <w:szCs w:val="24"/>
        </w:rPr>
        <w:t>Må ikke opbevares ved temperaturer over 30 °C.</w:t>
      </w:r>
    </w:p>
    <w:p w14:paraId="191CFF1D" w14:textId="77777777" w:rsidR="00E3258E" w:rsidRDefault="00E3258E" w:rsidP="00E3258E">
      <w:pPr>
        <w:tabs>
          <w:tab w:val="left" w:pos="851"/>
        </w:tabs>
        <w:ind w:left="851"/>
        <w:rPr>
          <w:sz w:val="24"/>
          <w:szCs w:val="24"/>
        </w:rPr>
      </w:pPr>
    </w:p>
    <w:p w14:paraId="392778DE" w14:textId="4DDC57B1" w:rsidR="00E3258E" w:rsidRPr="00E3258E" w:rsidRDefault="00E3258E" w:rsidP="00E3258E">
      <w:pPr>
        <w:tabs>
          <w:tab w:val="left" w:pos="851"/>
        </w:tabs>
        <w:ind w:left="851"/>
        <w:rPr>
          <w:sz w:val="24"/>
          <w:szCs w:val="24"/>
        </w:rPr>
      </w:pPr>
      <w:r w:rsidRPr="00E3258E">
        <w:rPr>
          <w:sz w:val="24"/>
          <w:szCs w:val="24"/>
        </w:rPr>
        <w:t>Opbevares i den ydre karton for at beskytte mod lys.</w:t>
      </w:r>
    </w:p>
    <w:p w14:paraId="5ED63EE1" w14:textId="77777777" w:rsidR="009260DE" w:rsidRPr="00C84483" w:rsidRDefault="009260DE" w:rsidP="009260DE">
      <w:pPr>
        <w:tabs>
          <w:tab w:val="left" w:pos="851"/>
        </w:tabs>
        <w:ind w:left="851"/>
        <w:rPr>
          <w:sz w:val="24"/>
          <w:szCs w:val="24"/>
        </w:rPr>
      </w:pPr>
    </w:p>
    <w:p w14:paraId="5C37321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05ED5B99" w14:textId="4CCCC381" w:rsidR="00E3258E" w:rsidRPr="00E3258E" w:rsidRDefault="00E3258E" w:rsidP="00E3258E">
      <w:pPr>
        <w:tabs>
          <w:tab w:val="left" w:pos="851"/>
        </w:tabs>
        <w:ind w:left="851"/>
        <w:rPr>
          <w:sz w:val="24"/>
          <w:szCs w:val="24"/>
        </w:rPr>
      </w:pPr>
      <w:r>
        <w:rPr>
          <w:sz w:val="24"/>
          <w:szCs w:val="24"/>
        </w:rPr>
        <w:t>Klar, f</w:t>
      </w:r>
      <w:r w:rsidRPr="00E3258E">
        <w:rPr>
          <w:sz w:val="24"/>
          <w:szCs w:val="24"/>
        </w:rPr>
        <w:t>arveløs type I glasampul med 1 ml eller 2 ml.</w:t>
      </w:r>
    </w:p>
    <w:p w14:paraId="7DDFA5B7" w14:textId="77777777" w:rsidR="00E3258E" w:rsidRPr="00E3258E" w:rsidRDefault="00E3258E" w:rsidP="00E3258E">
      <w:pPr>
        <w:tabs>
          <w:tab w:val="left" w:pos="851"/>
        </w:tabs>
        <w:ind w:left="851"/>
        <w:rPr>
          <w:sz w:val="24"/>
          <w:szCs w:val="24"/>
        </w:rPr>
      </w:pPr>
    </w:p>
    <w:p w14:paraId="07E552F9" w14:textId="472B31B4" w:rsidR="00E3258E" w:rsidRPr="00E3258E" w:rsidRDefault="00E3258E" w:rsidP="00E3258E">
      <w:pPr>
        <w:tabs>
          <w:tab w:val="left" w:pos="851"/>
        </w:tabs>
        <w:ind w:left="851"/>
        <w:rPr>
          <w:sz w:val="24"/>
          <w:szCs w:val="24"/>
        </w:rPr>
      </w:pPr>
      <w:r w:rsidRPr="00E3258E">
        <w:rPr>
          <w:sz w:val="24"/>
          <w:szCs w:val="24"/>
        </w:rPr>
        <w:t>Pakningsstørrelser: 3</w:t>
      </w:r>
      <w:r w:rsidR="00730AC8">
        <w:rPr>
          <w:sz w:val="24"/>
          <w:szCs w:val="24"/>
        </w:rPr>
        <w:t>×1</w:t>
      </w:r>
      <w:r w:rsidRPr="00E3258E">
        <w:rPr>
          <w:sz w:val="24"/>
          <w:szCs w:val="24"/>
        </w:rPr>
        <w:t> ml og 3</w:t>
      </w:r>
      <w:r w:rsidR="00730AC8">
        <w:rPr>
          <w:sz w:val="24"/>
          <w:szCs w:val="24"/>
        </w:rPr>
        <w:t>×</w:t>
      </w:r>
      <w:r w:rsidRPr="00E3258E">
        <w:rPr>
          <w:sz w:val="24"/>
          <w:szCs w:val="24"/>
        </w:rPr>
        <w:t>2 ml.</w:t>
      </w:r>
    </w:p>
    <w:p w14:paraId="165127EA" w14:textId="77777777" w:rsidR="00E3258E" w:rsidRPr="00E3258E" w:rsidRDefault="00E3258E" w:rsidP="00730AC8">
      <w:pPr>
        <w:tabs>
          <w:tab w:val="left" w:pos="851"/>
        </w:tabs>
        <w:ind w:left="851"/>
        <w:rPr>
          <w:sz w:val="24"/>
          <w:szCs w:val="24"/>
        </w:rPr>
      </w:pPr>
      <w:r w:rsidRPr="00E3258E">
        <w:rPr>
          <w:sz w:val="24"/>
          <w:szCs w:val="24"/>
        </w:rPr>
        <w:t>Ikke alle pakningsstørrelser er nødvendigvis markedsført.</w:t>
      </w:r>
    </w:p>
    <w:p w14:paraId="6248C15F" w14:textId="77777777" w:rsidR="009260DE" w:rsidRPr="00C84483" w:rsidRDefault="009260DE" w:rsidP="00730AC8">
      <w:pPr>
        <w:tabs>
          <w:tab w:val="left" w:pos="851"/>
        </w:tabs>
        <w:ind w:left="851"/>
        <w:rPr>
          <w:sz w:val="24"/>
          <w:szCs w:val="24"/>
        </w:rPr>
      </w:pPr>
    </w:p>
    <w:p w14:paraId="1C2F3946" w14:textId="77777777" w:rsidR="009260DE" w:rsidRPr="00C84483" w:rsidRDefault="009260DE" w:rsidP="00730AC8">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5B31D55B" w14:textId="77777777" w:rsidR="00730AC8" w:rsidRPr="00730AC8" w:rsidRDefault="00730AC8" w:rsidP="00730AC8">
      <w:pPr>
        <w:tabs>
          <w:tab w:val="left" w:pos="851"/>
        </w:tabs>
        <w:ind w:left="851"/>
        <w:rPr>
          <w:sz w:val="24"/>
          <w:szCs w:val="24"/>
        </w:rPr>
      </w:pPr>
      <w:proofErr w:type="spellStart"/>
      <w:r w:rsidRPr="00730AC8">
        <w:rPr>
          <w:sz w:val="24"/>
          <w:szCs w:val="24"/>
        </w:rPr>
        <w:t>Dexacur</w:t>
      </w:r>
      <w:proofErr w:type="spellEnd"/>
      <w:r w:rsidRPr="00730AC8">
        <w:rPr>
          <w:sz w:val="24"/>
          <w:szCs w:val="24"/>
        </w:rPr>
        <w:t xml:space="preserve"> er kun til engangsbrug og eventuelt overskydende opløsning skal kasseres umiddelbart efter åbning af ampullen.</w:t>
      </w:r>
    </w:p>
    <w:p w14:paraId="21D2E791" w14:textId="77777777" w:rsidR="00730AC8" w:rsidRPr="00730AC8" w:rsidRDefault="00730AC8" w:rsidP="00730AC8">
      <w:pPr>
        <w:tabs>
          <w:tab w:val="left" w:pos="851"/>
        </w:tabs>
        <w:ind w:left="851"/>
        <w:rPr>
          <w:sz w:val="24"/>
          <w:szCs w:val="24"/>
        </w:rPr>
      </w:pPr>
    </w:p>
    <w:p w14:paraId="330A618B" w14:textId="77777777" w:rsidR="00730AC8" w:rsidRPr="00730AC8" w:rsidRDefault="00730AC8" w:rsidP="00730AC8">
      <w:pPr>
        <w:tabs>
          <w:tab w:val="left" w:pos="851"/>
        </w:tabs>
        <w:ind w:left="851"/>
        <w:rPr>
          <w:sz w:val="24"/>
          <w:szCs w:val="24"/>
        </w:rPr>
      </w:pPr>
      <w:r w:rsidRPr="00730AC8">
        <w:rPr>
          <w:sz w:val="24"/>
          <w:szCs w:val="24"/>
        </w:rPr>
        <w:t>Kun klare opløsninger bør anvendes. Må ikke anvendes, hvis opløsningen er uklar eller indeholder partikler.</w:t>
      </w:r>
    </w:p>
    <w:p w14:paraId="304CF05B" w14:textId="77777777" w:rsidR="00730AC8" w:rsidRPr="00730AC8" w:rsidRDefault="00730AC8" w:rsidP="00730AC8">
      <w:pPr>
        <w:tabs>
          <w:tab w:val="left" w:pos="851"/>
        </w:tabs>
        <w:ind w:left="851"/>
        <w:rPr>
          <w:sz w:val="24"/>
          <w:szCs w:val="24"/>
        </w:rPr>
      </w:pPr>
    </w:p>
    <w:p w14:paraId="12ADAB41" w14:textId="77777777" w:rsidR="00730AC8" w:rsidRPr="00730AC8" w:rsidRDefault="00730AC8" w:rsidP="00730AC8">
      <w:pPr>
        <w:tabs>
          <w:tab w:val="left" w:pos="851"/>
        </w:tabs>
        <w:ind w:left="851"/>
        <w:rPr>
          <w:sz w:val="24"/>
          <w:szCs w:val="24"/>
        </w:rPr>
      </w:pPr>
      <w:proofErr w:type="spellStart"/>
      <w:r w:rsidRPr="00730AC8">
        <w:rPr>
          <w:sz w:val="24"/>
          <w:szCs w:val="24"/>
        </w:rPr>
        <w:t>Dexacur</w:t>
      </w:r>
      <w:proofErr w:type="spellEnd"/>
      <w:r w:rsidRPr="00730AC8">
        <w:rPr>
          <w:sz w:val="24"/>
          <w:szCs w:val="24"/>
        </w:rPr>
        <w:t xml:space="preserve"> kan tilsættes i en af følgende opløsninger:</w:t>
      </w:r>
    </w:p>
    <w:p w14:paraId="2B8F8813" w14:textId="77777777" w:rsidR="00730AC8" w:rsidRPr="00730AC8" w:rsidRDefault="00730AC8" w:rsidP="00730AC8">
      <w:pPr>
        <w:tabs>
          <w:tab w:val="left" w:pos="851"/>
        </w:tabs>
        <w:ind w:left="851"/>
        <w:rPr>
          <w:sz w:val="24"/>
          <w:szCs w:val="24"/>
        </w:rPr>
      </w:pPr>
      <w:r w:rsidRPr="00730AC8">
        <w:rPr>
          <w:sz w:val="24"/>
          <w:szCs w:val="24"/>
        </w:rPr>
        <w:t>-</w:t>
      </w:r>
      <w:r w:rsidRPr="00730AC8">
        <w:rPr>
          <w:sz w:val="24"/>
          <w:szCs w:val="24"/>
        </w:rPr>
        <w:tab/>
      </w:r>
      <w:proofErr w:type="spellStart"/>
      <w:r w:rsidRPr="00730AC8">
        <w:rPr>
          <w:sz w:val="24"/>
          <w:szCs w:val="24"/>
        </w:rPr>
        <w:t>Glucose</w:t>
      </w:r>
      <w:proofErr w:type="spellEnd"/>
      <w:r w:rsidRPr="00730AC8">
        <w:rPr>
          <w:sz w:val="24"/>
          <w:szCs w:val="24"/>
        </w:rPr>
        <w:t xml:space="preserve"> (5 %)</w:t>
      </w:r>
    </w:p>
    <w:p w14:paraId="3C6401DE" w14:textId="77777777" w:rsidR="00730AC8" w:rsidRPr="00730AC8" w:rsidRDefault="00730AC8" w:rsidP="00730AC8">
      <w:pPr>
        <w:tabs>
          <w:tab w:val="left" w:pos="851"/>
        </w:tabs>
        <w:ind w:left="851"/>
        <w:rPr>
          <w:sz w:val="24"/>
          <w:szCs w:val="24"/>
        </w:rPr>
      </w:pPr>
      <w:r w:rsidRPr="00730AC8">
        <w:rPr>
          <w:sz w:val="24"/>
          <w:szCs w:val="24"/>
        </w:rPr>
        <w:t>-</w:t>
      </w:r>
      <w:r w:rsidRPr="00730AC8">
        <w:rPr>
          <w:sz w:val="24"/>
          <w:szCs w:val="24"/>
        </w:rPr>
        <w:tab/>
        <w:t xml:space="preserve">9 mg/ml </w:t>
      </w:r>
      <w:proofErr w:type="spellStart"/>
      <w:r w:rsidRPr="00730AC8">
        <w:rPr>
          <w:sz w:val="24"/>
          <w:szCs w:val="24"/>
        </w:rPr>
        <w:t>natriumchloridopløsning</w:t>
      </w:r>
      <w:proofErr w:type="spellEnd"/>
      <w:r w:rsidRPr="00730AC8">
        <w:rPr>
          <w:sz w:val="24"/>
          <w:szCs w:val="24"/>
        </w:rPr>
        <w:t xml:space="preserve"> (0,9 %)</w:t>
      </w:r>
    </w:p>
    <w:p w14:paraId="63A867A1" w14:textId="77777777" w:rsidR="00730AC8" w:rsidRPr="00730AC8" w:rsidRDefault="00730AC8" w:rsidP="00730AC8">
      <w:pPr>
        <w:tabs>
          <w:tab w:val="left" w:pos="851"/>
        </w:tabs>
        <w:ind w:left="851"/>
        <w:rPr>
          <w:sz w:val="24"/>
          <w:szCs w:val="24"/>
        </w:rPr>
      </w:pPr>
      <w:r w:rsidRPr="00730AC8">
        <w:rPr>
          <w:sz w:val="24"/>
          <w:szCs w:val="24"/>
        </w:rPr>
        <w:t>-</w:t>
      </w:r>
      <w:r w:rsidRPr="00730AC8">
        <w:rPr>
          <w:sz w:val="24"/>
          <w:szCs w:val="24"/>
        </w:rPr>
        <w:tab/>
        <w:t>Ringer-laktat-opløsning.</w:t>
      </w:r>
    </w:p>
    <w:p w14:paraId="4E9C7E5A" w14:textId="77777777" w:rsidR="00730AC8" w:rsidRPr="00730AC8" w:rsidRDefault="00730AC8" w:rsidP="00730AC8">
      <w:pPr>
        <w:tabs>
          <w:tab w:val="left" w:pos="851"/>
        </w:tabs>
        <w:ind w:left="851"/>
        <w:rPr>
          <w:sz w:val="24"/>
          <w:szCs w:val="24"/>
        </w:rPr>
      </w:pPr>
    </w:p>
    <w:p w14:paraId="64A82DFE" w14:textId="77777777" w:rsidR="00730AC8" w:rsidRPr="00730AC8" w:rsidRDefault="00730AC8" w:rsidP="00730AC8">
      <w:pPr>
        <w:tabs>
          <w:tab w:val="left" w:pos="851"/>
        </w:tabs>
        <w:ind w:left="851"/>
        <w:rPr>
          <w:sz w:val="24"/>
          <w:szCs w:val="24"/>
        </w:rPr>
      </w:pPr>
      <w:r w:rsidRPr="00730AC8">
        <w:rPr>
          <w:sz w:val="24"/>
          <w:szCs w:val="24"/>
        </w:rPr>
        <w:t>Ikke anvendt lægemiddel samt affald heraf skal bortskaffes i henhold til lokale retningslinjer.</w:t>
      </w:r>
    </w:p>
    <w:p w14:paraId="69ADFDE6" w14:textId="77777777" w:rsidR="009260DE" w:rsidRPr="00C84483" w:rsidRDefault="009260DE" w:rsidP="00730AC8">
      <w:pPr>
        <w:tabs>
          <w:tab w:val="left" w:pos="851"/>
        </w:tabs>
        <w:ind w:left="851"/>
        <w:rPr>
          <w:sz w:val="24"/>
          <w:szCs w:val="24"/>
        </w:rPr>
      </w:pPr>
    </w:p>
    <w:p w14:paraId="52F24C6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7F440CA" w14:textId="77777777" w:rsidR="00481EE9" w:rsidRPr="00481EE9" w:rsidRDefault="00481EE9" w:rsidP="00481EE9">
      <w:pPr>
        <w:tabs>
          <w:tab w:val="left" w:pos="851"/>
        </w:tabs>
        <w:ind w:left="851"/>
        <w:rPr>
          <w:sz w:val="24"/>
          <w:szCs w:val="24"/>
        </w:rPr>
      </w:pPr>
      <w:proofErr w:type="spellStart"/>
      <w:r w:rsidRPr="00481EE9">
        <w:rPr>
          <w:sz w:val="24"/>
          <w:szCs w:val="24"/>
        </w:rPr>
        <w:t>Abboxia</w:t>
      </w:r>
      <w:proofErr w:type="spellEnd"/>
      <w:r w:rsidRPr="00481EE9">
        <w:rPr>
          <w:sz w:val="24"/>
          <w:szCs w:val="24"/>
        </w:rPr>
        <w:t xml:space="preserve"> AB</w:t>
      </w:r>
    </w:p>
    <w:p w14:paraId="50666DD5" w14:textId="77777777" w:rsidR="00481EE9" w:rsidRPr="00481EE9" w:rsidRDefault="00481EE9" w:rsidP="00481EE9">
      <w:pPr>
        <w:tabs>
          <w:tab w:val="left" w:pos="851"/>
        </w:tabs>
        <w:ind w:left="851"/>
        <w:rPr>
          <w:sz w:val="24"/>
          <w:szCs w:val="24"/>
        </w:rPr>
      </w:pPr>
      <w:r w:rsidRPr="00481EE9">
        <w:rPr>
          <w:sz w:val="24"/>
          <w:szCs w:val="24"/>
        </w:rPr>
        <w:t>Box 50</w:t>
      </w:r>
    </w:p>
    <w:p w14:paraId="0490662A" w14:textId="77777777" w:rsidR="00481EE9" w:rsidRPr="00481EE9" w:rsidRDefault="00481EE9" w:rsidP="00481EE9">
      <w:pPr>
        <w:tabs>
          <w:tab w:val="left" w:pos="851"/>
        </w:tabs>
        <w:ind w:left="851"/>
        <w:rPr>
          <w:sz w:val="24"/>
          <w:szCs w:val="24"/>
        </w:rPr>
      </w:pPr>
      <w:r w:rsidRPr="00481EE9">
        <w:rPr>
          <w:sz w:val="24"/>
          <w:szCs w:val="24"/>
        </w:rPr>
        <w:t xml:space="preserve">431 21 </w:t>
      </w:r>
      <w:proofErr w:type="spellStart"/>
      <w:r w:rsidRPr="00481EE9">
        <w:rPr>
          <w:sz w:val="24"/>
          <w:szCs w:val="24"/>
        </w:rPr>
        <w:t>Mölndal</w:t>
      </w:r>
      <w:proofErr w:type="spellEnd"/>
    </w:p>
    <w:p w14:paraId="32AC0E4F" w14:textId="77777777" w:rsidR="00481EE9" w:rsidRPr="00481EE9" w:rsidRDefault="00481EE9" w:rsidP="00481EE9">
      <w:pPr>
        <w:tabs>
          <w:tab w:val="left" w:pos="851"/>
        </w:tabs>
        <w:ind w:left="851"/>
        <w:rPr>
          <w:sz w:val="24"/>
          <w:szCs w:val="24"/>
        </w:rPr>
      </w:pPr>
      <w:r w:rsidRPr="00481EE9">
        <w:rPr>
          <w:sz w:val="24"/>
          <w:szCs w:val="24"/>
        </w:rPr>
        <w:t>Sverige</w:t>
      </w:r>
    </w:p>
    <w:p w14:paraId="377F3CEF" w14:textId="77777777" w:rsidR="009260DE" w:rsidRPr="00C84483" w:rsidRDefault="009260DE" w:rsidP="009260DE">
      <w:pPr>
        <w:tabs>
          <w:tab w:val="left" w:pos="851"/>
        </w:tabs>
        <w:ind w:left="851"/>
        <w:rPr>
          <w:sz w:val="24"/>
          <w:szCs w:val="24"/>
        </w:rPr>
      </w:pPr>
    </w:p>
    <w:p w14:paraId="2751783D"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7B7E86B6" w14:textId="15004F60" w:rsidR="009260DE" w:rsidRPr="00C84483" w:rsidRDefault="00481EE9" w:rsidP="009260DE">
      <w:pPr>
        <w:tabs>
          <w:tab w:val="left" w:pos="851"/>
        </w:tabs>
        <w:ind w:left="851"/>
        <w:rPr>
          <w:sz w:val="24"/>
          <w:szCs w:val="24"/>
        </w:rPr>
      </w:pPr>
      <w:r>
        <w:rPr>
          <w:sz w:val="24"/>
          <w:szCs w:val="24"/>
        </w:rPr>
        <w:t>63779</w:t>
      </w:r>
    </w:p>
    <w:p w14:paraId="4002EA0E" w14:textId="77777777" w:rsidR="009260DE" w:rsidRPr="00C84483" w:rsidRDefault="009260DE" w:rsidP="009260DE">
      <w:pPr>
        <w:tabs>
          <w:tab w:val="left" w:pos="851"/>
        </w:tabs>
        <w:ind w:left="851"/>
        <w:jc w:val="both"/>
        <w:rPr>
          <w:sz w:val="24"/>
          <w:szCs w:val="24"/>
        </w:rPr>
      </w:pPr>
    </w:p>
    <w:p w14:paraId="4AD9F154" w14:textId="77777777" w:rsidR="009260DE" w:rsidRPr="00C84483" w:rsidRDefault="009260DE" w:rsidP="00260EC8">
      <w:pPr>
        <w:keepNext/>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60BFFFB" w14:textId="7FC0E74C" w:rsidR="009260DE" w:rsidRPr="00C84483" w:rsidRDefault="00E2237A" w:rsidP="009260DE">
      <w:pPr>
        <w:tabs>
          <w:tab w:val="left" w:pos="851"/>
        </w:tabs>
        <w:ind w:left="851"/>
        <w:rPr>
          <w:sz w:val="24"/>
          <w:szCs w:val="24"/>
        </w:rPr>
      </w:pPr>
      <w:r>
        <w:rPr>
          <w:sz w:val="24"/>
          <w:szCs w:val="24"/>
        </w:rPr>
        <w:t>1. juni 2021</w:t>
      </w:r>
    </w:p>
    <w:p w14:paraId="3567F934" w14:textId="77777777" w:rsidR="009260DE" w:rsidRPr="00C84483" w:rsidRDefault="009260DE" w:rsidP="009260DE">
      <w:pPr>
        <w:tabs>
          <w:tab w:val="left" w:pos="851"/>
        </w:tabs>
        <w:ind w:left="851"/>
        <w:rPr>
          <w:sz w:val="24"/>
          <w:szCs w:val="24"/>
        </w:rPr>
      </w:pPr>
    </w:p>
    <w:p w14:paraId="70D0227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785B032" w14:textId="6DB848CC" w:rsidR="009260DE" w:rsidRPr="00481EE9" w:rsidRDefault="00B70043" w:rsidP="00E2237A">
      <w:pPr>
        <w:tabs>
          <w:tab w:val="left" w:pos="851"/>
        </w:tabs>
        <w:ind w:left="851"/>
        <w:rPr>
          <w:sz w:val="24"/>
          <w:szCs w:val="24"/>
        </w:rPr>
      </w:pPr>
      <w:r>
        <w:rPr>
          <w:sz w:val="24"/>
          <w:szCs w:val="24"/>
        </w:rPr>
        <w:t>23. maj 2022</w:t>
      </w:r>
      <w:bookmarkStart w:id="3" w:name="_GoBack"/>
      <w:bookmarkEnd w:id="3"/>
    </w:p>
    <w:sectPr w:rsidR="009260DE" w:rsidRPr="00481EE9"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261AE" w14:textId="77777777" w:rsidR="00407FB4" w:rsidRDefault="00407FB4">
      <w:r>
        <w:separator/>
      </w:r>
    </w:p>
  </w:endnote>
  <w:endnote w:type="continuationSeparator" w:id="0">
    <w:p w14:paraId="1ECF4BF1" w14:textId="77777777" w:rsidR="00407FB4" w:rsidRDefault="0040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D181" w14:textId="77777777" w:rsidR="00407FB4" w:rsidRDefault="00407FB4">
    <w:pPr>
      <w:pStyle w:val="Sidefod"/>
      <w:pBdr>
        <w:bottom w:val="single" w:sz="6" w:space="1" w:color="auto"/>
      </w:pBdr>
    </w:pPr>
  </w:p>
  <w:p w14:paraId="4F682119" w14:textId="77777777" w:rsidR="00407FB4" w:rsidRDefault="00407FB4" w:rsidP="00C42586">
    <w:pPr>
      <w:pStyle w:val="Sidefod"/>
      <w:tabs>
        <w:tab w:val="clear" w:pos="4819"/>
        <w:tab w:val="left" w:pos="8505"/>
      </w:tabs>
      <w:rPr>
        <w:i/>
        <w:sz w:val="18"/>
        <w:szCs w:val="18"/>
      </w:rPr>
    </w:pPr>
  </w:p>
  <w:p w14:paraId="68CA90D3" w14:textId="18039799" w:rsidR="00407FB4" w:rsidRPr="00B373D7" w:rsidRDefault="00407F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Dexacur, injektions--infusionsvæske opløsning 4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6AD8F" w14:textId="77777777" w:rsidR="00407FB4" w:rsidRDefault="00407FB4">
      <w:r>
        <w:separator/>
      </w:r>
    </w:p>
  </w:footnote>
  <w:footnote w:type="continuationSeparator" w:id="0">
    <w:p w14:paraId="54AFE8B7" w14:textId="77777777" w:rsidR="00407FB4" w:rsidRDefault="00407FB4">
      <w:r>
        <w:continuationSeparator/>
      </w:r>
    </w:p>
  </w:footnote>
  <w:footnote w:id="1">
    <w:p w14:paraId="44F1EA7A" w14:textId="77777777" w:rsidR="00407FB4" w:rsidRDefault="00407FB4" w:rsidP="00407FB4">
      <w:pPr>
        <w:pStyle w:val="Fodnotetekst"/>
      </w:pPr>
      <w:r>
        <w:rPr>
          <w:rStyle w:val="Fodnotehenvisning"/>
        </w:rPr>
        <w:footnoteRef/>
      </w:r>
      <w:r>
        <w:t xml:space="preserve"> </w:t>
      </w:r>
      <w:hyperlink r:id="rId1" w:history="1">
        <w:r>
          <w:rPr>
            <w:rStyle w:val="Hyperlink"/>
            <w:lang w:eastAsia="en-GB"/>
          </w:rPr>
          <w:t>www.recoverytrial.net</w:t>
        </w:r>
      </w:hyperlink>
    </w:p>
  </w:footnote>
  <w:footnote w:id="2">
    <w:p w14:paraId="0FBD23CA" w14:textId="77777777" w:rsidR="00407FB4" w:rsidRDefault="00407FB4" w:rsidP="00407FB4">
      <w:pPr>
        <w:pStyle w:val="Fodnotetekst"/>
      </w:pPr>
      <w:r>
        <w:rPr>
          <w:rStyle w:val="Fodnotehenvisning"/>
        </w:rPr>
        <w:footnoteRef/>
      </w:r>
      <w:r>
        <w:t xml:space="preserve"> (</w:t>
      </w:r>
      <w:r>
        <w:rPr>
          <w:lang w:eastAsia="en-GB"/>
        </w:rPr>
        <w:t>kilde</w:t>
      </w:r>
      <w:r>
        <w:t xml:space="preserve">: </w:t>
      </w:r>
      <w:proofErr w:type="spellStart"/>
      <w:r>
        <w:t>Horby</w:t>
      </w:r>
      <w:proofErr w:type="spellEnd"/>
      <w:r>
        <w:t xml:space="preserve"> P. et al., 2020; https://www.medrxiv.org/content/10.1101/2020.06.22.20137273v1; </w:t>
      </w:r>
      <w:proofErr w:type="spellStart"/>
      <w:r>
        <w:t>doi</w:t>
      </w:r>
      <w:proofErr w:type="spellEnd"/>
      <w:r>
        <w:t>: https://doi.org/10.1101/2020.06.22.20137273</w:t>
      </w:r>
    </w:p>
  </w:footnote>
  <w:footnote w:id="3">
    <w:p w14:paraId="6612AB36" w14:textId="77777777" w:rsidR="00407FB4" w:rsidRDefault="00407FB4" w:rsidP="00407FB4">
      <w:pPr>
        <w:pStyle w:val="Fodnotetekst"/>
      </w:pPr>
      <w:r>
        <w:rPr>
          <w:rStyle w:val="Fodnotehenvisning"/>
        </w:rPr>
        <w:footnoteRef/>
      </w:r>
      <w:r>
        <w:t xml:space="preserve"> (</w:t>
      </w:r>
      <w:r>
        <w:rPr>
          <w:lang w:eastAsia="en-GB"/>
        </w:rPr>
        <w:t>kilde</w:t>
      </w:r>
      <w:r>
        <w:t xml:space="preserve">: </w:t>
      </w:r>
      <w:proofErr w:type="spellStart"/>
      <w:r>
        <w:t>Horby</w:t>
      </w:r>
      <w:proofErr w:type="spellEnd"/>
      <w:r>
        <w:t xml:space="preserve"> P. et al., 2020; https://www.medrxiv.org/content/10.1101/2020.06.22.20137273v1; </w:t>
      </w:r>
      <w:proofErr w:type="spellStart"/>
      <w:r>
        <w:t>doi</w:t>
      </w:r>
      <w:proofErr w:type="spellEnd"/>
      <w:r>
        <w:t>: https://doi.org/10.1101/2020.06.22.20137273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877FE0"/>
    <w:multiLevelType w:val="hybridMultilevel"/>
    <w:tmpl w:val="04CEA826"/>
    <w:lvl w:ilvl="0" w:tplc="FFFFFFFF">
      <w:start w:val="1"/>
      <w:numFmt w:val="bullet"/>
      <w:lvlText w:val="-"/>
      <w:lvlJc w:val="left"/>
      <w:pPr>
        <w:ind w:left="360" w:hanging="360"/>
      </w:p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5D6957"/>
    <w:multiLevelType w:val="hybridMultilevel"/>
    <w:tmpl w:val="D9D8E402"/>
    <w:lvl w:ilvl="0" w:tplc="DE16829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91"/>
    <w:rsid w:val="00021C1E"/>
    <w:rsid w:val="000259B9"/>
    <w:rsid w:val="00041491"/>
    <w:rsid w:val="00050D16"/>
    <w:rsid w:val="00074F2A"/>
    <w:rsid w:val="000A1CA8"/>
    <w:rsid w:val="000A466B"/>
    <w:rsid w:val="000B058C"/>
    <w:rsid w:val="000E4EE6"/>
    <w:rsid w:val="000F09CB"/>
    <w:rsid w:val="001454E2"/>
    <w:rsid w:val="00160555"/>
    <w:rsid w:val="00206CE8"/>
    <w:rsid w:val="0021526C"/>
    <w:rsid w:val="0022350F"/>
    <w:rsid w:val="00242491"/>
    <w:rsid w:val="00260EC8"/>
    <w:rsid w:val="00283A2B"/>
    <w:rsid w:val="00287B35"/>
    <w:rsid w:val="002A3756"/>
    <w:rsid w:val="002B30AD"/>
    <w:rsid w:val="002C2C01"/>
    <w:rsid w:val="003A29AE"/>
    <w:rsid w:val="003A32D7"/>
    <w:rsid w:val="003B4074"/>
    <w:rsid w:val="003C769A"/>
    <w:rsid w:val="003F1838"/>
    <w:rsid w:val="00407FB4"/>
    <w:rsid w:val="004144BF"/>
    <w:rsid w:val="0045746C"/>
    <w:rsid w:val="00463842"/>
    <w:rsid w:val="00474329"/>
    <w:rsid w:val="00481EE9"/>
    <w:rsid w:val="0049104B"/>
    <w:rsid w:val="00497E99"/>
    <w:rsid w:val="004A1126"/>
    <w:rsid w:val="004B56BF"/>
    <w:rsid w:val="004E3B12"/>
    <w:rsid w:val="005270B9"/>
    <w:rsid w:val="00532310"/>
    <w:rsid w:val="00540FE1"/>
    <w:rsid w:val="00565F0F"/>
    <w:rsid w:val="00566F7E"/>
    <w:rsid w:val="00576C74"/>
    <w:rsid w:val="00594A86"/>
    <w:rsid w:val="00594F2A"/>
    <w:rsid w:val="00596D86"/>
    <w:rsid w:val="005E4264"/>
    <w:rsid w:val="00637F5A"/>
    <w:rsid w:val="006560B1"/>
    <w:rsid w:val="006756DD"/>
    <w:rsid w:val="00695016"/>
    <w:rsid w:val="006B0C2E"/>
    <w:rsid w:val="00730AC8"/>
    <w:rsid w:val="00737275"/>
    <w:rsid w:val="00740EEC"/>
    <w:rsid w:val="00741B15"/>
    <w:rsid w:val="0078011A"/>
    <w:rsid w:val="00782AF4"/>
    <w:rsid w:val="00790EE7"/>
    <w:rsid w:val="007B6649"/>
    <w:rsid w:val="007C52B0"/>
    <w:rsid w:val="007E2BDF"/>
    <w:rsid w:val="007F2DDE"/>
    <w:rsid w:val="00820CD1"/>
    <w:rsid w:val="0082576E"/>
    <w:rsid w:val="0084559B"/>
    <w:rsid w:val="00847626"/>
    <w:rsid w:val="008538D6"/>
    <w:rsid w:val="00880D38"/>
    <w:rsid w:val="008F42C4"/>
    <w:rsid w:val="00907F75"/>
    <w:rsid w:val="009260DE"/>
    <w:rsid w:val="0093258A"/>
    <w:rsid w:val="009B002A"/>
    <w:rsid w:val="009B790E"/>
    <w:rsid w:val="009C7BA3"/>
    <w:rsid w:val="009D1F5A"/>
    <w:rsid w:val="009F5802"/>
    <w:rsid w:val="00B003BF"/>
    <w:rsid w:val="00B214E5"/>
    <w:rsid w:val="00B373D7"/>
    <w:rsid w:val="00B70043"/>
    <w:rsid w:val="00C01317"/>
    <w:rsid w:val="00C31D64"/>
    <w:rsid w:val="00C36276"/>
    <w:rsid w:val="00C42586"/>
    <w:rsid w:val="00C60CCD"/>
    <w:rsid w:val="00C7649A"/>
    <w:rsid w:val="00C84483"/>
    <w:rsid w:val="00C860BA"/>
    <w:rsid w:val="00C95551"/>
    <w:rsid w:val="00CB20D7"/>
    <w:rsid w:val="00CF7285"/>
    <w:rsid w:val="00D020B0"/>
    <w:rsid w:val="00D11748"/>
    <w:rsid w:val="00D303C4"/>
    <w:rsid w:val="00D366CF"/>
    <w:rsid w:val="00E108AA"/>
    <w:rsid w:val="00E2237A"/>
    <w:rsid w:val="00E3258E"/>
    <w:rsid w:val="00E3749A"/>
    <w:rsid w:val="00E5603B"/>
    <w:rsid w:val="00E7437F"/>
    <w:rsid w:val="00E865B8"/>
    <w:rsid w:val="00E9330A"/>
    <w:rsid w:val="00EC0B9B"/>
    <w:rsid w:val="00ED5E9F"/>
    <w:rsid w:val="00EF7709"/>
    <w:rsid w:val="00F66D4F"/>
    <w:rsid w:val="00F84D1A"/>
    <w:rsid w:val="00FB6D01"/>
    <w:rsid w:val="00FE79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38461CA"/>
  <w15:chartTrackingRefBased/>
  <w15:docId w15:val="{5671B246-C136-4227-A204-E78A89D3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303C4"/>
    <w:rPr>
      <w:color w:val="0563C1" w:themeColor="hyperlink"/>
      <w:u w:val="single"/>
    </w:rPr>
  </w:style>
  <w:style w:type="character" w:styleId="Ulstomtale">
    <w:name w:val="Unresolved Mention"/>
    <w:basedOn w:val="Standardskrifttypeiafsnit"/>
    <w:uiPriority w:val="99"/>
    <w:semiHidden/>
    <w:unhideWhenUsed/>
    <w:rsid w:val="00D303C4"/>
    <w:rPr>
      <w:color w:val="605E5C"/>
      <w:shd w:val="clear" w:color="auto" w:fill="E1DFDD"/>
    </w:rPr>
  </w:style>
  <w:style w:type="paragraph" w:styleId="Listeafsnit">
    <w:name w:val="List Paragraph"/>
    <w:basedOn w:val="Normal"/>
    <w:uiPriority w:val="34"/>
    <w:qFormat/>
    <w:rsid w:val="004B56BF"/>
    <w:pPr>
      <w:ind w:left="720"/>
      <w:contextualSpacing/>
    </w:pPr>
    <w:rPr>
      <w:sz w:val="22"/>
    </w:rPr>
  </w:style>
  <w:style w:type="paragraph" w:styleId="Fodnotetekst">
    <w:name w:val="footnote text"/>
    <w:basedOn w:val="Normal"/>
    <w:link w:val="FodnotetekstTegn"/>
    <w:uiPriority w:val="99"/>
    <w:semiHidden/>
    <w:unhideWhenUsed/>
    <w:rsid w:val="00407FB4"/>
    <w:rPr>
      <w:sz w:val="20"/>
    </w:rPr>
  </w:style>
  <w:style w:type="character" w:customStyle="1" w:styleId="FodnotetekstTegn">
    <w:name w:val="Fodnotetekst Tegn"/>
    <w:basedOn w:val="Standardskrifttypeiafsnit"/>
    <w:link w:val="Fodnotetekst"/>
    <w:uiPriority w:val="99"/>
    <w:semiHidden/>
    <w:rsid w:val="00407FB4"/>
    <w:rPr>
      <w:lang w:eastAsia="en-US"/>
    </w:rPr>
  </w:style>
  <w:style w:type="character" w:styleId="Fodnotehenvisning">
    <w:name w:val="footnote reference"/>
    <w:basedOn w:val="Standardskrifttypeiafsnit"/>
    <w:uiPriority w:val="99"/>
    <w:semiHidden/>
    <w:unhideWhenUsed/>
    <w:rsid w:val="00407FB4"/>
    <w:rPr>
      <w:vertAlign w:val="superscript"/>
    </w:rPr>
  </w:style>
  <w:style w:type="table" w:styleId="Tabel-Gitter">
    <w:name w:val="Table Grid"/>
    <w:basedOn w:val="Tabel-Normal"/>
    <w:rsid w:val="00407FB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uiPriority w:val="39"/>
    <w:rsid w:val="00407FB4"/>
    <w:rPr>
      <w:rFonts w:asciiTheme="minorHAnsi" w:eastAsiaTheme="minorHAnsi" w:hAnsiTheme="minorHAnsi" w:cstheme="minorBidi"/>
      <w:sz w:val="22"/>
      <w:szCs w:val="22"/>
      <w:lang w:val="sl-SI"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2">
    <w:name w:val="Tabel - Gitter2"/>
    <w:basedOn w:val="Tabel-Normal"/>
    <w:uiPriority w:val="39"/>
    <w:rsid w:val="00407FB4"/>
    <w:rPr>
      <w:rFonts w:asciiTheme="minorHAnsi" w:eastAsiaTheme="minorHAnsi" w:hAnsiTheme="minorHAnsi" w:cstheme="minorBidi"/>
      <w:sz w:val="22"/>
      <w:szCs w:val="22"/>
      <w:lang w:val="sl-SI"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7403">
      <w:bodyDiv w:val="1"/>
      <w:marLeft w:val="0"/>
      <w:marRight w:val="0"/>
      <w:marTop w:val="0"/>
      <w:marBottom w:val="0"/>
      <w:divBdr>
        <w:top w:val="none" w:sz="0" w:space="0" w:color="auto"/>
        <w:left w:val="none" w:sz="0" w:space="0" w:color="auto"/>
        <w:bottom w:val="none" w:sz="0" w:space="0" w:color="auto"/>
        <w:right w:val="none" w:sz="0" w:space="0" w:color="auto"/>
      </w:divBdr>
    </w:div>
    <w:div w:id="87317345">
      <w:bodyDiv w:val="1"/>
      <w:marLeft w:val="0"/>
      <w:marRight w:val="0"/>
      <w:marTop w:val="0"/>
      <w:marBottom w:val="0"/>
      <w:divBdr>
        <w:top w:val="none" w:sz="0" w:space="0" w:color="auto"/>
        <w:left w:val="none" w:sz="0" w:space="0" w:color="auto"/>
        <w:bottom w:val="none" w:sz="0" w:space="0" w:color="auto"/>
        <w:right w:val="none" w:sz="0" w:space="0" w:color="auto"/>
      </w:divBdr>
    </w:div>
    <w:div w:id="110517588">
      <w:bodyDiv w:val="1"/>
      <w:marLeft w:val="0"/>
      <w:marRight w:val="0"/>
      <w:marTop w:val="0"/>
      <w:marBottom w:val="0"/>
      <w:divBdr>
        <w:top w:val="none" w:sz="0" w:space="0" w:color="auto"/>
        <w:left w:val="none" w:sz="0" w:space="0" w:color="auto"/>
        <w:bottom w:val="none" w:sz="0" w:space="0" w:color="auto"/>
        <w:right w:val="none" w:sz="0" w:space="0" w:color="auto"/>
      </w:divBdr>
    </w:div>
    <w:div w:id="147980871">
      <w:bodyDiv w:val="1"/>
      <w:marLeft w:val="0"/>
      <w:marRight w:val="0"/>
      <w:marTop w:val="0"/>
      <w:marBottom w:val="0"/>
      <w:divBdr>
        <w:top w:val="none" w:sz="0" w:space="0" w:color="auto"/>
        <w:left w:val="none" w:sz="0" w:space="0" w:color="auto"/>
        <w:bottom w:val="none" w:sz="0" w:space="0" w:color="auto"/>
        <w:right w:val="none" w:sz="0" w:space="0" w:color="auto"/>
      </w:divBdr>
    </w:div>
    <w:div w:id="151727818">
      <w:bodyDiv w:val="1"/>
      <w:marLeft w:val="0"/>
      <w:marRight w:val="0"/>
      <w:marTop w:val="0"/>
      <w:marBottom w:val="0"/>
      <w:divBdr>
        <w:top w:val="none" w:sz="0" w:space="0" w:color="auto"/>
        <w:left w:val="none" w:sz="0" w:space="0" w:color="auto"/>
        <w:bottom w:val="none" w:sz="0" w:space="0" w:color="auto"/>
        <w:right w:val="none" w:sz="0" w:space="0" w:color="auto"/>
      </w:divBdr>
    </w:div>
    <w:div w:id="16170153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682545">
      <w:bodyDiv w:val="1"/>
      <w:marLeft w:val="0"/>
      <w:marRight w:val="0"/>
      <w:marTop w:val="0"/>
      <w:marBottom w:val="0"/>
      <w:divBdr>
        <w:top w:val="none" w:sz="0" w:space="0" w:color="auto"/>
        <w:left w:val="none" w:sz="0" w:space="0" w:color="auto"/>
        <w:bottom w:val="none" w:sz="0" w:space="0" w:color="auto"/>
        <w:right w:val="none" w:sz="0" w:space="0" w:color="auto"/>
      </w:divBdr>
    </w:div>
    <w:div w:id="301928241">
      <w:bodyDiv w:val="1"/>
      <w:marLeft w:val="0"/>
      <w:marRight w:val="0"/>
      <w:marTop w:val="0"/>
      <w:marBottom w:val="0"/>
      <w:divBdr>
        <w:top w:val="none" w:sz="0" w:space="0" w:color="auto"/>
        <w:left w:val="none" w:sz="0" w:space="0" w:color="auto"/>
        <w:bottom w:val="none" w:sz="0" w:space="0" w:color="auto"/>
        <w:right w:val="none" w:sz="0" w:space="0" w:color="auto"/>
      </w:divBdr>
    </w:div>
    <w:div w:id="308562308">
      <w:bodyDiv w:val="1"/>
      <w:marLeft w:val="0"/>
      <w:marRight w:val="0"/>
      <w:marTop w:val="0"/>
      <w:marBottom w:val="0"/>
      <w:divBdr>
        <w:top w:val="none" w:sz="0" w:space="0" w:color="auto"/>
        <w:left w:val="none" w:sz="0" w:space="0" w:color="auto"/>
        <w:bottom w:val="none" w:sz="0" w:space="0" w:color="auto"/>
        <w:right w:val="none" w:sz="0" w:space="0" w:color="auto"/>
      </w:divBdr>
    </w:div>
    <w:div w:id="320432481">
      <w:bodyDiv w:val="1"/>
      <w:marLeft w:val="0"/>
      <w:marRight w:val="0"/>
      <w:marTop w:val="0"/>
      <w:marBottom w:val="0"/>
      <w:divBdr>
        <w:top w:val="none" w:sz="0" w:space="0" w:color="auto"/>
        <w:left w:val="none" w:sz="0" w:space="0" w:color="auto"/>
        <w:bottom w:val="none" w:sz="0" w:space="0" w:color="auto"/>
        <w:right w:val="none" w:sz="0" w:space="0" w:color="auto"/>
      </w:divBdr>
    </w:div>
    <w:div w:id="334454805">
      <w:bodyDiv w:val="1"/>
      <w:marLeft w:val="0"/>
      <w:marRight w:val="0"/>
      <w:marTop w:val="0"/>
      <w:marBottom w:val="0"/>
      <w:divBdr>
        <w:top w:val="none" w:sz="0" w:space="0" w:color="auto"/>
        <w:left w:val="none" w:sz="0" w:space="0" w:color="auto"/>
        <w:bottom w:val="none" w:sz="0" w:space="0" w:color="auto"/>
        <w:right w:val="none" w:sz="0" w:space="0" w:color="auto"/>
      </w:divBdr>
    </w:div>
    <w:div w:id="398746638">
      <w:bodyDiv w:val="1"/>
      <w:marLeft w:val="0"/>
      <w:marRight w:val="0"/>
      <w:marTop w:val="0"/>
      <w:marBottom w:val="0"/>
      <w:divBdr>
        <w:top w:val="none" w:sz="0" w:space="0" w:color="auto"/>
        <w:left w:val="none" w:sz="0" w:space="0" w:color="auto"/>
        <w:bottom w:val="none" w:sz="0" w:space="0" w:color="auto"/>
        <w:right w:val="none" w:sz="0" w:space="0" w:color="auto"/>
      </w:divBdr>
    </w:div>
    <w:div w:id="501314599">
      <w:bodyDiv w:val="1"/>
      <w:marLeft w:val="0"/>
      <w:marRight w:val="0"/>
      <w:marTop w:val="0"/>
      <w:marBottom w:val="0"/>
      <w:divBdr>
        <w:top w:val="none" w:sz="0" w:space="0" w:color="auto"/>
        <w:left w:val="none" w:sz="0" w:space="0" w:color="auto"/>
        <w:bottom w:val="none" w:sz="0" w:space="0" w:color="auto"/>
        <w:right w:val="none" w:sz="0" w:space="0" w:color="auto"/>
      </w:divBdr>
    </w:div>
    <w:div w:id="554437022">
      <w:bodyDiv w:val="1"/>
      <w:marLeft w:val="0"/>
      <w:marRight w:val="0"/>
      <w:marTop w:val="0"/>
      <w:marBottom w:val="0"/>
      <w:divBdr>
        <w:top w:val="none" w:sz="0" w:space="0" w:color="auto"/>
        <w:left w:val="none" w:sz="0" w:space="0" w:color="auto"/>
        <w:bottom w:val="none" w:sz="0" w:space="0" w:color="auto"/>
        <w:right w:val="none" w:sz="0" w:space="0" w:color="auto"/>
      </w:divBdr>
    </w:div>
    <w:div w:id="586118161">
      <w:bodyDiv w:val="1"/>
      <w:marLeft w:val="0"/>
      <w:marRight w:val="0"/>
      <w:marTop w:val="0"/>
      <w:marBottom w:val="0"/>
      <w:divBdr>
        <w:top w:val="none" w:sz="0" w:space="0" w:color="auto"/>
        <w:left w:val="none" w:sz="0" w:space="0" w:color="auto"/>
        <w:bottom w:val="none" w:sz="0" w:space="0" w:color="auto"/>
        <w:right w:val="none" w:sz="0" w:space="0" w:color="auto"/>
      </w:divBdr>
    </w:div>
    <w:div w:id="612057468">
      <w:bodyDiv w:val="1"/>
      <w:marLeft w:val="0"/>
      <w:marRight w:val="0"/>
      <w:marTop w:val="0"/>
      <w:marBottom w:val="0"/>
      <w:divBdr>
        <w:top w:val="none" w:sz="0" w:space="0" w:color="auto"/>
        <w:left w:val="none" w:sz="0" w:space="0" w:color="auto"/>
        <w:bottom w:val="none" w:sz="0" w:space="0" w:color="auto"/>
        <w:right w:val="none" w:sz="0" w:space="0" w:color="auto"/>
      </w:divBdr>
    </w:div>
    <w:div w:id="678696083">
      <w:bodyDiv w:val="1"/>
      <w:marLeft w:val="0"/>
      <w:marRight w:val="0"/>
      <w:marTop w:val="0"/>
      <w:marBottom w:val="0"/>
      <w:divBdr>
        <w:top w:val="none" w:sz="0" w:space="0" w:color="auto"/>
        <w:left w:val="none" w:sz="0" w:space="0" w:color="auto"/>
        <w:bottom w:val="none" w:sz="0" w:space="0" w:color="auto"/>
        <w:right w:val="none" w:sz="0" w:space="0" w:color="auto"/>
      </w:divBdr>
    </w:div>
    <w:div w:id="920480764">
      <w:bodyDiv w:val="1"/>
      <w:marLeft w:val="0"/>
      <w:marRight w:val="0"/>
      <w:marTop w:val="0"/>
      <w:marBottom w:val="0"/>
      <w:divBdr>
        <w:top w:val="none" w:sz="0" w:space="0" w:color="auto"/>
        <w:left w:val="none" w:sz="0" w:space="0" w:color="auto"/>
        <w:bottom w:val="none" w:sz="0" w:space="0" w:color="auto"/>
        <w:right w:val="none" w:sz="0" w:space="0" w:color="auto"/>
      </w:divBdr>
    </w:div>
    <w:div w:id="963073232">
      <w:bodyDiv w:val="1"/>
      <w:marLeft w:val="0"/>
      <w:marRight w:val="0"/>
      <w:marTop w:val="0"/>
      <w:marBottom w:val="0"/>
      <w:divBdr>
        <w:top w:val="none" w:sz="0" w:space="0" w:color="auto"/>
        <w:left w:val="none" w:sz="0" w:space="0" w:color="auto"/>
        <w:bottom w:val="none" w:sz="0" w:space="0" w:color="auto"/>
        <w:right w:val="none" w:sz="0" w:space="0" w:color="auto"/>
      </w:divBdr>
    </w:div>
    <w:div w:id="984165880">
      <w:bodyDiv w:val="1"/>
      <w:marLeft w:val="0"/>
      <w:marRight w:val="0"/>
      <w:marTop w:val="0"/>
      <w:marBottom w:val="0"/>
      <w:divBdr>
        <w:top w:val="none" w:sz="0" w:space="0" w:color="auto"/>
        <w:left w:val="none" w:sz="0" w:space="0" w:color="auto"/>
        <w:bottom w:val="none" w:sz="0" w:space="0" w:color="auto"/>
        <w:right w:val="none" w:sz="0" w:space="0" w:color="auto"/>
      </w:divBdr>
    </w:div>
    <w:div w:id="996759785">
      <w:bodyDiv w:val="1"/>
      <w:marLeft w:val="0"/>
      <w:marRight w:val="0"/>
      <w:marTop w:val="0"/>
      <w:marBottom w:val="0"/>
      <w:divBdr>
        <w:top w:val="none" w:sz="0" w:space="0" w:color="auto"/>
        <w:left w:val="none" w:sz="0" w:space="0" w:color="auto"/>
        <w:bottom w:val="none" w:sz="0" w:space="0" w:color="auto"/>
        <w:right w:val="none" w:sz="0" w:space="0" w:color="auto"/>
      </w:divBdr>
    </w:div>
    <w:div w:id="1071385075">
      <w:bodyDiv w:val="1"/>
      <w:marLeft w:val="0"/>
      <w:marRight w:val="0"/>
      <w:marTop w:val="0"/>
      <w:marBottom w:val="0"/>
      <w:divBdr>
        <w:top w:val="none" w:sz="0" w:space="0" w:color="auto"/>
        <w:left w:val="none" w:sz="0" w:space="0" w:color="auto"/>
        <w:bottom w:val="none" w:sz="0" w:space="0" w:color="auto"/>
        <w:right w:val="none" w:sz="0" w:space="0" w:color="auto"/>
      </w:divBdr>
    </w:div>
    <w:div w:id="1093088820">
      <w:bodyDiv w:val="1"/>
      <w:marLeft w:val="0"/>
      <w:marRight w:val="0"/>
      <w:marTop w:val="0"/>
      <w:marBottom w:val="0"/>
      <w:divBdr>
        <w:top w:val="none" w:sz="0" w:space="0" w:color="auto"/>
        <w:left w:val="none" w:sz="0" w:space="0" w:color="auto"/>
        <w:bottom w:val="none" w:sz="0" w:space="0" w:color="auto"/>
        <w:right w:val="none" w:sz="0" w:space="0" w:color="auto"/>
      </w:divBdr>
    </w:div>
    <w:div w:id="1119420529">
      <w:bodyDiv w:val="1"/>
      <w:marLeft w:val="0"/>
      <w:marRight w:val="0"/>
      <w:marTop w:val="0"/>
      <w:marBottom w:val="0"/>
      <w:divBdr>
        <w:top w:val="none" w:sz="0" w:space="0" w:color="auto"/>
        <w:left w:val="none" w:sz="0" w:space="0" w:color="auto"/>
        <w:bottom w:val="none" w:sz="0" w:space="0" w:color="auto"/>
        <w:right w:val="none" w:sz="0" w:space="0" w:color="auto"/>
      </w:divBdr>
    </w:div>
    <w:div w:id="1151871323">
      <w:bodyDiv w:val="1"/>
      <w:marLeft w:val="0"/>
      <w:marRight w:val="0"/>
      <w:marTop w:val="0"/>
      <w:marBottom w:val="0"/>
      <w:divBdr>
        <w:top w:val="none" w:sz="0" w:space="0" w:color="auto"/>
        <w:left w:val="none" w:sz="0" w:space="0" w:color="auto"/>
        <w:bottom w:val="none" w:sz="0" w:space="0" w:color="auto"/>
        <w:right w:val="none" w:sz="0" w:space="0" w:color="auto"/>
      </w:divBdr>
    </w:div>
    <w:div w:id="1173181945">
      <w:bodyDiv w:val="1"/>
      <w:marLeft w:val="0"/>
      <w:marRight w:val="0"/>
      <w:marTop w:val="0"/>
      <w:marBottom w:val="0"/>
      <w:divBdr>
        <w:top w:val="none" w:sz="0" w:space="0" w:color="auto"/>
        <w:left w:val="none" w:sz="0" w:space="0" w:color="auto"/>
        <w:bottom w:val="none" w:sz="0" w:space="0" w:color="auto"/>
        <w:right w:val="none" w:sz="0" w:space="0" w:color="auto"/>
      </w:divBdr>
    </w:div>
    <w:div w:id="1185484630">
      <w:bodyDiv w:val="1"/>
      <w:marLeft w:val="0"/>
      <w:marRight w:val="0"/>
      <w:marTop w:val="0"/>
      <w:marBottom w:val="0"/>
      <w:divBdr>
        <w:top w:val="none" w:sz="0" w:space="0" w:color="auto"/>
        <w:left w:val="none" w:sz="0" w:space="0" w:color="auto"/>
        <w:bottom w:val="none" w:sz="0" w:space="0" w:color="auto"/>
        <w:right w:val="none" w:sz="0" w:space="0" w:color="auto"/>
      </w:divBdr>
    </w:div>
    <w:div w:id="1336689612">
      <w:bodyDiv w:val="1"/>
      <w:marLeft w:val="0"/>
      <w:marRight w:val="0"/>
      <w:marTop w:val="0"/>
      <w:marBottom w:val="0"/>
      <w:divBdr>
        <w:top w:val="none" w:sz="0" w:space="0" w:color="auto"/>
        <w:left w:val="none" w:sz="0" w:space="0" w:color="auto"/>
        <w:bottom w:val="none" w:sz="0" w:space="0" w:color="auto"/>
        <w:right w:val="none" w:sz="0" w:space="0" w:color="auto"/>
      </w:divBdr>
    </w:div>
    <w:div w:id="1346714462">
      <w:bodyDiv w:val="1"/>
      <w:marLeft w:val="0"/>
      <w:marRight w:val="0"/>
      <w:marTop w:val="0"/>
      <w:marBottom w:val="0"/>
      <w:divBdr>
        <w:top w:val="none" w:sz="0" w:space="0" w:color="auto"/>
        <w:left w:val="none" w:sz="0" w:space="0" w:color="auto"/>
        <w:bottom w:val="none" w:sz="0" w:space="0" w:color="auto"/>
        <w:right w:val="none" w:sz="0" w:space="0" w:color="auto"/>
      </w:divBdr>
    </w:div>
    <w:div w:id="1404259607">
      <w:bodyDiv w:val="1"/>
      <w:marLeft w:val="0"/>
      <w:marRight w:val="0"/>
      <w:marTop w:val="0"/>
      <w:marBottom w:val="0"/>
      <w:divBdr>
        <w:top w:val="none" w:sz="0" w:space="0" w:color="auto"/>
        <w:left w:val="none" w:sz="0" w:space="0" w:color="auto"/>
        <w:bottom w:val="none" w:sz="0" w:space="0" w:color="auto"/>
        <w:right w:val="none" w:sz="0" w:space="0" w:color="auto"/>
      </w:divBdr>
    </w:div>
    <w:div w:id="1433042901">
      <w:bodyDiv w:val="1"/>
      <w:marLeft w:val="0"/>
      <w:marRight w:val="0"/>
      <w:marTop w:val="0"/>
      <w:marBottom w:val="0"/>
      <w:divBdr>
        <w:top w:val="none" w:sz="0" w:space="0" w:color="auto"/>
        <w:left w:val="none" w:sz="0" w:space="0" w:color="auto"/>
        <w:bottom w:val="none" w:sz="0" w:space="0" w:color="auto"/>
        <w:right w:val="none" w:sz="0" w:space="0" w:color="auto"/>
      </w:divBdr>
    </w:div>
    <w:div w:id="1434400438">
      <w:bodyDiv w:val="1"/>
      <w:marLeft w:val="0"/>
      <w:marRight w:val="0"/>
      <w:marTop w:val="0"/>
      <w:marBottom w:val="0"/>
      <w:divBdr>
        <w:top w:val="none" w:sz="0" w:space="0" w:color="auto"/>
        <w:left w:val="none" w:sz="0" w:space="0" w:color="auto"/>
        <w:bottom w:val="none" w:sz="0" w:space="0" w:color="auto"/>
        <w:right w:val="none" w:sz="0" w:space="0" w:color="auto"/>
      </w:divBdr>
    </w:div>
    <w:div w:id="1484199708">
      <w:bodyDiv w:val="1"/>
      <w:marLeft w:val="0"/>
      <w:marRight w:val="0"/>
      <w:marTop w:val="0"/>
      <w:marBottom w:val="0"/>
      <w:divBdr>
        <w:top w:val="none" w:sz="0" w:space="0" w:color="auto"/>
        <w:left w:val="none" w:sz="0" w:space="0" w:color="auto"/>
        <w:bottom w:val="none" w:sz="0" w:space="0" w:color="auto"/>
        <w:right w:val="none" w:sz="0" w:space="0" w:color="auto"/>
      </w:divBdr>
    </w:div>
    <w:div w:id="1484468618">
      <w:bodyDiv w:val="1"/>
      <w:marLeft w:val="0"/>
      <w:marRight w:val="0"/>
      <w:marTop w:val="0"/>
      <w:marBottom w:val="0"/>
      <w:divBdr>
        <w:top w:val="none" w:sz="0" w:space="0" w:color="auto"/>
        <w:left w:val="none" w:sz="0" w:space="0" w:color="auto"/>
        <w:bottom w:val="none" w:sz="0" w:space="0" w:color="auto"/>
        <w:right w:val="none" w:sz="0" w:space="0" w:color="auto"/>
      </w:divBdr>
    </w:div>
    <w:div w:id="1534928594">
      <w:bodyDiv w:val="1"/>
      <w:marLeft w:val="0"/>
      <w:marRight w:val="0"/>
      <w:marTop w:val="0"/>
      <w:marBottom w:val="0"/>
      <w:divBdr>
        <w:top w:val="none" w:sz="0" w:space="0" w:color="auto"/>
        <w:left w:val="none" w:sz="0" w:space="0" w:color="auto"/>
        <w:bottom w:val="none" w:sz="0" w:space="0" w:color="auto"/>
        <w:right w:val="none" w:sz="0" w:space="0" w:color="auto"/>
      </w:divBdr>
    </w:div>
    <w:div w:id="1538815871">
      <w:bodyDiv w:val="1"/>
      <w:marLeft w:val="0"/>
      <w:marRight w:val="0"/>
      <w:marTop w:val="0"/>
      <w:marBottom w:val="0"/>
      <w:divBdr>
        <w:top w:val="none" w:sz="0" w:space="0" w:color="auto"/>
        <w:left w:val="none" w:sz="0" w:space="0" w:color="auto"/>
        <w:bottom w:val="none" w:sz="0" w:space="0" w:color="auto"/>
        <w:right w:val="none" w:sz="0" w:space="0" w:color="auto"/>
      </w:divBdr>
    </w:div>
    <w:div w:id="1568878245">
      <w:bodyDiv w:val="1"/>
      <w:marLeft w:val="0"/>
      <w:marRight w:val="0"/>
      <w:marTop w:val="0"/>
      <w:marBottom w:val="0"/>
      <w:divBdr>
        <w:top w:val="none" w:sz="0" w:space="0" w:color="auto"/>
        <w:left w:val="none" w:sz="0" w:space="0" w:color="auto"/>
        <w:bottom w:val="none" w:sz="0" w:space="0" w:color="auto"/>
        <w:right w:val="none" w:sz="0" w:space="0" w:color="auto"/>
      </w:divBdr>
    </w:div>
    <w:div w:id="1569539654">
      <w:bodyDiv w:val="1"/>
      <w:marLeft w:val="0"/>
      <w:marRight w:val="0"/>
      <w:marTop w:val="0"/>
      <w:marBottom w:val="0"/>
      <w:divBdr>
        <w:top w:val="none" w:sz="0" w:space="0" w:color="auto"/>
        <w:left w:val="none" w:sz="0" w:space="0" w:color="auto"/>
        <w:bottom w:val="none" w:sz="0" w:space="0" w:color="auto"/>
        <w:right w:val="none" w:sz="0" w:space="0" w:color="auto"/>
      </w:divBdr>
    </w:div>
    <w:div w:id="1625696907">
      <w:bodyDiv w:val="1"/>
      <w:marLeft w:val="0"/>
      <w:marRight w:val="0"/>
      <w:marTop w:val="0"/>
      <w:marBottom w:val="0"/>
      <w:divBdr>
        <w:top w:val="none" w:sz="0" w:space="0" w:color="auto"/>
        <w:left w:val="none" w:sz="0" w:space="0" w:color="auto"/>
        <w:bottom w:val="none" w:sz="0" w:space="0" w:color="auto"/>
        <w:right w:val="none" w:sz="0" w:space="0" w:color="auto"/>
      </w:divBdr>
    </w:div>
    <w:div w:id="1715614442">
      <w:bodyDiv w:val="1"/>
      <w:marLeft w:val="0"/>
      <w:marRight w:val="0"/>
      <w:marTop w:val="0"/>
      <w:marBottom w:val="0"/>
      <w:divBdr>
        <w:top w:val="none" w:sz="0" w:space="0" w:color="auto"/>
        <w:left w:val="none" w:sz="0" w:space="0" w:color="auto"/>
        <w:bottom w:val="none" w:sz="0" w:space="0" w:color="auto"/>
        <w:right w:val="none" w:sz="0" w:space="0" w:color="auto"/>
      </w:divBdr>
    </w:div>
    <w:div w:id="1725834420">
      <w:bodyDiv w:val="1"/>
      <w:marLeft w:val="0"/>
      <w:marRight w:val="0"/>
      <w:marTop w:val="0"/>
      <w:marBottom w:val="0"/>
      <w:divBdr>
        <w:top w:val="none" w:sz="0" w:space="0" w:color="auto"/>
        <w:left w:val="none" w:sz="0" w:space="0" w:color="auto"/>
        <w:bottom w:val="none" w:sz="0" w:space="0" w:color="auto"/>
        <w:right w:val="none" w:sz="0" w:space="0" w:color="auto"/>
      </w:divBdr>
    </w:div>
    <w:div w:id="1746950321">
      <w:bodyDiv w:val="1"/>
      <w:marLeft w:val="0"/>
      <w:marRight w:val="0"/>
      <w:marTop w:val="0"/>
      <w:marBottom w:val="0"/>
      <w:divBdr>
        <w:top w:val="none" w:sz="0" w:space="0" w:color="auto"/>
        <w:left w:val="none" w:sz="0" w:space="0" w:color="auto"/>
        <w:bottom w:val="none" w:sz="0" w:space="0" w:color="auto"/>
        <w:right w:val="none" w:sz="0" w:space="0" w:color="auto"/>
      </w:divBdr>
    </w:div>
    <w:div w:id="1807772247">
      <w:bodyDiv w:val="1"/>
      <w:marLeft w:val="0"/>
      <w:marRight w:val="0"/>
      <w:marTop w:val="0"/>
      <w:marBottom w:val="0"/>
      <w:divBdr>
        <w:top w:val="none" w:sz="0" w:space="0" w:color="auto"/>
        <w:left w:val="none" w:sz="0" w:space="0" w:color="auto"/>
        <w:bottom w:val="none" w:sz="0" w:space="0" w:color="auto"/>
        <w:right w:val="none" w:sz="0" w:space="0" w:color="auto"/>
      </w:divBdr>
    </w:div>
    <w:div w:id="1814256741">
      <w:bodyDiv w:val="1"/>
      <w:marLeft w:val="0"/>
      <w:marRight w:val="0"/>
      <w:marTop w:val="0"/>
      <w:marBottom w:val="0"/>
      <w:divBdr>
        <w:top w:val="none" w:sz="0" w:space="0" w:color="auto"/>
        <w:left w:val="none" w:sz="0" w:space="0" w:color="auto"/>
        <w:bottom w:val="none" w:sz="0" w:space="0" w:color="auto"/>
        <w:right w:val="none" w:sz="0" w:space="0" w:color="auto"/>
      </w:divBdr>
    </w:div>
    <w:div w:id="1821924465">
      <w:bodyDiv w:val="1"/>
      <w:marLeft w:val="0"/>
      <w:marRight w:val="0"/>
      <w:marTop w:val="0"/>
      <w:marBottom w:val="0"/>
      <w:divBdr>
        <w:top w:val="none" w:sz="0" w:space="0" w:color="auto"/>
        <w:left w:val="none" w:sz="0" w:space="0" w:color="auto"/>
        <w:bottom w:val="none" w:sz="0" w:space="0" w:color="auto"/>
        <w:right w:val="none" w:sz="0" w:space="0" w:color="auto"/>
      </w:divBdr>
    </w:div>
    <w:div w:id="1851791805">
      <w:bodyDiv w:val="1"/>
      <w:marLeft w:val="0"/>
      <w:marRight w:val="0"/>
      <w:marTop w:val="0"/>
      <w:marBottom w:val="0"/>
      <w:divBdr>
        <w:top w:val="none" w:sz="0" w:space="0" w:color="auto"/>
        <w:left w:val="none" w:sz="0" w:space="0" w:color="auto"/>
        <w:bottom w:val="none" w:sz="0" w:space="0" w:color="auto"/>
        <w:right w:val="none" w:sz="0" w:space="0" w:color="auto"/>
      </w:divBdr>
    </w:div>
    <w:div w:id="1867136268">
      <w:bodyDiv w:val="1"/>
      <w:marLeft w:val="0"/>
      <w:marRight w:val="0"/>
      <w:marTop w:val="0"/>
      <w:marBottom w:val="0"/>
      <w:divBdr>
        <w:top w:val="none" w:sz="0" w:space="0" w:color="auto"/>
        <w:left w:val="none" w:sz="0" w:space="0" w:color="auto"/>
        <w:bottom w:val="none" w:sz="0" w:space="0" w:color="auto"/>
        <w:right w:val="none" w:sz="0" w:space="0" w:color="auto"/>
      </w:divBdr>
    </w:div>
    <w:div w:id="1914193105">
      <w:bodyDiv w:val="1"/>
      <w:marLeft w:val="0"/>
      <w:marRight w:val="0"/>
      <w:marTop w:val="0"/>
      <w:marBottom w:val="0"/>
      <w:divBdr>
        <w:top w:val="none" w:sz="0" w:space="0" w:color="auto"/>
        <w:left w:val="none" w:sz="0" w:space="0" w:color="auto"/>
        <w:bottom w:val="none" w:sz="0" w:space="0" w:color="auto"/>
        <w:right w:val="none" w:sz="0" w:space="0" w:color="auto"/>
      </w:divBdr>
    </w:div>
    <w:div w:id="1926108258">
      <w:bodyDiv w:val="1"/>
      <w:marLeft w:val="0"/>
      <w:marRight w:val="0"/>
      <w:marTop w:val="0"/>
      <w:marBottom w:val="0"/>
      <w:divBdr>
        <w:top w:val="none" w:sz="0" w:space="0" w:color="auto"/>
        <w:left w:val="none" w:sz="0" w:space="0" w:color="auto"/>
        <w:bottom w:val="none" w:sz="0" w:space="0" w:color="auto"/>
        <w:right w:val="none" w:sz="0" w:space="0" w:color="auto"/>
      </w:divBdr>
    </w:div>
    <w:div w:id="195166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coverytrial.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5</TotalTime>
  <Pages>17</Pages>
  <Words>4568</Words>
  <Characters>31185</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Andersen</dc:creator>
  <cp:keywords/>
  <dc:description>2022015075_x000d_
Pkt: 4.4, 4.6, 4.8</dc:description>
  <cp:lastModifiedBy>Caroline Juul Andersen</cp:lastModifiedBy>
  <cp:revision>3</cp:revision>
  <cp:lastPrinted>2012-08-22T08:53:00Z</cp:lastPrinted>
  <dcterms:created xsi:type="dcterms:W3CDTF">2022-05-19T06:09:00Z</dcterms:created>
  <dcterms:modified xsi:type="dcterms:W3CDTF">2022-05-19T06:16:00Z</dcterms:modified>
</cp:coreProperties>
</file>