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F4045" w14:textId="5B3BA9C9" w:rsidR="009260DE" w:rsidRPr="00441FF1" w:rsidRDefault="0021526C" w:rsidP="00A15135">
      <w:pPr>
        <w:rPr>
          <w:b/>
          <w:sz w:val="24"/>
          <w:szCs w:val="24"/>
        </w:rPr>
      </w:pPr>
      <w:bookmarkStart w:id="0" w:name="_GoBack"/>
      <w:bookmarkEnd w:id="0"/>
      <w:r w:rsidRPr="00441FF1">
        <w:rPr>
          <w:noProof/>
          <w:sz w:val="24"/>
          <w:szCs w:val="24"/>
          <w:lang w:eastAsia="da-DK"/>
        </w:rPr>
        <w:drawing>
          <wp:anchor distT="0" distB="0" distL="114300" distR="114300" simplePos="0" relativeHeight="251658240" behindDoc="0" locked="0" layoutInCell="1" allowOverlap="1" wp14:anchorId="127D3018" wp14:editId="67AAC03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41FF1">
        <w:rPr>
          <w:sz w:val="24"/>
          <w:szCs w:val="24"/>
        </w:rPr>
        <w:br w:type="textWrapping" w:clear="all"/>
      </w:r>
    </w:p>
    <w:p w14:paraId="22F15509" w14:textId="7AF93632" w:rsidR="009260DE" w:rsidRPr="00441FF1" w:rsidRDefault="009260DE" w:rsidP="009260DE">
      <w:pPr>
        <w:pStyle w:val="Titel"/>
        <w:tabs>
          <w:tab w:val="right" w:pos="9356"/>
        </w:tabs>
        <w:jc w:val="left"/>
        <w:rPr>
          <w:b w:val="0"/>
          <w:szCs w:val="24"/>
          <w:lang w:eastAsia="en-US"/>
        </w:rPr>
      </w:pPr>
      <w:r w:rsidRPr="00441FF1">
        <w:rPr>
          <w:b w:val="0"/>
          <w:szCs w:val="24"/>
          <w:lang w:eastAsia="en-US"/>
        </w:rPr>
        <w:tab/>
      </w:r>
      <w:r w:rsidR="003A6DB8">
        <w:rPr>
          <w:szCs w:val="24"/>
        </w:rPr>
        <w:t>5. november 2021</w:t>
      </w:r>
    </w:p>
    <w:p w14:paraId="1F57F611" w14:textId="77777777" w:rsidR="009260DE" w:rsidRPr="00441FF1" w:rsidRDefault="009260DE" w:rsidP="009260DE">
      <w:pPr>
        <w:pStyle w:val="Titel"/>
        <w:tabs>
          <w:tab w:val="left" w:pos="8222"/>
        </w:tabs>
        <w:jc w:val="left"/>
        <w:rPr>
          <w:b w:val="0"/>
          <w:szCs w:val="24"/>
        </w:rPr>
      </w:pPr>
    </w:p>
    <w:p w14:paraId="0C879BB5" w14:textId="77777777" w:rsidR="009260DE" w:rsidRPr="00441FF1" w:rsidRDefault="009260DE" w:rsidP="009260DE">
      <w:pPr>
        <w:pStyle w:val="Titel"/>
        <w:jc w:val="left"/>
        <w:rPr>
          <w:b w:val="0"/>
          <w:szCs w:val="24"/>
        </w:rPr>
      </w:pPr>
    </w:p>
    <w:p w14:paraId="496D24B4" w14:textId="77777777" w:rsidR="009260DE" w:rsidRPr="00441FF1" w:rsidRDefault="009260DE" w:rsidP="009260DE">
      <w:pPr>
        <w:pStyle w:val="Titel"/>
        <w:jc w:val="left"/>
        <w:rPr>
          <w:b w:val="0"/>
          <w:szCs w:val="24"/>
        </w:rPr>
      </w:pPr>
    </w:p>
    <w:p w14:paraId="7B25DED6" w14:textId="77777777" w:rsidR="009260DE" w:rsidRPr="00441FF1" w:rsidRDefault="009260DE" w:rsidP="009260DE">
      <w:pPr>
        <w:jc w:val="center"/>
        <w:rPr>
          <w:b/>
          <w:sz w:val="24"/>
          <w:szCs w:val="24"/>
        </w:rPr>
      </w:pPr>
      <w:r w:rsidRPr="00441FF1">
        <w:rPr>
          <w:b/>
          <w:sz w:val="24"/>
          <w:szCs w:val="24"/>
        </w:rPr>
        <w:t>PRODUKTRESUMÉ</w:t>
      </w:r>
    </w:p>
    <w:p w14:paraId="76E2A296" w14:textId="77777777" w:rsidR="009260DE" w:rsidRPr="00441FF1" w:rsidRDefault="009260DE" w:rsidP="009260DE">
      <w:pPr>
        <w:jc w:val="center"/>
        <w:rPr>
          <w:b/>
          <w:sz w:val="24"/>
          <w:szCs w:val="24"/>
        </w:rPr>
      </w:pPr>
    </w:p>
    <w:p w14:paraId="6F845597" w14:textId="77777777" w:rsidR="009260DE" w:rsidRPr="00441FF1" w:rsidRDefault="009260DE" w:rsidP="009260DE">
      <w:pPr>
        <w:jc w:val="center"/>
        <w:rPr>
          <w:b/>
          <w:sz w:val="24"/>
          <w:szCs w:val="24"/>
        </w:rPr>
      </w:pPr>
      <w:r w:rsidRPr="00441FF1">
        <w:rPr>
          <w:b/>
          <w:sz w:val="24"/>
          <w:szCs w:val="24"/>
        </w:rPr>
        <w:t>for</w:t>
      </w:r>
    </w:p>
    <w:p w14:paraId="42D480DC" w14:textId="77777777" w:rsidR="000B058C" w:rsidRPr="00441FF1" w:rsidRDefault="000B058C" w:rsidP="009260DE">
      <w:pPr>
        <w:jc w:val="center"/>
        <w:rPr>
          <w:b/>
          <w:sz w:val="24"/>
          <w:szCs w:val="24"/>
        </w:rPr>
      </w:pPr>
    </w:p>
    <w:p w14:paraId="6D604D43" w14:textId="3EBC3C33" w:rsidR="009260DE" w:rsidRPr="00441FF1" w:rsidRDefault="00916A7A" w:rsidP="009260DE">
      <w:pPr>
        <w:jc w:val="center"/>
        <w:rPr>
          <w:b/>
          <w:sz w:val="24"/>
          <w:szCs w:val="24"/>
        </w:rPr>
      </w:pPr>
      <w:proofErr w:type="spellStart"/>
      <w:r w:rsidRPr="00441FF1">
        <w:rPr>
          <w:b/>
          <w:sz w:val="24"/>
          <w:szCs w:val="24"/>
        </w:rPr>
        <w:t>Dexamcol</w:t>
      </w:r>
      <w:proofErr w:type="spellEnd"/>
      <w:r w:rsidRPr="00441FF1">
        <w:rPr>
          <w:b/>
          <w:sz w:val="24"/>
          <w:szCs w:val="24"/>
        </w:rPr>
        <w:t xml:space="preserve">, </w:t>
      </w:r>
      <w:r w:rsidR="002C2AF2" w:rsidRPr="00441FF1">
        <w:rPr>
          <w:b/>
          <w:sz w:val="24"/>
          <w:szCs w:val="24"/>
        </w:rPr>
        <w:t>øjendråber, opløsning</w:t>
      </w:r>
    </w:p>
    <w:p w14:paraId="2280FF46" w14:textId="77777777" w:rsidR="009260DE" w:rsidRPr="00441FF1" w:rsidRDefault="009260DE" w:rsidP="009260DE">
      <w:pPr>
        <w:jc w:val="both"/>
        <w:rPr>
          <w:sz w:val="24"/>
          <w:szCs w:val="24"/>
        </w:rPr>
      </w:pPr>
    </w:p>
    <w:p w14:paraId="49CDE4B0" w14:textId="77777777" w:rsidR="009260DE" w:rsidRPr="00441FF1" w:rsidRDefault="009260DE" w:rsidP="009260DE">
      <w:pPr>
        <w:jc w:val="both"/>
        <w:rPr>
          <w:sz w:val="24"/>
          <w:szCs w:val="24"/>
        </w:rPr>
      </w:pPr>
    </w:p>
    <w:p w14:paraId="7ACB1FFB" w14:textId="77777777" w:rsidR="009260DE" w:rsidRPr="00441FF1" w:rsidRDefault="009260DE" w:rsidP="009260DE">
      <w:pPr>
        <w:tabs>
          <w:tab w:val="left" w:pos="851"/>
        </w:tabs>
        <w:ind w:left="851" w:hanging="851"/>
        <w:rPr>
          <w:b/>
          <w:sz w:val="24"/>
          <w:szCs w:val="24"/>
        </w:rPr>
      </w:pPr>
      <w:r w:rsidRPr="00441FF1">
        <w:rPr>
          <w:b/>
          <w:sz w:val="24"/>
          <w:szCs w:val="24"/>
        </w:rPr>
        <w:t>0.</w:t>
      </w:r>
      <w:r w:rsidRPr="00441FF1">
        <w:rPr>
          <w:b/>
          <w:sz w:val="24"/>
          <w:szCs w:val="24"/>
        </w:rPr>
        <w:tab/>
        <w:t>D.SP.NR.</w:t>
      </w:r>
    </w:p>
    <w:p w14:paraId="5D96DD8A" w14:textId="70604CF5" w:rsidR="009260DE" w:rsidRPr="00441FF1" w:rsidRDefault="002C2AF2" w:rsidP="009260DE">
      <w:pPr>
        <w:tabs>
          <w:tab w:val="left" w:pos="851"/>
        </w:tabs>
        <w:ind w:left="851"/>
        <w:rPr>
          <w:sz w:val="24"/>
          <w:szCs w:val="24"/>
        </w:rPr>
      </w:pPr>
      <w:r w:rsidRPr="00441FF1">
        <w:rPr>
          <w:sz w:val="24"/>
          <w:szCs w:val="24"/>
        </w:rPr>
        <w:t>31953</w:t>
      </w:r>
    </w:p>
    <w:p w14:paraId="7FBDCC9F" w14:textId="77777777" w:rsidR="009260DE" w:rsidRPr="00441FF1" w:rsidRDefault="009260DE" w:rsidP="009260DE">
      <w:pPr>
        <w:tabs>
          <w:tab w:val="left" w:pos="851"/>
        </w:tabs>
        <w:ind w:left="851"/>
        <w:rPr>
          <w:sz w:val="24"/>
          <w:szCs w:val="24"/>
        </w:rPr>
      </w:pPr>
    </w:p>
    <w:p w14:paraId="2F5FF9A2" w14:textId="77777777" w:rsidR="009260DE" w:rsidRPr="00441FF1" w:rsidRDefault="009260DE" w:rsidP="009260DE">
      <w:pPr>
        <w:tabs>
          <w:tab w:val="left" w:pos="851"/>
        </w:tabs>
        <w:ind w:left="851" w:hanging="851"/>
        <w:rPr>
          <w:b/>
          <w:sz w:val="24"/>
          <w:szCs w:val="24"/>
        </w:rPr>
      </w:pPr>
      <w:r w:rsidRPr="00441FF1">
        <w:rPr>
          <w:b/>
          <w:sz w:val="24"/>
          <w:szCs w:val="24"/>
        </w:rPr>
        <w:t>1.</w:t>
      </w:r>
      <w:r w:rsidRPr="00441FF1">
        <w:rPr>
          <w:b/>
          <w:sz w:val="24"/>
          <w:szCs w:val="24"/>
        </w:rPr>
        <w:tab/>
        <w:t>LÆGEMIDLETS NAVN</w:t>
      </w:r>
    </w:p>
    <w:p w14:paraId="0FF877B9" w14:textId="5B278589" w:rsidR="009260DE" w:rsidRPr="00441FF1" w:rsidRDefault="002C2AF2" w:rsidP="009260DE">
      <w:pPr>
        <w:tabs>
          <w:tab w:val="left" w:pos="851"/>
        </w:tabs>
        <w:ind w:left="851"/>
        <w:rPr>
          <w:sz w:val="24"/>
          <w:szCs w:val="24"/>
        </w:rPr>
      </w:pPr>
      <w:proofErr w:type="spellStart"/>
      <w:r w:rsidRPr="00441FF1">
        <w:rPr>
          <w:sz w:val="24"/>
          <w:szCs w:val="24"/>
        </w:rPr>
        <w:t>Dexamcol</w:t>
      </w:r>
      <w:proofErr w:type="spellEnd"/>
    </w:p>
    <w:p w14:paraId="4A15ACB4" w14:textId="77777777" w:rsidR="009260DE" w:rsidRPr="00441FF1" w:rsidRDefault="009260DE" w:rsidP="009260DE">
      <w:pPr>
        <w:tabs>
          <w:tab w:val="left" w:pos="851"/>
        </w:tabs>
        <w:ind w:left="851"/>
        <w:rPr>
          <w:sz w:val="24"/>
          <w:szCs w:val="24"/>
        </w:rPr>
      </w:pPr>
    </w:p>
    <w:p w14:paraId="3C8F4D95" w14:textId="77777777" w:rsidR="009260DE" w:rsidRPr="00441FF1" w:rsidRDefault="009260DE" w:rsidP="009260DE">
      <w:pPr>
        <w:tabs>
          <w:tab w:val="left" w:pos="851"/>
        </w:tabs>
        <w:ind w:left="851" w:hanging="851"/>
        <w:rPr>
          <w:b/>
          <w:sz w:val="24"/>
          <w:szCs w:val="24"/>
        </w:rPr>
      </w:pPr>
      <w:r w:rsidRPr="00441FF1">
        <w:rPr>
          <w:b/>
          <w:sz w:val="24"/>
          <w:szCs w:val="24"/>
        </w:rPr>
        <w:t>2.</w:t>
      </w:r>
      <w:r w:rsidRPr="00441FF1">
        <w:rPr>
          <w:b/>
          <w:sz w:val="24"/>
          <w:szCs w:val="24"/>
        </w:rPr>
        <w:tab/>
        <w:t>KVALITATIV OG KVANTITATIV SAMMENSÆTNING</w:t>
      </w:r>
    </w:p>
    <w:p w14:paraId="60607115" w14:textId="77777777" w:rsidR="00592950" w:rsidRPr="00441FF1" w:rsidRDefault="00592950" w:rsidP="00A15135">
      <w:pPr>
        <w:ind w:left="851"/>
        <w:rPr>
          <w:sz w:val="24"/>
          <w:szCs w:val="24"/>
          <w:lang w:eastAsia="da-DK"/>
        </w:rPr>
      </w:pPr>
      <w:r w:rsidRPr="00441FF1">
        <w:rPr>
          <w:sz w:val="24"/>
          <w:szCs w:val="24"/>
        </w:rPr>
        <w:t xml:space="preserve">Hver ml indeholder 1 mg </w:t>
      </w:r>
      <w:proofErr w:type="spellStart"/>
      <w:r w:rsidRPr="00441FF1">
        <w:rPr>
          <w:sz w:val="24"/>
          <w:szCs w:val="24"/>
        </w:rPr>
        <w:t>dexamethasonnatrium-phosphat</w:t>
      </w:r>
      <w:proofErr w:type="spellEnd"/>
      <w:r w:rsidRPr="00441FF1">
        <w:rPr>
          <w:sz w:val="24"/>
          <w:szCs w:val="24"/>
        </w:rPr>
        <w:t xml:space="preserve"> og 5 mg </w:t>
      </w:r>
      <w:proofErr w:type="spellStart"/>
      <w:r w:rsidRPr="00441FF1">
        <w:rPr>
          <w:sz w:val="24"/>
          <w:szCs w:val="24"/>
        </w:rPr>
        <w:t>chloramphenicol</w:t>
      </w:r>
      <w:proofErr w:type="spellEnd"/>
      <w:r w:rsidRPr="00441FF1">
        <w:rPr>
          <w:sz w:val="24"/>
          <w:szCs w:val="24"/>
        </w:rPr>
        <w:t>.</w:t>
      </w:r>
    </w:p>
    <w:p w14:paraId="6EDF2438" w14:textId="77777777" w:rsidR="00592950" w:rsidRPr="00441FF1" w:rsidRDefault="00592950" w:rsidP="00A15135">
      <w:pPr>
        <w:ind w:left="851"/>
        <w:rPr>
          <w:sz w:val="24"/>
          <w:szCs w:val="24"/>
        </w:rPr>
      </w:pPr>
    </w:p>
    <w:p w14:paraId="017D6046" w14:textId="77777777" w:rsidR="00592950" w:rsidRPr="00441FF1" w:rsidRDefault="00592950" w:rsidP="00A15135">
      <w:pPr>
        <w:ind w:left="851"/>
        <w:rPr>
          <w:sz w:val="24"/>
          <w:szCs w:val="24"/>
        </w:rPr>
      </w:pPr>
      <w:r w:rsidRPr="00441FF1">
        <w:rPr>
          <w:sz w:val="24"/>
          <w:szCs w:val="24"/>
          <w:u w:val="single"/>
        </w:rPr>
        <w:t>Hjælpestoffer, som behandleren skal være opmærksom på:</w:t>
      </w:r>
      <w:r w:rsidRPr="00441FF1">
        <w:rPr>
          <w:sz w:val="24"/>
          <w:szCs w:val="24"/>
        </w:rPr>
        <w:t xml:space="preserve"> </w:t>
      </w:r>
    </w:p>
    <w:p w14:paraId="41E30E82" w14:textId="2DD73ECD" w:rsidR="00592950" w:rsidRPr="00441FF1" w:rsidRDefault="00592950" w:rsidP="00CA5F7F">
      <w:pPr>
        <w:tabs>
          <w:tab w:val="left" w:pos="5529"/>
        </w:tabs>
        <w:ind w:left="851"/>
        <w:rPr>
          <w:sz w:val="24"/>
          <w:szCs w:val="24"/>
        </w:rPr>
      </w:pPr>
      <w:proofErr w:type="spellStart"/>
      <w:r w:rsidRPr="00441FF1">
        <w:rPr>
          <w:sz w:val="24"/>
          <w:szCs w:val="24"/>
        </w:rPr>
        <w:t>Benzalkoniumchlorid</w:t>
      </w:r>
      <w:proofErr w:type="spellEnd"/>
      <w:r w:rsidRPr="00441FF1">
        <w:rPr>
          <w:sz w:val="24"/>
          <w:szCs w:val="24"/>
        </w:rPr>
        <w:t xml:space="preserve"> </w:t>
      </w:r>
      <w:r w:rsidR="0077549F">
        <w:rPr>
          <w:sz w:val="24"/>
          <w:szCs w:val="24"/>
        </w:rPr>
        <w:tab/>
      </w:r>
      <w:r w:rsidRPr="00441FF1">
        <w:rPr>
          <w:sz w:val="24"/>
          <w:szCs w:val="24"/>
        </w:rPr>
        <w:t>0,1 mg/ml</w:t>
      </w:r>
    </w:p>
    <w:p w14:paraId="3EB06A18" w14:textId="7AB0225F" w:rsidR="00592950" w:rsidRPr="00441FF1" w:rsidRDefault="00592950" w:rsidP="00CA5F7F">
      <w:pPr>
        <w:tabs>
          <w:tab w:val="left" w:pos="5529"/>
        </w:tabs>
        <w:ind w:left="851"/>
        <w:rPr>
          <w:sz w:val="24"/>
          <w:szCs w:val="24"/>
        </w:rPr>
      </w:pPr>
      <w:bookmarkStart w:id="1" w:name="_Hlk48646739"/>
      <w:proofErr w:type="spellStart"/>
      <w:r w:rsidRPr="00441FF1">
        <w:rPr>
          <w:sz w:val="24"/>
          <w:szCs w:val="24"/>
        </w:rPr>
        <w:t>Natriumdihydrogenphosphatdihydrat</w:t>
      </w:r>
      <w:proofErr w:type="spellEnd"/>
      <w:r w:rsidRPr="00441FF1">
        <w:rPr>
          <w:sz w:val="24"/>
          <w:szCs w:val="24"/>
        </w:rPr>
        <w:t xml:space="preserve"> </w:t>
      </w:r>
      <w:bookmarkEnd w:id="1"/>
      <w:r w:rsidR="00CA5F7F">
        <w:rPr>
          <w:sz w:val="24"/>
          <w:szCs w:val="24"/>
        </w:rPr>
        <w:tab/>
      </w:r>
      <w:r w:rsidRPr="00441FF1">
        <w:rPr>
          <w:sz w:val="24"/>
          <w:szCs w:val="24"/>
        </w:rPr>
        <w:t>0,76 mg/ml</w:t>
      </w:r>
    </w:p>
    <w:p w14:paraId="10E2E9FF" w14:textId="5223804F" w:rsidR="00592950" w:rsidRPr="00441FF1" w:rsidRDefault="00592950" w:rsidP="00CA5F7F">
      <w:pPr>
        <w:tabs>
          <w:tab w:val="left" w:pos="5529"/>
        </w:tabs>
        <w:ind w:left="851"/>
        <w:rPr>
          <w:sz w:val="24"/>
          <w:szCs w:val="24"/>
        </w:rPr>
      </w:pPr>
      <w:bookmarkStart w:id="2" w:name="_Hlk48646753"/>
      <w:proofErr w:type="spellStart"/>
      <w:r w:rsidRPr="00441FF1">
        <w:rPr>
          <w:sz w:val="24"/>
          <w:szCs w:val="24"/>
        </w:rPr>
        <w:t>Dinatriumphosphatdihydrat</w:t>
      </w:r>
      <w:proofErr w:type="spellEnd"/>
      <w:r w:rsidRPr="00441FF1">
        <w:rPr>
          <w:sz w:val="24"/>
          <w:szCs w:val="24"/>
        </w:rPr>
        <w:t xml:space="preserve"> </w:t>
      </w:r>
      <w:bookmarkEnd w:id="2"/>
      <w:r w:rsidR="00CA5F7F">
        <w:rPr>
          <w:sz w:val="24"/>
          <w:szCs w:val="24"/>
        </w:rPr>
        <w:tab/>
      </w:r>
      <w:r w:rsidRPr="00441FF1">
        <w:rPr>
          <w:sz w:val="24"/>
          <w:szCs w:val="24"/>
        </w:rPr>
        <w:t>2,06 mg/ml</w:t>
      </w:r>
    </w:p>
    <w:p w14:paraId="6C3795DB" w14:textId="36FE42D2" w:rsidR="00592950" w:rsidRPr="00441FF1" w:rsidRDefault="00592950" w:rsidP="00CA5F7F">
      <w:pPr>
        <w:tabs>
          <w:tab w:val="left" w:pos="5529"/>
        </w:tabs>
        <w:ind w:left="851"/>
        <w:rPr>
          <w:sz w:val="24"/>
          <w:szCs w:val="24"/>
          <w:u w:val="single"/>
        </w:rPr>
      </w:pPr>
      <w:r w:rsidRPr="00441FF1">
        <w:rPr>
          <w:spacing w:val="-3"/>
          <w:sz w:val="24"/>
          <w:szCs w:val="24"/>
        </w:rPr>
        <w:t xml:space="preserve">Ricinusolie, </w:t>
      </w:r>
      <w:proofErr w:type="spellStart"/>
      <w:r w:rsidRPr="00441FF1">
        <w:rPr>
          <w:spacing w:val="-3"/>
          <w:sz w:val="24"/>
          <w:szCs w:val="24"/>
        </w:rPr>
        <w:t>polyoxyleret</w:t>
      </w:r>
      <w:proofErr w:type="spellEnd"/>
      <w:r w:rsidRPr="00441FF1">
        <w:rPr>
          <w:spacing w:val="-3"/>
          <w:sz w:val="24"/>
          <w:szCs w:val="24"/>
        </w:rPr>
        <w:t xml:space="preserve"> </w:t>
      </w:r>
      <w:r w:rsidR="00CA5F7F">
        <w:rPr>
          <w:spacing w:val="-3"/>
          <w:sz w:val="24"/>
          <w:szCs w:val="24"/>
        </w:rPr>
        <w:tab/>
      </w:r>
      <w:r w:rsidRPr="00441FF1">
        <w:rPr>
          <w:spacing w:val="-3"/>
          <w:sz w:val="24"/>
          <w:szCs w:val="24"/>
        </w:rPr>
        <w:t>30 mg/ml</w:t>
      </w:r>
    </w:p>
    <w:p w14:paraId="2B7CD192" w14:textId="77777777" w:rsidR="00592950" w:rsidRPr="00441FF1" w:rsidRDefault="00592950" w:rsidP="00A15135">
      <w:pPr>
        <w:ind w:left="851"/>
        <w:rPr>
          <w:iCs/>
          <w:sz w:val="24"/>
          <w:szCs w:val="24"/>
        </w:rPr>
      </w:pPr>
    </w:p>
    <w:p w14:paraId="6E808DCD" w14:textId="77777777" w:rsidR="00592950" w:rsidRPr="00441FF1" w:rsidRDefault="00592950" w:rsidP="00A15135">
      <w:pPr>
        <w:ind w:left="851"/>
        <w:rPr>
          <w:sz w:val="24"/>
          <w:szCs w:val="24"/>
        </w:rPr>
      </w:pPr>
      <w:r w:rsidRPr="00441FF1">
        <w:rPr>
          <w:sz w:val="24"/>
          <w:szCs w:val="24"/>
        </w:rPr>
        <w:t>Alle hjælpestoffer er anført under pkt. 6.1.</w:t>
      </w:r>
    </w:p>
    <w:p w14:paraId="79D0379A" w14:textId="77777777" w:rsidR="009260DE" w:rsidRPr="00441FF1" w:rsidRDefault="009260DE" w:rsidP="009260DE">
      <w:pPr>
        <w:tabs>
          <w:tab w:val="left" w:pos="851"/>
        </w:tabs>
        <w:ind w:left="851"/>
        <w:rPr>
          <w:sz w:val="24"/>
          <w:szCs w:val="24"/>
        </w:rPr>
      </w:pPr>
    </w:p>
    <w:p w14:paraId="43F1FB4B" w14:textId="77777777" w:rsidR="009260DE" w:rsidRPr="00441FF1" w:rsidRDefault="009260DE" w:rsidP="009260DE">
      <w:pPr>
        <w:tabs>
          <w:tab w:val="left" w:pos="851"/>
        </w:tabs>
        <w:ind w:left="851" w:hanging="851"/>
        <w:rPr>
          <w:b/>
          <w:sz w:val="24"/>
          <w:szCs w:val="24"/>
        </w:rPr>
      </w:pPr>
      <w:r w:rsidRPr="00441FF1">
        <w:rPr>
          <w:b/>
          <w:sz w:val="24"/>
          <w:szCs w:val="24"/>
        </w:rPr>
        <w:t>3.</w:t>
      </w:r>
      <w:r w:rsidRPr="00441FF1">
        <w:rPr>
          <w:b/>
          <w:sz w:val="24"/>
          <w:szCs w:val="24"/>
        </w:rPr>
        <w:tab/>
        <w:t>LÆGEMIDDELFORM</w:t>
      </w:r>
    </w:p>
    <w:p w14:paraId="2F1EA2D8" w14:textId="79766E65" w:rsidR="00592950" w:rsidRPr="00441FF1" w:rsidRDefault="00592950" w:rsidP="00A15135">
      <w:pPr>
        <w:ind w:left="851"/>
        <w:rPr>
          <w:sz w:val="24"/>
          <w:szCs w:val="24"/>
          <w:lang w:eastAsia="da-DK"/>
        </w:rPr>
      </w:pPr>
      <w:r w:rsidRPr="00441FF1">
        <w:rPr>
          <w:sz w:val="24"/>
          <w:szCs w:val="24"/>
        </w:rPr>
        <w:t>Øjendråber, opløsning</w:t>
      </w:r>
    </w:p>
    <w:p w14:paraId="4559FC81" w14:textId="77777777" w:rsidR="00592950" w:rsidRPr="00441FF1" w:rsidRDefault="00592950" w:rsidP="00A15135">
      <w:pPr>
        <w:ind w:left="851"/>
        <w:rPr>
          <w:sz w:val="24"/>
          <w:szCs w:val="24"/>
        </w:rPr>
      </w:pPr>
    </w:p>
    <w:p w14:paraId="2838B802" w14:textId="77777777" w:rsidR="00592950" w:rsidRPr="00441FF1" w:rsidRDefault="00592950" w:rsidP="00A15135">
      <w:pPr>
        <w:ind w:left="851"/>
        <w:rPr>
          <w:sz w:val="24"/>
          <w:szCs w:val="24"/>
        </w:rPr>
      </w:pPr>
      <w:r w:rsidRPr="00441FF1">
        <w:rPr>
          <w:sz w:val="24"/>
          <w:szCs w:val="24"/>
        </w:rPr>
        <w:t>Opaliserende, farveløs til lysegul opløsning.</w:t>
      </w:r>
    </w:p>
    <w:p w14:paraId="22F7E1B8" w14:textId="77777777" w:rsidR="00592950" w:rsidRPr="00441FF1" w:rsidRDefault="00592950" w:rsidP="00A15135">
      <w:pPr>
        <w:ind w:left="851"/>
        <w:rPr>
          <w:sz w:val="24"/>
          <w:szCs w:val="24"/>
        </w:rPr>
      </w:pPr>
      <w:r w:rsidRPr="00441FF1">
        <w:rPr>
          <w:sz w:val="24"/>
          <w:szCs w:val="24"/>
        </w:rPr>
        <w:t>pH: 6,8-7,5</w:t>
      </w:r>
    </w:p>
    <w:p w14:paraId="1A9B2424" w14:textId="77777777" w:rsidR="00592950" w:rsidRPr="00441FF1" w:rsidRDefault="00592950" w:rsidP="00A15135">
      <w:pPr>
        <w:ind w:left="851"/>
        <w:rPr>
          <w:sz w:val="24"/>
          <w:szCs w:val="24"/>
        </w:rPr>
      </w:pPr>
      <w:proofErr w:type="spellStart"/>
      <w:r w:rsidRPr="00441FF1">
        <w:rPr>
          <w:sz w:val="24"/>
          <w:szCs w:val="24"/>
        </w:rPr>
        <w:t>Osmolalitet</w:t>
      </w:r>
      <w:proofErr w:type="spellEnd"/>
      <w:r w:rsidRPr="00441FF1">
        <w:rPr>
          <w:sz w:val="24"/>
          <w:szCs w:val="24"/>
        </w:rPr>
        <w:t>: 300-345 </w:t>
      </w:r>
      <w:proofErr w:type="spellStart"/>
      <w:r w:rsidRPr="00441FF1">
        <w:rPr>
          <w:sz w:val="24"/>
          <w:szCs w:val="24"/>
        </w:rPr>
        <w:t>mOsm</w:t>
      </w:r>
      <w:proofErr w:type="spellEnd"/>
      <w:r w:rsidRPr="00441FF1">
        <w:rPr>
          <w:sz w:val="24"/>
          <w:szCs w:val="24"/>
        </w:rPr>
        <w:t>/kg</w:t>
      </w:r>
    </w:p>
    <w:p w14:paraId="488DA26D" w14:textId="77777777" w:rsidR="009260DE" w:rsidRPr="00441FF1" w:rsidRDefault="009260DE" w:rsidP="009260DE">
      <w:pPr>
        <w:tabs>
          <w:tab w:val="left" w:pos="851"/>
        </w:tabs>
        <w:ind w:left="851"/>
        <w:rPr>
          <w:sz w:val="24"/>
          <w:szCs w:val="24"/>
        </w:rPr>
      </w:pPr>
    </w:p>
    <w:p w14:paraId="7C9D0563" w14:textId="77777777" w:rsidR="009260DE" w:rsidRPr="00441FF1" w:rsidRDefault="009260DE" w:rsidP="009260DE">
      <w:pPr>
        <w:tabs>
          <w:tab w:val="left" w:pos="851"/>
        </w:tabs>
        <w:ind w:left="851"/>
        <w:rPr>
          <w:sz w:val="24"/>
          <w:szCs w:val="24"/>
        </w:rPr>
      </w:pPr>
    </w:p>
    <w:p w14:paraId="2EE4A658" w14:textId="77777777" w:rsidR="009260DE" w:rsidRPr="00441FF1" w:rsidRDefault="009260DE" w:rsidP="009260DE">
      <w:pPr>
        <w:tabs>
          <w:tab w:val="left" w:pos="851"/>
        </w:tabs>
        <w:ind w:left="851" w:hanging="851"/>
        <w:rPr>
          <w:b/>
          <w:sz w:val="24"/>
          <w:szCs w:val="24"/>
        </w:rPr>
      </w:pPr>
      <w:r w:rsidRPr="00441FF1">
        <w:rPr>
          <w:b/>
          <w:sz w:val="24"/>
          <w:szCs w:val="24"/>
        </w:rPr>
        <w:t>4.</w:t>
      </w:r>
      <w:r w:rsidRPr="00441FF1">
        <w:rPr>
          <w:b/>
          <w:sz w:val="24"/>
          <w:szCs w:val="24"/>
        </w:rPr>
        <w:tab/>
        <w:t>KLINISKE OPLYSNINGER</w:t>
      </w:r>
    </w:p>
    <w:p w14:paraId="14CE4FB8" w14:textId="77777777" w:rsidR="009260DE" w:rsidRPr="00441FF1" w:rsidRDefault="009260DE" w:rsidP="009260DE">
      <w:pPr>
        <w:tabs>
          <w:tab w:val="left" w:pos="851"/>
        </w:tabs>
        <w:ind w:left="851"/>
        <w:rPr>
          <w:b/>
          <w:sz w:val="24"/>
          <w:szCs w:val="24"/>
        </w:rPr>
      </w:pPr>
    </w:p>
    <w:p w14:paraId="49D4FFD7" w14:textId="77777777" w:rsidR="009260DE" w:rsidRPr="00441FF1" w:rsidRDefault="009260DE" w:rsidP="009260DE">
      <w:pPr>
        <w:tabs>
          <w:tab w:val="left" w:pos="851"/>
        </w:tabs>
        <w:ind w:left="851" w:hanging="851"/>
        <w:rPr>
          <w:b/>
          <w:sz w:val="24"/>
          <w:szCs w:val="24"/>
          <w:u w:val="single"/>
        </w:rPr>
      </w:pPr>
      <w:r w:rsidRPr="00441FF1">
        <w:rPr>
          <w:b/>
          <w:sz w:val="24"/>
          <w:szCs w:val="24"/>
        </w:rPr>
        <w:t>4.1</w:t>
      </w:r>
      <w:r w:rsidRPr="00441FF1">
        <w:rPr>
          <w:b/>
          <w:sz w:val="24"/>
          <w:szCs w:val="24"/>
        </w:rPr>
        <w:tab/>
        <w:t>Terapeutiske indikationer</w:t>
      </w:r>
    </w:p>
    <w:p w14:paraId="4609E52E" w14:textId="77777777" w:rsidR="00592950" w:rsidRPr="00441FF1" w:rsidRDefault="00592950" w:rsidP="00A15135">
      <w:pPr>
        <w:ind w:left="851"/>
        <w:rPr>
          <w:sz w:val="24"/>
          <w:szCs w:val="24"/>
          <w:lang w:eastAsia="da-DK"/>
        </w:rPr>
      </w:pPr>
      <w:r w:rsidRPr="00441FF1">
        <w:rPr>
          <w:sz w:val="24"/>
          <w:szCs w:val="24"/>
        </w:rPr>
        <w:t xml:space="preserve">Inflammation i øjets forkammer hos patienter, hvor </w:t>
      </w:r>
      <w:proofErr w:type="spellStart"/>
      <w:r w:rsidRPr="00441FF1">
        <w:rPr>
          <w:sz w:val="24"/>
          <w:szCs w:val="24"/>
        </w:rPr>
        <w:t>kortikosteroidbehandling</w:t>
      </w:r>
      <w:proofErr w:type="spellEnd"/>
      <w:r w:rsidRPr="00441FF1">
        <w:rPr>
          <w:sz w:val="24"/>
          <w:szCs w:val="24"/>
        </w:rPr>
        <w:t xml:space="preserve"> er indiceret, og der enten er en samtidig bakterieinfektion, som er følsom over for </w:t>
      </w:r>
      <w:proofErr w:type="spellStart"/>
      <w:r w:rsidRPr="00441FF1">
        <w:rPr>
          <w:sz w:val="24"/>
          <w:szCs w:val="24"/>
        </w:rPr>
        <w:t>chloramphenicol</w:t>
      </w:r>
      <w:proofErr w:type="spellEnd"/>
      <w:r w:rsidRPr="00441FF1">
        <w:rPr>
          <w:sz w:val="24"/>
          <w:szCs w:val="24"/>
        </w:rPr>
        <w:t>, eller en øget risiko for infektion.</w:t>
      </w:r>
    </w:p>
    <w:p w14:paraId="2239D4BF" w14:textId="0730E77C" w:rsidR="00441FF1" w:rsidRDefault="00441FF1">
      <w:pPr>
        <w:rPr>
          <w:sz w:val="24"/>
          <w:szCs w:val="24"/>
        </w:rPr>
      </w:pPr>
      <w:r>
        <w:rPr>
          <w:sz w:val="24"/>
          <w:szCs w:val="24"/>
        </w:rPr>
        <w:br w:type="page"/>
      </w:r>
    </w:p>
    <w:p w14:paraId="7A2D23A2" w14:textId="77777777" w:rsidR="009260DE" w:rsidRPr="00441FF1" w:rsidRDefault="009260DE" w:rsidP="009260DE">
      <w:pPr>
        <w:tabs>
          <w:tab w:val="left" w:pos="851"/>
        </w:tabs>
        <w:ind w:left="851"/>
        <w:rPr>
          <w:sz w:val="24"/>
          <w:szCs w:val="24"/>
        </w:rPr>
      </w:pPr>
    </w:p>
    <w:p w14:paraId="1FA36BD8" w14:textId="77777777" w:rsidR="009260DE" w:rsidRPr="00441FF1" w:rsidRDefault="009260DE" w:rsidP="009260DE">
      <w:pPr>
        <w:tabs>
          <w:tab w:val="left" w:pos="851"/>
        </w:tabs>
        <w:ind w:left="851" w:hanging="851"/>
        <w:rPr>
          <w:b/>
          <w:sz w:val="24"/>
          <w:szCs w:val="24"/>
        </w:rPr>
      </w:pPr>
      <w:r w:rsidRPr="00441FF1">
        <w:rPr>
          <w:b/>
          <w:sz w:val="24"/>
          <w:szCs w:val="24"/>
        </w:rPr>
        <w:t>4.2</w:t>
      </w:r>
      <w:r w:rsidRPr="00441FF1">
        <w:rPr>
          <w:b/>
          <w:sz w:val="24"/>
          <w:szCs w:val="24"/>
        </w:rPr>
        <w:tab/>
        <w:t>Dosering og indgivelsesmåde</w:t>
      </w:r>
    </w:p>
    <w:p w14:paraId="598F8AE9" w14:textId="77777777" w:rsidR="00475B97" w:rsidRPr="00441FF1" w:rsidRDefault="00475B97" w:rsidP="00A15135">
      <w:pPr>
        <w:ind w:left="851"/>
        <w:rPr>
          <w:sz w:val="24"/>
          <w:szCs w:val="24"/>
        </w:rPr>
      </w:pPr>
    </w:p>
    <w:p w14:paraId="143CD515" w14:textId="6CAA3A68" w:rsidR="00592950" w:rsidRPr="00441FF1" w:rsidRDefault="00592950" w:rsidP="00A15135">
      <w:pPr>
        <w:ind w:left="851"/>
        <w:rPr>
          <w:sz w:val="24"/>
          <w:szCs w:val="24"/>
          <w:u w:val="single"/>
          <w:lang w:eastAsia="da-DK"/>
        </w:rPr>
      </w:pPr>
      <w:r w:rsidRPr="00441FF1">
        <w:rPr>
          <w:sz w:val="24"/>
          <w:szCs w:val="24"/>
          <w:u w:val="single"/>
        </w:rPr>
        <w:t>Dosering</w:t>
      </w:r>
    </w:p>
    <w:p w14:paraId="7CC75227" w14:textId="77777777" w:rsidR="00592950" w:rsidRPr="00441FF1" w:rsidRDefault="00592950" w:rsidP="00A15135">
      <w:pPr>
        <w:ind w:left="851"/>
        <w:rPr>
          <w:sz w:val="24"/>
          <w:szCs w:val="24"/>
        </w:rPr>
      </w:pPr>
    </w:p>
    <w:p w14:paraId="05A7A5F9" w14:textId="77777777" w:rsidR="00592950" w:rsidRPr="00441FF1" w:rsidRDefault="00592950" w:rsidP="00A15135">
      <w:pPr>
        <w:ind w:left="851"/>
        <w:rPr>
          <w:i/>
          <w:sz w:val="24"/>
          <w:szCs w:val="24"/>
        </w:rPr>
      </w:pPr>
      <w:r w:rsidRPr="00441FF1">
        <w:rPr>
          <w:i/>
          <w:sz w:val="24"/>
          <w:szCs w:val="24"/>
        </w:rPr>
        <w:t xml:space="preserve">Voksne </w:t>
      </w:r>
    </w:p>
    <w:p w14:paraId="0B96E20E" w14:textId="77777777" w:rsidR="00592950" w:rsidRPr="00441FF1" w:rsidRDefault="00592950" w:rsidP="00A15135">
      <w:pPr>
        <w:ind w:left="851"/>
        <w:rPr>
          <w:spacing w:val="-3"/>
          <w:sz w:val="24"/>
          <w:szCs w:val="24"/>
        </w:rPr>
      </w:pPr>
      <w:r w:rsidRPr="00441FF1">
        <w:rPr>
          <w:spacing w:val="-3"/>
          <w:sz w:val="24"/>
          <w:szCs w:val="24"/>
        </w:rPr>
        <w:t>1 dråbe i øjet 3-5 gange dagligt. I svære tilfælde op til 1 dråbe i timen.</w:t>
      </w:r>
    </w:p>
    <w:p w14:paraId="366AE716" w14:textId="77777777" w:rsidR="00592950" w:rsidRPr="00441FF1" w:rsidRDefault="00592950" w:rsidP="00A15135">
      <w:pPr>
        <w:ind w:left="851"/>
        <w:rPr>
          <w:spacing w:val="-3"/>
          <w:sz w:val="24"/>
          <w:szCs w:val="24"/>
        </w:rPr>
      </w:pPr>
      <w:r w:rsidRPr="00441FF1">
        <w:rPr>
          <w:spacing w:val="-3"/>
          <w:sz w:val="24"/>
          <w:szCs w:val="24"/>
        </w:rPr>
        <w:t>Behandlingen bør ikke vare i mere end 10 dage.</w:t>
      </w:r>
    </w:p>
    <w:p w14:paraId="3E301314" w14:textId="77777777" w:rsidR="00592950" w:rsidRPr="00441FF1" w:rsidRDefault="00592950" w:rsidP="00A15135">
      <w:pPr>
        <w:ind w:left="851"/>
        <w:rPr>
          <w:bCs/>
          <w:iCs/>
          <w:sz w:val="24"/>
          <w:szCs w:val="24"/>
        </w:rPr>
      </w:pPr>
    </w:p>
    <w:p w14:paraId="5558C92C" w14:textId="77777777" w:rsidR="00592950" w:rsidRPr="00441FF1" w:rsidRDefault="00592950" w:rsidP="00A15135">
      <w:pPr>
        <w:ind w:left="851"/>
        <w:rPr>
          <w:bCs/>
          <w:i/>
          <w:iCs/>
          <w:sz w:val="24"/>
          <w:szCs w:val="24"/>
        </w:rPr>
      </w:pPr>
      <w:r w:rsidRPr="00441FF1">
        <w:rPr>
          <w:i/>
          <w:sz w:val="24"/>
          <w:szCs w:val="24"/>
        </w:rPr>
        <w:t>Ældre patienter</w:t>
      </w:r>
    </w:p>
    <w:p w14:paraId="4A2A6DD5" w14:textId="77777777" w:rsidR="00592950" w:rsidRPr="00441FF1" w:rsidRDefault="00592950" w:rsidP="00A15135">
      <w:pPr>
        <w:ind w:left="851"/>
        <w:rPr>
          <w:spacing w:val="-3"/>
          <w:sz w:val="24"/>
          <w:szCs w:val="24"/>
        </w:rPr>
      </w:pPr>
      <w:r w:rsidRPr="00441FF1">
        <w:rPr>
          <w:spacing w:val="-3"/>
          <w:sz w:val="24"/>
          <w:szCs w:val="24"/>
        </w:rPr>
        <w:t>Der er ingen tegn på, at det er nødvendigt at justere dosis hos ældre patienter.</w:t>
      </w:r>
    </w:p>
    <w:p w14:paraId="58C45DD8" w14:textId="77777777" w:rsidR="00592950" w:rsidRPr="00441FF1" w:rsidRDefault="00592950" w:rsidP="00A15135">
      <w:pPr>
        <w:ind w:left="851"/>
        <w:rPr>
          <w:bCs/>
          <w:iCs/>
          <w:sz w:val="24"/>
          <w:szCs w:val="24"/>
        </w:rPr>
      </w:pPr>
    </w:p>
    <w:p w14:paraId="0050FCAB" w14:textId="77777777" w:rsidR="00592950" w:rsidRPr="00441FF1" w:rsidRDefault="00592950" w:rsidP="00A15135">
      <w:pPr>
        <w:ind w:left="851"/>
        <w:rPr>
          <w:bCs/>
          <w:i/>
          <w:iCs/>
          <w:sz w:val="24"/>
          <w:szCs w:val="24"/>
        </w:rPr>
      </w:pPr>
      <w:r w:rsidRPr="00441FF1">
        <w:rPr>
          <w:i/>
          <w:sz w:val="24"/>
          <w:szCs w:val="24"/>
        </w:rPr>
        <w:t>Pædiatrisk population</w:t>
      </w:r>
    </w:p>
    <w:p w14:paraId="3DF9CD64" w14:textId="77777777" w:rsidR="00592950" w:rsidRPr="00441FF1" w:rsidRDefault="00592950" w:rsidP="00A15135">
      <w:pPr>
        <w:ind w:left="851"/>
        <w:rPr>
          <w:bCs/>
          <w:iCs/>
          <w:sz w:val="24"/>
          <w:szCs w:val="24"/>
        </w:rPr>
      </w:pPr>
      <w:r w:rsidRPr="00441FF1">
        <w:rPr>
          <w:sz w:val="24"/>
          <w:szCs w:val="24"/>
        </w:rPr>
        <w:t>Dette lægemiddel bør ikke anvendes til børn på grund af utilstrækkelig erfaring med behandlingen hos børn.</w:t>
      </w:r>
    </w:p>
    <w:p w14:paraId="334941AF" w14:textId="77777777" w:rsidR="00592950" w:rsidRPr="00441FF1" w:rsidRDefault="00592950" w:rsidP="00A15135">
      <w:pPr>
        <w:ind w:left="851"/>
        <w:rPr>
          <w:bCs/>
          <w:iCs/>
          <w:sz w:val="24"/>
          <w:szCs w:val="24"/>
        </w:rPr>
      </w:pPr>
      <w:r w:rsidRPr="00441FF1">
        <w:rPr>
          <w:sz w:val="24"/>
          <w:szCs w:val="24"/>
        </w:rPr>
        <w:t>Må ikke anvendes hos nyfødte spædbørn.</w:t>
      </w:r>
    </w:p>
    <w:p w14:paraId="1C699BF6" w14:textId="77777777" w:rsidR="00592950" w:rsidRPr="00441FF1" w:rsidRDefault="00592950" w:rsidP="00A15135">
      <w:pPr>
        <w:ind w:left="851"/>
        <w:rPr>
          <w:bCs/>
          <w:iCs/>
          <w:sz w:val="24"/>
          <w:szCs w:val="24"/>
        </w:rPr>
      </w:pPr>
    </w:p>
    <w:p w14:paraId="1A90E77D" w14:textId="77777777" w:rsidR="00592950" w:rsidRPr="00441FF1" w:rsidRDefault="00592950" w:rsidP="00A15135">
      <w:pPr>
        <w:ind w:left="851"/>
        <w:rPr>
          <w:bCs/>
          <w:iCs/>
          <w:sz w:val="24"/>
          <w:szCs w:val="24"/>
          <w:u w:val="single"/>
        </w:rPr>
      </w:pPr>
      <w:r w:rsidRPr="00441FF1">
        <w:rPr>
          <w:sz w:val="24"/>
          <w:szCs w:val="24"/>
          <w:u w:val="single"/>
        </w:rPr>
        <w:t>Administration</w:t>
      </w:r>
    </w:p>
    <w:p w14:paraId="510CF651" w14:textId="77777777" w:rsidR="00592950" w:rsidRPr="00441FF1" w:rsidRDefault="00592950" w:rsidP="00A15135">
      <w:pPr>
        <w:ind w:left="851"/>
        <w:rPr>
          <w:sz w:val="24"/>
          <w:szCs w:val="24"/>
        </w:rPr>
      </w:pPr>
      <w:r w:rsidRPr="00441FF1">
        <w:rPr>
          <w:sz w:val="24"/>
          <w:szCs w:val="24"/>
        </w:rPr>
        <w:t xml:space="preserve">Efter </w:t>
      </w:r>
      <w:proofErr w:type="spellStart"/>
      <w:r w:rsidRPr="00441FF1">
        <w:rPr>
          <w:sz w:val="24"/>
          <w:szCs w:val="24"/>
        </w:rPr>
        <w:t>inddrypning</w:t>
      </w:r>
      <w:proofErr w:type="spellEnd"/>
      <w:r w:rsidRPr="00441FF1">
        <w:rPr>
          <w:sz w:val="24"/>
          <w:szCs w:val="24"/>
        </w:rPr>
        <w:t xml:space="preserve"> kan den systemiske absorption reduceres ved </w:t>
      </w:r>
      <w:proofErr w:type="spellStart"/>
      <w:r w:rsidRPr="00441FF1">
        <w:rPr>
          <w:sz w:val="24"/>
          <w:szCs w:val="24"/>
        </w:rPr>
        <w:t>nasolakrimal</w:t>
      </w:r>
      <w:proofErr w:type="spellEnd"/>
      <w:r w:rsidRPr="00441FF1">
        <w:rPr>
          <w:sz w:val="24"/>
          <w:szCs w:val="24"/>
        </w:rPr>
        <w:t xml:space="preserve"> </w:t>
      </w:r>
      <w:proofErr w:type="spellStart"/>
      <w:r w:rsidRPr="00441FF1">
        <w:rPr>
          <w:sz w:val="24"/>
          <w:szCs w:val="24"/>
        </w:rPr>
        <w:t>okklusion</w:t>
      </w:r>
      <w:proofErr w:type="spellEnd"/>
      <w:r w:rsidRPr="00441FF1">
        <w:rPr>
          <w:sz w:val="24"/>
          <w:szCs w:val="24"/>
        </w:rPr>
        <w:t xml:space="preserve"> eller lukning af øjet i 3 minutter. Dette kan resultere i færre systemiske bivirkninger og øget lokal virkning.</w:t>
      </w:r>
    </w:p>
    <w:p w14:paraId="011BBAC9" w14:textId="77777777" w:rsidR="009260DE" w:rsidRPr="00441FF1" w:rsidRDefault="009260DE" w:rsidP="009260DE">
      <w:pPr>
        <w:tabs>
          <w:tab w:val="left" w:pos="851"/>
        </w:tabs>
        <w:ind w:left="851"/>
        <w:rPr>
          <w:sz w:val="24"/>
          <w:szCs w:val="24"/>
        </w:rPr>
      </w:pPr>
    </w:p>
    <w:p w14:paraId="1FD94EB2" w14:textId="77777777" w:rsidR="009260DE" w:rsidRPr="00441FF1" w:rsidRDefault="009260DE" w:rsidP="009260DE">
      <w:pPr>
        <w:tabs>
          <w:tab w:val="left" w:pos="851"/>
        </w:tabs>
        <w:ind w:left="851" w:hanging="851"/>
        <w:rPr>
          <w:b/>
          <w:sz w:val="24"/>
          <w:szCs w:val="24"/>
        </w:rPr>
      </w:pPr>
      <w:r w:rsidRPr="00441FF1">
        <w:rPr>
          <w:b/>
          <w:sz w:val="24"/>
          <w:szCs w:val="24"/>
        </w:rPr>
        <w:t>4.3</w:t>
      </w:r>
      <w:r w:rsidRPr="00441FF1">
        <w:rPr>
          <w:b/>
          <w:sz w:val="24"/>
          <w:szCs w:val="24"/>
        </w:rPr>
        <w:tab/>
        <w:t>Kontraindikationer</w:t>
      </w:r>
    </w:p>
    <w:p w14:paraId="45365B46" w14:textId="77777777" w:rsidR="00592950" w:rsidRPr="00441FF1" w:rsidRDefault="00592950" w:rsidP="00A15135">
      <w:pPr>
        <w:pStyle w:val="Listeafsnit"/>
        <w:numPr>
          <w:ilvl w:val="0"/>
          <w:numId w:val="7"/>
        </w:numPr>
        <w:ind w:left="1276" w:hanging="425"/>
        <w:rPr>
          <w:sz w:val="24"/>
          <w:szCs w:val="24"/>
          <w:lang w:eastAsia="da-DK"/>
        </w:rPr>
      </w:pPr>
      <w:r w:rsidRPr="00441FF1">
        <w:rPr>
          <w:sz w:val="24"/>
          <w:szCs w:val="24"/>
        </w:rPr>
        <w:t>Overfølsomhed over for det aktive stof eller over for et eller flere af hjælpestofferne anført i pkt. 6.1.</w:t>
      </w:r>
    </w:p>
    <w:p w14:paraId="515859AE" w14:textId="77777777" w:rsidR="00592950" w:rsidRPr="00441FF1" w:rsidRDefault="00592950" w:rsidP="00A15135">
      <w:pPr>
        <w:pStyle w:val="Listeafsnit"/>
        <w:numPr>
          <w:ilvl w:val="0"/>
          <w:numId w:val="7"/>
        </w:numPr>
        <w:ind w:left="1276" w:hanging="425"/>
        <w:rPr>
          <w:sz w:val="24"/>
          <w:szCs w:val="24"/>
        </w:rPr>
      </w:pPr>
      <w:proofErr w:type="spellStart"/>
      <w:r w:rsidRPr="00441FF1">
        <w:rPr>
          <w:sz w:val="24"/>
          <w:szCs w:val="24"/>
        </w:rPr>
        <w:t>Cornealæsioner</w:t>
      </w:r>
      <w:proofErr w:type="spellEnd"/>
      <w:r w:rsidRPr="00441FF1">
        <w:rPr>
          <w:sz w:val="24"/>
          <w:szCs w:val="24"/>
        </w:rPr>
        <w:t xml:space="preserve">, der skyldes non-bakterielle infektioner, og </w:t>
      </w:r>
      <w:proofErr w:type="spellStart"/>
      <w:r w:rsidRPr="00441FF1">
        <w:rPr>
          <w:sz w:val="24"/>
          <w:szCs w:val="24"/>
        </w:rPr>
        <w:t>ulceration</w:t>
      </w:r>
      <w:proofErr w:type="spellEnd"/>
      <w:r w:rsidRPr="00441FF1">
        <w:rPr>
          <w:sz w:val="24"/>
          <w:szCs w:val="24"/>
        </w:rPr>
        <w:t>.</w:t>
      </w:r>
    </w:p>
    <w:p w14:paraId="45754C77" w14:textId="77777777" w:rsidR="00592950" w:rsidRPr="00441FF1" w:rsidRDefault="00592950" w:rsidP="00A15135">
      <w:pPr>
        <w:pStyle w:val="Listeafsnit"/>
        <w:numPr>
          <w:ilvl w:val="0"/>
          <w:numId w:val="7"/>
        </w:numPr>
        <w:ind w:left="1276" w:hanging="425"/>
        <w:rPr>
          <w:sz w:val="24"/>
          <w:szCs w:val="24"/>
        </w:rPr>
      </w:pPr>
      <w:r w:rsidRPr="00441FF1">
        <w:rPr>
          <w:sz w:val="24"/>
          <w:szCs w:val="24"/>
        </w:rPr>
        <w:t xml:space="preserve">Herpes </w:t>
      </w:r>
      <w:proofErr w:type="spellStart"/>
      <w:r w:rsidRPr="00441FF1">
        <w:rPr>
          <w:sz w:val="24"/>
          <w:szCs w:val="24"/>
        </w:rPr>
        <w:t>simplex</w:t>
      </w:r>
      <w:proofErr w:type="spellEnd"/>
      <w:r w:rsidRPr="00441FF1">
        <w:rPr>
          <w:sz w:val="24"/>
          <w:szCs w:val="24"/>
        </w:rPr>
        <w:t xml:space="preserve"> og andre virusinfektioner i </w:t>
      </w:r>
      <w:proofErr w:type="spellStart"/>
      <w:r w:rsidRPr="00441FF1">
        <w:rPr>
          <w:sz w:val="24"/>
          <w:szCs w:val="24"/>
        </w:rPr>
        <w:t>cornea</w:t>
      </w:r>
      <w:proofErr w:type="spellEnd"/>
      <w:r w:rsidRPr="00441FF1">
        <w:rPr>
          <w:sz w:val="24"/>
          <w:szCs w:val="24"/>
        </w:rPr>
        <w:t xml:space="preserve"> og </w:t>
      </w:r>
      <w:proofErr w:type="spellStart"/>
      <w:r w:rsidRPr="00441FF1">
        <w:rPr>
          <w:sz w:val="24"/>
          <w:szCs w:val="24"/>
        </w:rPr>
        <w:t>conjunctiva</w:t>
      </w:r>
      <w:proofErr w:type="spellEnd"/>
      <w:r w:rsidRPr="00441FF1">
        <w:rPr>
          <w:sz w:val="24"/>
          <w:szCs w:val="24"/>
        </w:rPr>
        <w:t>.</w:t>
      </w:r>
    </w:p>
    <w:p w14:paraId="40034C6B" w14:textId="77777777" w:rsidR="00592950" w:rsidRPr="00441FF1" w:rsidRDefault="00592950" w:rsidP="00A15135">
      <w:pPr>
        <w:pStyle w:val="Listeafsnit"/>
        <w:numPr>
          <w:ilvl w:val="0"/>
          <w:numId w:val="7"/>
        </w:numPr>
        <w:ind w:left="1276" w:hanging="425"/>
        <w:rPr>
          <w:sz w:val="24"/>
          <w:szCs w:val="24"/>
        </w:rPr>
      </w:pPr>
      <w:proofErr w:type="spellStart"/>
      <w:r w:rsidRPr="00441FF1">
        <w:rPr>
          <w:sz w:val="24"/>
          <w:szCs w:val="24"/>
        </w:rPr>
        <w:t>Mykose</w:t>
      </w:r>
      <w:proofErr w:type="spellEnd"/>
      <w:r w:rsidRPr="00441FF1">
        <w:rPr>
          <w:sz w:val="24"/>
          <w:szCs w:val="24"/>
        </w:rPr>
        <w:t xml:space="preserve"> og andre svampeinfektioner i </w:t>
      </w:r>
      <w:proofErr w:type="spellStart"/>
      <w:r w:rsidRPr="00441FF1">
        <w:rPr>
          <w:sz w:val="24"/>
          <w:szCs w:val="24"/>
        </w:rPr>
        <w:t>cornea</w:t>
      </w:r>
      <w:proofErr w:type="spellEnd"/>
      <w:r w:rsidRPr="00441FF1">
        <w:rPr>
          <w:sz w:val="24"/>
          <w:szCs w:val="24"/>
        </w:rPr>
        <w:t xml:space="preserve"> og </w:t>
      </w:r>
      <w:proofErr w:type="spellStart"/>
      <w:r w:rsidRPr="00441FF1">
        <w:rPr>
          <w:sz w:val="24"/>
          <w:szCs w:val="24"/>
        </w:rPr>
        <w:t>conjunctiva</w:t>
      </w:r>
      <w:proofErr w:type="spellEnd"/>
      <w:r w:rsidRPr="00441FF1">
        <w:rPr>
          <w:sz w:val="24"/>
          <w:szCs w:val="24"/>
        </w:rPr>
        <w:t>.</w:t>
      </w:r>
    </w:p>
    <w:p w14:paraId="726CE4E8" w14:textId="77777777" w:rsidR="009260DE" w:rsidRPr="00441FF1" w:rsidRDefault="009260DE" w:rsidP="009260DE">
      <w:pPr>
        <w:tabs>
          <w:tab w:val="left" w:pos="851"/>
        </w:tabs>
        <w:ind w:left="851"/>
        <w:rPr>
          <w:sz w:val="24"/>
          <w:szCs w:val="24"/>
        </w:rPr>
      </w:pPr>
    </w:p>
    <w:p w14:paraId="56967B43" w14:textId="77777777" w:rsidR="009260DE" w:rsidRPr="00441FF1" w:rsidRDefault="009260DE" w:rsidP="009260DE">
      <w:pPr>
        <w:tabs>
          <w:tab w:val="left" w:pos="851"/>
        </w:tabs>
        <w:ind w:left="851" w:hanging="851"/>
        <w:rPr>
          <w:b/>
          <w:sz w:val="24"/>
          <w:szCs w:val="24"/>
        </w:rPr>
      </w:pPr>
      <w:r w:rsidRPr="00441FF1">
        <w:rPr>
          <w:b/>
          <w:sz w:val="24"/>
          <w:szCs w:val="24"/>
        </w:rPr>
        <w:t>4.4</w:t>
      </w:r>
      <w:r w:rsidRPr="00441FF1">
        <w:rPr>
          <w:b/>
          <w:sz w:val="24"/>
          <w:szCs w:val="24"/>
        </w:rPr>
        <w:tab/>
        <w:t>Særlige advarsler og forsigtighedsregler vedrørende brugen</w:t>
      </w:r>
    </w:p>
    <w:p w14:paraId="78D1EC89" w14:textId="77777777" w:rsidR="00592950" w:rsidRPr="00441FF1" w:rsidRDefault="00592950" w:rsidP="00A15135">
      <w:pPr>
        <w:ind w:left="851"/>
        <w:rPr>
          <w:sz w:val="24"/>
          <w:szCs w:val="24"/>
          <w:lang w:eastAsia="da-DK"/>
        </w:rPr>
      </w:pPr>
      <w:r w:rsidRPr="00441FF1">
        <w:rPr>
          <w:sz w:val="24"/>
          <w:szCs w:val="24"/>
        </w:rPr>
        <w:t>De lokale retningslinjer for passende brug af antibiotika bør følges.</w:t>
      </w:r>
    </w:p>
    <w:p w14:paraId="286C3C08" w14:textId="77777777" w:rsidR="00592950" w:rsidRPr="00441FF1" w:rsidRDefault="00592950" w:rsidP="00A15135">
      <w:pPr>
        <w:ind w:left="851"/>
        <w:rPr>
          <w:sz w:val="24"/>
          <w:szCs w:val="24"/>
        </w:rPr>
      </w:pPr>
    </w:p>
    <w:p w14:paraId="5B47C6E9" w14:textId="77777777" w:rsidR="00592950" w:rsidRPr="00441FF1" w:rsidRDefault="00592950" w:rsidP="00A15135">
      <w:pPr>
        <w:ind w:left="851"/>
        <w:rPr>
          <w:sz w:val="24"/>
          <w:szCs w:val="24"/>
        </w:rPr>
      </w:pPr>
      <w:r w:rsidRPr="00441FF1">
        <w:rPr>
          <w:sz w:val="24"/>
          <w:szCs w:val="24"/>
        </w:rPr>
        <w:t xml:space="preserve">I meget sjældne tilfælde kan langvarig behandling med </w:t>
      </w:r>
      <w:proofErr w:type="spellStart"/>
      <w:r w:rsidRPr="00441FF1">
        <w:rPr>
          <w:sz w:val="24"/>
          <w:szCs w:val="24"/>
        </w:rPr>
        <w:t>chloramphenicol</w:t>
      </w:r>
      <w:proofErr w:type="spellEnd"/>
      <w:r w:rsidRPr="00441FF1">
        <w:rPr>
          <w:sz w:val="24"/>
          <w:szCs w:val="24"/>
        </w:rPr>
        <w:t xml:space="preserve">, herunder topisk anvendelse, forårsage </w:t>
      </w:r>
      <w:proofErr w:type="spellStart"/>
      <w:r w:rsidRPr="00441FF1">
        <w:rPr>
          <w:sz w:val="24"/>
          <w:szCs w:val="24"/>
        </w:rPr>
        <w:t>knoglemarvsaplasi</w:t>
      </w:r>
      <w:proofErr w:type="spellEnd"/>
      <w:r w:rsidRPr="00441FF1">
        <w:rPr>
          <w:sz w:val="24"/>
          <w:szCs w:val="24"/>
        </w:rPr>
        <w:t xml:space="preserve">. Den irreversible form kan forekomme med en </w:t>
      </w:r>
      <w:proofErr w:type="spellStart"/>
      <w:r w:rsidRPr="00441FF1">
        <w:rPr>
          <w:sz w:val="24"/>
          <w:szCs w:val="24"/>
        </w:rPr>
        <w:t>latensperiode</w:t>
      </w:r>
      <w:proofErr w:type="spellEnd"/>
      <w:r w:rsidRPr="00441FF1">
        <w:rPr>
          <w:sz w:val="24"/>
          <w:szCs w:val="24"/>
        </w:rPr>
        <w:t xml:space="preserve"> på uger eller måneder. Der bør udvises forsigtighed og iværksættes tæt observation ved behandling af patienter med knoglemarvssuppression eller arvelig disposition for knoglemarvssuppression.</w:t>
      </w:r>
    </w:p>
    <w:p w14:paraId="6BA6C7D6" w14:textId="77777777" w:rsidR="00592950" w:rsidRPr="00441FF1" w:rsidRDefault="00592950" w:rsidP="00A15135">
      <w:pPr>
        <w:ind w:left="851"/>
        <w:rPr>
          <w:sz w:val="24"/>
          <w:szCs w:val="24"/>
        </w:rPr>
      </w:pPr>
    </w:p>
    <w:p w14:paraId="784D4BDC" w14:textId="77777777" w:rsidR="00592950" w:rsidRPr="00441FF1" w:rsidRDefault="00592950" w:rsidP="00A15135">
      <w:pPr>
        <w:ind w:left="851"/>
        <w:rPr>
          <w:sz w:val="24"/>
          <w:szCs w:val="24"/>
        </w:rPr>
      </w:pPr>
      <w:r w:rsidRPr="00441FF1">
        <w:rPr>
          <w:sz w:val="24"/>
          <w:szCs w:val="24"/>
        </w:rPr>
        <w:t>Langvarig brug kan resultere i sekundære øjeninfektioner eller fremme væksten af ikke-følsomme bakterier.</w:t>
      </w:r>
    </w:p>
    <w:p w14:paraId="48641F26" w14:textId="77777777" w:rsidR="00592950" w:rsidRPr="00441FF1" w:rsidRDefault="00592950" w:rsidP="00A15135">
      <w:pPr>
        <w:ind w:left="851"/>
        <w:rPr>
          <w:sz w:val="24"/>
          <w:szCs w:val="24"/>
        </w:rPr>
      </w:pPr>
    </w:p>
    <w:p w14:paraId="440BC1C2" w14:textId="77777777" w:rsidR="00592950" w:rsidRPr="00441FF1" w:rsidRDefault="00592950" w:rsidP="00A15135">
      <w:pPr>
        <w:ind w:left="851"/>
        <w:rPr>
          <w:sz w:val="24"/>
          <w:szCs w:val="24"/>
        </w:rPr>
      </w:pPr>
      <w:r w:rsidRPr="00441FF1">
        <w:rPr>
          <w:sz w:val="24"/>
          <w:szCs w:val="24"/>
        </w:rPr>
        <w:t xml:space="preserve">Der kan udvikles </w:t>
      </w:r>
      <w:proofErr w:type="spellStart"/>
      <w:r w:rsidRPr="00441FF1">
        <w:rPr>
          <w:sz w:val="24"/>
          <w:szCs w:val="24"/>
        </w:rPr>
        <w:t>kontaktdermatitis</w:t>
      </w:r>
      <w:proofErr w:type="spellEnd"/>
      <w:r w:rsidRPr="00441FF1">
        <w:rPr>
          <w:sz w:val="24"/>
          <w:szCs w:val="24"/>
        </w:rPr>
        <w:t xml:space="preserve"> ved gentagen eller langvarig brug af de aktive stoffer.</w:t>
      </w:r>
    </w:p>
    <w:p w14:paraId="1214F7DC" w14:textId="77777777" w:rsidR="00592950" w:rsidRPr="00441FF1" w:rsidRDefault="00592950" w:rsidP="00A15135">
      <w:pPr>
        <w:ind w:left="851"/>
        <w:rPr>
          <w:sz w:val="24"/>
          <w:szCs w:val="24"/>
        </w:rPr>
      </w:pPr>
    </w:p>
    <w:p w14:paraId="4975783B" w14:textId="77777777" w:rsidR="00592950" w:rsidRPr="00441FF1" w:rsidRDefault="00592950" w:rsidP="00A15135">
      <w:pPr>
        <w:ind w:left="851"/>
        <w:rPr>
          <w:sz w:val="24"/>
          <w:szCs w:val="24"/>
        </w:rPr>
      </w:pPr>
      <w:proofErr w:type="spellStart"/>
      <w:r w:rsidRPr="00441FF1">
        <w:rPr>
          <w:sz w:val="24"/>
          <w:szCs w:val="24"/>
        </w:rPr>
        <w:t>Kortikosteroider</w:t>
      </w:r>
      <w:proofErr w:type="spellEnd"/>
      <w:r w:rsidRPr="00441FF1">
        <w:rPr>
          <w:sz w:val="24"/>
          <w:szCs w:val="24"/>
        </w:rPr>
        <w:t xml:space="preserve"> kan maskere, aktivere eller forværre en øjeninfektion.</w:t>
      </w:r>
    </w:p>
    <w:p w14:paraId="3A9249F3" w14:textId="77777777" w:rsidR="00592950" w:rsidRPr="00441FF1" w:rsidRDefault="00592950" w:rsidP="00A15135">
      <w:pPr>
        <w:ind w:left="851"/>
        <w:rPr>
          <w:sz w:val="24"/>
          <w:szCs w:val="24"/>
        </w:rPr>
      </w:pPr>
      <w:r w:rsidRPr="00441FF1">
        <w:rPr>
          <w:sz w:val="24"/>
          <w:szCs w:val="24"/>
        </w:rPr>
        <w:t xml:space="preserve">Langvarig brug af </w:t>
      </w:r>
      <w:proofErr w:type="spellStart"/>
      <w:r w:rsidRPr="00441FF1">
        <w:rPr>
          <w:sz w:val="24"/>
          <w:szCs w:val="24"/>
        </w:rPr>
        <w:t>kortikosteroider</w:t>
      </w:r>
      <w:proofErr w:type="spellEnd"/>
      <w:r w:rsidRPr="00441FF1">
        <w:rPr>
          <w:sz w:val="24"/>
          <w:szCs w:val="24"/>
        </w:rPr>
        <w:t xml:space="preserve"> kan forårsage en stigning i det </w:t>
      </w:r>
      <w:proofErr w:type="spellStart"/>
      <w:r w:rsidRPr="00441FF1">
        <w:rPr>
          <w:sz w:val="24"/>
          <w:szCs w:val="24"/>
        </w:rPr>
        <w:t>intraokulære</w:t>
      </w:r>
      <w:proofErr w:type="spellEnd"/>
      <w:r w:rsidRPr="00441FF1">
        <w:rPr>
          <w:sz w:val="24"/>
          <w:szCs w:val="24"/>
        </w:rPr>
        <w:t xml:space="preserve"> tryk. Hos prædisponerede patienter og patienter med påvist </w:t>
      </w:r>
      <w:proofErr w:type="spellStart"/>
      <w:r w:rsidRPr="00441FF1">
        <w:rPr>
          <w:sz w:val="24"/>
          <w:szCs w:val="24"/>
        </w:rPr>
        <w:t>glaukom</w:t>
      </w:r>
      <w:proofErr w:type="spellEnd"/>
      <w:r w:rsidRPr="00441FF1">
        <w:rPr>
          <w:sz w:val="24"/>
          <w:szCs w:val="24"/>
        </w:rPr>
        <w:t xml:space="preserve"> bør det </w:t>
      </w:r>
      <w:proofErr w:type="spellStart"/>
      <w:r w:rsidRPr="00441FF1">
        <w:rPr>
          <w:sz w:val="24"/>
          <w:szCs w:val="24"/>
        </w:rPr>
        <w:t>intraokulære</w:t>
      </w:r>
      <w:proofErr w:type="spellEnd"/>
      <w:r w:rsidRPr="00441FF1">
        <w:rPr>
          <w:sz w:val="24"/>
          <w:szCs w:val="24"/>
        </w:rPr>
        <w:t xml:space="preserve"> tryk kontrolleres jævnligt, især i tilfælde af langvarig behandling.</w:t>
      </w:r>
    </w:p>
    <w:p w14:paraId="192BB2F1" w14:textId="77777777" w:rsidR="00592950" w:rsidRPr="00441FF1" w:rsidRDefault="00592950" w:rsidP="00A15135">
      <w:pPr>
        <w:ind w:left="851"/>
        <w:rPr>
          <w:sz w:val="24"/>
          <w:szCs w:val="24"/>
        </w:rPr>
      </w:pPr>
    </w:p>
    <w:p w14:paraId="3C7C7BDA" w14:textId="77777777" w:rsidR="00592950" w:rsidRPr="00441FF1" w:rsidRDefault="00592950" w:rsidP="00A15135">
      <w:pPr>
        <w:ind w:left="851"/>
        <w:rPr>
          <w:sz w:val="24"/>
          <w:szCs w:val="24"/>
        </w:rPr>
      </w:pPr>
      <w:r w:rsidRPr="00441FF1">
        <w:rPr>
          <w:sz w:val="24"/>
          <w:szCs w:val="24"/>
        </w:rPr>
        <w:t xml:space="preserve">Intensiv, langvarig behandling kan være medvirkende til udvikling eller forværring af </w:t>
      </w:r>
      <w:proofErr w:type="spellStart"/>
      <w:r w:rsidRPr="00441FF1">
        <w:rPr>
          <w:sz w:val="24"/>
          <w:szCs w:val="24"/>
        </w:rPr>
        <w:t>posterior</w:t>
      </w:r>
      <w:proofErr w:type="spellEnd"/>
      <w:r w:rsidRPr="00441FF1">
        <w:rPr>
          <w:sz w:val="24"/>
          <w:szCs w:val="24"/>
        </w:rPr>
        <w:t xml:space="preserve"> </w:t>
      </w:r>
      <w:proofErr w:type="spellStart"/>
      <w:r w:rsidRPr="00441FF1">
        <w:rPr>
          <w:sz w:val="24"/>
          <w:szCs w:val="24"/>
        </w:rPr>
        <w:t>subkapsulær</w:t>
      </w:r>
      <w:proofErr w:type="spellEnd"/>
      <w:r w:rsidRPr="00441FF1">
        <w:rPr>
          <w:sz w:val="24"/>
          <w:szCs w:val="24"/>
        </w:rPr>
        <w:t xml:space="preserve"> katarakt. </w:t>
      </w:r>
    </w:p>
    <w:p w14:paraId="0EA82BCC" w14:textId="77777777" w:rsidR="00592950" w:rsidRPr="00441FF1" w:rsidRDefault="00592950" w:rsidP="00A15135">
      <w:pPr>
        <w:ind w:left="851"/>
        <w:rPr>
          <w:sz w:val="24"/>
          <w:szCs w:val="24"/>
        </w:rPr>
      </w:pPr>
    </w:p>
    <w:p w14:paraId="64A4DD2A" w14:textId="77777777" w:rsidR="00592950" w:rsidRPr="00441FF1" w:rsidRDefault="00592950" w:rsidP="00A15135">
      <w:pPr>
        <w:ind w:left="851"/>
        <w:rPr>
          <w:sz w:val="24"/>
          <w:szCs w:val="24"/>
        </w:rPr>
      </w:pPr>
      <w:r w:rsidRPr="00441FF1">
        <w:rPr>
          <w:sz w:val="24"/>
          <w:szCs w:val="24"/>
        </w:rPr>
        <w:lastRenderedPageBreak/>
        <w:t xml:space="preserve">Kronisk brug af topiske steroider kan inducere </w:t>
      </w:r>
      <w:proofErr w:type="spellStart"/>
      <w:r w:rsidRPr="00441FF1">
        <w:rPr>
          <w:sz w:val="24"/>
          <w:szCs w:val="24"/>
        </w:rPr>
        <w:t>corneaperforationer</w:t>
      </w:r>
      <w:proofErr w:type="spellEnd"/>
      <w:r w:rsidRPr="00441FF1">
        <w:rPr>
          <w:sz w:val="24"/>
          <w:szCs w:val="24"/>
        </w:rPr>
        <w:t xml:space="preserve"> hos patienter med sygdomme, der forårsager </w:t>
      </w:r>
      <w:proofErr w:type="spellStart"/>
      <w:r w:rsidRPr="00441FF1">
        <w:rPr>
          <w:sz w:val="24"/>
          <w:szCs w:val="24"/>
        </w:rPr>
        <w:t>cornea</w:t>
      </w:r>
      <w:proofErr w:type="spellEnd"/>
      <w:r w:rsidRPr="00441FF1">
        <w:rPr>
          <w:sz w:val="24"/>
          <w:szCs w:val="24"/>
        </w:rPr>
        <w:t xml:space="preserve">- eller </w:t>
      </w:r>
      <w:proofErr w:type="spellStart"/>
      <w:r w:rsidRPr="00441FF1">
        <w:rPr>
          <w:sz w:val="24"/>
          <w:szCs w:val="24"/>
        </w:rPr>
        <w:t>scleraatrofi</w:t>
      </w:r>
      <w:proofErr w:type="spellEnd"/>
      <w:r w:rsidRPr="00441FF1">
        <w:rPr>
          <w:sz w:val="24"/>
          <w:szCs w:val="24"/>
        </w:rPr>
        <w:t xml:space="preserve">. Der bør også udvises forsigtighed ved samtidig brug af topiske </w:t>
      </w:r>
      <w:proofErr w:type="spellStart"/>
      <w:r w:rsidRPr="00441FF1">
        <w:rPr>
          <w:sz w:val="24"/>
          <w:szCs w:val="24"/>
        </w:rPr>
        <w:t>kortikosteroider</w:t>
      </w:r>
      <w:proofErr w:type="spellEnd"/>
      <w:r w:rsidRPr="00441FF1">
        <w:rPr>
          <w:sz w:val="24"/>
          <w:szCs w:val="24"/>
        </w:rPr>
        <w:t xml:space="preserve">, såsom </w:t>
      </w:r>
      <w:proofErr w:type="spellStart"/>
      <w:r w:rsidRPr="00441FF1">
        <w:rPr>
          <w:sz w:val="24"/>
          <w:szCs w:val="24"/>
        </w:rPr>
        <w:t>dexamethason</w:t>
      </w:r>
      <w:proofErr w:type="spellEnd"/>
      <w:r w:rsidRPr="00441FF1">
        <w:rPr>
          <w:sz w:val="24"/>
          <w:szCs w:val="24"/>
        </w:rPr>
        <w:t xml:space="preserve">, og topiske </w:t>
      </w:r>
      <w:proofErr w:type="spellStart"/>
      <w:r w:rsidRPr="00441FF1">
        <w:rPr>
          <w:sz w:val="24"/>
          <w:szCs w:val="24"/>
        </w:rPr>
        <w:t>NSAID’er</w:t>
      </w:r>
      <w:proofErr w:type="spellEnd"/>
      <w:r w:rsidRPr="00441FF1">
        <w:rPr>
          <w:sz w:val="24"/>
          <w:szCs w:val="24"/>
        </w:rPr>
        <w:t xml:space="preserve"> (se pkt. 4.5).</w:t>
      </w:r>
    </w:p>
    <w:p w14:paraId="23C58CF8" w14:textId="77777777" w:rsidR="00592950" w:rsidRPr="00441FF1" w:rsidRDefault="00592950" w:rsidP="00A15135">
      <w:pPr>
        <w:ind w:left="851"/>
        <w:rPr>
          <w:sz w:val="24"/>
          <w:szCs w:val="24"/>
        </w:rPr>
      </w:pPr>
    </w:p>
    <w:p w14:paraId="6CBDD178" w14:textId="77777777" w:rsidR="00592950" w:rsidRPr="00441FF1" w:rsidRDefault="00592950" w:rsidP="00A15135">
      <w:pPr>
        <w:ind w:left="851"/>
        <w:rPr>
          <w:sz w:val="24"/>
          <w:szCs w:val="24"/>
        </w:rPr>
      </w:pPr>
      <w:r w:rsidRPr="00441FF1">
        <w:rPr>
          <w:sz w:val="24"/>
          <w:szCs w:val="24"/>
        </w:rPr>
        <w:t>Brug af steroider umiddelbart efter kataraktkirurgi kan forsinke sårhelingen og øge forekomsten af blisterdannelse.</w:t>
      </w:r>
    </w:p>
    <w:p w14:paraId="4919DE75" w14:textId="77777777" w:rsidR="00592950" w:rsidRPr="00441FF1" w:rsidRDefault="00592950" w:rsidP="00A15135">
      <w:pPr>
        <w:ind w:left="851"/>
        <w:rPr>
          <w:sz w:val="24"/>
          <w:szCs w:val="24"/>
        </w:rPr>
      </w:pPr>
    </w:p>
    <w:p w14:paraId="0077FDB5" w14:textId="77777777" w:rsidR="00592950" w:rsidRPr="00441FF1" w:rsidRDefault="00592950" w:rsidP="00A15135">
      <w:pPr>
        <w:ind w:left="851"/>
        <w:rPr>
          <w:sz w:val="24"/>
          <w:szCs w:val="24"/>
        </w:rPr>
      </w:pPr>
      <w:r w:rsidRPr="00441FF1">
        <w:rPr>
          <w:sz w:val="24"/>
          <w:szCs w:val="24"/>
        </w:rPr>
        <w:t xml:space="preserve">Der bør udvises forsigtighed hos patienter med diabetes, da de er prædisponerede for øget </w:t>
      </w:r>
      <w:proofErr w:type="spellStart"/>
      <w:r w:rsidRPr="00441FF1">
        <w:rPr>
          <w:sz w:val="24"/>
          <w:szCs w:val="24"/>
        </w:rPr>
        <w:t>intraokulært</w:t>
      </w:r>
      <w:proofErr w:type="spellEnd"/>
      <w:r w:rsidRPr="00441FF1">
        <w:rPr>
          <w:sz w:val="24"/>
          <w:szCs w:val="24"/>
        </w:rPr>
        <w:t xml:space="preserve"> tryk og/eller udvikling af katarakt.</w:t>
      </w:r>
    </w:p>
    <w:p w14:paraId="164CBC02" w14:textId="77777777" w:rsidR="00592950" w:rsidRPr="00441FF1" w:rsidRDefault="00592950" w:rsidP="00A15135">
      <w:pPr>
        <w:ind w:left="851"/>
        <w:rPr>
          <w:sz w:val="24"/>
          <w:szCs w:val="24"/>
        </w:rPr>
      </w:pPr>
    </w:p>
    <w:p w14:paraId="18D5557F" w14:textId="77777777" w:rsidR="00592950" w:rsidRPr="00441FF1" w:rsidRDefault="00592950" w:rsidP="00A15135">
      <w:pPr>
        <w:ind w:left="851"/>
        <w:rPr>
          <w:sz w:val="24"/>
          <w:szCs w:val="24"/>
        </w:rPr>
      </w:pPr>
      <w:r w:rsidRPr="00441FF1">
        <w:rPr>
          <w:sz w:val="24"/>
          <w:szCs w:val="24"/>
        </w:rPr>
        <w:t xml:space="preserve">Hos børn og unge under 18 år bør behandlingsperioden være så kort som mulig. Langvarig brug af steroider kan forårsage hæmning af </w:t>
      </w:r>
      <w:proofErr w:type="spellStart"/>
      <w:r w:rsidRPr="00441FF1">
        <w:rPr>
          <w:sz w:val="24"/>
          <w:szCs w:val="24"/>
        </w:rPr>
        <w:t>hypothalamus</w:t>
      </w:r>
      <w:proofErr w:type="spellEnd"/>
      <w:r w:rsidRPr="00441FF1">
        <w:rPr>
          <w:sz w:val="24"/>
          <w:szCs w:val="24"/>
        </w:rPr>
        <w:t>-hypofyse-binyre-aksen (HPA-aksen) hos børn.</w:t>
      </w:r>
    </w:p>
    <w:p w14:paraId="4B3DB407" w14:textId="77777777" w:rsidR="00592950" w:rsidRPr="00441FF1" w:rsidRDefault="00592950" w:rsidP="00A15135">
      <w:pPr>
        <w:ind w:left="851"/>
        <w:rPr>
          <w:sz w:val="24"/>
          <w:szCs w:val="24"/>
        </w:rPr>
      </w:pPr>
    </w:p>
    <w:p w14:paraId="19304C4C" w14:textId="77777777" w:rsidR="00592950" w:rsidRPr="00441FF1" w:rsidRDefault="00592950" w:rsidP="00A15135">
      <w:pPr>
        <w:ind w:left="851"/>
        <w:rPr>
          <w:sz w:val="24"/>
          <w:szCs w:val="24"/>
        </w:rPr>
      </w:pPr>
      <w:r w:rsidRPr="00441FF1">
        <w:rPr>
          <w:sz w:val="24"/>
          <w:szCs w:val="24"/>
        </w:rPr>
        <w:t>Det frarådes at anvende kontaktlinser i forbindelse med øjeninfektioner, da det kan forværre infektionen.</w:t>
      </w:r>
    </w:p>
    <w:p w14:paraId="6CEBB003" w14:textId="77777777" w:rsidR="00592950" w:rsidRPr="00441FF1" w:rsidRDefault="00592950" w:rsidP="00A15135">
      <w:pPr>
        <w:ind w:left="851"/>
        <w:rPr>
          <w:sz w:val="24"/>
          <w:szCs w:val="24"/>
        </w:rPr>
      </w:pPr>
    </w:p>
    <w:p w14:paraId="28CC49F8" w14:textId="77777777" w:rsidR="00592950" w:rsidRPr="00441FF1" w:rsidRDefault="00592950" w:rsidP="00A15135">
      <w:pPr>
        <w:ind w:left="851"/>
        <w:rPr>
          <w:sz w:val="24"/>
          <w:szCs w:val="24"/>
        </w:rPr>
      </w:pPr>
      <w:proofErr w:type="spellStart"/>
      <w:r w:rsidRPr="00441FF1">
        <w:rPr>
          <w:sz w:val="24"/>
          <w:szCs w:val="24"/>
        </w:rPr>
        <w:t>Cushings</w:t>
      </w:r>
      <w:proofErr w:type="spellEnd"/>
      <w:r w:rsidRPr="00441FF1">
        <w:rPr>
          <w:sz w:val="24"/>
          <w:szCs w:val="24"/>
        </w:rPr>
        <w:t xml:space="preserve"> syndrom og/eller binyrebarkinsufficiens i forbindelse med systemisk absorption af </w:t>
      </w:r>
      <w:proofErr w:type="spellStart"/>
      <w:r w:rsidRPr="00441FF1">
        <w:rPr>
          <w:sz w:val="24"/>
          <w:szCs w:val="24"/>
        </w:rPr>
        <w:t>okulær</w:t>
      </w:r>
      <w:proofErr w:type="spellEnd"/>
      <w:r w:rsidRPr="00441FF1">
        <w:rPr>
          <w:sz w:val="24"/>
          <w:szCs w:val="24"/>
        </w:rPr>
        <w:t xml:space="preserve"> </w:t>
      </w:r>
      <w:proofErr w:type="spellStart"/>
      <w:r w:rsidRPr="00441FF1">
        <w:rPr>
          <w:sz w:val="24"/>
          <w:szCs w:val="24"/>
        </w:rPr>
        <w:t>dexamethason</w:t>
      </w:r>
      <w:proofErr w:type="spellEnd"/>
      <w:r w:rsidRPr="00441FF1">
        <w:rPr>
          <w:sz w:val="24"/>
          <w:szCs w:val="24"/>
        </w:rPr>
        <w:t xml:space="preserve"> kan forekomme efter intensiv eller langvarig kontinuerlig behandling hos prædisponerede patienter, herunder børn og patienter i behandling med CYP3A4-hæmmere (inklusive </w:t>
      </w:r>
      <w:proofErr w:type="spellStart"/>
      <w:r w:rsidRPr="00441FF1">
        <w:rPr>
          <w:sz w:val="24"/>
          <w:szCs w:val="24"/>
        </w:rPr>
        <w:t>ritonavir</w:t>
      </w:r>
      <w:proofErr w:type="spellEnd"/>
      <w:r w:rsidRPr="00441FF1">
        <w:rPr>
          <w:sz w:val="24"/>
          <w:szCs w:val="24"/>
        </w:rPr>
        <w:t xml:space="preserve"> og </w:t>
      </w:r>
      <w:proofErr w:type="spellStart"/>
      <w:r w:rsidRPr="00441FF1">
        <w:rPr>
          <w:sz w:val="24"/>
          <w:szCs w:val="24"/>
        </w:rPr>
        <w:t>cobicistat</w:t>
      </w:r>
      <w:proofErr w:type="spellEnd"/>
      <w:r w:rsidRPr="00441FF1">
        <w:rPr>
          <w:sz w:val="24"/>
          <w:szCs w:val="24"/>
        </w:rPr>
        <w:t>). I så tilfælde bør behandlingen gradvist seponeres.</w:t>
      </w:r>
    </w:p>
    <w:p w14:paraId="403E71B5" w14:textId="77777777" w:rsidR="00592950" w:rsidRPr="00441FF1" w:rsidRDefault="00592950" w:rsidP="00A15135">
      <w:pPr>
        <w:ind w:left="851"/>
        <w:rPr>
          <w:sz w:val="24"/>
          <w:szCs w:val="24"/>
        </w:rPr>
      </w:pPr>
    </w:p>
    <w:p w14:paraId="369CF297" w14:textId="77777777" w:rsidR="00592950" w:rsidRPr="00441FF1" w:rsidRDefault="00592950" w:rsidP="00A15135">
      <w:pPr>
        <w:ind w:left="851"/>
        <w:rPr>
          <w:sz w:val="24"/>
          <w:szCs w:val="24"/>
          <w:u w:val="single"/>
        </w:rPr>
      </w:pPr>
      <w:r w:rsidRPr="00441FF1">
        <w:rPr>
          <w:sz w:val="24"/>
          <w:szCs w:val="24"/>
          <w:u w:val="single"/>
        </w:rPr>
        <w:t>Synsforstyrrelser</w:t>
      </w:r>
    </w:p>
    <w:p w14:paraId="3E13496C" w14:textId="77777777" w:rsidR="00592950" w:rsidRPr="00441FF1" w:rsidRDefault="00592950" w:rsidP="00A15135">
      <w:pPr>
        <w:ind w:left="851"/>
        <w:rPr>
          <w:sz w:val="24"/>
          <w:szCs w:val="24"/>
        </w:rPr>
      </w:pPr>
      <w:r w:rsidRPr="00441FF1">
        <w:rPr>
          <w:sz w:val="24"/>
          <w:szCs w:val="24"/>
        </w:rPr>
        <w:t xml:space="preserve">Synsforstyrrelser kan forekomme ved brug af systemiske og topiske </w:t>
      </w:r>
      <w:proofErr w:type="spellStart"/>
      <w:r w:rsidRPr="00441FF1">
        <w:rPr>
          <w:sz w:val="24"/>
          <w:szCs w:val="24"/>
        </w:rPr>
        <w:t>kortikosteroider</w:t>
      </w:r>
      <w:proofErr w:type="spellEnd"/>
      <w:r w:rsidRPr="00441FF1">
        <w:rPr>
          <w:sz w:val="24"/>
          <w:szCs w:val="24"/>
        </w:rPr>
        <w:t xml:space="preserve">. Hvis patienten får symptomer såsom sløret syn eller andre synsforstyrrelser, bør det overvejes at henvise patienten til en oftalmolog med henblik på en vurdering af mulige årsager, herunder katarakt, </w:t>
      </w:r>
      <w:proofErr w:type="spellStart"/>
      <w:r w:rsidRPr="00441FF1">
        <w:rPr>
          <w:sz w:val="24"/>
          <w:szCs w:val="24"/>
        </w:rPr>
        <w:t>glaukom</w:t>
      </w:r>
      <w:proofErr w:type="spellEnd"/>
      <w:r w:rsidRPr="00441FF1">
        <w:rPr>
          <w:sz w:val="24"/>
          <w:szCs w:val="24"/>
        </w:rPr>
        <w:t xml:space="preserve"> eller sjældne tilstande såsom central serøs </w:t>
      </w:r>
      <w:proofErr w:type="spellStart"/>
      <w:r w:rsidRPr="00441FF1">
        <w:rPr>
          <w:sz w:val="24"/>
          <w:szCs w:val="24"/>
        </w:rPr>
        <w:t>korioretinopati</w:t>
      </w:r>
      <w:proofErr w:type="spellEnd"/>
      <w:r w:rsidRPr="00441FF1">
        <w:rPr>
          <w:sz w:val="24"/>
          <w:szCs w:val="24"/>
        </w:rPr>
        <w:t xml:space="preserve"> (CSCR), som er blevet indberettet efter brug af systemiske og topiske </w:t>
      </w:r>
      <w:proofErr w:type="spellStart"/>
      <w:r w:rsidRPr="00441FF1">
        <w:rPr>
          <w:sz w:val="24"/>
          <w:szCs w:val="24"/>
        </w:rPr>
        <w:t>kortikosteroider</w:t>
      </w:r>
      <w:proofErr w:type="spellEnd"/>
      <w:r w:rsidRPr="00441FF1">
        <w:rPr>
          <w:sz w:val="24"/>
          <w:szCs w:val="24"/>
        </w:rPr>
        <w:t>.</w:t>
      </w:r>
    </w:p>
    <w:p w14:paraId="04F4816A" w14:textId="77777777" w:rsidR="00592950" w:rsidRPr="00441FF1" w:rsidRDefault="00592950" w:rsidP="00A15135">
      <w:pPr>
        <w:ind w:left="851"/>
        <w:rPr>
          <w:sz w:val="24"/>
          <w:szCs w:val="24"/>
        </w:rPr>
      </w:pPr>
    </w:p>
    <w:p w14:paraId="3315766E" w14:textId="77777777" w:rsidR="00592950" w:rsidRPr="00441FF1" w:rsidRDefault="00592950" w:rsidP="00F04FDF">
      <w:pPr>
        <w:ind w:left="851"/>
        <w:rPr>
          <w:sz w:val="24"/>
          <w:szCs w:val="24"/>
        </w:rPr>
      </w:pPr>
      <w:r w:rsidRPr="00441FF1">
        <w:rPr>
          <w:sz w:val="24"/>
          <w:szCs w:val="24"/>
          <w:u w:val="single"/>
        </w:rPr>
        <w:t>Hjælpestoffer</w:t>
      </w:r>
    </w:p>
    <w:p w14:paraId="596D3945" w14:textId="77777777" w:rsidR="00592950" w:rsidRPr="00441FF1" w:rsidRDefault="00592950" w:rsidP="00F04FDF">
      <w:pPr>
        <w:ind w:left="851"/>
        <w:rPr>
          <w:sz w:val="24"/>
          <w:szCs w:val="24"/>
        </w:rPr>
      </w:pPr>
      <w:r w:rsidRPr="00441FF1">
        <w:rPr>
          <w:sz w:val="24"/>
          <w:szCs w:val="24"/>
        </w:rPr>
        <w:t xml:space="preserve">Dette lægemiddel indeholder </w:t>
      </w:r>
      <w:proofErr w:type="spellStart"/>
      <w:r w:rsidRPr="00441FF1">
        <w:rPr>
          <w:sz w:val="24"/>
          <w:szCs w:val="24"/>
        </w:rPr>
        <w:t>benzalkoniumchlorid</w:t>
      </w:r>
      <w:proofErr w:type="spellEnd"/>
      <w:r w:rsidRPr="00441FF1">
        <w:rPr>
          <w:sz w:val="24"/>
          <w:szCs w:val="24"/>
        </w:rPr>
        <w:t xml:space="preserve"> 0,1 mg/ml.</w:t>
      </w:r>
    </w:p>
    <w:p w14:paraId="4E3AE7B4" w14:textId="77777777" w:rsidR="00592950" w:rsidRPr="00441FF1" w:rsidRDefault="00592950" w:rsidP="00F04FDF">
      <w:pPr>
        <w:ind w:left="851"/>
        <w:rPr>
          <w:sz w:val="24"/>
          <w:szCs w:val="24"/>
        </w:rPr>
      </w:pPr>
      <w:proofErr w:type="spellStart"/>
      <w:r w:rsidRPr="00441FF1">
        <w:rPr>
          <w:sz w:val="24"/>
          <w:szCs w:val="24"/>
        </w:rPr>
        <w:t>Benzalkoniumchlorid</w:t>
      </w:r>
      <w:proofErr w:type="spellEnd"/>
      <w:r w:rsidRPr="00441FF1">
        <w:rPr>
          <w:sz w:val="24"/>
          <w:szCs w:val="24"/>
        </w:rPr>
        <w:t xml:space="preserve"> kan absorberes af bløde kontaktlinser og kan ændre farven af kontaktlinserne. Patienterne skal tage kontaktlinserne ud, inden lægemidlet bruges, og vente mindst 15 minutter, før de sætter kontaktlinserne i igen. </w:t>
      </w:r>
      <w:proofErr w:type="spellStart"/>
      <w:r w:rsidRPr="00441FF1">
        <w:rPr>
          <w:sz w:val="24"/>
          <w:szCs w:val="24"/>
        </w:rPr>
        <w:t>Benzalkoniumchlorid</w:t>
      </w:r>
      <w:proofErr w:type="spellEnd"/>
      <w:r w:rsidRPr="00441FF1">
        <w:rPr>
          <w:sz w:val="24"/>
          <w:szCs w:val="24"/>
        </w:rPr>
        <w:t xml:space="preserve"> kan også forårsage øjenirritation, især i tilfælde af tørre øjne eller sygdomme i </w:t>
      </w:r>
      <w:proofErr w:type="spellStart"/>
      <w:r w:rsidRPr="00441FF1">
        <w:rPr>
          <w:sz w:val="24"/>
          <w:szCs w:val="24"/>
        </w:rPr>
        <w:t>cornea</w:t>
      </w:r>
      <w:proofErr w:type="spellEnd"/>
      <w:r w:rsidRPr="00441FF1">
        <w:rPr>
          <w:sz w:val="24"/>
          <w:szCs w:val="24"/>
        </w:rPr>
        <w:t>.</w:t>
      </w:r>
    </w:p>
    <w:p w14:paraId="44D7C3D9" w14:textId="77777777" w:rsidR="00592950" w:rsidRPr="00441FF1" w:rsidRDefault="00592950" w:rsidP="00F04FDF">
      <w:pPr>
        <w:ind w:left="851"/>
        <w:rPr>
          <w:sz w:val="24"/>
          <w:szCs w:val="24"/>
        </w:rPr>
      </w:pPr>
    </w:p>
    <w:p w14:paraId="24814568" w14:textId="77777777" w:rsidR="00592950" w:rsidRPr="00441FF1" w:rsidRDefault="00592950" w:rsidP="00F04FDF">
      <w:pPr>
        <w:ind w:left="851"/>
        <w:rPr>
          <w:sz w:val="24"/>
          <w:szCs w:val="24"/>
        </w:rPr>
      </w:pPr>
      <w:r w:rsidRPr="00441FF1">
        <w:rPr>
          <w:sz w:val="24"/>
          <w:szCs w:val="24"/>
        </w:rPr>
        <w:t xml:space="preserve">Dette lægemiddel indeholder </w:t>
      </w:r>
      <w:proofErr w:type="spellStart"/>
      <w:r w:rsidRPr="00441FF1">
        <w:rPr>
          <w:sz w:val="24"/>
          <w:szCs w:val="24"/>
        </w:rPr>
        <w:t>phosphater</w:t>
      </w:r>
      <w:proofErr w:type="spellEnd"/>
      <w:r w:rsidRPr="00441FF1">
        <w:rPr>
          <w:sz w:val="24"/>
          <w:szCs w:val="24"/>
        </w:rPr>
        <w:t xml:space="preserve"> 1,6 mg/ml (se også pkt. 4.8).</w:t>
      </w:r>
    </w:p>
    <w:p w14:paraId="0E507E00" w14:textId="77777777" w:rsidR="00592950" w:rsidRPr="00441FF1" w:rsidRDefault="00592950" w:rsidP="00F04FDF">
      <w:pPr>
        <w:ind w:left="851"/>
        <w:rPr>
          <w:sz w:val="24"/>
          <w:szCs w:val="24"/>
        </w:rPr>
      </w:pPr>
    </w:p>
    <w:p w14:paraId="40FE89F6" w14:textId="77777777" w:rsidR="00592950" w:rsidRPr="00441FF1" w:rsidRDefault="00592950" w:rsidP="00F04FDF">
      <w:pPr>
        <w:ind w:left="851"/>
        <w:rPr>
          <w:sz w:val="24"/>
          <w:szCs w:val="24"/>
        </w:rPr>
      </w:pPr>
      <w:proofErr w:type="spellStart"/>
      <w:r w:rsidRPr="00441FF1">
        <w:rPr>
          <w:sz w:val="24"/>
          <w:szCs w:val="24"/>
        </w:rPr>
        <w:t>Dexamcol</w:t>
      </w:r>
      <w:proofErr w:type="spellEnd"/>
      <w:r w:rsidRPr="00441FF1">
        <w:rPr>
          <w:sz w:val="24"/>
          <w:szCs w:val="24"/>
        </w:rPr>
        <w:t xml:space="preserve"> indeholder også ricinusolie, </w:t>
      </w:r>
      <w:proofErr w:type="spellStart"/>
      <w:r w:rsidRPr="00441FF1">
        <w:rPr>
          <w:sz w:val="24"/>
          <w:szCs w:val="24"/>
        </w:rPr>
        <w:t>polyoxyleret</w:t>
      </w:r>
      <w:proofErr w:type="spellEnd"/>
      <w:r w:rsidRPr="00441FF1">
        <w:rPr>
          <w:sz w:val="24"/>
          <w:szCs w:val="24"/>
        </w:rPr>
        <w:t>, som kan medføre hudreaktioner.</w:t>
      </w:r>
    </w:p>
    <w:p w14:paraId="31E760BF" w14:textId="77777777" w:rsidR="009260DE" w:rsidRPr="00441FF1" w:rsidRDefault="009260DE" w:rsidP="009260DE">
      <w:pPr>
        <w:tabs>
          <w:tab w:val="left" w:pos="851"/>
        </w:tabs>
        <w:ind w:left="851"/>
        <w:rPr>
          <w:sz w:val="24"/>
          <w:szCs w:val="24"/>
        </w:rPr>
      </w:pPr>
    </w:p>
    <w:p w14:paraId="147750D6" w14:textId="77777777" w:rsidR="009260DE" w:rsidRPr="00441FF1" w:rsidRDefault="009260DE" w:rsidP="009260DE">
      <w:pPr>
        <w:tabs>
          <w:tab w:val="left" w:pos="851"/>
        </w:tabs>
        <w:ind w:left="851" w:hanging="851"/>
        <w:rPr>
          <w:b/>
          <w:sz w:val="24"/>
          <w:szCs w:val="24"/>
        </w:rPr>
      </w:pPr>
      <w:r w:rsidRPr="00441FF1">
        <w:rPr>
          <w:b/>
          <w:sz w:val="24"/>
          <w:szCs w:val="24"/>
        </w:rPr>
        <w:t>4.5</w:t>
      </w:r>
      <w:r w:rsidRPr="00441FF1">
        <w:rPr>
          <w:b/>
          <w:sz w:val="24"/>
          <w:szCs w:val="24"/>
        </w:rPr>
        <w:tab/>
        <w:t>Interaktion med andre lægemidler og andre former for interaktion</w:t>
      </w:r>
    </w:p>
    <w:p w14:paraId="584106A3" w14:textId="77777777" w:rsidR="00592950" w:rsidRPr="00441FF1" w:rsidRDefault="00592950" w:rsidP="00A15135">
      <w:pPr>
        <w:ind w:left="851"/>
        <w:rPr>
          <w:sz w:val="24"/>
          <w:szCs w:val="24"/>
          <w:lang w:eastAsia="da-DK"/>
        </w:rPr>
      </w:pPr>
      <w:r w:rsidRPr="00441FF1">
        <w:rPr>
          <w:sz w:val="24"/>
          <w:szCs w:val="24"/>
        </w:rPr>
        <w:t>Dette lægemiddel bør ikke gives i kombination med baktericide lægemidler (</w:t>
      </w:r>
      <w:r w:rsidRPr="00441FF1">
        <w:rPr>
          <w:spacing w:val="-3"/>
          <w:sz w:val="24"/>
          <w:szCs w:val="24"/>
        </w:rPr>
        <w:t>penicilliner</w:t>
      </w:r>
      <w:r w:rsidRPr="00441FF1">
        <w:rPr>
          <w:sz w:val="24"/>
          <w:szCs w:val="24"/>
        </w:rPr>
        <w:t xml:space="preserve">, </w:t>
      </w:r>
      <w:proofErr w:type="spellStart"/>
      <w:r w:rsidRPr="00441FF1">
        <w:rPr>
          <w:sz w:val="24"/>
          <w:szCs w:val="24"/>
        </w:rPr>
        <w:t>cefalosporiner</w:t>
      </w:r>
      <w:proofErr w:type="spellEnd"/>
      <w:r w:rsidRPr="00441FF1">
        <w:rPr>
          <w:sz w:val="24"/>
          <w:szCs w:val="24"/>
        </w:rPr>
        <w:t xml:space="preserve">, gentamicin, </w:t>
      </w:r>
      <w:proofErr w:type="spellStart"/>
      <w:r w:rsidRPr="00441FF1">
        <w:rPr>
          <w:sz w:val="24"/>
          <w:szCs w:val="24"/>
        </w:rPr>
        <w:t>tetracykliner</w:t>
      </w:r>
      <w:proofErr w:type="spellEnd"/>
      <w:r w:rsidRPr="00441FF1">
        <w:rPr>
          <w:sz w:val="24"/>
          <w:szCs w:val="24"/>
        </w:rPr>
        <w:t xml:space="preserve">, </w:t>
      </w:r>
      <w:proofErr w:type="spellStart"/>
      <w:r w:rsidRPr="00441FF1">
        <w:rPr>
          <w:sz w:val="24"/>
          <w:szCs w:val="24"/>
        </w:rPr>
        <w:t>polymyxin</w:t>
      </w:r>
      <w:proofErr w:type="spellEnd"/>
      <w:r w:rsidRPr="00441FF1">
        <w:rPr>
          <w:sz w:val="24"/>
          <w:szCs w:val="24"/>
        </w:rPr>
        <w:t xml:space="preserve"> B), eftersom </w:t>
      </w:r>
      <w:proofErr w:type="spellStart"/>
      <w:r w:rsidRPr="00441FF1">
        <w:rPr>
          <w:sz w:val="24"/>
          <w:szCs w:val="24"/>
        </w:rPr>
        <w:t>bakteriostatiske</w:t>
      </w:r>
      <w:proofErr w:type="spellEnd"/>
      <w:r w:rsidRPr="00441FF1">
        <w:rPr>
          <w:sz w:val="24"/>
          <w:szCs w:val="24"/>
        </w:rPr>
        <w:t xml:space="preserve"> antibiotika kan hæmme stoffer med baktericid virkning.</w:t>
      </w:r>
    </w:p>
    <w:p w14:paraId="51A88397" w14:textId="77777777" w:rsidR="00592950" w:rsidRPr="00441FF1" w:rsidRDefault="00592950" w:rsidP="00A15135">
      <w:pPr>
        <w:ind w:left="851"/>
        <w:rPr>
          <w:sz w:val="24"/>
          <w:szCs w:val="24"/>
        </w:rPr>
      </w:pPr>
    </w:p>
    <w:p w14:paraId="48CD12AB" w14:textId="77777777" w:rsidR="00592950" w:rsidRPr="00441FF1" w:rsidRDefault="00592950" w:rsidP="00A15135">
      <w:pPr>
        <w:ind w:left="851"/>
        <w:rPr>
          <w:sz w:val="24"/>
          <w:szCs w:val="24"/>
        </w:rPr>
      </w:pPr>
      <w:r w:rsidRPr="00441FF1">
        <w:rPr>
          <w:spacing w:val="-3"/>
          <w:sz w:val="24"/>
          <w:szCs w:val="24"/>
        </w:rPr>
        <w:t xml:space="preserve">Der bør udvises forsigtighed, hvis </w:t>
      </w:r>
      <w:proofErr w:type="spellStart"/>
      <w:r w:rsidRPr="00441FF1">
        <w:rPr>
          <w:spacing w:val="-3"/>
          <w:sz w:val="24"/>
          <w:szCs w:val="24"/>
        </w:rPr>
        <w:t>Dexamcol</w:t>
      </w:r>
      <w:proofErr w:type="spellEnd"/>
      <w:r w:rsidRPr="00441FF1">
        <w:rPr>
          <w:spacing w:val="-3"/>
          <w:sz w:val="24"/>
          <w:szCs w:val="24"/>
        </w:rPr>
        <w:t xml:space="preserve"> anvendes i kombination med andre midler, der potentielt kan forårsage knoglemarvssuppression.</w:t>
      </w:r>
    </w:p>
    <w:p w14:paraId="7E5209A7" w14:textId="77777777" w:rsidR="00592950" w:rsidRPr="00441FF1" w:rsidRDefault="00592950" w:rsidP="00A15135">
      <w:pPr>
        <w:ind w:left="851"/>
        <w:rPr>
          <w:sz w:val="24"/>
          <w:szCs w:val="24"/>
        </w:rPr>
      </w:pPr>
    </w:p>
    <w:p w14:paraId="2C493C36" w14:textId="77777777" w:rsidR="00592950" w:rsidRPr="00441FF1" w:rsidRDefault="00592950" w:rsidP="00A15135">
      <w:pPr>
        <w:ind w:left="851"/>
        <w:rPr>
          <w:sz w:val="24"/>
          <w:szCs w:val="24"/>
        </w:rPr>
      </w:pPr>
      <w:r w:rsidRPr="00441FF1">
        <w:rPr>
          <w:sz w:val="24"/>
          <w:szCs w:val="24"/>
        </w:rPr>
        <w:lastRenderedPageBreak/>
        <w:t xml:space="preserve">Samtidig brug af topiske steroider, såsom </w:t>
      </w:r>
      <w:proofErr w:type="spellStart"/>
      <w:r w:rsidRPr="00441FF1">
        <w:rPr>
          <w:sz w:val="24"/>
          <w:szCs w:val="24"/>
        </w:rPr>
        <w:t>dexamethason</w:t>
      </w:r>
      <w:proofErr w:type="spellEnd"/>
      <w:r w:rsidRPr="00441FF1">
        <w:rPr>
          <w:sz w:val="24"/>
          <w:szCs w:val="24"/>
        </w:rPr>
        <w:t xml:space="preserve">, og topiske </w:t>
      </w:r>
      <w:proofErr w:type="spellStart"/>
      <w:r w:rsidRPr="00441FF1">
        <w:rPr>
          <w:sz w:val="24"/>
          <w:szCs w:val="24"/>
        </w:rPr>
        <w:t>NSAID’er</w:t>
      </w:r>
      <w:proofErr w:type="spellEnd"/>
      <w:r w:rsidRPr="00441FF1">
        <w:rPr>
          <w:sz w:val="24"/>
          <w:szCs w:val="24"/>
        </w:rPr>
        <w:t xml:space="preserve"> hos patienter med signifikant præeksisterende </w:t>
      </w:r>
      <w:proofErr w:type="spellStart"/>
      <w:r w:rsidRPr="00441FF1">
        <w:rPr>
          <w:sz w:val="24"/>
          <w:szCs w:val="24"/>
        </w:rPr>
        <w:t>corneainflammation</w:t>
      </w:r>
      <w:proofErr w:type="spellEnd"/>
      <w:r w:rsidRPr="00441FF1">
        <w:rPr>
          <w:sz w:val="24"/>
          <w:szCs w:val="24"/>
        </w:rPr>
        <w:t xml:space="preserve"> kan øge risikoen for udvikling af </w:t>
      </w:r>
      <w:proofErr w:type="spellStart"/>
      <w:r w:rsidRPr="00441FF1">
        <w:rPr>
          <w:sz w:val="24"/>
          <w:szCs w:val="24"/>
        </w:rPr>
        <w:t>corneakomplikationer</w:t>
      </w:r>
      <w:proofErr w:type="spellEnd"/>
      <w:r w:rsidRPr="00441FF1">
        <w:rPr>
          <w:sz w:val="24"/>
          <w:szCs w:val="24"/>
        </w:rPr>
        <w:t>, og der bør derfor udvises forsigtighed (se pkt. 4.4).</w:t>
      </w:r>
    </w:p>
    <w:p w14:paraId="1097B6DE" w14:textId="77777777" w:rsidR="00592950" w:rsidRPr="00441FF1" w:rsidRDefault="00592950" w:rsidP="00A15135">
      <w:pPr>
        <w:ind w:left="851"/>
        <w:rPr>
          <w:sz w:val="24"/>
          <w:szCs w:val="24"/>
        </w:rPr>
      </w:pPr>
    </w:p>
    <w:p w14:paraId="274F0E8F" w14:textId="77777777" w:rsidR="00592950" w:rsidRPr="00441FF1" w:rsidRDefault="00592950" w:rsidP="00A15135">
      <w:pPr>
        <w:ind w:left="851"/>
        <w:rPr>
          <w:sz w:val="24"/>
          <w:szCs w:val="24"/>
        </w:rPr>
      </w:pPr>
      <w:r w:rsidRPr="00441FF1">
        <w:rPr>
          <w:sz w:val="24"/>
          <w:szCs w:val="24"/>
        </w:rPr>
        <w:t xml:space="preserve">CYP3A4-hæmmere (inklusive </w:t>
      </w:r>
      <w:proofErr w:type="spellStart"/>
      <w:r w:rsidRPr="00441FF1">
        <w:rPr>
          <w:sz w:val="24"/>
          <w:szCs w:val="24"/>
        </w:rPr>
        <w:t>ritonavir</w:t>
      </w:r>
      <w:proofErr w:type="spellEnd"/>
      <w:r w:rsidRPr="00441FF1">
        <w:rPr>
          <w:sz w:val="24"/>
          <w:szCs w:val="24"/>
        </w:rPr>
        <w:t xml:space="preserve"> og </w:t>
      </w:r>
      <w:proofErr w:type="spellStart"/>
      <w:r w:rsidRPr="00441FF1">
        <w:rPr>
          <w:sz w:val="24"/>
          <w:szCs w:val="24"/>
        </w:rPr>
        <w:t>cobicistat</w:t>
      </w:r>
      <w:proofErr w:type="spellEnd"/>
      <w:r w:rsidRPr="00441FF1">
        <w:rPr>
          <w:sz w:val="24"/>
          <w:szCs w:val="24"/>
        </w:rPr>
        <w:t xml:space="preserve">) kan reducere </w:t>
      </w:r>
      <w:proofErr w:type="spellStart"/>
      <w:r w:rsidRPr="00441FF1">
        <w:rPr>
          <w:sz w:val="24"/>
          <w:szCs w:val="24"/>
        </w:rPr>
        <w:t>clearance</w:t>
      </w:r>
      <w:proofErr w:type="spellEnd"/>
      <w:r w:rsidRPr="00441FF1">
        <w:rPr>
          <w:sz w:val="24"/>
          <w:szCs w:val="24"/>
        </w:rPr>
        <w:t xml:space="preserve"> af </w:t>
      </w:r>
      <w:proofErr w:type="spellStart"/>
      <w:r w:rsidRPr="00441FF1">
        <w:rPr>
          <w:sz w:val="24"/>
          <w:szCs w:val="24"/>
        </w:rPr>
        <w:t>dexamethason</w:t>
      </w:r>
      <w:proofErr w:type="spellEnd"/>
      <w:r w:rsidRPr="00441FF1">
        <w:rPr>
          <w:sz w:val="24"/>
          <w:szCs w:val="24"/>
        </w:rPr>
        <w:t xml:space="preserve"> med øget virkning og binyrebarkinsufficiens/</w:t>
      </w:r>
      <w:proofErr w:type="spellStart"/>
      <w:r w:rsidRPr="00441FF1">
        <w:rPr>
          <w:sz w:val="24"/>
          <w:szCs w:val="24"/>
        </w:rPr>
        <w:t>Cushings</w:t>
      </w:r>
      <w:proofErr w:type="spellEnd"/>
      <w:r w:rsidRPr="00441FF1">
        <w:rPr>
          <w:sz w:val="24"/>
          <w:szCs w:val="24"/>
        </w:rPr>
        <w:t xml:space="preserve"> syndrom til følge. Kombination bør undgås, medmindre fordelen opvejer den øgede risiko for systemiske </w:t>
      </w:r>
      <w:proofErr w:type="spellStart"/>
      <w:r w:rsidRPr="00441FF1">
        <w:rPr>
          <w:sz w:val="24"/>
          <w:szCs w:val="24"/>
        </w:rPr>
        <w:t>kortikosteroidbivirkninger</w:t>
      </w:r>
      <w:proofErr w:type="spellEnd"/>
      <w:r w:rsidRPr="00441FF1">
        <w:rPr>
          <w:sz w:val="24"/>
          <w:szCs w:val="24"/>
        </w:rPr>
        <w:t xml:space="preserve">. Patienterne bør i givet fald overvåges for systemiske </w:t>
      </w:r>
      <w:proofErr w:type="spellStart"/>
      <w:r w:rsidRPr="00441FF1">
        <w:rPr>
          <w:sz w:val="24"/>
          <w:szCs w:val="24"/>
        </w:rPr>
        <w:t>kortikosteroidbivirkninger</w:t>
      </w:r>
      <w:proofErr w:type="spellEnd"/>
      <w:r w:rsidRPr="00441FF1">
        <w:rPr>
          <w:sz w:val="24"/>
          <w:szCs w:val="24"/>
        </w:rPr>
        <w:t>.</w:t>
      </w:r>
    </w:p>
    <w:p w14:paraId="1EEE485C" w14:textId="77777777" w:rsidR="00592950" w:rsidRPr="00441FF1" w:rsidRDefault="00592950" w:rsidP="00A15135">
      <w:pPr>
        <w:ind w:left="851"/>
        <w:rPr>
          <w:sz w:val="24"/>
          <w:szCs w:val="24"/>
        </w:rPr>
      </w:pPr>
    </w:p>
    <w:p w14:paraId="365AC50B" w14:textId="77777777" w:rsidR="00592950" w:rsidRPr="00441FF1" w:rsidRDefault="00592950" w:rsidP="00A15135">
      <w:pPr>
        <w:ind w:left="851"/>
        <w:rPr>
          <w:sz w:val="24"/>
          <w:szCs w:val="24"/>
        </w:rPr>
      </w:pPr>
      <w:r w:rsidRPr="00441FF1">
        <w:rPr>
          <w:sz w:val="24"/>
          <w:szCs w:val="24"/>
        </w:rPr>
        <w:t>I tilfælde af samtidig brug af andre øjenpræparater bør der være et mellemrum på mindst 5 minutter mellem administration af præparaterne.</w:t>
      </w:r>
    </w:p>
    <w:p w14:paraId="79E119A8" w14:textId="77777777" w:rsidR="009260DE" w:rsidRPr="00441FF1" w:rsidRDefault="009260DE" w:rsidP="009260DE">
      <w:pPr>
        <w:tabs>
          <w:tab w:val="left" w:pos="851"/>
        </w:tabs>
        <w:ind w:left="851"/>
        <w:rPr>
          <w:sz w:val="24"/>
          <w:szCs w:val="24"/>
        </w:rPr>
      </w:pPr>
    </w:p>
    <w:p w14:paraId="4BA23306" w14:textId="77777777" w:rsidR="009260DE" w:rsidRPr="00441FF1" w:rsidRDefault="009260DE" w:rsidP="009260DE">
      <w:pPr>
        <w:tabs>
          <w:tab w:val="left" w:pos="851"/>
        </w:tabs>
        <w:ind w:left="851" w:hanging="851"/>
        <w:rPr>
          <w:b/>
          <w:sz w:val="24"/>
          <w:szCs w:val="24"/>
        </w:rPr>
      </w:pPr>
      <w:r w:rsidRPr="00441FF1">
        <w:rPr>
          <w:b/>
          <w:sz w:val="24"/>
          <w:szCs w:val="24"/>
        </w:rPr>
        <w:t>4.6</w:t>
      </w:r>
      <w:r w:rsidRPr="00441FF1">
        <w:rPr>
          <w:b/>
          <w:sz w:val="24"/>
          <w:szCs w:val="24"/>
        </w:rPr>
        <w:tab/>
        <w:t>Graviditet og amning</w:t>
      </w:r>
    </w:p>
    <w:p w14:paraId="50CBF329" w14:textId="77777777" w:rsidR="00475B97" w:rsidRPr="00441FF1" w:rsidRDefault="00475B97" w:rsidP="00A15135">
      <w:pPr>
        <w:ind w:left="851"/>
        <w:rPr>
          <w:sz w:val="24"/>
          <w:szCs w:val="24"/>
          <w:u w:val="single"/>
        </w:rPr>
      </w:pPr>
    </w:p>
    <w:p w14:paraId="177C79D5" w14:textId="262411CF" w:rsidR="00592950" w:rsidRPr="00441FF1" w:rsidRDefault="00592950" w:rsidP="00A15135">
      <w:pPr>
        <w:ind w:left="851"/>
        <w:rPr>
          <w:sz w:val="24"/>
          <w:szCs w:val="24"/>
          <w:u w:val="single"/>
          <w:lang w:eastAsia="da-DK"/>
        </w:rPr>
      </w:pPr>
      <w:r w:rsidRPr="00441FF1">
        <w:rPr>
          <w:sz w:val="24"/>
          <w:szCs w:val="24"/>
          <w:u w:val="single"/>
        </w:rPr>
        <w:t>Graviditet</w:t>
      </w:r>
    </w:p>
    <w:p w14:paraId="1D5A98F4"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proofErr w:type="spellStart"/>
      <w:r w:rsidRPr="00441FF1">
        <w:rPr>
          <w:color w:val="000000"/>
          <w:sz w:val="24"/>
          <w:szCs w:val="24"/>
        </w:rPr>
        <w:t>Dexamcol</w:t>
      </w:r>
      <w:proofErr w:type="spellEnd"/>
      <w:r w:rsidRPr="00441FF1">
        <w:rPr>
          <w:color w:val="000000"/>
          <w:sz w:val="24"/>
          <w:szCs w:val="24"/>
        </w:rPr>
        <w:t xml:space="preserve"> bør ikke anvendes under graviditet, medmindre det er absolut nødvendigt. </w:t>
      </w:r>
    </w:p>
    <w:p w14:paraId="37AA8170"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p>
    <w:p w14:paraId="23347364"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r w:rsidRPr="00441FF1">
        <w:rPr>
          <w:color w:val="000000"/>
          <w:sz w:val="24"/>
          <w:szCs w:val="24"/>
        </w:rPr>
        <w:t xml:space="preserve">Dyreforsøg med både </w:t>
      </w:r>
      <w:proofErr w:type="spellStart"/>
      <w:r w:rsidRPr="00441FF1">
        <w:rPr>
          <w:color w:val="000000"/>
          <w:sz w:val="24"/>
          <w:szCs w:val="24"/>
        </w:rPr>
        <w:t>dexamethason</w:t>
      </w:r>
      <w:proofErr w:type="spellEnd"/>
      <w:r w:rsidRPr="00441FF1">
        <w:rPr>
          <w:color w:val="000000"/>
          <w:sz w:val="24"/>
          <w:szCs w:val="24"/>
        </w:rPr>
        <w:t xml:space="preserve"> og </w:t>
      </w:r>
      <w:proofErr w:type="spellStart"/>
      <w:r w:rsidRPr="00441FF1">
        <w:rPr>
          <w:color w:val="000000"/>
          <w:sz w:val="24"/>
          <w:szCs w:val="24"/>
        </w:rPr>
        <w:t>chloramphenicol</w:t>
      </w:r>
      <w:proofErr w:type="spellEnd"/>
      <w:r w:rsidRPr="00441FF1">
        <w:rPr>
          <w:color w:val="000000"/>
          <w:sz w:val="24"/>
          <w:szCs w:val="24"/>
        </w:rPr>
        <w:t xml:space="preserve"> har påvist reproduktionstoksicitet (se pkt. 5.3). Risikoen for mennesker er ukendt.</w:t>
      </w:r>
    </w:p>
    <w:p w14:paraId="2E3B84AB"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p>
    <w:p w14:paraId="3C5D5695"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r w:rsidRPr="00441FF1">
        <w:rPr>
          <w:color w:val="000000"/>
          <w:sz w:val="24"/>
          <w:szCs w:val="24"/>
        </w:rPr>
        <w:t xml:space="preserve">Der er set nedsat placenta- og fødselsvægt samt </w:t>
      </w:r>
      <w:proofErr w:type="spellStart"/>
      <w:r w:rsidRPr="00441FF1">
        <w:rPr>
          <w:color w:val="000000"/>
          <w:sz w:val="24"/>
          <w:szCs w:val="24"/>
        </w:rPr>
        <w:t>føtal</w:t>
      </w:r>
      <w:proofErr w:type="spellEnd"/>
      <w:r w:rsidRPr="00441FF1">
        <w:rPr>
          <w:color w:val="000000"/>
          <w:sz w:val="24"/>
          <w:szCs w:val="24"/>
        </w:rPr>
        <w:t xml:space="preserve"> ganespalte efter langvarig systemisk behandling med </w:t>
      </w:r>
      <w:proofErr w:type="spellStart"/>
      <w:r w:rsidRPr="00441FF1">
        <w:rPr>
          <w:color w:val="000000"/>
          <w:sz w:val="24"/>
          <w:szCs w:val="24"/>
        </w:rPr>
        <w:t>kortikosteroider</w:t>
      </w:r>
      <w:proofErr w:type="spellEnd"/>
      <w:r w:rsidRPr="00441FF1">
        <w:rPr>
          <w:color w:val="000000"/>
          <w:sz w:val="24"/>
          <w:szCs w:val="24"/>
        </w:rPr>
        <w:t xml:space="preserve">, og administration af høje doser </w:t>
      </w:r>
      <w:proofErr w:type="spellStart"/>
      <w:r w:rsidRPr="00441FF1">
        <w:rPr>
          <w:color w:val="000000"/>
          <w:sz w:val="24"/>
          <w:szCs w:val="24"/>
        </w:rPr>
        <w:t>chloramphenicol</w:t>
      </w:r>
      <w:proofErr w:type="spellEnd"/>
      <w:r w:rsidRPr="00441FF1">
        <w:rPr>
          <w:color w:val="000000"/>
          <w:sz w:val="24"/>
          <w:szCs w:val="24"/>
        </w:rPr>
        <w:t xml:space="preserve"> i graviditeten kan forårsage </w:t>
      </w:r>
      <w:r w:rsidRPr="00441FF1">
        <w:rPr>
          <w:i/>
          <w:color w:val="000000"/>
          <w:sz w:val="24"/>
          <w:szCs w:val="24"/>
        </w:rPr>
        <w:t>gray baby</w:t>
      </w:r>
      <w:r w:rsidRPr="00441FF1">
        <w:rPr>
          <w:color w:val="000000"/>
          <w:sz w:val="24"/>
          <w:szCs w:val="24"/>
        </w:rPr>
        <w:t>-syndrom.</w:t>
      </w:r>
    </w:p>
    <w:p w14:paraId="63CF7063"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p>
    <w:p w14:paraId="28177323"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r w:rsidRPr="00441FF1">
        <w:rPr>
          <w:color w:val="000000"/>
          <w:sz w:val="24"/>
          <w:szCs w:val="24"/>
        </w:rPr>
        <w:t>Ved brug af øjendråber vurderes den systemiske eksponering at være minimal, men indtil der er opnået yderligere erfaring, bør gravide kvinder kun behandles, hvis fordelene for moderen opvejer den potentielle risiko for fosteret.</w:t>
      </w:r>
    </w:p>
    <w:p w14:paraId="26A8D225" w14:textId="77777777" w:rsidR="00592950" w:rsidRPr="00441FF1" w:rsidRDefault="00592950" w:rsidP="00A15135">
      <w:pPr>
        <w:ind w:left="851"/>
        <w:rPr>
          <w:sz w:val="24"/>
          <w:szCs w:val="24"/>
          <w:u w:val="single"/>
        </w:rPr>
      </w:pPr>
    </w:p>
    <w:p w14:paraId="35929368" w14:textId="77777777" w:rsidR="00592950" w:rsidRPr="00441FF1" w:rsidRDefault="00592950" w:rsidP="00A15135">
      <w:pPr>
        <w:ind w:left="851"/>
        <w:rPr>
          <w:sz w:val="24"/>
          <w:szCs w:val="24"/>
          <w:u w:val="single"/>
        </w:rPr>
      </w:pPr>
      <w:r w:rsidRPr="00441FF1">
        <w:rPr>
          <w:sz w:val="24"/>
          <w:szCs w:val="24"/>
          <w:u w:val="single"/>
        </w:rPr>
        <w:t>Amning</w:t>
      </w:r>
    </w:p>
    <w:p w14:paraId="532DDEF0"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proofErr w:type="spellStart"/>
      <w:r w:rsidRPr="00441FF1">
        <w:rPr>
          <w:color w:val="000000"/>
          <w:sz w:val="24"/>
          <w:szCs w:val="24"/>
        </w:rPr>
        <w:t>Dexamcol</w:t>
      </w:r>
      <w:proofErr w:type="spellEnd"/>
      <w:r w:rsidRPr="00441FF1">
        <w:rPr>
          <w:color w:val="000000"/>
          <w:sz w:val="24"/>
          <w:szCs w:val="24"/>
        </w:rPr>
        <w:t xml:space="preserve"> bør ikke anvendes i </w:t>
      </w:r>
      <w:proofErr w:type="spellStart"/>
      <w:r w:rsidRPr="00441FF1">
        <w:rPr>
          <w:color w:val="000000"/>
          <w:sz w:val="24"/>
          <w:szCs w:val="24"/>
        </w:rPr>
        <w:t>ammeperioden</w:t>
      </w:r>
      <w:proofErr w:type="spellEnd"/>
      <w:r w:rsidRPr="00441FF1">
        <w:rPr>
          <w:color w:val="000000"/>
          <w:sz w:val="24"/>
          <w:szCs w:val="24"/>
        </w:rPr>
        <w:t xml:space="preserve">, medmindre det er absolut nødvendigt. </w:t>
      </w:r>
    </w:p>
    <w:p w14:paraId="21CE7515"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p>
    <w:p w14:paraId="086E5C95"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r w:rsidRPr="00441FF1">
        <w:rPr>
          <w:color w:val="000000"/>
          <w:sz w:val="24"/>
          <w:szCs w:val="24"/>
        </w:rPr>
        <w:t xml:space="preserve">Det vides ikke, om topisk </w:t>
      </w:r>
      <w:proofErr w:type="spellStart"/>
      <w:r w:rsidRPr="00441FF1">
        <w:rPr>
          <w:color w:val="000000"/>
          <w:sz w:val="24"/>
          <w:szCs w:val="24"/>
        </w:rPr>
        <w:t>okulær</w:t>
      </w:r>
      <w:proofErr w:type="spellEnd"/>
      <w:r w:rsidRPr="00441FF1">
        <w:rPr>
          <w:color w:val="000000"/>
          <w:sz w:val="24"/>
          <w:szCs w:val="24"/>
        </w:rPr>
        <w:t xml:space="preserve"> administration af </w:t>
      </w:r>
      <w:proofErr w:type="spellStart"/>
      <w:r w:rsidRPr="00441FF1">
        <w:rPr>
          <w:color w:val="000000"/>
          <w:sz w:val="24"/>
          <w:szCs w:val="24"/>
        </w:rPr>
        <w:t>kortikosteroider</w:t>
      </w:r>
      <w:proofErr w:type="spellEnd"/>
      <w:r w:rsidRPr="00441FF1">
        <w:rPr>
          <w:color w:val="000000"/>
          <w:sz w:val="24"/>
          <w:szCs w:val="24"/>
        </w:rPr>
        <w:t xml:space="preserve"> kan medføre systemisk absorption i en sådan grad, at der er målbare mængder i human mælk. </w:t>
      </w:r>
    </w:p>
    <w:p w14:paraId="0CE26B37" w14:textId="77777777" w:rsidR="00592950" w:rsidRPr="00441FF1" w:rsidRDefault="00592950" w:rsidP="00A15135">
      <w:pPr>
        <w:tabs>
          <w:tab w:val="left" w:pos="1304"/>
        </w:tabs>
        <w:autoSpaceDE w:val="0"/>
        <w:autoSpaceDN w:val="0"/>
        <w:adjustRightInd w:val="0"/>
        <w:ind w:left="851"/>
        <w:rPr>
          <w:rFonts w:eastAsia="SimSun"/>
          <w:color w:val="000000"/>
          <w:sz w:val="24"/>
          <w:szCs w:val="24"/>
        </w:rPr>
      </w:pPr>
    </w:p>
    <w:p w14:paraId="6537E177" w14:textId="77777777" w:rsidR="00592950" w:rsidRPr="00441FF1" w:rsidRDefault="00592950" w:rsidP="00A15135">
      <w:pPr>
        <w:ind w:left="851"/>
        <w:rPr>
          <w:color w:val="000000"/>
          <w:sz w:val="24"/>
          <w:szCs w:val="24"/>
        </w:rPr>
      </w:pPr>
      <w:r w:rsidRPr="00441FF1">
        <w:rPr>
          <w:color w:val="000000"/>
          <w:sz w:val="24"/>
          <w:szCs w:val="24"/>
        </w:rPr>
        <w:t>Indtil der er opnået yderligere erfaring bør ammende kvinder kun behandles, hvis fordelene ved behandling for kvinden opvejer den potentielle risiko for barnet.</w:t>
      </w:r>
    </w:p>
    <w:p w14:paraId="280EE22E" w14:textId="77777777" w:rsidR="009260DE" w:rsidRPr="00441FF1" w:rsidRDefault="009260DE" w:rsidP="009260DE">
      <w:pPr>
        <w:tabs>
          <w:tab w:val="left" w:pos="851"/>
        </w:tabs>
        <w:ind w:left="851"/>
        <w:rPr>
          <w:sz w:val="24"/>
          <w:szCs w:val="24"/>
        </w:rPr>
      </w:pPr>
    </w:p>
    <w:p w14:paraId="5E07CD9C" w14:textId="77777777" w:rsidR="009260DE" w:rsidRPr="00441FF1" w:rsidRDefault="009260DE" w:rsidP="009260DE">
      <w:pPr>
        <w:tabs>
          <w:tab w:val="left" w:pos="851"/>
        </w:tabs>
        <w:ind w:left="851" w:hanging="851"/>
        <w:rPr>
          <w:b/>
          <w:sz w:val="24"/>
          <w:szCs w:val="24"/>
        </w:rPr>
      </w:pPr>
      <w:r w:rsidRPr="00441FF1">
        <w:rPr>
          <w:b/>
          <w:sz w:val="24"/>
          <w:szCs w:val="24"/>
        </w:rPr>
        <w:t>4.7</w:t>
      </w:r>
      <w:r w:rsidRPr="00441FF1">
        <w:rPr>
          <w:b/>
          <w:sz w:val="24"/>
          <w:szCs w:val="24"/>
        </w:rPr>
        <w:tab/>
        <w:t>Virkninger på evnen til at føre motorkøretøj eller betjene maskiner</w:t>
      </w:r>
    </w:p>
    <w:p w14:paraId="698FF001" w14:textId="77777777" w:rsidR="00441FF1" w:rsidRPr="00441FF1" w:rsidRDefault="00441FF1" w:rsidP="00A15135">
      <w:pPr>
        <w:ind w:left="851"/>
        <w:rPr>
          <w:sz w:val="24"/>
          <w:szCs w:val="24"/>
        </w:rPr>
      </w:pPr>
      <w:r w:rsidRPr="00441FF1">
        <w:rPr>
          <w:sz w:val="24"/>
          <w:szCs w:val="24"/>
        </w:rPr>
        <w:t>Ikke mærkning.</w:t>
      </w:r>
    </w:p>
    <w:p w14:paraId="096FD69C" w14:textId="64995648" w:rsidR="009C21D0" w:rsidRPr="00441FF1" w:rsidRDefault="009C21D0" w:rsidP="00A15135">
      <w:pPr>
        <w:ind w:left="851"/>
        <w:rPr>
          <w:sz w:val="24"/>
          <w:szCs w:val="24"/>
          <w:lang w:eastAsia="da-DK"/>
        </w:rPr>
      </w:pPr>
      <w:proofErr w:type="spellStart"/>
      <w:r w:rsidRPr="00441FF1">
        <w:rPr>
          <w:sz w:val="24"/>
          <w:szCs w:val="24"/>
        </w:rPr>
        <w:t>Dexamcol</w:t>
      </w:r>
      <w:proofErr w:type="spellEnd"/>
      <w:r w:rsidRPr="00441FF1">
        <w:rPr>
          <w:sz w:val="24"/>
          <w:szCs w:val="24"/>
        </w:rPr>
        <w:t xml:space="preserve"> påvirker ikke eller kun i ubetydelig grad evnen til at føre motorkøretøj og betjene maskiner.</w:t>
      </w:r>
    </w:p>
    <w:p w14:paraId="2288C57D" w14:textId="77777777" w:rsidR="009C21D0" w:rsidRPr="00441FF1" w:rsidRDefault="009C21D0" w:rsidP="00A15135">
      <w:pPr>
        <w:ind w:left="851"/>
        <w:rPr>
          <w:sz w:val="24"/>
          <w:szCs w:val="24"/>
        </w:rPr>
      </w:pPr>
      <w:r w:rsidRPr="00441FF1">
        <w:rPr>
          <w:sz w:val="24"/>
          <w:szCs w:val="24"/>
        </w:rPr>
        <w:t>Vær opmærksom på, at sløret syn kan forekomme umiddelbart efter administration.</w:t>
      </w:r>
    </w:p>
    <w:p w14:paraId="62E8488B" w14:textId="77777777" w:rsidR="009260DE" w:rsidRPr="00441FF1" w:rsidRDefault="009260DE" w:rsidP="009260DE">
      <w:pPr>
        <w:tabs>
          <w:tab w:val="left" w:pos="851"/>
        </w:tabs>
        <w:ind w:left="851"/>
        <w:rPr>
          <w:sz w:val="24"/>
          <w:szCs w:val="24"/>
        </w:rPr>
      </w:pPr>
    </w:p>
    <w:p w14:paraId="0433E0D4" w14:textId="77777777" w:rsidR="009260DE" w:rsidRPr="00441FF1" w:rsidRDefault="009260DE" w:rsidP="009260DE">
      <w:pPr>
        <w:tabs>
          <w:tab w:val="left" w:pos="851"/>
        </w:tabs>
        <w:ind w:left="851" w:hanging="851"/>
        <w:rPr>
          <w:b/>
          <w:sz w:val="24"/>
          <w:szCs w:val="24"/>
        </w:rPr>
      </w:pPr>
      <w:r w:rsidRPr="00441FF1">
        <w:rPr>
          <w:b/>
          <w:sz w:val="24"/>
          <w:szCs w:val="24"/>
        </w:rPr>
        <w:t>4.8</w:t>
      </w:r>
      <w:r w:rsidRPr="00441FF1">
        <w:rPr>
          <w:b/>
          <w:sz w:val="24"/>
          <w:szCs w:val="24"/>
        </w:rPr>
        <w:tab/>
        <w:t>Bivirkninger</w:t>
      </w:r>
    </w:p>
    <w:p w14:paraId="4E49D5DD" w14:textId="77777777" w:rsidR="009C21D0" w:rsidRPr="00441FF1" w:rsidRDefault="009C21D0" w:rsidP="00A15135">
      <w:pPr>
        <w:ind w:left="851"/>
        <w:rPr>
          <w:sz w:val="24"/>
          <w:szCs w:val="24"/>
          <w:lang w:eastAsia="da-DK"/>
        </w:rPr>
      </w:pPr>
      <w:r w:rsidRPr="00441FF1">
        <w:rPr>
          <w:sz w:val="24"/>
          <w:szCs w:val="24"/>
        </w:rPr>
        <w:t>De mest almindelige bivirkninger er lokal irritation og allergiske reaktioner.</w:t>
      </w:r>
    </w:p>
    <w:p w14:paraId="019E5D53" w14:textId="77777777" w:rsidR="009C21D0" w:rsidRPr="00441FF1" w:rsidRDefault="009C21D0" w:rsidP="00A15135">
      <w:pPr>
        <w:ind w:left="851"/>
        <w:rPr>
          <w:sz w:val="24"/>
          <w:szCs w:val="24"/>
        </w:rPr>
      </w:pPr>
    </w:p>
    <w:p w14:paraId="336EEB0E" w14:textId="77777777" w:rsidR="009C21D0" w:rsidRPr="00441FF1" w:rsidRDefault="009C21D0" w:rsidP="00A15135">
      <w:pPr>
        <w:ind w:left="851"/>
        <w:rPr>
          <w:sz w:val="24"/>
          <w:szCs w:val="24"/>
        </w:rPr>
      </w:pPr>
      <w:r w:rsidRPr="00441FF1">
        <w:rPr>
          <w:sz w:val="24"/>
          <w:szCs w:val="24"/>
        </w:rPr>
        <w:t xml:space="preserve">Selvom systemiske bivirkninger ikke er almindelige, er der set enkeltstående tilfælde af systemiske </w:t>
      </w:r>
      <w:proofErr w:type="spellStart"/>
      <w:r w:rsidRPr="00441FF1">
        <w:rPr>
          <w:sz w:val="24"/>
          <w:szCs w:val="24"/>
        </w:rPr>
        <w:t>kortikosteroidbivirkninger</w:t>
      </w:r>
      <w:proofErr w:type="spellEnd"/>
      <w:r w:rsidRPr="00441FF1">
        <w:rPr>
          <w:sz w:val="24"/>
          <w:szCs w:val="24"/>
        </w:rPr>
        <w:t xml:space="preserve"> efter topisk administration.</w:t>
      </w:r>
    </w:p>
    <w:p w14:paraId="413C50E1" w14:textId="77777777" w:rsidR="009C21D0" w:rsidRPr="00441FF1" w:rsidRDefault="009C21D0" w:rsidP="009C21D0">
      <w:pPr>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6"/>
        <w:gridCol w:w="4382"/>
      </w:tblGrid>
      <w:tr w:rsidR="009C21D0" w:rsidRPr="00441FF1" w14:paraId="4A8DAA2E" w14:textId="77777777" w:rsidTr="00A15135">
        <w:trPr>
          <w:trHeight w:val="533"/>
        </w:trPr>
        <w:tc>
          <w:tcPr>
            <w:tcW w:w="4406" w:type="dxa"/>
            <w:tcBorders>
              <w:top w:val="single" w:sz="4" w:space="0" w:color="auto"/>
              <w:left w:val="single" w:sz="4" w:space="0" w:color="auto"/>
              <w:bottom w:val="single" w:sz="4" w:space="0" w:color="auto"/>
              <w:right w:val="single" w:sz="4" w:space="0" w:color="auto"/>
            </w:tcBorders>
          </w:tcPr>
          <w:p w14:paraId="41F79015" w14:textId="77777777" w:rsidR="009C21D0" w:rsidRPr="00441FF1" w:rsidRDefault="009C21D0">
            <w:pPr>
              <w:tabs>
                <w:tab w:val="left" w:pos="0"/>
              </w:tabs>
              <w:rPr>
                <w:b/>
                <w:sz w:val="24"/>
                <w:szCs w:val="24"/>
              </w:rPr>
            </w:pPr>
            <w:r w:rsidRPr="00441FF1">
              <w:rPr>
                <w:b/>
                <w:sz w:val="24"/>
                <w:szCs w:val="24"/>
              </w:rPr>
              <w:lastRenderedPageBreak/>
              <w:t>Blod og lymfesystem</w:t>
            </w:r>
          </w:p>
          <w:p w14:paraId="515F4A99" w14:textId="77777777" w:rsidR="009C21D0" w:rsidRPr="00441FF1" w:rsidRDefault="009C21D0">
            <w:pPr>
              <w:tabs>
                <w:tab w:val="left" w:pos="0"/>
              </w:tabs>
              <w:rPr>
                <w:b/>
                <w:sz w:val="24"/>
                <w:szCs w:val="24"/>
              </w:rPr>
            </w:pPr>
            <w:r w:rsidRPr="00441FF1">
              <w:rPr>
                <w:sz w:val="24"/>
                <w:szCs w:val="24"/>
              </w:rPr>
              <w:t>Ikke kendt (hyppigheden kan ikke estimeres ud fra de forhåndenværende data)</w:t>
            </w:r>
          </w:p>
          <w:p w14:paraId="4FBDA8AC" w14:textId="77777777" w:rsidR="009C21D0" w:rsidRPr="00441FF1" w:rsidRDefault="009C21D0">
            <w:pPr>
              <w:tabs>
                <w:tab w:val="left" w:pos="0"/>
              </w:tabs>
              <w:rPr>
                <w:b/>
                <w:sz w:val="24"/>
                <w:szCs w:val="24"/>
              </w:rPr>
            </w:pPr>
          </w:p>
        </w:tc>
        <w:tc>
          <w:tcPr>
            <w:tcW w:w="4382" w:type="dxa"/>
            <w:tcBorders>
              <w:top w:val="single" w:sz="4" w:space="0" w:color="auto"/>
              <w:left w:val="single" w:sz="4" w:space="0" w:color="auto"/>
              <w:bottom w:val="single" w:sz="4" w:space="0" w:color="auto"/>
              <w:right w:val="single" w:sz="4" w:space="0" w:color="auto"/>
            </w:tcBorders>
          </w:tcPr>
          <w:p w14:paraId="39FCA733" w14:textId="77777777" w:rsidR="009C21D0" w:rsidRPr="00441FF1" w:rsidRDefault="009C21D0">
            <w:pPr>
              <w:ind w:left="164"/>
              <w:rPr>
                <w:sz w:val="24"/>
                <w:szCs w:val="24"/>
              </w:rPr>
            </w:pPr>
          </w:p>
          <w:p w14:paraId="2CA72BC4" w14:textId="77777777" w:rsidR="009C21D0" w:rsidRPr="00441FF1" w:rsidRDefault="009C21D0">
            <w:pPr>
              <w:ind w:left="164"/>
              <w:rPr>
                <w:spacing w:val="-3"/>
                <w:sz w:val="24"/>
                <w:szCs w:val="24"/>
              </w:rPr>
            </w:pPr>
            <w:proofErr w:type="spellStart"/>
            <w:r w:rsidRPr="00441FF1">
              <w:rPr>
                <w:spacing w:val="-3"/>
                <w:sz w:val="24"/>
                <w:szCs w:val="24"/>
              </w:rPr>
              <w:t>Bloddyskrasi</w:t>
            </w:r>
            <w:proofErr w:type="spellEnd"/>
            <w:r w:rsidRPr="00441FF1">
              <w:rPr>
                <w:spacing w:val="-3"/>
                <w:sz w:val="24"/>
                <w:szCs w:val="24"/>
              </w:rPr>
              <w:t xml:space="preserve"> (</w:t>
            </w:r>
            <w:proofErr w:type="spellStart"/>
            <w:r w:rsidRPr="00441FF1">
              <w:rPr>
                <w:spacing w:val="-3"/>
                <w:sz w:val="24"/>
                <w:szCs w:val="24"/>
              </w:rPr>
              <w:t>aplastisk</w:t>
            </w:r>
            <w:proofErr w:type="spellEnd"/>
            <w:r w:rsidRPr="00441FF1">
              <w:rPr>
                <w:spacing w:val="-3"/>
                <w:sz w:val="24"/>
                <w:szCs w:val="24"/>
              </w:rPr>
              <w:t xml:space="preserve"> anæmi, </w:t>
            </w:r>
            <w:proofErr w:type="spellStart"/>
            <w:r w:rsidRPr="00441FF1">
              <w:rPr>
                <w:spacing w:val="-3"/>
                <w:sz w:val="24"/>
                <w:szCs w:val="24"/>
              </w:rPr>
              <w:t>pancytopeni</w:t>
            </w:r>
            <w:proofErr w:type="spellEnd"/>
            <w:r w:rsidRPr="00441FF1">
              <w:rPr>
                <w:spacing w:val="-3"/>
                <w:sz w:val="24"/>
                <w:szCs w:val="24"/>
              </w:rPr>
              <w:t xml:space="preserve">, </w:t>
            </w:r>
            <w:proofErr w:type="spellStart"/>
            <w:r w:rsidRPr="00441FF1">
              <w:rPr>
                <w:spacing w:val="-3"/>
                <w:sz w:val="24"/>
                <w:szCs w:val="24"/>
              </w:rPr>
              <w:t>leukopeni</w:t>
            </w:r>
            <w:proofErr w:type="spellEnd"/>
            <w:r w:rsidRPr="00441FF1">
              <w:rPr>
                <w:spacing w:val="-3"/>
                <w:sz w:val="24"/>
                <w:szCs w:val="24"/>
              </w:rPr>
              <w:t xml:space="preserve">, </w:t>
            </w:r>
            <w:proofErr w:type="spellStart"/>
            <w:r w:rsidRPr="00441FF1">
              <w:rPr>
                <w:spacing w:val="-3"/>
                <w:sz w:val="24"/>
                <w:szCs w:val="24"/>
              </w:rPr>
              <w:t>trombocytopeni</w:t>
            </w:r>
            <w:proofErr w:type="spellEnd"/>
            <w:r w:rsidRPr="00441FF1">
              <w:rPr>
                <w:spacing w:val="-3"/>
                <w:sz w:val="24"/>
                <w:szCs w:val="24"/>
              </w:rPr>
              <w:t xml:space="preserve"> og </w:t>
            </w:r>
            <w:proofErr w:type="spellStart"/>
            <w:r w:rsidRPr="00441FF1">
              <w:rPr>
                <w:spacing w:val="-3"/>
                <w:sz w:val="24"/>
                <w:szCs w:val="24"/>
              </w:rPr>
              <w:t>agranulocytose</w:t>
            </w:r>
            <w:proofErr w:type="spellEnd"/>
            <w:r w:rsidRPr="00441FF1">
              <w:rPr>
                <w:spacing w:val="-3"/>
                <w:sz w:val="24"/>
                <w:szCs w:val="24"/>
              </w:rPr>
              <w:t>)</w:t>
            </w:r>
            <w:r w:rsidRPr="00441FF1">
              <w:rPr>
                <w:color w:val="3366FF"/>
                <w:spacing w:val="-3"/>
                <w:sz w:val="24"/>
                <w:szCs w:val="24"/>
              </w:rPr>
              <w:t>.</w:t>
            </w:r>
          </w:p>
          <w:p w14:paraId="2446C8AF" w14:textId="77777777" w:rsidR="009C21D0" w:rsidRPr="00441FF1" w:rsidRDefault="009C21D0">
            <w:pPr>
              <w:ind w:left="164"/>
              <w:rPr>
                <w:spacing w:val="-3"/>
                <w:sz w:val="24"/>
                <w:szCs w:val="24"/>
              </w:rPr>
            </w:pPr>
          </w:p>
        </w:tc>
      </w:tr>
      <w:tr w:rsidR="009C21D0" w:rsidRPr="00441FF1" w14:paraId="5D60B1F1" w14:textId="77777777" w:rsidTr="00A15135">
        <w:trPr>
          <w:trHeight w:val="533"/>
        </w:trPr>
        <w:tc>
          <w:tcPr>
            <w:tcW w:w="4406" w:type="dxa"/>
            <w:tcBorders>
              <w:top w:val="single" w:sz="4" w:space="0" w:color="auto"/>
              <w:left w:val="single" w:sz="4" w:space="0" w:color="auto"/>
              <w:bottom w:val="single" w:sz="4" w:space="0" w:color="auto"/>
              <w:right w:val="single" w:sz="4" w:space="0" w:color="auto"/>
            </w:tcBorders>
          </w:tcPr>
          <w:p w14:paraId="37C680ED" w14:textId="77777777" w:rsidR="009C21D0" w:rsidRPr="00441FF1" w:rsidRDefault="009C21D0">
            <w:pPr>
              <w:tabs>
                <w:tab w:val="left" w:pos="0"/>
              </w:tabs>
              <w:rPr>
                <w:b/>
                <w:sz w:val="24"/>
                <w:szCs w:val="24"/>
              </w:rPr>
            </w:pPr>
            <w:r w:rsidRPr="00441FF1">
              <w:rPr>
                <w:b/>
                <w:sz w:val="24"/>
                <w:szCs w:val="24"/>
              </w:rPr>
              <w:t>Immunsystemet</w:t>
            </w:r>
          </w:p>
          <w:p w14:paraId="554CD23F" w14:textId="77777777" w:rsidR="009C21D0" w:rsidRPr="00441FF1" w:rsidRDefault="009C21D0">
            <w:pPr>
              <w:tabs>
                <w:tab w:val="left" w:pos="0"/>
              </w:tabs>
              <w:rPr>
                <w:sz w:val="24"/>
                <w:szCs w:val="24"/>
              </w:rPr>
            </w:pPr>
            <w:r w:rsidRPr="00441FF1">
              <w:rPr>
                <w:sz w:val="24"/>
                <w:szCs w:val="24"/>
              </w:rPr>
              <w:t>Ikke kendt (hyppigheden kan ikke estimeres ud fra de forhåndenværende data)</w:t>
            </w:r>
          </w:p>
          <w:p w14:paraId="7F2AA608" w14:textId="77777777" w:rsidR="009C21D0" w:rsidRPr="00441FF1" w:rsidRDefault="009C21D0">
            <w:pPr>
              <w:tabs>
                <w:tab w:val="left" w:pos="0"/>
              </w:tabs>
              <w:rPr>
                <w:sz w:val="24"/>
                <w:szCs w:val="24"/>
              </w:rPr>
            </w:pPr>
          </w:p>
        </w:tc>
        <w:tc>
          <w:tcPr>
            <w:tcW w:w="4382" w:type="dxa"/>
            <w:tcBorders>
              <w:top w:val="single" w:sz="4" w:space="0" w:color="auto"/>
              <w:left w:val="single" w:sz="4" w:space="0" w:color="auto"/>
              <w:bottom w:val="single" w:sz="4" w:space="0" w:color="auto"/>
              <w:right w:val="single" w:sz="4" w:space="0" w:color="auto"/>
            </w:tcBorders>
          </w:tcPr>
          <w:p w14:paraId="2230775F" w14:textId="77777777" w:rsidR="009C21D0" w:rsidRPr="00441FF1" w:rsidRDefault="009C21D0">
            <w:pPr>
              <w:ind w:left="164"/>
              <w:rPr>
                <w:sz w:val="24"/>
                <w:szCs w:val="24"/>
              </w:rPr>
            </w:pPr>
          </w:p>
          <w:p w14:paraId="386031BB" w14:textId="77777777" w:rsidR="009C21D0" w:rsidRPr="00441FF1" w:rsidRDefault="009C21D0">
            <w:pPr>
              <w:ind w:left="164"/>
              <w:rPr>
                <w:sz w:val="24"/>
                <w:szCs w:val="24"/>
              </w:rPr>
            </w:pPr>
            <w:proofErr w:type="spellStart"/>
            <w:r w:rsidRPr="00441FF1">
              <w:rPr>
                <w:sz w:val="24"/>
                <w:szCs w:val="24"/>
              </w:rPr>
              <w:t>Anafylaktiske</w:t>
            </w:r>
            <w:proofErr w:type="spellEnd"/>
            <w:r w:rsidRPr="00441FF1">
              <w:rPr>
                <w:sz w:val="24"/>
                <w:szCs w:val="24"/>
              </w:rPr>
              <w:t xml:space="preserve"> reaktioner. Allergiske reaktioner i form af eksem i øjenlågsområdet.</w:t>
            </w:r>
          </w:p>
        </w:tc>
      </w:tr>
      <w:tr w:rsidR="009C21D0" w:rsidRPr="00441FF1" w14:paraId="0E1A923E" w14:textId="77777777" w:rsidTr="00A15135">
        <w:trPr>
          <w:trHeight w:val="533"/>
        </w:trPr>
        <w:tc>
          <w:tcPr>
            <w:tcW w:w="4406" w:type="dxa"/>
            <w:tcBorders>
              <w:top w:val="single" w:sz="4" w:space="0" w:color="auto"/>
              <w:left w:val="single" w:sz="4" w:space="0" w:color="auto"/>
              <w:bottom w:val="single" w:sz="4" w:space="0" w:color="auto"/>
              <w:right w:val="single" w:sz="4" w:space="0" w:color="auto"/>
            </w:tcBorders>
          </w:tcPr>
          <w:p w14:paraId="619750AD" w14:textId="77777777" w:rsidR="009C21D0" w:rsidRPr="00441FF1" w:rsidRDefault="009C21D0">
            <w:pPr>
              <w:tabs>
                <w:tab w:val="left" w:pos="0"/>
              </w:tabs>
              <w:rPr>
                <w:b/>
                <w:sz w:val="24"/>
                <w:szCs w:val="24"/>
              </w:rPr>
            </w:pPr>
            <w:r w:rsidRPr="00441FF1">
              <w:rPr>
                <w:b/>
                <w:sz w:val="24"/>
                <w:szCs w:val="24"/>
              </w:rPr>
              <w:t>Det endokrine system</w:t>
            </w:r>
          </w:p>
          <w:p w14:paraId="04FEECCB" w14:textId="77777777" w:rsidR="009C21D0" w:rsidRPr="00441FF1" w:rsidRDefault="009C21D0">
            <w:pPr>
              <w:tabs>
                <w:tab w:val="left" w:pos="0"/>
              </w:tabs>
              <w:rPr>
                <w:sz w:val="24"/>
                <w:szCs w:val="24"/>
              </w:rPr>
            </w:pPr>
            <w:r w:rsidRPr="00441FF1">
              <w:rPr>
                <w:sz w:val="24"/>
                <w:szCs w:val="24"/>
              </w:rPr>
              <w:t>Ikke kendt (hyppigheden kan ikke estimeres ud fra de forhåndenværende data)</w:t>
            </w:r>
          </w:p>
          <w:p w14:paraId="42CEE975" w14:textId="77777777" w:rsidR="009C21D0" w:rsidRPr="00441FF1" w:rsidRDefault="009C21D0">
            <w:pPr>
              <w:tabs>
                <w:tab w:val="left" w:pos="0"/>
              </w:tabs>
              <w:rPr>
                <w:b/>
                <w:sz w:val="24"/>
                <w:szCs w:val="24"/>
              </w:rPr>
            </w:pPr>
          </w:p>
        </w:tc>
        <w:tc>
          <w:tcPr>
            <w:tcW w:w="4382" w:type="dxa"/>
            <w:tcBorders>
              <w:top w:val="single" w:sz="4" w:space="0" w:color="auto"/>
              <w:left w:val="single" w:sz="4" w:space="0" w:color="auto"/>
              <w:bottom w:val="single" w:sz="4" w:space="0" w:color="auto"/>
              <w:right w:val="single" w:sz="4" w:space="0" w:color="auto"/>
            </w:tcBorders>
          </w:tcPr>
          <w:p w14:paraId="16DF12CF" w14:textId="77777777" w:rsidR="009C21D0" w:rsidRPr="00441FF1" w:rsidRDefault="009C21D0">
            <w:pPr>
              <w:ind w:left="164"/>
              <w:rPr>
                <w:sz w:val="24"/>
                <w:szCs w:val="24"/>
              </w:rPr>
            </w:pPr>
          </w:p>
          <w:p w14:paraId="06E158DC" w14:textId="77777777" w:rsidR="009C21D0" w:rsidRPr="00441FF1" w:rsidRDefault="009C21D0">
            <w:pPr>
              <w:ind w:left="164"/>
              <w:rPr>
                <w:sz w:val="24"/>
                <w:szCs w:val="24"/>
              </w:rPr>
            </w:pPr>
            <w:proofErr w:type="spellStart"/>
            <w:r w:rsidRPr="00441FF1">
              <w:rPr>
                <w:sz w:val="24"/>
                <w:szCs w:val="24"/>
              </w:rPr>
              <w:t>Cushing</w:t>
            </w:r>
            <w:proofErr w:type="spellEnd"/>
            <w:r w:rsidRPr="00441FF1">
              <w:rPr>
                <w:sz w:val="24"/>
                <w:szCs w:val="24"/>
              </w:rPr>
              <w:t xml:space="preserve"> syndrom, binyrebarkinsufficiens (se pkt. 4.4).</w:t>
            </w:r>
          </w:p>
        </w:tc>
      </w:tr>
      <w:tr w:rsidR="009C21D0" w:rsidRPr="00441FF1" w14:paraId="7B133329" w14:textId="77777777" w:rsidTr="00A15135">
        <w:trPr>
          <w:trHeight w:val="533"/>
        </w:trPr>
        <w:tc>
          <w:tcPr>
            <w:tcW w:w="4406" w:type="dxa"/>
            <w:tcBorders>
              <w:top w:val="single" w:sz="4" w:space="0" w:color="auto"/>
              <w:left w:val="single" w:sz="4" w:space="0" w:color="auto"/>
              <w:bottom w:val="single" w:sz="4" w:space="0" w:color="auto"/>
              <w:right w:val="single" w:sz="4" w:space="0" w:color="auto"/>
            </w:tcBorders>
            <w:hideMark/>
          </w:tcPr>
          <w:p w14:paraId="2C690F58" w14:textId="77777777" w:rsidR="009C21D0" w:rsidRPr="00441FF1" w:rsidRDefault="009C21D0">
            <w:pPr>
              <w:tabs>
                <w:tab w:val="left" w:pos="0"/>
              </w:tabs>
              <w:rPr>
                <w:b/>
                <w:sz w:val="24"/>
                <w:szCs w:val="24"/>
              </w:rPr>
            </w:pPr>
            <w:r w:rsidRPr="00441FF1">
              <w:rPr>
                <w:b/>
                <w:sz w:val="24"/>
                <w:szCs w:val="24"/>
              </w:rPr>
              <w:t>Nervesystemet</w:t>
            </w:r>
          </w:p>
          <w:p w14:paraId="557E6CFF" w14:textId="77777777" w:rsidR="009C21D0" w:rsidRPr="00441FF1" w:rsidRDefault="009C21D0">
            <w:pPr>
              <w:tabs>
                <w:tab w:val="left" w:pos="0"/>
              </w:tabs>
              <w:rPr>
                <w:b/>
                <w:sz w:val="24"/>
                <w:szCs w:val="24"/>
              </w:rPr>
            </w:pPr>
            <w:r w:rsidRPr="00441FF1">
              <w:rPr>
                <w:sz w:val="24"/>
                <w:szCs w:val="24"/>
              </w:rPr>
              <w:t>Ikke kendt (hyppigheden kan ikke estimeres ud fra de forhåndenværende data)</w:t>
            </w:r>
          </w:p>
        </w:tc>
        <w:tc>
          <w:tcPr>
            <w:tcW w:w="4382" w:type="dxa"/>
            <w:tcBorders>
              <w:top w:val="single" w:sz="4" w:space="0" w:color="auto"/>
              <w:left w:val="single" w:sz="4" w:space="0" w:color="auto"/>
              <w:bottom w:val="single" w:sz="4" w:space="0" w:color="auto"/>
              <w:right w:val="single" w:sz="4" w:space="0" w:color="auto"/>
            </w:tcBorders>
          </w:tcPr>
          <w:p w14:paraId="6E285E28" w14:textId="77777777" w:rsidR="009C21D0" w:rsidRPr="00441FF1" w:rsidRDefault="009C21D0">
            <w:pPr>
              <w:ind w:left="164"/>
              <w:rPr>
                <w:sz w:val="24"/>
                <w:szCs w:val="24"/>
              </w:rPr>
            </w:pPr>
          </w:p>
          <w:p w14:paraId="1DB11779" w14:textId="77777777" w:rsidR="009C21D0" w:rsidRPr="00441FF1" w:rsidRDefault="009C21D0">
            <w:pPr>
              <w:tabs>
                <w:tab w:val="left" w:pos="0"/>
              </w:tabs>
              <w:ind w:left="164"/>
              <w:rPr>
                <w:spacing w:val="-3"/>
                <w:sz w:val="24"/>
                <w:szCs w:val="24"/>
              </w:rPr>
            </w:pPr>
            <w:r w:rsidRPr="00441FF1">
              <w:rPr>
                <w:spacing w:val="-3"/>
                <w:sz w:val="24"/>
                <w:szCs w:val="24"/>
              </w:rPr>
              <w:t xml:space="preserve">Optisk </w:t>
            </w:r>
            <w:proofErr w:type="spellStart"/>
            <w:r w:rsidRPr="00441FF1">
              <w:rPr>
                <w:spacing w:val="-3"/>
                <w:sz w:val="24"/>
                <w:szCs w:val="24"/>
              </w:rPr>
              <w:t>neuritis</w:t>
            </w:r>
            <w:proofErr w:type="spellEnd"/>
            <w:r w:rsidRPr="00441FF1">
              <w:rPr>
                <w:spacing w:val="-3"/>
                <w:sz w:val="24"/>
                <w:szCs w:val="24"/>
              </w:rPr>
              <w:t xml:space="preserve"> (reversibel)</w:t>
            </w:r>
            <w:r w:rsidRPr="00441FF1">
              <w:rPr>
                <w:color w:val="3366FF"/>
                <w:spacing w:val="-3"/>
                <w:sz w:val="24"/>
                <w:szCs w:val="24"/>
              </w:rPr>
              <w:t>.</w:t>
            </w:r>
          </w:p>
          <w:p w14:paraId="2DDE4903" w14:textId="77777777" w:rsidR="009C21D0" w:rsidRPr="00441FF1" w:rsidRDefault="009C21D0">
            <w:pPr>
              <w:ind w:left="164"/>
              <w:rPr>
                <w:sz w:val="24"/>
                <w:szCs w:val="24"/>
              </w:rPr>
            </w:pPr>
          </w:p>
          <w:p w14:paraId="43A3B994" w14:textId="77777777" w:rsidR="009C21D0" w:rsidRPr="00441FF1" w:rsidRDefault="009C21D0">
            <w:pPr>
              <w:ind w:left="164"/>
              <w:rPr>
                <w:sz w:val="24"/>
                <w:szCs w:val="24"/>
              </w:rPr>
            </w:pPr>
          </w:p>
        </w:tc>
      </w:tr>
      <w:tr w:rsidR="009C21D0" w:rsidRPr="00441FF1" w14:paraId="5349BB89" w14:textId="77777777" w:rsidTr="00A15135">
        <w:trPr>
          <w:trHeight w:val="533"/>
        </w:trPr>
        <w:tc>
          <w:tcPr>
            <w:tcW w:w="4406" w:type="dxa"/>
            <w:tcBorders>
              <w:top w:val="single" w:sz="4" w:space="0" w:color="auto"/>
              <w:left w:val="single" w:sz="4" w:space="0" w:color="auto"/>
              <w:bottom w:val="single" w:sz="4" w:space="0" w:color="auto"/>
              <w:right w:val="single" w:sz="4" w:space="0" w:color="auto"/>
            </w:tcBorders>
          </w:tcPr>
          <w:p w14:paraId="2A9EA847" w14:textId="77777777" w:rsidR="009C21D0" w:rsidRPr="00441FF1" w:rsidRDefault="009C21D0">
            <w:pPr>
              <w:tabs>
                <w:tab w:val="left" w:pos="0"/>
              </w:tabs>
              <w:rPr>
                <w:sz w:val="24"/>
                <w:szCs w:val="24"/>
              </w:rPr>
            </w:pPr>
            <w:r w:rsidRPr="00441FF1">
              <w:rPr>
                <w:b/>
                <w:sz w:val="24"/>
                <w:szCs w:val="24"/>
              </w:rPr>
              <w:t>Øjne</w:t>
            </w:r>
          </w:p>
          <w:p w14:paraId="23AA735A" w14:textId="77777777" w:rsidR="009C21D0" w:rsidRPr="00441FF1" w:rsidRDefault="009C21D0">
            <w:pPr>
              <w:tabs>
                <w:tab w:val="left" w:pos="0"/>
              </w:tabs>
              <w:rPr>
                <w:sz w:val="24"/>
                <w:szCs w:val="24"/>
              </w:rPr>
            </w:pPr>
            <w:r w:rsidRPr="00441FF1">
              <w:rPr>
                <w:sz w:val="24"/>
                <w:szCs w:val="24"/>
              </w:rPr>
              <w:t>Ikke kendt (hyppigheden kan ikke estimeres ud fra de forhåndenværende data)</w:t>
            </w:r>
          </w:p>
          <w:p w14:paraId="5D180914" w14:textId="77777777" w:rsidR="009C21D0" w:rsidRPr="00441FF1" w:rsidRDefault="009C21D0">
            <w:pPr>
              <w:tabs>
                <w:tab w:val="left" w:pos="0"/>
              </w:tabs>
              <w:rPr>
                <w:b/>
                <w:sz w:val="24"/>
                <w:szCs w:val="24"/>
              </w:rPr>
            </w:pPr>
          </w:p>
        </w:tc>
        <w:tc>
          <w:tcPr>
            <w:tcW w:w="4382" w:type="dxa"/>
            <w:tcBorders>
              <w:top w:val="single" w:sz="4" w:space="0" w:color="auto"/>
              <w:left w:val="single" w:sz="4" w:space="0" w:color="auto"/>
              <w:bottom w:val="single" w:sz="4" w:space="0" w:color="auto"/>
              <w:right w:val="single" w:sz="4" w:space="0" w:color="auto"/>
            </w:tcBorders>
          </w:tcPr>
          <w:p w14:paraId="7E2125BE" w14:textId="77777777" w:rsidR="009C21D0" w:rsidRPr="00441FF1" w:rsidRDefault="009C21D0">
            <w:pPr>
              <w:tabs>
                <w:tab w:val="left" w:pos="0"/>
              </w:tabs>
              <w:ind w:left="164"/>
              <w:rPr>
                <w:spacing w:val="-3"/>
                <w:sz w:val="24"/>
                <w:szCs w:val="24"/>
              </w:rPr>
            </w:pPr>
          </w:p>
          <w:p w14:paraId="58B1F64A" w14:textId="77777777" w:rsidR="009C21D0" w:rsidRPr="00441FF1" w:rsidRDefault="009C21D0">
            <w:pPr>
              <w:tabs>
                <w:tab w:val="left" w:pos="0"/>
              </w:tabs>
              <w:ind w:left="164"/>
              <w:rPr>
                <w:spacing w:val="-3"/>
                <w:sz w:val="24"/>
                <w:szCs w:val="24"/>
              </w:rPr>
            </w:pPr>
            <w:r w:rsidRPr="00441FF1">
              <w:rPr>
                <w:spacing w:val="-3"/>
                <w:sz w:val="24"/>
                <w:szCs w:val="24"/>
              </w:rPr>
              <w:t>Irritation eller overfølsomhedsreaktioner (</w:t>
            </w:r>
            <w:proofErr w:type="spellStart"/>
            <w:r w:rsidRPr="00441FF1">
              <w:rPr>
                <w:spacing w:val="-3"/>
                <w:sz w:val="24"/>
                <w:szCs w:val="24"/>
              </w:rPr>
              <w:t>pruritus</w:t>
            </w:r>
            <w:proofErr w:type="spellEnd"/>
            <w:r w:rsidRPr="00441FF1">
              <w:rPr>
                <w:spacing w:val="-3"/>
                <w:sz w:val="24"/>
                <w:szCs w:val="24"/>
              </w:rPr>
              <w:t>, røde øjne, hævelse, fornemmelse af at have noget i øjet eller andre tegn på irritation, som ikke var til stede før behandlingen).</w:t>
            </w:r>
          </w:p>
          <w:p w14:paraId="3E424FEC" w14:textId="77777777" w:rsidR="009C21D0" w:rsidRPr="00441FF1" w:rsidRDefault="009C21D0">
            <w:pPr>
              <w:tabs>
                <w:tab w:val="left" w:pos="0"/>
              </w:tabs>
              <w:ind w:left="164"/>
              <w:rPr>
                <w:spacing w:val="-3"/>
                <w:sz w:val="24"/>
                <w:szCs w:val="24"/>
              </w:rPr>
            </w:pPr>
            <w:proofErr w:type="spellStart"/>
            <w:r w:rsidRPr="00441FF1">
              <w:rPr>
                <w:spacing w:val="-3"/>
                <w:sz w:val="24"/>
                <w:szCs w:val="24"/>
              </w:rPr>
              <w:t>Brænden</w:t>
            </w:r>
            <w:proofErr w:type="spellEnd"/>
            <w:r w:rsidRPr="00441FF1">
              <w:rPr>
                <w:spacing w:val="-3"/>
                <w:sz w:val="24"/>
                <w:szCs w:val="24"/>
              </w:rPr>
              <w:t xml:space="preserve"> og svie umiddelbart efter </w:t>
            </w:r>
            <w:proofErr w:type="spellStart"/>
            <w:r w:rsidRPr="00441FF1">
              <w:rPr>
                <w:spacing w:val="-3"/>
                <w:sz w:val="24"/>
                <w:szCs w:val="24"/>
              </w:rPr>
              <w:t>inddrypning</w:t>
            </w:r>
            <w:proofErr w:type="spellEnd"/>
            <w:r w:rsidRPr="00441FF1">
              <w:rPr>
                <w:spacing w:val="-3"/>
                <w:sz w:val="24"/>
                <w:szCs w:val="24"/>
              </w:rPr>
              <w:t>.</w:t>
            </w:r>
          </w:p>
          <w:p w14:paraId="1100DED0" w14:textId="77777777" w:rsidR="009C21D0" w:rsidRPr="00441FF1" w:rsidRDefault="009C21D0">
            <w:pPr>
              <w:tabs>
                <w:tab w:val="left" w:pos="0"/>
              </w:tabs>
              <w:ind w:left="164"/>
              <w:rPr>
                <w:spacing w:val="-3"/>
                <w:sz w:val="24"/>
                <w:szCs w:val="24"/>
              </w:rPr>
            </w:pPr>
            <w:r w:rsidRPr="00441FF1">
              <w:rPr>
                <w:spacing w:val="-3"/>
                <w:sz w:val="24"/>
                <w:szCs w:val="24"/>
              </w:rPr>
              <w:t>Sløret syn* (se også pkt. 4.4).</w:t>
            </w:r>
          </w:p>
          <w:p w14:paraId="69708F60" w14:textId="77777777" w:rsidR="009C21D0" w:rsidRPr="00441FF1" w:rsidRDefault="009C21D0">
            <w:pPr>
              <w:tabs>
                <w:tab w:val="left" w:pos="0"/>
              </w:tabs>
              <w:ind w:left="164"/>
              <w:rPr>
                <w:spacing w:val="-3"/>
                <w:sz w:val="24"/>
                <w:szCs w:val="24"/>
              </w:rPr>
            </w:pPr>
            <w:r w:rsidRPr="00441FF1">
              <w:rPr>
                <w:spacing w:val="-3"/>
                <w:sz w:val="24"/>
                <w:szCs w:val="24"/>
              </w:rPr>
              <w:t xml:space="preserve">Øget </w:t>
            </w:r>
            <w:proofErr w:type="spellStart"/>
            <w:r w:rsidRPr="00441FF1">
              <w:rPr>
                <w:spacing w:val="-3"/>
                <w:sz w:val="24"/>
                <w:szCs w:val="24"/>
              </w:rPr>
              <w:t>intraokulært</w:t>
            </w:r>
            <w:proofErr w:type="spellEnd"/>
            <w:r w:rsidRPr="00441FF1">
              <w:rPr>
                <w:spacing w:val="-3"/>
                <w:sz w:val="24"/>
                <w:szCs w:val="24"/>
              </w:rPr>
              <w:t xml:space="preserve"> tryk, potentielt med udvikling af </w:t>
            </w:r>
            <w:proofErr w:type="spellStart"/>
            <w:r w:rsidRPr="00441FF1">
              <w:rPr>
                <w:spacing w:val="-3"/>
                <w:sz w:val="24"/>
                <w:szCs w:val="24"/>
              </w:rPr>
              <w:t>glaukom</w:t>
            </w:r>
            <w:proofErr w:type="spellEnd"/>
            <w:r w:rsidRPr="00441FF1">
              <w:rPr>
                <w:spacing w:val="-3"/>
                <w:sz w:val="24"/>
                <w:szCs w:val="24"/>
              </w:rPr>
              <w:t xml:space="preserve">. </w:t>
            </w:r>
            <w:proofErr w:type="spellStart"/>
            <w:r w:rsidRPr="00441FF1">
              <w:rPr>
                <w:spacing w:val="-3"/>
                <w:sz w:val="24"/>
                <w:szCs w:val="24"/>
              </w:rPr>
              <w:t>Posterior</w:t>
            </w:r>
            <w:proofErr w:type="spellEnd"/>
            <w:r w:rsidRPr="00441FF1">
              <w:rPr>
                <w:spacing w:val="-3"/>
                <w:sz w:val="24"/>
                <w:szCs w:val="24"/>
              </w:rPr>
              <w:t xml:space="preserve"> </w:t>
            </w:r>
            <w:proofErr w:type="spellStart"/>
            <w:r w:rsidRPr="00441FF1">
              <w:rPr>
                <w:spacing w:val="-3"/>
                <w:sz w:val="24"/>
                <w:szCs w:val="24"/>
              </w:rPr>
              <w:t>subkapsulær</w:t>
            </w:r>
            <w:proofErr w:type="spellEnd"/>
            <w:r w:rsidRPr="00441FF1">
              <w:rPr>
                <w:spacing w:val="-3"/>
                <w:sz w:val="24"/>
                <w:szCs w:val="24"/>
              </w:rPr>
              <w:t xml:space="preserve"> katarakt.</w:t>
            </w:r>
          </w:p>
          <w:p w14:paraId="1E395076" w14:textId="77777777" w:rsidR="009C21D0" w:rsidRPr="00441FF1" w:rsidRDefault="009C21D0">
            <w:pPr>
              <w:tabs>
                <w:tab w:val="left" w:pos="0"/>
              </w:tabs>
              <w:ind w:left="164"/>
              <w:rPr>
                <w:spacing w:val="-3"/>
                <w:sz w:val="24"/>
                <w:szCs w:val="24"/>
              </w:rPr>
            </w:pPr>
            <w:r w:rsidRPr="00441FF1">
              <w:rPr>
                <w:spacing w:val="-3"/>
                <w:sz w:val="24"/>
                <w:szCs w:val="24"/>
              </w:rPr>
              <w:t>Sekundær øjeninfektion.</w:t>
            </w:r>
          </w:p>
          <w:p w14:paraId="17D078A4" w14:textId="77777777" w:rsidR="009C21D0" w:rsidRPr="00441FF1" w:rsidRDefault="009C21D0">
            <w:pPr>
              <w:tabs>
                <w:tab w:val="left" w:pos="0"/>
              </w:tabs>
              <w:ind w:left="164"/>
              <w:rPr>
                <w:spacing w:val="-3"/>
                <w:sz w:val="24"/>
                <w:szCs w:val="24"/>
              </w:rPr>
            </w:pPr>
            <w:r w:rsidRPr="00441FF1">
              <w:rPr>
                <w:spacing w:val="-3"/>
                <w:sz w:val="24"/>
                <w:szCs w:val="24"/>
              </w:rPr>
              <w:t xml:space="preserve">Forsinket sårheling og udtynding og/eller perforation af </w:t>
            </w:r>
            <w:proofErr w:type="spellStart"/>
            <w:r w:rsidRPr="00441FF1">
              <w:rPr>
                <w:spacing w:val="-3"/>
                <w:sz w:val="24"/>
                <w:szCs w:val="24"/>
              </w:rPr>
              <w:t>cornea</w:t>
            </w:r>
            <w:proofErr w:type="spellEnd"/>
            <w:r w:rsidRPr="00441FF1">
              <w:rPr>
                <w:spacing w:val="-3"/>
                <w:sz w:val="24"/>
                <w:szCs w:val="24"/>
              </w:rPr>
              <w:t xml:space="preserve"> og øjeæblet.</w:t>
            </w:r>
          </w:p>
          <w:p w14:paraId="33B0E0C7" w14:textId="77777777" w:rsidR="009C21D0" w:rsidRPr="00441FF1" w:rsidRDefault="009C21D0">
            <w:pPr>
              <w:tabs>
                <w:tab w:val="left" w:pos="0"/>
              </w:tabs>
              <w:ind w:left="164"/>
              <w:rPr>
                <w:spacing w:val="-3"/>
                <w:sz w:val="24"/>
                <w:szCs w:val="24"/>
              </w:rPr>
            </w:pPr>
            <w:proofErr w:type="spellStart"/>
            <w:r w:rsidRPr="00441FF1">
              <w:rPr>
                <w:spacing w:val="-3"/>
                <w:sz w:val="24"/>
                <w:szCs w:val="24"/>
              </w:rPr>
              <w:t>Ptose</w:t>
            </w:r>
            <w:proofErr w:type="spellEnd"/>
            <w:r w:rsidRPr="00441FF1">
              <w:rPr>
                <w:spacing w:val="-3"/>
                <w:sz w:val="24"/>
                <w:szCs w:val="24"/>
              </w:rPr>
              <w:t xml:space="preserve"> og </w:t>
            </w:r>
            <w:proofErr w:type="spellStart"/>
            <w:r w:rsidRPr="00441FF1">
              <w:rPr>
                <w:spacing w:val="-3"/>
                <w:sz w:val="24"/>
                <w:szCs w:val="24"/>
              </w:rPr>
              <w:t>mydriasis</w:t>
            </w:r>
            <w:proofErr w:type="spellEnd"/>
            <w:r w:rsidRPr="00441FF1">
              <w:rPr>
                <w:spacing w:val="-3"/>
                <w:sz w:val="24"/>
                <w:szCs w:val="24"/>
              </w:rPr>
              <w:t>.</w:t>
            </w:r>
          </w:p>
          <w:p w14:paraId="23AC0AC9" w14:textId="77777777" w:rsidR="009C21D0" w:rsidRPr="00441FF1" w:rsidRDefault="009C21D0">
            <w:pPr>
              <w:tabs>
                <w:tab w:val="left" w:pos="0"/>
              </w:tabs>
              <w:ind w:left="164"/>
              <w:rPr>
                <w:spacing w:val="-3"/>
                <w:sz w:val="24"/>
                <w:szCs w:val="24"/>
              </w:rPr>
            </w:pPr>
            <w:proofErr w:type="spellStart"/>
            <w:r w:rsidRPr="00441FF1">
              <w:rPr>
                <w:spacing w:val="-3"/>
                <w:sz w:val="24"/>
                <w:szCs w:val="24"/>
              </w:rPr>
              <w:t>Okulær</w:t>
            </w:r>
            <w:proofErr w:type="spellEnd"/>
            <w:r w:rsidRPr="00441FF1">
              <w:rPr>
                <w:spacing w:val="-3"/>
                <w:sz w:val="24"/>
                <w:szCs w:val="24"/>
              </w:rPr>
              <w:t xml:space="preserve"> </w:t>
            </w:r>
            <w:proofErr w:type="spellStart"/>
            <w:r w:rsidRPr="00441FF1">
              <w:rPr>
                <w:spacing w:val="-3"/>
                <w:sz w:val="24"/>
                <w:szCs w:val="24"/>
              </w:rPr>
              <w:t>hyperæmi</w:t>
            </w:r>
            <w:proofErr w:type="spellEnd"/>
            <w:r w:rsidRPr="00441FF1">
              <w:rPr>
                <w:spacing w:val="-3"/>
                <w:sz w:val="24"/>
                <w:szCs w:val="24"/>
              </w:rPr>
              <w:t>.</w:t>
            </w:r>
          </w:p>
          <w:p w14:paraId="1A26885B" w14:textId="77777777" w:rsidR="009C21D0" w:rsidRPr="00441FF1" w:rsidRDefault="009C21D0">
            <w:pPr>
              <w:ind w:left="164"/>
              <w:rPr>
                <w:sz w:val="24"/>
                <w:szCs w:val="24"/>
              </w:rPr>
            </w:pPr>
          </w:p>
        </w:tc>
      </w:tr>
      <w:tr w:rsidR="009C21D0" w:rsidRPr="00441FF1" w14:paraId="6BD610B8" w14:textId="77777777" w:rsidTr="00A15135">
        <w:trPr>
          <w:trHeight w:val="533"/>
        </w:trPr>
        <w:tc>
          <w:tcPr>
            <w:tcW w:w="4406" w:type="dxa"/>
            <w:tcBorders>
              <w:top w:val="single" w:sz="4" w:space="0" w:color="auto"/>
              <w:left w:val="single" w:sz="4" w:space="0" w:color="auto"/>
              <w:bottom w:val="single" w:sz="4" w:space="0" w:color="auto"/>
              <w:right w:val="single" w:sz="4" w:space="0" w:color="auto"/>
            </w:tcBorders>
          </w:tcPr>
          <w:p w14:paraId="4EAC649D" w14:textId="77777777" w:rsidR="009C21D0" w:rsidRPr="00441FF1" w:rsidRDefault="009C21D0">
            <w:pPr>
              <w:tabs>
                <w:tab w:val="left" w:pos="0"/>
              </w:tabs>
              <w:rPr>
                <w:b/>
                <w:sz w:val="24"/>
                <w:szCs w:val="24"/>
              </w:rPr>
            </w:pPr>
            <w:r w:rsidRPr="00441FF1">
              <w:rPr>
                <w:b/>
                <w:sz w:val="24"/>
                <w:szCs w:val="24"/>
              </w:rPr>
              <w:t>Mave-tarm-kanalen</w:t>
            </w:r>
          </w:p>
          <w:p w14:paraId="469CBFD0" w14:textId="77777777" w:rsidR="009C21D0" w:rsidRPr="00441FF1" w:rsidRDefault="009C21D0">
            <w:pPr>
              <w:tabs>
                <w:tab w:val="left" w:pos="0"/>
              </w:tabs>
              <w:rPr>
                <w:sz w:val="24"/>
                <w:szCs w:val="24"/>
              </w:rPr>
            </w:pPr>
            <w:r w:rsidRPr="00441FF1">
              <w:rPr>
                <w:sz w:val="24"/>
                <w:szCs w:val="24"/>
              </w:rPr>
              <w:t>Ikke kendt (hyppigheden kan ikke estimeres ud fra de forhåndenværende data)</w:t>
            </w:r>
          </w:p>
          <w:p w14:paraId="0677742B" w14:textId="77777777" w:rsidR="009C21D0" w:rsidRPr="00441FF1" w:rsidRDefault="009C21D0">
            <w:pPr>
              <w:tabs>
                <w:tab w:val="left" w:pos="0"/>
              </w:tabs>
              <w:rPr>
                <w:b/>
                <w:sz w:val="24"/>
                <w:szCs w:val="24"/>
              </w:rPr>
            </w:pPr>
          </w:p>
        </w:tc>
        <w:tc>
          <w:tcPr>
            <w:tcW w:w="4382" w:type="dxa"/>
            <w:tcBorders>
              <w:top w:val="single" w:sz="4" w:space="0" w:color="auto"/>
              <w:left w:val="single" w:sz="4" w:space="0" w:color="auto"/>
              <w:bottom w:val="single" w:sz="4" w:space="0" w:color="auto"/>
              <w:right w:val="single" w:sz="4" w:space="0" w:color="auto"/>
            </w:tcBorders>
          </w:tcPr>
          <w:p w14:paraId="2FB054C9" w14:textId="77777777" w:rsidR="009C21D0" w:rsidRPr="00441FF1" w:rsidRDefault="009C21D0">
            <w:pPr>
              <w:ind w:left="164"/>
              <w:rPr>
                <w:spacing w:val="-3"/>
                <w:sz w:val="24"/>
                <w:szCs w:val="24"/>
              </w:rPr>
            </w:pPr>
          </w:p>
          <w:p w14:paraId="1AB18195" w14:textId="77777777" w:rsidR="009C21D0" w:rsidRPr="00441FF1" w:rsidRDefault="009C21D0">
            <w:pPr>
              <w:ind w:left="164"/>
              <w:rPr>
                <w:sz w:val="24"/>
                <w:szCs w:val="24"/>
              </w:rPr>
            </w:pPr>
            <w:r w:rsidRPr="00441FF1">
              <w:rPr>
                <w:spacing w:val="-3"/>
                <w:sz w:val="24"/>
                <w:szCs w:val="24"/>
              </w:rPr>
              <w:t>Bitter smag (</w:t>
            </w:r>
            <w:proofErr w:type="spellStart"/>
            <w:r w:rsidRPr="00441FF1">
              <w:rPr>
                <w:spacing w:val="-3"/>
                <w:sz w:val="24"/>
                <w:szCs w:val="24"/>
              </w:rPr>
              <w:t>dysgeusi</w:t>
            </w:r>
            <w:proofErr w:type="spellEnd"/>
            <w:r w:rsidRPr="00441FF1">
              <w:rPr>
                <w:spacing w:val="-3"/>
                <w:sz w:val="24"/>
                <w:szCs w:val="24"/>
              </w:rPr>
              <w:t>) kort tid efter administration</w:t>
            </w:r>
            <w:r w:rsidRPr="00441FF1">
              <w:rPr>
                <w:color w:val="3366FF"/>
                <w:spacing w:val="-3"/>
                <w:sz w:val="24"/>
                <w:szCs w:val="24"/>
              </w:rPr>
              <w:t>.</w:t>
            </w:r>
          </w:p>
          <w:p w14:paraId="26C4ED73" w14:textId="77777777" w:rsidR="009C21D0" w:rsidRPr="00441FF1" w:rsidRDefault="009C21D0">
            <w:pPr>
              <w:ind w:left="164"/>
              <w:rPr>
                <w:i/>
                <w:sz w:val="24"/>
                <w:szCs w:val="24"/>
              </w:rPr>
            </w:pPr>
          </w:p>
        </w:tc>
      </w:tr>
    </w:tbl>
    <w:p w14:paraId="0E4C48AD" w14:textId="77777777" w:rsidR="009C21D0" w:rsidRPr="00441FF1" w:rsidRDefault="009C21D0" w:rsidP="00A15135">
      <w:pPr>
        <w:ind w:left="851"/>
        <w:rPr>
          <w:sz w:val="24"/>
          <w:szCs w:val="24"/>
        </w:rPr>
      </w:pPr>
      <w:r w:rsidRPr="00441FF1">
        <w:rPr>
          <w:sz w:val="24"/>
          <w:szCs w:val="24"/>
        </w:rPr>
        <w:t xml:space="preserve">*) Sløret syn kan også forekomme umiddelbart efter </w:t>
      </w:r>
      <w:proofErr w:type="spellStart"/>
      <w:r w:rsidRPr="00441FF1">
        <w:rPr>
          <w:sz w:val="24"/>
          <w:szCs w:val="24"/>
        </w:rPr>
        <w:t>inddrypning</w:t>
      </w:r>
      <w:proofErr w:type="spellEnd"/>
      <w:r w:rsidRPr="00441FF1">
        <w:rPr>
          <w:sz w:val="24"/>
          <w:szCs w:val="24"/>
        </w:rPr>
        <w:t>.</w:t>
      </w:r>
    </w:p>
    <w:p w14:paraId="1F8CC2A2" w14:textId="77777777" w:rsidR="009C21D0" w:rsidRPr="00441FF1" w:rsidRDefault="009C21D0" w:rsidP="00A15135">
      <w:pPr>
        <w:ind w:left="851"/>
        <w:rPr>
          <w:sz w:val="24"/>
          <w:szCs w:val="24"/>
        </w:rPr>
      </w:pPr>
    </w:p>
    <w:p w14:paraId="761373A6" w14:textId="77777777" w:rsidR="009C21D0" w:rsidRPr="00441FF1" w:rsidRDefault="009C21D0" w:rsidP="00A15135">
      <w:pPr>
        <w:tabs>
          <w:tab w:val="left" w:pos="0"/>
        </w:tabs>
        <w:ind w:left="851"/>
        <w:rPr>
          <w:spacing w:val="-3"/>
          <w:sz w:val="24"/>
          <w:szCs w:val="24"/>
        </w:rPr>
      </w:pPr>
      <w:r w:rsidRPr="00441FF1">
        <w:rPr>
          <w:spacing w:val="-3"/>
          <w:sz w:val="24"/>
          <w:szCs w:val="24"/>
        </w:rPr>
        <w:t xml:space="preserve">Der er indberettet meget sjældne tilfælde af hornhindeforkalkning i forbindelse med brug af </w:t>
      </w:r>
      <w:proofErr w:type="spellStart"/>
      <w:r w:rsidRPr="00441FF1">
        <w:rPr>
          <w:spacing w:val="-3"/>
          <w:sz w:val="24"/>
          <w:szCs w:val="24"/>
        </w:rPr>
        <w:t>phosphatholdige</w:t>
      </w:r>
      <w:proofErr w:type="spellEnd"/>
      <w:r w:rsidRPr="00441FF1">
        <w:rPr>
          <w:spacing w:val="-3"/>
          <w:sz w:val="24"/>
          <w:szCs w:val="24"/>
        </w:rPr>
        <w:t xml:space="preserve"> øjendråber hos visse patienter med signifikante hornhindeskader.</w:t>
      </w:r>
    </w:p>
    <w:p w14:paraId="6348AD59" w14:textId="77777777" w:rsidR="009C21D0" w:rsidRPr="00441FF1" w:rsidRDefault="009C21D0" w:rsidP="00A15135">
      <w:pPr>
        <w:ind w:left="851"/>
        <w:rPr>
          <w:sz w:val="24"/>
          <w:szCs w:val="24"/>
        </w:rPr>
      </w:pPr>
    </w:p>
    <w:p w14:paraId="762F2DE2" w14:textId="77777777" w:rsidR="009C21D0" w:rsidRPr="00F04FDF" w:rsidRDefault="009C21D0" w:rsidP="00A15135">
      <w:pPr>
        <w:ind w:left="851"/>
        <w:rPr>
          <w:sz w:val="24"/>
          <w:szCs w:val="24"/>
          <w:u w:val="single"/>
        </w:rPr>
      </w:pPr>
      <w:r w:rsidRPr="00F04FDF">
        <w:rPr>
          <w:sz w:val="24"/>
          <w:szCs w:val="24"/>
          <w:u w:val="single"/>
        </w:rPr>
        <w:t>Indberetning af formodede bivirkninger</w:t>
      </w:r>
    </w:p>
    <w:p w14:paraId="0B002F4A" w14:textId="77777777" w:rsidR="009C21D0" w:rsidRPr="00441FF1" w:rsidRDefault="009C21D0" w:rsidP="00A15135">
      <w:pPr>
        <w:ind w:left="851"/>
        <w:rPr>
          <w:sz w:val="24"/>
          <w:szCs w:val="24"/>
        </w:rPr>
      </w:pPr>
      <w:r w:rsidRPr="00441FF1">
        <w:rPr>
          <w:sz w:val="24"/>
          <w:szCs w:val="24"/>
        </w:rPr>
        <w:t>Når lægemidlet er godkendt, er indberetning af formodede bivirkninger vigtig. Det muliggør løbende overvågning af benefit/</w:t>
      </w:r>
      <w:proofErr w:type="spellStart"/>
      <w:r w:rsidRPr="00441FF1">
        <w:rPr>
          <w:sz w:val="24"/>
          <w:szCs w:val="24"/>
        </w:rPr>
        <w:t>risk</w:t>
      </w:r>
      <w:proofErr w:type="spellEnd"/>
      <w:r w:rsidRPr="00441FF1">
        <w:rPr>
          <w:sz w:val="24"/>
          <w:szCs w:val="24"/>
        </w:rPr>
        <w:t>-forholdet for lægemidlet. Sundhedspersoner anmodes om at indberette alle formodede bivirkninger via:</w:t>
      </w:r>
    </w:p>
    <w:p w14:paraId="2122EAD9" w14:textId="77777777" w:rsidR="009C21D0" w:rsidRPr="00441FF1" w:rsidRDefault="009C21D0" w:rsidP="00A15135">
      <w:pPr>
        <w:ind w:left="851"/>
        <w:rPr>
          <w:sz w:val="24"/>
          <w:szCs w:val="24"/>
        </w:rPr>
      </w:pPr>
    </w:p>
    <w:p w14:paraId="53984CD0" w14:textId="77777777" w:rsidR="009C21D0" w:rsidRPr="00441FF1" w:rsidRDefault="009C21D0" w:rsidP="00A15135">
      <w:pPr>
        <w:ind w:left="851"/>
        <w:rPr>
          <w:sz w:val="24"/>
          <w:szCs w:val="24"/>
        </w:rPr>
      </w:pPr>
      <w:r w:rsidRPr="00441FF1">
        <w:rPr>
          <w:sz w:val="24"/>
          <w:szCs w:val="24"/>
        </w:rPr>
        <w:t>Lægemiddelstyrelsen</w:t>
      </w:r>
    </w:p>
    <w:p w14:paraId="14C7BA6E" w14:textId="77777777" w:rsidR="009C21D0" w:rsidRPr="00441FF1" w:rsidRDefault="009C21D0" w:rsidP="00A15135">
      <w:pPr>
        <w:ind w:left="851"/>
        <w:rPr>
          <w:sz w:val="24"/>
          <w:szCs w:val="24"/>
        </w:rPr>
      </w:pPr>
      <w:r w:rsidRPr="00441FF1">
        <w:rPr>
          <w:sz w:val="24"/>
          <w:szCs w:val="24"/>
        </w:rPr>
        <w:t>Axel Heides Gade 1</w:t>
      </w:r>
    </w:p>
    <w:p w14:paraId="4D47D2E5" w14:textId="77777777" w:rsidR="009C21D0" w:rsidRPr="00441FF1" w:rsidRDefault="009C21D0" w:rsidP="00A15135">
      <w:pPr>
        <w:ind w:left="851"/>
        <w:rPr>
          <w:sz w:val="24"/>
          <w:szCs w:val="24"/>
        </w:rPr>
      </w:pPr>
      <w:r w:rsidRPr="00441FF1">
        <w:rPr>
          <w:sz w:val="24"/>
          <w:szCs w:val="24"/>
        </w:rPr>
        <w:t>DK-2300 København S</w:t>
      </w:r>
    </w:p>
    <w:p w14:paraId="5772793A" w14:textId="77777777" w:rsidR="009C21D0" w:rsidRPr="00441FF1" w:rsidRDefault="009C21D0" w:rsidP="00A15135">
      <w:pPr>
        <w:ind w:left="851"/>
        <w:rPr>
          <w:sz w:val="24"/>
          <w:szCs w:val="24"/>
        </w:rPr>
      </w:pPr>
      <w:r w:rsidRPr="00441FF1">
        <w:rPr>
          <w:sz w:val="24"/>
          <w:szCs w:val="24"/>
        </w:rPr>
        <w:t>Websted: www.meldenbivirkning.dk</w:t>
      </w:r>
    </w:p>
    <w:p w14:paraId="4E713D17" w14:textId="77777777" w:rsidR="009260DE" w:rsidRPr="00441FF1" w:rsidRDefault="009260DE" w:rsidP="00A10294">
      <w:pPr>
        <w:tabs>
          <w:tab w:val="left" w:pos="851"/>
        </w:tabs>
        <w:ind w:left="851"/>
        <w:rPr>
          <w:sz w:val="24"/>
          <w:szCs w:val="24"/>
        </w:rPr>
      </w:pPr>
    </w:p>
    <w:p w14:paraId="694177AA" w14:textId="77777777" w:rsidR="009260DE" w:rsidRPr="00441FF1" w:rsidRDefault="009260DE" w:rsidP="009260DE">
      <w:pPr>
        <w:tabs>
          <w:tab w:val="left" w:pos="851"/>
        </w:tabs>
        <w:ind w:left="851" w:hanging="851"/>
        <w:rPr>
          <w:b/>
          <w:sz w:val="24"/>
          <w:szCs w:val="24"/>
        </w:rPr>
      </w:pPr>
      <w:r w:rsidRPr="00441FF1">
        <w:rPr>
          <w:b/>
          <w:sz w:val="24"/>
          <w:szCs w:val="24"/>
        </w:rPr>
        <w:t>4.9</w:t>
      </w:r>
      <w:r w:rsidRPr="00441FF1">
        <w:rPr>
          <w:b/>
          <w:sz w:val="24"/>
          <w:szCs w:val="24"/>
        </w:rPr>
        <w:tab/>
        <w:t>Overdosering</w:t>
      </w:r>
    </w:p>
    <w:p w14:paraId="5A725F04" w14:textId="77777777" w:rsidR="009C21D0" w:rsidRPr="00441FF1" w:rsidRDefault="009C21D0" w:rsidP="00A15135">
      <w:pPr>
        <w:ind w:left="851"/>
        <w:rPr>
          <w:sz w:val="24"/>
          <w:szCs w:val="24"/>
          <w:lang w:eastAsia="da-DK"/>
        </w:rPr>
      </w:pPr>
      <w:r w:rsidRPr="00441FF1">
        <w:rPr>
          <w:sz w:val="24"/>
          <w:szCs w:val="24"/>
        </w:rPr>
        <w:t>Der er ikke set tilfælde af overdosering ved lokal anvendelse.</w:t>
      </w:r>
    </w:p>
    <w:p w14:paraId="70B3F324" w14:textId="77777777" w:rsidR="009C21D0" w:rsidRPr="00441FF1" w:rsidRDefault="009C21D0" w:rsidP="00A15135">
      <w:pPr>
        <w:ind w:left="851"/>
        <w:rPr>
          <w:sz w:val="24"/>
          <w:szCs w:val="24"/>
        </w:rPr>
      </w:pPr>
      <w:r w:rsidRPr="00441FF1">
        <w:rPr>
          <w:sz w:val="24"/>
          <w:szCs w:val="24"/>
        </w:rPr>
        <w:t>Lokal overdosering vil sandsynligvis ikke være forbundet med toksicitet og kan blot skylles ud af øjet/øjnene med lunkent vand. Utilsigtet oral indtagelse vil sandsynligvis heller ikke være forbundet med toksicitet.</w:t>
      </w:r>
    </w:p>
    <w:p w14:paraId="6F212185" w14:textId="77777777" w:rsidR="009260DE" w:rsidRPr="00441FF1" w:rsidRDefault="009260DE" w:rsidP="009260DE">
      <w:pPr>
        <w:tabs>
          <w:tab w:val="left" w:pos="851"/>
        </w:tabs>
        <w:ind w:left="851"/>
        <w:rPr>
          <w:sz w:val="24"/>
          <w:szCs w:val="24"/>
        </w:rPr>
      </w:pPr>
    </w:p>
    <w:p w14:paraId="650FEC44" w14:textId="77777777" w:rsidR="009260DE" w:rsidRPr="00441FF1" w:rsidRDefault="009260DE" w:rsidP="009260DE">
      <w:pPr>
        <w:tabs>
          <w:tab w:val="left" w:pos="851"/>
        </w:tabs>
        <w:ind w:left="851" w:hanging="851"/>
        <w:rPr>
          <w:b/>
          <w:sz w:val="24"/>
          <w:szCs w:val="24"/>
        </w:rPr>
      </w:pPr>
      <w:r w:rsidRPr="00441FF1">
        <w:rPr>
          <w:b/>
          <w:sz w:val="24"/>
          <w:szCs w:val="24"/>
        </w:rPr>
        <w:t>4.10</w:t>
      </w:r>
      <w:r w:rsidRPr="00441FF1">
        <w:rPr>
          <w:b/>
          <w:sz w:val="24"/>
          <w:szCs w:val="24"/>
        </w:rPr>
        <w:tab/>
        <w:t>Udlevering</w:t>
      </w:r>
    </w:p>
    <w:p w14:paraId="2EE7DDC5" w14:textId="68046921" w:rsidR="009260DE" w:rsidRPr="00441FF1" w:rsidRDefault="00A15135" w:rsidP="009260DE">
      <w:pPr>
        <w:tabs>
          <w:tab w:val="left" w:pos="851"/>
        </w:tabs>
        <w:ind w:left="851"/>
        <w:rPr>
          <w:sz w:val="24"/>
          <w:szCs w:val="24"/>
        </w:rPr>
      </w:pPr>
      <w:r w:rsidRPr="00441FF1">
        <w:rPr>
          <w:sz w:val="24"/>
          <w:szCs w:val="24"/>
        </w:rPr>
        <w:t>B</w:t>
      </w:r>
    </w:p>
    <w:p w14:paraId="1033AC15" w14:textId="77777777" w:rsidR="009260DE" w:rsidRPr="00441FF1" w:rsidRDefault="009260DE" w:rsidP="009260DE">
      <w:pPr>
        <w:tabs>
          <w:tab w:val="left" w:pos="851"/>
        </w:tabs>
        <w:ind w:left="851"/>
        <w:rPr>
          <w:sz w:val="24"/>
          <w:szCs w:val="24"/>
        </w:rPr>
      </w:pPr>
    </w:p>
    <w:p w14:paraId="295D491E" w14:textId="77777777" w:rsidR="009260DE" w:rsidRPr="00441FF1" w:rsidRDefault="009260DE" w:rsidP="009260DE">
      <w:pPr>
        <w:tabs>
          <w:tab w:val="left" w:pos="851"/>
        </w:tabs>
        <w:ind w:left="851"/>
        <w:rPr>
          <w:sz w:val="24"/>
          <w:szCs w:val="24"/>
        </w:rPr>
      </w:pPr>
    </w:p>
    <w:p w14:paraId="7ACAD32B" w14:textId="77777777" w:rsidR="009260DE" w:rsidRPr="00441FF1" w:rsidRDefault="009260DE" w:rsidP="009260DE">
      <w:pPr>
        <w:tabs>
          <w:tab w:val="left" w:pos="851"/>
        </w:tabs>
        <w:ind w:left="851" w:hanging="851"/>
        <w:rPr>
          <w:b/>
          <w:sz w:val="24"/>
          <w:szCs w:val="24"/>
        </w:rPr>
      </w:pPr>
      <w:r w:rsidRPr="00441FF1">
        <w:rPr>
          <w:b/>
          <w:sz w:val="24"/>
          <w:szCs w:val="24"/>
        </w:rPr>
        <w:t>5.</w:t>
      </w:r>
      <w:r w:rsidRPr="00441FF1">
        <w:rPr>
          <w:b/>
          <w:sz w:val="24"/>
          <w:szCs w:val="24"/>
        </w:rPr>
        <w:tab/>
        <w:t>FARMAKOLOGISKE EGENSKABER</w:t>
      </w:r>
    </w:p>
    <w:p w14:paraId="52141F91" w14:textId="77777777" w:rsidR="009260DE" w:rsidRPr="00441FF1" w:rsidRDefault="009260DE" w:rsidP="009260DE">
      <w:pPr>
        <w:tabs>
          <w:tab w:val="left" w:pos="851"/>
        </w:tabs>
        <w:ind w:left="851"/>
        <w:rPr>
          <w:sz w:val="24"/>
          <w:szCs w:val="24"/>
        </w:rPr>
      </w:pPr>
    </w:p>
    <w:p w14:paraId="690BDCC2" w14:textId="77777777" w:rsidR="009260DE" w:rsidRPr="00441FF1" w:rsidRDefault="009260DE" w:rsidP="009260DE">
      <w:pPr>
        <w:tabs>
          <w:tab w:val="left" w:pos="851"/>
        </w:tabs>
        <w:ind w:left="851" w:hanging="851"/>
        <w:rPr>
          <w:b/>
          <w:sz w:val="24"/>
          <w:szCs w:val="24"/>
        </w:rPr>
      </w:pPr>
      <w:r w:rsidRPr="00441FF1">
        <w:rPr>
          <w:b/>
          <w:sz w:val="24"/>
          <w:szCs w:val="24"/>
        </w:rPr>
        <w:t>5.0</w:t>
      </w:r>
      <w:r w:rsidRPr="00441FF1">
        <w:rPr>
          <w:b/>
          <w:sz w:val="24"/>
          <w:szCs w:val="24"/>
        </w:rPr>
        <w:tab/>
        <w:t>Terapeutisk klassifikation</w:t>
      </w:r>
    </w:p>
    <w:p w14:paraId="1CECDD2B" w14:textId="6A4CF964" w:rsidR="009C21D0" w:rsidRPr="00441FF1" w:rsidRDefault="00A15135" w:rsidP="00A15135">
      <w:pPr>
        <w:ind w:left="851"/>
        <w:rPr>
          <w:bCs/>
          <w:sz w:val="24"/>
          <w:szCs w:val="24"/>
          <w:lang w:eastAsia="da-DK"/>
        </w:rPr>
      </w:pPr>
      <w:r w:rsidRPr="00441FF1">
        <w:rPr>
          <w:bCs/>
          <w:sz w:val="24"/>
          <w:szCs w:val="24"/>
        </w:rPr>
        <w:t xml:space="preserve">ATC-kode: S 01 СА 01. </w:t>
      </w:r>
      <w:proofErr w:type="spellStart"/>
      <w:r w:rsidR="009C21D0" w:rsidRPr="00441FF1">
        <w:rPr>
          <w:bCs/>
          <w:sz w:val="24"/>
          <w:szCs w:val="24"/>
        </w:rPr>
        <w:t>Oftalmologika</w:t>
      </w:r>
      <w:proofErr w:type="spellEnd"/>
      <w:r w:rsidR="009C21D0" w:rsidRPr="00441FF1">
        <w:rPr>
          <w:bCs/>
          <w:sz w:val="24"/>
          <w:szCs w:val="24"/>
        </w:rPr>
        <w:t xml:space="preserve"> – </w:t>
      </w:r>
      <w:proofErr w:type="spellStart"/>
      <w:r w:rsidR="009C21D0" w:rsidRPr="00441FF1">
        <w:rPr>
          <w:bCs/>
          <w:sz w:val="24"/>
          <w:szCs w:val="24"/>
        </w:rPr>
        <w:t>kortikosteroider</w:t>
      </w:r>
      <w:proofErr w:type="spellEnd"/>
      <w:r w:rsidR="009C21D0" w:rsidRPr="00441FF1">
        <w:rPr>
          <w:bCs/>
          <w:sz w:val="24"/>
          <w:szCs w:val="24"/>
        </w:rPr>
        <w:t xml:space="preserve"> og </w:t>
      </w:r>
      <w:proofErr w:type="spellStart"/>
      <w:r w:rsidR="009C21D0" w:rsidRPr="00441FF1">
        <w:rPr>
          <w:bCs/>
          <w:sz w:val="24"/>
          <w:szCs w:val="24"/>
        </w:rPr>
        <w:t>antiinfektiva</w:t>
      </w:r>
      <w:proofErr w:type="spellEnd"/>
      <w:r w:rsidR="009C21D0" w:rsidRPr="00441FF1">
        <w:rPr>
          <w:bCs/>
          <w:sz w:val="24"/>
          <w:szCs w:val="24"/>
        </w:rPr>
        <w:t xml:space="preserve"> i kombination</w:t>
      </w:r>
      <w:r w:rsidRPr="00441FF1">
        <w:rPr>
          <w:bCs/>
          <w:sz w:val="24"/>
          <w:szCs w:val="24"/>
        </w:rPr>
        <w:t>.</w:t>
      </w:r>
    </w:p>
    <w:p w14:paraId="14FA2BDD" w14:textId="77777777" w:rsidR="009260DE" w:rsidRPr="00441FF1" w:rsidRDefault="009260DE" w:rsidP="009260DE">
      <w:pPr>
        <w:tabs>
          <w:tab w:val="left" w:pos="851"/>
        </w:tabs>
        <w:ind w:left="851"/>
        <w:rPr>
          <w:sz w:val="24"/>
          <w:szCs w:val="24"/>
        </w:rPr>
      </w:pPr>
    </w:p>
    <w:p w14:paraId="5C717F5F" w14:textId="77777777" w:rsidR="009260DE" w:rsidRPr="00441FF1" w:rsidRDefault="009260DE" w:rsidP="009260DE">
      <w:pPr>
        <w:tabs>
          <w:tab w:val="num" w:pos="851"/>
        </w:tabs>
        <w:ind w:left="851" w:hanging="851"/>
        <w:rPr>
          <w:b/>
          <w:sz w:val="24"/>
          <w:szCs w:val="24"/>
        </w:rPr>
      </w:pPr>
      <w:r w:rsidRPr="00441FF1">
        <w:rPr>
          <w:b/>
          <w:sz w:val="24"/>
          <w:szCs w:val="24"/>
        </w:rPr>
        <w:t>5.1</w:t>
      </w:r>
      <w:r w:rsidRPr="00441FF1">
        <w:rPr>
          <w:b/>
          <w:sz w:val="24"/>
          <w:szCs w:val="24"/>
        </w:rPr>
        <w:tab/>
      </w:r>
      <w:proofErr w:type="spellStart"/>
      <w:r w:rsidRPr="00441FF1">
        <w:rPr>
          <w:b/>
          <w:sz w:val="24"/>
          <w:szCs w:val="24"/>
        </w:rPr>
        <w:t>Farmakodynamiske</w:t>
      </w:r>
      <w:proofErr w:type="spellEnd"/>
      <w:r w:rsidRPr="00441FF1">
        <w:rPr>
          <w:b/>
          <w:sz w:val="24"/>
          <w:szCs w:val="24"/>
        </w:rPr>
        <w:t xml:space="preserve"> egenskaber</w:t>
      </w:r>
    </w:p>
    <w:p w14:paraId="6D1A2FCA" w14:textId="77777777" w:rsidR="00A15135" w:rsidRPr="00441FF1" w:rsidRDefault="00A15135" w:rsidP="00A15135">
      <w:pPr>
        <w:ind w:left="851"/>
        <w:rPr>
          <w:sz w:val="24"/>
          <w:szCs w:val="24"/>
          <w:u w:val="single"/>
        </w:rPr>
      </w:pPr>
    </w:p>
    <w:p w14:paraId="207FBAC9" w14:textId="2E9D8C40" w:rsidR="009C21D0" w:rsidRPr="00441FF1" w:rsidRDefault="009C21D0" w:rsidP="00A15135">
      <w:pPr>
        <w:ind w:left="851"/>
        <w:rPr>
          <w:sz w:val="24"/>
          <w:szCs w:val="24"/>
          <w:u w:val="single"/>
          <w:lang w:eastAsia="da-DK"/>
        </w:rPr>
      </w:pPr>
      <w:proofErr w:type="spellStart"/>
      <w:r w:rsidRPr="00441FF1">
        <w:rPr>
          <w:sz w:val="24"/>
          <w:szCs w:val="24"/>
          <w:u w:val="single"/>
        </w:rPr>
        <w:t>Dexamethason</w:t>
      </w:r>
      <w:proofErr w:type="spellEnd"/>
    </w:p>
    <w:p w14:paraId="5F2D8157" w14:textId="77777777" w:rsidR="009C21D0" w:rsidRPr="00441FF1" w:rsidRDefault="009C21D0" w:rsidP="00A15135">
      <w:pPr>
        <w:ind w:left="851"/>
        <w:rPr>
          <w:sz w:val="24"/>
          <w:szCs w:val="24"/>
        </w:rPr>
      </w:pPr>
      <w:proofErr w:type="spellStart"/>
      <w:r w:rsidRPr="00441FF1">
        <w:rPr>
          <w:sz w:val="24"/>
          <w:szCs w:val="24"/>
        </w:rPr>
        <w:t>Dexamethasons</w:t>
      </w:r>
      <w:proofErr w:type="spellEnd"/>
      <w:r w:rsidRPr="00441FF1">
        <w:rPr>
          <w:sz w:val="24"/>
          <w:szCs w:val="24"/>
        </w:rPr>
        <w:t xml:space="preserve"> antiinflammatoriske virkning er cirka 25 gange højere end virkningen af </w:t>
      </w:r>
      <w:proofErr w:type="spellStart"/>
      <w:r w:rsidRPr="00441FF1">
        <w:rPr>
          <w:sz w:val="24"/>
          <w:szCs w:val="24"/>
        </w:rPr>
        <w:t>hydrocortison</w:t>
      </w:r>
      <w:proofErr w:type="spellEnd"/>
      <w:r w:rsidRPr="00441FF1">
        <w:rPr>
          <w:sz w:val="24"/>
          <w:szCs w:val="24"/>
        </w:rPr>
        <w:t xml:space="preserve">. Ligesom andre antiinflammatoriske </w:t>
      </w:r>
      <w:proofErr w:type="spellStart"/>
      <w:r w:rsidRPr="00441FF1">
        <w:rPr>
          <w:sz w:val="24"/>
          <w:szCs w:val="24"/>
        </w:rPr>
        <w:t>glukokortikoider</w:t>
      </w:r>
      <w:proofErr w:type="spellEnd"/>
      <w:r w:rsidRPr="00441FF1">
        <w:rPr>
          <w:sz w:val="24"/>
          <w:szCs w:val="24"/>
        </w:rPr>
        <w:t xml:space="preserve"> hæmmer </w:t>
      </w:r>
      <w:proofErr w:type="spellStart"/>
      <w:r w:rsidRPr="00441FF1">
        <w:rPr>
          <w:sz w:val="24"/>
          <w:szCs w:val="24"/>
        </w:rPr>
        <w:t>dexamethason</w:t>
      </w:r>
      <w:proofErr w:type="spellEnd"/>
      <w:r w:rsidRPr="00441FF1">
        <w:rPr>
          <w:sz w:val="24"/>
          <w:szCs w:val="24"/>
        </w:rPr>
        <w:t xml:space="preserve"> </w:t>
      </w:r>
      <w:proofErr w:type="spellStart"/>
      <w:r w:rsidRPr="00441FF1">
        <w:rPr>
          <w:sz w:val="24"/>
          <w:szCs w:val="24"/>
        </w:rPr>
        <w:t>fosfolipase</w:t>
      </w:r>
      <w:proofErr w:type="spellEnd"/>
      <w:r w:rsidRPr="00441FF1">
        <w:rPr>
          <w:sz w:val="24"/>
          <w:szCs w:val="24"/>
        </w:rPr>
        <w:t xml:space="preserve"> A2, det første trin i </w:t>
      </w:r>
      <w:proofErr w:type="spellStart"/>
      <w:r w:rsidRPr="00441FF1">
        <w:rPr>
          <w:sz w:val="24"/>
          <w:szCs w:val="24"/>
        </w:rPr>
        <w:t>prostaglandinsyntesen</w:t>
      </w:r>
      <w:proofErr w:type="spellEnd"/>
      <w:r w:rsidRPr="00441FF1">
        <w:rPr>
          <w:sz w:val="24"/>
          <w:szCs w:val="24"/>
        </w:rPr>
        <w:t xml:space="preserve">, og forhindrer derved efterfølgende dannelse af </w:t>
      </w:r>
      <w:proofErr w:type="spellStart"/>
      <w:r w:rsidRPr="00441FF1">
        <w:rPr>
          <w:sz w:val="24"/>
          <w:szCs w:val="24"/>
        </w:rPr>
        <w:t>inflammationsmediatorer</w:t>
      </w:r>
      <w:proofErr w:type="spellEnd"/>
      <w:r w:rsidRPr="00441FF1">
        <w:rPr>
          <w:sz w:val="24"/>
          <w:szCs w:val="24"/>
        </w:rPr>
        <w:t xml:space="preserve">, såsom </w:t>
      </w:r>
      <w:proofErr w:type="spellStart"/>
      <w:r w:rsidRPr="00441FF1">
        <w:rPr>
          <w:sz w:val="24"/>
          <w:szCs w:val="24"/>
        </w:rPr>
        <w:t>prostaglandiner</w:t>
      </w:r>
      <w:proofErr w:type="spellEnd"/>
      <w:r w:rsidRPr="00441FF1">
        <w:rPr>
          <w:sz w:val="24"/>
          <w:szCs w:val="24"/>
        </w:rPr>
        <w:t xml:space="preserve"> og </w:t>
      </w:r>
      <w:proofErr w:type="spellStart"/>
      <w:r w:rsidRPr="00441FF1">
        <w:rPr>
          <w:sz w:val="24"/>
          <w:szCs w:val="24"/>
        </w:rPr>
        <w:t>leukotriener</w:t>
      </w:r>
      <w:proofErr w:type="spellEnd"/>
      <w:r w:rsidRPr="00441FF1">
        <w:rPr>
          <w:sz w:val="24"/>
          <w:szCs w:val="24"/>
        </w:rPr>
        <w:t xml:space="preserve">. </w:t>
      </w:r>
      <w:proofErr w:type="spellStart"/>
      <w:r w:rsidRPr="00441FF1">
        <w:rPr>
          <w:sz w:val="24"/>
          <w:szCs w:val="24"/>
        </w:rPr>
        <w:t>Dexamethason</w:t>
      </w:r>
      <w:proofErr w:type="spellEnd"/>
      <w:r w:rsidRPr="00441FF1">
        <w:rPr>
          <w:sz w:val="24"/>
          <w:szCs w:val="24"/>
        </w:rPr>
        <w:t xml:space="preserve"> hæmmer desuden den kemotaktiske migration af </w:t>
      </w:r>
      <w:proofErr w:type="spellStart"/>
      <w:r w:rsidRPr="00441FF1">
        <w:rPr>
          <w:sz w:val="24"/>
          <w:szCs w:val="24"/>
        </w:rPr>
        <w:t>neutrofiler</w:t>
      </w:r>
      <w:proofErr w:type="spellEnd"/>
      <w:r w:rsidRPr="00441FF1">
        <w:rPr>
          <w:sz w:val="24"/>
          <w:szCs w:val="24"/>
        </w:rPr>
        <w:t xml:space="preserve"> i forbindelse med inflammation og reducerer lymfocytantallet og -aktiviteten.</w:t>
      </w:r>
    </w:p>
    <w:p w14:paraId="6FC7DC04" w14:textId="77777777" w:rsidR="009C21D0" w:rsidRPr="00441FF1" w:rsidRDefault="009C21D0" w:rsidP="00A15135">
      <w:pPr>
        <w:ind w:left="851"/>
        <w:rPr>
          <w:sz w:val="24"/>
          <w:szCs w:val="24"/>
          <w:u w:val="single"/>
        </w:rPr>
      </w:pPr>
    </w:p>
    <w:p w14:paraId="6150777E" w14:textId="77777777" w:rsidR="009C21D0" w:rsidRPr="00441FF1" w:rsidRDefault="009C21D0" w:rsidP="00A15135">
      <w:pPr>
        <w:ind w:left="851"/>
        <w:rPr>
          <w:sz w:val="24"/>
          <w:szCs w:val="24"/>
          <w:u w:val="single"/>
        </w:rPr>
      </w:pPr>
      <w:proofErr w:type="spellStart"/>
      <w:r w:rsidRPr="00441FF1">
        <w:rPr>
          <w:sz w:val="24"/>
          <w:szCs w:val="24"/>
          <w:u w:val="single"/>
        </w:rPr>
        <w:t>Chloramphenicol</w:t>
      </w:r>
      <w:proofErr w:type="spellEnd"/>
    </w:p>
    <w:p w14:paraId="6705084B" w14:textId="77777777" w:rsidR="009C21D0" w:rsidRPr="00441FF1" w:rsidRDefault="009C21D0" w:rsidP="00A15135">
      <w:pPr>
        <w:ind w:left="851"/>
        <w:rPr>
          <w:sz w:val="24"/>
          <w:szCs w:val="24"/>
        </w:rPr>
      </w:pPr>
      <w:proofErr w:type="spellStart"/>
      <w:r w:rsidRPr="00441FF1">
        <w:rPr>
          <w:sz w:val="24"/>
          <w:szCs w:val="24"/>
        </w:rPr>
        <w:t>Chloramphenicol</w:t>
      </w:r>
      <w:proofErr w:type="spellEnd"/>
      <w:r w:rsidRPr="00441FF1">
        <w:rPr>
          <w:sz w:val="24"/>
          <w:szCs w:val="24"/>
        </w:rPr>
        <w:t xml:space="preserve"> er et </w:t>
      </w:r>
      <w:proofErr w:type="spellStart"/>
      <w:r w:rsidRPr="00441FF1">
        <w:rPr>
          <w:sz w:val="24"/>
          <w:szCs w:val="24"/>
        </w:rPr>
        <w:t>bakteriostatisk</w:t>
      </w:r>
      <w:proofErr w:type="spellEnd"/>
      <w:r w:rsidRPr="00441FF1">
        <w:rPr>
          <w:sz w:val="24"/>
          <w:szCs w:val="24"/>
        </w:rPr>
        <w:t xml:space="preserve"> antibiotikum med lav molekylvægt og </w:t>
      </w:r>
      <w:bookmarkStart w:id="3" w:name="_Hlk72397045"/>
      <w:r w:rsidRPr="00441FF1">
        <w:rPr>
          <w:sz w:val="24"/>
          <w:szCs w:val="24"/>
        </w:rPr>
        <w:t>bredspektret virkning mod grampositive og gramnegative bakterier</w:t>
      </w:r>
      <w:bookmarkEnd w:id="3"/>
      <w:r w:rsidRPr="00441FF1">
        <w:rPr>
          <w:sz w:val="24"/>
          <w:szCs w:val="24"/>
        </w:rPr>
        <w:t xml:space="preserve">, </w:t>
      </w:r>
      <w:proofErr w:type="spellStart"/>
      <w:r w:rsidRPr="00441FF1">
        <w:rPr>
          <w:sz w:val="24"/>
          <w:szCs w:val="24"/>
        </w:rPr>
        <w:t>Rickettsia</w:t>
      </w:r>
      <w:proofErr w:type="spellEnd"/>
      <w:r w:rsidRPr="00441FF1">
        <w:rPr>
          <w:sz w:val="24"/>
          <w:szCs w:val="24"/>
        </w:rPr>
        <w:t xml:space="preserve"> og </w:t>
      </w:r>
      <w:proofErr w:type="spellStart"/>
      <w:r w:rsidRPr="00441FF1">
        <w:rPr>
          <w:sz w:val="24"/>
          <w:szCs w:val="24"/>
        </w:rPr>
        <w:t>Mycoplasma</w:t>
      </w:r>
      <w:proofErr w:type="spellEnd"/>
      <w:r w:rsidRPr="00441FF1">
        <w:rPr>
          <w:sz w:val="24"/>
          <w:szCs w:val="24"/>
        </w:rPr>
        <w:t>. Virkningsmekanismen er selektiv hæmning af bakteriel proteinsyntese.</w:t>
      </w:r>
    </w:p>
    <w:p w14:paraId="471C1830" w14:textId="77777777" w:rsidR="009C21D0" w:rsidRPr="00441FF1" w:rsidRDefault="009C21D0" w:rsidP="00A15135">
      <w:pPr>
        <w:ind w:left="851"/>
        <w:rPr>
          <w:sz w:val="24"/>
          <w:szCs w:val="24"/>
        </w:rPr>
      </w:pPr>
      <w:proofErr w:type="spellStart"/>
      <w:r w:rsidRPr="00441FF1">
        <w:rPr>
          <w:sz w:val="24"/>
          <w:szCs w:val="24"/>
        </w:rPr>
        <w:t>Chloramphenicol</w:t>
      </w:r>
      <w:proofErr w:type="spellEnd"/>
      <w:r w:rsidRPr="00441FF1">
        <w:rPr>
          <w:sz w:val="24"/>
          <w:szCs w:val="24"/>
        </w:rPr>
        <w:t xml:space="preserve"> er effektivt mod følgende patogene øjeninfektioner: </w:t>
      </w:r>
      <w:proofErr w:type="spellStart"/>
      <w:r w:rsidRPr="00441FF1">
        <w:rPr>
          <w:i/>
          <w:sz w:val="24"/>
          <w:szCs w:val="24"/>
        </w:rPr>
        <w:t>Staphylococcus</w:t>
      </w:r>
      <w:proofErr w:type="spellEnd"/>
      <w:r w:rsidRPr="00441FF1">
        <w:rPr>
          <w:i/>
          <w:sz w:val="24"/>
          <w:szCs w:val="24"/>
        </w:rPr>
        <w:t xml:space="preserve"> aureus</w:t>
      </w:r>
      <w:r w:rsidRPr="00441FF1">
        <w:rPr>
          <w:sz w:val="24"/>
          <w:szCs w:val="24"/>
        </w:rPr>
        <w:t xml:space="preserve">, streptokokker, herunder </w:t>
      </w:r>
      <w:proofErr w:type="spellStart"/>
      <w:r w:rsidRPr="00441FF1">
        <w:rPr>
          <w:i/>
          <w:sz w:val="24"/>
          <w:szCs w:val="24"/>
        </w:rPr>
        <w:t>Streptococcus</w:t>
      </w:r>
      <w:proofErr w:type="spellEnd"/>
      <w:r w:rsidRPr="00441FF1">
        <w:rPr>
          <w:i/>
          <w:sz w:val="24"/>
          <w:szCs w:val="24"/>
        </w:rPr>
        <w:t xml:space="preserve"> </w:t>
      </w:r>
      <w:proofErr w:type="spellStart"/>
      <w:r w:rsidRPr="00441FF1">
        <w:rPr>
          <w:i/>
          <w:sz w:val="24"/>
          <w:szCs w:val="24"/>
        </w:rPr>
        <w:t>pneumoniae</w:t>
      </w:r>
      <w:proofErr w:type="spellEnd"/>
      <w:r w:rsidRPr="00441FF1">
        <w:rPr>
          <w:sz w:val="24"/>
          <w:szCs w:val="24"/>
        </w:rPr>
        <w:t xml:space="preserve">, </w:t>
      </w:r>
      <w:r w:rsidRPr="00441FF1">
        <w:rPr>
          <w:i/>
          <w:sz w:val="24"/>
          <w:szCs w:val="24"/>
        </w:rPr>
        <w:t>Escherichia coli</w:t>
      </w:r>
      <w:r w:rsidRPr="00441FF1">
        <w:rPr>
          <w:sz w:val="24"/>
          <w:szCs w:val="24"/>
        </w:rPr>
        <w:t xml:space="preserve">, </w:t>
      </w:r>
      <w:proofErr w:type="spellStart"/>
      <w:r w:rsidRPr="00441FF1">
        <w:rPr>
          <w:i/>
          <w:sz w:val="24"/>
          <w:szCs w:val="24"/>
        </w:rPr>
        <w:t>Haemophilus</w:t>
      </w:r>
      <w:proofErr w:type="spellEnd"/>
      <w:r w:rsidRPr="00441FF1">
        <w:rPr>
          <w:i/>
          <w:sz w:val="24"/>
          <w:szCs w:val="24"/>
        </w:rPr>
        <w:t xml:space="preserve"> influenza</w:t>
      </w:r>
      <w:r w:rsidRPr="00441FF1">
        <w:rPr>
          <w:sz w:val="24"/>
          <w:szCs w:val="24"/>
        </w:rPr>
        <w:t xml:space="preserve">, </w:t>
      </w:r>
      <w:proofErr w:type="spellStart"/>
      <w:r w:rsidRPr="00441FF1">
        <w:rPr>
          <w:sz w:val="24"/>
          <w:szCs w:val="24"/>
        </w:rPr>
        <w:t>Klebsiella</w:t>
      </w:r>
      <w:proofErr w:type="spellEnd"/>
      <w:r w:rsidRPr="00441FF1">
        <w:rPr>
          <w:sz w:val="24"/>
          <w:szCs w:val="24"/>
        </w:rPr>
        <w:t>-/</w:t>
      </w:r>
      <w:proofErr w:type="spellStart"/>
      <w:r w:rsidRPr="00441FF1">
        <w:rPr>
          <w:sz w:val="24"/>
          <w:szCs w:val="24"/>
        </w:rPr>
        <w:t>Enterobacter</w:t>
      </w:r>
      <w:proofErr w:type="spellEnd"/>
      <w:r w:rsidRPr="00441FF1">
        <w:rPr>
          <w:sz w:val="24"/>
          <w:szCs w:val="24"/>
        </w:rPr>
        <w:t xml:space="preserve">-arter, </w:t>
      </w:r>
      <w:proofErr w:type="spellStart"/>
      <w:r w:rsidRPr="00441FF1">
        <w:rPr>
          <w:i/>
          <w:sz w:val="24"/>
          <w:szCs w:val="24"/>
        </w:rPr>
        <w:t>Moraxella</w:t>
      </w:r>
      <w:proofErr w:type="spellEnd"/>
      <w:r w:rsidRPr="00441FF1">
        <w:rPr>
          <w:i/>
          <w:sz w:val="24"/>
          <w:szCs w:val="24"/>
        </w:rPr>
        <w:t xml:space="preserve"> </w:t>
      </w:r>
      <w:proofErr w:type="spellStart"/>
      <w:r w:rsidRPr="00441FF1">
        <w:rPr>
          <w:i/>
          <w:sz w:val="24"/>
          <w:szCs w:val="24"/>
        </w:rPr>
        <w:t>lacunata</w:t>
      </w:r>
      <w:proofErr w:type="spellEnd"/>
      <w:r w:rsidRPr="00441FF1">
        <w:rPr>
          <w:sz w:val="24"/>
          <w:szCs w:val="24"/>
        </w:rPr>
        <w:t xml:space="preserve"> (</w:t>
      </w:r>
      <w:proofErr w:type="spellStart"/>
      <w:r w:rsidRPr="00441FF1">
        <w:rPr>
          <w:sz w:val="24"/>
          <w:szCs w:val="24"/>
        </w:rPr>
        <w:t>Morax</w:t>
      </w:r>
      <w:proofErr w:type="spellEnd"/>
      <w:r w:rsidRPr="00441FF1">
        <w:rPr>
          <w:sz w:val="24"/>
          <w:szCs w:val="24"/>
        </w:rPr>
        <w:t xml:space="preserve"> </w:t>
      </w:r>
      <w:proofErr w:type="spellStart"/>
      <w:r w:rsidRPr="00441FF1">
        <w:rPr>
          <w:sz w:val="24"/>
          <w:szCs w:val="24"/>
        </w:rPr>
        <w:t>Axenfeld-bacillus</w:t>
      </w:r>
      <w:proofErr w:type="spellEnd"/>
      <w:r w:rsidRPr="00441FF1">
        <w:rPr>
          <w:sz w:val="24"/>
          <w:szCs w:val="24"/>
        </w:rPr>
        <w:t xml:space="preserve">) og </w:t>
      </w:r>
      <w:proofErr w:type="spellStart"/>
      <w:r w:rsidRPr="00441FF1">
        <w:rPr>
          <w:sz w:val="24"/>
          <w:szCs w:val="24"/>
        </w:rPr>
        <w:t>Neisseria</w:t>
      </w:r>
      <w:proofErr w:type="spellEnd"/>
      <w:r w:rsidRPr="00441FF1">
        <w:rPr>
          <w:sz w:val="24"/>
          <w:szCs w:val="24"/>
        </w:rPr>
        <w:t xml:space="preserve">-arter. Der er utilstrækkelig virkning mod </w:t>
      </w:r>
      <w:proofErr w:type="spellStart"/>
      <w:r w:rsidRPr="00441FF1">
        <w:rPr>
          <w:i/>
          <w:sz w:val="24"/>
          <w:szCs w:val="24"/>
        </w:rPr>
        <w:t>Pseudomonas</w:t>
      </w:r>
      <w:proofErr w:type="spellEnd"/>
      <w:r w:rsidRPr="00441FF1">
        <w:rPr>
          <w:i/>
          <w:sz w:val="24"/>
          <w:szCs w:val="24"/>
        </w:rPr>
        <w:t xml:space="preserve"> </w:t>
      </w:r>
      <w:proofErr w:type="spellStart"/>
      <w:r w:rsidRPr="00441FF1">
        <w:rPr>
          <w:i/>
          <w:sz w:val="24"/>
          <w:szCs w:val="24"/>
        </w:rPr>
        <w:t>aeruginosa</w:t>
      </w:r>
      <w:proofErr w:type="spellEnd"/>
      <w:r w:rsidRPr="00441FF1">
        <w:rPr>
          <w:sz w:val="24"/>
          <w:szCs w:val="24"/>
        </w:rPr>
        <w:t xml:space="preserve"> og </w:t>
      </w:r>
      <w:proofErr w:type="spellStart"/>
      <w:r w:rsidRPr="00441FF1">
        <w:rPr>
          <w:i/>
          <w:sz w:val="24"/>
          <w:szCs w:val="24"/>
        </w:rPr>
        <w:t>Serratia</w:t>
      </w:r>
      <w:proofErr w:type="spellEnd"/>
      <w:r w:rsidRPr="00441FF1">
        <w:rPr>
          <w:i/>
          <w:sz w:val="24"/>
          <w:szCs w:val="24"/>
        </w:rPr>
        <w:t xml:space="preserve"> </w:t>
      </w:r>
      <w:proofErr w:type="spellStart"/>
      <w:r w:rsidRPr="00441FF1">
        <w:rPr>
          <w:i/>
          <w:sz w:val="24"/>
          <w:szCs w:val="24"/>
        </w:rPr>
        <w:t>marcescens</w:t>
      </w:r>
      <w:proofErr w:type="spellEnd"/>
      <w:r w:rsidRPr="00441FF1">
        <w:rPr>
          <w:i/>
          <w:sz w:val="24"/>
          <w:szCs w:val="24"/>
        </w:rPr>
        <w:t>.</w:t>
      </w:r>
    </w:p>
    <w:p w14:paraId="1BD8B558" w14:textId="77777777" w:rsidR="009C21D0" w:rsidRPr="00441FF1" w:rsidRDefault="009C21D0" w:rsidP="00A15135">
      <w:pPr>
        <w:ind w:left="851"/>
        <w:rPr>
          <w:sz w:val="24"/>
          <w:szCs w:val="24"/>
        </w:rPr>
      </w:pPr>
      <w:r w:rsidRPr="00441FF1">
        <w:rPr>
          <w:sz w:val="24"/>
          <w:szCs w:val="24"/>
        </w:rPr>
        <w:t xml:space="preserve">Der er set </w:t>
      </w:r>
      <w:proofErr w:type="spellStart"/>
      <w:r w:rsidRPr="00441FF1">
        <w:rPr>
          <w:sz w:val="24"/>
          <w:szCs w:val="24"/>
        </w:rPr>
        <w:t>chloramphenicolresistens</w:t>
      </w:r>
      <w:proofErr w:type="spellEnd"/>
      <w:r w:rsidRPr="00441FF1">
        <w:rPr>
          <w:sz w:val="24"/>
          <w:szCs w:val="24"/>
        </w:rPr>
        <w:t xml:space="preserve"> </w:t>
      </w:r>
      <w:r w:rsidRPr="00441FF1">
        <w:rPr>
          <w:i/>
          <w:sz w:val="24"/>
          <w:szCs w:val="24"/>
        </w:rPr>
        <w:t xml:space="preserve">in </w:t>
      </w:r>
      <w:proofErr w:type="spellStart"/>
      <w:r w:rsidRPr="00441FF1">
        <w:rPr>
          <w:i/>
          <w:sz w:val="24"/>
          <w:szCs w:val="24"/>
        </w:rPr>
        <w:t>vitro</w:t>
      </w:r>
      <w:proofErr w:type="spellEnd"/>
      <w:r w:rsidRPr="00441FF1">
        <w:rPr>
          <w:sz w:val="24"/>
          <w:szCs w:val="24"/>
        </w:rPr>
        <w:t xml:space="preserve"> og </w:t>
      </w:r>
      <w:r w:rsidRPr="00441FF1">
        <w:rPr>
          <w:i/>
          <w:sz w:val="24"/>
          <w:szCs w:val="24"/>
        </w:rPr>
        <w:t xml:space="preserve">in </w:t>
      </w:r>
      <w:proofErr w:type="spellStart"/>
      <w:r w:rsidRPr="00441FF1">
        <w:rPr>
          <w:i/>
          <w:sz w:val="24"/>
          <w:szCs w:val="24"/>
        </w:rPr>
        <w:t>vivo</w:t>
      </w:r>
      <w:proofErr w:type="spellEnd"/>
      <w:r w:rsidRPr="00441FF1">
        <w:rPr>
          <w:sz w:val="24"/>
          <w:szCs w:val="24"/>
        </w:rPr>
        <w:t xml:space="preserve"> i bakteriestammer af typen stafylokokker, Salmonella, </w:t>
      </w:r>
      <w:proofErr w:type="spellStart"/>
      <w:r w:rsidRPr="00441FF1">
        <w:rPr>
          <w:sz w:val="24"/>
          <w:szCs w:val="24"/>
        </w:rPr>
        <w:t>Shigella</w:t>
      </w:r>
      <w:proofErr w:type="spellEnd"/>
      <w:r w:rsidRPr="00441FF1">
        <w:rPr>
          <w:sz w:val="24"/>
          <w:szCs w:val="24"/>
        </w:rPr>
        <w:t xml:space="preserve">, </w:t>
      </w:r>
      <w:r w:rsidRPr="00441FF1">
        <w:rPr>
          <w:i/>
          <w:sz w:val="24"/>
          <w:szCs w:val="24"/>
        </w:rPr>
        <w:t>E. coli</w:t>
      </w:r>
      <w:r w:rsidRPr="00441FF1">
        <w:rPr>
          <w:sz w:val="24"/>
          <w:szCs w:val="24"/>
        </w:rPr>
        <w:t xml:space="preserve"> og </w:t>
      </w:r>
      <w:proofErr w:type="spellStart"/>
      <w:r w:rsidRPr="00441FF1">
        <w:rPr>
          <w:i/>
          <w:sz w:val="24"/>
          <w:szCs w:val="24"/>
        </w:rPr>
        <w:t>Pseudomonas</w:t>
      </w:r>
      <w:proofErr w:type="spellEnd"/>
      <w:r w:rsidRPr="00441FF1">
        <w:rPr>
          <w:i/>
          <w:sz w:val="24"/>
          <w:szCs w:val="24"/>
        </w:rPr>
        <w:t xml:space="preserve"> </w:t>
      </w:r>
      <w:proofErr w:type="spellStart"/>
      <w:r w:rsidRPr="00441FF1">
        <w:rPr>
          <w:i/>
          <w:sz w:val="24"/>
          <w:szCs w:val="24"/>
        </w:rPr>
        <w:t>aeruginosa</w:t>
      </w:r>
      <w:proofErr w:type="spellEnd"/>
      <w:r w:rsidRPr="00441FF1">
        <w:rPr>
          <w:sz w:val="24"/>
          <w:szCs w:val="24"/>
        </w:rPr>
        <w:t xml:space="preserve">. Resistens over for </w:t>
      </w:r>
      <w:proofErr w:type="spellStart"/>
      <w:r w:rsidRPr="00441FF1">
        <w:rPr>
          <w:sz w:val="24"/>
          <w:szCs w:val="24"/>
        </w:rPr>
        <w:t>chloramphenicol</w:t>
      </w:r>
      <w:proofErr w:type="spellEnd"/>
      <w:r w:rsidRPr="00441FF1">
        <w:rPr>
          <w:sz w:val="24"/>
          <w:szCs w:val="24"/>
        </w:rPr>
        <w:t xml:space="preserve"> er til dels relateret til en plasmid-medieret resistensfaktor. </w:t>
      </w:r>
      <w:r w:rsidRPr="00441FF1">
        <w:rPr>
          <w:i/>
          <w:sz w:val="24"/>
          <w:szCs w:val="24"/>
        </w:rPr>
        <w:t xml:space="preserve">In </w:t>
      </w:r>
      <w:proofErr w:type="spellStart"/>
      <w:r w:rsidRPr="00441FF1">
        <w:rPr>
          <w:i/>
          <w:sz w:val="24"/>
          <w:szCs w:val="24"/>
        </w:rPr>
        <w:t>vitro</w:t>
      </w:r>
      <w:proofErr w:type="spellEnd"/>
      <w:r w:rsidRPr="00441FF1">
        <w:rPr>
          <w:sz w:val="24"/>
          <w:szCs w:val="24"/>
        </w:rPr>
        <w:t xml:space="preserve">-følsomhedstest med bakterier isoleret fra overfladen af klinisk symptomatiske øjne og brug af forskellige lokale antibiotika viste, at </w:t>
      </w:r>
      <w:proofErr w:type="spellStart"/>
      <w:r w:rsidRPr="00441FF1">
        <w:rPr>
          <w:sz w:val="24"/>
          <w:szCs w:val="24"/>
        </w:rPr>
        <w:t>chloramphenicol</w:t>
      </w:r>
      <w:proofErr w:type="spellEnd"/>
      <w:r w:rsidRPr="00441FF1">
        <w:rPr>
          <w:sz w:val="24"/>
          <w:szCs w:val="24"/>
        </w:rPr>
        <w:t xml:space="preserve"> havde den højeste in </w:t>
      </w:r>
      <w:proofErr w:type="spellStart"/>
      <w:r w:rsidRPr="00441FF1">
        <w:rPr>
          <w:sz w:val="24"/>
          <w:szCs w:val="24"/>
        </w:rPr>
        <w:t>vitro</w:t>
      </w:r>
      <w:proofErr w:type="spellEnd"/>
      <w:r w:rsidRPr="00441FF1">
        <w:rPr>
          <w:sz w:val="24"/>
          <w:szCs w:val="24"/>
        </w:rPr>
        <w:t xml:space="preserve">-aktivitet blandt de afprøvede antibiotika, og at der var minimal resistens over for </w:t>
      </w:r>
      <w:proofErr w:type="spellStart"/>
      <w:r w:rsidRPr="00441FF1">
        <w:rPr>
          <w:sz w:val="24"/>
          <w:szCs w:val="24"/>
        </w:rPr>
        <w:t>chloramphenicol</w:t>
      </w:r>
      <w:proofErr w:type="spellEnd"/>
      <w:r w:rsidRPr="00441FF1">
        <w:rPr>
          <w:sz w:val="24"/>
          <w:szCs w:val="24"/>
        </w:rPr>
        <w:t>.</w:t>
      </w:r>
    </w:p>
    <w:p w14:paraId="1B45B5A9" w14:textId="2BF7FBCB" w:rsidR="00F04FDF" w:rsidRDefault="00F04FDF">
      <w:pPr>
        <w:rPr>
          <w:sz w:val="24"/>
          <w:szCs w:val="24"/>
        </w:rPr>
      </w:pPr>
      <w:r>
        <w:rPr>
          <w:sz w:val="24"/>
          <w:szCs w:val="24"/>
        </w:rPr>
        <w:br w:type="page"/>
      </w:r>
    </w:p>
    <w:p w14:paraId="63836DEA" w14:textId="77777777" w:rsidR="009260DE" w:rsidRPr="00441FF1" w:rsidRDefault="009260DE" w:rsidP="009260DE">
      <w:pPr>
        <w:tabs>
          <w:tab w:val="left" w:pos="851"/>
        </w:tabs>
        <w:ind w:left="851"/>
        <w:rPr>
          <w:sz w:val="24"/>
          <w:szCs w:val="24"/>
        </w:rPr>
      </w:pPr>
    </w:p>
    <w:p w14:paraId="5C56DEF2" w14:textId="77777777" w:rsidR="009260DE" w:rsidRPr="00441FF1" w:rsidRDefault="009260DE" w:rsidP="009260DE">
      <w:pPr>
        <w:tabs>
          <w:tab w:val="left" w:pos="851"/>
        </w:tabs>
        <w:ind w:left="851" w:hanging="851"/>
        <w:rPr>
          <w:b/>
          <w:sz w:val="24"/>
          <w:szCs w:val="24"/>
        </w:rPr>
      </w:pPr>
      <w:r w:rsidRPr="00441FF1">
        <w:rPr>
          <w:b/>
          <w:sz w:val="24"/>
          <w:szCs w:val="24"/>
        </w:rPr>
        <w:t>5.2</w:t>
      </w:r>
      <w:r w:rsidRPr="00441FF1">
        <w:rPr>
          <w:b/>
          <w:sz w:val="24"/>
          <w:szCs w:val="24"/>
        </w:rPr>
        <w:tab/>
      </w:r>
      <w:proofErr w:type="spellStart"/>
      <w:r w:rsidRPr="00441FF1">
        <w:rPr>
          <w:b/>
          <w:sz w:val="24"/>
          <w:szCs w:val="24"/>
        </w:rPr>
        <w:t>Farmakokinetiske</w:t>
      </w:r>
      <w:proofErr w:type="spellEnd"/>
      <w:r w:rsidRPr="00441FF1">
        <w:rPr>
          <w:b/>
          <w:sz w:val="24"/>
          <w:szCs w:val="24"/>
        </w:rPr>
        <w:t xml:space="preserve"> egenskaber</w:t>
      </w:r>
    </w:p>
    <w:p w14:paraId="17569AA5" w14:textId="77777777" w:rsidR="00441FF1" w:rsidRPr="00441FF1" w:rsidRDefault="00441FF1" w:rsidP="00A15135">
      <w:pPr>
        <w:ind w:left="851"/>
        <w:rPr>
          <w:sz w:val="24"/>
          <w:szCs w:val="24"/>
        </w:rPr>
      </w:pPr>
    </w:p>
    <w:p w14:paraId="220E4D1E" w14:textId="51F74D20" w:rsidR="009C21D0" w:rsidRPr="00441FF1" w:rsidRDefault="009C21D0" w:rsidP="00A15135">
      <w:pPr>
        <w:ind w:left="851"/>
        <w:rPr>
          <w:sz w:val="24"/>
          <w:szCs w:val="24"/>
          <w:u w:val="single"/>
          <w:lang w:eastAsia="da-DK"/>
        </w:rPr>
      </w:pPr>
      <w:proofErr w:type="spellStart"/>
      <w:r w:rsidRPr="00441FF1">
        <w:rPr>
          <w:sz w:val="24"/>
          <w:szCs w:val="24"/>
          <w:u w:val="single"/>
        </w:rPr>
        <w:t>Dexamethason</w:t>
      </w:r>
      <w:proofErr w:type="spellEnd"/>
    </w:p>
    <w:p w14:paraId="19B12E4D" w14:textId="77777777" w:rsidR="009C21D0" w:rsidRPr="00441FF1" w:rsidRDefault="009C21D0" w:rsidP="00A15135">
      <w:pPr>
        <w:ind w:left="851"/>
        <w:rPr>
          <w:sz w:val="24"/>
          <w:szCs w:val="24"/>
        </w:rPr>
      </w:pPr>
      <w:r w:rsidRPr="00441FF1">
        <w:rPr>
          <w:sz w:val="24"/>
          <w:szCs w:val="24"/>
        </w:rPr>
        <w:t xml:space="preserve">I kaninøjne viste målinger af de maksimale koncentrationer 5 µg/g i </w:t>
      </w:r>
      <w:proofErr w:type="spellStart"/>
      <w:r w:rsidRPr="00441FF1">
        <w:rPr>
          <w:sz w:val="24"/>
          <w:szCs w:val="24"/>
        </w:rPr>
        <w:t>cornea</w:t>
      </w:r>
      <w:proofErr w:type="spellEnd"/>
      <w:r w:rsidRPr="00441FF1">
        <w:rPr>
          <w:sz w:val="24"/>
          <w:szCs w:val="24"/>
        </w:rPr>
        <w:t xml:space="preserve"> (7,5 minut efter </w:t>
      </w:r>
      <w:proofErr w:type="spellStart"/>
      <w:r w:rsidRPr="00441FF1">
        <w:rPr>
          <w:sz w:val="24"/>
          <w:szCs w:val="24"/>
        </w:rPr>
        <w:t>inddrypning</w:t>
      </w:r>
      <w:proofErr w:type="spellEnd"/>
      <w:r w:rsidRPr="00441FF1">
        <w:rPr>
          <w:sz w:val="24"/>
          <w:szCs w:val="24"/>
        </w:rPr>
        <w:t xml:space="preserve">) og 1 µg/g i kammervand (40 til 45 minutter efter </w:t>
      </w:r>
      <w:proofErr w:type="spellStart"/>
      <w:r w:rsidRPr="00441FF1">
        <w:rPr>
          <w:sz w:val="24"/>
          <w:szCs w:val="24"/>
        </w:rPr>
        <w:t>inddrypning</w:t>
      </w:r>
      <w:proofErr w:type="spellEnd"/>
      <w:r w:rsidRPr="00441FF1">
        <w:rPr>
          <w:sz w:val="24"/>
          <w:szCs w:val="24"/>
        </w:rPr>
        <w:t xml:space="preserve">) efter en enkelt administration af 50 µl 0,1 % C-14-mærket </w:t>
      </w:r>
      <w:proofErr w:type="spellStart"/>
      <w:r w:rsidRPr="00441FF1">
        <w:rPr>
          <w:sz w:val="24"/>
          <w:szCs w:val="24"/>
        </w:rPr>
        <w:t>dexamethasonnatriumphosphat</w:t>
      </w:r>
      <w:proofErr w:type="spellEnd"/>
      <w:r w:rsidRPr="00441FF1">
        <w:rPr>
          <w:sz w:val="24"/>
          <w:szCs w:val="24"/>
        </w:rPr>
        <w:t xml:space="preserve">-opløsning. Koncentrationen af </w:t>
      </w:r>
      <w:proofErr w:type="spellStart"/>
      <w:r w:rsidRPr="00441FF1">
        <w:rPr>
          <w:sz w:val="24"/>
          <w:szCs w:val="24"/>
        </w:rPr>
        <w:t>dexamethason</w:t>
      </w:r>
      <w:proofErr w:type="spellEnd"/>
      <w:r w:rsidRPr="00441FF1">
        <w:rPr>
          <w:sz w:val="24"/>
          <w:szCs w:val="24"/>
        </w:rPr>
        <w:t xml:space="preserve"> i iris varierede meget over tid. I et andet studie med kaniner blev den hurtige (2 µg/g i </w:t>
      </w:r>
      <w:proofErr w:type="spellStart"/>
      <w:r w:rsidRPr="00441FF1">
        <w:rPr>
          <w:sz w:val="24"/>
          <w:szCs w:val="24"/>
        </w:rPr>
        <w:t>cornea</w:t>
      </w:r>
      <w:proofErr w:type="spellEnd"/>
      <w:r w:rsidRPr="00441FF1">
        <w:rPr>
          <w:sz w:val="24"/>
          <w:szCs w:val="24"/>
        </w:rPr>
        <w:t xml:space="preserve"> og 0,2 µg/ml i kammervand 10 minutter efter </w:t>
      </w:r>
      <w:proofErr w:type="spellStart"/>
      <w:r w:rsidRPr="00441FF1">
        <w:rPr>
          <w:sz w:val="24"/>
          <w:szCs w:val="24"/>
        </w:rPr>
        <w:t>inddrypning</w:t>
      </w:r>
      <w:proofErr w:type="spellEnd"/>
      <w:r w:rsidRPr="00441FF1">
        <w:rPr>
          <w:sz w:val="24"/>
          <w:szCs w:val="24"/>
        </w:rPr>
        <w:t xml:space="preserve"> af 50 µl 1 mg/ml </w:t>
      </w:r>
      <w:proofErr w:type="spellStart"/>
      <w:r w:rsidRPr="00441FF1">
        <w:rPr>
          <w:sz w:val="24"/>
          <w:szCs w:val="24"/>
        </w:rPr>
        <w:t>dexamethason</w:t>
      </w:r>
      <w:proofErr w:type="spellEnd"/>
      <w:r w:rsidRPr="00441FF1">
        <w:rPr>
          <w:sz w:val="24"/>
          <w:szCs w:val="24"/>
        </w:rPr>
        <w:t xml:space="preserve">) og persisterende (målbar radioaktivitet i op til 24 timer efter </w:t>
      </w:r>
      <w:proofErr w:type="spellStart"/>
      <w:r w:rsidRPr="00441FF1">
        <w:rPr>
          <w:sz w:val="24"/>
          <w:szCs w:val="24"/>
        </w:rPr>
        <w:t>inddrypning</w:t>
      </w:r>
      <w:proofErr w:type="spellEnd"/>
      <w:r w:rsidRPr="00441FF1">
        <w:rPr>
          <w:sz w:val="24"/>
          <w:szCs w:val="24"/>
        </w:rPr>
        <w:t xml:space="preserve">) </w:t>
      </w:r>
      <w:proofErr w:type="spellStart"/>
      <w:r w:rsidRPr="00441FF1">
        <w:rPr>
          <w:sz w:val="24"/>
          <w:szCs w:val="24"/>
        </w:rPr>
        <w:t>intraokulære</w:t>
      </w:r>
      <w:proofErr w:type="spellEnd"/>
      <w:r w:rsidRPr="00441FF1">
        <w:rPr>
          <w:sz w:val="24"/>
          <w:szCs w:val="24"/>
        </w:rPr>
        <w:t xml:space="preserve"> absorption bekræftet.</w:t>
      </w:r>
    </w:p>
    <w:p w14:paraId="3D49EE81" w14:textId="77777777" w:rsidR="009C21D0" w:rsidRPr="00441FF1" w:rsidRDefault="009C21D0" w:rsidP="00A15135">
      <w:pPr>
        <w:ind w:left="851"/>
        <w:rPr>
          <w:sz w:val="24"/>
          <w:szCs w:val="24"/>
        </w:rPr>
      </w:pPr>
    </w:p>
    <w:p w14:paraId="584F9CFC" w14:textId="77777777" w:rsidR="009C21D0" w:rsidRPr="00441FF1" w:rsidRDefault="009C21D0" w:rsidP="00A15135">
      <w:pPr>
        <w:ind w:left="851"/>
        <w:rPr>
          <w:sz w:val="24"/>
          <w:szCs w:val="24"/>
          <w:u w:val="single"/>
        </w:rPr>
      </w:pPr>
      <w:proofErr w:type="spellStart"/>
      <w:r w:rsidRPr="00441FF1">
        <w:rPr>
          <w:sz w:val="24"/>
          <w:szCs w:val="24"/>
          <w:u w:val="single"/>
        </w:rPr>
        <w:t>Chloramphenicol</w:t>
      </w:r>
      <w:proofErr w:type="spellEnd"/>
    </w:p>
    <w:p w14:paraId="01464C63" w14:textId="77777777" w:rsidR="009C21D0" w:rsidRPr="00441FF1" w:rsidRDefault="009C21D0" w:rsidP="00A15135">
      <w:pPr>
        <w:ind w:left="851"/>
        <w:rPr>
          <w:sz w:val="24"/>
          <w:szCs w:val="24"/>
        </w:rPr>
      </w:pPr>
      <w:r w:rsidRPr="00441FF1">
        <w:rPr>
          <w:sz w:val="24"/>
          <w:szCs w:val="24"/>
        </w:rPr>
        <w:t xml:space="preserve">Efter lokal administration i øjet af 50 µl 5 mg/ml penetrerer </w:t>
      </w:r>
      <w:proofErr w:type="spellStart"/>
      <w:r w:rsidRPr="00441FF1">
        <w:rPr>
          <w:sz w:val="24"/>
          <w:szCs w:val="24"/>
        </w:rPr>
        <w:t>chloramphenicol</w:t>
      </w:r>
      <w:proofErr w:type="spellEnd"/>
      <w:r w:rsidRPr="00441FF1">
        <w:rPr>
          <w:sz w:val="24"/>
          <w:szCs w:val="24"/>
        </w:rPr>
        <w:t xml:space="preserve"> hurtigt ind i den humane </w:t>
      </w:r>
      <w:proofErr w:type="spellStart"/>
      <w:r w:rsidRPr="00441FF1">
        <w:rPr>
          <w:sz w:val="24"/>
          <w:szCs w:val="24"/>
        </w:rPr>
        <w:t>cornea</w:t>
      </w:r>
      <w:proofErr w:type="spellEnd"/>
      <w:r w:rsidRPr="00441FF1">
        <w:rPr>
          <w:sz w:val="24"/>
          <w:szCs w:val="24"/>
        </w:rPr>
        <w:t xml:space="preserve"> (målinger viste koncentrationer i kammervandet på 3,5 til 6,7 µg/ml 1 til 2 timer efter </w:t>
      </w:r>
      <w:proofErr w:type="spellStart"/>
      <w:r w:rsidRPr="00441FF1">
        <w:rPr>
          <w:sz w:val="24"/>
          <w:szCs w:val="24"/>
        </w:rPr>
        <w:t>inddrypning</w:t>
      </w:r>
      <w:proofErr w:type="spellEnd"/>
      <w:r w:rsidRPr="00441FF1">
        <w:rPr>
          <w:sz w:val="24"/>
          <w:szCs w:val="24"/>
        </w:rPr>
        <w:t xml:space="preserve">) og kan måles i kammervandet i op til 5 timer efter </w:t>
      </w:r>
      <w:proofErr w:type="spellStart"/>
      <w:r w:rsidRPr="00441FF1">
        <w:rPr>
          <w:sz w:val="24"/>
          <w:szCs w:val="24"/>
        </w:rPr>
        <w:t>inddrypning</w:t>
      </w:r>
      <w:proofErr w:type="spellEnd"/>
      <w:r w:rsidRPr="00441FF1">
        <w:rPr>
          <w:sz w:val="24"/>
          <w:szCs w:val="24"/>
        </w:rPr>
        <w:t xml:space="preserve">. I et studie med administration af </w:t>
      </w:r>
      <w:proofErr w:type="spellStart"/>
      <w:r w:rsidRPr="00441FF1">
        <w:rPr>
          <w:sz w:val="24"/>
          <w:szCs w:val="24"/>
        </w:rPr>
        <w:t>chloramphenicol</w:t>
      </w:r>
      <w:proofErr w:type="spellEnd"/>
      <w:r w:rsidRPr="00441FF1">
        <w:rPr>
          <w:sz w:val="24"/>
          <w:szCs w:val="24"/>
        </w:rPr>
        <w:t xml:space="preserve"> øjendråber 5 mg/ml (1 dråbe 4 gange dagligt i 2 uger) kunne der ikke måles nogen systemisk absorption ved brug af HPLC; muligheden for systemisk absorption kan imidlertid ikke udelukkes. I et andet studie, hvor 5 børn blev behandlet med </w:t>
      </w:r>
      <w:proofErr w:type="spellStart"/>
      <w:r w:rsidRPr="00441FF1">
        <w:rPr>
          <w:sz w:val="24"/>
          <w:szCs w:val="24"/>
        </w:rPr>
        <w:t>chloramphenicol</w:t>
      </w:r>
      <w:proofErr w:type="spellEnd"/>
      <w:r w:rsidRPr="00441FF1">
        <w:rPr>
          <w:sz w:val="24"/>
          <w:szCs w:val="24"/>
        </w:rPr>
        <w:t xml:space="preserve"> øjendråber 5 mg/ml hver anden time i en periode på 5 til 7 dage, kunne der ikke måles </w:t>
      </w:r>
      <w:proofErr w:type="spellStart"/>
      <w:r w:rsidRPr="00441FF1">
        <w:rPr>
          <w:sz w:val="24"/>
          <w:szCs w:val="24"/>
        </w:rPr>
        <w:t>chloramphenicol</w:t>
      </w:r>
      <w:proofErr w:type="spellEnd"/>
      <w:r w:rsidRPr="00441FF1">
        <w:rPr>
          <w:sz w:val="24"/>
          <w:szCs w:val="24"/>
        </w:rPr>
        <w:t xml:space="preserve"> i urinen.</w:t>
      </w:r>
    </w:p>
    <w:p w14:paraId="0E9F844B" w14:textId="77777777" w:rsidR="009260DE" w:rsidRPr="00441FF1" w:rsidRDefault="009260DE" w:rsidP="009260DE">
      <w:pPr>
        <w:tabs>
          <w:tab w:val="left" w:pos="851"/>
        </w:tabs>
        <w:ind w:left="851"/>
        <w:rPr>
          <w:sz w:val="24"/>
          <w:szCs w:val="24"/>
        </w:rPr>
      </w:pPr>
    </w:p>
    <w:p w14:paraId="18A2D969" w14:textId="77777777" w:rsidR="009260DE" w:rsidRPr="00441FF1" w:rsidRDefault="009260DE" w:rsidP="009260DE">
      <w:pPr>
        <w:tabs>
          <w:tab w:val="left" w:pos="851"/>
        </w:tabs>
        <w:ind w:left="851" w:hanging="851"/>
        <w:rPr>
          <w:b/>
          <w:sz w:val="24"/>
          <w:szCs w:val="24"/>
        </w:rPr>
      </w:pPr>
      <w:r w:rsidRPr="00441FF1">
        <w:rPr>
          <w:b/>
          <w:sz w:val="24"/>
          <w:szCs w:val="24"/>
        </w:rPr>
        <w:t>5.3</w:t>
      </w:r>
      <w:r w:rsidRPr="00441FF1">
        <w:rPr>
          <w:b/>
          <w:sz w:val="24"/>
          <w:szCs w:val="24"/>
        </w:rPr>
        <w:tab/>
        <w:t>Prækliniske sikkerhedsdata</w:t>
      </w:r>
    </w:p>
    <w:p w14:paraId="15BEE484" w14:textId="77777777" w:rsidR="009C21D0" w:rsidRPr="00441FF1" w:rsidRDefault="009C21D0" w:rsidP="00A15135">
      <w:pPr>
        <w:ind w:left="851"/>
        <w:rPr>
          <w:sz w:val="24"/>
          <w:szCs w:val="24"/>
          <w:lang w:eastAsia="da-DK"/>
        </w:rPr>
      </w:pPr>
      <w:r w:rsidRPr="00441FF1">
        <w:rPr>
          <w:sz w:val="24"/>
          <w:szCs w:val="24"/>
        </w:rPr>
        <w:t xml:space="preserve">Ved systemisk administration af høje doser </w:t>
      </w:r>
      <w:proofErr w:type="spellStart"/>
      <w:r w:rsidRPr="00441FF1">
        <w:rPr>
          <w:sz w:val="24"/>
          <w:szCs w:val="24"/>
        </w:rPr>
        <w:t>chloramphenicol</w:t>
      </w:r>
      <w:proofErr w:type="spellEnd"/>
      <w:r w:rsidRPr="00441FF1">
        <w:rPr>
          <w:sz w:val="24"/>
          <w:szCs w:val="24"/>
        </w:rPr>
        <w:t xml:space="preserve"> hos rotter blev der set signifikante embryotoksiske virkninger (hæmmet fostervækst), der forårsagede en svag </w:t>
      </w:r>
      <w:proofErr w:type="spellStart"/>
      <w:r w:rsidRPr="00441FF1">
        <w:rPr>
          <w:sz w:val="24"/>
          <w:szCs w:val="24"/>
        </w:rPr>
        <w:t>teratogen</w:t>
      </w:r>
      <w:proofErr w:type="spellEnd"/>
      <w:r w:rsidRPr="00441FF1">
        <w:rPr>
          <w:sz w:val="24"/>
          <w:szCs w:val="24"/>
        </w:rPr>
        <w:t xml:space="preserve"> virkning.</w:t>
      </w:r>
    </w:p>
    <w:p w14:paraId="575156D8" w14:textId="77777777" w:rsidR="009C21D0" w:rsidRPr="00441FF1" w:rsidRDefault="009C21D0" w:rsidP="00A15135">
      <w:pPr>
        <w:ind w:left="851"/>
        <w:rPr>
          <w:sz w:val="24"/>
          <w:szCs w:val="24"/>
        </w:rPr>
      </w:pPr>
    </w:p>
    <w:p w14:paraId="667D93D4" w14:textId="77777777" w:rsidR="009C21D0" w:rsidRPr="00441FF1" w:rsidRDefault="009C21D0" w:rsidP="00A15135">
      <w:pPr>
        <w:ind w:left="851"/>
        <w:rPr>
          <w:sz w:val="24"/>
          <w:szCs w:val="24"/>
        </w:rPr>
      </w:pPr>
      <w:r w:rsidRPr="00441FF1">
        <w:rPr>
          <w:sz w:val="24"/>
          <w:szCs w:val="24"/>
        </w:rPr>
        <w:t xml:space="preserve">Der blev set </w:t>
      </w:r>
      <w:proofErr w:type="spellStart"/>
      <w:r w:rsidRPr="00441FF1">
        <w:rPr>
          <w:sz w:val="24"/>
          <w:szCs w:val="24"/>
        </w:rPr>
        <w:t>teratogenicitet</w:t>
      </w:r>
      <w:proofErr w:type="spellEnd"/>
      <w:r w:rsidRPr="00441FF1">
        <w:rPr>
          <w:sz w:val="24"/>
          <w:szCs w:val="24"/>
        </w:rPr>
        <w:t xml:space="preserve"> hos mus og kaniner efter topisk administration af en </w:t>
      </w:r>
      <w:proofErr w:type="spellStart"/>
      <w:r w:rsidRPr="00441FF1">
        <w:rPr>
          <w:sz w:val="24"/>
          <w:szCs w:val="24"/>
        </w:rPr>
        <w:t>dexamethasondosis</w:t>
      </w:r>
      <w:proofErr w:type="spellEnd"/>
      <w:r w:rsidRPr="00441FF1">
        <w:rPr>
          <w:sz w:val="24"/>
          <w:szCs w:val="24"/>
        </w:rPr>
        <w:t xml:space="preserve">, der var adskillige gange højere end den terapeutiske dosis. </w:t>
      </w:r>
      <w:proofErr w:type="spellStart"/>
      <w:r w:rsidRPr="00441FF1">
        <w:rPr>
          <w:sz w:val="24"/>
          <w:szCs w:val="24"/>
        </w:rPr>
        <w:t>Kortikosteroider</w:t>
      </w:r>
      <w:proofErr w:type="spellEnd"/>
      <w:r w:rsidRPr="00441FF1">
        <w:rPr>
          <w:sz w:val="24"/>
          <w:szCs w:val="24"/>
        </w:rPr>
        <w:t xml:space="preserve"> kan forårsage </w:t>
      </w:r>
      <w:proofErr w:type="spellStart"/>
      <w:r w:rsidRPr="00441FF1">
        <w:rPr>
          <w:sz w:val="24"/>
          <w:szCs w:val="24"/>
        </w:rPr>
        <w:t>føtal</w:t>
      </w:r>
      <w:proofErr w:type="spellEnd"/>
      <w:r w:rsidRPr="00441FF1">
        <w:rPr>
          <w:sz w:val="24"/>
          <w:szCs w:val="24"/>
        </w:rPr>
        <w:t xml:space="preserve"> resorption og ganespalte hos mus. Hos kaniner har </w:t>
      </w:r>
      <w:proofErr w:type="spellStart"/>
      <w:r w:rsidRPr="00441FF1">
        <w:rPr>
          <w:sz w:val="24"/>
          <w:szCs w:val="24"/>
        </w:rPr>
        <w:t>kortikosteroider</w:t>
      </w:r>
      <w:proofErr w:type="spellEnd"/>
      <w:r w:rsidRPr="00441FF1">
        <w:rPr>
          <w:sz w:val="24"/>
          <w:szCs w:val="24"/>
        </w:rPr>
        <w:t xml:space="preserve"> forårsaget </w:t>
      </w:r>
      <w:proofErr w:type="spellStart"/>
      <w:r w:rsidRPr="00441FF1">
        <w:rPr>
          <w:sz w:val="24"/>
          <w:szCs w:val="24"/>
        </w:rPr>
        <w:t>føtal</w:t>
      </w:r>
      <w:proofErr w:type="spellEnd"/>
      <w:r w:rsidRPr="00441FF1">
        <w:rPr>
          <w:sz w:val="24"/>
          <w:szCs w:val="24"/>
        </w:rPr>
        <w:t xml:space="preserve"> resorption og misdannelser i hovedet, ørerne, lemmerne og ganen.</w:t>
      </w:r>
    </w:p>
    <w:p w14:paraId="281541A4" w14:textId="77777777" w:rsidR="009260DE" w:rsidRPr="00441FF1" w:rsidRDefault="009260DE" w:rsidP="009260DE">
      <w:pPr>
        <w:tabs>
          <w:tab w:val="left" w:pos="851"/>
        </w:tabs>
        <w:ind w:left="851"/>
        <w:rPr>
          <w:sz w:val="24"/>
          <w:szCs w:val="24"/>
        </w:rPr>
      </w:pPr>
    </w:p>
    <w:p w14:paraId="5283EC98" w14:textId="77777777" w:rsidR="009260DE" w:rsidRPr="00441FF1" w:rsidRDefault="009260DE" w:rsidP="009260DE">
      <w:pPr>
        <w:tabs>
          <w:tab w:val="left" w:pos="851"/>
        </w:tabs>
        <w:ind w:left="851"/>
        <w:rPr>
          <w:sz w:val="24"/>
          <w:szCs w:val="24"/>
        </w:rPr>
      </w:pPr>
    </w:p>
    <w:p w14:paraId="2A187004" w14:textId="77777777" w:rsidR="009260DE" w:rsidRPr="00441FF1" w:rsidRDefault="009260DE" w:rsidP="009260DE">
      <w:pPr>
        <w:tabs>
          <w:tab w:val="left" w:pos="851"/>
        </w:tabs>
        <w:ind w:left="851" w:hanging="851"/>
        <w:rPr>
          <w:b/>
          <w:sz w:val="24"/>
          <w:szCs w:val="24"/>
        </w:rPr>
      </w:pPr>
      <w:r w:rsidRPr="00441FF1">
        <w:rPr>
          <w:b/>
          <w:sz w:val="24"/>
          <w:szCs w:val="24"/>
        </w:rPr>
        <w:t>6.</w:t>
      </w:r>
      <w:r w:rsidRPr="00441FF1">
        <w:rPr>
          <w:b/>
          <w:sz w:val="24"/>
          <w:szCs w:val="24"/>
        </w:rPr>
        <w:tab/>
        <w:t>FARMACEUTISKE OPLYSNINGER</w:t>
      </w:r>
    </w:p>
    <w:p w14:paraId="068E1968" w14:textId="77777777" w:rsidR="009260DE" w:rsidRPr="00441FF1" w:rsidRDefault="009260DE" w:rsidP="009260DE">
      <w:pPr>
        <w:tabs>
          <w:tab w:val="left" w:pos="851"/>
        </w:tabs>
        <w:ind w:left="851"/>
        <w:rPr>
          <w:sz w:val="24"/>
          <w:szCs w:val="24"/>
        </w:rPr>
      </w:pPr>
    </w:p>
    <w:p w14:paraId="147156FE" w14:textId="77777777" w:rsidR="009260DE" w:rsidRPr="00441FF1" w:rsidRDefault="009260DE" w:rsidP="009260DE">
      <w:pPr>
        <w:tabs>
          <w:tab w:val="left" w:pos="851"/>
        </w:tabs>
        <w:ind w:left="851" w:hanging="851"/>
        <w:rPr>
          <w:b/>
          <w:sz w:val="24"/>
          <w:szCs w:val="24"/>
        </w:rPr>
      </w:pPr>
      <w:r w:rsidRPr="00441FF1">
        <w:rPr>
          <w:b/>
          <w:sz w:val="24"/>
          <w:szCs w:val="24"/>
        </w:rPr>
        <w:t>6.1</w:t>
      </w:r>
      <w:r w:rsidRPr="00441FF1">
        <w:rPr>
          <w:b/>
          <w:sz w:val="24"/>
          <w:szCs w:val="24"/>
        </w:rPr>
        <w:tab/>
        <w:t>Hjælpestoffer</w:t>
      </w:r>
    </w:p>
    <w:p w14:paraId="1DBE5AF7" w14:textId="77777777" w:rsidR="009C21D0" w:rsidRPr="00441FF1" w:rsidRDefault="009C21D0" w:rsidP="00A15135">
      <w:pPr>
        <w:ind w:left="851"/>
        <w:rPr>
          <w:sz w:val="24"/>
          <w:szCs w:val="24"/>
          <w:lang w:eastAsia="da-DK"/>
        </w:rPr>
      </w:pPr>
      <w:proofErr w:type="spellStart"/>
      <w:r w:rsidRPr="00441FF1">
        <w:rPr>
          <w:sz w:val="24"/>
          <w:szCs w:val="24"/>
        </w:rPr>
        <w:t>Benzalkoniumchlorid</w:t>
      </w:r>
      <w:proofErr w:type="spellEnd"/>
    </w:p>
    <w:p w14:paraId="2AB46EAD" w14:textId="77777777" w:rsidR="009C21D0" w:rsidRPr="00441FF1" w:rsidRDefault="009C21D0" w:rsidP="00A15135">
      <w:pPr>
        <w:ind w:left="851"/>
        <w:rPr>
          <w:sz w:val="24"/>
          <w:szCs w:val="24"/>
        </w:rPr>
      </w:pPr>
      <w:proofErr w:type="spellStart"/>
      <w:r w:rsidRPr="00441FF1">
        <w:rPr>
          <w:sz w:val="24"/>
          <w:szCs w:val="24"/>
        </w:rPr>
        <w:t>Dinatriumedetat</w:t>
      </w:r>
      <w:proofErr w:type="spellEnd"/>
    </w:p>
    <w:p w14:paraId="6706BE7C" w14:textId="77777777" w:rsidR="009C21D0" w:rsidRPr="00441FF1" w:rsidRDefault="009C21D0" w:rsidP="00A15135">
      <w:pPr>
        <w:ind w:left="851"/>
        <w:rPr>
          <w:sz w:val="24"/>
          <w:szCs w:val="24"/>
        </w:rPr>
      </w:pPr>
      <w:proofErr w:type="spellStart"/>
      <w:r w:rsidRPr="00441FF1">
        <w:rPr>
          <w:sz w:val="24"/>
          <w:szCs w:val="24"/>
        </w:rPr>
        <w:t>Natriumdihydrogenphosphatdihydrat</w:t>
      </w:r>
      <w:proofErr w:type="spellEnd"/>
    </w:p>
    <w:p w14:paraId="08C67A82" w14:textId="77777777" w:rsidR="009C21D0" w:rsidRPr="00441FF1" w:rsidRDefault="009C21D0" w:rsidP="00A15135">
      <w:pPr>
        <w:ind w:left="851"/>
        <w:rPr>
          <w:sz w:val="24"/>
          <w:szCs w:val="24"/>
        </w:rPr>
      </w:pPr>
      <w:proofErr w:type="spellStart"/>
      <w:r w:rsidRPr="00441FF1">
        <w:rPr>
          <w:sz w:val="24"/>
          <w:szCs w:val="24"/>
        </w:rPr>
        <w:t>Dinatriumphosphatdihydrat</w:t>
      </w:r>
      <w:proofErr w:type="spellEnd"/>
    </w:p>
    <w:p w14:paraId="41569070" w14:textId="77777777" w:rsidR="009C21D0" w:rsidRPr="00441FF1" w:rsidRDefault="009C21D0" w:rsidP="00A15135">
      <w:pPr>
        <w:ind w:left="851"/>
        <w:rPr>
          <w:sz w:val="24"/>
          <w:szCs w:val="24"/>
        </w:rPr>
      </w:pPr>
      <w:r w:rsidRPr="00441FF1">
        <w:rPr>
          <w:sz w:val="24"/>
          <w:szCs w:val="24"/>
        </w:rPr>
        <w:t xml:space="preserve">Ricinusolie, </w:t>
      </w:r>
      <w:proofErr w:type="spellStart"/>
      <w:r w:rsidRPr="00441FF1">
        <w:rPr>
          <w:sz w:val="24"/>
          <w:szCs w:val="24"/>
        </w:rPr>
        <w:t>polyoxyleret</w:t>
      </w:r>
      <w:proofErr w:type="spellEnd"/>
    </w:p>
    <w:p w14:paraId="30EFEFE8" w14:textId="77777777" w:rsidR="009C21D0" w:rsidRPr="00441FF1" w:rsidRDefault="009C21D0" w:rsidP="00A15135">
      <w:pPr>
        <w:ind w:left="851"/>
        <w:rPr>
          <w:sz w:val="24"/>
          <w:szCs w:val="24"/>
        </w:rPr>
      </w:pPr>
      <w:proofErr w:type="spellStart"/>
      <w:r w:rsidRPr="00441FF1">
        <w:rPr>
          <w:sz w:val="24"/>
          <w:szCs w:val="24"/>
        </w:rPr>
        <w:t>Macrogol</w:t>
      </w:r>
      <w:proofErr w:type="spellEnd"/>
      <w:r w:rsidRPr="00441FF1">
        <w:rPr>
          <w:sz w:val="24"/>
          <w:szCs w:val="24"/>
        </w:rPr>
        <w:t xml:space="preserve"> 400</w:t>
      </w:r>
    </w:p>
    <w:p w14:paraId="7FD35B3D" w14:textId="77777777" w:rsidR="009C21D0" w:rsidRPr="00441FF1" w:rsidRDefault="009C21D0" w:rsidP="00A15135">
      <w:pPr>
        <w:ind w:left="851"/>
        <w:rPr>
          <w:sz w:val="24"/>
          <w:szCs w:val="24"/>
        </w:rPr>
      </w:pPr>
      <w:r w:rsidRPr="00441FF1">
        <w:rPr>
          <w:sz w:val="24"/>
          <w:szCs w:val="24"/>
        </w:rPr>
        <w:t>Vand til injektionsvæsker</w:t>
      </w:r>
    </w:p>
    <w:p w14:paraId="69FE294C" w14:textId="77777777" w:rsidR="009260DE" w:rsidRPr="00441FF1" w:rsidRDefault="009260DE" w:rsidP="009260DE">
      <w:pPr>
        <w:tabs>
          <w:tab w:val="left" w:pos="851"/>
        </w:tabs>
        <w:ind w:left="851"/>
        <w:rPr>
          <w:sz w:val="24"/>
          <w:szCs w:val="24"/>
        </w:rPr>
      </w:pPr>
    </w:p>
    <w:p w14:paraId="56833F38" w14:textId="77777777" w:rsidR="009260DE" w:rsidRPr="00441FF1" w:rsidRDefault="009260DE" w:rsidP="009260DE">
      <w:pPr>
        <w:tabs>
          <w:tab w:val="left" w:pos="851"/>
        </w:tabs>
        <w:ind w:left="851" w:hanging="851"/>
        <w:rPr>
          <w:b/>
          <w:sz w:val="24"/>
          <w:szCs w:val="24"/>
        </w:rPr>
      </w:pPr>
      <w:r w:rsidRPr="00441FF1">
        <w:rPr>
          <w:b/>
          <w:sz w:val="24"/>
          <w:szCs w:val="24"/>
        </w:rPr>
        <w:t>6.2</w:t>
      </w:r>
      <w:r w:rsidRPr="00441FF1">
        <w:rPr>
          <w:b/>
          <w:sz w:val="24"/>
          <w:szCs w:val="24"/>
        </w:rPr>
        <w:tab/>
        <w:t>Uforligeligheder</w:t>
      </w:r>
    </w:p>
    <w:p w14:paraId="6C042E5B" w14:textId="77777777" w:rsidR="009C21D0" w:rsidRPr="00441FF1" w:rsidRDefault="009C21D0" w:rsidP="00A15135">
      <w:pPr>
        <w:ind w:left="851"/>
        <w:rPr>
          <w:sz w:val="24"/>
          <w:szCs w:val="24"/>
          <w:lang w:eastAsia="da-DK"/>
        </w:rPr>
      </w:pPr>
      <w:r w:rsidRPr="00441FF1">
        <w:rPr>
          <w:sz w:val="24"/>
          <w:szCs w:val="24"/>
        </w:rPr>
        <w:t>Ikke relevant.</w:t>
      </w:r>
    </w:p>
    <w:p w14:paraId="6FA5562E" w14:textId="77777777" w:rsidR="009260DE" w:rsidRPr="00441FF1" w:rsidRDefault="009260DE" w:rsidP="009260DE">
      <w:pPr>
        <w:tabs>
          <w:tab w:val="left" w:pos="851"/>
        </w:tabs>
        <w:ind w:left="851"/>
        <w:rPr>
          <w:sz w:val="24"/>
          <w:szCs w:val="24"/>
        </w:rPr>
      </w:pPr>
    </w:p>
    <w:p w14:paraId="34E80DB6" w14:textId="77777777" w:rsidR="009260DE" w:rsidRPr="00441FF1" w:rsidRDefault="009260DE" w:rsidP="009260DE">
      <w:pPr>
        <w:tabs>
          <w:tab w:val="left" w:pos="851"/>
        </w:tabs>
        <w:ind w:left="851" w:hanging="851"/>
        <w:rPr>
          <w:b/>
          <w:sz w:val="24"/>
          <w:szCs w:val="24"/>
        </w:rPr>
      </w:pPr>
      <w:r w:rsidRPr="00441FF1">
        <w:rPr>
          <w:b/>
          <w:sz w:val="24"/>
          <w:szCs w:val="24"/>
        </w:rPr>
        <w:t>6.3</w:t>
      </w:r>
      <w:r w:rsidRPr="00441FF1">
        <w:rPr>
          <w:b/>
          <w:sz w:val="24"/>
          <w:szCs w:val="24"/>
        </w:rPr>
        <w:tab/>
        <w:t>Opbevaringstid</w:t>
      </w:r>
    </w:p>
    <w:p w14:paraId="04054070" w14:textId="20A84F99" w:rsidR="009C21D0" w:rsidRPr="00441FF1" w:rsidRDefault="009C21D0" w:rsidP="00A15135">
      <w:pPr>
        <w:ind w:left="851"/>
        <w:rPr>
          <w:sz w:val="24"/>
          <w:szCs w:val="24"/>
          <w:lang w:eastAsia="da-DK"/>
        </w:rPr>
      </w:pPr>
      <w:r w:rsidRPr="00441FF1">
        <w:rPr>
          <w:sz w:val="24"/>
          <w:szCs w:val="24"/>
        </w:rPr>
        <w:t>Uåbnet: 2 år.</w:t>
      </w:r>
    </w:p>
    <w:p w14:paraId="5885C7DA" w14:textId="77777777" w:rsidR="009C21D0" w:rsidRPr="00441FF1" w:rsidRDefault="009C21D0" w:rsidP="00A15135">
      <w:pPr>
        <w:ind w:left="851"/>
        <w:rPr>
          <w:sz w:val="24"/>
          <w:szCs w:val="24"/>
        </w:rPr>
      </w:pPr>
      <w:r w:rsidRPr="00441FF1">
        <w:rPr>
          <w:sz w:val="24"/>
          <w:szCs w:val="24"/>
        </w:rPr>
        <w:t>Efter anbrud: 28 dage.</w:t>
      </w:r>
    </w:p>
    <w:p w14:paraId="789DA98A" w14:textId="77777777" w:rsidR="009260DE" w:rsidRPr="00441FF1" w:rsidRDefault="009260DE" w:rsidP="009260DE">
      <w:pPr>
        <w:tabs>
          <w:tab w:val="left" w:pos="851"/>
        </w:tabs>
        <w:ind w:left="851"/>
        <w:rPr>
          <w:sz w:val="24"/>
          <w:szCs w:val="24"/>
        </w:rPr>
      </w:pPr>
    </w:p>
    <w:p w14:paraId="537E10C9" w14:textId="77777777" w:rsidR="009260DE" w:rsidRPr="00441FF1" w:rsidRDefault="009260DE" w:rsidP="009260DE">
      <w:pPr>
        <w:tabs>
          <w:tab w:val="left" w:pos="851"/>
        </w:tabs>
        <w:ind w:left="851" w:hanging="851"/>
        <w:rPr>
          <w:b/>
          <w:sz w:val="24"/>
          <w:szCs w:val="24"/>
        </w:rPr>
      </w:pPr>
      <w:r w:rsidRPr="00441FF1">
        <w:rPr>
          <w:b/>
          <w:sz w:val="24"/>
          <w:szCs w:val="24"/>
        </w:rPr>
        <w:t>6.4</w:t>
      </w:r>
      <w:r w:rsidRPr="00441FF1">
        <w:rPr>
          <w:b/>
          <w:sz w:val="24"/>
          <w:szCs w:val="24"/>
        </w:rPr>
        <w:tab/>
        <w:t>Særlige opbevaringsforhold</w:t>
      </w:r>
    </w:p>
    <w:p w14:paraId="72827ACE" w14:textId="77777777" w:rsidR="009C21D0" w:rsidRPr="00441FF1" w:rsidRDefault="009C21D0" w:rsidP="00A15135">
      <w:pPr>
        <w:ind w:left="851"/>
        <w:rPr>
          <w:iCs/>
          <w:sz w:val="24"/>
          <w:szCs w:val="24"/>
          <w:lang w:eastAsia="da-DK"/>
        </w:rPr>
      </w:pPr>
      <w:r w:rsidRPr="00441FF1">
        <w:rPr>
          <w:sz w:val="24"/>
          <w:szCs w:val="24"/>
        </w:rPr>
        <w:t>Uåbnet: Opbevares i køleskab (2 °C – 8°C)</w:t>
      </w:r>
    </w:p>
    <w:p w14:paraId="12AE12D8" w14:textId="77777777" w:rsidR="009C21D0" w:rsidRPr="00441FF1" w:rsidRDefault="009C21D0" w:rsidP="00A15135">
      <w:pPr>
        <w:ind w:left="851"/>
        <w:rPr>
          <w:iCs/>
          <w:sz w:val="24"/>
          <w:szCs w:val="24"/>
        </w:rPr>
      </w:pPr>
      <w:r w:rsidRPr="00441FF1">
        <w:rPr>
          <w:sz w:val="24"/>
          <w:szCs w:val="24"/>
        </w:rPr>
        <w:t>Efter anbrud: Opbevares ved temperaturer under 25 °C.</w:t>
      </w:r>
    </w:p>
    <w:p w14:paraId="3B15B26C" w14:textId="77777777" w:rsidR="009C21D0" w:rsidRPr="00441FF1" w:rsidRDefault="009C21D0" w:rsidP="00A15135">
      <w:pPr>
        <w:ind w:left="851"/>
        <w:rPr>
          <w:iCs/>
          <w:sz w:val="24"/>
          <w:szCs w:val="24"/>
        </w:rPr>
      </w:pPr>
      <w:r w:rsidRPr="00441FF1">
        <w:rPr>
          <w:sz w:val="24"/>
          <w:szCs w:val="24"/>
        </w:rPr>
        <w:t>Opbevares i den originale yderpakning.</w:t>
      </w:r>
    </w:p>
    <w:p w14:paraId="6DEB08FC" w14:textId="77777777" w:rsidR="009260DE" w:rsidRPr="00441FF1" w:rsidRDefault="009260DE" w:rsidP="009260DE">
      <w:pPr>
        <w:tabs>
          <w:tab w:val="left" w:pos="851"/>
        </w:tabs>
        <w:ind w:left="851"/>
        <w:rPr>
          <w:sz w:val="24"/>
          <w:szCs w:val="24"/>
        </w:rPr>
      </w:pPr>
    </w:p>
    <w:p w14:paraId="6CC48F46" w14:textId="77777777" w:rsidR="009260DE" w:rsidRPr="00441FF1" w:rsidRDefault="009260DE" w:rsidP="009260DE">
      <w:pPr>
        <w:tabs>
          <w:tab w:val="left" w:pos="851"/>
        </w:tabs>
        <w:ind w:left="851" w:hanging="851"/>
        <w:rPr>
          <w:b/>
          <w:sz w:val="24"/>
          <w:szCs w:val="24"/>
        </w:rPr>
      </w:pPr>
      <w:r w:rsidRPr="00441FF1">
        <w:rPr>
          <w:b/>
          <w:sz w:val="24"/>
          <w:szCs w:val="24"/>
        </w:rPr>
        <w:t>6.5</w:t>
      </w:r>
      <w:r w:rsidRPr="00441FF1">
        <w:rPr>
          <w:b/>
          <w:sz w:val="24"/>
          <w:szCs w:val="24"/>
        </w:rPr>
        <w:tab/>
        <w:t>Emballagetyper og pakningsstørrelser</w:t>
      </w:r>
    </w:p>
    <w:p w14:paraId="09250466" w14:textId="77777777" w:rsidR="009C21D0" w:rsidRPr="00441FF1" w:rsidRDefault="009C21D0" w:rsidP="00A15135">
      <w:pPr>
        <w:ind w:left="851"/>
        <w:rPr>
          <w:sz w:val="24"/>
          <w:szCs w:val="24"/>
          <w:lang w:eastAsia="da-DK"/>
        </w:rPr>
      </w:pPr>
      <w:r w:rsidRPr="00441FF1">
        <w:rPr>
          <w:sz w:val="24"/>
          <w:szCs w:val="24"/>
        </w:rPr>
        <w:t>Hvid LDPE-flaske (5 ml) med LDPE-tud og hvidt LDPE-skruelåg med plomberingsring.</w:t>
      </w:r>
    </w:p>
    <w:p w14:paraId="6C267AA5" w14:textId="77777777" w:rsidR="009C21D0" w:rsidRPr="00441FF1" w:rsidRDefault="009C21D0" w:rsidP="00A15135">
      <w:pPr>
        <w:ind w:left="851"/>
        <w:rPr>
          <w:sz w:val="24"/>
          <w:szCs w:val="24"/>
        </w:rPr>
      </w:pPr>
      <w:r w:rsidRPr="00441FF1">
        <w:rPr>
          <w:sz w:val="24"/>
          <w:szCs w:val="24"/>
        </w:rPr>
        <w:t>1 flaske med indlægsseddel, der er pakket i en kartonæske.</w:t>
      </w:r>
    </w:p>
    <w:p w14:paraId="22C9D81F" w14:textId="77777777" w:rsidR="009260DE" w:rsidRPr="00441FF1" w:rsidRDefault="009260DE" w:rsidP="009260DE">
      <w:pPr>
        <w:tabs>
          <w:tab w:val="left" w:pos="851"/>
        </w:tabs>
        <w:ind w:left="851"/>
        <w:rPr>
          <w:sz w:val="24"/>
          <w:szCs w:val="24"/>
        </w:rPr>
      </w:pPr>
    </w:p>
    <w:p w14:paraId="3474D310" w14:textId="77777777" w:rsidR="009260DE" w:rsidRPr="00441FF1" w:rsidRDefault="009260DE" w:rsidP="009260DE">
      <w:pPr>
        <w:tabs>
          <w:tab w:val="left" w:pos="851"/>
        </w:tabs>
        <w:ind w:left="851" w:hanging="851"/>
        <w:rPr>
          <w:b/>
          <w:sz w:val="24"/>
          <w:szCs w:val="24"/>
        </w:rPr>
      </w:pPr>
      <w:r w:rsidRPr="00441FF1">
        <w:rPr>
          <w:b/>
          <w:sz w:val="24"/>
          <w:szCs w:val="24"/>
        </w:rPr>
        <w:t>6.6</w:t>
      </w:r>
      <w:r w:rsidRPr="00441FF1">
        <w:rPr>
          <w:b/>
          <w:sz w:val="24"/>
          <w:szCs w:val="24"/>
        </w:rPr>
        <w:tab/>
        <w:t>Regler for destruktion og anden håndtering</w:t>
      </w:r>
    </w:p>
    <w:p w14:paraId="75CAF213" w14:textId="77777777" w:rsidR="009C21D0" w:rsidRPr="00441FF1" w:rsidRDefault="009C21D0" w:rsidP="00A15135">
      <w:pPr>
        <w:ind w:left="851"/>
        <w:rPr>
          <w:sz w:val="24"/>
          <w:szCs w:val="24"/>
          <w:lang w:eastAsia="da-DK"/>
        </w:rPr>
      </w:pPr>
      <w:r w:rsidRPr="00441FF1">
        <w:rPr>
          <w:sz w:val="24"/>
          <w:szCs w:val="24"/>
        </w:rPr>
        <w:t>Ikke anvendt lægemiddel samt affald heraf skal bortskaffes i henhold til lokale retningslinjer.</w:t>
      </w:r>
    </w:p>
    <w:p w14:paraId="0C31CCE2" w14:textId="77777777" w:rsidR="009260DE" w:rsidRPr="00441FF1" w:rsidRDefault="009260DE" w:rsidP="000730CA">
      <w:pPr>
        <w:tabs>
          <w:tab w:val="left" w:pos="851"/>
        </w:tabs>
        <w:ind w:left="851"/>
        <w:rPr>
          <w:sz w:val="24"/>
          <w:szCs w:val="24"/>
        </w:rPr>
      </w:pPr>
    </w:p>
    <w:p w14:paraId="6D8DAD93" w14:textId="77777777" w:rsidR="009260DE" w:rsidRPr="00441FF1" w:rsidRDefault="009260DE" w:rsidP="009260DE">
      <w:pPr>
        <w:tabs>
          <w:tab w:val="left" w:pos="851"/>
        </w:tabs>
        <w:ind w:left="851" w:hanging="851"/>
        <w:rPr>
          <w:b/>
          <w:sz w:val="24"/>
          <w:szCs w:val="24"/>
        </w:rPr>
      </w:pPr>
      <w:r w:rsidRPr="00441FF1">
        <w:rPr>
          <w:b/>
          <w:sz w:val="24"/>
          <w:szCs w:val="24"/>
        </w:rPr>
        <w:t>7.</w:t>
      </w:r>
      <w:r w:rsidRPr="00441FF1">
        <w:rPr>
          <w:b/>
          <w:sz w:val="24"/>
          <w:szCs w:val="24"/>
        </w:rPr>
        <w:tab/>
        <w:t>INDEHAVER AF MARKEDSFØRINGSTILLADELSEN</w:t>
      </w:r>
    </w:p>
    <w:p w14:paraId="4D66807B" w14:textId="77777777" w:rsidR="009C21D0" w:rsidRPr="00441FF1" w:rsidRDefault="009C21D0" w:rsidP="00A15135">
      <w:pPr>
        <w:ind w:left="851"/>
        <w:rPr>
          <w:sz w:val="24"/>
          <w:szCs w:val="24"/>
          <w:lang w:eastAsia="da-DK"/>
        </w:rPr>
      </w:pPr>
      <w:r w:rsidRPr="00441FF1">
        <w:rPr>
          <w:sz w:val="24"/>
          <w:szCs w:val="24"/>
        </w:rPr>
        <w:t xml:space="preserve">2care4 </w:t>
      </w:r>
      <w:proofErr w:type="spellStart"/>
      <w:r w:rsidRPr="00441FF1">
        <w:rPr>
          <w:sz w:val="24"/>
          <w:szCs w:val="24"/>
        </w:rPr>
        <w:t>Generics</w:t>
      </w:r>
      <w:proofErr w:type="spellEnd"/>
      <w:r w:rsidRPr="00441FF1">
        <w:rPr>
          <w:sz w:val="24"/>
          <w:szCs w:val="24"/>
        </w:rPr>
        <w:t xml:space="preserve"> ApS</w:t>
      </w:r>
    </w:p>
    <w:p w14:paraId="705BDA47" w14:textId="77777777" w:rsidR="009C21D0" w:rsidRPr="00441FF1" w:rsidRDefault="009C21D0" w:rsidP="00A15135">
      <w:pPr>
        <w:ind w:left="851"/>
        <w:rPr>
          <w:sz w:val="24"/>
          <w:szCs w:val="24"/>
        </w:rPr>
      </w:pPr>
      <w:r w:rsidRPr="00441FF1">
        <w:rPr>
          <w:sz w:val="24"/>
          <w:szCs w:val="24"/>
        </w:rPr>
        <w:t>Stenhuggervej 12-14</w:t>
      </w:r>
    </w:p>
    <w:p w14:paraId="0ED1CFB4" w14:textId="77777777" w:rsidR="009C21D0" w:rsidRPr="00441FF1" w:rsidRDefault="009C21D0" w:rsidP="00A15135">
      <w:pPr>
        <w:ind w:left="851"/>
        <w:rPr>
          <w:sz w:val="24"/>
          <w:szCs w:val="24"/>
        </w:rPr>
      </w:pPr>
      <w:r w:rsidRPr="00441FF1">
        <w:rPr>
          <w:sz w:val="24"/>
          <w:szCs w:val="24"/>
        </w:rPr>
        <w:t>6710 Esbjerg V</w:t>
      </w:r>
    </w:p>
    <w:p w14:paraId="5A5D5643" w14:textId="77777777" w:rsidR="009260DE" w:rsidRPr="00441FF1" w:rsidRDefault="009260DE" w:rsidP="009260DE">
      <w:pPr>
        <w:tabs>
          <w:tab w:val="left" w:pos="851"/>
        </w:tabs>
        <w:ind w:left="851"/>
        <w:rPr>
          <w:sz w:val="24"/>
          <w:szCs w:val="24"/>
        </w:rPr>
      </w:pPr>
    </w:p>
    <w:p w14:paraId="49C32DB8" w14:textId="77777777" w:rsidR="009260DE" w:rsidRPr="00441FF1" w:rsidRDefault="009260DE" w:rsidP="009260DE">
      <w:pPr>
        <w:tabs>
          <w:tab w:val="left" w:pos="851"/>
        </w:tabs>
        <w:ind w:left="851" w:hanging="851"/>
        <w:rPr>
          <w:b/>
          <w:sz w:val="24"/>
          <w:szCs w:val="24"/>
        </w:rPr>
      </w:pPr>
      <w:r w:rsidRPr="00441FF1">
        <w:rPr>
          <w:b/>
          <w:sz w:val="24"/>
          <w:szCs w:val="24"/>
        </w:rPr>
        <w:t>8.</w:t>
      </w:r>
      <w:r w:rsidRPr="00441FF1">
        <w:rPr>
          <w:b/>
          <w:sz w:val="24"/>
          <w:szCs w:val="24"/>
        </w:rPr>
        <w:tab/>
        <w:t>MARKEDSFØRINGSTILLADELSESNUMMER (NUMRE)</w:t>
      </w:r>
    </w:p>
    <w:p w14:paraId="5FBDBC77" w14:textId="03892F6A" w:rsidR="009260DE" w:rsidRPr="00441FF1" w:rsidRDefault="009C21D0" w:rsidP="009260DE">
      <w:pPr>
        <w:tabs>
          <w:tab w:val="left" w:pos="851"/>
        </w:tabs>
        <w:ind w:left="851"/>
        <w:rPr>
          <w:sz w:val="24"/>
          <w:szCs w:val="24"/>
        </w:rPr>
      </w:pPr>
      <w:r w:rsidRPr="00441FF1">
        <w:rPr>
          <w:sz w:val="24"/>
          <w:szCs w:val="24"/>
        </w:rPr>
        <w:t>63</w:t>
      </w:r>
      <w:r w:rsidR="00A15135" w:rsidRPr="00441FF1">
        <w:rPr>
          <w:sz w:val="24"/>
          <w:szCs w:val="24"/>
        </w:rPr>
        <w:t>983</w:t>
      </w:r>
    </w:p>
    <w:p w14:paraId="0CF40C28" w14:textId="77777777" w:rsidR="009260DE" w:rsidRPr="00441FF1" w:rsidRDefault="009260DE" w:rsidP="009260DE">
      <w:pPr>
        <w:tabs>
          <w:tab w:val="left" w:pos="851"/>
        </w:tabs>
        <w:ind w:left="851"/>
        <w:jc w:val="both"/>
        <w:rPr>
          <w:sz w:val="24"/>
          <w:szCs w:val="24"/>
        </w:rPr>
      </w:pPr>
    </w:p>
    <w:p w14:paraId="098315BA" w14:textId="77777777" w:rsidR="009260DE" w:rsidRPr="00441FF1" w:rsidRDefault="009260DE" w:rsidP="009260DE">
      <w:pPr>
        <w:tabs>
          <w:tab w:val="left" w:pos="851"/>
        </w:tabs>
        <w:ind w:left="851" w:hanging="851"/>
        <w:rPr>
          <w:b/>
          <w:sz w:val="24"/>
          <w:szCs w:val="24"/>
        </w:rPr>
      </w:pPr>
      <w:r w:rsidRPr="00441FF1">
        <w:rPr>
          <w:b/>
          <w:sz w:val="24"/>
          <w:szCs w:val="24"/>
        </w:rPr>
        <w:t>9.</w:t>
      </w:r>
      <w:r w:rsidRPr="00441FF1">
        <w:rPr>
          <w:b/>
          <w:sz w:val="24"/>
          <w:szCs w:val="24"/>
        </w:rPr>
        <w:tab/>
        <w:t>DATO FOR FØRSTE MARKEDSFØRINGSTILLADELSE</w:t>
      </w:r>
    </w:p>
    <w:p w14:paraId="04E54715" w14:textId="5C6A2F1C" w:rsidR="009260DE" w:rsidRPr="00441FF1" w:rsidRDefault="003A6DB8" w:rsidP="009260DE">
      <w:pPr>
        <w:tabs>
          <w:tab w:val="left" w:pos="851"/>
        </w:tabs>
        <w:ind w:left="851"/>
        <w:rPr>
          <w:sz w:val="24"/>
          <w:szCs w:val="24"/>
        </w:rPr>
      </w:pPr>
      <w:r>
        <w:rPr>
          <w:sz w:val="24"/>
          <w:szCs w:val="24"/>
        </w:rPr>
        <w:t>5. november 2021</w:t>
      </w:r>
    </w:p>
    <w:p w14:paraId="6AE4A12E" w14:textId="77777777" w:rsidR="009260DE" w:rsidRPr="00441FF1" w:rsidRDefault="009260DE" w:rsidP="009260DE">
      <w:pPr>
        <w:tabs>
          <w:tab w:val="left" w:pos="851"/>
        </w:tabs>
        <w:ind w:left="851"/>
        <w:rPr>
          <w:sz w:val="24"/>
          <w:szCs w:val="24"/>
        </w:rPr>
      </w:pPr>
    </w:p>
    <w:p w14:paraId="60085686" w14:textId="77777777" w:rsidR="009260DE" w:rsidRPr="00441FF1" w:rsidRDefault="009260DE" w:rsidP="009260DE">
      <w:pPr>
        <w:tabs>
          <w:tab w:val="left" w:pos="851"/>
        </w:tabs>
        <w:ind w:left="851" w:hanging="851"/>
        <w:rPr>
          <w:b/>
          <w:sz w:val="24"/>
          <w:szCs w:val="24"/>
        </w:rPr>
      </w:pPr>
      <w:r w:rsidRPr="00441FF1">
        <w:rPr>
          <w:b/>
          <w:sz w:val="24"/>
          <w:szCs w:val="24"/>
        </w:rPr>
        <w:t>10.</w:t>
      </w:r>
      <w:r w:rsidRPr="00441FF1">
        <w:rPr>
          <w:b/>
          <w:sz w:val="24"/>
          <w:szCs w:val="24"/>
        </w:rPr>
        <w:tab/>
        <w:t>DATO FOR ÆNDRING AF TEKSTEN</w:t>
      </w:r>
    </w:p>
    <w:p w14:paraId="3AEC336A" w14:textId="79B6A52E" w:rsidR="009260DE" w:rsidRPr="00441FF1" w:rsidRDefault="00A15135" w:rsidP="009260DE">
      <w:pPr>
        <w:tabs>
          <w:tab w:val="left" w:pos="851"/>
        </w:tabs>
        <w:ind w:left="851"/>
        <w:rPr>
          <w:sz w:val="24"/>
          <w:szCs w:val="24"/>
        </w:rPr>
      </w:pPr>
      <w:r w:rsidRPr="00441FF1">
        <w:rPr>
          <w:sz w:val="24"/>
          <w:szCs w:val="24"/>
        </w:rPr>
        <w:t>-</w:t>
      </w:r>
    </w:p>
    <w:sectPr w:rsidR="009260DE" w:rsidRPr="00441FF1" w:rsidSect="003A6DB8">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C4EFD" w14:textId="77777777" w:rsidR="00A32E8E" w:rsidRDefault="00A32E8E">
      <w:r>
        <w:separator/>
      </w:r>
    </w:p>
  </w:endnote>
  <w:endnote w:type="continuationSeparator" w:id="0">
    <w:p w14:paraId="2AA63326" w14:textId="77777777" w:rsidR="00A32E8E" w:rsidRDefault="00A3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297A" w14:textId="77777777" w:rsidR="003A6DB8" w:rsidRDefault="003A6DB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318C" w14:textId="77777777" w:rsidR="000259B9" w:rsidRDefault="000259B9">
    <w:pPr>
      <w:pStyle w:val="Sidefod"/>
      <w:pBdr>
        <w:bottom w:val="single" w:sz="6" w:space="1" w:color="auto"/>
      </w:pBdr>
    </w:pPr>
  </w:p>
  <w:p w14:paraId="5C45A90A" w14:textId="77777777" w:rsidR="000259B9" w:rsidRDefault="000259B9" w:rsidP="00C42586">
    <w:pPr>
      <w:pStyle w:val="Sidefod"/>
      <w:tabs>
        <w:tab w:val="clear" w:pos="4819"/>
        <w:tab w:val="left" w:pos="8505"/>
      </w:tabs>
      <w:rPr>
        <w:i/>
        <w:sz w:val="18"/>
        <w:szCs w:val="18"/>
      </w:rPr>
    </w:pPr>
  </w:p>
  <w:p w14:paraId="7772D519" w14:textId="5F063E6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41FF1">
      <w:rPr>
        <w:i/>
        <w:noProof/>
        <w:sz w:val="18"/>
        <w:szCs w:val="18"/>
      </w:rPr>
      <w:t>Dexamcol, øjendråber, opløsning 1+5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DDB5" w14:textId="77777777" w:rsidR="003A6DB8" w:rsidRDefault="003A6DB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F653F" w14:textId="77777777" w:rsidR="00A32E8E" w:rsidRDefault="00A32E8E">
      <w:r>
        <w:separator/>
      </w:r>
    </w:p>
  </w:footnote>
  <w:footnote w:type="continuationSeparator" w:id="0">
    <w:p w14:paraId="5B7177B0" w14:textId="77777777" w:rsidR="00A32E8E" w:rsidRDefault="00A3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2573" w14:textId="77777777" w:rsidR="003A6DB8" w:rsidRDefault="003A6DB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D6C2F" w14:textId="77777777" w:rsidR="003A6DB8" w:rsidRDefault="003A6DB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B357" w14:textId="77777777" w:rsidR="003A6DB8" w:rsidRDefault="003A6DB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EB02E2"/>
    <w:multiLevelType w:val="hybridMultilevel"/>
    <w:tmpl w:val="4F9C6D6C"/>
    <w:lvl w:ilvl="0" w:tplc="FFFFFFFF">
      <w:start w:val="1"/>
      <w:numFmt w:val="bullet"/>
      <w:lvlText w:val=""/>
      <w:lvlJc w:val="left"/>
      <w:pPr>
        <w:ind w:left="720" w:hanging="360"/>
      </w:pPr>
      <w:rPr>
        <w:rFonts w:ascii="Symbol" w:hAnsi="Symbol" w:hint="default"/>
        <w:sz w:val="16"/>
        <w:szCs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AED22D3"/>
    <w:multiLevelType w:val="hybridMultilevel"/>
    <w:tmpl w:val="806640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8E"/>
    <w:rsid w:val="000259B9"/>
    <w:rsid w:val="00041491"/>
    <w:rsid w:val="00050D16"/>
    <w:rsid w:val="000730CA"/>
    <w:rsid w:val="00074F2A"/>
    <w:rsid w:val="000A1CA8"/>
    <w:rsid w:val="000A466B"/>
    <w:rsid w:val="000B058C"/>
    <w:rsid w:val="000E4EE6"/>
    <w:rsid w:val="001454E2"/>
    <w:rsid w:val="00206CE8"/>
    <w:rsid w:val="0021526C"/>
    <w:rsid w:val="00283A2B"/>
    <w:rsid w:val="002B30AD"/>
    <w:rsid w:val="002C2AF2"/>
    <w:rsid w:val="002C2C01"/>
    <w:rsid w:val="003A29AE"/>
    <w:rsid w:val="003A32D7"/>
    <w:rsid w:val="003A6DB8"/>
    <w:rsid w:val="003B4074"/>
    <w:rsid w:val="003C769A"/>
    <w:rsid w:val="003F1838"/>
    <w:rsid w:val="00441FF1"/>
    <w:rsid w:val="0045746C"/>
    <w:rsid w:val="00475B97"/>
    <w:rsid w:val="0049104B"/>
    <w:rsid w:val="004E3B12"/>
    <w:rsid w:val="00532310"/>
    <w:rsid w:val="00565F0F"/>
    <w:rsid w:val="00592950"/>
    <w:rsid w:val="00594A86"/>
    <w:rsid w:val="00596D86"/>
    <w:rsid w:val="00637F5A"/>
    <w:rsid w:val="006560B1"/>
    <w:rsid w:val="006756DD"/>
    <w:rsid w:val="00737275"/>
    <w:rsid w:val="00740EEC"/>
    <w:rsid w:val="0077549F"/>
    <w:rsid w:val="0078011A"/>
    <w:rsid w:val="00782AF4"/>
    <w:rsid w:val="00790EE7"/>
    <w:rsid w:val="007B6649"/>
    <w:rsid w:val="0082576E"/>
    <w:rsid w:val="00907F75"/>
    <w:rsid w:val="00916A7A"/>
    <w:rsid w:val="009260DE"/>
    <w:rsid w:val="0093258A"/>
    <w:rsid w:val="009C21D0"/>
    <w:rsid w:val="009C7BA3"/>
    <w:rsid w:val="009D1F5A"/>
    <w:rsid w:val="00A10294"/>
    <w:rsid w:val="00A15135"/>
    <w:rsid w:val="00A32E8E"/>
    <w:rsid w:val="00B003BF"/>
    <w:rsid w:val="00B373D7"/>
    <w:rsid w:val="00C36276"/>
    <w:rsid w:val="00C42586"/>
    <w:rsid w:val="00C60CCD"/>
    <w:rsid w:val="00C84483"/>
    <w:rsid w:val="00C95551"/>
    <w:rsid w:val="00CA5F7F"/>
    <w:rsid w:val="00CB20D7"/>
    <w:rsid w:val="00CE5B15"/>
    <w:rsid w:val="00D020B0"/>
    <w:rsid w:val="00D11748"/>
    <w:rsid w:val="00D366CF"/>
    <w:rsid w:val="00E108AA"/>
    <w:rsid w:val="00E3749A"/>
    <w:rsid w:val="00E7437F"/>
    <w:rsid w:val="00E865B8"/>
    <w:rsid w:val="00EC0B9B"/>
    <w:rsid w:val="00ED5E9F"/>
    <w:rsid w:val="00F04FD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28FEC"/>
  <w15:chartTrackingRefBased/>
  <w15:docId w15:val="{07AE310A-73DB-4B78-A14A-D8ADEB52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92950"/>
    <w:pPr>
      <w:spacing w:before="120" w:after="120"/>
      <w:jc w:val="both"/>
    </w:pPr>
    <w:rPr>
      <w:sz w:val="22"/>
      <w:lang w:eastAsia="da-DK"/>
    </w:rPr>
  </w:style>
  <w:style w:type="paragraph" w:styleId="Listeafsnit">
    <w:name w:val="List Paragraph"/>
    <w:basedOn w:val="Normal"/>
    <w:uiPriority w:val="34"/>
    <w:qFormat/>
    <w:rsid w:val="00A15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74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6017132">
      <w:bodyDiv w:val="1"/>
      <w:marLeft w:val="0"/>
      <w:marRight w:val="0"/>
      <w:marTop w:val="0"/>
      <w:marBottom w:val="0"/>
      <w:divBdr>
        <w:top w:val="none" w:sz="0" w:space="0" w:color="auto"/>
        <w:left w:val="none" w:sz="0" w:space="0" w:color="auto"/>
        <w:bottom w:val="none" w:sz="0" w:space="0" w:color="auto"/>
        <w:right w:val="none" w:sz="0" w:space="0" w:color="auto"/>
      </w:divBdr>
    </w:div>
    <w:div w:id="240722941">
      <w:bodyDiv w:val="1"/>
      <w:marLeft w:val="0"/>
      <w:marRight w:val="0"/>
      <w:marTop w:val="0"/>
      <w:marBottom w:val="0"/>
      <w:divBdr>
        <w:top w:val="none" w:sz="0" w:space="0" w:color="auto"/>
        <w:left w:val="none" w:sz="0" w:space="0" w:color="auto"/>
        <w:bottom w:val="none" w:sz="0" w:space="0" w:color="auto"/>
        <w:right w:val="none" w:sz="0" w:space="0" w:color="auto"/>
      </w:divBdr>
    </w:div>
    <w:div w:id="471288008">
      <w:bodyDiv w:val="1"/>
      <w:marLeft w:val="0"/>
      <w:marRight w:val="0"/>
      <w:marTop w:val="0"/>
      <w:marBottom w:val="0"/>
      <w:divBdr>
        <w:top w:val="none" w:sz="0" w:space="0" w:color="auto"/>
        <w:left w:val="none" w:sz="0" w:space="0" w:color="auto"/>
        <w:bottom w:val="none" w:sz="0" w:space="0" w:color="auto"/>
        <w:right w:val="none" w:sz="0" w:space="0" w:color="auto"/>
      </w:divBdr>
    </w:div>
    <w:div w:id="561060668">
      <w:bodyDiv w:val="1"/>
      <w:marLeft w:val="0"/>
      <w:marRight w:val="0"/>
      <w:marTop w:val="0"/>
      <w:marBottom w:val="0"/>
      <w:divBdr>
        <w:top w:val="none" w:sz="0" w:space="0" w:color="auto"/>
        <w:left w:val="none" w:sz="0" w:space="0" w:color="auto"/>
        <w:bottom w:val="none" w:sz="0" w:space="0" w:color="auto"/>
        <w:right w:val="none" w:sz="0" w:space="0" w:color="auto"/>
      </w:divBdr>
    </w:div>
    <w:div w:id="586619229">
      <w:bodyDiv w:val="1"/>
      <w:marLeft w:val="0"/>
      <w:marRight w:val="0"/>
      <w:marTop w:val="0"/>
      <w:marBottom w:val="0"/>
      <w:divBdr>
        <w:top w:val="none" w:sz="0" w:space="0" w:color="auto"/>
        <w:left w:val="none" w:sz="0" w:space="0" w:color="auto"/>
        <w:bottom w:val="none" w:sz="0" w:space="0" w:color="auto"/>
        <w:right w:val="none" w:sz="0" w:space="0" w:color="auto"/>
      </w:divBdr>
    </w:div>
    <w:div w:id="631133258">
      <w:bodyDiv w:val="1"/>
      <w:marLeft w:val="0"/>
      <w:marRight w:val="0"/>
      <w:marTop w:val="0"/>
      <w:marBottom w:val="0"/>
      <w:divBdr>
        <w:top w:val="none" w:sz="0" w:space="0" w:color="auto"/>
        <w:left w:val="none" w:sz="0" w:space="0" w:color="auto"/>
        <w:bottom w:val="none" w:sz="0" w:space="0" w:color="auto"/>
        <w:right w:val="none" w:sz="0" w:space="0" w:color="auto"/>
      </w:divBdr>
    </w:div>
    <w:div w:id="670571526">
      <w:bodyDiv w:val="1"/>
      <w:marLeft w:val="0"/>
      <w:marRight w:val="0"/>
      <w:marTop w:val="0"/>
      <w:marBottom w:val="0"/>
      <w:divBdr>
        <w:top w:val="none" w:sz="0" w:space="0" w:color="auto"/>
        <w:left w:val="none" w:sz="0" w:space="0" w:color="auto"/>
        <w:bottom w:val="none" w:sz="0" w:space="0" w:color="auto"/>
        <w:right w:val="none" w:sz="0" w:space="0" w:color="auto"/>
      </w:divBdr>
    </w:div>
    <w:div w:id="787698088">
      <w:bodyDiv w:val="1"/>
      <w:marLeft w:val="0"/>
      <w:marRight w:val="0"/>
      <w:marTop w:val="0"/>
      <w:marBottom w:val="0"/>
      <w:divBdr>
        <w:top w:val="none" w:sz="0" w:space="0" w:color="auto"/>
        <w:left w:val="none" w:sz="0" w:space="0" w:color="auto"/>
        <w:bottom w:val="none" w:sz="0" w:space="0" w:color="auto"/>
        <w:right w:val="none" w:sz="0" w:space="0" w:color="auto"/>
      </w:divBdr>
    </w:div>
    <w:div w:id="930626184">
      <w:bodyDiv w:val="1"/>
      <w:marLeft w:val="0"/>
      <w:marRight w:val="0"/>
      <w:marTop w:val="0"/>
      <w:marBottom w:val="0"/>
      <w:divBdr>
        <w:top w:val="none" w:sz="0" w:space="0" w:color="auto"/>
        <w:left w:val="none" w:sz="0" w:space="0" w:color="auto"/>
        <w:bottom w:val="none" w:sz="0" w:space="0" w:color="auto"/>
        <w:right w:val="none" w:sz="0" w:space="0" w:color="auto"/>
      </w:divBdr>
    </w:div>
    <w:div w:id="1070230373">
      <w:bodyDiv w:val="1"/>
      <w:marLeft w:val="0"/>
      <w:marRight w:val="0"/>
      <w:marTop w:val="0"/>
      <w:marBottom w:val="0"/>
      <w:divBdr>
        <w:top w:val="none" w:sz="0" w:space="0" w:color="auto"/>
        <w:left w:val="none" w:sz="0" w:space="0" w:color="auto"/>
        <w:bottom w:val="none" w:sz="0" w:space="0" w:color="auto"/>
        <w:right w:val="none" w:sz="0" w:space="0" w:color="auto"/>
      </w:divBdr>
    </w:div>
    <w:div w:id="1215968311">
      <w:bodyDiv w:val="1"/>
      <w:marLeft w:val="0"/>
      <w:marRight w:val="0"/>
      <w:marTop w:val="0"/>
      <w:marBottom w:val="0"/>
      <w:divBdr>
        <w:top w:val="none" w:sz="0" w:space="0" w:color="auto"/>
        <w:left w:val="none" w:sz="0" w:space="0" w:color="auto"/>
        <w:bottom w:val="none" w:sz="0" w:space="0" w:color="auto"/>
        <w:right w:val="none" w:sz="0" w:space="0" w:color="auto"/>
      </w:divBdr>
    </w:div>
    <w:div w:id="1443184095">
      <w:bodyDiv w:val="1"/>
      <w:marLeft w:val="0"/>
      <w:marRight w:val="0"/>
      <w:marTop w:val="0"/>
      <w:marBottom w:val="0"/>
      <w:divBdr>
        <w:top w:val="none" w:sz="0" w:space="0" w:color="auto"/>
        <w:left w:val="none" w:sz="0" w:space="0" w:color="auto"/>
        <w:bottom w:val="none" w:sz="0" w:space="0" w:color="auto"/>
        <w:right w:val="none" w:sz="0" w:space="0" w:color="auto"/>
      </w:divBdr>
    </w:div>
    <w:div w:id="1480732091">
      <w:bodyDiv w:val="1"/>
      <w:marLeft w:val="0"/>
      <w:marRight w:val="0"/>
      <w:marTop w:val="0"/>
      <w:marBottom w:val="0"/>
      <w:divBdr>
        <w:top w:val="none" w:sz="0" w:space="0" w:color="auto"/>
        <w:left w:val="none" w:sz="0" w:space="0" w:color="auto"/>
        <w:bottom w:val="none" w:sz="0" w:space="0" w:color="auto"/>
        <w:right w:val="none" w:sz="0" w:space="0" w:color="auto"/>
      </w:divBdr>
    </w:div>
    <w:div w:id="1598753087">
      <w:bodyDiv w:val="1"/>
      <w:marLeft w:val="0"/>
      <w:marRight w:val="0"/>
      <w:marTop w:val="0"/>
      <w:marBottom w:val="0"/>
      <w:divBdr>
        <w:top w:val="none" w:sz="0" w:space="0" w:color="auto"/>
        <w:left w:val="none" w:sz="0" w:space="0" w:color="auto"/>
        <w:bottom w:val="none" w:sz="0" w:space="0" w:color="auto"/>
        <w:right w:val="none" w:sz="0" w:space="0" w:color="auto"/>
      </w:divBdr>
    </w:div>
    <w:div w:id="1779059219">
      <w:bodyDiv w:val="1"/>
      <w:marLeft w:val="0"/>
      <w:marRight w:val="0"/>
      <w:marTop w:val="0"/>
      <w:marBottom w:val="0"/>
      <w:divBdr>
        <w:top w:val="none" w:sz="0" w:space="0" w:color="auto"/>
        <w:left w:val="none" w:sz="0" w:space="0" w:color="auto"/>
        <w:bottom w:val="none" w:sz="0" w:space="0" w:color="auto"/>
        <w:right w:val="none" w:sz="0" w:space="0" w:color="auto"/>
      </w:divBdr>
    </w:div>
    <w:div w:id="1832795197">
      <w:bodyDiv w:val="1"/>
      <w:marLeft w:val="0"/>
      <w:marRight w:val="0"/>
      <w:marTop w:val="0"/>
      <w:marBottom w:val="0"/>
      <w:divBdr>
        <w:top w:val="none" w:sz="0" w:space="0" w:color="auto"/>
        <w:left w:val="none" w:sz="0" w:space="0" w:color="auto"/>
        <w:bottom w:val="none" w:sz="0" w:space="0" w:color="auto"/>
        <w:right w:val="none" w:sz="0" w:space="0" w:color="auto"/>
      </w:divBdr>
    </w:div>
    <w:div w:id="1846045970">
      <w:bodyDiv w:val="1"/>
      <w:marLeft w:val="0"/>
      <w:marRight w:val="0"/>
      <w:marTop w:val="0"/>
      <w:marBottom w:val="0"/>
      <w:divBdr>
        <w:top w:val="none" w:sz="0" w:space="0" w:color="auto"/>
        <w:left w:val="none" w:sz="0" w:space="0" w:color="auto"/>
        <w:bottom w:val="none" w:sz="0" w:space="0" w:color="auto"/>
        <w:right w:val="none" w:sz="0" w:space="0" w:color="auto"/>
      </w:divBdr>
    </w:div>
    <w:div w:id="1888713073">
      <w:bodyDiv w:val="1"/>
      <w:marLeft w:val="0"/>
      <w:marRight w:val="0"/>
      <w:marTop w:val="0"/>
      <w:marBottom w:val="0"/>
      <w:divBdr>
        <w:top w:val="none" w:sz="0" w:space="0" w:color="auto"/>
        <w:left w:val="none" w:sz="0" w:space="0" w:color="auto"/>
        <w:bottom w:val="none" w:sz="0" w:space="0" w:color="auto"/>
        <w:right w:val="none" w:sz="0" w:space="0" w:color="auto"/>
      </w:divBdr>
    </w:div>
    <w:div w:id="1985968998">
      <w:bodyDiv w:val="1"/>
      <w:marLeft w:val="0"/>
      <w:marRight w:val="0"/>
      <w:marTop w:val="0"/>
      <w:marBottom w:val="0"/>
      <w:divBdr>
        <w:top w:val="none" w:sz="0" w:space="0" w:color="auto"/>
        <w:left w:val="none" w:sz="0" w:space="0" w:color="auto"/>
        <w:bottom w:val="none" w:sz="0" w:space="0" w:color="auto"/>
        <w:right w:val="none" w:sz="0" w:space="0" w:color="auto"/>
      </w:divBdr>
    </w:div>
    <w:div w:id="1995255605">
      <w:bodyDiv w:val="1"/>
      <w:marLeft w:val="0"/>
      <w:marRight w:val="0"/>
      <w:marTop w:val="0"/>
      <w:marBottom w:val="0"/>
      <w:divBdr>
        <w:top w:val="none" w:sz="0" w:space="0" w:color="auto"/>
        <w:left w:val="none" w:sz="0" w:space="0" w:color="auto"/>
        <w:bottom w:val="none" w:sz="0" w:space="0" w:color="auto"/>
        <w:right w:val="none" w:sz="0" w:space="0" w:color="auto"/>
      </w:divBdr>
    </w:div>
    <w:div w:id="20543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24</TotalTime>
  <Pages>8</Pages>
  <Words>1952</Words>
  <Characters>13205</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2020020311, MT</dc:description>
  <cp:lastModifiedBy>Gitte Jørgensen</cp:lastModifiedBy>
  <cp:revision>5</cp:revision>
  <cp:lastPrinted>2012-08-22T08:53:00Z</cp:lastPrinted>
  <dcterms:created xsi:type="dcterms:W3CDTF">2021-11-01T08:41:00Z</dcterms:created>
  <dcterms:modified xsi:type="dcterms:W3CDTF">2021-11-05T14:14:00Z</dcterms:modified>
</cp:coreProperties>
</file>