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AEF" w:rsidRDefault="00336AEF" w:rsidP="00336AEF"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00829B81" wp14:editId="2D945458">
            <wp:extent cx="2466975" cy="685800"/>
            <wp:effectExtent l="0" t="0" r="9525" b="0"/>
            <wp:docPr id="2" name="Billede 2" descr="C:\Users\ALS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P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EF" w:rsidRDefault="00336AEF" w:rsidP="00336AEF"/>
    <w:p w:rsidR="00336AEF" w:rsidRPr="00B02AAB" w:rsidRDefault="00336AEF" w:rsidP="00336AEF">
      <w:pPr>
        <w:pStyle w:val="Titel"/>
        <w:tabs>
          <w:tab w:val="right" w:pos="9356"/>
        </w:tabs>
        <w:jc w:val="left"/>
        <w:rPr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 w:rsidR="00DC77A7">
        <w:rPr>
          <w:sz w:val="23"/>
          <w:lang w:eastAsia="en-US"/>
        </w:rPr>
        <w:t>11. februar 2022</w:t>
      </w:r>
    </w:p>
    <w:p w:rsidR="00336AEF" w:rsidRDefault="00336AEF" w:rsidP="00336AEF">
      <w:pPr>
        <w:pStyle w:val="Titel"/>
        <w:tabs>
          <w:tab w:val="left" w:pos="8222"/>
        </w:tabs>
        <w:jc w:val="left"/>
        <w:rPr>
          <w:b w:val="0"/>
        </w:rPr>
      </w:pPr>
    </w:p>
    <w:p w:rsidR="00336AEF" w:rsidRDefault="00336AEF" w:rsidP="00336AEF">
      <w:pPr>
        <w:pStyle w:val="Titel"/>
        <w:jc w:val="left"/>
        <w:rPr>
          <w:b w:val="0"/>
        </w:rPr>
      </w:pPr>
    </w:p>
    <w:p w:rsidR="00DC77A7" w:rsidRDefault="00DC77A7" w:rsidP="00336AEF">
      <w:pPr>
        <w:pStyle w:val="Titel"/>
        <w:jc w:val="left"/>
        <w:rPr>
          <w:b w:val="0"/>
        </w:rPr>
      </w:pPr>
    </w:p>
    <w:p w:rsidR="00336AEF" w:rsidRPr="00EC0B9B" w:rsidRDefault="00336AEF" w:rsidP="00336AE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336AEF" w:rsidRPr="00EC0B9B" w:rsidRDefault="00336AEF" w:rsidP="00336AEF">
      <w:pPr>
        <w:jc w:val="center"/>
        <w:rPr>
          <w:b/>
          <w:sz w:val="24"/>
          <w:szCs w:val="24"/>
        </w:rPr>
      </w:pPr>
    </w:p>
    <w:p w:rsidR="00336AEF" w:rsidRPr="00EC0B9B" w:rsidRDefault="00336AEF" w:rsidP="00336AE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336AEF" w:rsidRPr="00EC0B9B" w:rsidRDefault="00336AEF" w:rsidP="00336AEF">
      <w:pPr>
        <w:jc w:val="center"/>
        <w:rPr>
          <w:b/>
          <w:sz w:val="24"/>
          <w:szCs w:val="24"/>
        </w:rPr>
      </w:pPr>
    </w:p>
    <w:p w:rsidR="00336AEF" w:rsidRPr="0049104B" w:rsidRDefault="00336AEF" w:rsidP="00336AE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Dexametason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Abcur</w:t>
      </w:r>
      <w:proofErr w:type="spellEnd"/>
      <w:r>
        <w:rPr>
          <w:b/>
          <w:sz w:val="24"/>
          <w:szCs w:val="24"/>
        </w:rPr>
        <w:t>, tabletter</w:t>
      </w:r>
      <w:r w:rsidR="00F12A4C">
        <w:rPr>
          <w:b/>
          <w:sz w:val="24"/>
          <w:szCs w:val="24"/>
        </w:rPr>
        <w:t xml:space="preserve"> (</w:t>
      </w:r>
      <w:proofErr w:type="spellStart"/>
      <w:r w:rsidR="00F12A4C">
        <w:rPr>
          <w:b/>
          <w:sz w:val="24"/>
          <w:szCs w:val="24"/>
        </w:rPr>
        <w:t>Orifarm</w:t>
      </w:r>
      <w:proofErr w:type="spellEnd"/>
      <w:r w:rsidR="00F12A4C">
        <w:rPr>
          <w:b/>
          <w:sz w:val="24"/>
          <w:szCs w:val="24"/>
        </w:rPr>
        <w:t>)</w:t>
      </w:r>
    </w:p>
    <w:p w:rsidR="00336AEF" w:rsidRPr="00EC0B9B" w:rsidRDefault="00336AEF" w:rsidP="00336AEF">
      <w:pPr>
        <w:jc w:val="both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jc w:val="both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0.</w:t>
      </w:r>
      <w:r w:rsidRPr="00240CE9">
        <w:rPr>
          <w:b/>
          <w:sz w:val="24"/>
          <w:szCs w:val="24"/>
        </w:rPr>
        <w:tab/>
        <w:t>D.SP.NR.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  <w:t>28191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1.</w:t>
      </w:r>
      <w:r w:rsidRPr="00240CE9">
        <w:rPr>
          <w:b/>
          <w:sz w:val="24"/>
          <w:szCs w:val="24"/>
        </w:rPr>
        <w:tab/>
        <w:t>LÆGEMIDLETS NAVN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  <w:proofErr w:type="spellStart"/>
      <w:r w:rsidRPr="00240CE9">
        <w:rPr>
          <w:sz w:val="24"/>
          <w:szCs w:val="24"/>
        </w:rPr>
        <w:t>Dexametason</w:t>
      </w:r>
      <w:proofErr w:type="spellEnd"/>
      <w:r w:rsidRPr="00240CE9">
        <w:rPr>
          <w:sz w:val="24"/>
          <w:szCs w:val="24"/>
        </w:rPr>
        <w:t xml:space="preserve"> </w:t>
      </w:r>
      <w:proofErr w:type="spellStart"/>
      <w:r w:rsidRPr="00240CE9">
        <w:rPr>
          <w:sz w:val="24"/>
          <w:szCs w:val="24"/>
        </w:rPr>
        <w:t>Abcur</w:t>
      </w:r>
      <w:proofErr w:type="spellEnd"/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2.</w:t>
      </w:r>
      <w:r w:rsidRPr="00240CE9">
        <w:rPr>
          <w:b/>
          <w:sz w:val="24"/>
          <w:szCs w:val="24"/>
        </w:rPr>
        <w:tab/>
        <w:t>KVALITATIV OG KVANTITATIV SAMMENSÆTNING</w:t>
      </w:r>
    </w:p>
    <w:p w:rsidR="00336AEF" w:rsidRPr="00240CE9" w:rsidRDefault="00336AEF" w:rsidP="00DC77A7">
      <w:pPr>
        <w:ind w:left="851"/>
        <w:rPr>
          <w:sz w:val="24"/>
          <w:szCs w:val="24"/>
        </w:rPr>
      </w:pPr>
      <w:r w:rsidRPr="00240CE9">
        <w:rPr>
          <w:sz w:val="24"/>
          <w:szCs w:val="24"/>
        </w:rPr>
        <w:t xml:space="preserve">Én tablet indeholder 1 mg </w:t>
      </w:r>
      <w:proofErr w:type="spellStart"/>
      <w:r w:rsidRPr="00240CE9">
        <w:rPr>
          <w:sz w:val="24"/>
          <w:szCs w:val="24"/>
        </w:rPr>
        <w:t>dexamethason</w:t>
      </w:r>
      <w:proofErr w:type="spellEnd"/>
      <w:r w:rsidRPr="00240CE9">
        <w:rPr>
          <w:sz w:val="24"/>
          <w:szCs w:val="24"/>
        </w:rPr>
        <w:t>.</w:t>
      </w:r>
    </w:p>
    <w:p w:rsidR="00336AEF" w:rsidRPr="00240CE9" w:rsidRDefault="00336AEF" w:rsidP="00DC77A7">
      <w:pPr>
        <w:ind w:left="851"/>
        <w:rPr>
          <w:sz w:val="24"/>
          <w:szCs w:val="24"/>
        </w:rPr>
      </w:pPr>
    </w:p>
    <w:p w:rsidR="00336AEF" w:rsidRPr="00240CE9" w:rsidRDefault="00336AEF" w:rsidP="00DC77A7">
      <w:pPr>
        <w:ind w:left="851"/>
        <w:rPr>
          <w:sz w:val="24"/>
          <w:szCs w:val="24"/>
        </w:rPr>
      </w:pPr>
      <w:r w:rsidRPr="00240CE9">
        <w:rPr>
          <w:sz w:val="24"/>
          <w:szCs w:val="24"/>
        </w:rPr>
        <w:t>Hjælpestof, som behandleren skal være opmærksom på:</w:t>
      </w:r>
    </w:p>
    <w:p w:rsidR="00336AEF" w:rsidRPr="00240CE9" w:rsidRDefault="00336AEF" w:rsidP="00DC77A7">
      <w:pPr>
        <w:ind w:left="851"/>
        <w:rPr>
          <w:sz w:val="24"/>
          <w:szCs w:val="24"/>
        </w:rPr>
      </w:pPr>
      <w:r w:rsidRPr="00240CE9">
        <w:rPr>
          <w:sz w:val="24"/>
          <w:szCs w:val="24"/>
        </w:rPr>
        <w:t xml:space="preserve">Hver 1 mg tablet indeholder 73 mg </w:t>
      </w:r>
      <w:proofErr w:type="spellStart"/>
      <w:r w:rsidRPr="00240CE9">
        <w:rPr>
          <w:sz w:val="24"/>
          <w:szCs w:val="24"/>
        </w:rPr>
        <w:t>la</w:t>
      </w:r>
      <w:r>
        <w:rPr>
          <w:sz w:val="24"/>
          <w:szCs w:val="24"/>
        </w:rPr>
        <w:t>c</w:t>
      </w:r>
      <w:r w:rsidRPr="00240CE9">
        <w:rPr>
          <w:sz w:val="24"/>
          <w:szCs w:val="24"/>
        </w:rPr>
        <w:t>tosemonohydrat</w:t>
      </w:r>
      <w:proofErr w:type="spellEnd"/>
      <w:r w:rsidRPr="00240CE9">
        <w:rPr>
          <w:sz w:val="24"/>
          <w:szCs w:val="24"/>
        </w:rPr>
        <w:t>.</w:t>
      </w:r>
    </w:p>
    <w:p w:rsidR="00336AEF" w:rsidRPr="00240CE9" w:rsidRDefault="00336AEF" w:rsidP="00DC77A7">
      <w:pPr>
        <w:ind w:left="851"/>
        <w:rPr>
          <w:sz w:val="24"/>
          <w:szCs w:val="24"/>
        </w:rPr>
      </w:pPr>
    </w:p>
    <w:p w:rsidR="00336AEF" w:rsidRPr="00240CE9" w:rsidRDefault="00336AEF" w:rsidP="00DC77A7">
      <w:pPr>
        <w:ind w:left="851"/>
        <w:rPr>
          <w:sz w:val="24"/>
          <w:szCs w:val="24"/>
        </w:rPr>
      </w:pPr>
      <w:r w:rsidRPr="00240CE9">
        <w:rPr>
          <w:sz w:val="24"/>
          <w:szCs w:val="24"/>
        </w:rPr>
        <w:t>Alle hjælpestoffer er anført under pkt. 6.1.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3.</w:t>
      </w:r>
      <w:r w:rsidRPr="00240CE9">
        <w:rPr>
          <w:b/>
          <w:sz w:val="24"/>
          <w:szCs w:val="24"/>
        </w:rPr>
        <w:tab/>
        <w:t>LÆGEMIDDELFORM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  <w:t>Tabletter</w:t>
      </w:r>
      <w:r w:rsidR="00F12A4C">
        <w:rPr>
          <w:sz w:val="24"/>
          <w:szCs w:val="24"/>
        </w:rPr>
        <w:t xml:space="preserve"> (</w:t>
      </w:r>
      <w:proofErr w:type="spellStart"/>
      <w:r w:rsidR="00F12A4C">
        <w:rPr>
          <w:sz w:val="24"/>
          <w:szCs w:val="24"/>
        </w:rPr>
        <w:t>Orifarm</w:t>
      </w:r>
      <w:proofErr w:type="spellEnd"/>
      <w:r w:rsidR="00F12A4C">
        <w:rPr>
          <w:sz w:val="24"/>
          <w:szCs w:val="24"/>
        </w:rPr>
        <w:t>)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5E4665" w:rsidRPr="00240CE9" w:rsidRDefault="00336AEF" w:rsidP="005E466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E4665" w:rsidRPr="00240CE9">
        <w:rPr>
          <w:sz w:val="24"/>
          <w:szCs w:val="24"/>
        </w:rPr>
        <w:t>Tabletten kan deles i to lige store doser.</w:t>
      </w:r>
    </w:p>
    <w:p w:rsidR="00336AEF" w:rsidRPr="00240CE9" w:rsidRDefault="00336AEF" w:rsidP="005E466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</w:t>
      </w:r>
      <w:r w:rsidRPr="005F15CA">
        <w:rPr>
          <w:b/>
          <w:sz w:val="24"/>
          <w:szCs w:val="24"/>
        </w:rPr>
        <w:tab/>
        <w:t>KLINISKE OPLYSNINGER</w:t>
      </w: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  <w:u w:val="single"/>
        </w:rPr>
      </w:pPr>
      <w:r w:rsidRPr="005F15CA">
        <w:rPr>
          <w:b/>
          <w:sz w:val="24"/>
          <w:szCs w:val="24"/>
        </w:rPr>
        <w:t>4.1</w:t>
      </w:r>
      <w:r w:rsidRPr="005F15CA">
        <w:rPr>
          <w:b/>
          <w:sz w:val="24"/>
          <w:szCs w:val="24"/>
        </w:rPr>
        <w:tab/>
        <w:t>Terapeutiske indikationer</w:t>
      </w:r>
    </w:p>
    <w:p w:rsidR="00420245" w:rsidRPr="005F15CA" w:rsidRDefault="00420245" w:rsidP="0042024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 xml:space="preserve">Tilstande med behov for </w:t>
      </w:r>
      <w:proofErr w:type="spellStart"/>
      <w:r w:rsidRPr="005F15CA">
        <w:rPr>
          <w:sz w:val="24"/>
          <w:szCs w:val="24"/>
        </w:rPr>
        <w:t>kortikosteroiders</w:t>
      </w:r>
      <w:proofErr w:type="spellEnd"/>
      <w:r w:rsidRPr="005F15CA">
        <w:rPr>
          <w:sz w:val="24"/>
          <w:szCs w:val="24"/>
        </w:rPr>
        <w:t xml:space="preserve"> antiinflammatoriske og immunsuppressive virkning. Særligt til kortvarig intensiv behandling.</w:t>
      </w:r>
    </w:p>
    <w:p w:rsidR="00420245" w:rsidRPr="005F15CA" w:rsidRDefault="00420245" w:rsidP="0042024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 xml:space="preserve">Cerebralt ødem eller forhøjet </w:t>
      </w:r>
      <w:proofErr w:type="spellStart"/>
      <w:r w:rsidRPr="005F15CA">
        <w:rPr>
          <w:sz w:val="24"/>
          <w:szCs w:val="24"/>
        </w:rPr>
        <w:t>intrakranielt</w:t>
      </w:r>
      <w:proofErr w:type="spellEnd"/>
      <w:r w:rsidRPr="005F15CA">
        <w:rPr>
          <w:sz w:val="24"/>
          <w:szCs w:val="24"/>
        </w:rPr>
        <w:t xml:space="preserve"> tryk ved hjernetumorer </w:t>
      </w:r>
    </w:p>
    <w:p w:rsidR="00420245" w:rsidRPr="005F15CA" w:rsidRDefault="00420245" w:rsidP="0042024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 xml:space="preserve">Til behandling af cancer mammae, </w:t>
      </w:r>
      <w:proofErr w:type="spellStart"/>
      <w:r w:rsidRPr="005F15CA">
        <w:rPr>
          <w:sz w:val="24"/>
          <w:szCs w:val="24"/>
        </w:rPr>
        <w:t>ovarii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prostatae</w:t>
      </w:r>
      <w:proofErr w:type="spellEnd"/>
      <w:r w:rsidRPr="005F15CA">
        <w:rPr>
          <w:sz w:val="24"/>
          <w:szCs w:val="24"/>
        </w:rPr>
        <w:t xml:space="preserve"> eller testis, hvor </w:t>
      </w:r>
      <w:proofErr w:type="spellStart"/>
      <w:r w:rsidRPr="005F15CA">
        <w:rPr>
          <w:sz w:val="24"/>
          <w:szCs w:val="24"/>
        </w:rPr>
        <w:t>kortikosteroidvirkning</w:t>
      </w:r>
      <w:proofErr w:type="spellEnd"/>
      <w:r w:rsidRPr="005F15CA">
        <w:rPr>
          <w:sz w:val="24"/>
          <w:szCs w:val="24"/>
        </w:rPr>
        <w:t xml:space="preserve"> er ønskelig.</w:t>
      </w:r>
    </w:p>
    <w:p w:rsidR="00420245" w:rsidRPr="005F15CA" w:rsidRDefault="00420245" w:rsidP="0042024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F15CA">
        <w:rPr>
          <w:sz w:val="24"/>
          <w:szCs w:val="24"/>
        </w:rPr>
        <w:t>Forebyggelse af kvalme ved kemoterapi.</w:t>
      </w:r>
    </w:p>
    <w:p w:rsidR="00420245" w:rsidRPr="005F15CA" w:rsidRDefault="00DC77A7" w:rsidP="0042024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Dexametason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Abcur</w:t>
      </w:r>
      <w:proofErr w:type="spellEnd"/>
      <w:r w:rsidR="00420245" w:rsidRPr="005F15CA">
        <w:rPr>
          <w:sz w:val="24"/>
          <w:szCs w:val="24"/>
        </w:rPr>
        <w:t xml:space="preserve"> er indiceret til behandling af </w:t>
      </w:r>
      <w:proofErr w:type="spellStart"/>
      <w:r w:rsidR="00420245" w:rsidRPr="005F15CA">
        <w:rPr>
          <w:sz w:val="24"/>
          <w:szCs w:val="24"/>
        </w:rPr>
        <w:t>coronavirus</w:t>
      </w:r>
      <w:proofErr w:type="spellEnd"/>
      <w:r w:rsidR="00420245" w:rsidRPr="005F15CA">
        <w:rPr>
          <w:sz w:val="24"/>
          <w:szCs w:val="24"/>
        </w:rPr>
        <w:t>-sygdom 2019 (COVID-19) hos voksne og unge patienter (i alderen 12 år og ældre med en legemsvægt på mindst 40 kg), der behøver supplerende iltbehandling.</w:t>
      </w:r>
    </w:p>
    <w:p w:rsidR="00420245" w:rsidRPr="005F15CA" w:rsidRDefault="00420245" w:rsidP="00420245">
      <w:pPr>
        <w:pStyle w:val="Listeafsnit"/>
        <w:numPr>
          <w:ilvl w:val="0"/>
          <w:numId w:val="6"/>
        </w:numPr>
        <w:ind w:left="1276" w:hanging="425"/>
        <w:rPr>
          <w:i/>
          <w:sz w:val="24"/>
          <w:szCs w:val="24"/>
        </w:rPr>
      </w:pPr>
      <w:r w:rsidRPr="005F15CA">
        <w:rPr>
          <w:sz w:val="24"/>
          <w:szCs w:val="24"/>
        </w:rPr>
        <w:t>Diagnostisk test af hypofyse- og binyrebarkfunktion</w:t>
      </w:r>
    </w:p>
    <w:p w:rsidR="00DC77A7" w:rsidRDefault="00DC77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4.2</w:t>
      </w:r>
      <w:r w:rsidRPr="005F15CA">
        <w:rPr>
          <w:b/>
          <w:sz w:val="24"/>
          <w:szCs w:val="24"/>
        </w:rPr>
        <w:tab/>
        <w:t>Dosering og indgivelsesmåde</w:t>
      </w:r>
    </w:p>
    <w:p w:rsidR="00420245" w:rsidRDefault="00420245" w:rsidP="00420245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</w: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Dosering</w:t>
      </w: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Doseringen bør titreres efter den individuelle respons og sygdommens </w:t>
      </w:r>
      <w:proofErr w:type="spellStart"/>
      <w:r w:rsidRPr="005F15CA">
        <w:rPr>
          <w:sz w:val="24"/>
          <w:szCs w:val="24"/>
        </w:rPr>
        <w:t>sværhed</w:t>
      </w:r>
      <w:proofErr w:type="spellEnd"/>
      <w:r w:rsidRPr="005F15CA">
        <w:rPr>
          <w:sz w:val="24"/>
          <w:szCs w:val="24"/>
        </w:rPr>
        <w:t xml:space="preserve">. For at minimere bivirkningerne bør den mindste virksomme dosis anvendes. Initialdosis er mellem 0,5 og 8 mg dagligt, afhængigt af den behandlede sygdom. Mange alvorlige sygdomstilstande kan kræve højere doser end 8 mg. Initialdosis kan bibeholdes eller justeres indtil tilfredsstillende respons opnås.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Sygdomme, hvor antiinflammatorisk og immunsuppressiv virkning af </w:t>
      </w:r>
      <w:proofErr w:type="spellStart"/>
      <w:r w:rsidRPr="005F15CA">
        <w:rPr>
          <w:i/>
          <w:sz w:val="24"/>
          <w:szCs w:val="24"/>
        </w:rPr>
        <w:t>kortikosteroider</w:t>
      </w:r>
      <w:proofErr w:type="spellEnd"/>
      <w:r w:rsidRPr="005F15CA">
        <w:rPr>
          <w:i/>
          <w:sz w:val="24"/>
          <w:szCs w:val="24"/>
        </w:rPr>
        <w:t xml:space="preserve"> er ønskelig: </w:t>
      </w:r>
      <w:r w:rsidRPr="005F15CA">
        <w:rPr>
          <w:sz w:val="24"/>
          <w:szCs w:val="24"/>
        </w:rPr>
        <w:t>Initialdosis er sædvanligvis 1-4 mg dagligt i få dage til 1 uge. I svære akutte tilfælde kan gives op til 8 mg dagligt i få dage. Når virkning er opnået, nedsættes dagsdosis gradvis med 1</w:t>
      </w:r>
      <w:r w:rsidRPr="005F15CA">
        <w:rPr>
          <w:sz w:val="24"/>
          <w:szCs w:val="24"/>
        </w:rPr>
        <w:noBreakHyphen/>
        <w:t>2 mg hver tredje dag til en passende vedligeholdelsesdosis, sædvanligvis 1</w:t>
      </w:r>
      <w:r w:rsidRPr="005F15CA">
        <w:rPr>
          <w:sz w:val="24"/>
          <w:szCs w:val="24"/>
        </w:rPr>
        <w:noBreakHyphen/>
        <w:t>2 mg.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Cerebralt ødem eller forhøjet </w:t>
      </w:r>
      <w:proofErr w:type="spellStart"/>
      <w:r w:rsidRPr="005F15CA">
        <w:rPr>
          <w:i/>
          <w:sz w:val="24"/>
          <w:szCs w:val="24"/>
        </w:rPr>
        <w:t>intrakranielt</w:t>
      </w:r>
      <w:proofErr w:type="spellEnd"/>
      <w:r w:rsidRPr="005F15CA">
        <w:rPr>
          <w:i/>
          <w:sz w:val="24"/>
          <w:szCs w:val="24"/>
        </w:rPr>
        <w:t xml:space="preserve"> tryk ved hjernetumorer: </w:t>
      </w:r>
      <w:r w:rsidRPr="005F15CA">
        <w:rPr>
          <w:sz w:val="24"/>
          <w:szCs w:val="24"/>
        </w:rPr>
        <w:t xml:space="preserve">Ved cerebralt ødem eller forhøjet </w:t>
      </w:r>
      <w:proofErr w:type="spellStart"/>
      <w:r w:rsidRPr="005F15CA">
        <w:rPr>
          <w:sz w:val="24"/>
          <w:szCs w:val="24"/>
        </w:rPr>
        <w:t>intrakranielt</w:t>
      </w:r>
      <w:proofErr w:type="spellEnd"/>
      <w:r w:rsidRPr="005F15CA">
        <w:rPr>
          <w:sz w:val="24"/>
          <w:szCs w:val="24"/>
        </w:rPr>
        <w:t xml:space="preserve"> tryk som følge af hjernetumor indledes der i svære tilfælde med intravenøs administration af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; ved bedring skiftes til oral administration af 4-16 mg </w:t>
      </w:r>
      <w:proofErr w:type="spellStart"/>
      <w:r w:rsidR="00DC77A7">
        <w:rPr>
          <w:sz w:val="24"/>
          <w:szCs w:val="24"/>
        </w:rPr>
        <w:t>Dexametason</w:t>
      </w:r>
      <w:proofErr w:type="spellEnd"/>
      <w:r w:rsidR="00DC77A7">
        <w:rPr>
          <w:sz w:val="24"/>
          <w:szCs w:val="24"/>
        </w:rPr>
        <w:t xml:space="preserve"> </w:t>
      </w:r>
      <w:proofErr w:type="spellStart"/>
      <w:r w:rsidR="00DC77A7">
        <w:rPr>
          <w:sz w:val="24"/>
          <w:szCs w:val="24"/>
        </w:rPr>
        <w:t>Abcur</w:t>
      </w:r>
      <w:proofErr w:type="spellEnd"/>
      <w:r w:rsidRPr="005F15CA">
        <w:rPr>
          <w:sz w:val="24"/>
          <w:szCs w:val="24"/>
        </w:rPr>
        <w:t xml:space="preserve"> dagligt. I lettere tilfælde er oral administration af 2-8 mg tilstrækkeligt.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Behandling of cancer mammae, </w:t>
      </w:r>
      <w:proofErr w:type="spellStart"/>
      <w:r w:rsidRPr="005F15CA">
        <w:rPr>
          <w:i/>
          <w:sz w:val="24"/>
          <w:szCs w:val="24"/>
        </w:rPr>
        <w:t>ovarii</w:t>
      </w:r>
      <w:proofErr w:type="spellEnd"/>
      <w:r w:rsidRPr="005F15CA">
        <w:rPr>
          <w:i/>
          <w:sz w:val="24"/>
          <w:szCs w:val="24"/>
        </w:rPr>
        <w:t xml:space="preserve">, </w:t>
      </w:r>
      <w:proofErr w:type="spellStart"/>
      <w:r w:rsidRPr="005F15CA">
        <w:rPr>
          <w:i/>
          <w:sz w:val="24"/>
          <w:szCs w:val="24"/>
        </w:rPr>
        <w:t>prostatae</w:t>
      </w:r>
      <w:proofErr w:type="spellEnd"/>
      <w:r w:rsidRPr="005F15CA">
        <w:rPr>
          <w:i/>
          <w:sz w:val="24"/>
          <w:szCs w:val="24"/>
        </w:rPr>
        <w:t xml:space="preserve"> eller testis: </w:t>
      </w:r>
      <w:r w:rsidRPr="005F15CA">
        <w:rPr>
          <w:sz w:val="24"/>
          <w:szCs w:val="24"/>
        </w:rPr>
        <w:t>Initialdosis er sædvanligvis 8-16 mg. Vedligeholdelsesdosis er 4-12 mg.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Forebyggelse af kvalme ved kemoterapi: </w:t>
      </w:r>
      <w:r w:rsidRPr="005F15CA">
        <w:rPr>
          <w:sz w:val="24"/>
          <w:szCs w:val="24"/>
        </w:rPr>
        <w:t xml:space="preserve">Til forebyggelse og behandling af </w:t>
      </w:r>
      <w:proofErr w:type="spellStart"/>
      <w:r w:rsidRPr="005F15CA">
        <w:rPr>
          <w:sz w:val="24"/>
          <w:szCs w:val="24"/>
        </w:rPr>
        <w:t>cytostatika</w:t>
      </w:r>
      <w:r>
        <w:rPr>
          <w:sz w:val="24"/>
          <w:szCs w:val="24"/>
        </w:rPr>
        <w:softHyphen/>
      </w:r>
      <w:r w:rsidRPr="005F15CA">
        <w:rPr>
          <w:sz w:val="24"/>
          <w:szCs w:val="24"/>
        </w:rPr>
        <w:t>induceret</w:t>
      </w:r>
      <w:proofErr w:type="spellEnd"/>
      <w:r w:rsidRPr="005F15CA">
        <w:rPr>
          <w:sz w:val="24"/>
          <w:szCs w:val="24"/>
        </w:rPr>
        <w:t xml:space="preserve"> opkastning gives dagen før planlagt </w:t>
      </w:r>
      <w:proofErr w:type="spellStart"/>
      <w:r w:rsidRPr="005F15CA">
        <w:rPr>
          <w:sz w:val="24"/>
          <w:szCs w:val="24"/>
        </w:rPr>
        <w:t>cytostatisk</w:t>
      </w:r>
      <w:proofErr w:type="spellEnd"/>
      <w:r w:rsidRPr="005F15CA">
        <w:rPr>
          <w:sz w:val="24"/>
          <w:szCs w:val="24"/>
        </w:rPr>
        <w:t xml:space="preserve"> behandling 8 mg oralt; ved behandlingens start gives 8-12 mg </w:t>
      </w:r>
      <w:proofErr w:type="spellStart"/>
      <w:r w:rsidRPr="005F15CA">
        <w:rPr>
          <w:sz w:val="24"/>
          <w:szCs w:val="24"/>
        </w:rPr>
        <w:t>i.v</w:t>
      </w:r>
      <w:proofErr w:type="spellEnd"/>
      <w:r w:rsidRPr="005F15CA">
        <w:rPr>
          <w:sz w:val="24"/>
          <w:szCs w:val="24"/>
        </w:rPr>
        <w:t xml:space="preserve">., derefter 16-24 mg dagligt oralt i </w:t>
      </w:r>
      <w:proofErr w:type="spellStart"/>
      <w:r w:rsidRPr="005F15CA">
        <w:rPr>
          <w:sz w:val="24"/>
          <w:szCs w:val="24"/>
        </w:rPr>
        <w:t>i</w:t>
      </w:r>
      <w:proofErr w:type="spellEnd"/>
      <w:r w:rsidRPr="005F15CA">
        <w:rPr>
          <w:sz w:val="24"/>
          <w:szCs w:val="24"/>
        </w:rPr>
        <w:t xml:space="preserve"> alt 2 dage.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  <w:r w:rsidRPr="005F15CA">
        <w:rPr>
          <w:i/>
          <w:sz w:val="24"/>
          <w:szCs w:val="24"/>
        </w:rPr>
        <w:t>Diagnostisk test af hypofyse- og binyrebarkfunktion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Hæmning af hypofyse- og binyrebarkfunktionen:</w:t>
      </w:r>
      <w:r w:rsidRPr="005F15CA">
        <w:rPr>
          <w:sz w:val="24"/>
          <w:szCs w:val="24"/>
        </w:rPr>
        <w:t xml:space="preserve"> 1-4 mg dagligt</w:t>
      </w:r>
      <w:r>
        <w:rPr>
          <w:sz w:val="24"/>
          <w:szCs w:val="24"/>
        </w:rPr>
        <w:t>.</w:t>
      </w:r>
      <w:r w:rsidRPr="005F15CA">
        <w:rPr>
          <w:sz w:val="24"/>
          <w:szCs w:val="24"/>
        </w:rPr>
        <w:t xml:space="preserve"> Dagsdosis bør fordeles på 2-4 doser i løbet af dagen, af hvilke den sidste gives sent på aftenen.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Hæmningstekst af hypofyse- og binyrebarkfunktionen: </w:t>
      </w:r>
      <w:r w:rsidRPr="005F15CA">
        <w:rPr>
          <w:sz w:val="24"/>
          <w:szCs w:val="24"/>
        </w:rPr>
        <w:t xml:space="preserve">Sædvanligvis gives en enkelt dosis på 2 mg kl. 23-24, og der tages en blodprøve kl. 8.00 den følgende morgen. </w:t>
      </w: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Nedsat nyrefunktion:</w:t>
      </w:r>
      <w:r w:rsidRPr="005F15CA">
        <w:rPr>
          <w:sz w:val="24"/>
          <w:szCs w:val="24"/>
        </w:rPr>
        <w:t xml:space="preserve"> Dosisjustering er ikke nødvendig hos patienter med nedsat nyrefunktion (se også pkt. 5.2).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Nedsat leverfunktion:</w:t>
      </w:r>
      <w:r w:rsidRPr="005F15CA">
        <w:rPr>
          <w:sz w:val="24"/>
          <w:szCs w:val="24"/>
        </w:rPr>
        <w:t xml:space="preserve"> Hos patienter med svær leversygdom kan dosisjustering være nødvendig (se også pkt. 5 2).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Til behandling af Covid-19</w:t>
      </w:r>
      <w:r w:rsidRPr="005F15CA">
        <w:rPr>
          <w:i/>
          <w:sz w:val="24"/>
          <w:szCs w:val="24"/>
          <w:u w:val="single"/>
        </w:rPr>
        <w:t>: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Voksne patienter 6 mg oralt en gang dagligt i op til 10 dage.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  <w:r w:rsidRPr="005F15CA">
        <w:rPr>
          <w:i/>
          <w:sz w:val="24"/>
          <w:szCs w:val="24"/>
        </w:rPr>
        <w:t>Pædiatrisk population: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Til pædiatriske patienter (unge på 12 år og derover) anbefales 6 mg oralt en gang dagligt i op til 10 dage.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Behandlingsvarigheden bør tilpasses den kliniske respons og den enkelte patients behov.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>Ældre, nedsat nyrefunktion, nedsat leverfunktion</w:t>
      </w:r>
      <w:r w:rsidRPr="005F15CA">
        <w:rPr>
          <w:i/>
          <w:sz w:val="24"/>
          <w:szCs w:val="24"/>
        </w:rPr>
        <w:br/>
      </w:r>
      <w:r w:rsidRPr="005F15CA">
        <w:rPr>
          <w:sz w:val="24"/>
          <w:szCs w:val="24"/>
        </w:rPr>
        <w:t>Dosisjustering er ikke nødvendig.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Administration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Oral.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4.3</w:t>
      </w:r>
      <w:r w:rsidRPr="005F15CA">
        <w:rPr>
          <w:b/>
          <w:sz w:val="24"/>
          <w:szCs w:val="24"/>
        </w:rPr>
        <w:tab/>
        <w:t>Kontraindikationer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Overfølsomhed over for det aktive stof eller over for et eller flere af hjælpestofferne anført i pkt. 6.1.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Systemiske svampeinfektioner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4.4</w:t>
      </w:r>
      <w:r w:rsidRPr="005F15CA">
        <w:rPr>
          <w:b/>
          <w:sz w:val="24"/>
          <w:szCs w:val="24"/>
        </w:rPr>
        <w:tab/>
        <w:t>Særlige advarsler og forsigtighedsregler vedrørende brugen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 xml:space="preserve">Patienten bør informeres om, at dosis skal øges ved feber og stress. 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 xml:space="preserve">Efter langtidsbehandling bør </w:t>
      </w:r>
      <w:proofErr w:type="spellStart"/>
      <w:r w:rsidRPr="005F15CA">
        <w:rPr>
          <w:sz w:val="24"/>
          <w:szCs w:val="24"/>
        </w:rPr>
        <w:t>seponering</w:t>
      </w:r>
      <w:proofErr w:type="spellEnd"/>
      <w:r w:rsidRPr="005F15CA">
        <w:rPr>
          <w:sz w:val="24"/>
          <w:szCs w:val="24"/>
        </w:rPr>
        <w:t xml:space="preserve"> finde sted gradvist. Tilførsel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undertrykker den endogene sekretion af </w:t>
      </w:r>
      <w:proofErr w:type="spellStart"/>
      <w:r w:rsidRPr="005F15CA">
        <w:rPr>
          <w:sz w:val="24"/>
          <w:szCs w:val="24"/>
        </w:rPr>
        <w:t>kortikotropin</w:t>
      </w:r>
      <w:proofErr w:type="spellEnd"/>
      <w:r w:rsidRPr="005F15CA">
        <w:rPr>
          <w:sz w:val="24"/>
          <w:szCs w:val="24"/>
        </w:rPr>
        <w:t xml:space="preserve"> (ACTH) fra </w:t>
      </w:r>
      <w:proofErr w:type="spellStart"/>
      <w:r w:rsidRPr="005F15CA">
        <w:rPr>
          <w:sz w:val="24"/>
          <w:szCs w:val="24"/>
        </w:rPr>
        <w:t>hypofyseforlappen</w:t>
      </w:r>
      <w:proofErr w:type="spellEnd"/>
      <w:r w:rsidRPr="005F15CA">
        <w:rPr>
          <w:sz w:val="24"/>
          <w:szCs w:val="24"/>
        </w:rPr>
        <w:t xml:space="preserve"> med atrofi af binyrebarken til følge, hvorfor pludselig </w:t>
      </w:r>
      <w:proofErr w:type="spellStart"/>
      <w:r w:rsidRPr="005F15CA">
        <w:rPr>
          <w:sz w:val="24"/>
          <w:szCs w:val="24"/>
        </w:rPr>
        <w:t>seponering</w:t>
      </w:r>
      <w:proofErr w:type="spellEnd"/>
      <w:r w:rsidRPr="005F15CA">
        <w:rPr>
          <w:sz w:val="24"/>
          <w:szCs w:val="24"/>
        </w:rPr>
        <w:t xml:space="preserve"> kan medføre akut binyrebarkinsufficiens.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derfor altid seponeres gradvist, særlig efter behandling med høje doser eller i længere tid.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Infektioner og vaccinationer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bør udvises den yderste forsigtighed ved infektioner, og kausal terapi bør iværksættes.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i høje doser kan forringe immunresponsen ved vaccination. Hvis der er vaccineret med levende vaccine kort før initiering af behandlingen med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, skal patienten overvåges tæt under administrationen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. Levende vaccine må ikke administreres under eller efter behandling med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Anvendelse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ved aktiv tuberkulose bør begrænses til tilfælde af fulminant eller dissemineret tuberkulose, hvor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gives sammen med passende tuberkulosebehandling. Hvis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er indiceret hos patienter med latent tuberkulose eller med </w:t>
      </w:r>
      <w:proofErr w:type="spellStart"/>
      <w:r w:rsidRPr="005F15CA">
        <w:rPr>
          <w:sz w:val="24"/>
          <w:szCs w:val="24"/>
        </w:rPr>
        <w:t>tuberkulinreaktivitet</w:t>
      </w:r>
      <w:proofErr w:type="spellEnd"/>
      <w:r w:rsidRPr="005F15CA">
        <w:rPr>
          <w:sz w:val="24"/>
          <w:szCs w:val="24"/>
        </w:rPr>
        <w:t xml:space="preserve">, er tæt overvågning nødvendig på grund af risikoen for reaktivering af sygdommen. Ved langtidsbehandling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sådanne patienter have profylaktisk antibiotisk behandling.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 xml:space="preserve">Behandling </w:t>
      </w:r>
      <w:r w:rsidRPr="005F15CA">
        <w:rPr>
          <w:sz w:val="24"/>
          <w:szCs w:val="24"/>
        </w:rPr>
        <w:t>af</w:t>
      </w:r>
      <w:r w:rsidRPr="005F15CA">
        <w:rPr>
          <w:sz w:val="24"/>
          <w:szCs w:val="24"/>
          <w:u w:val="single"/>
        </w:rPr>
        <w:t xml:space="preserve"> Covid-19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Systemiske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ikke seponeres hos patienter, der allerede er i behandling med systemiske (orale)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af andre grunde (f.eks. kronisk obstruktiv lungesygdom), men som ikke behøver supplerende ilt.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Diabetes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Hos diabetespatienter kan det være nødvendigt at øge insulindosis ved 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 xml:space="preserve">Cerebralt ødem eller forhøjet </w:t>
      </w:r>
      <w:proofErr w:type="spellStart"/>
      <w:r w:rsidRPr="005F15CA">
        <w:rPr>
          <w:sz w:val="24"/>
          <w:szCs w:val="24"/>
          <w:u w:val="single"/>
        </w:rPr>
        <w:t>intrakranielt</w:t>
      </w:r>
      <w:proofErr w:type="spellEnd"/>
      <w:r w:rsidRPr="005F15CA">
        <w:rPr>
          <w:sz w:val="24"/>
          <w:szCs w:val="24"/>
          <w:u w:val="single"/>
        </w:rPr>
        <w:t xml:space="preserve"> tryk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må ikke anvendes ved hovedtraumer eller apopleksi, da de ikke kan forventes at have gavnlig virkning og kan være skadelige. </w:t>
      </w:r>
    </w:p>
    <w:p w:rsidR="00DC77A7" w:rsidRDefault="00DC77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proofErr w:type="spellStart"/>
      <w:r w:rsidRPr="005F15CA">
        <w:rPr>
          <w:sz w:val="24"/>
          <w:szCs w:val="24"/>
          <w:u w:val="single"/>
        </w:rPr>
        <w:t>Gastrointestinale</w:t>
      </w:r>
      <w:proofErr w:type="spellEnd"/>
      <w:r w:rsidRPr="005F15CA">
        <w:rPr>
          <w:sz w:val="24"/>
          <w:szCs w:val="24"/>
          <w:u w:val="single"/>
        </w:rPr>
        <w:t xml:space="preserve"> sygdomme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Steroider bør anvendes med forsigtighed ved uspecifik ulcerøs </w:t>
      </w:r>
      <w:proofErr w:type="spellStart"/>
      <w:r w:rsidRPr="005F15CA">
        <w:rPr>
          <w:sz w:val="24"/>
          <w:szCs w:val="24"/>
        </w:rPr>
        <w:t>kolitis</w:t>
      </w:r>
      <w:proofErr w:type="spellEnd"/>
      <w:r w:rsidRPr="005F15CA">
        <w:rPr>
          <w:sz w:val="24"/>
          <w:szCs w:val="24"/>
        </w:rPr>
        <w:t xml:space="preserve">, hvis der er mistanke om perforation, absces eller anden </w:t>
      </w:r>
      <w:proofErr w:type="spellStart"/>
      <w:r w:rsidRPr="005F15CA">
        <w:rPr>
          <w:sz w:val="24"/>
          <w:szCs w:val="24"/>
        </w:rPr>
        <w:t>pyogen</w:t>
      </w:r>
      <w:proofErr w:type="spellEnd"/>
      <w:r w:rsidRPr="005F15CA">
        <w:rPr>
          <w:sz w:val="24"/>
          <w:szCs w:val="24"/>
        </w:rPr>
        <w:t xml:space="preserve"> infektion, </w:t>
      </w:r>
      <w:proofErr w:type="spellStart"/>
      <w:r w:rsidRPr="005F15CA">
        <w:rPr>
          <w:sz w:val="24"/>
          <w:szCs w:val="24"/>
        </w:rPr>
        <w:t>divertikulitis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intestinale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anastomoser</w:t>
      </w:r>
      <w:proofErr w:type="spellEnd"/>
      <w:r w:rsidRPr="005F15CA">
        <w:rPr>
          <w:sz w:val="24"/>
          <w:szCs w:val="24"/>
        </w:rPr>
        <w:t xml:space="preserve"> eller aktivt eller latent ulcus </w:t>
      </w:r>
      <w:proofErr w:type="spellStart"/>
      <w:r w:rsidRPr="005F15CA">
        <w:rPr>
          <w:sz w:val="24"/>
          <w:szCs w:val="24"/>
        </w:rPr>
        <w:t>pepticum</w:t>
      </w:r>
      <w:proofErr w:type="spellEnd"/>
      <w:r w:rsidRPr="005F15CA">
        <w:rPr>
          <w:sz w:val="24"/>
          <w:szCs w:val="24"/>
        </w:rPr>
        <w:t xml:space="preserve">. Hos patienter i behandling med store doser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</w:t>
      </w:r>
      <w:proofErr w:type="spellStart"/>
      <w:r w:rsidRPr="005F15CA">
        <w:rPr>
          <w:sz w:val="24"/>
          <w:szCs w:val="24"/>
        </w:rPr>
        <w:t>peritoneal</w:t>
      </w:r>
      <w:proofErr w:type="spellEnd"/>
      <w:r w:rsidRPr="005F15CA">
        <w:rPr>
          <w:sz w:val="24"/>
          <w:szCs w:val="24"/>
        </w:rPr>
        <w:t xml:space="preserve"> irritation eller </w:t>
      </w:r>
      <w:proofErr w:type="spellStart"/>
      <w:r w:rsidRPr="005F15CA">
        <w:rPr>
          <w:sz w:val="24"/>
          <w:szCs w:val="24"/>
        </w:rPr>
        <w:t>gastrointestinal</w:t>
      </w:r>
      <w:proofErr w:type="spellEnd"/>
      <w:r w:rsidRPr="005F15CA">
        <w:rPr>
          <w:sz w:val="24"/>
          <w:szCs w:val="24"/>
        </w:rPr>
        <w:t xml:space="preserve"> perforation forløbe helt eller delvis symptomfrit.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  <w:u w:val="single"/>
        </w:rPr>
        <w:t xml:space="preserve">Øjensygdomme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Langvarig anvendelse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medføre </w:t>
      </w:r>
      <w:proofErr w:type="spellStart"/>
      <w:r w:rsidRPr="005F15CA">
        <w:rPr>
          <w:sz w:val="24"/>
          <w:szCs w:val="24"/>
        </w:rPr>
        <w:t>posterior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subkapsulær</w:t>
      </w:r>
      <w:proofErr w:type="spellEnd"/>
      <w:r w:rsidRPr="005F15CA">
        <w:rPr>
          <w:sz w:val="24"/>
          <w:szCs w:val="24"/>
        </w:rPr>
        <w:t xml:space="preserve"> katarakt, </w:t>
      </w:r>
      <w:proofErr w:type="spellStart"/>
      <w:r w:rsidRPr="005F15CA">
        <w:rPr>
          <w:sz w:val="24"/>
          <w:szCs w:val="24"/>
        </w:rPr>
        <w:t>glaukom</w:t>
      </w:r>
      <w:proofErr w:type="spellEnd"/>
      <w:r w:rsidRPr="005F15CA">
        <w:rPr>
          <w:sz w:val="24"/>
          <w:szCs w:val="24"/>
        </w:rPr>
        <w:t xml:space="preserve"> med eventuel beskadigelse af </w:t>
      </w:r>
      <w:proofErr w:type="spellStart"/>
      <w:r w:rsidRPr="005F15CA">
        <w:rPr>
          <w:sz w:val="24"/>
          <w:szCs w:val="24"/>
        </w:rPr>
        <w:t>nervus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opticus</w:t>
      </w:r>
      <w:proofErr w:type="spellEnd"/>
      <w:r w:rsidRPr="005F15CA">
        <w:rPr>
          <w:sz w:val="24"/>
          <w:szCs w:val="24"/>
        </w:rPr>
        <w:t>, og øget risiko for sekundære svampe- eller virusinfektioner i øjnene.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bør anvendes med forsigtighed ved </w:t>
      </w:r>
      <w:proofErr w:type="spellStart"/>
      <w:r w:rsidRPr="005F15CA">
        <w:rPr>
          <w:sz w:val="24"/>
          <w:szCs w:val="24"/>
        </w:rPr>
        <w:t>okulær</w:t>
      </w:r>
      <w:proofErr w:type="spellEnd"/>
      <w:r w:rsidRPr="005F15CA">
        <w:rPr>
          <w:sz w:val="24"/>
          <w:szCs w:val="24"/>
        </w:rPr>
        <w:t xml:space="preserve"> herpes </w:t>
      </w:r>
      <w:proofErr w:type="spellStart"/>
      <w:r w:rsidRPr="005F15CA">
        <w:rPr>
          <w:sz w:val="24"/>
          <w:szCs w:val="24"/>
        </w:rPr>
        <w:t>simplex</w:t>
      </w:r>
      <w:proofErr w:type="spellEnd"/>
      <w:r w:rsidRPr="005F15CA">
        <w:rPr>
          <w:sz w:val="24"/>
          <w:szCs w:val="24"/>
        </w:rPr>
        <w:t xml:space="preserve"> på grund af muligheden for </w:t>
      </w:r>
      <w:proofErr w:type="spellStart"/>
      <w:r w:rsidRPr="005F15CA">
        <w:rPr>
          <w:sz w:val="24"/>
          <w:szCs w:val="24"/>
        </w:rPr>
        <w:t>korneaperforation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  <w:u w:val="single"/>
        </w:rPr>
        <w:t>Osteoporose</w:t>
      </w:r>
      <w:r w:rsidRPr="005F15CA">
        <w:rPr>
          <w:sz w:val="24"/>
          <w:szCs w:val="24"/>
        </w:rPr>
        <w:t xml:space="preserve">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hvad anvendes med forsigtighed ved osteoporose, da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har negativ virkning på calciumbalancen.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  <w:u w:val="single"/>
        </w:rPr>
        <w:t>Kaliumbalance og kalium-</w:t>
      </w:r>
      <w:proofErr w:type="spellStart"/>
      <w:r w:rsidRPr="005F15CA">
        <w:rPr>
          <w:sz w:val="24"/>
          <w:szCs w:val="24"/>
          <w:u w:val="single"/>
        </w:rPr>
        <w:t>depleterende</w:t>
      </w:r>
      <w:proofErr w:type="spellEnd"/>
      <w:r w:rsidRPr="005F15CA">
        <w:rPr>
          <w:sz w:val="24"/>
          <w:szCs w:val="24"/>
          <w:u w:val="single"/>
        </w:rPr>
        <w:t xml:space="preserve"> </w:t>
      </w:r>
      <w:proofErr w:type="spellStart"/>
      <w:r w:rsidRPr="005F15CA">
        <w:rPr>
          <w:sz w:val="24"/>
          <w:szCs w:val="24"/>
          <w:u w:val="single"/>
        </w:rPr>
        <w:t>diuretika</w:t>
      </w:r>
      <w:proofErr w:type="spellEnd"/>
      <w:r w:rsidRPr="005F15CA">
        <w:rPr>
          <w:sz w:val="24"/>
          <w:szCs w:val="24"/>
          <w:u w:val="single"/>
        </w:rPr>
        <w:t xml:space="preserve">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 eller </w:t>
      </w:r>
      <w:proofErr w:type="spellStart"/>
      <w:r w:rsidRPr="005F15CA">
        <w:rPr>
          <w:sz w:val="24"/>
          <w:szCs w:val="24"/>
        </w:rPr>
        <w:t>cortison</w:t>
      </w:r>
      <w:proofErr w:type="spellEnd"/>
      <w:r w:rsidRPr="005F15CA">
        <w:rPr>
          <w:sz w:val="24"/>
          <w:szCs w:val="24"/>
        </w:rPr>
        <w:t xml:space="preserve"> i sædvanlige eller store doser kan forårsage blodtryks</w:t>
      </w:r>
      <w:r w:rsidRPr="005F15CA">
        <w:rPr>
          <w:sz w:val="24"/>
          <w:szCs w:val="24"/>
        </w:rPr>
        <w:softHyphen/>
        <w:t xml:space="preserve">forhøjelse, salt- og væskeretention og øget kaliumudskillelse. Syntetiske derivater har mindre tilbøjelighed hertil, medmindre de anvendes i store doser. Saltfattig kost og kaliumtilskud kan være nødvendigt. Alle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øger calciumudskillelsen.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Hvor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administreres sammen med kalium-</w:t>
      </w:r>
      <w:proofErr w:type="spellStart"/>
      <w:r w:rsidRPr="005F15CA">
        <w:rPr>
          <w:sz w:val="24"/>
          <w:szCs w:val="24"/>
        </w:rPr>
        <w:t>depleterende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diuretika</w:t>
      </w:r>
      <w:proofErr w:type="spellEnd"/>
      <w:r w:rsidRPr="005F15CA">
        <w:rPr>
          <w:sz w:val="24"/>
          <w:szCs w:val="24"/>
        </w:rPr>
        <w:t xml:space="preserve">, bør patienten observeres nøje for udvikling af </w:t>
      </w:r>
      <w:proofErr w:type="spellStart"/>
      <w:r w:rsidRPr="005F15CA">
        <w:rPr>
          <w:sz w:val="24"/>
          <w:szCs w:val="24"/>
        </w:rPr>
        <w:t>hypokaliæmi</w:t>
      </w:r>
      <w:proofErr w:type="spellEnd"/>
      <w:r w:rsidRPr="005F15CA">
        <w:rPr>
          <w:sz w:val="24"/>
          <w:szCs w:val="24"/>
        </w:rPr>
        <w:t xml:space="preserve">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proofErr w:type="spellStart"/>
      <w:r w:rsidRPr="005F15CA">
        <w:rPr>
          <w:sz w:val="24"/>
          <w:szCs w:val="24"/>
          <w:u w:val="single"/>
        </w:rPr>
        <w:t>Myokardieruptur</w:t>
      </w:r>
      <w:proofErr w:type="spellEnd"/>
      <w:r w:rsidRPr="005F15CA">
        <w:rPr>
          <w:sz w:val="24"/>
          <w:szCs w:val="24"/>
          <w:u w:val="single"/>
        </w:rPr>
        <w:t xml:space="preserve"> efter nyligt myokardieinfarkt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Efter et nyligt myokardieinfarkt er der ifølge litteraturen klar sammenhæng mellem anvendelse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og ruptur af den frie væg af venstre ventrikel. Hos sådanne patienter bør der udvises stor forsigtighed ved </w:t>
      </w:r>
      <w:proofErr w:type="spellStart"/>
      <w:r w:rsidRPr="005F15CA">
        <w:rPr>
          <w:sz w:val="24"/>
          <w:szCs w:val="24"/>
        </w:rPr>
        <w:t>kortikosteroidbehandling</w:t>
      </w:r>
      <w:proofErr w:type="spellEnd"/>
      <w:r w:rsidRPr="005F15CA">
        <w:rPr>
          <w:sz w:val="24"/>
          <w:szCs w:val="24"/>
        </w:rPr>
        <w:t xml:space="preserve">. </w:t>
      </w: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proofErr w:type="spellStart"/>
      <w:r w:rsidRPr="005F15CA">
        <w:rPr>
          <w:sz w:val="24"/>
          <w:szCs w:val="24"/>
          <w:u w:val="single"/>
        </w:rPr>
        <w:t>Salicylater</w:t>
      </w:r>
      <w:proofErr w:type="spellEnd"/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Forsigtighed bør udvises ved samtidig anvendelse af </w:t>
      </w:r>
      <w:proofErr w:type="spellStart"/>
      <w:r w:rsidRPr="005F15CA">
        <w:rPr>
          <w:sz w:val="24"/>
          <w:szCs w:val="24"/>
        </w:rPr>
        <w:t>salicylater</w:t>
      </w:r>
      <w:proofErr w:type="spellEnd"/>
      <w:r w:rsidRPr="005F15CA">
        <w:rPr>
          <w:sz w:val="24"/>
          <w:szCs w:val="24"/>
        </w:rPr>
        <w:t xml:space="preserve">, navnlig hos patienter med </w:t>
      </w:r>
      <w:proofErr w:type="spellStart"/>
      <w:r w:rsidRPr="005F15CA">
        <w:rPr>
          <w:sz w:val="24"/>
          <w:szCs w:val="24"/>
        </w:rPr>
        <w:t>hypoprotrombinæmi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Hvis der gives </w:t>
      </w:r>
      <w:proofErr w:type="spellStart"/>
      <w:r w:rsidRPr="005F15CA">
        <w:rPr>
          <w:sz w:val="24"/>
          <w:szCs w:val="24"/>
        </w:rPr>
        <w:t>salicylater</w:t>
      </w:r>
      <w:proofErr w:type="spellEnd"/>
      <w:r w:rsidRPr="005F15CA">
        <w:rPr>
          <w:sz w:val="24"/>
          <w:szCs w:val="24"/>
        </w:rPr>
        <w:t xml:space="preserve"> sideløbende med langtidsbehandling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, skal reduktion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ske meget forsigtigt på grund af risikoen for </w:t>
      </w:r>
      <w:proofErr w:type="spellStart"/>
      <w:r w:rsidRPr="005F15CA">
        <w:rPr>
          <w:sz w:val="24"/>
          <w:szCs w:val="24"/>
        </w:rPr>
        <w:t>salicylatforgiftning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Patienterne bør advares om, at systemiske steroider kan give potentielt svære psykiatriske bivirkninger (se pkt. 4.8).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Forsigtighed bør udvises ved hjerteinsufficiens, nyreinsufficiens, hypertension og migræne, da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medføre væskeretention.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Efter markedsføringen er der rapporteret om tumorlysesyndrom (TLS) hos patienter med hæmatologiske </w:t>
      </w:r>
      <w:proofErr w:type="spellStart"/>
      <w:r w:rsidRPr="005F15CA">
        <w:rPr>
          <w:sz w:val="24"/>
          <w:szCs w:val="24"/>
        </w:rPr>
        <w:t>maligniteter</w:t>
      </w:r>
      <w:proofErr w:type="spellEnd"/>
      <w:r w:rsidRPr="005F15CA">
        <w:rPr>
          <w:sz w:val="24"/>
          <w:szCs w:val="24"/>
        </w:rPr>
        <w:t xml:space="preserve"> efter brug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alene eller i kombination med andre kemoterapeutiske midler. Patienter med høj risiko for TLS, såsom patienter med høj </w:t>
      </w:r>
      <w:proofErr w:type="spellStart"/>
      <w:r w:rsidRPr="005F15CA">
        <w:rPr>
          <w:sz w:val="24"/>
          <w:szCs w:val="24"/>
        </w:rPr>
        <w:t>proliferationsrate</w:t>
      </w:r>
      <w:proofErr w:type="spellEnd"/>
      <w:r w:rsidRPr="005F15CA">
        <w:rPr>
          <w:sz w:val="24"/>
          <w:szCs w:val="24"/>
        </w:rPr>
        <w:t xml:space="preserve">, høj tumorbyrde og høj følsomhed over for </w:t>
      </w:r>
      <w:proofErr w:type="spellStart"/>
      <w:r w:rsidRPr="005F15CA">
        <w:rPr>
          <w:sz w:val="24"/>
          <w:szCs w:val="24"/>
        </w:rPr>
        <w:t>cytotoksiske</w:t>
      </w:r>
      <w:proofErr w:type="spellEnd"/>
      <w:r w:rsidRPr="005F15CA">
        <w:rPr>
          <w:sz w:val="24"/>
          <w:szCs w:val="24"/>
        </w:rPr>
        <w:t xml:space="preserve"> midler, bør monitoreres tæt, og der bør tages passende forholdsregler.</w:t>
      </w:r>
    </w:p>
    <w:p w:rsidR="00420245" w:rsidRDefault="00420245" w:rsidP="00420245">
      <w:pPr>
        <w:ind w:left="851"/>
        <w:rPr>
          <w:sz w:val="24"/>
          <w:szCs w:val="24"/>
          <w:u w:val="single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lastRenderedPageBreak/>
        <w:t>Pædiatrisk population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Hos børn skal vækst og udvikling overvåges nøje, da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kan medføre tidlig lukning af </w:t>
      </w:r>
      <w:proofErr w:type="spellStart"/>
      <w:r w:rsidRPr="005F15CA">
        <w:rPr>
          <w:sz w:val="24"/>
          <w:szCs w:val="24"/>
        </w:rPr>
        <w:t>epifyserne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Præmature nyfødte: Den foreliggende evidens tyder på langsigtede </w:t>
      </w:r>
      <w:proofErr w:type="spellStart"/>
      <w:r w:rsidRPr="005F15CA">
        <w:rPr>
          <w:sz w:val="24"/>
          <w:szCs w:val="24"/>
        </w:rPr>
        <w:t>neuroudviklings</w:t>
      </w:r>
      <w:r>
        <w:rPr>
          <w:sz w:val="24"/>
          <w:szCs w:val="24"/>
        </w:rPr>
        <w:softHyphen/>
      </w:r>
      <w:r w:rsidRPr="005F15CA">
        <w:rPr>
          <w:sz w:val="24"/>
          <w:szCs w:val="24"/>
        </w:rPr>
        <w:t>mæssige</w:t>
      </w:r>
      <w:proofErr w:type="spellEnd"/>
      <w:r w:rsidRPr="005F15CA">
        <w:rPr>
          <w:sz w:val="24"/>
          <w:szCs w:val="24"/>
        </w:rPr>
        <w:t xml:space="preserve"> bivirkninger efter tidlig behandling (&lt;96 timer) af præmature spædbørn med kronisk lungesygdom ved initialdoser på 0,25 mg/kg to gange dagligt.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A7294C" w:rsidRDefault="00420245" w:rsidP="00420245">
      <w:pPr>
        <w:ind w:left="851"/>
        <w:rPr>
          <w:sz w:val="24"/>
          <w:szCs w:val="24"/>
          <w:u w:val="single"/>
        </w:rPr>
      </w:pPr>
      <w:r w:rsidRPr="00A7294C">
        <w:rPr>
          <w:sz w:val="24"/>
          <w:szCs w:val="24"/>
          <w:u w:val="single"/>
        </w:rPr>
        <w:t>Hjælpestof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Bør ikke anvendes til patienter med hereditær </w:t>
      </w:r>
      <w:proofErr w:type="spellStart"/>
      <w:r w:rsidRPr="005F15CA">
        <w:rPr>
          <w:sz w:val="24"/>
          <w:szCs w:val="24"/>
        </w:rPr>
        <w:t>gallactoseintolerans</w:t>
      </w:r>
      <w:proofErr w:type="spellEnd"/>
      <w:r w:rsidRPr="005F15CA">
        <w:rPr>
          <w:sz w:val="24"/>
          <w:szCs w:val="24"/>
        </w:rPr>
        <w:t xml:space="preserve">, total </w:t>
      </w:r>
      <w:proofErr w:type="spellStart"/>
      <w:r w:rsidRPr="005F15CA">
        <w:rPr>
          <w:sz w:val="24"/>
          <w:szCs w:val="24"/>
        </w:rPr>
        <w:t>lactasemangel</w:t>
      </w:r>
      <w:proofErr w:type="spellEnd"/>
      <w:r w:rsidRPr="005F15CA">
        <w:rPr>
          <w:sz w:val="24"/>
          <w:szCs w:val="24"/>
        </w:rPr>
        <w:t xml:space="preserve"> eller </w:t>
      </w:r>
      <w:proofErr w:type="spellStart"/>
      <w:r w:rsidRPr="005F15CA">
        <w:rPr>
          <w:sz w:val="24"/>
          <w:szCs w:val="24"/>
        </w:rPr>
        <w:t>glucose</w:t>
      </w:r>
      <w:proofErr w:type="spellEnd"/>
      <w:r w:rsidRPr="005F15CA">
        <w:rPr>
          <w:sz w:val="24"/>
          <w:szCs w:val="24"/>
        </w:rPr>
        <w:t>/</w:t>
      </w:r>
      <w:proofErr w:type="spellStart"/>
      <w:r w:rsidRPr="005F15CA">
        <w:rPr>
          <w:sz w:val="24"/>
          <w:szCs w:val="24"/>
        </w:rPr>
        <w:t>galactosemalabsorption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4.5</w:t>
      </w:r>
      <w:r w:rsidRPr="005F15CA">
        <w:rPr>
          <w:b/>
          <w:sz w:val="24"/>
          <w:szCs w:val="24"/>
        </w:rPr>
        <w:tab/>
        <w:t>Interaktion med andre lægemidler og andre former for interaktion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Følgende lægemiddelinteraktioner med </w:t>
      </w:r>
      <w:proofErr w:type="spellStart"/>
      <w:r w:rsidR="00DC77A7">
        <w:rPr>
          <w:sz w:val="24"/>
          <w:szCs w:val="24"/>
        </w:rPr>
        <w:t>Dexametason</w:t>
      </w:r>
      <w:proofErr w:type="spellEnd"/>
      <w:r w:rsidR="00DC77A7">
        <w:rPr>
          <w:sz w:val="24"/>
          <w:szCs w:val="24"/>
        </w:rPr>
        <w:t xml:space="preserve"> </w:t>
      </w:r>
      <w:proofErr w:type="spellStart"/>
      <w:r w:rsidR="00DC77A7">
        <w:rPr>
          <w:sz w:val="24"/>
          <w:szCs w:val="24"/>
        </w:rPr>
        <w:t>Abcur</w:t>
      </w:r>
      <w:proofErr w:type="spellEnd"/>
      <w:r w:rsidRPr="005F15CA">
        <w:rPr>
          <w:sz w:val="24"/>
          <w:szCs w:val="24"/>
        </w:rPr>
        <w:t xml:space="preserve"> kan gøre dosisjustering nødvendig: </w:t>
      </w: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Fenobarbital</w:t>
      </w:r>
      <w:proofErr w:type="spellEnd"/>
      <w:r w:rsidRPr="005F15CA">
        <w:rPr>
          <w:i/>
          <w:sz w:val="24"/>
          <w:szCs w:val="24"/>
        </w:rPr>
        <w:t xml:space="preserve">, </w:t>
      </w:r>
      <w:proofErr w:type="spellStart"/>
      <w:r w:rsidRPr="005F15CA">
        <w:rPr>
          <w:i/>
          <w:sz w:val="24"/>
          <w:szCs w:val="24"/>
        </w:rPr>
        <w:t>fenytoin</w:t>
      </w:r>
      <w:proofErr w:type="spellEnd"/>
      <w:r w:rsidRPr="005F15CA">
        <w:rPr>
          <w:i/>
          <w:sz w:val="24"/>
          <w:szCs w:val="24"/>
        </w:rPr>
        <w:t xml:space="preserve">, </w:t>
      </w:r>
      <w:proofErr w:type="spellStart"/>
      <w:r w:rsidRPr="005F15CA">
        <w:rPr>
          <w:i/>
          <w:sz w:val="24"/>
          <w:szCs w:val="24"/>
        </w:rPr>
        <w:t>carbamazepin</w:t>
      </w:r>
      <w:proofErr w:type="spellEnd"/>
      <w:r w:rsidRPr="005F15CA">
        <w:rPr>
          <w:i/>
          <w:sz w:val="24"/>
          <w:szCs w:val="24"/>
        </w:rPr>
        <w:t>: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Phenobarbital</w:t>
      </w:r>
      <w:proofErr w:type="spellEnd"/>
      <w:r w:rsidRPr="005F15CA">
        <w:rPr>
          <w:sz w:val="24"/>
          <w:szCs w:val="24"/>
        </w:rPr>
        <w:t xml:space="preserve"> (som også er en metabolit af </w:t>
      </w:r>
      <w:proofErr w:type="spellStart"/>
      <w:r w:rsidRPr="005F15CA">
        <w:rPr>
          <w:sz w:val="24"/>
          <w:szCs w:val="24"/>
        </w:rPr>
        <w:t>primidon</w:t>
      </w:r>
      <w:proofErr w:type="spellEnd"/>
      <w:r w:rsidRPr="005F15CA">
        <w:rPr>
          <w:sz w:val="24"/>
          <w:szCs w:val="24"/>
        </w:rPr>
        <w:t xml:space="preserve">), </w:t>
      </w:r>
      <w:proofErr w:type="spellStart"/>
      <w:r w:rsidRPr="005F15CA">
        <w:rPr>
          <w:sz w:val="24"/>
          <w:szCs w:val="24"/>
        </w:rPr>
        <w:t>fenytoin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carbamazepin</w:t>
      </w:r>
      <w:proofErr w:type="spellEnd"/>
      <w:r w:rsidRPr="005F15CA">
        <w:rPr>
          <w:sz w:val="24"/>
          <w:szCs w:val="24"/>
        </w:rPr>
        <w:t xml:space="preserve"> hver for sig og i kombination inducerer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prednisolon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(er påvist hos børn med astma), hvorfor doseringen må øges. Denne interaktion må forventes at gælde hele gruppen af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. </w:t>
      </w:r>
      <w:proofErr w:type="spellStart"/>
      <w:r w:rsidRPr="005F15CA">
        <w:rPr>
          <w:sz w:val="24"/>
          <w:szCs w:val="24"/>
        </w:rPr>
        <w:t>Fenytoin</w:t>
      </w:r>
      <w:proofErr w:type="spellEnd"/>
      <w:r w:rsidRPr="005F15CA">
        <w:rPr>
          <w:sz w:val="24"/>
          <w:szCs w:val="24"/>
        </w:rPr>
        <w:t xml:space="preserve"> inducerer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og gør derfor testen med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upålidelig. Samtidig inducerer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metaboliseringen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fenytoin</w:t>
      </w:r>
      <w:proofErr w:type="spellEnd"/>
      <w:r w:rsidRPr="005F15CA">
        <w:rPr>
          <w:sz w:val="24"/>
          <w:szCs w:val="24"/>
        </w:rPr>
        <w:t xml:space="preserve"> med nedsat plasmakoncentration til følge.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Itraconazol</w:t>
      </w:r>
      <w:proofErr w:type="spellEnd"/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Itraconazol</w:t>
      </w:r>
      <w:proofErr w:type="spellEnd"/>
      <w:r w:rsidRPr="005F15CA">
        <w:rPr>
          <w:sz w:val="24"/>
          <w:szCs w:val="24"/>
        </w:rPr>
        <w:t xml:space="preserve"> nedsætter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af intravenøst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med 68 % ved hæmning af CYP 3A4.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Rifampicin</w:t>
      </w:r>
      <w:proofErr w:type="spellEnd"/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Rifampicin</w:t>
      </w:r>
      <w:proofErr w:type="spellEnd"/>
      <w:r w:rsidRPr="005F15CA">
        <w:rPr>
          <w:sz w:val="24"/>
          <w:szCs w:val="24"/>
        </w:rPr>
        <w:t xml:space="preserve"> inducerer den </w:t>
      </w:r>
      <w:proofErr w:type="spellStart"/>
      <w:r w:rsidRPr="005F15CA">
        <w:rPr>
          <w:sz w:val="24"/>
          <w:szCs w:val="24"/>
        </w:rPr>
        <w:t>mikrosomale</w:t>
      </w:r>
      <w:proofErr w:type="spellEnd"/>
      <w:r w:rsidRPr="005F15CA">
        <w:rPr>
          <w:sz w:val="24"/>
          <w:szCs w:val="24"/>
        </w:rPr>
        <w:t xml:space="preserve"> oxidation af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 (</w:t>
      </w: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prednisolon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). Derfor øges steroidbehovet ved behandling med </w:t>
      </w:r>
      <w:proofErr w:type="spellStart"/>
      <w:r w:rsidRPr="005F15CA">
        <w:rPr>
          <w:sz w:val="24"/>
          <w:szCs w:val="24"/>
        </w:rPr>
        <w:t>rifampicin</w:t>
      </w:r>
      <w:proofErr w:type="spellEnd"/>
      <w:r w:rsidRPr="005F15CA">
        <w:rPr>
          <w:sz w:val="24"/>
          <w:szCs w:val="24"/>
        </w:rPr>
        <w:t xml:space="preserve"> og mindskes efterfølgende ved ophør af sådan behandling.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Primidon</w:t>
      </w:r>
      <w:proofErr w:type="spellEnd"/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Også </w:t>
      </w:r>
      <w:proofErr w:type="spellStart"/>
      <w:r w:rsidRPr="005F15CA">
        <w:rPr>
          <w:sz w:val="24"/>
          <w:szCs w:val="24"/>
        </w:rPr>
        <w:t>primidon</w:t>
      </w:r>
      <w:proofErr w:type="spellEnd"/>
      <w:r w:rsidRPr="005F15CA">
        <w:rPr>
          <w:sz w:val="24"/>
          <w:szCs w:val="24"/>
        </w:rPr>
        <w:t xml:space="preserve"> kan ved interaktion med </w:t>
      </w:r>
      <w:proofErr w:type="spellStart"/>
      <w:r w:rsidR="00DC77A7">
        <w:rPr>
          <w:sz w:val="24"/>
          <w:szCs w:val="24"/>
        </w:rPr>
        <w:t>Dexametason</w:t>
      </w:r>
      <w:proofErr w:type="spellEnd"/>
      <w:r w:rsidR="00DC77A7">
        <w:rPr>
          <w:sz w:val="24"/>
          <w:szCs w:val="24"/>
        </w:rPr>
        <w:t xml:space="preserve"> </w:t>
      </w:r>
      <w:proofErr w:type="spellStart"/>
      <w:r w:rsidR="00DC77A7">
        <w:rPr>
          <w:sz w:val="24"/>
          <w:szCs w:val="24"/>
        </w:rPr>
        <w:t>Abcur</w:t>
      </w:r>
      <w:proofErr w:type="spellEnd"/>
      <w:r w:rsidRPr="005F15CA">
        <w:rPr>
          <w:sz w:val="24"/>
          <w:szCs w:val="24"/>
        </w:rPr>
        <w:t xml:space="preserve"> nedsætte virkningen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  <w:proofErr w:type="spellStart"/>
      <w:r w:rsidRPr="005F15CA">
        <w:rPr>
          <w:i/>
          <w:sz w:val="24"/>
          <w:szCs w:val="24"/>
        </w:rPr>
        <w:t>Salicylat</w:t>
      </w:r>
      <w:proofErr w:type="spellEnd"/>
      <w:r w:rsidRPr="005F15CA">
        <w:rPr>
          <w:i/>
          <w:sz w:val="24"/>
          <w:szCs w:val="24"/>
        </w:rPr>
        <w:t xml:space="preserve">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øger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of </w:t>
      </w:r>
      <w:proofErr w:type="spellStart"/>
      <w:r w:rsidRPr="005F15CA">
        <w:rPr>
          <w:sz w:val="24"/>
          <w:szCs w:val="24"/>
        </w:rPr>
        <w:t>salicylater</w:t>
      </w:r>
      <w:proofErr w:type="spellEnd"/>
      <w:r w:rsidRPr="005F15CA">
        <w:rPr>
          <w:sz w:val="24"/>
          <w:szCs w:val="24"/>
        </w:rPr>
        <w:t xml:space="preserve">, hvilket nedsætter </w:t>
      </w:r>
      <w:proofErr w:type="spellStart"/>
      <w:r w:rsidRPr="005F15CA">
        <w:rPr>
          <w:sz w:val="24"/>
          <w:szCs w:val="24"/>
        </w:rPr>
        <w:t>plasmaclearance</w:t>
      </w:r>
      <w:proofErr w:type="spellEnd"/>
      <w:r w:rsidRPr="005F15CA">
        <w:rPr>
          <w:sz w:val="24"/>
          <w:szCs w:val="24"/>
        </w:rPr>
        <w:t xml:space="preserve">. Under langtidsbehandling med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øger sideløbende </w:t>
      </w:r>
      <w:proofErr w:type="spellStart"/>
      <w:r w:rsidRPr="005F15CA">
        <w:rPr>
          <w:sz w:val="24"/>
          <w:szCs w:val="24"/>
        </w:rPr>
        <w:t>salicylatbehandling</w:t>
      </w:r>
      <w:proofErr w:type="spellEnd"/>
      <w:r w:rsidRPr="005F15CA">
        <w:rPr>
          <w:sz w:val="24"/>
          <w:szCs w:val="24"/>
        </w:rPr>
        <w:t xml:space="preserve"> risikoen for </w:t>
      </w:r>
      <w:proofErr w:type="spellStart"/>
      <w:r w:rsidRPr="005F15CA">
        <w:rPr>
          <w:sz w:val="24"/>
          <w:szCs w:val="24"/>
        </w:rPr>
        <w:t>gastrointestinal</w:t>
      </w:r>
      <w:proofErr w:type="spellEnd"/>
      <w:r w:rsidRPr="005F15CA">
        <w:rPr>
          <w:sz w:val="24"/>
          <w:szCs w:val="24"/>
        </w:rPr>
        <w:t xml:space="preserve"> blødning.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Samtidig behandling med CYP3A-hæmmere, herunder </w:t>
      </w:r>
      <w:proofErr w:type="spellStart"/>
      <w:r w:rsidRPr="005F15CA">
        <w:rPr>
          <w:sz w:val="24"/>
          <w:szCs w:val="24"/>
        </w:rPr>
        <w:t>cobicistatholdige</w:t>
      </w:r>
      <w:proofErr w:type="spellEnd"/>
      <w:r w:rsidRPr="005F15CA">
        <w:rPr>
          <w:sz w:val="24"/>
          <w:szCs w:val="24"/>
        </w:rPr>
        <w:t xml:space="preserve"> produkter, forventes at øge risikoen for systemiske bivirkninger. Denne kombination bør undgås, medmindre fordelene opvejer den øgede risiko for systemiske bivirkninger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, i hvilket tilfælde patienterne bør overvåges for systemiske bivirkninger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>.</w:t>
      </w:r>
    </w:p>
    <w:p w:rsidR="00DC77A7" w:rsidRDefault="00DC77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4.6</w:t>
      </w:r>
      <w:r w:rsidRPr="005F15CA">
        <w:rPr>
          <w:b/>
          <w:sz w:val="24"/>
          <w:szCs w:val="24"/>
        </w:rPr>
        <w:tab/>
        <w:t>Graviditet og amning</w:t>
      </w:r>
    </w:p>
    <w:p w:rsidR="00420245" w:rsidRPr="005F15CA" w:rsidRDefault="00420245" w:rsidP="00420245">
      <w:pPr>
        <w:ind w:left="851" w:hanging="851"/>
        <w:rPr>
          <w:sz w:val="24"/>
          <w:szCs w:val="24"/>
          <w:u w:val="single"/>
        </w:rPr>
      </w:pPr>
      <w:r w:rsidRPr="005F15CA">
        <w:rPr>
          <w:sz w:val="24"/>
          <w:szCs w:val="24"/>
        </w:rPr>
        <w:tab/>
      </w: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Graviditet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Administration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til drægtige dyr kan forårsage abnormiteter i fostrets udvikling, herunder ganespalte, intrauterin vækstretardation og påvirkning af hjernens vækst og udvikling. Der er ingen evidens for, at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resulterer i øget forekomst af </w:t>
      </w:r>
      <w:proofErr w:type="spellStart"/>
      <w:r w:rsidRPr="005F15CA">
        <w:rPr>
          <w:sz w:val="24"/>
          <w:szCs w:val="24"/>
        </w:rPr>
        <w:t>kongenitte</w:t>
      </w:r>
      <w:proofErr w:type="spellEnd"/>
      <w:r w:rsidRPr="005F15CA">
        <w:rPr>
          <w:sz w:val="24"/>
          <w:szCs w:val="24"/>
        </w:rPr>
        <w:t xml:space="preserve"> anomalier såsom gane/læbespalte hos mennesker. Se også pkt. 5.3 i produktresuméet. Efter langtidsbehandling er set nedsat placenta- og fødselsvægt hos mennesker og dyr.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Langtidsbehandling medfører desuden risiko for binyrebarksuppression hos nyfødte. Hos nyfødte kan det være nødvendigt med substitutionsterapi, der nedtrappes gradvis. Under graviditet bør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derfor kun gives efter nøje overvejelse. </w:t>
      </w:r>
    </w:p>
    <w:p w:rsidR="00420245" w:rsidRPr="005F15CA" w:rsidRDefault="00420245" w:rsidP="00420245">
      <w:pPr>
        <w:rPr>
          <w:sz w:val="24"/>
          <w:szCs w:val="24"/>
          <w:u w:val="single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Amning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udskilles i human mælk i så stor en mængde, at påvirkning af ammede nyfødte/spædbørn må forventes.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Fertilitet: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Steroider kan hos nogle patienter øge eller nedsætte </w:t>
      </w:r>
      <w:proofErr w:type="spellStart"/>
      <w:r w:rsidRPr="005F15CA">
        <w:rPr>
          <w:sz w:val="24"/>
          <w:szCs w:val="24"/>
        </w:rPr>
        <w:t>motiliteten</w:t>
      </w:r>
      <w:proofErr w:type="spellEnd"/>
      <w:r w:rsidRPr="005F15CA">
        <w:rPr>
          <w:sz w:val="24"/>
          <w:szCs w:val="24"/>
        </w:rPr>
        <w:t xml:space="preserve"> og antallet af spermatozoerne.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4.7</w:t>
      </w:r>
      <w:r w:rsidRPr="005F15CA">
        <w:rPr>
          <w:b/>
          <w:sz w:val="24"/>
          <w:szCs w:val="24"/>
        </w:rPr>
        <w:tab/>
        <w:t>Virkninger på evnen til at føre motorkøretøj eller betjene maskiner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Ikke mærkning.</w:t>
      </w:r>
    </w:p>
    <w:p w:rsidR="00420245" w:rsidRPr="005F15CA" w:rsidRDefault="00DC77A7" w:rsidP="00420245">
      <w:pPr>
        <w:ind w:left="85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Dexametason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Abcur</w:t>
      </w:r>
      <w:proofErr w:type="spellEnd"/>
      <w:r w:rsidR="00420245" w:rsidRPr="005F15CA">
        <w:rPr>
          <w:sz w:val="24"/>
          <w:szCs w:val="24"/>
        </w:rPr>
        <w:t xml:space="preserve"> påvirker ikke eller kun i ubetydelig grad evnen til at føre motorkøretøj eller betjene maskiner.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4.8</w:t>
      </w:r>
      <w:r w:rsidRPr="005F15CA">
        <w:rPr>
          <w:b/>
          <w:sz w:val="24"/>
          <w:szCs w:val="24"/>
        </w:rPr>
        <w:tab/>
        <w:t>Bivirkninger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foreligger ikke moderne klinisk dokumentation som grundlag for vurdering af bivirkningernes hyppighed. Bortset fra substitutionsterapi er </w:t>
      </w:r>
      <w:proofErr w:type="spellStart"/>
      <w:r w:rsidRPr="005F15CA">
        <w:rPr>
          <w:sz w:val="24"/>
          <w:szCs w:val="24"/>
        </w:rPr>
        <w:t>kortikosteroidbehandling</w:t>
      </w:r>
      <w:proofErr w:type="spellEnd"/>
      <w:r w:rsidRPr="005F15CA">
        <w:rPr>
          <w:sz w:val="24"/>
          <w:szCs w:val="24"/>
        </w:rPr>
        <w:t xml:space="preserve"> altid ensbetydende med en overdosis i forhold til fysiologiske betingelser. Uønskede virkninger af farmakologiske doser af </w:t>
      </w:r>
      <w:proofErr w:type="spellStart"/>
      <w:r w:rsidRPr="005F15CA">
        <w:rPr>
          <w:sz w:val="24"/>
          <w:szCs w:val="24"/>
        </w:rPr>
        <w:t>kortikosteroider</w:t>
      </w:r>
      <w:proofErr w:type="spellEnd"/>
      <w:r w:rsidRPr="005F15CA">
        <w:rPr>
          <w:sz w:val="24"/>
          <w:szCs w:val="24"/>
        </w:rPr>
        <w:t xml:space="preserve"> er en naturlig konsekvens af den udtalte </w:t>
      </w:r>
      <w:proofErr w:type="spellStart"/>
      <w:r w:rsidRPr="005F15CA">
        <w:rPr>
          <w:sz w:val="24"/>
          <w:szCs w:val="24"/>
        </w:rPr>
        <w:t>kortikosteroide</w:t>
      </w:r>
      <w:proofErr w:type="spellEnd"/>
      <w:r w:rsidRPr="005F15CA">
        <w:rPr>
          <w:sz w:val="24"/>
          <w:szCs w:val="24"/>
        </w:rPr>
        <w:t xml:space="preserve"> virkning. Uønskede virkninger afhænger af dosis, dosisinterval, behandlingsvarighed og individuel følsomhed.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Uønskede virkninger er nedenfor angivet efter aftagende alvorlighed inden for hvert af følgende hyppighedsintervaller: Meget almindelige (≥1/10), almindelige (≥1/100, &lt;1/10), ikke almindelige (≥1/1.000, &lt;1/100), sjældne (≥1/10.000, &lt;1/1.000), meget sjældne (&lt;1/10.000), ukendt hyppighed</w:t>
      </w:r>
      <w:r w:rsidRPr="005F15CA">
        <w:rPr>
          <w:i/>
          <w:sz w:val="24"/>
          <w:szCs w:val="24"/>
        </w:rPr>
        <w:t xml:space="preserve"> </w:t>
      </w:r>
      <w:r w:rsidRPr="005F15CA">
        <w:rPr>
          <w:sz w:val="24"/>
          <w:szCs w:val="24"/>
        </w:rPr>
        <w:t xml:space="preserve">(kan ikke vurderes ud fra de foreliggende oplysninger). 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tbl>
      <w:tblPr>
        <w:tblW w:w="451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4814"/>
      </w:tblGrid>
      <w:tr w:rsidR="00420245" w:rsidRPr="005F15CA" w:rsidTr="00DC77A7">
        <w:trPr>
          <w:tblHeader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Systemorganklasse</w:t>
            </w:r>
          </w:p>
          <w:p w:rsidR="00420245" w:rsidRPr="005F15CA" w:rsidRDefault="00420245" w:rsidP="00DC77A7">
            <w:pPr>
              <w:rPr>
                <w:sz w:val="24"/>
                <w:szCs w:val="24"/>
              </w:rPr>
            </w:pP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Infektioner og parasitære sygdomme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Øget modtagelighed for infektioner </w:t>
            </w:r>
          </w:p>
        </w:tc>
      </w:tr>
      <w:tr w:rsidR="00420245" w:rsidRPr="00D264E6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D264E6" w:rsidRDefault="00420245" w:rsidP="00DC77A7">
            <w:pPr>
              <w:rPr>
                <w:b/>
                <w:sz w:val="24"/>
                <w:szCs w:val="24"/>
              </w:rPr>
            </w:pPr>
            <w:r w:rsidRPr="00D264E6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D264E6" w:rsidRDefault="00420245" w:rsidP="00DC77A7">
            <w:pPr>
              <w:rPr>
                <w:b/>
                <w:sz w:val="24"/>
                <w:szCs w:val="24"/>
              </w:rPr>
            </w:pP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i/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Hypersensitivitetsreaktion</w:t>
            </w: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Endokrine sygdomme</w:t>
            </w:r>
            <w:r w:rsidRPr="005F15CA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Binyresuppression, </w:t>
            </w:r>
            <w:proofErr w:type="spellStart"/>
            <w:r w:rsidRPr="005F15CA">
              <w:rPr>
                <w:sz w:val="24"/>
                <w:szCs w:val="24"/>
              </w:rPr>
              <w:t>Cushing</w:t>
            </w:r>
            <w:proofErr w:type="spellEnd"/>
            <w:r w:rsidRPr="005F15CA">
              <w:rPr>
                <w:sz w:val="24"/>
                <w:szCs w:val="24"/>
              </w:rPr>
              <w:t xml:space="preserve">-lignende symptomer retarderet vækst hos børn, diabetes mellitus </w:t>
            </w: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lastRenderedPageBreak/>
              <w:t>Metabolisme og ernæring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B269A6" w:rsidRDefault="00420245" w:rsidP="00DC77A7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Hypokaliæmi</w:t>
            </w:r>
            <w:proofErr w:type="spellEnd"/>
            <w:r w:rsidRPr="005F15CA">
              <w:rPr>
                <w:sz w:val="24"/>
                <w:szCs w:val="24"/>
              </w:rPr>
              <w:t xml:space="preserve">, natriumretention 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B269A6" w:rsidRDefault="00420245" w:rsidP="00DC77A7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Væskeretention, </w:t>
            </w:r>
            <w:proofErr w:type="spellStart"/>
            <w:r w:rsidRPr="005F15CA">
              <w:rPr>
                <w:sz w:val="24"/>
                <w:szCs w:val="24"/>
              </w:rPr>
              <w:t>hypokalæmisk</w:t>
            </w:r>
            <w:proofErr w:type="spellEnd"/>
            <w:r w:rsidRPr="005F15CA">
              <w:rPr>
                <w:sz w:val="24"/>
                <w:szCs w:val="24"/>
              </w:rPr>
              <w:t xml:space="preserve"> </w:t>
            </w:r>
            <w:proofErr w:type="spellStart"/>
            <w:r w:rsidRPr="005F15CA">
              <w:rPr>
                <w:sz w:val="24"/>
                <w:szCs w:val="24"/>
              </w:rPr>
              <w:t>alkalose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Psykiske lidelser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Psykiatriske tilstande, der spænder fra eufori, søvnløshed, humørsvingninger og depression til psykose</w:t>
            </w: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Nervesystemet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Sjælden: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Forhøjet </w:t>
            </w:r>
            <w:proofErr w:type="spellStart"/>
            <w:r w:rsidRPr="005F15CA">
              <w:rPr>
                <w:sz w:val="24"/>
                <w:szCs w:val="24"/>
              </w:rPr>
              <w:t>intrakranielt</w:t>
            </w:r>
            <w:proofErr w:type="spellEnd"/>
            <w:r w:rsidRPr="005F15CA">
              <w:rPr>
                <w:sz w:val="24"/>
                <w:szCs w:val="24"/>
              </w:rPr>
              <w:t xml:space="preserve"> tryk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Svimmelhed, hovedpine </w:t>
            </w:r>
          </w:p>
        </w:tc>
      </w:tr>
      <w:tr w:rsidR="00420245" w:rsidRPr="00D264E6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D264E6" w:rsidRDefault="00420245" w:rsidP="00DC77A7">
            <w:pPr>
              <w:rPr>
                <w:sz w:val="24"/>
                <w:szCs w:val="24"/>
              </w:rPr>
            </w:pPr>
            <w:r w:rsidRPr="00D264E6">
              <w:rPr>
                <w:b/>
                <w:sz w:val="24"/>
                <w:szCs w:val="24"/>
              </w:rPr>
              <w:t>Øjne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tabs>
                <w:tab w:val="left" w:pos="3840"/>
              </w:tabs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Forhøjet </w:t>
            </w:r>
            <w:proofErr w:type="spellStart"/>
            <w:r w:rsidRPr="005F15CA">
              <w:rPr>
                <w:sz w:val="24"/>
                <w:szCs w:val="24"/>
              </w:rPr>
              <w:t>intraokulært</w:t>
            </w:r>
            <w:proofErr w:type="spellEnd"/>
            <w:r w:rsidRPr="005F15CA">
              <w:rPr>
                <w:sz w:val="24"/>
                <w:szCs w:val="24"/>
              </w:rPr>
              <w:t xml:space="preserve"> tryk, </w:t>
            </w:r>
            <w:proofErr w:type="spellStart"/>
            <w:r w:rsidRPr="005F15CA">
              <w:rPr>
                <w:sz w:val="24"/>
                <w:szCs w:val="24"/>
              </w:rPr>
              <w:t>glaukom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posterior</w:t>
            </w:r>
            <w:proofErr w:type="spellEnd"/>
            <w:r w:rsidRPr="005F15CA">
              <w:rPr>
                <w:sz w:val="24"/>
                <w:szCs w:val="24"/>
              </w:rPr>
              <w:t xml:space="preserve"> katarakt, </w:t>
            </w:r>
            <w:proofErr w:type="spellStart"/>
            <w:r w:rsidRPr="005F15CA">
              <w:rPr>
                <w:sz w:val="24"/>
                <w:szCs w:val="24"/>
              </w:rPr>
              <w:t>exophthalmus</w:t>
            </w:r>
            <w:proofErr w:type="spellEnd"/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i/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Chorioretinopati</w:t>
            </w:r>
            <w:proofErr w:type="spellEnd"/>
            <w:r w:rsidRPr="005F15CA">
              <w:rPr>
                <w:sz w:val="24"/>
                <w:szCs w:val="24"/>
              </w:rPr>
              <w:t xml:space="preserve">, sløret syn </w:t>
            </w:r>
          </w:p>
        </w:tc>
      </w:tr>
      <w:tr w:rsidR="00420245" w:rsidRPr="00D264E6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D264E6" w:rsidRDefault="00420245" w:rsidP="00DC77A7">
            <w:pPr>
              <w:rPr>
                <w:sz w:val="24"/>
                <w:szCs w:val="24"/>
              </w:rPr>
            </w:pPr>
            <w:r w:rsidRPr="00D264E6">
              <w:rPr>
                <w:b/>
                <w:sz w:val="24"/>
                <w:szCs w:val="24"/>
              </w:rPr>
              <w:t>Hjerte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Kardial </w:t>
            </w:r>
            <w:proofErr w:type="spellStart"/>
            <w:r w:rsidRPr="005F15CA">
              <w:rPr>
                <w:sz w:val="24"/>
                <w:szCs w:val="24"/>
              </w:rPr>
              <w:t>dekompensation</w:t>
            </w:r>
            <w:proofErr w:type="spellEnd"/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Myokardieruptur</w:t>
            </w:r>
            <w:proofErr w:type="spellEnd"/>
            <w:r w:rsidRPr="005F15CA">
              <w:rPr>
                <w:sz w:val="24"/>
                <w:szCs w:val="24"/>
              </w:rPr>
              <w:t xml:space="preserve"> efter nyligt myokardieinfarkt</w:t>
            </w:r>
          </w:p>
        </w:tc>
      </w:tr>
      <w:tr w:rsidR="00420245" w:rsidRPr="00B269A6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B269A6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B269A6">
              <w:rPr>
                <w:b/>
                <w:sz w:val="24"/>
                <w:szCs w:val="24"/>
              </w:rPr>
              <w:t>Vaskulære</w:t>
            </w:r>
            <w:proofErr w:type="spellEnd"/>
            <w:r w:rsidRPr="00B269A6">
              <w:rPr>
                <w:b/>
                <w:sz w:val="24"/>
                <w:szCs w:val="24"/>
              </w:rPr>
              <w:t xml:space="preserve"> sygdomme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Trombose, hypertension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Emboli</w:t>
            </w:r>
            <w:proofErr w:type="spellEnd"/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Mave-tarm</w:t>
            </w:r>
            <w:r>
              <w:rPr>
                <w:b/>
                <w:sz w:val="24"/>
                <w:szCs w:val="24"/>
              </w:rPr>
              <w:t>-</w:t>
            </w:r>
            <w:r w:rsidRPr="005F15CA">
              <w:rPr>
                <w:b/>
                <w:sz w:val="24"/>
                <w:szCs w:val="24"/>
              </w:rPr>
              <w:t>kanalen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Gastrointestinale</w:t>
            </w:r>
            <w:proofErr w:type="spellEnd"/>
            <w:r w:rsidRPr="005F15CA">
              <w:rPr>
                <w:sz w:val="24"/>
                <w:szCs w:val="24"/>
              </w:rPr>
              <w:t xml:space="preserve"> lidelser såsom kvalme, ulcus </w:t>
            </w:r>
            <w:proofErr w:type="spellStart"/>
            <w:r w:rsidRPr="005F15CA">
              <w:rPr>
                <w:sz w:val="24"/>
                <w:szCs w:val="24"/>
              </w:rPr>
              <w:t>pepticum</w:t>
            </w:r>
            <w:proofErr w:type="spellEnd"/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i/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Hæmoragisk</w:t>
            </w:r>
            <w:proofErr w:type="spellEnd"/>
            <w:r w:rsidRPr="005F15CA">
              <w:rPr>
                <w:sz w:val="24"/>
                <w:szCs w:val="24"/>
              </w:rPr>
              <w:t xml:space="preserve"> tarmperforation, ulcerøs </w:t>
            </w:r>
            <w:proofErr w:type="spellStart"/>
            <w:r w:rsidRPr="005F15CA">
              <w:rPr>
                <w:sz w:val="24"/>
                <w:szCs w:val="24"/>
              </w:rPr>
              <w:t>esofagatis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pankreatitis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abdominal</w:t>
            </w:r>
            <w:proofErr w:type="spellEnd"/>
            <w:r w:rsidRPr="005F15CA">
              <w:rPr>
                <w:sz w:val="24"/>
                <w:szCs w:val="24"/>
              </w:rPr>
              <w:t xml:space="preserve"> </w:t>
            </w:r>
            <w:proofErr w:type="spellStart"/>
            <w:r w:rsidRPr="005F15CA">
              <w:rPr>
                <w:sz w:val="24"/>
                <w:szCs w:val="24"/>
              </w:rPr>
              <w:t>distension</w:t>
            </w:r>
            <w:proofErr w:type="spellEnd"/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Hud og subkutane væv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Acne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hirsutisme</w:t>
            </w:r>
            <w:proofErr w:type="spellEnd"/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D264E6" w:rsidRDefault="00420245" w:rsidP="00DC77A7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Hudatrofi, nedsat </w:t>
            </w:r>
            <w:proofErr w:type="spellStart"/>
            <w:r w:rsidRPr="005F15CA">
              <w:rPr>
                <w:sz w:val="24"/>
                <w:szCs w:val="24"/>
              </w:rPr>
              <w:t>såhelingsevne</w:t>
            </w:r>
            <w:proofErr w:type="spellEnd"/>
            <w:r w:rsidRPr="005F15CA">
              <w:rPr>
                <w:sz w:val="24"/>
                <w:szCs w:val="24"/>
              </w:rPr>
              <w:t xml:space="preserve">, suppression af hudtest, hudreaktioner såsom allergisk </w:t>
            </w:r>
            <w:proofErr w:type="spellStart"/>
            <w:r w:rsidRPr="005F15CA">
              <w:rPr>
                <w:sz w:val="24"/>
                <w:szCs w:val="24"/>
              </w:rPr>
              <w:t>dermatitis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urticaria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angioneurotisk</w:t>
            </w:r>
            <w:proofErr w:type="spellEnd"/>
            <w:r w:rsidRPr="005F15CA">
              <w:rPr>
                <w:sz w:val="24"/>
                <w:szCs w:val="24"/>
              </w:rPr>
              <w:t xml:space="preserve"> ødem 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D264E6" w:rsidRDefault="00420245" w:rsidP="00DC77A7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sz w:val="24"/>
                <w:szCs w:val="24"/>
              </w:rPr>
              <w:t>Petekkier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erytem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ekkymoser</w:t>
            </w:r>
            <w:proofErr w:type="spellEnd"/>
            <w:r w:rsidRPr="005F15CA">
              <w:rPr>
                <w:sz w:val="24"/>
                <w:szCs w:val="24"/>
              </w:rPr>
              <w:t xml:space="preserve">, </w:t>
            </w:r>
            <w:proofErr w:type="spellStart"/>
            <w:r w:rsidRPr="005F15CA">
              <w:rPr>
                <w:sz w:val="24"/>
                <w:szCs w:val="24"/>
              </w:rPr>
              <w:t>hyperhidrose</w:t>
            </w:r>
            <w:proofErr w:type="spellEnd"/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proofErr w:type="spellStart"/>
            <w:r w:rsidRPr="005F15CA">
              <w:rPr>
                <w:b/>
                <w:sz w:val="24"/>
                <w:szCs w:val="24"/>
              </w:rPr>
              <w:t>Muskuloskeletale</w:t>
            </w:r>
            <w:proofErr w:type="spellEnd"/>
            <w:r w:rsidRPr="005F15CA">
              <w:rPr>
                <w:b/>
                <w:sz w:val="24"/>
                <w:szCs w:val="24"/>
              </w:rPr>
              <w:t xml:space="preserve"> system og bindevæv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Muskelatrofi, osteoporose</w:t>
            </w:r>
            <w:r w:rsidRPr="005F15C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D264E6" w:rsidRDefault="00420245" w:rsidP="00DC77A7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Sjælden: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Aseptisk knoglenekrose, </w:t>
            </w:r>
            <w:proofErr w:type="spellStart"/>
            <w:r w:rsidRPr="005F15CA">
              <w:rPr>
                <w:sz w:val="24"/>
                <w:szCs w:val="24"/>
              </w:rPr>
              <w:t>seneruptur</w:t>
            </w:r>
            <w:proofErr w:type="spellEnd"/>
            <w:r w:rsidRPr="005F15CA">
              <w:rPr>
                <w:sz w:val="24"/>
                <w:szCs w:val="24"/>
              </w:rPr>
              <w:t xml:space="preserve"> 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D264E6" w:rsidRDefault="00420245" w:rsidP="00DC77A7">
            <w:pPr>
              <w:rPr>
                <w:i/>
                <w:sz w:val="24"/>
                <w:szCs w:val="24"/>
              </w:rPr>
            </w:pPr>
            <w:r w:rsidRPr="00D264E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Proksimal </w:t>
            </w:r>
            <w:proofErr w:type="spellStart"/>
            <w:r w:rsidRPr="005F15CA">
              <w:rPr>
                <w:sz w:val="24"/>
                <w:szCs w:val="24"/>
              </w:rPr>
              <w:t>myopati</w:t>
            </w:r>
            <w:proofErr w:type="spellEnd"/>
            <w:r w:rsidRPr="005F15CA">
              <w:rPr>
                <w:sz w:val="24"/>
                <w:szCs w:val="24"/>
              </w:rPr>
              <w:t xml:space="preserve">, frakturer af </w:t>
            </w:r>
            <w:proofErr w:type="spellStart"/>
            <w:r w:rsidRPr="005F15CA">
              <w:rPr>
                <w:sz w:val="24"/>
                <w:szCs w:val="24"/>
              </w:rPr>
              <w:t>vertebrae</w:t>
            </w:r>
            <w:proofErr w:type="spellEnd"/>
            <w:r w:rsidRPr="005F15CA">
              <w:rPr>
                <w:sz w:val="24"/>
                <w:szCs w:val="24"/>
              </w:rPr>
              <w:t xml:space="preserve"> og rørknogler, muskelspasme </w:t>
            </w: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Det reproduktive system og mammae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B269A6" w:rsidRDefault="00420245" w:rsidP="00DC77A7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Menstruationsforstyrrelser</w:t>
            </w: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Ødem, øget appetit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 xml:space="preserve">Utilpashed </w:t>
            </w:r>
          </w:p>
        </w:tc>
      </w:tr>
      <w:tr w:rsidR="00420245" w:rsidRPr="005F15CA" w:rsidTr="00DC7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b/>
                <w:sz w:val="24"/>
                <w:szCs w:val="24"/>
              </w:rPr>
              <w:t>Undersøgelser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i/>
                <w:sz w:val="24"/>
                <w:szCs w:val="24"/>
              </w:rPr>
              <w:t>Almindelig</w:t>
            </w:r>
            <w:r w:rsidRPr="005F15CA">
              <w:rPr>
                <w:sz w:val="24"/>
                <w:szCs w:val="24"/>
              </w:rPr>
              <w:t>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Negativ kvælstofbalance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B269A6" w:rsidRDefault="00420245" w:rsidP="00DC77A7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almindelig: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Vægtøgning</w:t>
            </w:r>
          </w:p>
        </w:tc>
      </w:tr>
      <w:tr w:rsidR="00420245" w:rsidRPr="005F15CA" w:rsidTr="00DC77A7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B269A6" w:rsidRDefault="00420245" w:rsidP="00DC77A7">
            <w:pPr>
              <w:rPr>
                <w:i/>
                <w:sz w:val="24"/>
                <w:szCs w:val="24"/>
              </w:rPr>
            </w:pPr>
            <w:r w:rsidRPr="00B269A6"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5" w:rsidRPr="005F15CA" w:rsidRDefault="00420245" w:rsidP="00DC77A7">
            <w:pPr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Nedsat kulhydrattolerance</w:t>
            </w:r>
          </w:p>
        </w:tc>
      </w:tr>
    </w:tbl>
    <w:p w:rsidR="00420245" w:rsidRPr="00CC180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lastRenderedPageBreak/>
        <w:t>Incidensen</w:t>
      </w:r>
      <w:proofErr w:type="spellEnd"/>
      <w:r w:rsidRPr="005F15CA">
        <w:rPr>
          <w:sz w:val="24"/>
          <w:szCs w:val="24"/>
        </w:rPr>
        <w:t xml:space="preserve"> at forudsigelige bivirkninger, herunder </w:t>
      </w:r>
      <w:proofErr w:type="spellStart"/>
      <w:r w:rsidRPr="005F15CA">
        <w:rPr>
          <w:sz w:val="24"/>
          <w:szCs w:val="24"/>
        </w:rPr>
        <w:t>hypotalamisk-hypofysær</w:t>
      </w:r>
      <w:proofErr w:type="spellEnd"/>
      <w:r w:rsidRPr="005F15CA">
        <w:rPr>
          <w:sz w:val="24"/>
          <w:szCs w:val="24"/>
        </w:rPr>
        <w:t xml:space="preserve"> binyresuppression (som forårsager hæmning af ACTH og kortisol) afhænger af behandlingsvarighed, dosering og administrationstidspunkt.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Diabetes mellitus kan forværres og latent diabetes blive manifest.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Infektionsforsvaret kan hæmmes, så modtageligheden for infektioner øges. Infektioner kan blive aktiveret, f.eks. tuberkulose.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  <w:u w:val="single"/>
        </w:rPr>
      </w:pPr>
      <w:r w:rsidRPr="005F15CA">
        <w:rPr>
          <w:sz w:val="24"/>
          <w:szCs w:val="24"/>
          <w:u w:val="single"/>
        </w:rPr>
        <w:t>Indberetning af formodede bivirkninger</w:t>
      </w:r>
    </w:p>
    <w:p w:rsidR="00420245" w:rsidRPr="005F15CA" w:rsidRDefault="00420245" w:rsidP="00420245">
      <w:pPr>
        <w:ind w:left="851"/>
        <w:rPr>
          <w:noProof/>
          <w:sz w:val="24"/>
          <w:szCs w:val="24"/>
        </w:rPr>
      </w:pPr>
      <w:r w:rsidRPr="005F15CA">
        <w:rPr>
          <w:noProof/>
          <w:sz w:val="24"/>
          <w:szCs w:val="24"/>
        </w:rPr>
        <w:t>Når lægemidlet er godkendt, er indberetning af formodede bivirkninger vigtig.</w:t>
      </w:r>
      <w:r w:rsidRPr="005F15CA">
        <w:rPr>
          <w:sz w:val="24"/>
          <w:szCs w:val="24"/>
        </w:rPr>
        <w:t xml:space="preserve"> </w:t>
      </w:r>
      <w:r w:rsidRPr="005F15CA">
        <w:rPr>
          <w:noProof/>
          <w:sz w:val="24"/>
          <w:szCs w:val="24"/>
        </w:rPr>
        <w:t>Det muliggør løbende overvågning af benefit/risk-forholdet for lægemidlet.</w:t>
      </w:r>
      <w:r w:rsidRPr="005F15CA">
        <w:rPr>
          <w:sz w:val="24"/>
          <w:szCs w:val="24"/>
        </w:rPr>
        <w:t xml:space="preserve"> </w:t>
      </w:r>
      <w:r w:rsidRPr="005F15CA">
        <w:rPr>
          <w:noProof/>
          <w:sz w:val="24"/>
          <w:szCs w:val="24"/>
        </w:rPr>
        <w:t>Sundhedspersoner anmodes om at indberette alle formodede bivirkninger via</w:t>
      </w:r>
    </w:p>
    <w:p w:rsidR="00420245" w:rsidRPr="005F15CA" w:rsidRDefault="00420245" w:rsidP="00420245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5F15CA">
        <w:rPr>
          <w:noProof/>
          <w:sz w:val="24"/>
          <w:szCs w:val="24"/>
        </w:rPr>
        <w:br/>
      </w:r>
      <w:r w:rsidRPr="005F15CA">
        <w:rPr>
          <w:sz w:val="24"/>
          <w:szCs w:val="24"/>
        </w:rPr>
        <w:t>Lægemiddelstyrelsen</w:t>
      </w:r>
    </w:p>
    <w:p w:rsidR="00420245" w:rsidRPr="005F15CA" w:rsidRDefault="00420245" w:rsidP="00420245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5F15CA">
        <w:rPr>
          <w:rFonts w:eastAsia="Calibri"/>
          <w:sz w:val="24"/>
          <w:szCs w:val="24"/>
          <w:lang w:eastAsia="zh-CN"/>
        </w:rPr>
        <w:t>Axel Heides Gade 1</w:t>
      </w:r>
    </w:p>
    <w:p w:rsidR="00420245" w:rsidRPr="005F15CA" w:rsidRDefault="00420245" w:rsidP="00420245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5F15CA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5F15CA">
        <w:rPr>
          <w:rFonts w:eastAsia="Calibri"/>
          <w:sz w:val="24"/>
          <w:szCs w:val="24"/>
          <w:lang w:eastAsia="zh-CN"/>
        </w:rPr>
        <w:t>København S</w:t>
      </w:r>
    </w:p>
    <w:p w:rsidR="00420245" w:rsidRPr="005F15CA" w:rsidRDefault="00420245" w:rsidP="00420245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5F15CA">
        <w:rPr>
          <w:rFonts w:eastAsia="Calibri"/>
          <w:sz w:val="24"/>
          <w:szCs w:val="24"/>
          <w:lang w:eastAsia="zh-CN"/>
        </w:rPr>
        <w:t>Websted</w:t>
      </w:r>
      <w:r w:rsidRPr="005F15CA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5F15CA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  <w:r w:rsidRPr="005F15CA">
        <w:rPr>
          <w:sz w:val="24"/>
          <w:szCs w:val="24"/>
        </w:rPr>
        <w:br/>
      </w: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4.9</w:t>
      </w:r>
      <w:r w:rsidRPr="005F15CA">
        <w:rPr>
          <w:b/>
          <w:sz w:val="24"/>
          <w:szCs w:val="24"/>
        </w:rPr>
        <w:tab/>
        <w:t>Overdosering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Toksicitet og symptom: </w:t>
      </w:r>
      <w:r w:rsidRPr="005F15CA">
        <w:rPr>
          <w:sz w:val="24"/>
          <w:szCs w:val="24"/>
        </w:rPr>
        <w:t xml:space="preserve">Akut toksicitet medfører sædvanligvis ikke kliniske problemer, selv ved meget høje doser. En akut overdosis kan muligvis forværre præeksisterende sygdomstilstande såsom ulcus, elektrolytforstyrrelser, infektioner og ødem. De fleste reaktioner er </w:t>
      </w:r>
      <w:proofErr w:type="spellStart"/>
      <w:r w:rsidRPr="005F15CA">
        <w:rPr>
          <w:sz w:val="24"/>
          <w:szCs w:val="24"/>
        </w:rPr>
        <w:t>neuropsykiatriske</w:t>
      </w:r>
      <w:proofErr w:type="spellEnd"/>
      <w:r w:rsidRPr="005F15CA">
        <w:rPr>
          <w:sz w:val="24"/>
          <w:szCs w:val="24"/>
        </w:rPr>
        <w:t xml:space="preserve">, men krampeanfald og anafylaksi er iagttaget. Gentagne store doser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har medført levernekrose og stigninger i amylase. Ved intravenøs administration af store doser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er iagttaget </w:t>
      </w:r>
      <w:proofErr w:type="spellStart"/>
      <w:r w:rsidRPr="005F15CA">
        <w:rPr>
          <w:sz w:val="24"/>
          <w:szCs w:val="24"/>
        </w:rPr>
        <w:t>bradyarytmier</w:t>
      </w:r>
      <w:proofErr w:type="spellEnd"/>
      <w:r w:rsidRPr="005F15CA">
        <w:rPr>
          <w:sz w:val="24"/>
          <w:szCs w:val="24"/>
        </w:rPr>
        <w:t xml:space="preserve">, </w:t>
      </w:r>
      <w:proofErr w:type="spellStart"/>
      <w:r w:rsidRPr="005F15CA">
        <w:rPr>
          <w:sz w:val="24"/>
          <w:szCs w:val="24"/>
        </w:rPr>
        <w:t>ventrikulære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arytmier</w:t>
      </w:r>
      <w:proofErr w:type="spellEnd"/>
      <w:r w:rsidRPr="005F15CA">
        <w:rPr>
          <w:sz w:val="24"/>
          <w:szCs w:val="24"/>
        </w:rPr>
        <w:t xml:space="preserve"> og hjertestop. </w:t>
      </w: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i/>
          <w:sz w:val="24"/>
          <w:szCs w:val="24"/>
        </w:rPr>
        <w:t xml:space="preserve">Behandling: </w:t>
      </w:r>
      <w:r w:rsidRPr="005F15CA">
        <w:rPr>
          <w:sz w:val="24"/>
          <w:szCs w:val="24"/>
        </w:rPr>
        <w:t xml:space="preserve">Er normalt ikke nødvendig. Maveskylning og medicinsk kul kan gives efter behov, desuden symptomatisk behandling. 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4.10</w:t>
      </w:r>
      <w:r w:rsidRPr="005F15CA">
        <w:rPr>
          <w:b/>
          <w:sz w:val="24"/>
          <w:szCs w:val="24"/>
        </w:rPr>
        <w:tab/>
        <w:t>Udlevering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B</w:t>
      </w:r>
    </w:p>
    <w:p w:rsidR="00420245" w:rsidRPr="005F15CA" w:rsidRDefault="00420245" w:rsidP="00420245">
      <w:pPr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</w:t>
      </w:r>
      <w:r w:rsidRPr="005F15CA">
        <w:rPr>
          <w:b/>
          <w:sz w:val="24"/>
          <w:szCs w:val="24"/>
        </w:rPr>
        <w:tab/>
        <w:t>FARMAKOLOGISKE EGENSKABER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5.0</w:t>
      </w:r>
      <w:r w:rsidRPr="005F15CA">
        <w:rPr>
          <w:b/>
          <w:sz w:val="24"/>
          <w:szCs w:val="24"/>
        </w:rPr>
        <w:tab/>
        <w:t>Terapeutisk klassifikation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ATC-kode: H</w:t>
      </w:r>
      <w:r>
        <w:rPr>
          <w:sz w:val="24"/>
          <w:szCs w:val="24"/>
        </w:rPr>
        <w:t xml:space="preserve"> </w:t>
      </w:r>
      <w:r w:rsidRPr="005F15CA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5F15CA">
        <w:rPr>
          <w:sz w:val="24"/>
          <w:szCs w:val="24"/>
        </w:rPr>
        <w:t>AB</w:t>
      </w:r>
      <w:r>
        <w:rPr>
          <w:sz w:val="24"/>
          <w:szCs w:val="24"/>
        </w:rPr>
        <w:t xml:space="preserve"> </w:t>
      </w:r>
      <w:r w:rsidRPr="005F15CA">
        <w:rPr>
          <w:sz w:val="24"/>
          <w:szCs w:val="24"/>
        </w:rPr>
        <w:t xml:space="preserve">02.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5.1</w:t>
      </w:r>
      <w:r w:rsidRPr="005F15CA">
        <w:rPr>
          <w:b/>
          <w:sz w:val="24"/>
          <w:szCs w:val="24"/>
        </w:rPr>
        <w:tab/>
      </w:r>
      <w:proofErr w:type="spellStart"/>
      <w:r w:rsidRPr="005F15CA">
        <w:rPr>
          <w:b/>
          <w:sz w:val="24"/>
          <w:szCs w:val="24"/>
        </w:rPr>
        <w:t>Farmakodynamiske</w:t>
      </w:r>
      <w:proofErr w:type="spellEnd"/>
      <w:r w:rsidRPr="005F15CA">
        <w:rPr>
          <w:b/>
          <w:sz w:val="24"/>
          <w:szCs w:val="24"/>
        </w:rPr>
        <w:t xml:space="preserve"> egenskaber</w:t>
      </w:r>
    </w:p>
    <w:p w:rsidR="00420245" w:rsidRPr="005F15CA" w:rsidRDefault="00DC77A7" w:rsidP="00420245">
      <w:pPr>
        <w:ind w:left="85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Dexametason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Abcur</w:t>
      </w:r>
      <w:proofErr w:type="spellEnd"/>
      <w:r w:rsidR="00420245" w:rsidRPr="005F15CA">
        <w:rPr>
          <w:sz w:val="24"/>
          <w:szCs w:val="24"/>
        </w:rPr>
        <w:t xml:space="preserve"> indeholder </w:t>
      </w:r>
      <w:proofErr w:type="spellStart"/>
      <w:r w:rsidR="00420245" w:rsidRPr="005F15CA">
        <w:rPr>
          <w:sz w:val="24"/>
          <w:szCs w:val="24"/>
        </w:rPr>
        <w:t>dexamethason</w:t>
      </w:r>
      <w:proofErr w:type="spellEnd"/>
      <w:r w:rsidR="00420245" w:rsidRPr="005F15CA">
        <w:rPr>
          <w:sz w:val="24"/>
          <w:szCs w:val="24"/>
        </w:rPr>
        <w:t xml:space="preserve">, der er et syntetisk </w:t>
      </w:r>
      <w:proofErr w:type="spellStart"/>
      <w:r w:rsidR="00420245" w:rsidRPr="005F15CA">
        <w:rPr>
          <w:sz w:val="24"/>
          <w:szCs w:val="24"/>
        </w:rPr>
        <w:t>kortikosteroid</w:t>
      </w:r>
      <w:proofErr w:type="spellEnd"/>
      <w:r w:rsidR="00420245" w:rsidRPr="005F15CA">
        <w:rPr>
          <w:sz w:val="24"/>
          <w:szCs w:val="24"/>
        </w:rPr>
        <w:t xml:space="preserve"> med overvejende </w:t>
      </w:r>
      <w:proofErr w:type="spellStart"/>
      <w:r w:rsidR="00420245" w:rsidRPr="005F15CA">
        <w:rPr>
          <w:sz w:val="24"/>
          <w:szCs w:val="24"/>
        </w:rPr>
        <w:t>glukokortikoid</w:t>
      </w:r>
      <w:proofErr w:type="spellEnd"/>
      <w:r w:rsidR="00420245" w:rsidRPr="005F15CA">
        <w:rPr>
          <w:sz w:val="24"/>
          <w:szCs w:val="24"/>
        </w:rPr>
        <w:t xml:space="preserve"> virkning. Stoffet har antiallergen, antiinflammatorisk og </w:t>
      </w:r>
      <w:proofErr w:type="spellStart"/>
      <w:r w:rsidR="00420245" w:rsidRPr="005F15CA">
        <w:rPr>
          <w:sz w:val="24"/>
          <w:szCs w:val="24"/>
        </w:rPr>
        <w:t>immunosuppressiv</w:t>
      </w:r>
      <w:proofErr w:type="spellEnd"/>
      <w:r w:rsidR="00420245" w:rsidRPr="005F15CA">
        <w:rPr>
          <w:sz w:val="24"/>
          <w:szCs w:val="24"/>
        </w:rPr>
        <w:t xml:space="preserve"> virkning.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Følgende omsætningsforhold kan anvendes ved skift til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fra andre </w:t>
      </w:r>
      <w:proofErr w:type="spellStart"/>
      <w:r w:rsidRPr="005F15CA">
        <w:rPr>
          <w:sz w:val="24"/>
          <w:szCs w:val="24"/>
        </w:rPr>
        <w:t>glukokortikoider</w:t>
      </w:r>
      <w:proofErr w:type="spellEnd"/>
      <w:r w:rsidRPr="005F15CA">
        <w:rPr>
          <w:sz w:val="24"/>
          <w:szCs w:val="24"/>
        </w:rPr>
        <w:t xml:space="preserve">: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Milligram for milligram er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tilnærmelsesvis ækvivalent med </w:t>
      </w:r>
      <w:proofErr w:type="spellStart"/>
      <w:r w:rsidRPr="005F15CA">
        <w:rPr>
          <w:sz w:val="24"/>
          <w:szCs w:val="24"/>
        </w:rPr>
        <w:t>betamethason</w:t>
      </w:r>
      <w:proofErr w:type="spellEnd"/>
      <w:r w:rsidRPr="005F15CA">
        <w:rPr>
          <w:sz w:val="24"/>
          <w:szCs w:val="24"/>
        </w:rPr>
        <w:t xml:space="preserve">, 4-6 gange mere potent end </w:t>
      </w:r>
      <w:proofErr w:type="spellStart"/>
      <w:r w:rsidRPr="005F15CA">
        <w:rPr>
          <w:sz w:val="24"/>
          <w:szCs w:val="24"/>
        </w:rPr>
        <w:t>methylprednisolon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triamcinolon</w:t>
      </w:r>
      <w:proofErr w:type="spellEnd"/>
      <w:r w:rsidRPr="005F15CA">
        <w:rPr>
          <w:sz w:val="24"/>
          <w:szCs w:val="24"/>
        </w:rPr>
        <w:t xml:space="preserve">, 6-8 gange mere potent end </w:t>
      </w:r>
      <w:proofErr w:type="spellStart"/>
      <w:r w:rsidRPr="005F15CA">
        <w:rPr>
          <w:sz w:val="24"/>
          <w:szCs w:val="24"/>
        </w:rPr>
        <w:t>prednison</w:t>
      </w:r>
      <w:proofErr w:type="spellEnd"/>
      <w:r w:rsidRPr="005F15CA">
        <w:rPr>
          <w:sz w:val="24"/>
          <w:szCs w:val="24"/>
        </w:rPr>
        <w:t xml:space="preserve"> og </w:t>
      </w:r>
      <w:proofErr w:type="spellStart"/>
      <w:r w:rsidRPr="005F15CA">
        <w:rPr>
          <w:sz w:val="24"/>
          <w:szCs w:val="24"/>
        </w:rPr>
        <w:t>prednisolon</w:t>
      </w:r>
      <w:proofErr w:type="spellEnd"/>
      <w:r w:rsidRPr="005F15CA">
        <w:rPr>
          <w:sz w:val="24"/>
          <w:szCs w:val="24"/>
        </w:rPr>
        <w:t xml:space="preserve">, 25-30 gange mere potent end </w:t>
      </w:r>
      <w:proofErr w:type="spellStart"/>
      <w:r w:rsidRPr="005F15CA">
        <w:rPr>
          <w:sz w:val="24"/>
          <w:szCs w:val="24"/>
        </w:rPr>
        <w:t>hydrocortison</w:t>
      </w:r>
      <w:proofErr w:type="spellEnd"/>
      <w:r w:rsidRPr="005F15CA">
        <w:rPr>
          <w:sz w:val="24"/>
          <w:szCs w:val="24"/>
        </w:rPr>
        <w:t xml:space="preserve">, og 35 gange mere potent end </w:t>
      </w:r>
      <w:proofErr w:type="spellStart"/>
      <w:r w:rsidRPr="005F15CA">
        <w:rPr>
          <w:sz w:val="24"/>
          <w:szCs w:val="24"/>
        </w:rPr>
        <w:t>cortison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Virkningen på elektrolytbalancen er ubetydelig og medføre næsten ingen natrium- eller væskeretention. Den hæmmende virkning på hypofysen er stor. </w:t>
      </w: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Behandling af COVID-19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RECOVERY-studiet (</w:t>
      </w:r>
      <w:proofErr w:type="spellStart"/>
      <w:r w:rsidRPr="005F15CA">
        <w:rPr>
          <w:sz w:val="24"/>
          <w:szCs w:val="24"/>
        </w:rPr>
        <w:t>Randomized</w:t>
      </w:r>
      <w:proofErr w:type="spellEnd"/>
      <w:r w:rsidRPr="005F15CA">
        <w:rPr>
          <w:sz w:val="24"/>
          <w:szCs w:val="24"/>
        </w:rPr>
        <w:t xml:space="preserve"> Evaluation of COVid-19 </w:t>
      </w:r>
      <w:proofErr w:type="spellStart"/>
      <w:r w:rsidRPr="005F15CA">
        <w:rPr>
          <w:sz w:val="24"/>
          <w:szCs w:val="24"/>
        </w:rPr>
        <w:t>thERapY</w:t>
      </w:r>
      <w:proofErr w:type="spellEnd"/>
      <w:r w:rsidRPr="005F15CA">
        <w:rPr>
          <w:sz w:val="24"/>
          <w:szCs w:val="24"/>
        </w:rPr>
        <w:t>,)</w:t>
      </w:r>
      <w:r w:rsidRPr="005F15CA">
        <w:rPr>
          <w:rStyle w:val="Fodnotehenvisning"/>
          <w:sz w:val="24"/>
          <w:szCs w:val="24"/>
        </w:rPr>
        <w:footnoteReference w:id="1"/>
      </w:r>
      <w:r w:rsidRPr="005F15CA">
        <w:rPr>
          <w:sz w:val="24"/>
          <w:szCs w:val="24"/>
        </w:rPr>
        <w:t xml:space="preserve"> er et </w:t>
      </w:r>
      <w:proofErr w:type="spellStart"/>
      <w:r w:rsidRPr="005F15CA">
        <w:rPr>
          <w:sz w:val="24"/>
          <w:szCs w:val="24"/>
        </w:rPr>
        <w:t>investigatorinitieret</w:t>
      </w:r>
      <w:proofErr w:type="spellEnd"/>
      <w:r w:rsidRPr="005F15CA">
        <w:rPr>
          <w:sz w:val="24"/>
          <w:szCs w:val="24"/>
        </w:rPr>
        <w:t>, individuelt randomiseret, kontrolleret, åbent, adaptivt platformstudie til evaluering af virkningerne af potentielle behandlinger hos patienter, der er indlagt med COVID-19.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Studiet blev udført på 176 hospitaler i Storbritannien.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blev randomiseret 6 425 patienter til at få enten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(2 104 patienter) eller standardbehandling alene (4 321 patienter). 89 % af patienterne havde laboratoriebekræftet SARS-CoV-2-infektion.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 xml:space="preserve"> fik 16 % af patienterne invasiv mekanisk ventilation eller ekstrakorporal </w:t>
      </w:r>
      <w:proofErr w:type="spellStart"/>
      <w:r w:rsidRPr="005F15CA">
        <w:rPr>
          <w:sz w:val="24"/>
          <w:szCs w:val="24"/>
        </w:rPr>
        <w:t>membranoxygenering</w:t>
      </w:r>
      <w:proofErr w:type="spellEnd"/>
      <w:r w:rsidRPr="005F15CA">
        <w:rPr>
          <w:sz w:val="24"/>
          <w:szCs w:val="24"/>
        </w:rPr>
        <w:t>, 60 % fik ilt alene (med eller uden ikke-invasiv ventilation), og 24% fik ingen af delene.</w:t>
      </w: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>Patienternes gennemsnitsalder var 66,1 +/- 15,7 år. 36 % af patienterne var kvinder. Hos 24 % af patienterne indeholdt anamnesen diabetes, hos 27 % hjertesygdomme og hos 21 % kronisk lungesygdom.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b/>
          <w:sz w:val="24"/>
          <w:szCs w:val="24"/>
          <w:u w:val="single"/>
        </w:rPr>
      </w:pPr>
      <w:r w:rsidRPr="005F15CA">
        <w:rPr>
          <w:b/>
          <w:sz w:val="24"/>
          <w:szCs w:val="24"/>
          <w:u w:val="single"/>
        </w:rPr>
        <w:t>Primært endepunkt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Dødeligheden efter 28 dage var signifikant lavere i </w:t>
      </w:r>
      <w:proofErr w:type="spellStart"/>
      <w:r w:rsidRPr="005F15CA">
        <w:rPr>
          <w:sz w:val="24"/>
          <w:szCs w:val="24"/>
        </w:rPr>
        <w:t>dexamethasongruppen</w:t>
      </w:r>
      <w:proofErr w:type="spellEnd"/>
      <w:r w:rsidRPr="005F15CA">
        <w:rPr>
          <w:sz w:val="24"/>
          <w:szCs w:val="24"/>
        </w:rPr>
        <w:t xml:space="preserve"> end i gruppen på standardbehandling, idet der blev indberettet dødsfald for henholdsvis 482 af 2 104 patienter (22,9 %) og hos 1 110 af 4 321 patienter (25,7 %) (rate ratio0,83; 95 % konfidensinterval [CI] 0,75 til 0,93; p &lt;0,001).</w:t>
      </w:r>
    </w:p>
    <w:p w:rsidR="00420245" w:rsidRPr="005F15CA" w:rsidRDefault="00420245" w:rsidP="00420245">
      <w:pPr>
        <w:ind w:left="851"/>
        <w:rPr>
          <w:i/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I </w:t>
      </w:r>
      <w:proofErr w:type="spellStart"/>
      <w:r w:rsidRPr="005F15CA">
        <w:rPr>
          <w:sz w:val="24"/>
          <w:szCs w:val="24"/>
        </w:rPr>
        <w:t>dexamethasongruppen</w:t>
      </w:r>
      <w:proofErr w:type="spellEnd"/>
      <w:r w:rsidRPr="005F15CA">
        <w:rPr>
          <w:sz w:val="24"/>
          <w:szCs w:val="24"/>
        </w:rPr>
        <w:t xml:space="preserve"> var dødeligheden lavere end i gruppen på standardbehandling hos patienter, der fik invasiv mekanisk ventilation (29,3 % vs. 41,4 %; rate ratio 0,64; 95% CI 0,51 til 0,81) og hos dem, der fik supplerende ilt uden invasiv mekanisk ventilation (23,3 % vs. 26,2 %; rate ratio 0,82; 95 % CI 0,72 til 0,94).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var ingen klar effekt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hos patienter, der ikke fik respiratorisk støtte 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 xml:space="preserve"> (17,8 % vs. 14,0 %; rate ratio 1,19; 95 % CI 0,91 til 1,55).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Sekundære endepunkter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Patienter i </w:t>
      </w:r>
      <w:proofErr w:type="spellStart"/>
      <w:r w:rsidRPr="005F15CA">
        <w:rPr>
          <w:sz w:val="24"/>
          <w:szCs w:val="24"/>
        </w:rPr>
        <w:t>dexamethasongruppen</w:t>
      </w:r>
      <w:proofErr w:type="spellEnd"/>
      <w:r w:rsidRPr="005F15CA">
        <w:rPr>
          <w:sz w:val="24"/>
          <w:szCs w:val="24"/>
        </w:rPr>
        <w:t xml:space="preserve"> havde en kortere indlæggelsesvarighed end gruppen på standardbehandling (medianværdi 12 dage vs. 13 dage) og en større sandsynlighed for at blive udskrevet i live inden for 28 dage (rate ratio 1,10; 95 % CI, 1,03 til 1,17).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Ligesom for det primære endepunkt sås den største effekt med hensyn til udskrivning inden for 28 dage hos patienter, der fik invasiv mekanisk ventilation 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 xml:space="preserve"> (rate ratio 1,48; 95 % CI 1,16, 1,90) efterfulgt af ilt alene (rate ratio 1,15; 95 % CI 1,06-1,24), og ingen gavnlig virkning hos patienter, der ikke fik ilt (rate ratio 0,96; 95 % CI 0,85-1,08).</w:t>
      </w:r>
    </w:p>
    <w:p w:rsidR="00420245" w:rsidRDefault="00420245" w:rsidP="004202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b/>
          <w:sz w:val="24"/>
          <w:szCs w:val="24"/>
        </w:rPr>
        <w:t>Tabel 2. Primære og sekundære resultater</w:t>
      </w:r>
      <w:r w:rsidRPr="005F15CA"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284"/>
        <w:gridCol w:w="2465"/>
        <w:gridCol w:w="2138"/>
      </w:tblGrid>
      <w:tr w:rsidR="00420245" w:rsidRPr="00DC77A7" w:rsidTr="00DC77A7">
        <w:trPr>
          <w:tblHeader/>
        </w:trPr>
        <w:tc>
          <w:tcPr>
            <w:tcW w:w="1427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Resultat</w:t>
            </w:r>
          </w:p>
        </w:tc>
        <w:tc>
          <w:tcPr>
            <w:tcW w:w="1190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b/>
                <w:bCs/>
                <w:sz w:val="24"/>
                <w:szCs w:val="24"/>
              </w:rPr>
            </w:pPr>
            <w:proofErr w:type="spellStart"/>
            <w:r w:rsidRPr="005F15CA">
              <w:rPr>
                <w:b/>
                <w:bCs/>
                <w:sz w:val="24"/>
                <w:szCs w:val="24"/>
              </w:rPr>
              <w:t>Dexamethason</w:t>
            </w:r>
            <w:proofErr w:type="spellEnd"/>
            <w:r w:rsidRPr="005F15CA">
              <w:rPr>
                <w:b/>
                <w:bCs/>
                <w:sz w:val="24"/>
                <w:szCs w:val="24"/>
              </w:rPr>
              <w:br/>
              <w:t>(N=2 104)</w:t>
            </w:r>
          </w:p>
        </w:tc>
        <w:tc>
          <w:tcPr>
            <w:tcW w:w="1269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Standardbehandling</w:t>
            </w:r>
            <w:r w:rsidRPr="005F15CA">
              <w:rPr>
                <w:b/>
                <w:bCs/>
                <w:sz w:val="24"/>
                <w:szCs w:val="24"/>
              </w:rPr>
              <w:br/>
              <w:t>(N=4 321)</w:t>
            </w:r>
          </w:p>
        </w:tc>
        <w:tc>
          <w:tcPr>
            <w:tcW w:w="1114" w:type="pct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b/>
                <w:bCs/>
                <w:sz w:val="24"/>
                <w:szCs w:val="24"/>
                <w:lang w:val="en-US"/>
              </w:rPr>
            </w:pPr>
            <w:r w:rsidRPr="005F15CA">
              <w:rPr>
                <w:b/>
                <w:bCs/>
                <w:sz w:val="24"/>
                <w:szCs w:val="24"/>
                <w:lang w:val="en-US"/>
              </w:rPr>
              <w:t xml:space="preserve">Rate </w:t>
            </w:r>
            <w:proofErr w:type="spellStart"/>
            <w:r w:rsidRPr="005F15CA">
              <w:rPr>
                <w:b/>
                <w:bCs/>
                <w:sz w:val="24"/>
                <w:szCs w:val="24"/>
                <w:lang w:val="en-US"/>
              </w:rPr>
              <w:t>eller</w:t>
            </w:r>
            <w:proofErr w:type="spellEnd"/>
            <w:r w:rsidRPr="005F15CA">
              <w:rPr>
                <w:b/>
                <w:bCs/>
                <w:sz w:val="24"/>
                <w:szCs w:val="24"/>
                <w:lang w:val="en-US"/>
              </w:rPr>
              <w:t xml:space="preserve"> risk ratio</w:t>
            </w:r>
            <w:r w:rsidRPr="005F15CA">
              <w:rPr>
                <w:b/>
                <w:bCs/>
                <w:sz w:val="24"/>
                <w:szCs w:val="24"/>
                <w:lang w:val="en-US"/>
              </w:rPr>
              <w:br/>
              <w:t>(95 % CI)</w:t>
            </w:r>
            <w:hyperlink r:id="rId9" w:anchor="t2fn1" w:history="1">
              <w:r w:rsidRPr="005F15CA">
                <w:rPr>
                  <w:sz w:val="24"/>
                  <w:szCs w:val="24"/>
                  <w:lang w:val="en-US"/>
                </w:rPr>
                <w:t>*</w:t>
              </w:r>
            </w:hyperlink>
          </w:p>
        </w:tc>
      </w:tr>
      <w:tr w:rsidR="00420245" w:rsidRPr="005F15CA" w:rsidTr="00DC77A7">
        <w:trPr>
          <w:tblHeader/>
        </w:trPr>
        <w:tc>
          <w:tcPr>
            <w:tcW w:w="5000" w:type="pct"/>
            <w:gridSpan w:val="4"/>
            <w:shd w:val="clear" w:color="auto" w:fill="FFFFFF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jc w:val="center"/>
              <w:rPr>
                <w:i/>
                <w:iCs/>
                <w:sz w:val="24"/>
                <w:szCs w:val="24"/>
              </w:rPr>
            </w:pPr>
            <w:r w:rsidRPr="005F15CA">
              <w:rPr>
                <w:i/>
                <w:iCs/>
                <w:sz w:val="24"/>
                <w:szCs w:val="24"/>
              </w:rPr>
              <w:t>antal/samlet antal patienter (%)</w:t>
            </w:r>
          </w:p>
        </w:tc>
      </w:tr>
      <w:tr w:rsidR="00420245" w:rsidRPr="005F15CA" w:rsidTr="00DC77A7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tabs>
                <w:tab w:val="left" w:pos="-450"/>
              </w:tabs>
              <w:ind w:left="-450"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Primært resultat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</w:p>
        </w:tc>
      </w:tr>
      <w:tr w:rsidR="00420245" w:rsidRPr="005F15CA" w:rsidTr="00DC77A7">
        <w:tc>
          <w:tcPr>
            <w:tcW w:w="1427" w:type="pct"/>
            <w:shd w:val="clear" w:color="auto" w:fill="auto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Dødelighed ved 28 dage</w:t>
            </w:r>
          </w:p>
        </w:tc>
        <w:tc>
          <w:tcPr>
            <w:tcW w:w="1190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482/2 104 (22,9)</w:t>
            </w:r>
          </w:p>
        </w:tc>
        <w:tc>
          <w:tcPr>
            <w:tcW w:w="1269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1 110/4321 (25,7)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0.83 (0.75-0.93)</w:t>
            </w:r>
          </w:p>
        </w:tc>
      </w:tr>
      <w:tr w:rsidR="00420245" w:rsidRPr="005F15CA" w:rsidTr="00DC77A7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tabs>
                <w:tab w:val="left" w:pos="-450"/>
              </w:tabs>
              <w:ind w:left="-450" w:right="57"/>
              <w:rPr>
                <w:b/>
                <w:bCs/>
                <w:sz w:val="24"/>
                <w:szCs w:val="24"/>
              </w:rPr>
            </w:pPr>
            <w:r w:rsidRPr="005F15CA">
              <w:rPr>
                <w:b/>
                <w:bCs/>
                <w:sz w:val="24"/>
                <w:szCs w:val="24"/>
              </w:rPr>
              <w:t>Sekundære resultater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1114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</w:p>
        </w:tc>
      </w:tr>
      <w:tr w:rsidR="00420245" w:rsidRPr="005F15CA" w:rsidTr="00DC77A7">
        <w:tc>
          <w:tcPr>
            <w:tcW w:w="1427" w:type="pct"/>
            <w:shd w:val="clear" w:color="auto" w:fill="auto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Udskrevet inden for 28 dage</w:t>
            </w:r>
          </w:p>
        </w:tc>
        <w:tc>
          <w:tcPr>
            <w:tcW w:w="1190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1 413/2 104 (67,2)</w:t>
            </w:r>
          </w:p>
        </w:tc>
        <w:tc>
          <w:tcPr>
            <w:tcW w:w="1269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2 745/4 321 (63,5)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1.10 (1.03-1,17)</w:t>
            </w:r>
          </w:p>
        </w:tc>
      </w:tr>
      <w:tr w:rsidR="00420245" w:rsidRPr="005F15CA" w:rsidTr="00DC77A7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Invasiv mekanisk ventilation eller død†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456/1 780 (25,6)</w:t>
            </w: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994/3 638 (27,3)</w:t>
            </w:r>
          </w:p>
        </w:tc>
        <w:tc>
          <w:tcPr>
            <w:tcW w:w="1114" w:type="pct"/>
            <w:shd w:val="clear" w:color="auto" w:fill="F6F6F6"/>
            <w:tcMar>
              <w:top w:w="90" w:type="dxa"/>
              <w:left w:w="150" w:type="dxa"/>
              <w:bottom w:w="60" w:type="dxa"/>
              <w:right w:w="150" w:type="dxa"/>
            </w:tcMar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0,92 (0,84-1,01)</w:t>
            </w:r>
          </w:p>
        </w:tc>
      </w:tr>
      <w:tr w:rsidR="00420245" w:rsidRPr="005F15CA" w:rsidTr="00DC77A7">
        <w:tc>
          <w:tcPr>
            <w:tcW w:w="1427" w:type="pct"/>
            <w:shd w:val="clear" w:color="auto" w:fill="auto"/>
            <w:tcMar>
              <w:top w:w="90" w:type="dxa"/>
              <w:left w:w="60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tabs>
                <w:tab w:val="left" w:pos="-450"/>
              </w:tabs>
              <w:ind w:left="-450" w:right="57"/>
              <w:rPr>
                <w:bCs/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Invasiv mekanisk ventilation</w:t>
            </w:r>
          </w:p>
        </w:tc>
        <w:tc>
          <w:tcPr>
            <w:tcW w:w="1190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102/1 780 (5,7)</w:t>
            </w:r>
          </w:p>
        </w:tc>
        <w:tc>
          <w:tcPr>
            <w:tcW w:w="1269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285/3 638 (7,8)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0,77 (0,62-0,95)</w:t>
            </w:r>
          </w:p>
        </w:tc>
      </w:tr>
      <w:tr w:rsidR="00420245" w:rsidRPr="005F15CA" w:rsidTr="00DC77A7">
        <w:tc>
          <w:tcPr>
            <w:tcW w:w="1427" w:type="pct"/>
            <w:shd w:val="clear" w:color="auto" w:fill="F6F6F6"/>
            <w:tcMar>
              <w:top w:w="90" w:type="dxa"/>
              <w:left w:w="600" w:type="dxa"/>
              <w:bottom w:w="45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tabs>
                <w:tab w:val="left" w:pos="-450"/>
              </w:tabs>
              <w:ind w:left="-450" w:right="57"/>
              <w:rPr>
                <w:sz w:val="24"/>
                <w:szCs w:val="24"/>
              </w:rPr>
            </w:pPr>
            <w:r w:rsidRPr="005F15CA">
              <w:rPr>
                <w:bCs/>
                <w:sz w:val="24"/>
                <w:szCs w:val="24"/>
              </w:rPr>
              <w:t>Død</w:t>
            </w:r>
          </w:p>
        </w:tc>
        <w:tc>
          <w:tcPr>
            <w:tcW w:w="1190" w:type="pct"/>
            <w:shd w:val="clear" w:color="auto" w:fill="F6F6F6"/>
            <w:tcMar>
              <w:top w:w="90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387/1 780 (21,7)</w:t>
            </w:r>
          </w:p>
        </w:tc>
        <w:tc>
          <w:tcPr>
            <w:tcW w:w="1269" w:type="pct"/>
            <w:shd w:val="clear" w:color="auto" w:fill="F6F6F6"/>
            <w:tcMar>
              <w:top w:w="90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827/3 638 (22,7)</w:t>
            </w:r>
          </w:p>
        </w:tc>
        <w:tc>
          <w:tcPr>
            <w:tcW w:w="1114" w:type="pct"/>
            <w:shd w:val="clear" w:color="auto" w:fill="auto"/>
            <w:tcMar>
              <w:top w:w="90" w:type="dxa"/>
              <w:left w:w="150" w:type="dxa"/>
              <w:bottom w:w="45" w:type="dxa"/>
              <w:right w:w="150" w:type="dxa"/>
            </w:tcMar>
            <w:vAlign w:val="bottom"/>
            <w:hideMark/>
          </w:tcPr>
          <w:p w:rsidR="00420245" w:rsidRPr="005F15CA" w:rsidRDefault="00420245" w:rsidP="00DC77A7">
            <w:pPr>
              <w:ind w:right="57"/>
              <w:rPr>
                <w:sz w:val="24"/>
                <w:szCs w:val="24"/>
              </w:rPr>
            </w:pPr>
            <w:r w:rsidRPr="005F15CA">
              <w:rPr>
                <w:sz w:val="24"/>
                <w:szCs w:val="24"/>
              </w:rPr>
              <w:t>0,93 (0,84-1,03)</w:t>
            </w:r>
          </w:p>
        </w:tc>
      </w:tr>
    </w:tbl>
    <w:p w:rsidR="00420245" w:rsidRPr="005F15CA" w:rsidRDefault="00420245" w:rsidP="00420245">
      <w:pPr>
        <w:ind w:left="284" w:hanging="284"/>
        <w:rPr>
          <w:sz w:val="24"/>
          <w:szCs w:val="24"/>
        </w:rPr>
      </w:pPr>
      <w:r w:rsidRPr="005F15CA">
        <w:rPr>
          <w:sz w:val="24"/>
          <w:szCs w:val="24"/>
        </w:rPr>
        <w:t xml:space="preserve">* </w:t>
      </w:r>
      <w:r>
        <w:rPr>
          <w:sz w:val="24"/>
          <w:szCs w:val="24"/>
        </w:rPr>
        <w:tab/>
      </w:r>
      <w:r w:rsidRPr="005F15CA">
        <w:rPr>
          <w:sz w:val="24"/>
          <w:szCs w:val="24"/>
        </w:rPr>
        <w:t>Rate ratio er justeret for alder med hensyn til resultaterne af 28-dages dødelighed og udskrivning. Rate ratio er justeret for alder med hensyn til resultatet af invasiv mekanisk ventilation eller død og underkomponenterne heraf.</w:t>
      </w:r>
    </w:p>
    <w:p w:rsidR="00420245" w:rsidRPr="005F15CA" w:rsidRDefault="00420245" w:rsidP="00420245">
      <w:pPr>
        <w:ind w:left="284" w:hanging="284"/>
        <w:rPr>
          <w:sz w:val="24"/>
          <w:szCs w:val="24"/>
        </w:rPr>
      </w:pPr>
      <w:r w:rsidRPr="005F15CA">
        <w:rPr>
          <w:sz w:val="24"/>
          <w:szCs w:val="24"/>
        </w:rPr>
        <w:t xml:space="preserve">† </w:t>
      </w:r>
      <w:r>
        <w:rPr>
          <w:sz w:val="24"/>
          <w:szCs w:val="24"/>
        </w:rPr>
        <w:tab/>
      </w:r>
      <w:r w:rsidRPr="005F15CA">
        <w:rPr>
          <w:sz w:val="24"/>
          <w:szCs w:val="24"/>
        </w:rPr>
        <w:t xml:space="preserve">Udelukket fra denne kategori er patienter, der fik invasiv mekanisk ventilation ved </w:t>
      </w:r>
      <w:proofErr w:type="spellStart"/>
      <w:r w:rsidRPr="005F15CA">
        <w:rPr>
          <w:sz w:val="24"/>
          <w:szCs w:val="24"/>
        </w:rPr>
        <w:t>randomisering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Sikkerhed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Der var fire alvorlige bivirkningstilfælde relateret til forsøgsbehandlingen, to alvorlige tilfælde af </w:t>
      </w:r>
      <w:proofErr w:type="spellStart"/>
      <w:r w:rsidRPr="005F15CA">
        <w:rPr>
          <w:sz w:val="24"/>
          <w:szCs w:val="24"/>
        </w:rPr>
        <w:t>hyperglykæmi</w:t>
      </w:r>
      <w:proofErr w:type="spellEnd"/>
      <w:r w:rsidRPr="005F15CA">
        <w:rPr>
          <w:sz w:val="24"/>
          <w:szCs w:val="24"/>
        </w:rPr>
        <w:t xml:space="preserve">, ét alvorligt tilfælde af steroidinduceret psykose, og ét alvorligt tilfælde af øvre </w:t>
      </w:r>
      <w:proofErr w:type="spellStart"/>
      <w:r w:rsidRPr="005F15CA">
        <w:rPr>
          <w:sz w:val="24"/>
          <w:szCs w:val="24"/>
        </w:rPr>
        <w:t>gastrointestinal</w:t>
      </w:r>
      <w:proofErr w:type="spellEnd"/>
      <w:r w:rsidRPr="005F15CA">
        <w:rPr>
          <w:sz w:val="24"/>
          <w:szCs w:val="24"/>
        </w:rPr>
        <w:t xml:space="preserve"> blødning. Alle bivirkningerne er svundet.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E534C9" w:rsidRDefault="00420245" w:rsidP="00420245">
      <w:pPr>
        <w:keepNext/>
        <w:ind w:left="851"/>
        <w:rPr>
          <w:b/>
          <w:bCs/>
          <w:sz w:val="24"/>
          <w:szCs w:val="24"/>
        </w:rPr>
      </w:pPr>
      <w:r w:rsidRPr="005F15CA">
        <w:rPr>
          <w:b/>
          <w:bCs/>
          <w:sz w:val="24"/>
          <w:szCs w:val="24"/>
        </w:rPr>
        <w:lastRenderedPageBreak/>
        <w:t>Undergruppeanalyser</w:t>
      </w:r>
      <w:r w:rsidRPr="005F15CA">
        <w:rPr>
          <w:b/>
          <w:bCs/>
          <w:sz w:val="24"/>
          <w:szCs w:val="24"/>
        </w:rPr>
        <w:br/>
      </w:r>
    </w:p>
    <w:p w:rsidR="00420245" w:rsidRPr="00E534C9" w:rsidRDefault="00420245" w:rsidP="00420245">
      <w:pPr>
        <w:keepNext/>
        <w:tabs>
          <w:tab w:val="left" w:pos="851"/>
          <w:tab w:val="left" w:pos="1350"/>
        </w:tabs>
        <w:ind w:left="851"/>
        <w:rPr>
          <w:b/>
          <w:bCs/>
          <w:i/>
          <w:iCs/>
          <w:sz w:val="24"/>
          <w:szCs w:val="24"/>
        </w:rPr>
      </w:pPr>
      <w:r w:rsidRPr="00E534C9">
        <w:rPr>
          <w:b/>
          <w:i/>
          <w:sz w:val="24"/>
          <w:szCs w:val="24"/>
        </w:rPr>
        <w:t xml:space="preserve">Effekter af tildeling af DEXAMETHASON på 28-dages dødeligheden efter alder og respirationsstøtte givet ved </w:t>
      </w:r>
      <w:proofErr w:type="spellStart"/>
      <w:r w:rsidRPr="00E534C9">
        <w:rPr>
          <w:b/>
          <w:i/>
          <w:sz w:val="24"/>
          <w:szCs w:val="24"/>
        </w:rPr>
        <w:t>randomisering</w:t>
      </w:r>
      <w:proofErr w:type="spellEnd"/>
      <w:r w:rsidRPr="00E534C9">
        <w:rPr>
          <w:rStyle w:val="Fodnotehenvisning"/>
          <w:b/>
          <w:i/>
          <w:sz w:val="24"/>
          <w:szCs w:val="24"/>
        </w:rPr>
        <w:footnoteReference w:id="2"/>
      </w:r>
    </w:p>
    <w:p w:rsidR="00420245" w:rsidRDefault="00420245" w:rsidP="00420245">
      <w:pPr>
        <w:keepNext/>
        <w:tabs>
          <w:tab w:val="left" w:pos="851"/>
          <w:tab w:val="left" w:pos="1350"/>
        </w:tabs>
        <w:ind w:left="851"/>
        <w:rPr>
          <w:b/>
          <w:bCs/>
          <w:i/>
          <w:iCs/>
          <w:sz w:val="24"/>
          <w:szCs w:val="24"/>
        </w:rPr>
      </w:pPr>
    </w:p>
    <w:tbl>
      <w:tblPr>
        <w:tblStyle w:val="Tabel-Gitter"/>
        <w:tblW w:w="5020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1496"/>
        <w:gridCol w:w="1806"/>
        <w:gridCol w:w="1862"/>
        <w:gridCol w:w="1663"/>
        <w:gridCol w:w="1237"/>
        <w:gridCol w:w="1603"/>
      </w:tblGrid>
      <w:tr w:rsidR="00420245" w:rsidRPr="002A1761" w:rsidTr="00DC77A7">
        <w:trPr>
          <w:cantSplit/>
        </w:trPr>
        <w:tc>
          <w:tcPr>
            <w:tcW w:w="774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934" w:type="pct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proofErr w:type="spellStart"/>
            <w:r w:rsidRPr="002A1761">
              <w:rPr>
                <w:b/>
                <w:sz w:val="20"/>
              </w:rPr>
              <w:t>Dexamethason</w:t>
            </w:r>
            <w:proofErr w:type="spellEnd"/>
          </w:p>
        </w:tc>
        <w:tc>
          <w:tcPr>
            <w:tcW w:w="963" w:type="pct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Almindelig pleje</w:t>
            </w:r>
          </w:p>
        </w:tc>
        <w:tc>
          <w:tcPr>
            <w:tcW w:w="1500" w:type="pct"/>
            <w:gridSpan w:val="2"/>
            <w:vMerge w:val="restart"/>
          </w:tcPr>
          <w:p w:rsidR="00420245" w:rsidRPr="002A1761" w:rsidRDefault="00420245" w:rsidP="00DC77A7">
            <w:pPr>
              <w:keepNext/>
              <w:rPr>
                <w:noProof/>
                <w:sz w:val="12"/>
                <w:szCs w:val="12"/>
                <w:lang w:eastAsia="sl-SI"/>
              </w:rPr>
            </w:pPr>
          </w:p>
          <w:p w:rsidR="00420245" w:rsidRPr="002A1761" w:rsidRDefault="00420245" w:rsidP="00DC77A7">
            <w:pPr>
              <w:keepNext/>
              <w:rPr>
                <w:noProof/>
                <w:sz w:val="12"/>
                <w:szCs w:val="12"/>
                <w:lang w:eastAsia="sl-SI"/>
              </w:rPr>
            </w:pPr>
          </w:p>
          <w:p w:rsidR="00420245" w:rsidRPr="002A1761" w:rsidRDefault="00420245" w:rsidP="00DC77A7">
            <w:pPr>
              <w:keepNext/>
              <w:rPr>
                <w:sz w:val="12"/>
                <w:szCs w:val="12"/>
              </w:rPr>
            </w:pPr>
            <w:r w:rsidRPr="002A1761">
              <w:object w:dxaOrig="3555" w:dyaOrig="60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1pt;height:230.4pt" o:ole="">
                  <v:imagedata r:id="rId10" o:title=""/>
                </v:shape>
                <o:OLEObject Type="Embed" ProgID="PBrush" ShapeID="_x0000_i1025" DrawAspect="Content" ObjectID="_1706081533" r:id="rId11"/>
              </w:object>
            </w:r>
          </w:p>
          <w:p w:rsidR="00420245" w:rsidRPr="002A1761" w:rsidRDefault="00420245" w:rsidP="00DC77A7">
            <w:pPr>
              <w:keepNext/>
              <w:rPr>
                <w:sz w:val="12"/>
                <w:szCs w:val="12"/>
              </w:rPr>
            </w:pPr>
          </w:p>
          <w:p w:rsidR="00420245" w:rsidRPr="002A1761" w:rsidRDefault="00420245" w:rsidP="00DC77A7">
            <w:pPr>
              <w:keepNext/>
              <w:rPr>
                <w:sz w:val="12"/>
                <w:szCs w:val="12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b/>
                <w:sz w:val="18"/>
                <w:szCs w:val="18"/>
              </w:rPr>
            </w:pPr>
            <w:r w:rsidRPr="002A1761">
              <w:rPr>
                <w:b/>
                <w:sz w:val="18"/>
                <w:szCs w:val="18"/>
              </w:rPr>
              <w:t>RR (95 % Cl)</w:t>
            </w:r>
          </w:p>
        </w:tc>
      </w:tr>
      <w:tr w:rsidR="00420245" w:rsidRPr="002A1761" w:rsidTr="00DC77A7">
        <w:trPr>
          <w:cantSplit/>
        </w:trPr>
        <w:tc>
          <w:tcPr>
            <w:tcW w:w="2670" w:type="pct"/>
            <w:gridSpan w:val="3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Ingen ilt (x</w:t>
            </w:r>
            <w:r w:rsidRPr="002A1761">
              <w:rPr>
                <w:b/>
                <w:sz w:val="20"/>
                <w:vertAlign w:val="subscript"/>
              </w:rPr>
              <w:t>1</w:t>
            </w:r>
            <w:r w:rsidRPr="002A1761">
              <w:rPr>
                <w:b/>
                <w:sz w:val="20"/>
                <w:vertAlign w:val="superscript"/>
              </w:rPr>
              <w:t>2</w:t>
            </w:r>
            <w:r w:rsidRPr="002A1761">
              <w:rPr>
                <w:b/>
                <w:sz w:val="20"/>
              </w:rPr>
              <w:t>= 0,70; p=0,40)</w:t>
            </w:r>
          </w:p>
        </w:tc>
        <w:tc>
          <w:tcPr>
            <w:tcW w:w="1500" w:type="pct"/>
            <w:gridSpan w:val="2"/>
            <w:vMerge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</w:tr>
      <w:tr w:rsidR="00420245" w:rsidRPr="002A1761" w:rsidTr="00DC77A7">
        <w:trPr>
          <w:cantSplit/>
          <w:trHeight w:val="925"/>
        </w:trPr>
        <w:tc>
          <w:tcPr>
            <w:tcW w:w="774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&lt;70 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≥70 &lt;80 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≥80 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 xml:space="preserve">Subtotal </w:t>
            </w:r>
          </w:p>
        </w:tc>
        <w:tc>
          <w:tcPr>
            <w:tcW w:w="934" w:type="pct"/>
          </w:tcPr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10/197 (5,1 %)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25/114 (21,9 %)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54/190 (28,4 %)</w:t>
            </w:r>
          </w:p>
          <w:p w:rsidR="00420245" w:rsidRPr="002A1761" w:rsidRDefault="00420245" w:rsidP="00DC77A7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89/501 (17,8 %)</w:t>
            </w:r>
          </w:p>
        </w:tc>
        <w:tc>
          <w:tcPr>
            <w:tcW w:w="963" w:type="pct"/>
          </w:tcPr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18/462 (3,9 %)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35/224 (15,6 %)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92/348 (26,4 %)</w:t>
            </w:r>
          </w:p>
          <w:p w:rsidR="00420245" w:rsidRPr="002A1761" w:rsidRDefault="00420245" w:rsidP="00DC77A7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145/1.034 (14,0 %)</w:t>
            </w:r>
          </w:p>
        </w:tc>
        <w:tc>
          <w:tcPr>
            <w:tcW w:w="1500" w:type="pct"/>
            <w:gridSpan w:val="2"/>
            <w:vMerge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1,31 (0,60</w:t>
            </w:r>
            <w:r w:rsidRPr="002A1761">
              <w:rPr>
                <w:sz w:val="20"/>
              </w:rPr>
              <w:noBreakHyphen/>
              <w:t>2,83)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1,46 (0,88</w:t>
            </w:r>
            <w:r w:rsidRPr="002A1761">
              <w:rPr>
                <w:sz w:val="20"/>
              </w:rPr>
              <w:noBreakHyphen/>
              <w:t>2,45)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1,06 (0,76</w:t>
            </w:r>
            <w:r w:rsidRPr="002A1761">
              <w:rPr>
                <w:sz w:val="20"/>
              </w:rPr>
              <w:noBreakHyphen/>
              <w:t>1,49)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1,19 (0,91</w:t>
            </w:r>
            <w:r w:rsidRPr="002A1761">
              <w:rPr>
                <w:b/>
                <w:sz w:val="20"/>
              </w:rPr>
              <w:noBreakHyphen/>
              <w:t>1,55)</w:t>
            </w:r>
          </w:p>
        </w:tc>
      </w:tr>
      <w:tr w:rsidR="00420245" w:rsidRPr="002A1761" w:rsidTr="00DC77A7">
        <w:trPr>
          <w:cantSplit/>
          <w:trHeight w:val="275"/>
        </w:trPr>
        <w:tc>
          <w:tcPr>
            <w:tcW w:w="2670" w:type="pct"/>
            <w:gridSpan w:val="3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Kun ilt (x</w:t>
            </w:r>
            <w:r w:rsidRPr="002A1761">
              <w:rPr>
                <w:b/>
                <w:sz w:val="20"/>
                <w:vertAlign w:val="subscript"/>
              </w:rPr>
              <w:t>1</w:t>
            </w:r>
            <w:r w:rsidRPr="002A1761">
              <w:rPr>
                <w:b/>
                <w:sz w:val="20"/>
                <w:vertAlign w:val="superscript"/>
              </w:rPr>
              <w:t>2</w:t>
            </w:r>
            <w:r w:rsidRPr="002A1761">
              <w:rPr>
                <w:b/>
                <w:sz w:val="20"/>
              </w:rPr>
              <w:t>= 2,54; p=0,11)</w:t>
            </w:r>
          </w:p>
        </w:tc>
        <w:tc>
          <w:tcPr>
            <w:tcW w:w="1500" w:type="pct"/>
            <w:gridSpan w:val="2"/>
            <w:vMerge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</w:tr>
      <w:tr w:rsidR="00420245" w:rsidRPr="002A1761" w:rsidTr="00DC77A7">
        <w:trPr>
          <w:cantSplit/>
          <w:trHeight w:val="842"/>
        </w:trPr>
        <w:tc>
          <w:tcPr>
            <w:tcW w:w="774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&lt;70 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≥70 &lt;80 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≥80 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Subtotal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934" w:type="pct"/>
          </w:tcPr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53/675 (7,9 %)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104/306 (34,0 %)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141/298 (47,3 %)</w:t>
            </w:r>
          </w:p>
          <w:p w:rsidR="00420245" w:rsidRPr="002A1761" w:rsidRDefault="00420245" w:rsidP="00DC77A7">
            <w:pPr>
              <w:keepNext/>
              <w:jc w:val="right"/>
              <w:rPr>
                <w:b/>
                <w:bCs/>
                <w:sz w:val="20"/>
              </w:rPr>
            </w:pPr>
            <w:r w:rsidRPr="002A1761">
              <w:rPr>
                <w:b/>
                <w:bCs/>
                <w:sz w:val="20"/>
              </w:rPr>
              <w:t>298/1.279 (23</w:t>
            </w:r>
            <w:r>
              <w:rPr>
                <w:b/>
                <w:bCs/>
                <w:sz w:val="20"/>
              </w:rPr>
              <w:t>,</w:t>
            </w:r>
            <w:r w:rsidRPr="002A1761">
              <w:rPr>
                <w:b/>
                <w:bCs/>
                <w:sz w:val="20"/>
              </w:rPr>
              <w:t>3 %)</w:t>
            </w:r>
          </w:p>
        </w:tc>
        <w:tc>
          <w:tcPr>
            <w:tcW w:w="963" w:type="pct"/>
          </w:tcPr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193/1.473 (13,1 %)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178/531 (33,5 %)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311/600 (51,8 %)</w:t>
            </w:r>
          </w:p>
          <w:p w:rsidR="00420245" w:rsidRPr="002A1761" w:rsidRDefault="00420245" w:rsidP="00DC77A7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682/2.604 (26,2 %)</w:t>
            </w:r>
          </w:p>
        </w:tc>
        <w:tc>
          <w:tcPr>
            <w:tcW w:w="1500" w:type="pct"/>
            <w:gridSpan w:val="2"/>
            <w:vMerge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0,58 (0,43</w:t>
            </w:r>
            <w:r w:rsidRPr="002A1761">
              <w:rPr>
                <w:sz w:val="20"/>
              </w:rPr>
              <w:noBreakHyphen/>
              <w:t>0,78)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0,98 (0,77</w:t>
            </w:r>
            <w:r w:rsidRPr="002A1761">
              <w:rPr>
                <w:sz w:val="20"/>
              </w:rPr>
              <w:noBreakHyphen/>
              <w:t>1,25)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0,85 (0,70</w:t>
            </w:r>
            <w:r w:rsidRPr="002A1761">
              <w:rPr>
                <w:sz w:val="20"/>
              </w:rPr>
              <w:noBreakHyphen/>
              <w:t>1,04)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0,82 (0,72</w:t>
            </w:r>
            <w:r w:rsidRPr="002A1761">
              <w:rPr>
                <w:b/>
                <w:sz w:val="20"/>
              </w:rPr>
              <w:noBreakHyphen/>
              <w:t>0,94)</w:t>
            </w:r>
          </w:p>
        </w:tc>
      </w:tr>
      <w:tr w:rsidR="00420245" w:rsidRPr="002A1761" w:rsidTr="00DC77A7">
        <w:trPr>
          <w:cantSplit/>
        </w:trPr>
        <w:tc>
          <w:tcPr>
            <w:tcW w:w="2670" w:type="pct"/>
            <w:gridSpan w:val="3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Mekanisk ventilation (x</w:t>
            </w:r>
            <w:r w:rsidRPr="002A1761">
              <w:rPr>
                <w:b/>
                <w:sz w:val="20"/>
                <w:vertAlign w:val="subscript"/>
              </w:rPr>
              <w:t>1</w:t>
            </w:r>
            <w:r w:rsidRPr="002A1761">
              <w:rPr>
                <w:b/>
                <w:sz w:val="20"/>
                <w:vertAlign w:val="superscript"/>
              </w:rPr>
              <w:t>2</w:t>
            </w:r>
            <w:r w:rsidRPr="002A1761">
              <w:rPr>
                <w:b/>
                <w:sz w:val="20"/>
              </w:rPr>
              <w:t>=0,28; p=0,60)</w:t>
            </w:r>
          </w:p>
        </w:tc>
        <w:tc>
          <w:tcPr>
            <w:tcW w:w="1500" w:type="pct"/>
            <w:gridSpan w:val="2"/>
            <w:vMerge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</w:tr>
      <w:tr w:rsidR="00420245" w:rsidRPr="002A1761" w:rsidTr="00DC77A7">
        <w:trPr>
          <w:cantSplit/>
        </w:trPr>
        <w:tc>
          <w:tcPr>
            <w:tcW w:w="774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&lt;70 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≥70 &lt;80 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 xml:space="preserve">≥80 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Subtotal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934" w:type="pct"/>
          </w:tcPr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66/269 (24,5 %)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26/49 (53,1 %)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3/6 (50,0 %)</w:t>
            </w:r>
          </w:p>
          <w:p w:rsidR="00420245" w:rsidRPr="002A1761" w:rsidRDefault="00420245" w:rsidP="00DC77A7">
            <w:pPr>
              <w:keepNext/>
              <w:jc w:val="right"/>
              <w:rPr>
                <w:b/>
                <w:bCs/>
                <w:sz w:val="20"/>
              </w:rPr>
            </w:pPr>
            <w:r w:rsidRPr="002A1761">
              <w:rPr>
                <w:b/>
                <w:bCs/>
                <w:sz w:val="20"/>
              </w:rPr>
              <w:t>95/324 (29,3 %)</w:t>
            </w:r>
          </w:p>
        </w:tc>
        <w:tc>
          <w:tcPr>
            <w:tcW w:w="963" w:type="pct"/>
          </w:tcPr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217/569 (38,1 %)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58/104 (55,8 %)</w:t>
            </w:r>
          </w:p>
          <w:p w:rsidR="00420245" w:rsidRPr="002A1761" w:rsidRDefault="00420245" w:rsidP="00DC77A7">
            <w:pPr>
              <w:keepNext/>
              <w:jc w:val="right"/>
              <w:rPr>
                <w:sz w:val="20"/>
              </w:rPr>
            </w:pPr>
            <w:r w:rsidRPr="002A1761">
              <w:rPr>
                <w:sz w:val="20"/>
              </w:rPr>
              <w:t>8/10 (80,0 %)</w:t>
            </w:r>
          </w:p>
          <w:p w:rsidR="00420245" w:rsidRPr="002A1761" w:rsidRDefault="00420245" w:rsidP="00DC77A7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283/683 (41,4 %)</w:t>
            </w:r>
          </w:p>
        </w:tc>
        <w:tc>
          <w:tcPr>
            <w:tcW w:w="1500" w:type="pct"/>
            <w:gridSpan w:val="2"/>
            <w:vMerge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0,61 (0,46-0,81)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0,85 (0,53-1,34)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sz w:val="20"/>
              </w:rPr>
              <w:t>0,39 (0,10-1,47)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0,64 (0,51-0,81)</w:t>
            </w:r>
          </w:p>
        </w:tc>
      </w:tr>
      <w:tr w:rsidR="00420245" w:rsidRPr="002A1761" w:rsidTr="00DC77A7">
        <w:trPr>
          <w:cantSplit/>
        </w:trPr>
        <w:tc>
          <w:tcPr>
            <w:tcW w:w="774" w:type="pct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Alle deltagere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</w:p>
        </w:tc>
        <w:tc>
          <w:tcPr>
            <w:tcW w:w="934" w:type="pct"/>
          </w:tcPr>
          <w:p w:rsidR="00420245" w:rsidRPr="002A1761" w:rsidRDefault="00420245" w:rsidP="00DC77A7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482/2.104 (22,9 %)</w:t>
            </w:r>
          </w:p>
        </w:tc>
        <w:tc>
          <w:tcPr>
            <w:tcW w:w="963" w:type="pct"/>
          </w:tcPr>
          <w:p w:rsidR="00420245" w:rsidRPr="002A1761" w:rsidRDefault="00420245" w:rsidP="00DC77A7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1.110/4321 (25,7 %)</w:t>
            </w:r>
          </w:p>
        </w:tc>
        <w:tc>
          <w:tcPr>
            <w:tcW w:w="1500" w:type="pct"/>
            <w:gridSpan w:val="2"/>
            <w:vMerge/>
          </w:tcPr>
          <w:p w:rsidR="00420245" w:rsidRPr="002A1761" w:rsidRDefault="00420245" w:rsidP="00DC77A7">
            <w:pPr>
              <w:keepNext/>
              <w:rPr>
                <w:sz w:val="20"/>
              </w:rPr>
            </w:pPr>
          </w:p>
        </w:tc>
        <w:tc>
          <w:tcPr>
            <w:tcW w:w="830" w:type="pct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0,83 (0,75-0,93)</w:t>
            </w:r>
          </w:p>
          <w:p w:rsidR="00420245" w:rsidRPr="002A1761" w:rsidRDefault="00420245" w:rsidP="00DC77A7">
            <w:pPr>
              <w:keepNext/>
              <w:rPr>
                <w:sz w:val="20"/>
              </w:rPr>
            </w:pPr>
            <w:r w:rsidRPr="002A1761">
              <w:rPr>
                <w:b/>
                <w:sz w:val="20"/>
              </w:rPr>
              <w:t>p &lt;0,001</w:t>
            </w:r>
          </w:p>
        </w:tc>
      </w:tr>
      <w:tr w:rsidR="00420245" w:rsidRPr="002A1761" w:rsidTr="00DC77A7">
        <w:trPr>
          <w:cantSplit/>
        </w:trPr>
        <w:tc>
          <w:tcPr>
            <w:tcW w:w="3531" w:type="pct"/>
            <w:gridSpan w:val="4"/>
          </w:tcPr>
          <w:p w:rsidR="00420245" w:rsidRPr="002A1761" w:rsidRDefault="00420245" w:rsidP="00DC77A7">
            <w:pPr>
              <w:keepNext/>
              <w:jc w:val="right"/>
              <w:rPr>
                <w:b/>
                <w:sz w:val="20"/>
              </w:rPr>
            </w:pPr>
            <w:proofErr w:type="spellStart"/>
            <w:r w:rsidRPr="002A1761">
              <w:rPr>
                <w:b/>
                <w:sz w:val="20"/>
              </w:rPr>
              <w:t>Dexamethason</w:t>
            </w:r>
            <w:proofErr w:type="spellEnd"/>
            <w:r w:rsidRPr="002A1761">
              <w:rPr>
                <w:b/>
                <w:sz w:val="20"/>
              </w:rPr>
              <w:t xml:space="preserve"> </w:t>
            </w:r>
          </w:p>
          <w:p w:rsidR="00420245" w:rsidRPr="002A1761" w:rsidRDefault="00420245" w:rsidP="00314C9D">
            <w:pPr>
              <w:keepNext/>
              <w:jc w:val="right"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bedre</w:t>
            </w:r>
          </w:p>
        </w:tc>
        <w:tc>
          <w:tcPr>
            <w:tcW w:w="1469" w:type="pct"/>
            <w:gridSpan w:val="2"/>
          </w:tcPr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 xml:space="preserve">Almindelig pleje 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  <w:r w:rsidRPr="002A1761">
              <w:rPr>
                <w:b/>
                <w:sz w:val="20"/>
              </w:rPr>
              <w:t>bedre</w:t>
            </w:r>
          </w:p>
          <w:p w:rsidR="00420245" w:rsidRPr="002A1761" w:rsidRDefault="00420245" w:rsidP="00DC77A7">
            <w:pPr>
              <w:keepNext/>
              <w:rPr>
                <w:b/>
                <w:sz w:val="20"/>
              </w:rPr>
            </w:pPr>
          </w:p>
        </w:tc>
      </w:tr>
    </w:tbl>
    <w:p w:rsidR="00420245" w:rsidRPr="00D43936" w:rsidRDefault="00420245" w:rsidP="00420245">
      <w:pPr>
        <w:keepNext/>
        <w:rPr>
          <w:sz w:val="24"/>
          <w:szCs w:val="24"/>
        </w:rPr>
      </w:pPr>
    </w:p>
    <w:p w:rsidR="00420245" w:rsidRDefault="00420245" w:rsidP="00420245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br w:type="page"/>
      </w:r>
    </w:p>
    <w:p w:rsidR="00420245" w:rsidRPr="005F15CA" w:rsidRDefault="00420245" w:rsidP="00420245">
      <w:pPr>
        <w:keepNext/>
        <w:ind w:left="851"/>
        <w:rPr>
          <w:b/>
          <w:i/>
          <w:iCs/>
          <w:sz w:val="24"/>
          <w:szCs w:val="24"/>
        </w:rPr>
      </w:pPr>
      <w:r w:rsidRPr="005F15CA">
        <w:rPr>
          <w:b/>
          <w:i/>
          <w:iCs/>
          <w:sz w:val="24"/>
          <w:szCs w:val="24"/>
        </w:rPr>
        <w:lastRenderedPageBreak/>
        <w:t xml:space="preserve">Effekter af tildeling af DEXAMETHASON på 28-dages dødelighed ved respiratorisk støtte givet ved </w:t>
      </w:r>
      <w:proofErr w:type="spellStart"/>
      <w:r w:rsidRPr="005F15CA">
        <w:rPr>
          <w:b/>
          <w:i/>
          <w:iCs/>
          <w:sz w:val="24"/>
          <w:szCs w:val="24"/>
        </w:rPr>
        <w:t>randomisering</w:t>
      </w:r>
      <w:proofErr w:type="spellEnd"/>
      <w:r w:rsidRPr="005F15CA">
        <w:rPr>
          <w:b/>
          <w:i/>
          <w:iCs/>
          <w:sz w:val="24"/>
          <w:szCs w:val="24"/>
        </w:rPr>
        <w:t xml:space="preserve"> og anamnese med kronisk sygdom af enhver art</w:t>
      </w:r>
      <w:r w:rsidRPr="005F15CA">
        <w:rPr>
          <w:b/>
          <w:i/>
          <w:iCs/>
          <w:sz w:val="24"/>
          <w:szCs w:val="24"/>
          <w:vertAlign w:val="superscript"/>
        </w:rPr>
        <w:t>3</w:t>
      </w:r>
    </w:p>
    <w:p w:rsidR="00420245" w:rsidRDefault="00420245" w:rsidP="00420245">
      <w:pPr>
        <w:keepNext/>
        <w:tabs>
          <w:tab w:val="left" w:pos="851"/>
          <w:tab w:val="left" w:pos="1350"/>
        </w:tabs>
        <w:ind w:left="851"/>
        <w:rPr>
          <w:b/>
          <w:bCs/>
          <w:i/>
          <w:iCs/>
          <w:sz w:val="24"/>
          <w:szCs w:val="24"/>
        </w:rPr>
      </w:pPr>
    </w:p>
    <w:tbl>
      <w:tblPr>
        <w:tblStyle w:val="Tabel-Gitter"/>
        <w:tblW w:w="5112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2043"/>
        <w:gridCol w:w="1583"/>
        <w:gridCol w:w="1876"/>
        <w:gridCol w:w="1668"/>
        <w:gridCol w:w="1217"/>
        <w:gridCol w:w="1457"/>
      </w:tblGrid>
      <w:tr w:rsidR="00420245" w:rsidRPr="000D109C" w:rsidTr="00DC77A7">
        <w:trPr>
          <w:trHeight w:val="20"/>
        </w:trPr>
        <w:tc>
          <w:tcPr>
            <w:tcW w:w="1038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pct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B540E1">
              <w:rPr>
                <w:rFonts w:eastAsia="Calibri"/>
                <w:b/>
                <w:sz w:val="18"/>
                <w:szCs w:val="18"/>
              </w:rPr>
              <w:t>Dexamethason</w:t>
            </w:r>
            <w:proofErr w:type="spellEnd"/>
          </w:p>
        </w:tc>
        <w:tc>
          <w:tcPr>
            <w:tcW w:w="953" w:type="pct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Almindelig pleje</w:t>
            </w:r>
          </w:p>
        </w:tc>
        <w:tc>
          <w:tcPr>
            <w:tcW w:w="1465" w:type="pct"/>
            <w:gridSpan w:val="2"/>
            <w:vMerge w:val="restart"/>
          </w:tcPr>
          <w:p w:rsidR="00420245" w:rsidRPr="002A1761" w:rsidRDefault="00420245" w:rsidP="00DC77A7">
            <w:pPr>
              <w:keepNext/>
              <w:rPr>
                <w:rFonts w:eastAsia="Calibri"/>
                <w:sz w:val="16"/>
                <w:szCs w:val="16"/>
              </w:rPr>
            </w:pPr>
            <w:r w:rsidRPr="002A1761">
              <w:rPr>
                <w:rFonts w:eastAsia="Calibri"/>
                <w:noProof/>
                <w:sz w:val="16"/>
                <w:szCs w:val="16"/>
                <w:lang w:eastAsia="sl-SI"/>
              </w:rPr>
              <w:t xml:space="preserve">          </w:t>
            </w:r>
            <w:r w:rsidRPr="002A1761">
              <w:rPr>
                <w:sz w:val="16"/>
                <w:szCs w:val="16"/>
              </w:rPr>
              <w:t xml:space="preserve"> </w:t>
            </w:r>
            <w:r w:rsidRPr="00541006">
              <w:rPr>
                <w:sz w:val="16"/>
                <w:szCs w:val="16"/>
              </w:rPr>
              <w:object w:dxaOrig="3540" w:dyaOrig="5475">
                <v:shape id="_x0000_i1026" type="#_x0000_t75" style="width:137.1pt;height:3in" o:ole="">
                  <v:imagedata r:id="rId12" o:title=""/>
                </v:shape>
                <o:OLEObject Type="Embed" ProgID="PBrush" ShapeID="_x0000_i1026" DrawAspect="Content" ObjectID="_1706081534" r:id="rId13"/>
              </w:object>
            </w: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RR (95 % Cl)</w:t>
            </w:r>
          </w:p>
        </w:tc>
      </w:tr>
      <w:tr w:rsidR="00420245" w:rsidRPr="000D109C" w:rsidTr="00DC77A7">
        <w:trPr>
          <w:trHeight w:val="202"/>
        </w:trPr>
        <w:tc>
          <w:tcPr>
            <w:tcW w:w="2795" w:type="pct"/>
            <w:gridSpan w:val="3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Ingen ilt (x</w:t>
            </w:r>
            <w:r w:rsidRPr="00B540E1">
              <w:rPr>
                <w:rFonts w:eastAsia="Calibri"/>
                <w:b/>
                <w:sz w:val="18"/>
                <w:szCs w:val="18"/>
                <w:vertAlign w:val="subscript"/>
              </w:rPr>
              <w:t>1</w:t>
            </w:r>
            <w:r w:rsidRPr="00B540E1">
              <w:rPr>
                <w:rFonts w:eastAsia="Calibri"/>
                <w:b/>
                <w:sz w:val="18"/>
                <w:szCs w:val="18"/>
                <w:vertAlign w:val="superscript"/>
              </w:rPr>
              <w:t>2</w:t>
            </w:r>
            <w:r w:rsidRPr="00B540E1">
              <w:rPr>
                <w:rFonts w:eastAsia="Calibri"/>
                <w:b/>
                <w:sz w:val="18"/>
                <w:szCs w:val="18"/>
              </w:rPr>
              <w:t>= 0</w:t>
            </w:r>
            <w:r>
              <w:rPr>
                <w:rFonts w:eastAsia="Calibri"/>
                <w:b/>
                <w:sz w:val="18"/>
                <w:szCs w:val="18"/>
              </w:rPr>
              <w:t>,08</w:t>
            </w:r>
            <w:r w:rsidRPr="00B540E1">
              <w:rPr>
                <w:rFonts w:eastAsia="Calibri"/>
                <w:b/>
                <w:sz w:val="18"/>
                <w:szCs w:val="18"/>
              </w:rPr>
              <w:t>; p=0,</w:t>
            </w:r>
            <w:r>
              <w:rPr>
                <w:rFonts w:eastAsia="Calibri"/>
                <w:b/>
                <w:sz w:val="18"/>
                <w:szCs w:val="18"/>
              </w:rPr>
              <w:t>78</w:t>
            </w:r>
            <w:r w:rsidRPr="00B540E1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465" w:type="pct"/>
            <w:gridSpan w:val="2"/>
            <w:vMerge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420245" w:rsidRPr="000D109C" w:rsidTr="00DC77A7">
        <w:trPr>
          <w:trHeight w:val="935"/>
        </w:trPr>
        <w:tc>
          <w:tcPr>
            <w:tcW w:w="1038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Tidligere sygdom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Ingen tidligere sygdom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 xml:space="preserve">Subtotal </w:t>
            </w:r>
          </w:p>
        </w:tc>
        <w:tc>
          <w:tcPr>
            <w:tcW w:w="804" w:type="pct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65/313 (20,8 %)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24/188 (12,8 %)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89/501 (17,8 %)</w:t>
            </w:r>
          </w:p>
        </w:tc>
        <w:tc>
          <w:tcPr>
            <w:tcW w:w="953" w:type="pct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100/598 (16,7 %)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45/436 (10,3 %)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145/1.034 (14,0 %)</w:t>
            </w:r>
          </w:p>
        </w:tc>
        <w:tc>
          <w:tcPr>
            <w:tcW w:w="1465" w:type="pct"/>
            <w:gridSpan w:val="2"/>
            <w:vMerge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1,22 (0,89–1,66)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1,12 (0,68–1,83)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1,19 (0,91</w:t>
            </w:r>
            <w:r w:rsidRPr="00B540E1">
              <w:rPr>
                <w:rFonts w:eastAsia="Calibri"/>
                <w:b/>
                <w:sz w:val="18"/>
                <w:szCs w:val="18"/>
              </w:rPr>
              <w:noBreakHyphen/>
              <w:t>1,55)</w:t>
            </w:r>
          </w:p>
        </w:tc>
      </w:tr>
      <w:tr w:rsidR="00420245" w:rsidRPr="000D109C" w:rsidTr="00DC77A7">
        <w:trPr>
          <w:trHeight w:val="278"/>
        </w:trPr>
        <w:tc>
          <w:tcPr>
            <w:tcW w:w="2795" w:type="pct"/>
            <w:gridSpan w:val="3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Kun ilt (x</w:t>
            </w:r>
            <w:r w:rsidRPr="00B540E1">
              <w:rPr>
                <w:rFonts w:eastAsia="Calibri"/>
                <w:b/>
                <w:sz w:val="18"/>
                <w:szCs w:val="18"/>
                <w:vertAlign w:val="subscript"/>
              </w:rPr>
              <w:t>1</w:t>
            </w:r>
            <w:r w:rsidRPr="00B540E1">
              <w:rPr>
                <w:rFonts w:eastAsia="Calibri"/>
                <w:b/>
                <w:sz w:val="18"/>
                <w:szCs w:val="18"/>
                <w:vertAlign w:val="superscript"/>
              </w:rPr>
              <w:t>2</w:t>
            </w:r>
            <w:r w:rsidRPr="00B540E1">
              <w:rPr>
                <w:rFonts w:eastAsia="Calibri"/>
                <w:b/>
                <w:sz w:val="18"/>
                <w:szCs w:val="18"/>
              </w:rPr>
              <w:t xml:space="preserve">= </w:t>
            </w:r>
            <w:r>
              <w:rPr>
                <w:rFonts w:eastAsia="Calibri"/>
                <w:b/>
                <w:sz w:val="18"/>
                <w:szCs w:val="18"/>
              </w:rPr>
              <w:t>2,05</w:t>
            </w:r>
            <w:r w:rsidRPr="00B540E1">
              <w:rPr>
                <w:rFonts w:eastAsia="Calibri"/>
                <w:b/>
                <w:sz w:val="18"/>
                <w:szCs w:val="18"/>
              </w:rPr>
              <w:t>; p=0,</w:t>
            </w:r>
            <w:r>
              <w:rPr>
                <w:rFonts w:eastAsia="Calibri"/>
                <w:b/>
                <w:sz w:val="18"/>
                <w:szCs w:val="18"/>
              </w:rPr>
              <w:t>15</w:t>
            </w:r>
            <w:r w:rsidRPr="00B540E1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465" w:type="pct"/>
            <w:gridSpan w:val="2"/>
            <w:vMerge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420245" w:rsidRPr="000D109C" w:rsidTr="00DC77A7">
        <w:trPr>
          <w:trHeight w:val="851"/>
        </w:trPr>
        <w:tc>
          <w:tcPr>
            <w:tcW w:w="1038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Tidligere sygdom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Ingen tidligere sygdom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Subtotal</w:t>
            </w:r>
          </w:p>
          <w:p w:rsidR="00420245" w:rsidRPr="002A47B9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4" w:type="pct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221/702 (31,5 %)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 xml:space="preserve">77/577 (13,3 %) </w:t>
            </w:r>
            <w:r w:rsidRPr="00B540E1">
              <w:rPr>
                <w:rFonts w:eastAsia="Calibri"/>
                <w:b/>
                <w:sz w:val="18"/>
                <w:szCs w:val="18"/>
              </w:rPr>
              <w:t>298/1.279 (23,3 %)</w:t>
            </w:r>
          </w:p>
        </w:tc>
        <w:tc>
          <w:tcPr>
            <w:tcW w:w="953" w:type="pct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481/1.473 (32,7 %)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201/1.131 (17,8 %)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682/2.604 (26,2 %)</w:t>
            </w:r>
          </w:p>
        </w:tc>
        <w:tc>
          <w:tcPr>
            <w:tcW w:w="1465" w:type="pct"/>
            <w:gridSpan w:val="2"/>
            <w:vMerge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0,88 (0,75–1,03)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0,70 (0,54–0,91)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0,82 (0,72</w:t>
            </w:r>
            <w:r w:rsidRPr="00B540E1">
              <w:rPr>
                <w:rFonts w:eastAsia="Calibri"/>
                <w:b/>
                <w:sz w:val="18"/>
                <w:szCs w:val="18"/>
              </w:rPr>
              <w:noBreakHyphen/>
              <w:t>0,94)</w:t>
            </w:r>
          </w:p>
        </w:tc>
      </w:tr>
      <w:tr w:rsidR="00420245" w:rsidRPr="000D109C" w:rsidTr="00DC77A7">
        <w:trPr>
          <w:trHeight w:val="202"/>
        </w:trPr>
        <w:tc>
          <w:tcPr>
            <w:tcW w:w="2795" w:type="pct"/>
            <w:gridSpan w:val="3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Mekanisk ventilation (x</w:t>
            </w:r>
            <w:r w:rsidRPr="00B540E1">
              <w:rPr>
                <w:rFonts w:eastAsia="Calibri"/>
                <w:b/>
                <w:sz w:val="18"/>
                <w:szCs w:val="18"/>
                <w:vertAlign w:val="subscript"/>
              </w:rPr>
              <w:t>1</w:t>
            </w:r>
            <w:r w:rsidRPr="00B540E1">
              <w:rPr>
                <w:rFonts w:eastAsia="Calibri"/>
                <w:b/>
                <w:sz w:val="18"/>
                <w:szCs w:val="18"/>
                <w:vertAlign w:val="superscript"/>
              </w:rPr>
              <w:t>2</w:t>
            </w:r>
            <w:r w:rsidRPr="00B540E1">
              <w:rPr>
                <w:rFonts w:eastAsia="Calibri"/>
                <w:b/>
                <w:sz w:val="18"/>
                <w:szCs w:val="18"/>
              </w:rPr>
              <w:t xml:space="preserve">= </w:t>
            </w:r>
            <w:r>
              <w:rPr>
                <w:rFonts w:eastAsia="Calibri"/>
                <w:b/>
                <w:sz w:val="18"/>
                <w:szCs w:val="18"/>
              </w:rPr>
              <w:t>1,52</w:t>
            </w:r>
            <w:r w:rsidRPr="00B540E1">
              <w:rPr>
                <w:rFonts w:eastAsia="Calibri"/>
                <w:b/>
                <w:sz w:val="18"/>
                <w:szCs w:val="18"/>
              </w:rPr>
              <w:t>; p=0,</w:t>
            </w:r>
            <w:r>
              <w:rPr>
                <w:rFonts w:eastAsia="Calibri"/>
                <w:b/>
                <w:sz w:val="18"/>
                <w:szCs w:val="18"/>
              </w:rPr>
              <w:t>22</w:t>
            </w:r>
            <w:r w:rsidRPr="00B540E1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1465" w:type="pct"/>
            <w:gridSpan w:val="2"/>
            <w:vMerge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</w:tr>
      <w:tr w:rsidR="00420245" w:rsidRPr="000D109C" w:rsidTr="00DC77A7">
        <w:trPr>
          <w:trHeight w:val="864"/>
        </w:trPr>
        <w:tc>
          <w:tcPr>
            <w:tcW w:w="1038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Tidligere sygdom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Ingen tidligere sygdom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Subtotal</w:t>
            </w:r>
          </w:p>
          <w:p w:rsidR="00420245" w:rsidRPr="00C035BC" w:rsidRDefault="00420245" w:rsidP="00DC77A7">
            <w:pPr>
              <w:keepNext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04" w:type="pct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51/159 (32,1 %)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44/165 (26,7 %)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95/324 (29,3 %)</w:t>
            </w:r>
          </w:p>
        </w:tc>
        <w:tc>
          <w:tcPr>
            <w:tcW w:w="953" w:type="pct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150/346 (43,4 %)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133/337 (39,5 %)</w:t>
            </w:r>
          </w:p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283/683 (41,4 %)</w:t>
            </w:r>
          </w:p>
        </w:tc>
        <w:tc>
          <w:tcPr>
            <w:tcW w:w="1465" w:type="pct"/>
            <w:gridSpan w:val="2"/>
            <w:vMerge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0,75 (0,54–1,02)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sz w:val="18"/>
                <w:szCs w:val="18"/>
              </w:rPr>
              <w:t>0,56 (0,40–0,78)</w:t>
            </w:r>
          </w:p>
          <w:p w:rsidR="00420245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0,64 (0,51-0,81)</w:t>
            </w:r>
          </w:p>
          <w:p w:rsidR="00420245" w:rsidRPr="00C035BC" w:rsidRDefault="00420245" w:rsidP="00DC77A7">
            <w:pPr>
              <w:keepNext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20245" w:rsidRPr="000D109C" w:rsidTr="00DC77A7">
        <w:trPr>
          <w:trHeight w:val="2296"/>
        </w:trPr>
        <w:tc>
          <w:tcPr>
            <w:tcW w:w="1038" w:type="pct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Alle deltagere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04" w:type="pct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482/2.104</w:t>
            </w: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B540E1">
              <w:rPr>
                <w:rFonts w:eastAsia="Calibri"/>
                <w:b/>
                <w:sz w:val="18"/>
                <w:szCs w:val="18"/>
              </w:rPr>
              <w:t>(22,9 %)</w:t>
            </w:r>
          </w:p>
        </w:tc>
        <w:tc>
          <w:tcPr>
            <w:tcW w:w="953" w:type="pct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1.110/4.321 (25,7 %)</w:t>
            </w:r>
          </w:p>
        </w:tc>
        <w:tc>
          <w:tcPr>
            <w:tcW w:w="1465" w:type="pct"/>
            <w:gridSpan w:val="2"/>
            <w:vMerge/>
          </w:tcPr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39" w:type="pct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0,83 (0,75-0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 w:rsidRPr="00B540E1">
              <w:rPr>
                <w:rFonts w:eastAsia="Calibri"/>
                <w:b/>
                <w:sz w:val="18"/>
                <w:szCs w:val="18"/>
              </w:rPr>
              <w:t>93)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p &lt;0</w:t>
            </w:r>
            <w:r>
              <w:rPr>
                <w:rFonts w:eastAsia="Calibri"/>
                <w:b/>
                <w:sz w:val="18"/>
                <w:szCs w:val="18"/>
              </w:rPr>
              <w:t>,</w:t>
            </w:r>
            <w:r w:rsidRPr="00B540E1">
              <w:rPr>
                <w:rFonts w:eastAsia="Calibri"/>
                <w:b/>
                <w:sz w:val="18"/>
                <w:szCs w:val="18"/>
              </w:rPr>
              <w:t>001</w:t>
            </w:r>
          </w:p>
        </w:tc>
      </w:tr>
      <w:tr w:rsidR="00420245" w:rsidRPr="000D109C" w:rsidTr="00DC77A7">
        <w:trPr>
          <w:trHeight w:val="627"/>
        </w:trPr>
        <w:tc>
          <w:tcPr>
            <w:tcW w:w="3642" w:type="pct"/>
            <w:gridSpan w:val="4"/>
          </w:tcPr>
          <w:p w:rsidR="00420245" w:rsidRPr="00B540E1" w:rsidRDefault="00420245" w:rsidP="00DC77A7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B540E1">
              <w:rPr>
                <w:rFonts w:eastAsia="Calibri"/>
                <w:b/>
                <w:sz w:val="18"/>
                <w:szCs w:val="18"/>
              </w:rPr>
              <w:t>Dexamethason</w:t>
            </w:r>
            <w:proofErr w:type="spellEnd"/>
          </w:p>
          <w:p w:rsidR="00420245" w:rsidRPr="00B540E1" w:rsidRDefault="00420245" w:rsidP="00314C9D">
            <w:pPr>
              <w:keepNext/>
              <w:jc w:val="right"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bedre</w:t>
            </w:r>
          </w:p>
        </w:tc>
        <w:tc>
          <w:tcPr>
            <w:tcW w:w="1358" w:type="pct"/>
            <w:gridSpan w:val="2"/>
          </w:tcPr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Almindelig pleje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  <w:r w:rsidRPr="00B540E1">
              <w:rPr>
                <w:rFonts w:eastAsia="Calibri"/>
                <w:b/>
                <w:sz w:val="18"/>
                <w:szCs w:val="18"/>
              </w:rPr>
              <w:t>bedre</w:t>
            </w:r>
          </w:p>
          <w:p w:rsidR="00420245" w:rsidRPr="00B540E1" w:rsidRDefault="00420245" w:rsidP="00DC77A7">
            <w:pPr>
              <w:keepNext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420245" w:rsidRPr="009B4B25" w:rsidRDefault="00420245" w:rsidP="00420245">
      <w:pPr>
        <w:keepNext/>
        <w:tabs>
          <w:tab w:val="left" w:pos="851"/>
          <w:tab w:val="left" w:pos="1350"/>
        </w:tabs>
        <w:ind w:left="851"/>
        <w:rPr>
          <w:bCs/>
          <w:iCs/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5.2</w:t>
      </w:r>
      <w:r w:rsidRPr="005F15CA">
        <w:rPr>
          <w:b/>
          <w:sz w:val="24"/>
          <w:szCs w:val="24"/>
        </w:rPr>
        <w:tab/>
      </w:r>
      <w:proofErr w:type="spellStart"/>
      <w:r w:rsidRPr="005F15CA">
        <w:rPr>
          <w:b/>
          <w:sz w:val="24"/>
          <w:szCs w:val="24"/>
        </w:rPr>
        <w:t>Farmakokinetiske</w:t>
      </w:r>
      <w:proofErr w:type="spellEnd"/>
      <w:r w:rsidRPr="005F15CA">
        <w:rPr>
          <w:b/>
          <w:sz w:val="24"/>
          <w:szCs w:val="24"/>
        </w:rPr>
        <w:t xml:space="preserve"> egenskaber</w:t>
      </w:r>
    </w:p>
    <w:p w:rsidR="00420245" w:rsidRDefault="00420245" w:rsidP="00420245">
      <w:pPr>
        <w:ind w:left="851"/>
        <w:rPr>
          <w:i/>
          <w:sz w:val="24"/>
          <w:szCs w:val="24"/>
          <w:u w:val="single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  <w:u w:val="single"/>
        </w:rPr>
      </w:pPr>
      <w:r w:rsidRPr="005F15CA">
        <w:rPr>
          <w:i/>
          <w:sz w:val="24"/>
          <w:szCs w:val="24"/>
          <w:u w:val="single"/>
        </w:rPr>
        <w:t>Absorption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optages hurtigt og i stort omfang (80 %) fra mave-tarm</w:t>
      </w:r>
      <w:r>
        <w:rPr>
          <w:sz w:val="24"/>
          <w:szCs w:val="24"/>
        </w:rPr>
        <w:t>-</w:t>
      </w:r>
      <w:r w:rsidRPr="005F15CA">
        <w:rPr>
          <w:sz w:val="24"/>
          <w:szCs w:val="24"/>
        </w:rPr>
        <w:t>kanalen. Den maksimale plasmakoncentration nås efter 1-2 timer.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  <w:u w:val="single"/>
        </w:rPr>
      </w:pPr>
      <w:r w:rsidRPr="005F15CA">
        <w:rPr>
          <w:i/>
          <w:sz w:val="24"/>
          <w:szCs w:val="24"/>
          <w:u w:val="single"/>
        </w:rPr>
        <w:t>Fordeling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er 77 % bundet til plasmaproteiner, hovedsagelig albumin. Fordelingsvoluminet er ca. 0,75 l/kg. 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6B5707" w:rsidRDefault="00420245" w:rsidP="00420245">
      <w:pPr>
        <w:ind w:left="851"/>
        <w:rPr>
          <w:i/>
          <w:sz w:val="24"/>
          <w:szCs w:val="24"/>
          <w:u w:val="single"/>
        </w:rPr>
      </w:pPr>
      <w:r w:rsidRPr="006B5707">
        <w:rPr>
          <w:i/>
          <w:sz w:val="24"/>
          <w:szCs w:val="24"/>
          <w:u w:val="single"/>
        </w:rPr>
        <w:t>Biotransformation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</w:t>
      </w:r>
      <w:proofErr w:type="spellStart"/>
      <w:r w:rsidRPr="005F15CA">
        <w:rPr>
          <w:sz w:val="24"/>
          <w:szCs w:val="24"/>
        </w:rPr>
        <w:t>metaboliseres</w:t>
      </w:r>
      <w:proofErr w:type="spellEnd"/>
      <w:r w:rsidRPr="005F15CA">
        <w:rPr>
          <w:sz w:val="24"/>
          <w:szCs w:val="24"/>
        </w:rPr>
        <w:t xml:space="preserve"> hovedsageligt i leveren, men også i nyrerne.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5F15CA" w:rsidRDefault="00420245" w:rsidP="00420245">
      <w:pPr>
        <w:ind w:left="851"/>
        <w:rPr>
          <w:i/>
          <w:sz w:val="24"/>
          <w:szCs w:val="24"/>
          <w:u w:val="single"/>
        </w:rPr>
      </w:pPr>
      <w:r w:rsidRPr="005F15CA">
        <w:rPr>
          <w:i/>
          <w:sz w:val="24"/>
          <w:szCs w:val="24"/>
          <w:u w:val="single"/>
        </w:rPr>
        <w:t>Elimination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Plasmaeliminationshalveringstiden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er 3,5-4,5 timer. Halveringstiden af den antiinflammatoriske virkning af 36-54 timer.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og dets metabolitter udskilles i urinen. Efter oral administration udskilles ca. 30 % af den samlede dosis i urinen som uændret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>.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</w:p>
    <w:p w:rsidR="00420245" w:rsidRPr="006B5707" w:rsidRDefault="00420245" w:rsidP="00420245">
      <w:pPr>
        <w:ind w:left="851"/>
        <w:rPr>
          <w:i/>
          <w:sz w:val="24"/>
          <w:szCs w:val="24"/>
          <w:u w:val="single"/>
        </w:rPr>
      </w:pPr>
      <w:r w:rsidRPr="006B5707">
        <w:rPr>
          <w:i/>
          <w:sz w:val="24"/>
          <w:szCs w:val="24"/>
          <w:u w:val="single"/>
        </w:rPr>
        <w:t>Nedsat nyre- og leverfunktion</w:t>
      </w:r>
    </w:p>
    <w:p w:rsidR="00420245" w:rsidRPr="005F15CA" w:rsidRDefault="00420245" w:rsidP="00420245">
      <w:pPr>
        <w:ind w:left="851"/>
        <w:rPr>
          <w:sz w:val="24"/>
          <w:szCs w:val="24"/>
        </w:rPr>
      </w:pPr>
      <w:r w:rsidRPr="005F15CA">
        <w:rPr>
          <w:sz w:val="24"/>
          <w:szCs w:val="24"/>
        </w:rPr>
        <w:t xml:space="preserve">Hos patienter med leversygdom er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af </w:t>
      </w:r>
      <w:proofErr w:type="spellStart"/>
      <w:r w:rsidRPr="005F15CA">
        <w:rPr>
          <w:sz w:val="24"/>
          <w:szCs w:val="24"/>
        </w:rPr>
        <w:t>dexamethason</w:t>
      </w:r>
      <w:proofErr w:type="spellEnd"/>
      <w:r w:rsidRPr="005F15CA">
        <w:rPr>
          <w:sz w:val="24"/>
          <w:szCs w:val="24"/>
        </w:rPr>
        <w:t xml:space="preserve"> nedsat på grund af nedsat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 i leveren, mens </w:t>
      </w:r>
      <w:proofErr w:type="spellStart"/>
      <w:r w:rsidRPr="005F15CA">
        <w:rPr>
          <w:sz w:val="24"/>
          <w:szCs w:val="24"/>
        </w:rPr>
        <w:t>clearance</w:t>
      </w:r>
      <w:proofErr w:type="spellEnd"/>
      <w:r w:rsidRPr="005F15CA">
        <w:rPr>
          <w:sz w:val="24"/>
          <w:szCs w:val="24"/>
        </w:rPr>
        <w:t xml:space="preserve"> er øget hos patienter med nyreinsufficiens på grund af accelereret </w:t>
      </w:r>
      <w:proofErr w:type="spellStart"/>
      <w:r w:rsidRPr="005F15CA">
        <w:rPr>
          <w:sz w:val="24"/>
          <w:szCs w:val="24"/>
        </w:rPr>
        <w:t>metabolisering</w:t>
      </w:r>
      <w:proofErr w:type="spellEnd"/>
      <w:r w:rsidRPr="005F15CA">
        <w:rPr>
          <w:sz w:val="24"/>
          <w:szCs w:val="24"/>
        </w:rPr>
        <w:t xml:space="preserve">. 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</w:p>
    <w:p w:rsidR="00420245" w:rsidRPr="005F15CA" w:rsidRDefault="00420245" w:rsidP="00420245">
      <w:pPr>
        <w:ind w:left="851" w:hanging="851"/>
        <w:rPr>
          <w:b/>
          <w:sz w:val="24"/>
          <w:szCs w:val="24"/>
        </w:rPr>
      </w:pPr>
      <w:r w:rsidRPr="005F15CA">
        <w:rPr>
          <w:b/>
          <w:sz w:val="24"/>
          <w:szCs w:val="24"/>
        </w:rPr>
        <w:t>5.3</w:t>
      </w:r>
      <w:r w:rsidRPr="005F15CA">
        <w:rPr>
          <w:b/>
          <w:sz w:val="24"/>
          <w:szCs w:val="24"/>
        </w:rPr>
        <w:tab/>
        <w:t>Prækliniske sikkerhedsdata</w:t>
      </w:r>
    </w:p>
    <w:p w:rsidR="00420245" w:rsidRPr="005F15CA" w:rsidRDefault="00420245" w:rsidP="00420245">
      <w:pPr>
        <w:ind w:left="851" w:hanging="851"/>
        <w:rPr>
          <w:sz w:val="24"/>
          <w:szCs w:val="24"/>
        </w:rPr>
      </w:pPr>
      <w:r w:rsidRPr="005F15CA">
        <w:rPr>
          <w:sz w:val="24"/>
          <w:szCs w:val="24"/>
        </w:rPr>
        <w:tab/>
        <w:t>I dyreforsøg blev der iagttaget ganespalte hos rotter, mus, hamstere, kaniner, hunde og primater, men ikke hos heste eller får. I nogle tilfælde var disse afvigelser kombineret med defekter i centralnervesystemet og hjertet. I primater sås effekter i hjernen efter eksponering. Desuden kan den intrauterine vækst blive forsinket. Alle disse virkninger optrådte ved høje doser.</w:t>
      </w:r>
    </w:p>
    <w:p w:rsidR="00F12A4C" w:rsidRPr="00314C9D" w:rsidRDefault="00F12A4C" w:rsidP="00F12A4C">
      <w:pPr>
        <w:rPr>
          <w:sz w:val="24"/>
          <w:szCs w:val="24"/>
        </w:rPr>
      </w:pPr>
    </w:p>
    <w:p w:rsidR="00F12A4C" w:rsidRPr="00314C9D" w:rsidRDefault="00F12A4C" w:rsidP="00F12A4C">
      <w:pPr>
        <w:rPr>
          <w:sz w:val="24"/>
          <w:szCs w:val="24"/>
        </w:rPr>
      </w:pPr>
    </w:p>
    <w:p w:rsidR="00336AEF" w:rsidRPr="00240CE9" w:rsidRDefault="00336AEF" w:rsidP="00314C9D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6.</w:t>
      </w:r>
      <w:r w:rsidRPr="00240CE9">
        <w:rPr>
          <w:b/>
          <w:sz w:val="24"/>
          <w:szCs w:val="24"/>
        </w:rPr>
        <w:tab/>
        <w:t>FARMACEUTISKE OPLYSNINGER</w:t>
      </w: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6.1</w:t>
      </w:r>
      <w:r w:rsidRPr="00240CE9">
        <w:rPr>
          <w:b/>
          <w:sz w:val="24"/>
          <w:szCs w:val="24"/>
        </w:rPr>
        <w:tab/>
        <w:t>Hjælpestoffer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  <w:proofErr w:type="spellStart"/>
      <w:r w:rsidRPr="00240CE9">
        <w:rPr>
          <w:sz w:val="24"/>
          <w:szCs w:val="24"/>
        </w:rPr>
        <w:t>La</w:t>
      </w:r>
      <w:r>
        <w:rPr>
          <w:sz w:val="24"/>
          <w:szCs w:val="24"/>
        </w:rPr>
        <w:t>c</w:t>
      </w:r>
      <w:r w:rsidRPr="00240CE9">
        <w:rPr>
          <w:sz w:val="24"/>
          <w:szCs w:val="24"/>
        </w:rPr>
        <w:t>tosemonohydrat</w:t>
      </w:r>
      <w:proofErr w:type="spellEnd"/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40CE9">
        <w:rPr>
          <w:sz w:val="24"/>
          <w:szCs w:val="24"/>
        </w:rPr>
        <w:t>Mikrokrystallinsk cellulose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40CE9">
        <w:rPr>
          <w:sz w:val="24"/>
          <w:szCs w:val="24"/>
        </w:rPr>
        <w:t>Croscarmellosenatrium</w:t>
      </w:r>
      <w:proofErr w:type="spellEnd"/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40CE9">
        <w:rPr>
          <w:sz w:val="24"/>
          <w:szCs w:val="24"/>
        </w:rPr>
        <w:t>Magnesiumstearat</w:t>
      </w:r>
      <w:proofErr w:type="spellEnd"/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6.2</w:t>
      </w:r>
      <w:r w:rsidRPr="00240CE9">
        <w:rPr>
          <w:b/>
          <w:sz w:val="24"/>
          <w:szCs w:val="24"/>
        </w:rPr>
        <w:tab/>
        <w:t>Uforligeligheder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  <w:t>Ikke relevant.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6.3</w:t>
      </w:r>
      <w:r w:rsidRPr="00240CE9">
        <w:rPr>
          <w:b/>
          <w:sz w:val="24"/>
          <w:szCs w:val="24"/>
        </w:rPr>
        <w:tab/>
        <w:t>Opbevaringstid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240CE9">
        <w:rPr>
          <w:sz w:val="24"/>
          <w:szCs w:val="24"/>
        </w:rPr>
        <w:t xml:space="preserve"> år</w:t>
      </w:r>
      <w:r>
        <w:rPr>
          <w:sz w:val="24"/>
          <w:szCs w:val="24"/>
        </w:rPr>
        <w:t>.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6.4</w:t>
      </w:r>
      <w:r w:rsidRPr="00240CE9">
        <w:rPr>
          <w:b/>
          <w:sz w:val="24"/>
          <w:szCs w:val="24"/>
        </w:rPr>
        <w:tab/>
        <w:t>Særlige opbevaringsforhold</w:t>
      </w:r>
    </w:p>
    <w:p w:rsidR="00B02AAB" w:rsidRDefault="00336AEF" w:rsidP="00B02AAB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  <w:r w:rsidR="00B02AAB">
        <w:rPr>
          <w:sz w:val="24"/>
          <w:szCs w:val="24"/>
        </w:rPr>
        <w:t>Opbevares ved temperaturer under 30 °C. Opbevares i den originale yderpakning for at beskytte mod lys.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6.5</w:t>
      </w:r>
      <w:r w:rsidRPr="00240CE9">
        <w:rPr>
          <w:b/>
          <w:sz w:val="24"/>
          <w:szCs w:val="24"/>
        </w:rPr>
        <w:tab/>
        <w:t>Emballagetyper og pakningsstørrelser</w:t>
      </w:r>
    </w:p>
    <w:p w:rsidR="00B02AAB" w:rsidRDefault="00336AEF" w:rsidP="00B02AAB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  <w:r w:rsidR="00F12A4C">
        <w:rPr>
          <w:sz w:val="24"/>
          <w:szCs w:val="24"/>
        </w:rPr>
        <w:t>Blister.</w:t>
      </w:r>
    </w:p>
    <w:p w:rsidR="00336AEF" w:rsidRPr="00240CE9" w:rsidRDefault="00336AEF" w:rsidP="00B02AAB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6.6</w:t>
      </w:r>
      <w:r w:rsidRPr="00240CE9">
        <w:rPr>
          <w:b/>
          <w:sz w:val="24"/>
          <w:szCs w:val="24"/>
        </w:rPr>
        <w:tab/>
        <w:t>Regler for destruktion og anden håndtering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  <w:t>Ingen særlige forholdsregler.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Default="00336AEF" w:rsidP="00336AE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40CE9">
        <w:rPr>
          <w:sz w:val="24"/>
          <w:szCs w:val="24"/>
        </w:rPr>
        <w:t>Ikke anvendt lægemiddel samt affald heraf skal bortskaffes i henhold til lokale retningslinjer.</w:t>
      </w:r>
    </w:p>
    <w:p w:rsidR="00336AEF" w:rsidRPr="00240CE9" w:rsidRDefault="00336AEF" w:rsidP="00336AEF">
      <w:pPr>
        <w:ind w:left="851" w:hanging="851"/>
        <w:jc w:val="both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7.</w:t>
      </w:r>
      <w:r w:rsidRPr="00240CE9">
        <w:rPr>
          <w:b/>
          <w:sz w:val="24"/>
          <w:szCs w:val="24"/>
        </w:rPr>
        <w:tab/>
        <w:t>INDEHAVER AF MARKEDSFØRINGSTILLADELSEN</w:t>
      </w:r>
    </w:p>
    <w:p w:rsidR="00F12A4C" w:rsidRPr="00C04E3B" w:rsidRDefault="00336AEF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240CE9">
        <w:rPr>
          <w:sz w:val="24"/>
          <w:szCs w:val="24"/>
        </w:rPr>
        <w:tab/>
      </w:r>
      <w:proofErr w:type="spellStart"/>
      <w:r w:rsidR="00F12A4C" w:rsidRPr="00C04E3B">
        <w:rPr>
          <w:spacing w:val="-3"/>
          <w:sz w:val="24"/>
          <w:szCs w:val="24"/>
        </w:rPr>
        <w:t>Orifarm</w:t>
      </w:r>
      <w:proofErr w:type="spellEnd"/>
      <w:r w:rsidR="00F12A4C" w:rsidRPr="00C04E3B">
        <w:rPr>
          <w:spacing w:val="-3"/>
          <w:sz w:val="24"/>
          <w:szCs w:val="24"/>
        </w:rPr>
        <w:t xml:space="preserve"> A/S</w:t>
      </w:r>
    </w:p>
    <w:p w:rsidR="00F12A4C" w:rsidRPr="00C04E3B" w:rsidRDefault="00F12A4C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C04E3B">
        <w:rPr>
          <w:spacing w:val="-3"/>
          <w:sz w:val="24"/>
          <w:szCs w:val="24"/>
        </w:rPr>
        <w:tab/>
        <w:t>Energivej 15</w:t>
      </w:r>
    </w:p>
    <w:p w:rsidR="00F12A4C" w:rsidRPr="00C04E3B" w:rsidRDefault="00F12A4C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C04E3B">
        <w:rPr>
          <w:spacing w:val="-3"/>
          <w:sz w:val="24"/>
          <w:szCs w:val="24"/>
        </w:rPr>
        <w:tab/>
        <w:t>5260 Odense S</w:t>
      </w:r>
    </w:p>
    <w:p w:rsidR="00336AEF" w:rsidRPr="00C04E3B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8.</w:t>
      </w:r>
      <w:r w:rsidRPr="00240CE9">
        <w:rPr>
          <w:b/>
          <w:sz w:val="24"/>
          <w:szCs w:val="24"/>
        </w:rPr>
        <w:tab/>
        <w:t>MARKEDSFØRINGSTILLADELSESNUMMER (NUMRE)</w:t>
      </w:r>
    </w:p>
    <w:p w:rsidR="00336AEF" w:rsidRPr="00240CE9" w:rsidRDefault="00336AEF" w:rsidP="00A876F8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  <w:r w:rsidR="00A876F8" w:rsidRPr="00A876F8">
        <w:rPr>
          <w:sz w:val="24"/>
          <w:szCs w:val="24"/>
        </w:rPr>
        <w:t>65537</w:t>
      </w:r>
    </w:p>
    <w:p w:rsidR="00336AEF" w:rsidRPr="00240CE9" w:rsidRDefault="00336AEF" w:rsidP="00336AEF">
      <w:pPr>
        <w:ind w:left="851" w:hanging="851"/>
        <w:jc w:val="both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9.</w:t>
      </w:r>
      <w:r w:rsidRPr="00240CE9">
        <w:rPr>
          <w:b/>
          <w:sz w:val="24"/>
          <w:szCs w:val="24"/>
        </w:rPr>
        <w:tab/>
        <w:t>DATO FOR FØRSTE MARKEDSFØRINGSTILLADELSE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  <w:r w:rsidRPr="00240CE9">
        <w:rPr>
          <w:sz w:val="24"/>
          <w:szCs w:val="24"/>
        </w:rPr>
        <w:tab/>
      </w:r>
      <w:r w:rsidR="00A876F8">
        <w:rPr>
          <w:sz w:val="24"/>
          <w:szCs w:val="24"/>
        </w:rPr>
        <w:t>25. juni 2021</w:t>
      </w:r>
    </w:p>
    <w:p w:rsidR="00336AEF" w:rsidRPr="00240CE9" w:rsidRDefault="00336AEF" w:rsidP="00336AEF">
      <w:pPr>
        <w:ind w:left="851" w:hanging="851"/>
        <w:rPr>
          <w:sz w:val="24"/>
          <w:szCs w:val="24"/>
        </w:rPr>
      </w:pPr>
    </w:p>
    <w:p w:rsidR="00336AEF" w:rsidRPr="00240CE9" w:rsidRDefault="00336AEF" w:rsidP="00336AEF">
      <w:pPr>
        <w:ind w:left="851" w:hanging="851"/>
        <w:rPr>
          <w:b/>
          <w:sz w:val="24"/>
          <w:szCs w:val="24"/>
        </w:rPr>
      </w:pPr>
      <w:r w:rsidRPr="00240CE9">
        <w:rPr>
          <w:b/>
          <w:sz w:val="24"/>
          <w:szCs w:val="24"/>
        </w:rPr>
        <w:t>10.</w:t>
      </w:r>
      <w:r w:rsidRPr="00240CE9">
        <w:rPr>
          <w:b/>
          <w:sz w:val="24"/>
          <w:szCs w:val="24"/>
        </w:rPr>
        <w:tab/>
        <w:t>DATO FOR ÆNDRING AF TEKSTEN</w:t>
      </w:r>
    </w:p>
    <w:p w:rsidR="009260DE" w:rsidRPr="00336AEF" w:rsidRDefault="00E424AA" w:rsidP="00E424AA">
      <w:pPr>
        <w:ind w:left="851"/>
      </w:pPr>
      <w:r>
        <w:rPr>
          <w:sz w:val="24"/>
          <w:szCs w:val="24"/>
        </w:rPr>
        <w:t>11. februar 2022</w:t>
      </w:r>
    </w:p>
    <w:sectPr w:rsidR="009260DE" w:rsidRPr="00336AEF" w:rsidSect="000259B9">
      <w:footerReference w:type="default" r:id="rId14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7A7" w:rsidRDefault="00DC77A7">
      <w:r>
        <w:separator/>
      </w:r>
    </w:p>
  </w:endnote>
  <w:endnote w:type="continuationSeparator" w:id="0">
    <w:p w:rsidR="00DC77A7" w:rsidRDefault="00DC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A7" w:rsidRDefault="00DC77A7">
    <w:pPr>
      <w:pStyle w:val="Sidefod"/>
      <w:pBdr>
        <w:bottom w:val="single" w:sz="6" w:space="1" w:color="auto"/>
      </w:pBdr>
    </w:pPr>
  </w:p>
  <w:p w:rsidR="00DC77A7" w:rsidRDefault="00DC77A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DC77A7" w:rsidRPr="00B373D7" w:rsidRDefault="00DC77A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Dexametason Abcur (Orifarm), tabletter 1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7A7" w:rsidRDefault="00DC77A7">
      <w:r>
        <w:separator/>
      </w:r>
    </w:p>
  </w:footnote>
  <w:footnote w:type="continuationSeparator" w:id="0">
    <w:p w:rsidR="00DC77A7" w:rsidRDefault="00DC77A7">
      <w:r>
        <w:continuationSeparator/>
      </w:r>
    </w:p>
  </w:footnote>
  <w:footnote w:id="1">
    <w:p w:rsidR="00DC77A7" w:rsidRDefault="00DC77A7" w:rsidP="0042024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bookmarkStart w:id="1" w:name="recoverytrial"/>
      <w:r>
        <w:fldChar w:fldCharType="begin"/>
      </w:r>
      <w:r w:rsidRPr="00D55200">
        <w:rPr>
          <w:lang w:val="fr-CH"/>
        </w:rPr>
        <w:instrText xml:space="preserve"> HYPERLINK "http://www.recoverytrial.net" </w:instrText>
      </w:r>
      <w:r>
        <w:fldChar w:fldCharType="separate"/>
      </w:r>
      <w:r w:rsidRPr="00D55200">
        <w:rPr>
          <w:rStyle w:val="Hyperlink"/>
          <w:lang w:val="fr-CH"/>
        </w:rPr>
        <w:t>www.recoverytrial.net</w:t>
      </w:r>
      <w:r>
        <w:fldChar w:fldCharType="end"/>
      </w:r>
      <w:bookmarkEnd w:id="1"/>
    </w:p>
  </w:footnote>
  <w:footnote w:id="2">
    <w:p w:rsidR="00DC77A7" w:rsidRDefault="00DC77A7" w:rsidP="00420245">
      <w:pPr>
        <w:pStyle w:val="Fodnotetekst"/>
      </w:pPr>
      <w:r>
        <w:rPr>
          <w:rStyle w:val="Fodnotehenvisning"/>
        </w:rPr>
        <w:footnoteRef/>
      </w:r>
      <w:r>
        <w:t>,</w:t>
      </w:r>
      <w:r>
        <w:rPr>
          <w:rStyle w:val="Fodnotehenvisning"/>
        </w:rPr>
        <w:t>3</w:t>
      </w:r>
      <w:r>
        <w:t xml:space="preserve"> </w:t>
      </w:r>
      <w:r w:rsidRPr="00D55200">
        <w:rPr>
          <w:sz w:val="16"/>
          <w:szCs w:val="16"/>
          <w:lang w:val="fr-CH"/>
        </w:rPr>
        <w:t>(</w:t>
      </w:r>
      <w:bookmarkStart w:id="2" w:name="Medrxiv"/>
      <w:r>
        <w:rPr>
          <w:sz w:val="16"/>
          <w:szCs w:val="16"/>
          <w:lang w:val="fr-CH"/>
        </w:rPr>
        <w:t>kilde</w:t>
      </w:r>
      <w:r w:rsidRPr="00D55200">
        <w:rPr>
          <w:sz w:val="16"/>
          <w:szCs w:val="16"/>
          <w:lang w:val="fr-CH"/>
        </w:rPr>
        <w:t xml:space="preserve">: Horby P. et al., 2020; </w:t>
      </w:r>
      <w:hyperlink r:id="rId1" w:history="1">
        <w:r w:rsidRPr="00D55200">
          <w:rPr>
            <w:rStyle w:val="Hyperlink"/>
            <w:sz w:val="16"/>
            <w:szCs w:val="16"/>
            <w:lang w:val="fr-CH"/>
          </w:rPr>
          <w:t>https://www.medrxiv.org/content/10.1101/2020.06.22.20137273v1</w:t>
        </w:r>
      </w:hyperlink>
      <w:r w:rsidRPr="00D55200">
        <w:rPr>
          <w:sz w:val="16"/>
          <w:szCs w:val="16"/>
          <w:lang w:val="fr-CH"/>
        </w:rPr>
        <w:t xml:space="preserve"> ; doi: https://doi.org/10.1101/2020.06.22.20137273</w:t>
      </w:r>
      <w:bookmarkEnd w:id="2"/>
      <w:r w:rsidRPr="00D55200">
        <w:rPr>
          <w:sz w:val="16"/>
          <w:szCs w:val="16"/>
          <w:lang w:val="fr-CH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0B85"/>
    <w:multiLevelType w:val="hybridMultilevel"/>
    <w:tmpl w:val="5B6CD85C"/>
    <w:lvl w:ilvl="0" w:tplc="A1B29870">
      <w:start w:val="20"/>
      <w:numFmt w:val="bullet"/>
      <w:lvlText w:val="-"/>
      <w:lvlJc w:val="left"/>
      <w:pPr>
        <w:ind w:left="1571" w:hanging="360"/>
      </w:pPr>
      <w:rPr>
        <w:rFonts w:ascii="Verdana" w:eastAsia="Calibri" w:hAnsi="Verdana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EF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14C9D"/>
    <w:rsid w:val="00336AEF"/>
    <w:rsid w:val="003A29AE"/>
    <w:rsid w:val="003A32D7"/>
    <w:rsid w:val="003B4074"/>
    <w:rsid w:val="003C769A"/>
    <w:rsid w:val="003F1838"/>
    <w:rsid w:val="00420245"/>
    <w:rsid w:val="0045746C"/>
    <w:rsid w:val="0049104B"/>
    <w:rsid w:val="004E3B12"/>
    <w:rsid w:val="00532310"/>
    <w:rsid w:val="00560ECC"/>
    <w:rsid w:val="00565F0F"/>
    <w:rsid w:val="00594A86"/>
    <w:rsid w:val="00596D86"/>
    <w:rsid w:val="005E4665"/>
    <w:rsid w:val="00637F5A"/>
    <w:rsid w:val="00653E1C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37EFA"/>
    <w:rsid w:val="00A876F8"/>
    <w:rsid w:val="00B003BF"/>
    <w:rsid w:val="00B02AAB"/>
    <w:rsid w:val="00B373D7"/>
    <w:rsid w:val="00C04E3B"/>
    <w:rsid w:val="00C36276"/>
    <w:rsid w:val="00C42586"/>
    <w:rsid w:val="00C60CCD"/>
    <w:rsid w:val="00C84483"/>
    <w:rsid w:val="00C95551"/>
    <w:rsid w:val="00CA0BDF"/>
    <w:rsid w:val="00CB20D7"/>
    <w:rsid w:val="00D020B0"/>
    <w:rsid w:val="00D11748"/>
    <w:rsid w:val="00D366CF"/>
    <w:rsid w:val="00DC77A7"/>
    <w:rsid w:val="00E108AA"/>
    <w:rsid w:val="00E31812"/>
    <w:rsid w:val="00E3749A"/>
    <w:rsid w:val="00E424AA"/>
    <w:rsid w:val="00E7437F"/>
    <w:rsid w:val="00E865B8"/>
    <w:rsid w:val="00EC0B9B"/>
    <w:rsid w:val="00EC5F5F"/>
    <w:rsid w:val="00ED5E9F"/>
    <w:rsid w:val="00F12A4C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F0140D"/>
  <w15:chartTrackingRefBased/>
  <w15:docId w15:val="{01F6F686-6953-4D28-B639-10B2F505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F12A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2A4C"/>
    <w:rPr>
      <w:color w:val="605E5C"/>
      <w:shd w:val="clear" w:color="auto" w:fill="E1DFDD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20245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0245"/>
    <w:rPr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20245"/>
    <w:rPr>
      <w:vertAlign w:val="superscript"/>
    </w:rPr>
  </w:style>
  <w:style w:type="table" w:styleId="Tabel-Gitter">
    <w:name w:val="Table Grid"/>
    <w:basedOn w:val="Tabel-Normal"/>
    <w:uiPriority w:val="39"/>
    <w:rsid w:val="0042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20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ejm.org/doi/full/10.1056/NEJMoa2021436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rxiv.org/content/10.1101/2020.06.22.20137273v1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6</TotalTime>
  <Pages>13</Pages>
  <Words>3239</Words>
  <Characters>22083</Characters>
  <Application>Microsoft Office Word</Application>
  <DocSecurity>0</DocSecurity>
  <Lines>184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2022021994, pkt. 4.1, 4.2, 4.4, 4.6, 4.8, 5.1, 5.2</dc:description>
  <cp:lastModifiedBy>Gitte Jørgensen</cp:lastModifiedBy>
  <cp:revision>6</cp:revision>
  <cp:lastPrinted>2012-08-22T08:53:00Z</cp:lastPrinted>
  <dcterms:created xsi:type="dcterms:W3CDTF">2022-02-11T08:24:00Z</dcterms:created>
  <dcterms:modified xsi:type="dcterms:W3CDTF">2022-02-11T09:46:00Z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