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403C" w:rsidRPr="008F49E1" w:rsidRDefault="0050403C" w:rsidP="0050403C">
      <w:pPr>
        <w:rPr>
          <w:sz w:val="24"/>
          <w:szCs w:val="24"/>
        </w:rPr>
      </w:pPr>
      <w:r w:rsidRPr="009260DE">
        <w:rPr>
          <w:noProof/>
          <w:sz w:val="24"/>
          <w:szCs w:val="24"/>
          <w:lang w:eastAsia="da-DK"/>
        </w:rPr>
        <w:drawing>
          <wp:anchor distT="0" distB="0" distL="114300" distR="114300" simplePos="0" relativeHeight="251659264" behindDoc="0" locked="0" layoutInCell="1" allowOverlap="1" wp14:anchorId="42C028D7" wp14:editId="60EB98D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50403C" w:rsidRPr="00447B7D" w:rsidRDefault="0050403C" w:rsidP="0050403C">
      <w:pPr>
        <w:pStyle w:val="Titel"/>
        <w:tabs>
          <w:tab w:val="right" w:pos="9356"/>
        </w:tabs>
        <w:jc w:val="left"/>
        <w:rPr>
          <w:b w:val="0"/>
          <w:szCs w:val="24"/>
          <w:lang w:eastAsia="en-US"/>
        </w:rPr>
      </w:pPr>
      <w:r w:rsidRPr="00447B7D">
        <w:rPr>
          <w:b w:val="0"/>
          <w:szCs w:val="24"/>
          <w:lang w:eastAsia="en-US"/>
        </w:rPr>
        <w:tab/>
      </w:r>
      <w:r w:rsidR="00761175" w:rsidRPr="00447B7D">
        <w:rPr>
          <w:szCs w:val="24"/>
          <w:lang w:eastAsia="en-US"/>
        </w:rPr>
        <w:t>2</w:t>
      </w:r>
      <w:r w:rsidR="00474A35" w:rsidRPr="00447B7D">
        <w:rPr>
          <w:szCs w:val="24"/>
          <w:lang w:eastAsia="en-US"/>
        </w:rPr>
        <w:t>1</w:t>
      </w:r>
      <w:r w:rsidRPr="00447B7D">
        <w:rPr>
          <w:szCs w:val="24"/>
        </w:rPr>
        <w:t xml:space="preserve">. </w:t>
      </w:r>
      <w:r w:rsidR="00474A35" w:rsidRPr="00447B7D">
        <w:rPr>
          <w:szCs w:val="24"/>
        </w:rPr>
        <w:t>november</w:t>
      </w:r>
      <w:r w:rsidRPr="00447B7D">
        <w:rPr>
          <w:szCs w:val="24"/>
        </w:rPr>
        <w:t xml:space="preserve"> 20</w:t>
      </w:r>
      <w:r w:rsidR="00761175" w:rsidRPr="00447B7D">
        <w:rPr>
          <w:szCs w:val="24"/>
        </w:rPr>
        <w:t>2</w:t>
      </w:r>
      <w:r w:rsidR="00474A35" w:rsidRPr="00447B7D">
        <w:rPr>
          <w:szCs w:val="24"/>
        </w:rPr>
        <w:t>3</w:t>
      </w:r>
    </w:p>
    <w:p w:rsidR="00761175" w:rsidRPr="00447B7D" w:rsidRDefault="00761175" w:rsidP="0050403C">
      <w:pPr>
        <w:pStyle w:val="Titel"/>
        <w:jc w:val="left"/>
        <w:rPr>
          <w:b w:val="0"/>
          <w:szCs w:val="24"/>
        </w:rPr>
      </w:pPr>
    </w:p>
    <w:p w:rsidR="0050403C" w:rsidRPr="00447B7D" w:rsidRDefault="0050403C" w:rsidP="0050403C">
      <w:pPr>
        <w:pStyle w:val="Titel"/>
        <w:jc w:val="left"/>
        <w:rPr>
          <w:b w:val="0"/>
          <w:szCs w:val="24"/>
        </w:rPr>
      </w:pPr>
    </w:p>
    <w:p w:rsidR="0050403C" w:rsidRPr="006416BD" w:rsidRDefault="0050403C" w:rsidP="0050403C">
      <w:pPr>
        <w:jc w:val="center"/>
        <w:rPr>
          <w:b/>
          <w:sz w:val="24"/>
          <w:szCs w:val="24"/>
          <w:lang w:val="en-US"/>
        </w:rPr>
      </w:pPr>
      <w:r w:rsidRPr="006416BD">
        <w:rPr>
          <w:b/>
          <w:sz w:val="24"/>
          <w:szCs w:val="24"/>
          <w:lang w:val="en-US"/>
        </w:rPr>
        <w:t>PRODUKTRESUMÉ</w:t>
      </w:r>
    </w:p>
    <w:p w:rsidR="0050403C" w:rsidRPr="006416BD" w:rsidRDefault="0050403C" w:rsidP="0050403C">
      <w:pPr>
        <w:jc w:val="center"/>
        <w:rPr>
          <w:b/>
          <w:sz w:val="24"/>
          <w:szCs w:val="24"/>
          <w:lang w:val="en-US"/>
        </w:rPr>
      </w:pPr>
    </w:p>
    <w:p w:rsidR="0050403C" w:rsidRPr="006416BD" w:rsidRDefault="0050403C" w:rsidP="0050403C">
      <w:pPr>
        <w:jc w:val="center"/>
        <w:rPr>
          <w:b/>
          <w:sz w:val="24"/>
          <w:szCs w:val="24"/>
          <w:lang w:val="en-US"/>
        </w:rPr>
      </w:pPr>
      <w:r w:rsidRPr="006416BD">
        <w:rPr>
          <w:b/>
          <w:sz w:val="24"/>
          <w:szCs w:val="24"/>
          <w:lang w:val="en-US"/>
        </w:rPr>
        <w:t>for</w:t>
      </w:r>
    </w:p>
    <w:p w:rsidR="0050403C" w:rsidRPr="006416BD" w:rsidRDefault="0050403C" w:rsidP="0050403C">
      <w:pPr>
        <w:jc w:val="center"/>
        <w:rPr>
          <w:b/>
          <w:sz w:val="24"/>
          <w:szCs w:val="24"/>
          <w:lang w:val="en-US"/>
        </w:rPr>
      </w:pPr>
    </w:p>
    <w:p w:rsidR="0050403C" w:rsidRPr="006416BD" w:rsidRDefault="00E05AF9" w:rsidP="0050403C">
      <w:pPr>
        <w:jc w:val="center"/>
        <w:rPr>
          <w:b/>
          <w:sz w:val="24"/>
          <w:szCs w:val="24"/>
          <w:lang w:val="en-US"/>
        </w:rPr>
      </w:pPr>
      <w:proofErr w:type="spellStart"/>
      <w:r w:rsidRPr="006416BD">
        <w:rPr>
          <w:b/>
          <w:sz w:val="24"/>
          <w:szCs w:val="24"/>
          <w:lang w:val="en-US"/>
        </w:rPr>
        <w:t>Dexamethason</w:t>
      </w:r>
      <w:proofErr w:type="spellEnd"/>
      <w:r w:rsidRPr="006416BD">
        <w:rPr>
          <w:b/>
          <w:sz w:val="24"/>
          <w:szCs w:val="24"/>
          <w:lang w:val="en-US"/>
        </w:rPr>
        <w:t xml:space="preserve"> ”2care4”</w:t>
      </w:r>
      <w:r w:rsidR="0050403C" w:rsidRPr="006416BD">
        <w:rPr>
          <w:b/>
          <w:sz w:val="24"/>
          <w:szCs w:val="24"/>
          <w:lang w:val="en-US"/>
        </w:rPr>
        <w:t xml:space="preserve">, </w:t>
      </w:r>
      <w:proofErr w:type="spellStart"/>
      <w:r w:rsidR="0050403C" w:rsidRPr="006416BD">
        <w:rPr>
          <w:b/>
          <w:sz w:val="24"/>
          <w:szCs w:val="24"/>
          <w:lang w:val="en-US"/>
        </w:rPr>
        <w:t>tabletter</w:t>
      </w:r>
      <w:proofErr w:type="spellEnd"/>
      <w:r w:rsidRPr="006416BD">
        <w:rPr>
          <w:b/>
          <w:sz w:val="24"/>
          <w:szCs w:val="24"/>
          <w:lang w:val="en-US"/>
        </w:rPr>
        <w:t xml:space="preserve"> (2care4)</w:t>
      </w:r>
    </w:p>
    <w:p w:rsidR="0050403C" w:rsidRPr="006416BD" w:rsidRDefault="0050403C" w:rsidP="0050403C">
      <w:pPr>
        <w:jc w:val="both"/>
        <w:rPr>
          <w:sz w:val="24"/>
          <w:szCs w:val="24"/>
          <w:lang w:val="en-US"/>
        </w:rPr>
      </w:pPr>
    </w:p>
    <w:p w:rsidR="0050403C" w:rsidRPr="006416BD" w:rsidRDefault="0050403C" w:rsidP="0050403C">
      <w:pPr>
        <w:ind w:left="851" w:hanging="851"/>
        <w:jc w:val="both"/>
        <w:rPr>
          <w:sz w:val="24"/>
          <w:szCs w:val="24"/>
          <w:lang w:val="en-US"/>
        </w:rPr>
      </w:pPr>
    </w:p>
    <w:p w:rsidR="0050403C" w:rsidRPr="00034AE2" w:rsidRDefault="0050403C" w:rsidP="0050403C">
      <w:pPr>
        <w:ind w:left="851" w:hanging="851"/>
        <w:rPr>
          <w:b/>
          <w:sz w:val="24"/>
          <w:szCs w:val="24"/>
        </w:rPr>
      </w:pPr>
      <w:r w:rsidRPr="00034AE2">
        <w:rPr>
          <w:b/>
          <w:sz w:val="24"/>
          <w:szCs w:val="24"/>
        </w:rPr>
        <w:t>0.</w:t>
      </w:r>
      <w:r w:rsidRPr="00034AE2">
        <w:rPr>
          <w:b/>
          <w:sz w:val="24"/>
          <w:szCs w:val="24"/>
        </w:rPr>
        <w:tab/>
        <w:t>D.SP.NR.</w:t>
      </w:r>
    </w:p>
    <w:p w:rsidR="0050403C" w:rsidRPr="00034AE2" w:rsidRDefault="0050403C" w:rsidP="0050403C">
      <w:pPr>
        <w:ind w:left="851" w:hanging="851"/>
        <w:rPr>
          <w:sz w:val="24"/>
          <w:szCs w:val="24"/>
        </w:rPr>
      </w:pPr>
      <w:r>
        <w:rPr>
          <w:sz w:val="24"/>
          <w:szCs w:val="24"/>
        </w:rPr>
        <w:tab/>
      </w:r>
      <w:r w:rsidRPr="00034AE2">
        <w:rPr>
          <w:sz w:val="24"/>
          <w:szCs w:val="24"/>
        </w:rPr>
        <w:t>30532</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1.</w:t>
      </w:r>
      <w:r w:rsidRPr="00034AE2">
        <w:rPr>
          <w:b/>
          <w:sz w:val="24"/>
          <w:szCs w:val="24"/>
        </w:rPr>
        <w:tab/>
        <w:t>LÆGEMIDLETS NAVN</w:t>
      </w:r>
    </w:p>
    <w:p w:rsidR="0050403C" w:rsidRPr="00034AE2" w:rsidRDefault="0050403C" w:rsidP="0050403C">
      <w:pPr>
        <w:ind w:left="851" w:hanging="851"/>
        <w:rPr>
          <w:sz w:val="24"/>
          <w:szCs w:val="24"/>
        </w:rPr>
      </w:pPr>
      <w:r>
        <w:rPr>
          <w:sz w:val="24"/>
          <w:szCs w:val="24"/>
        </w:rPr>
        <w:tab/>
      </w:r>
      <w:proofErr w:type="spellStart"/>
      <w:r w:rsidR="00E05AF9">
        <w:rPr>
          <w:sz w:val="24"/>
          <w:szCs w:val="24"/>
        </w:rPr>
        <w:t>Dexamethason</w:t>
      </w:r>
      <w:proofErr w:type="spellEnd"/>
      <w:r w:rsidR="00E05AF9">
        <w:rPr>
          <w:sz w:val="24"/>
          <w:szCs w:val="24"/>
        </w:rPr>
        <w:t xml:space="preserve"> ”2care4”</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2.</w:t>
      </w:r>
      <w:r w:rsidRPr="00034AE2">
        <w:rPr>
          <w:b/>
          <w:sz w:val="24"/>
          <w:szCs w:val="24"/>
        </w:rPr>
        <w:tab/>
        <w:t>KVALITATIV OG KVANTITATIV SAMMENSÆTNING</w:t>
      </w:r>
    </w:p>
    <w:p w:rsidR="0050403C" w:rsidRPr="00034AE2" w:rsidRDefault="0050403C" w:rsidP="0050403C">
      <w:pPr>
        <w:widowControl w:val="0"/>
        <w:ind w:left="851" w:hanging="851"/>
        <w:rPr>
          <w:sz w:val="24"/>
          <w:szCs w:val="24"/>
          <w:lang w:eastAsia="da-DK"/>
        </w:rPr>
      </w:pPr>
      <w:r>
        <w:rPr>
          <w:sz w:val="24"/>
          <w:szCs w:val="24"/>
        </w:rPr>
        <w:tab/>
      </w:r>
      <w:r w:rsidRPr="00034AE2">
        <w:rPr>
          <w:sz w:val="24"/>
          <w:szCs w:val="24"/>
        </w:rPr>
        <w:t xml:space="preserve">Hver tablet indeholder 4 mg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hanging="851"/>
        <w:rPr>
          <w:sz w:val="24"/>
          <w:szCs w:val="24"/>
          <w:highlight w:val="lightGray"/>
        </w:rPr>
      </w:pPr>
    </w:p>
    <w:p w:rsidR="0050403C" w:rsidRPr="00034AE2" w:rsidRDefault="0050403C" w:rsidP="0050403C">
      <w:pPr>
        <w:widowControl w:val="0"/>
        <w:autoSpaceDE w:val="0"/>
        <w:autoSpaceDN w:val="0"/>
        <w:adjustRightInd w:val="0"/>
        <w:ind w:left="851"/>
        <w:jc w:val="both"/>
        <w:rPr>
          <w:bCs/>
          <w:noProof/>
          <w:sz w:val="24"/>
          <w:szCs w:val="24"/>
          <w:u w:val="single"/>
        </w:rPr>
      </w:pPr>
      <w:r w:rsidRPr="00034AE2">
        <w:rPr>
          <w:bCs/>
          <w:sz w:val="24"/>
          <w:szCs w:val="24"/>
          <w:u w:val="single"/>
        </w:rPr>
        <w:t>Hjælpestof som behandleren skal være opmærksom på:</w:t>
      </w:r>
    </w:p>
    <w:p w:rsidR="0050403C" w:rsidRPr="00034AE2" w:rsidRDefault="0050403C" w:rsidP="0050403C">
      <w:pPr>
        <w:widowControl w:val="0"/>
        <w:autoSpaceDE w:val="0"/>
        <w:autoSpaceDN w:val="0"/>
        <w:adjustRightInd w:val="0"/>
        <w:ind w:left="851"/>
        <w:jc w:val="both"/>
        <w:rPr>
          <w:bCs/>
          <w:noProof/>
          <w:sz w:val="24"/>
          <w:szCs w:val="24"/>
        </w:rPr>
      </w:pPr>
      <w:r w:rsidRPr="00034AE2">
        <w:rPr>
          <w:bCs/>
          <w:sz w:val="24"/>
          <w:szCs w:val="24"/>
        </w:rPr>
        <w:t xml:space="preserve">Hver tablet indeholder 77,9 mg </w:t>
      </w:r>
      <w:proofErr w:type="spellStart"/>
      <w:r w:rsidRPr="00034AE2">
        <w:rPr>
          <w:bCs/>
          <w:sz w:val="24"/>
          <w:szCs w:val="24"/>
        </w:rPr>
        <w:t>lactose</w:t>
      </w:r>
      <w:proofErr w:type="spellEnd"/>
      <w:r w:rsidRPr="00034AE2">
        <w:rPr>
          <w:bCs/>
          <w:sz w:val="24"/>
          <w:szCs w:val="24"/>
        </w:rPr>
        <w:t xml:space="preserve"> (som </w:t>
      </w:r>
      <w:proofErr w:type="spellStart"/>
      <w:r w:rsidRPr="00034AE2">
        <w:rPr>
          <w:bCs/>
          <w:sz w:val="24"/>
          <w:szCs w:val="24"/>
        </w:rPr>
        <w:t>lactosemonohydrat</w:t>
      </w:r>
      <w:proofErr w:type="spellEnd"/>
      <w:r w:rsidRPr="00034AE2">
        <w:rPr>
          <w:bCs/>
          <w:sz w:val="24"/>
          <w:szCs w:val="24"/>
        </w:rPr>
        <w:t>).</w:t>
      </w:r>
    </w:p>
    <w:p w:rsidR="0050403C" w:rsidRPr="00034AE2" w:rsidRDefault="0050403C" w:rsidP="0050403C">
      <w:pPr>
        <w:widowControl w:val="0"/>
        <w:autoSpaceDE w:val="0"/>
        <w:autoSpaceDN w:val="0"/>
        <w:adjustRightInd w:val="0"/>
        <w:ind w:left="851" w:hanging="851"/>
        <w:jc w:val="both"/>
        <w:rPr>
          <w:sz w:val="24"/>
          <w:szCs w:val="24"/>
        </w:rPr>
      </w:pPr>
    </w:p>
    <w:p w:rsidR="0050403C" w:rsidRPr="00034AE2" w:rsidRDefault="0050403C" w:rsidP="0050403C">
      <w:pPr>
        <w:widowControl w:val="0"/>
        <w:autoSpaceDE w:val="0"/>
        <w:autoSpaceDN w:val="0"/>
        <w:adjustRightInd w:val="0"/>
        <w:ind w:left="851"/>
        <w:jc w:val="both"/>
        <w:rPr>
          <w:noProof/>
          <w:sz w:val="24"/>
          <w:szCs w:val="24"/>
        </w:rPr>
      </w:pPr>
      <w:r w:rsidRPr="00034AE2">
        <w:rPr>
          <w:sz w:val="24"/>
          <w:szCs w:val="24"/>
        </w:rPr>
        <w:t>Alle hjælpestoffer er anført under pkt. 6.1.</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3.</w:t>
      </w:r>
      <w:r w:rsidRPr="00034AE2">
        <w:rPr>
          <w:b/>
          <w:sz w:val="24"/>
          <w:szCs w:val="24"/>
        </w:rPr>
        <w:tab/>
        <w:t>LÆGEMIDDELFORM</w:t>
      </w:r>
    </w:p>
    <w:p w:rsidR="0050403C" w:rsidRPr="00034AE2" w:rsidRDefault="0050403C" w:rsidP="0050403C">
      <w:pPr>
        <w:widowControl w:val="0"/>
        <w:ind w:left="851"/>
        <w:rPr>
          <w:noProof/>
          <w:sz w:val="24"/>
          <w:szCs w:val="24"/>
          <w:lang w:eastAsia="da-DK"/>
        </w:rPr>
      </w:pPr>
      <w:r w:rsidRPr="00034AE2">
        <w:rPr>
          <w:sz w:val="24"/>
          <w:szCs w:val="24"/>
        </w:rPr>
        <w:t>Tablet</w:t>
      </w:r>
      <w:r>
        <w:rPr>
          <w:sz w:val="24"/>
          <w:szCs w:val="24"/>
        </w:rPr>
        <w:t>ter</w:t>
      </w:r>
      <w:r w:rsidR="00E05AF9">
        <w:rPr>
          <w:sz w:val="24"/>
          <w:szCs w:val="24"/>
        </w:rPr>
        <w:t xml:space="preserve"> (2care4)</w:t>
      </w:r>
    </w:p>
    <w:p w:rsidR="0050403C" w:rsidRPr="00034AE2" w:rsidRDefault="0050403C" w:rsidP="0050403C">
      <w:pPr>
        <w:widowControl w:val="0"/>
        <w:ind w:left="851" w:hanging="851"/>
        <w:rPr>
          <w:noProof/>
          <w:sz w:val="24"/>
          <w:szCs w:val="24"/>
        </w:rPr>
      </w:pPr>
    </w:p>
    <w:p w:rsidR="0050403C" w:rsidRPr="00034AE2" w:rsidRDefault="0050403C" w:rsidP="0050403C">
      <w:pPr>
        <w:widowControl w:val="0"/>
        <w:ind w:left="851"/>
        <w:rPr>
          <w:noProof/>
          <w:sz w:val="24"/>
          <w:szCs w:val="24"/>
          <w:lang w:eastAsia="da-DK"/>
        </w:rPr>
      </w:pPr>
      <w:r w:rsidRPr="00034AE2">
        <w:rPr>
          <w:sz w:val="24"/>
          <w:szCs w:val="24"/>
        </w:rPr>
        <w:t>Tabletten kan deles i to lige store doser.</w:t>
      </w:r>
      <w:bookmarkStart w:id="0" w:name="_GoBack"/>
      <w:bookmarkEnd w:id="0"/>
    </w:p>
    <w:p w:rsidR="0050403C" w:rsidRPr="00034AE2" w:rsidRDefault="0050403C" w:rsidP="0050403C">
      <w:pPr>
        <w:ind w:left="851" w:hanging="851"/>
        <w:rPr>
          <w:sz w:val="24"/>
          <w:szCs w:val="24"/>
        </w:rPr>
      </w:pP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w:t>
      </w:r>
      <w:r w:rsidRPr="00034AE2">
        <w:rPr>
          <w:b/>
          <w:sz w:val="24"/>
          <w:szCs w:val="24"/>
        </w:rPr>
        <w:tab/>
        <w:t>KLINISKE OPLYSNINGER</w:t>
      </w:r>
    </w:p>
    <w:p w:rsidR="0050403C" w:rsidRPr="00034AE2" w:rsidRDefault="0050403C" w:rsidP="0050403C">
      <w:pPr>
        <w:ind w:left="851" w:hanging="851"/>
        <w:rPr>
          <w:b/>
          <w:sz w:val="24"/>
          <w:szCs w:val="24"/>
        </w:rPr>
      </w:pPr>
    </w:p>
    <w:p w:rsidR="0050403C" w:rsidRPr="00034AE2" w:rsidRDefault="0050403C" w:rsidP="0050403C">
      <w:pPr>
        <w:ind w:left="851" w:hanging="851"/>
        <w:rPr>
          <w:b/>
          <w:sz w:val="24"/>
          <w:szCs w:val="24"/>
          <w:u w:val="single"/>
        </w:rPr>
      </w:pPr>
      <w:r w:rsidRPr="00034AE2">
        <w:rPr>
          <w:b/>
          <w:sz w:val="24"/>
          <w:szCs w:val="24"/>
        </w:rPr>
        <w:t>4.1</w:t>
      </w:r>
      <w:r w:rsidRPr="00034AE2">
        <w:rPr>
          <w:b/>
          <w:sz w:val="24"/>
          <w:szCs w:val="24"/>
        </w:rPr>
        <w:tab/>
        <w:t>Terapeutiske indikationer</w:t>
      </w:r>
    </w:p>
    <w:p w:rsidR="0050403C" w:rsidRDefault="0050403C" w:rsidP="0050403C">
      <w:pPr>
        <w:widowControl w:val="0"/>
        <w:ind w:left="851"/>
        <w:rPr>
          <w:b/>
          <w:sz w:val="24"/>
          <w:szCs w:val="24"/>
        </w:rPr>
      </w:pPr>
    </w:p>
    <w:p w:rsidR="0050403C" w:rsidRPr="00034AE2" w:rsidRDefault="0050403C" w:rsidP="0050403C">
      <w:pPr>
        <w:widowControl w:val="0"/>
        <w:ind w:left="851"/>
        <w:rPr>
          <w:b/>
          <w:sz w:val="24"/>
          <w:szCs w:val="24"/>
          <w:lang w:eastAsia="da-DK"/>
        </w:rPr>
      </w:pPr>
      <w:r w:rsidRPr="00034AE2">
        <w:rPr>
          <w:b/>
          <w:sz w:val="24"/>
          <w:szCs w:val="24"/>
        </w:rPr>
        <w:t>Neurologi</w:t>
      </w:r>
    </w:p>
    <w:p w:rsidR="0050403C" w:rsidRPr="00034AE2" w:rsidRDefault="0050403C" w:rsidP="0050403C">
      <w:pPr>
        <w:widowControl w:val="0"/>
        <w:ind w:left="851"/>
        <w:rPr>
          <w:sz w:val="24"/>
          <w:szCs w:val="24"/>
        </w:rPr>
      </w:pPr>
      <w:r w:rsidRPr="00034AE2">
        <w:rPr>
          <w:sz w:val="24"/>
          <w:szCs w:val="24"/>
        </w:rPr>
        <w:t xml:space="preserve">Cerebralt ødem (kun med symptomer på </w:t>
      </w:r>
      <w:proofErr w:type="spellStart"/>
      <w:r w:rsidRPr="00034AE2">
        <w:rPr>
          <w:sz w:val="24"/>
          <w:szCs w:val="24"/>
        </w:rPr>
        <w:t>intrakranielt</w:t>
      </w:r>
      <w:proofErr w:type="spellEnd"/>
      <w:r w:rsidRPr="00034AE2">
        <w:rPr>
          <w:sz w:val="24"/>
          <w:szCs w:val="24"/>
        </w:rPr>
        <w:t xml:space="preserve"> tryk dokumenteret ved hjælp af computertomografi) forårsaget af hjernetumor, neurokirurgisk indgreb, cerebral absces.</w:t>
      </w:r>
    </w:p>
    <w:p w:rsidR="0050403C" w:rsidRPr="00034AE2" w:rsidRDefault="0050403C" w:rsidP="0050403C">
      <w:pPr>
        <w:widowControl w:val="0"/>
        <w:ind w:left="851"/>
        <w:rPr>
          <w:sz w:val="24"/>
          <w:szCs w:val="24"/>
        </w:rPr>
      </w:pPr>
    </w:p>
    <w:p w:rsidR="0050403C" w:rsidRPr="00034AE2" w:rsidRDefault="0050403C" w:rsidP="0050403C">
      <w:pPr>
        <w:widowControl w:val="0"/>
        <w:ind w:left="851"/>
        <w:rPr>
          <w:b/>
          <w:sz w:val="24"/>
          <w:szCs w:val="24"/>
        </w:rPr>
      </w:pPr>
      <w:proofErr w:type="spellStart"/>
      <w:r w:rsidRPr="00034AE2">
        <w:rPr>
          <w:b/>
          <w:sz w:val="24"/>
          <w:szCs w:val="24"/>
        </w:rPr>
        <w:t>Pulmonære</w:t>
      </w:r>
      <w:proofErr w:type="spellEnd"/>
      <w:r w:rsidRPr="00034AE2">
        <w:rPr>
          <w:b/>
          <w:sz w:val="24"/>
          <w:szCs w:val="24"/>
        </w:rPr>
        <w:t xml:space="preserve"> og respiratoriske sygdomme</w:t>
      </w:r>
    </w:p>
    <w:p w:rsidR="0050403C" w:rsidRPr="00034AE2" w:rsidRDefault="0050403C" w:rsidP="0050403C">
      <w:pPr>
        <w:widowControl w:val="0"/>
        <w:ind w:left="851"/>
        <w:rPr>
          <w:sz w:val="24"/>
          <w:szCs w:val="24"/>
        </w:rPr>
      </w:pPr>
      <w:r w:rsidRPr="00034AE2">
        <w:rPr>
          <w:sz w:val="24"/>
          <w:szCs w:val="24"/>
        </w:rPr>
        <w:t xml:space="preserve">Akut forværring af astma, når anvendelse af et oralt </w:t>
      </w:r>
      <w:proofErr w:type="spellStart"/>
      <w:r w:rsidRPr="00034AE2">
        <w:rPr>
          <w:sz w:val="24"/>
          <w:szCs w:val="24"/>
        </w:rPr>
        <w:t>kortikosteroid</w:t>
      </w:r>
      <w:proofErr w:type="spellEnd"/>
      <w:r w:rsidRPr="00034AE2">
        <w:rPr>
          <w:sz w:val="24"/>
          <w:szCs w:val="24"/>
        </w:rPr>
        <w:t xml:space="preserve"> (OCS) er hensigtsmæssig, strubehoste.</w:t>
      </w:r>
    </w:p>
    <w:p w:rsidR="0050403C" w:rsidRPr="00034AE2" w:rsidRDefault="0050403C" w:rsidP="0050403C">
      <w:pPr>
        <w:widowControl w:val="0"/>
        <w:ind w:left="851"/>
        <w:rPr>
          <w:sz w:val="24"/>
          <w:szCs w:val="24"/>
        </w:rPr>
      </w:pPr>
    </w:p>
    <w:p w:rsidR="0050403C" w:rsidRPr="00034AE2" w:rsidRDefault="0050403C" w:rsidP="0050403C">
      <w:pPr>
        <w:widowControl w:val="0"/>
        <w:ind w:left="851"/>
        <w:rPr>
          <w:b/>
          <w:sz w:val="24"/>
          <w:szCs w:val="24"/>
        </w:rPr>
      </w:pPr>
      <w:r w:rsidRPr="00034AE2">
        <w:rPr>
          <w:b/>
          <w:sz w:val="24"/>
          <w:szCs w:val="24"/>
        </w:rPr>
        <w:t>Dermatologi</w:t>
      </w:r>
    </w:p>
    <w:p w:rsidR="0050403C" w:rsidRPr="00034AE2" w:rsidRDefault="0050403C" w:rsidP="0050403C">
      <w:pPr>
        <w:widowControl w:val="0"/>
        <w:ind w:left="851"/>
        <w:rPr>
          <w:sz w:val="24"/>
          <w:szCs w:val="24"/>
        </w:rPr>
      </w:pPr>
      <w:r w:rsidRPr="00034AE2">
        <w:rPr>
          <w:sz w:val="24"/>
          <w:szCs w:val="24"/>
        </w:rPr>
        <w:t xml:space="preserve">Indledende behandling af udbredte, alvorlige og akutte hudsygdomme, der responderer på </w:t>
      </w:r>
      <w:proofErr w:type="spellStart"/>
      <w:r w:rsidRPr="00034AE2">
        <w:rPr>
          <w:sz w:val="24"/>
          <w:szCs w:val="24"/>
        </w:rPr>
        <w:t>glukokortikoider</w:t>
      </w:r>
      <w:proofErr w:type="spellEnd"/>
      <w:r w:rsidRPr="00034AE2">
        <w:rPr>
          <w:sz w:val="24"/>
          <w:szCs w:val="24"/>
        </w:rPr>
        <w:t xml:space="preserve">, f.eks. </w:t>
      </w:r>
      <w:proofErr w:type="spellStart"/>
      <w:r w:rsidRPr="00034AE2">
        <w:rPr>
          <w:sz w:val="24"/>
          <w:szCs w:val="24"/>
        </w:rPr>
        <w:t>erythroderma</w:t>
      </w:r>
      <w:proofErr w:type="spellEnd"/>
      <w:r w:rsidRPr="00034AE2">
        <w:rPr>
          <w:sz w:val="24"/>
          <w:szCs w:val="24"/>
        </w:rPr>
        <w:t xml:space="preserve">, </w:t>
      </w:r>
      <w:proofErr w:type="spellStart"/>
      <w:r w:rsidRPr="00034AE2">
        <w:rPr>
          <w:sz w:val="24"/>
          <w:szCs w:val="24"/>
        </w:rPr>
        <w:t>pemphigus</w:t>
      </w:r>
      <w:proofErr w:type="spellEnd"/>
      <w:r w:rsidRPr="00034AE2">
        <w:rPr>
          <w:sz w:val="24"/>
          <w:szCs w:val="24"/>
        </w:rPr>
        <w:t xml:space="preserve"> </w:t>
      </w:r>
      <w:proofErr w:type="spellStart"/>
      <w:r w:rsidRPr="00034AE2">
        <w:rPr>
          <w:sz w:val="24"/>
          <w:szCs w:val="24"/>
        </w:rPr>
        <w:t>vulgaris</w:t>
      </w:r>
      <w:proofErr w:type="spellEnd"/>
      <w:r w:rsidRPr="00034AE2">
        <w:rPr>
          <w:sz w:val="24"/>
          <w:szCs w:val="24"/>
        </w:rPr>
        <w:t>.</w:t>
      </w:r>
    </w:p>
    <w:p w:rsidR="0050403C" w:rsidRPr="00034AE2" w:rsidRDefault="0050403C" w:rsidP="0050403C">
      <w:pPr>
        <w:widowControl w:val="0"/>
        <w:ind w:left="851" w:hanging="851"/>
        <w:rPr>
          <w:sz w:val="24"/>
          <w:szCs w:val="24"/>
        </w:rPr>
      </w:pPr>
    </w:p>
    <w:p w:rsidR="0050403C" w:rsidRPr="00034AE2" w:rsidRDefault="0050403C" w:rsidP="0050403C">
      <w:pPr>
        <w:widowControl w:val="0"/>
        <w:ind w:left="851"/>
        <w:rPr>
          <w:b/>
          <w:sz w:val="24"/>
          <w:szCs w:val="24"/>
        </w:rPr>
      </w:pPr>
      <w:r w:rsidRPr="00034AE2">
        <w:rPr>
          <w:b/>
          <w:sz w:val="24"/>
          <w:szCs w:val="24"/>
        </w:rPr>
        <w:lastRenderedPageBreak/>
        <w:t>Autoimmune sygdomme/reumatologi</w:t>
      </w:r>
    </w:p>
    <w:p w:rsidR="0050403C" w:rsidRPr="00034AE2" w:rsidRDefault="0050403C" w:rsidP="0050403C">
      <w:pPr>
        <w:widowControl w:val="0"/>
        <w:ind w:left="851"/>
        <w:rPr>
          <w:sz w:val="24"/>
          <w:szCs w:val="24"/>
        </w:rPr>
      </w:pPr>
      <w:r w:rsidRPr="00034AE2">
        <w:rPr>
          <w:sz w:val="24"/>
          <w:szCs w:val="24"/>
        </w:rPr>
        <w:t xml:space="preserve">Indledende behandling af autoimmune sygdomme som systemisk lupus </w:t>
      </w:r>
      <w:proofErr w:type="spellStart"/>
      <w:r w:rsidRPr="00034AE2">
        <w:rPr>
          <w:sz w:val="24"/>
          <w:szCs w:val="24"/>
        </w:rPr>
        <w:t>erythematodes</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Aktive faser af systemiske </w:t>
      </w:r>
      <w:proofErr w:type="spellStart"/>
      <w:r w:rsidRPr="00034AE2">
        <w:rPr>
          <w:sz w:val="24"/>
          <w:szCs w:val="24"/>
        </w:rPr>
        <w:t>vasculitides</w:t>
      </w:r>
      <w:proofErr w:type="spellEnd"/>
      <w:r w:rsidRPr="00034AE2">
        <w:rPr>
          <w:sz w:val="24"/>
          <w:szCs w:val="24"/>
        </w:rPr>
        <w:t xml:space="preserve"> som </w:t>
      </w:r>
      <w:proofErr w:type="spellStart"/>
      <w:r w:rsidRPr="00034AE2">
        <w:rPr>
          <w:sz w:val="24"/>
          <w:szCs w:val="24"/>
        </w:rPr>
        <w:t>panarteritis</w:t>
      </w:r>
      <w:proofErr w:type="spellEnd"/>
      <w:r w:rsidRPr="00034AE2">
        <w:rPr>
          <w:sz w:val="24"/>
          <w:szCs w:val="24"/>
        </w:rPr>
        <w:t xml:space="preserve"> </w:t>
      </w:r>
      <w:proofErr w:type="spellStart"/>
      <w:r w:rsidRPr="00034AE2">
        <w:rPr>
          <w:sz w:val="24"/>
          <w:szCs w:val="24"/>
        </w:rPr>
        <w:t>nodosa</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Alvorligt progressivt forløb af aktiv </w:t>
      </w:r>
      <w:proofErr w:type="spellStart"/>
      <w:r w:rsidRPr="00034AE2">
        <w:rPr>
          <w:sz w:val="24"/>
          <w:szCs w:val="24"/>
        </w:rPr>
        <w:t>rheumatoid</w:t>
      </w:r>
      <w:proofErr w:type="spellEnd"/>
      <w:r w:rsidRPr="00034AE2">
        <w:rPr>
          <w:sz w:val="24"/>
          <w:szCs w:val="24"/>
        </w:rPr>
        <w:t xml:space="preserve"> artritis, f.eks. hurtigt forløbende destruktive former og/eller ekstra-</w:t>
      </w:r>
      <w:proofErr w:type="spellStart"/>
      <w:r w:rsidRPr="00034AE2">
        <w:rPr>
          <w:sz w:val="24"/>
          <w:szCs w:val="24"/>
        </w:rPr>
        <w:t>artikulære</w:t>
      </w:r>
      <w:proofErr w:type="spellEnd"/>
      <w:r w:rsidRPr="00034AE2">
        <w:rPr>
          <w:sz w:val="24"/>
          <w:szCs w:val="24"/>
        </w:rPr>
        <w:t xml:space="preserve"> manifestationer.</w:t>
      </w:r>
    </w:p>
    <w:p w:rsidR="0050403C" w:rsidRPr="00034AE2" w:rsidRDefault="0050403C" w:rsidP="0050403C">
      <w:pPr>
        <w:widowControl w:val="0"/>
        <w:ind w:left="851"/>
        <w:rPr>
          <w:sz w:val="24"/>
          <w:szCs w:val="24"/>
        </w:rPr>
      </w:pPr>
      <w:r w:rsidRPr="00034AE2">
        <w:rPr>
          <w:sz w:val="24"/>
          <w:szCs w:val="24"/>
        </w:rPr>
        <w:t xml:space="preserve">Alvorligt systemisk forløb af juvenil idiopatisk </w:t>
      </w:r>
      <w:proofErr w:type="spellStart"/>
      <w:r w:rsidRPr="00034AE2">
        <w:rPr>
          <w:sz w:val="24"/>
          <w:szCs w:val="24"/>
        </w:rPr>
        <w:t>artrit</w:t>
      </w:r>
      <w:proofErr w:type="spellEnd"/>
      <w:r w:rsidRPr="00034AE2">
        <w:rPr>
          <w:sz w:val="24"/>
          <w:szCs w:val="24"/>
        </w:rPr>
        <w:t xml:space="preserve"> (</w:t>
      </w:r>
      <w:proofErr w:type="spellStart"/>
      <w:r w:rsidRPr="00034AE2">
        <w:rPr>
          <w:sz w:val="24"/>
          <w:szCs w:val="24"/>
        </w:rPr>
        <w:t>Still’s</w:t>
      </w:r>
      <w:proofErr w:type="spellEnd"/>
      <w:r w:rsidRPr="00034AE2">
        <w:rPr>
          <w:sz w:val="24"/>
          <w:szCs w:val="24"/>
        </w:rPr>
        <w:t xml:space="preserve"> sygdom).</w:t>
      </w:r>
    </w:p>
    <w:p w:rsidR="0050403C" w:rsidRPr="00034AE2" w:rsidRDefault="0050403C" w:rsidP="0050403C">
      <w:pPr>
        <w:widowControl w:val="0"/>
        <w:ind w:left="851"/>
        <w:rPr>
          <w:sz w:val="24"/>
          <w:szCs w:val="24"/>
        </w:rPr>
      </w:pPr>
    </w:p>
    <w:p w:rsidR="0050403C" w:rsidRPr="00034AE2" w:rsidRDefault="0050403C" w:rsidP="0050403C">
      <w:pPr>
        <w:widowControl w:val="0"/>
        <w:ind w:left="851"/>
        <w:rPr>
          <w:b/>
          <w:sz w:val="24"/>
          <w:szCs w:val="24"/>
        </w:rPr>
      </w:pPr>
      <w:r w:rsidRPr="00034AE2">
        <w:rPr>
          <w:b/>
          <w:sz w:val="24"/>
          <w:szCs w:val="24"/>
        </w:rPr>
        <w:t>Hæmatologiske lidelser</w:t>
      </w:r>
    </w:p>
    <w:p w:rsidR="0050403C" w:rsidRPr="00034AE2" w:rsidRDefault="0050403C" w:rsidP="0050403C">
      <w:pPr>
        <w:widowControl w:val="0"/>
        <w:ind w:left="851"/>
        <w:rPr>
          <w:sz w:val="24"/>
          <w:szCs w:val="24"/>
        </w:rPr>
      </w:pPr>
      <w:r w:rsidRPr="00034AE2">
        <w:rPr>
          <w:sz w:val="24"/>
          <w:szCs w:val="24"/>
        </w:rPr>
        <w:t xml:space="preserve">Idiopatisk </w:t>
      </w:r>
      <w:proofErr w:type="spellStart"/>
      <w:r w:rsidRPr="00034AE2">
        <w:rPr>
          <w:sz w:val="24"/>
          <w:szCs w:val="24"/>
        </w:rPr>
        <w:t>trombocytopenisk</w:t>
      </w:r>
      <w:proofErr w:type="spellEnd"/>
      <w:r w:rsidRPr="00034AE2">
        <w:rPr>
          <w:sz w:val="24"/>
          <w:szCs w:val="24"/>
        </w:rPr>
        <w:t xml:space="preserve"> </w:t>
      </w:r>
      <w:proofErr w:type="spellStart"/>
      <w:r w:rsidRPr="00034AE2">
        <w:rPr>
          <w:sz w:val="24"/>
          <w:szCs w:val="24"/>
        </w:rPr>
        <w:t>purpura</w:t>
      </w:r>
      <w:proofErr w:type="spellEnd"/>
      <w:r w:rsidRPr="00034AE2">
        <w:rPr>
          <w:sz w:val="24"/>
          <w:szCs w:val="24"/>
        </w:rPr>
        <w:t xml:space="preserve"> hos voksne.</w:t>
      </w:r>
    </w:p>
    <w:p w:rsidR="0050403C" w:rsidRPr="00034AE2" w:rsidRDefault="0050403C" w:rsidP="0050403C">
      <w:pPr>
        <w:widowControl w:val="0"/>
        <w:ind w:left="851"/>
        <w:rPr>
          <w:sz w:val="24"/>
          <w:szCs w:val="24"/>
        </w:rPr>
      </w:pPr>
    </w:p>
    <w:p w:rsidR="0050403C" w:rsidRPr="00034AE2" w:rsidRDefault="0050403C" w:rsidP="0050403C">
      <w:pPr>
        <w:widowControl w:val="0"/>
        <w:ind w:left="851"/>
        <w:rPr>
          <w:b/>
          <w:sz w:val="24"/>
          <w:szCs w:val="24"/>
        </w:rPr>
      </w:pPr>
      <w:r w:rsidRPr="00034AE2">
        <w:rPr>
          <w:b/>
          <w:sz w:val="24"/>
          <w:szCs w:val="24"/>
        </w:rPr>
        <w:t>Infektionssygdomme</w:t>
      </w:r>
    </w:p>
    <w:p w:rsidR="0050403C" w:rsidRPr="00034AE2" w:rsidRDefault="0050403C" w:rsidP="0050403C">
      <w:pPr>
        <w:widowControl w:val="0"/>
        <w:ind w:left="851"/>
        <w:rPr>
          <w:sz w:val="24"/>
          <w:szCs w:val="24"/>
        </w:rPr>
      </w:pPr>
      <w:r w:rsidRPr="00034AE2">
        <w:rPr>
          <w:sz w:val="24"/>
          <w:szCs w:val="24"/>
        </w:rPr>
        <w:t>Tuberkuløs meningitis, kun i forbindelse med anti-infektiøs behandling.</w:t>
      </w:r>
    </w:p>
    <w:p w:rsidR="0050403C" w:rsidRDefault="0050403C" w:rsidP="0050403C">
      <w:pPr>
        <w:widowControl w:val="0"/>
        <w:ind w:left="851"/>
        <w:rPr>
          <w:sz w:val="24"/>
          <w:szCs w:val="24"/>
        </w:rPr>
      </w:pPr>
    </w:p>
    <w:p w:rsidR="00903162" w:rsidRDefault="00455600" w:rsidP="0050403C">
      <w:pPr>
        <w:widowControl w:val="0"/>
        <w:ind w:left="851"/>
        <w:rPr>
          <w:sz w:val="24"/>
          <w:szCs w:val="24"/>
        </w:rPr>
      </w:pPr>
      <w:proofErr w:type="spellStart"/>
      <w:r>
        <w:rPr>
          <w:sz w:val="24"/>
          <w:szCs w:val="24"/>
          <w:u w:val="single"/>
        </w:rPr>
        <w:t>Dexamethason</w:t>
      </w:r>
      <w:proofErr w:type="spellEnd"/>
      <w:r>
        <w:rPr>
          <w:sz w:val="24"/>
          <w:szCs w:val="24"/>
          <w:u w:val="single"/>
        </w:rPr>
        <w:t xml:space="preserve"> ”2care4”</w:t>
      </w:r>
      <w:r w:rsidR="00903162">
        <w:rPr>
          <w:sz w:val="24"/>
          <w:szCs w:val="24"/>
          <w:u w:val="single"/>
        </w:rPr>
        <w:t xml:space="preserve"> </w:t>
      </w:r>
      <w:r w:rsidR="00903162">
        <w:rPr>
          <w:sz w:val="24"/>
          <w:szCs w:val="24"/>
        </w:rPr>
        <w:t xml:space="preserve">er indiceret til behandling af </w:t>
      </w:r>
      <w:proofErr w:type="spellStart"/>
      <w:r w:rsidR="00903162">
        <w:rPr>
          <w:sz w:val="24"/>
          <w:szCs w:val="24"/>
        </w:rPr>
        <w:t>coronavirussygdom</w:t>
      </w:r>
      <w:proofErr w:type="spellEnd"/>
      <w:r w:rsidR="00903162">
        <w:rPr>
          <w:sz w:val="24"/>
          <w:szCs w:val="24"/>
        </w:rPr>
        <w:t xml:space="preserve"> 2019 (COVID</w:t>
      </w:r>
      <w:r w:rsidR="00903162">
        <w:rPr>
          <w:sz w:val="24"/>
          <w:szCs w:val="24"/>
        </w:rPr>
        <w:noBreakHyphen/>
        <w:t>19) hos voksne og unge patienter (12 år og ældre med en legemsvægt på mindst 40 kg), der har behov for supplerende iltbehandling.</w:t>
      </w:r>
    </w:p>
    <w:p w:rsidR="00903162" w:rsidRPr="00034AE2" w:rsidRDefault="00903162" w:rsidP="0050403C">
      <w:pPr>
        <w:widowControl w:val="0"/>
        <w:ind w:left="851"/>
        <w:rPr>
          <w:sz w:val="24"/>
          <w:szCs w:val="24"/>
        </w:rPr>
      </w:pPr>
    </w:p>
    <w:p w:rsidR="0050403C" w:rsidRPr="00034AE2" w:rsidRDefault="0050403C" w:rsidP="0050403C">
      <w:pPr>
        <w:widowControl w:val="0"/>
        <w:ind w:left="851"/>
        <w:rPr>
          <w:b/>
          <w:sz w:val="24"/>
          <w:szCs w:val="24"/>
        </w:rPr>
      </w:pPr>
      <w:r w:rsidRPr="00034AE2">
        <w:rPr>
          <w:b/>
          <w:sz w:val="24"/>
          <w:szCs w:val="24"/>
        </w:rPr>
        <w:t>Onkologi</w:t>
      </w:r>
    </w:p>
    <w:p w:rsidR="0050403C" w:rsidRPr="00034AE2" w:rsidRDefault="0050403C" w:rsidP="0050403C">
      <w:pPr>
        <w:widowControl w:val="0"/>
        <w:ind w:left="851"/>
        <w:rPr>
          <w:sz w:val="24"/>
          <w:szCs w:val="24"/>
        </w:rPr>
      </w:pPr>
      <w:r w:rsidRPr="00034AE2">
        <w:rPr>
          <w:sz w:val="24"/>
          <w:szCs w:val="24"/>
        </w:rPr>
        <w:t>Palliativ behandling af neoplastiske sygdomme.</w:t>
      </w:r>
    </w:p>
    <w:p w:rsidR="0050403C" w:rsidRPr="00034AE2" w:rsidRDefault="0050403C" w:rsidP="0050403C">
      <w:pPr>
        <w:widowControl w:val="0"/>
        <w:ind w:left="851"/>
        <w:rPr>
          <w:sz w:val="24"/>
          <w:szCs w:val="24"/>
        </w:rPr>
      </w:pPr>
      <w:r w:rsidRPr="00034AE2">
        <w:rPr>
          <w:sz w:val="24"/>
          <w:szCs w:val="24"/>
        </w:rPr>
        <w:t xml:space="preserve">Profylakse og behandling af </w:t>
      </w:r>
      <w:proofErr w:type="spellStart"/>
      <w:r w:rsidRPr="00034AE2">
        <w:rPr>
          <w:sz w:val="24"/>
          <w:szCs w:val="24"/>
        </w:rPr>
        <w:t>emesis</w:t>
      </w:r>
      <w:proofErr w:type="spellEnd"/>
      <w:r w:rsidRPr="00034AE2">
        <w:rPr>
          <w:sz w:val="24"/>
          <w:szCs w:val="24"/>
        </w:rPr>
        <w:t xml:space="preserve"> induceret af </w:t>
      </w:r>
      <w:proofErr w:type="spellStart"/>
      <w:r w:rsidRPr="00034AE2">
        <w:rPr>
          <w:sz w:val="24"/>
          <w:szCs w:val="24"/>
        </w:rPr>
        <w:t>cytostatika</w:t>
      </w:r>
      <w:proofErr w:type="spellEnd"/>
      <w:r w:rsidRPr="00034AE2">
        <w:rPr>
          <w:sz w:val="24"/>
          <w:szCs w:val="24"/>
        </w:rPr>
        <w:t xml:space="preserve"> og </w:t>
      </w:r>
      <w:proofErr w:type="spellStart"/>
      <w:r w:rsidRPr="00034AE2">
        <w:rPr>
          <w:sz w:val="24"/>
          <w:szCs w:val="24"/>
        </w:rPr>
        <w:t>emetogen</w:t>
      </w:r>
      <w:proofErr w:type="spellEnd"/>
      <w:r w:rsidRPr="00034AE2">
        <w:rPr>
          <w:sz w:val="24"/>
          <w:szCs w:val="24"/>
        </w:rPr>
        <w:t xml:space="preserve"> kemoterapi, indenfor </w:t>
      </w:r>
      <w:proofErr w:type="spellStart"/>
      <w:r w:rsidRPr="00034AE2">
        <w:rPr>
          <w:sz w:val="24"/>
          <w:szCs w:val="24"/>
        </w:rPr>
        <w:t>antiemetisk</w:t>
      </w:r>
      <w:proofErr w:type="spellEnd"/>
      <w:r w:rsidRPr="00034AE2">
        <w:rPr>
          <w:sz w:val="24"/>
          <w:szCs w:val="24"/>
        </w:rPr>
        <w:t xml:space="preserve"> behandling.</w:t>
      </w:r>
    </w:p>
    <w:p w:rsidR="0050403C" w:rsidRPr="00034AE2" w:rsidRDefault="0050403C" w:rsidP="0050403C">
      <w:pPr>
        <w:widowControl w:val="0"/>
        <w:ind w:left="851"/>
        <w:rPr>
          <w:sz w:val="24"/>
          <w:szCs w:val="24"/>
        </w:rPr>
      </w:pPr>
      <w:r w:rsidRPr="00034AE2">
        <w:rPr>
          <w:sz w:val="24"/>
          <w:szCs w:val="24"/>
        </w:rPr>
        <w:t xml:space="preserve">Behandling af symptomatisk </w:t>
      </w:r>
      <w:proofErr w:type="spellStart"/>
      <w:r w:rsidRPr="00034AE2">
        <w:rPr>
          <w:sz w:val="24"/>
          <w:szCs w:val="24"/>
        </w:rPr>
        <w:t>myelomatose</w:t>
      </w:r>
      <w:proofErr w:type="spellEnd"/>
      <w:r w:rsidRPr="00034AE2">
        <w:rPr>
          <w:sz w:val="24"/>
          <w:szCs w:val="24"/>
        </w:rPr>
        <w:t xml:space="preserve">, akut </w:t>
      </w:r>
      <w:proofErr w:type="spellStart"/>
      <w:r w:rsidRPr="00034AE2">
        <w:rPr>
          <w:sz w:val="24"/>
          <w:szCs w:val="24"/>
        </w:rPr>
        <w:t>lymfoblatisk</w:t>
      </w:r>
      <w:proofErr w:type="spellEnd"/>
      <w:r w:rsidRPr="00034AE2">
        <w:rPr>
          <w:sz w:val="24"/>
          <w:szCs w:val="24"/>
        </w:rPr>
        <w:t xml:space="preserve"> leukæmi, </w:t>
      </w:r>
      <w:proofErr w:type="spellStart"/>
      <w:r w:rsidRPr="00034AE2">
        <w:rPr>
          <w:sz w:val="24"/>
          <w:szCs w:val="24"/>
        </w:rPr>
        <w:t>Hodgkin’s</w:t>
      </w:r>
      <w:proofErr w:type="spellEnd"/>
      <w:r w:rsidRPr="00034AE2">
        <w:rPr>
          <w:sz w:val="24"/>
          <w:szCs w:val="24"/>
        </w:rPr>
        <w:t xml:space="preserve"> sygdom og non-</w:t>
      </w:r>
      <w:proofErr w:type="spellStart"/>
      <w:r w:rsidRPr="00034AE2">
        <w:rPr>
          <w:sz w:val="24"/>
          <w:szCs w:val="24"/>
        </w:rPr>
        <w:t>Hodgkin’s</w:t>
      </w:r>
      <w:proofErr w:type="spellEnd"/>
      <w:r w:rsidRPr="00034AE2">
        <w:rPr>
          <w:sz w:val="24"/>
          <w:szCs w:val="24"/>
        </w:rPr>
        <w:t xml:space="preserve"> </w:t>
      </w:r>
      <w:proofErr w:type="spellStart"/>
      <w:r w:rsidRPr="00034AE2">
        <w:rPr>
          <w:sz w:val="24"/>
          <w:szCs w:val="24"/>
        </w:rPr>
        <w:t>lymfom</w:t>
      </w:r>
      <w:proofErr w:type="spellEnd"/>
      <w:r w:rsidRPr="00034AE2">
        <w:rPr>
          <w:sz w:val="24"/>
          <w:szCs w:val="24"/>
        </w:rPr>
        <w:t xml:space="preserve"> i kombination med andre lægemidler.</w:t>
      </w:r>
    </w:p>
    <w:p w:rsidR="0050403C" w:rsidRPr="00034AE2" w:rsidRDefault="0050403C" w:rsidP="0050403C">
      <w:pPr>
        <w:widowControl w:val="0"/>
        <w:ind w:left="851"/>
        <w:rPr>
          <w:sz w:val="24"/>
          <w:szCs w:val="24"/>
        </w:rPr>
      </w:pPr>
    </w:p>
    <w:p w:rsidR="0050403C" w:rsidRPr="00034AE2" w:rsidRDefault="0050403C" w:rsidP="0050403C">
      <w:pPr>
        <w:widowControl w:val="0"/>
        <w:ind w:left="851"/>
        <w:rPr>
          <w:b/>
          <w:sz w:val="24"/>
          <w:szCs w:val="24"/>
        </w:rPr>
      </w:pPr>
      <w:r w:rsidRPr="00034AE2">
        <w:rPr>
          <w:b/>
          <w:sz w:val="24"/>
          <w:szCs w:val="24"/>
        </w:rPr>
        <w:t>Andet</w:t>
      </w:r>
    </w:p>
    <w:p w:rsidR="0050403C" w:rsidRPr="00034AE2" w:rsidRDefault="0050403C" w:rsidP="0050403C">
      <w:pPr>
        <w:widowControl w:val="0"/>
        <w:ind w:left="851"/>
        <w:rPr>
          <w:sz w:val="24"/>
          <w:szCs w:val="24"/>
        </w:rPr>
      </w:pPr>
      <w:r w:rsidRPr="00034AE2">
        <w:rPr>
          <w:sz w:val="24"/>
          <w:szCs w:val="24"/>
        </w:rPr>
        <w:t xml:space="preserve">Forebyggelse og behandling af postoperativ opkastning, indenfor </w:t>
      </w:r>
      <w:proofErr w:type="spellStart"/>
      <w:r w:rsidRPr="00034AE2">
        <w:rPr>
          <w:sz w:val="24"/>
          <w:szCs w:val="24"/>
        </w:rPr>
        <w:t>antiemetisk</w:t>
      </w:r>
      <w:proofErr w:type="spellEnd"/>
      <w:r w:rsidRPr="00034AE2">
        <w:rPr>
          <w:sz w:val="24"/>
          <w:szCs w:val="24"/>
        </w:rPr>
        <w:t xml:space="preserve"> behandling.</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4.2</w:t>
      </w:r>
      <w:r w:rsidRPr="00034AE2">
        <w:rPr>
          <w:b/>
          <w:sz w:val="24"/>
          <w:szCs w:val="24"/>
        </w:rPr>
        <w:tab/>
        <w:t xml:space="preserve">Dosering og </w:t>
      </w:r>
      <w:r w:rsidR="00474A35">
        <w:rPr>
          <w:b/>
          <w:sz w:val="24"/>
          <w:szCs w:val="24"/>
        </w:rPr>
        <w:t>administration</w:t>
      </w:r>
    </w:p>
    <w:p w:rsidR="0050403C" w:rsidRDefault="0050403C" w:rsidP="0050403C">
      <w:pPr>
        <w:widowControl w:val="0"/>
        <w:ind w:left="851" w:hanging="851"/>
        <w:rPr>
          <w:sz w:val="24"/>
          <w:szCs w:val="24"/>
          <w:u w:val="single"/>
        </w:rPr>
      </w:pPr>
    </w:p>
    <w:p w:rsidR="0050403C" w:rsidRPr="00034AE2" w:rsidRDefault="0050403C" w:rsidP="0050403C">
      <w:pPr>
        <w:widowControl w:val="0"/>
        <w:ind w:left="851"/>
        <w:rPr>
          <w:sz w:val="24"/>
          <w:szCs w:val="24"/>
          <w:lang w:eastAsia="da-DK"/>
        </w:rPr>
      </w:pPr>
      <w:r w:rsidRPr="00034AE2">
        <w:rPr>
          <w:sz w:val="24"/>
          <w:szCs w:val="24"/>
          <w:u w:val="single"/>
        </w:rPr>
        <w:t>Dosering</w:t>
      </w:r>
    </w:p>
    <w:p w:rsidR="0050403C" w:rsidRPr="00034AE2" w:rsidRDefault="0050403C" w:rsidP="0050403C">
      <w:pPr>
        <w:widowControl w:val="0"/>
        <w:ind w:left="851"/>
        <w:rPr>
          <w:sz w:val="24"/>
          <w:szCs w:val="24"/>
        </w:rPr>
      </w:pPr>
      <w:proofErr w:type="spellStart"/>
      <w:r w:rsidRPr="00034AE2">
        <w:rPr>
          <w:sz w:val="24"/>
          <w:szCs w:val="24"/>
        </w:rPr>
        <w:t>Dexamethason</w:t>
      </w:r>
      <w:proofErr w:type="spellEnd"/>
      <w:r w:rsidRPr="00034AE2">
        <w:rPr>
          <w:sz w:val="24"/>
          <w:szCs w:val="24"/>
        </w:rPr>
        <w:t xml:space="preserve"> gives almindeligvis i doser på 0,5 til 10 mg </w:t>
      </w:r>
      <w:r>
        <w:rPr>
          <w:sz w:val="24"/>
          <w:szCs w:val="24"/>
        </w:rPr>
        <w:t>daglig</w:t>
      </w:r>
      <w:r w:rsidRPr="00034AE2">
        <w:rPr>
          <w:sz w:val="24"/>
          <w:szCs w:val="24"/>
        </w:rPr>
        <w:t>, afhængigt af den sygdom, der behandles. Ved mere alvorlige sygdomstilstande, kan daglige doser over 10 mg være nødvendigt. Dosen bør titreres til den individuelle patients respons og sygdommens sværhedsgrad. For at minimere bivirkninger, bør den lavest mulig dosis gives.</w:t>
      </w:r>
    </w:p>
    <w:p w:rsidR="0050403C" w:rsidRPr="00034AE2" w:rsidRDefault="0050403C" w:rsidP="0050403C">
      <w:pPr>
        <w:widowControl w:val="0"/>
        <w:ind w:left="851" w:hanging="851"/>
        <w:rPr>
          <w:sz w:val="24"/>
          <w:szCs w:val="24"/>
        </w:rPr>
      </w:pPr>
    </w:p>
    <w:p w:rsidR="0050403C" w:rsidRPr="00034AE2" w:rsidRDefault="0050403C" w:rsidP="0050403C">
      <w:pPr>
        <w:widowControl w:val="0"/>
        <w:ind w:left="851"/>
        <w:rPr>
          <w:b/>
          <w:sz w:val="24"/>
          <w:szCs w:val="24"/>
          <w:lang w:eastAsia="da-DK"/>
        </w:rPr>
      </w:pPr>
      <w:r w:rsidRPr="00034AE2">
        <w:rPr>
          <w:b/>
          <w:sz w:val="24"/>
          <w:szCs w:val="24"/>
        </w:rPr>
        <w:t>Med mindre andet er ordineret, gælder de følgende dosisanbefalinger:</w:t>
      </w:r>
    </w:p>
    <w:p w:rsidR="0050403C" w:rsidRPr="00034AE2" w:rsidRDefault="0050403C" w:rsidP="0050403C">
      <w:pPr>
        <w:widowControl w:val="0"/>
        <w:ind w:left="851"/>
        <w:rPr>
          <w:b/>
          <w:sz w:val="24"/>
          <w:szCs w:val="24"/>
        </w:rPr>
      </w:pPr>
      <w:r w:rsidRPr="00034AE2">
        <w:rPr>
          <w:b/>
          <w:sz w:val="24"/>
          <w:szCs w:val="24"/>
        </w:rPr>
        <w:t>De nedenfor nævnte dosisanbefalinger er kun vejledende. De indledende og daglige doser bør altid bestemmes ud fra patientens individuelle respons og sygdommens sværhedsgrad.</w:t>
      </w:r>
    </w:p>
    <w:p w:rsidR="0050403C" w:rsidRPr="00034AE2" w:rsidRDefault="0050403C" w:rsidP="0050403C">
      <w:pPr>
        <w:widowControl w:val="0"/>
        <w:ind w:left="851" w:hanging="851"/>
        <w:rPr>
          <w:b/>
          <w:sz w:val="24"/>
          <w:szCs w:val="24"/>
        </w:rPr>
      </w:pP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Cerebralt ødem:</w:t>
      </w:r>
      <w:r w:rsidRPr="00034AE2">
        <w:rPr>
          <w:sz w:val="24"/>
          <w:szCs w:val="24"/>
        </w:rPr>
        <w:t xml:space="preserve"> Indledende dosis og behandlingsvarighed afhængigt af årsag og sværhedsgrad, 6</w:t>
      </w:r>
      <w:r w:rsidRPr="00034AE2">
        <w:rPr>
          <w:sz w:val="24"/>
          <w:szCs w:val="24"/>
        </w:rPr>
        <w:noBreakHyphen/>
        <w:t>16 mg (op til 24 mg) pr. dag oralt, inddelt i 3</w:t>
      </w:r>
      <w:r w:rsidRPr="00034AE2">
        <w:rPr>
          <w:sz w:val="24"/>
          <w:szCs w:val="24"/>
        </w:rPr>
        <w:noBreakHyphen/>
        <w:t>4 individuelle doser.</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Akut astma:</w:t>
      </w:r>
      <w:r w:rsidRPr="00034AE2">
        <w:rPr>
          <w:sz w:val="24"/>
          <w:szCs w:val="24"/>
        </w:rPr>
        <w:t xml:space="preserve"> Voksne: 16 mg/dag i to dage. Børn: 0,6 mg/kg legemsvægt i en til to dage.</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Strubehoste:</w:t>
      </w:r>
      <w:r w:rsidRPr="00034AE2">
        <w:rPr>
          <w:sz w:val="24"/>
          <w:szCs w:val="24"/>
        </w:rPr>
        <w:t xml:space="preserve"> Børn: 0,15 mg/kg</w:t>
      </w:r>
      <w:r w:rsidRPr="00034AE2">
        <w:rPr>
          <w:sz w:val="24"/>
          <w:szCs w:val="24"/>
        </w:rPr>
        <w:noBreakHyphen/>
        <w:t>0,6 mg/kg i en enkelt dosis.</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Akutte hudsygdomme:</w:t>
      </w:r>
      <w:r w:rsidRPr="00034AE2">
        <w:rPr>
          <w:sz w:val="24"/>
          <w:szCs w:val="24"/>
        </w:rPr>
        <w:t xml:space="preserve"> Daglige doser på 8-40 mg, afhængigt af sygdommens beskaffenhed, i nogle tilfælde op til 100 mg, som efterfølgende bør titreres ned i henhold til det kliniske behov.</w:t>
      </w:r>
    </w:p>
    <w:p w:rsidR="0050403C" w:rsidRPr="00034AE2" w:rsidRDefault="0050403C" w:rsidP="0080782D">
      <w:pPr>
        <w:pStyle w:val="Listeafsnit"/>
        <w:numPr>
          <w:ilvl w:val="0"/>
          <w:numId w:val="9"/>
        </w:numPr>
        <w:ind w:left="1276" w:hanging="425"/>
        <w:rPr>
          <w:sz w:val="24"/>
          <w:szCs w:val="24"/>
        </w:rPr>
      </w:pPr>
      <w:r w:rsidRPr="00034AE2">
        <w:rPr>
          <w:b/>
          <w:sz w:val="24"/>
          <w:szCs w:val="24"/>
        </w:rPr>
        <w:t xml:space="preserve">Aktiv fase af systemiske </w:t>
      </w:r>
      <w:proofErr w:type="spellStart"/>
      <w:r w:rsidRPr="00034AE2">
        <w:rPr>
          <w:b/>
          <w:sz w:val="24"/>
          <w:szCs w:val="24"/>
        </w:rPr>
        <w:t>reumatoide</w:t>
      </w:r>
      <w:proofErr w:type="spellEnd"/>
      <w:r w:rsidRPr="00034AE2">
        <w:rPr>
          <w:b/>
          <w:sz w:val="24"/>
          <w:szCs w:val="24"/>
        </w:rPr>
        <w:t xml:space="preserve"> lidelser: </w:t>
      </w:r>
      <w:r w:rsidRPr="00034AE2">
        <w:rPr>
          <w:sz w:val="24"/>
          <w:szCs w:val="24"/>
        </w:rPr>
        <w:t xml:space="preserve">Systemisk lupus </w:t>
      </w:r>
      <w:proofErr w:type="spellStart"/>
      <w:r w:rsidRPr="00034AE2">
        <w:rPr>
          <w:sz w:val="24"/>
          <w:szCs w:val="24"/>
        </w:rPr>
        <w:t>erythematosus</w:t>
      </w:r>
      <w:proofErr w:type="spellEnd"/>
      <w:r w:rsidRPr="00034AE2">
        <w:rPr>
          <w:sz w:val="24"/>
          <w:szCs w:val="24"/>
        </w:rPr>
        <w:t>, 6-16 mg/dag.</w:t>
      </w:r>
    </w:p>
    <w:p w:rsidR="0050403C" w:rsidRPr="00034AE2" w:rsidRDefault="0050403C" w:rsidP="0050403C">
      <w:pPr>
        <w:pStyle w:val="Listeafsnit"/>
        <w:widowControl w:val="0"/>
        <w:numPr>
          <w:ilvl w:val="0"/>
          <w:numId w:val="9"/>
        </w:numPr>
        <w:ind w:left="1276" w:hanging="425"/>
        <w:rPr>
          <w:sz w:val="24"/>
          <w:szCs w:val="24"/>
        </w:rPr>
      </w:pPr>
      <w:r w:rsidRPr="00034AE2">
        <w:rPr>
          <w:sz w:val="24"/>
          <w:szCs w:val="24"/>
        </w:rPr>
        <w:lastRenderedPageBreak/>
        <w:t xml:space="preserve">Under de aktive faser af systemiske </w:t>
      </w:r>
      <w:proofErr w:type="spellStart"/>
      <w:r w:rsidRPr="00034AE2">
        <w:rPr>
          <w:sz w:val="24"/>
          <w:szCs w:val="24"/>
        </w:rPr>
        <w:t>vasculitides</w:t>
      </w:r>
      <w:proofErr w:type="spellEnd"/>
      <w:r w:rsidRPr="00034AE2">
        <w:rPr>
          <w:sz w:val="24"/>
          <w:szCs w:val="24"/>
        </w:rPr>
        <w:t xml:space="preserve"> som </w:t>
      </w:r>
      <w:proofErr w:type="spellStart"/>
      <w:r w:rsidRPr="00034AE2">
        <w:rPr>
          <w:sz w:val="24"/>
          <w:szCs w:val="24"/>
        </w:rPr>
        <w:t>panarteritis</w:t>
      </w:r>
      <w:proofErr w:type="spellEnd"/>
      <w:r w:rsidRPr="00034AE2">
        <w:rPr>
          <w:sz w:val="24"/>
          <w:szCs w:val="24"/>
        </w:rPr>
        <w:t xml:space="preserve"> </w:t>
      </w:r>
      <w:proofErr w:type="spellStart"/>
      <w:r w:rsidRPr="00034AE2">
        <w:rPr>
          <w:sz w:val="24"/>
          <w:szCs w:val="24"/>
        </w:rPr>
        <w:t>nodosa</w:t>
      </w:r>
      <w:proofErr w:type="spellEnd"/>
      <w:r w:rsidRPr="00034AE2">
        <w:rPr>
          <w:sz w:val="24"/>
          <w:szCs w:val="24"/>
        </w:rPr>
        <w:t>, bør varigheden af behandlingen begrænses til to uger i tilfælde af samtidig positiv hepatitis B serologi.</w:t>
      </w:r>
    </w:p>
    <w:p w:rsidR="0050403C" w:rsidRPr="00034AE2" w:rsidRDefault="0050403C" w:rsidP="0050403C">
      <w:pPr>
        <w:pStyle w:val="Listeafsnit"/>
        <w:widowControl w:val="0"/>
        <w:numPr>
          <w:ilvl w:val="0"/>
          <w:numId w:val="9"/>
        </w:numPr>
        <w:ind w:left="1276" w:hanging="425"/>
        <w:rPr>
          <w:b/>
          <w:sz w:val="24"/>
          <w:szCs w:val="24"/>
        </w:rPr>
      </w:pPr>
      <w:r w:rsidRPr="00034AE2">
        <w:rPr>
          <w:b/>
          <w:sz w:val="24"/>
          <w:szCs w:val="24"/>
        </w:rPr>
        <w:t xml:space="preserve">Aktiv </w:t>
      </w:r>
      <w:proofErr w:type="spellStart"/>
      <w:r w:rsidRPr="00034AE2">
        <w:rPr>
          <w:b/>
          <w:sz w:val="24"/>
          <w:szCs w:val="24"/>
        </w:rPr>
        <w:t>reumatoid</w:t>
      </w:r>
      <w:proofErr w:type="spellEnd"/>
      <w:r w:rsidRPr="00034AE2">
        <w:rPr>
          <w:b/>
          <w:sz w:val="24"/>
          <w:szCs w:val="24"/>
        </w:rPr>
        <w:t xml:space="preserve"> artritis med alvorligt, progressivt forløb: </w:t>
      </w:r>
      <w:r w:rsidRPr="00034AE2">
        <w:rPr>
          <w:sz w:val="24"/>
          <w:szCs w:val="24"/>
        </w:rPr>
        <w:t>Hurtigt destruktivt forløb, 12-16 mg/dag. Med ekstra-</w:t>
      </w:r>
      <w:proofErr w:type="spellStart"/>
      <w:r w:rsidRPr="00034AE2">
        <w:rPr>
          <w:sz w:val="24"/>
          <w:szCs w:val="24"/>
        </w:rPr>
        <w:t>artikulære</w:t>
      </w:r>
      <w:proofErr w:type="spellEnd"/>
      <w:r w:rsidRPr="00034AE2">
        <w:rPr>
          <w:sz w:val="24"/>
          <w:szCs w:val="24"/>
        </w:rPr>
        <w:t xml:space="preserve"> manifestationer, 6-12 mg/dag.</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 xml:space="preserve">Idiopatisk </w:t>
      </w:r>
      <w:proofErr w:type="spellStart"/>
      <w:r w:rsidRPr="00034AE2">
        <w:rPr>
          <w:b/>
          <w:sz w:val="24"/>
          <w:szCs w:val="24"/>
        </w:rPr>
        <w:t>trombocytopenisk</w:t>
      </w:r>
      <w:proofErr w:type="spellEnd"/>
      <w:r w:rsidRPr="00034AE2">
        <w:rPr>
          <w:b/>
          <w:sz w:val="24"/>
          <w:szCs w:val="24"/>
        </w:rPr>
        <w:t xml:space="preserve"> </w:t>
      </w:r>
      <w:proofErr w:type="spellStart"/>
      <w:r w:rsidRPr="00034AE2">
        <w:rPr>
          <w:b/>
          <w:sz w:val="24"/>
          <w:szCs w:val="24"/>
        </w:rPr>
        <w:t>purpura</w:t>
      </w:r>
      <w:proofErr w:type="spellEnd"/>
      <w:r w:rsidRPr="00034AE2">
        <w:rPr>
          <w:b/>
          <w:sz w:val="24"/>
          <w:szCs w:val="24"/>
        </w:rPr>
        <w:t>:</w:t>
      </w:r>
      <w:r w:rsidRPr="00034AE2">
        <w:rPr>
          <w:sz w:val="24"/>
          <w:szCs w:val="24"/>
        </w:rPr>
        <w:t xml:space="preserve"> 40 mg i 4 dage i cykler.</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Tuberkuløs meningitis:</w:t>
      </w:r>
      <w:r w:rsidRPr="00034AE2">
        <w:rPr>
          <w:sz w:val="24"/>
          <w:szCs w:val="24"/>
        </w:rPr>
        <w:t xml:space="preserve"> Patienter med grad II eller III sygdom fik intravenøs behandling i fire uger (0,4 mg/kg/dag i uge 1, 0,3 mg/kg/dag i uge 2, 0,2 mg/kg/dag i uge 3 og 0,1 mg/kg/dag i uge 4). Derefter oral behandling i fire uger, startende med 4 mg/dag og aftagende med 1 mg hver uge. Patienter med grad I sygdom fik intravenøs behandling i to uger (0,3 mg/kg/dag i uge 1 og 0,2 mg/kg/dag i uge 2), og derefter oral behandling i fire uger (0,1 mg/kg/dag i uge 3, derefter en totaldosis på 3 mg/dag, aftagende med 1 mg hver uge).</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Palliativ behandling af neoplastiske sygdomme:</w:t>
      </w:r>
      <w:r w:rsidRPr="00034AE2">
        <w:rPr>
          <w:sz w:val="24"/>
          <w:szCs w:val="24"/>
        </w:rPr>
        <w:t xml:space="preserve"> Indledende dosis og behandlingsvarighed afhængig af årsag og sværhedsgrad, 3-20 mg/dag. Meget høje doser op til 96 mg kan også bruges til palliativ behandling. For optimal dosering og reduktion i antal tabletter, kan en kombination af forskellige dosisstyrker eventuelt benyttes.</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 xml:space="preserve">Profylakse og behandling af </w:t>
      </w:r>
      <w:proofErr w:type="spellStart"/>
      <w:r w:rsidRPr="00034AE2">
        <w:rPr>
          <w:b/>
          <w:sz w:val="24"/>
          <w:szCs w:val="24"/>
        </w:rPr>
        <w:t>emesis</w:t>
      </w:r>
      <w:proofErr w:type="spellEnd"/>
      <w:r w:rsidRPr="00034AE2">
        <w:rPr>
          <w:b/>
          <w:sz w:val="24"/>
          <w:szCs w:val="24"/>
        </w:rPr>
        <w:t xml:space="preserve"> induceret af </w:t>
      </w:r>
      <w:proofErr w:type="spellStart"/>
      <w:r w:rsidRPr="00034AE2">
        <w:rPr>
          <w:b/>
          <w:sz w:val="24"/>
          <w:szCs w:val="24"/>
        </w:rPr>
        <w:t>cytostatika</w:t>
      </w:r>
      <w:proofErr w:type="spellEnd"/>
      <w:r w:rsidRPr="00034AE2">
        <w:rPr>
          <w:b/>
          <w:sz w:val="24"/>
          <w:szCs w:val="24"/>
        </w:rPr>
        <w:t xml:space="preserve"> og </w:t>
      </w:r>
      <w:proofErr w:type="spellStart"/>
      <w:r w:rsidRPr="00034AE2">
        <w:rPr>
          <w:b/>
          <w:sz w:val="24"/>
          <w:szCs w:val="24"/>
        </w:rPr>
        <w:t>emetogen</w:t>
      </w:r>
      <w:proofErr w:type="spellEnd"/>
      <w:r w:rsidRPr="00034AE2">
        <w:rPr>
          <w:b/>
          <w:sz w:val="24"/>
          <w:szCs w:val="24"/>
        </w:rPr>
        <w:t xml:space="preserve"> kemoterapi, indenfor </w:t>
      </w:r>
      <w:proofErr w:type="spellStart"/>
      <w:r w:rsidRPr="00034AE2">
        <w:rPr>
          <w:b/>
          <w:sz w:val="24"/>
          <w:szCs w:val="24"/>
        </w:rPr>
        <w:t>antiemetisk</w:t>
      </w:r>
      <w:proofErr w:type="spellEnd"/>
      <w:r w:rsidRPr="00034AE2">
        <w:rPr>
          <w:b/>
          <w:sz w:val="24"/>
          <w:szCs w:val="24"/>
        </w:rPr>
        <w:t xml:space="preserve"> behandling.</w:t>
      </w:r>
      <w:r w:rsidRPr="00034AE2">
        <w:rPr>
          <w:sz w:val="24"/>
          <w:szCs w:val="24"/>
        </w:rPr>
        <w:t xml:space="preserve"> 8-20 mg </w:t>
      </w:r>
      <w:proofErr w:type="spellStart"/>
      <w:r w:rsidRPr="00034AE2">
        <w:rPr>
          <w:sz w:val="24"/>
          <w:szCs w:val="24"/>
        </w:rPr>
        <w:t>dexamethason</w:t>
      </w:r>
      <w:proofErr w:type="spellEnd"/>
      <w:r w:rsidRPr="00034AE2">
        <w:rPr>
          <w:sz w:val="24"/>
          <w:szCs w:val="24"/>
        </w:rPr>
        <w:t xml:space="preserve"> forud for kemoterapi, derefter 4-16 mg/dag på dag 2 og 3.</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 xml:space="preserve">Forebyggelse og behandling af postoperativ opkastning, indenfor </w:t>
      </w:r>
      <w:proofErr w:type="spellStart"/>
      <w:r w:rsidRPr="00034AE2">
        <w:rPr>
          <w:b/>
          <w:sz w:val="24"/>
          <w:szCs w:val="24"/>
        </w:rPr>
        <w:t>antiemetisk</w:t>
      </w:r>
      <w:proofErr w:type="spellEnd"/>
      <w:r w:rsidRPr="00034AE2">
        <w:rPr>
          <w:b/>
          <w:sz w:val="24"/>
          <w:szCs w:val="24"/>
        </w:rPr>
        <w:t xml:space="preserve"> behandling: </w:t>
      </w:r>
      <w:r w:rsidRPr="00034AE2">
        <w:rPr>
          <w:sz w:val="24"/>
          <w:szCs w:val="24"/>
        </w:rPr>
        <w:t>enkelt dosis på 8 mg før operationen.</w:t>
      </w:r>
    </w:p>
    <w:p w:rsidR="0050403C" w:rsidRPr="00034AE2" w:rsidRDefault="0050403C" w:rsidP="0050403C">
      <w:pPr>
        <w:pStyle w:val="Listeafsnit"/>
        <w:widowControl w:val="0"/>
        <w:numPr>
          <w:ilvl w:val="0"/>
          <w:numId w:val="9"/>
        </w:numPr>
        <w:ind w:left="1276" w:hanging="425"/>
        <w:rPr>
          <w:sz w:val="24"/>
          <w:szCs w:val="24"/>
        </w:rPr>
      </w:pPr>
      <w:r w:rsidRPr="00034AE2">
        <w:rPr>
          <w:b/>
          <w:sz w:val="24"/>
          <w:szCs w:val="24"/>
        </w:rPr>
        <w:t xml:space="preserve">Behandling af symptomatisk </w:t>
      </w:r>
      <w:proofErr w:type="spellStart"/>
      <w:r w:rsidRPr="00034AE2">
        <w:rPr>
          <w:b/>
          <w:sz w:val="24"/>
          <w:szCs w:val="24"/>
        </w:rPr>
        <w:t>myelomatose</w:t>
      </w:r>
      <w:proofErr w:type="spellEnd"/>
      <w:r w:rsidRPr="00034AE2">
        <w:rPr>
          <w:b/>
          <w:sz w:val="24"/>
          <w:szCs w:val="24"/>
        </w:rPr>
        <w:t xml:space="preserve">, akut </w:t>
      </w:r>
      <w:proofErr w:type="spellStart"/>
      <w:r w:rsidRPr="00034AE2">
        <w:rPr>
          <w:b/>
          <w:sz w:val="24"/>
          <w:szCs w:val="24"/>
        </w:rPr>
        <w:t>lymfoblatisk</w:t>
      </w:r>
      <w:proofErr w:type="spellEnd"/>
      <w:r w:rsidRPr="00034AE2">
        <w:rPr>
          <w:b/>
          <w:sz w:val="24"/>
          <w:szCs w:val="24"/>
        </w:rPr>
        <w:t xml:space="preserve"> leukæmi, </w:t>
      </w:r>
      <w:proofErr w:type="spellStart"/>
      <w:r w:rsidRPr="00034AE2">
        <w:rPr>
          <w:b/>
          <w:sz w:val="24"/>
          <w:szCs w:val="24"/>
        </w:rPr>
        <w:t>Hodgkin’s</w:t>
      </w:r>
      <w:proofErr w:type="spellEnd"/>
      <w:r w:rsidRPr="00034AE2">
        <w:rPr>
          <w:b/>
          <w:sz w:val="24"/>
          <w:szCs w:val="24"/>
        </w:rPr>
        <w:t xml:space="preserve"> sygdom og non-</w:t>
      </w:r>
      <w:proofErr w:type="spellStart"/>
      <w:r w:rsidRPr="00034AE2">
        <w:rPr>
          <w:b/>
          <w:sz w:val="24"/>
          <w:szCs w:val="24"/>
        </w:rPr>
        <w:t>Hodgkin’s</w:t>
      </w:r>
      <w:proofErr w:type="spellEnd"/>
      <w:r w:rsidRPr="00034AE2">
        <w:rPr>
          <w:b/>
          <w:sz w:val="24"/>
          <w:szCs w:val="24"/>
        </w:rPr>
        <w:t xml:space="preserve"> </w:t>
      </w:r>
      <w:proofErr w:type="spellStart"/>
      <w:r w:rsidRPr="00034AE2">
        <w:rPr>
          <w:b/>
          <w:sz w:val="24"/>
          <w:szCs w:val="24"/>
        </w:rPr>
        <w:t>lymfom</w:t>
      </w:r>
      <w:proofErr w:type="spellEnd"/>
      <w:r w:rsidRPr="00034AE2">
        <w:rPr>
          <w:b/>
          <w:sz w:val="24"/>
          <w:szCs w:val="24"/>
        </w:rPr>
        <w:t xml:space="preserve"> i kombination med andre lægemidler: </w:t>
      </w:r>
      <w:r w:rsidRPr="00034AE2">
        <w:rPr>
          <w:sz w:val="24"/>
          <w:szCs w:val="24"/>
        </w:rPr>
        <w:t xml:space="preserve">Den sædvanlige dosering er 40 mg eller 20 mg én gang </w:t>
      </w:r>
      <w:r>
        <w:rPr>
          <w:sz w:val="24"/>
          <w:szCs w:val="24"/>
        </w:rPr>
        <w:t>daglig</w:t>
      </w:r>
      <w:r w:rsidRPr="00034AE2">
        <w:rPr>
          <w:sz w:val="24"/>
          <w:szCs w:val="24"/>
        </w:rPr>
        <w:t>.</w:t>
      </w:r>
    </w:p>
    <w:p w:rsidR="0050403C" w:rsidRPr="00034AE2" w:rsidRDefault="0050403C" w:rsidP="0050403C">
      <w:pPr>
        <w:widowControl w:val="0"/>
        <w:ind w:left="1276"/>
        <w:rPr>
          <w:sz w:val="24"/>
          <w:szCs w:val="24"/>
        </w:rPr>
      </w:pPr>
      <w:r w:rsidRPr="00034AE2">
        <w:rPr>
          <w:sz w:val="24"/>
          <w:szCs w:val="24"/>
        </w:rPr>
        <w:t xml:space="preserve">Dosis- og administrationsfrekvens varierer alt efter den terapeutiske protokol og evt. associerede behandlinger. Administration af </w:t>
      </w:r>
      <w:proofErr w:type="spellStart"/>
      <w:r w:rsidRPr="00034AE2">
        <w:rPr>
          <w:sz w:val="24"/>
          <w:szCs w:val="24"/>
        </w:rPr>
        <w:t>dexamethason</w:t>
      </w:r>
      <w:proofErr w:type="spellEnd"/>
      <w:r w:rsidRPr="00034AE2">
        <w:rPr>
          <w:sz w:val="24"/>
          <w:szCs w:val="24"/>
        </w:rPr>
        <w:t xml:space="preserve"> bør følge instruktionerne for administration af </w:t>
      </w:r>
      <w:proofErr w:type="spellStart"/>
      <w:r w:rsidRPr="00034AE2">
        <w:rPr>
          <w:sz w:val="24"/>
          <w:szCs w:val="24"/>
        </w:rPr>
        <w:t>dexamethason</w:t>
      </w:r>
      <w:proofErr w:type="spellEnd"/>
      <w:r w:rsidRPr="00034AE2">
        <w:rPr>
          <w:sz w:val="24"/>
          <w:szCs w:val="24"/>
        </w:rPr>
        <w:t xml:space="preserve">, når disse er beskrevet i produktresumeet for de associerede behandlinger. Hvis dette ikke er tilfældet, bør lokale eller internationale behandlingsprotokoller og retningslinjer følges. Ordinerende læger bør nøje evaluere hvilken dosis </w:t>
      </w:r>
      <w:proofErr w:type="spellStart"/>
      <w:r w:rsidRPr="00034AE2">
        <w:rPr>
          <w:sz w:val="24"/>
          <w:szCs w:val="24"/>
        </w:rPr>
        <w:t>dexamethason</w:t>
      </w:r>
      <w:proofErr w:type="spellEnd"/>
      <w:r w:rsidRPr="00034AE2">
        <w:rPr>
          <w:sz w:val="24"/>
          <w:szCs w:val="24"/>
        </w:rPr>
        <w:t xml:space="preserve"> der skal bruges, og tage højde for patientens tilstand og sygdomsstatus.</w:t>
      </w:r>
    </w:p>
    <w:p w:rsidR="00903162" w:rsidRDefault="00903162" w:rsidP="00903162">
      <w:pPr>
        <w:pStyle w:val="Listeafsnit"/>
        <w:widowControl w:val="0"/>
        <w:numPr>
          <w:ilvl w:val="0"/>
          <w:numId w:val="9"/>
        </w:numPr>
        <w:ind w:left="1276" w:hanging="425"/>
        <w:rPr>
          <w:sz w:val="24"/>
          <w:szCs w:val="24"/>
        </w:rPr>
      </w:pPr>
      <w:r>
        <w:rPr>
          <w:b/>
          <w:bCs/>
          <w:sz w:val="24"/>
          <w:szCs w:val="24"/>
        </w:rPr>
        <w:t>Behandling af COVID</w:t>
      </w:r>
      <w:r>
        <w:rPr>
          <w:b/>
          <w:bCs/>
          <w:sz w:val="24"/>
          <w:szCs w:val="24"/>
        </w:rPr>
        <w:noBreakHyphen/>
        <w:t xml:space="preserve">19: </w:t>
      </w:r>
      <w:r>
        <w:rPr>
          <w:sz w:val="24"/>
          <w:szCs w:val="24"/>
        </w:rPr>
        <w:t>Voksne patienter 6 mg oralt, én gang dagligt i op til 10 dage.</w:t>
      </w:r>
    </w:p>
    <w:p w:rsidR="00903162" w:rsidRDefault="00903162" w:rsidP="00903162">
      <w:pPr>
        <w:pStyle w:val="Listeafsnit"/>
        <w:widowControl w:val="0"/>
        <w:ind w:left="1276"/>
        <w:rPr>
          <w:sz w:val="24"/>
          <w:szCs w:val="24"/>
        </w:rPr>
      </w:pPr>
      <w:r>
        <w:rPr>
          <w:i/>
          <w:iCs/>
          <w:sz w:val="24"/>
          <w:szCs w:val="24"/>
        </w:rPr>
        <w:t xml:space="preserve">Pædiatrisk population: </w:t>
      </w:r>
      <w:r w:rsidRPr="002A1761">
        <w:rPr>
          <w:sz w:val="24"/>
          <w:szCs w:val="24"/>
        </w:rPr>
        <w:t xml:space="preserve">Pædiatriske patienter (unge </w:t>
      </w:r>
      <w:r>
        <w:rPr>
          <w:sz w:val="24"/>
          <w:szCs w:val="24"/>
        </w:rPr>
        <w:t xml:space="preserve">på </w:t>
      </w:r>
      <w:r w:rsidRPr="002A1761">
        <w:rPr>
          <w:sz w:val="24"/>
          <w:szCs w:val="24"/>
        </w:rPr>
        <w:t xml:space="preserve">12 år </w:t>
      </w:r>
      <w:r>
        <w:rPr>
          <w:sz w:val="24"/>
          <w:szCs w:val="24"/>
        </w:rPr>
        <w:t>og</w:t>
      </w:r>
      <w:r w:rsidRPr="002A1761">
        <w:rPr>
          <w:sz w:val="24"/>
          <w:szCs w:val="24"/>
        </w:rPr>
        <w:t xml:space="preserve"> ældre</w:t>
      </w:r>
      <w:r>
        <w:rPr>
          <w:sz w:val="24"/>
          <w:szCs w:val="24"/>
        </w:rPr>
        <w:t xml:space="preserve"> med en legemsvægt på mindst 40 kg</w:t>
      </w:r>
      <w:r w:rsidRPr="002A1761">
        <w:rPr>
          <w:sz w:val="24"/>
          <w:szCs w:val="24"/>
        </w:rPr>
        <w:t xml:space="preserve">) anbefales at tage 6 mg </w:t>
      </w:r>
      <w:r>
        <w:rPr>
          <w:sz w:val="24"/>
          <w:szCs w:val="24"/>
        </w:rPr>
        <w:t>pr. dosis oralt, én gang dagligt i op til 10 dage.</w:t>
      </w:r>
    </w:p>
    <w:p w:rsidR="00903162" w:rsidRPr="00D63CD5" w:rsidRDefault="00903162" w:rsidP="00903162">
      <w:pPr>
        <w:tabs>
          <w:tab w:val="left" w:pos="851"/>
        </w:tabs>
        <w:ind w:left="1276"/>
        <w:rPr>
          <w:sz w:val="24"/>
          <w:szCs w:val="24"/>
        </w:rPr>
      </w:pPr>
      <w:r>
        <w:rPr>
          <w:sz w:val="24"/>
          <w:szCs w:val="24"/>
        </w:rPr>
        <w:t>Behandlingsvarigheden skal styres af klinisk respons og individuelle patientbehov.</w:t>
      </w:r>
    </w:p>
    <w:p w:rsidR="00903162" w:rsidRDefault="00903162" w:rsidP="00903162">
      <w:pPr>
        <w:widowControl w:val="0"/>
        <w:ind w:left="851" w:hanging="851"/>
        <w:rPr>
          <w:i/>
          <w:iCs/>
          <w:sz w:val="24"/>
          <w:szCs w:val="24"/>
        </w:rPr>
      </w:pPr>
    </w:p>
    <w:p w:rsidR="00903162" w:rsidRDefault="00903162" w:rsidP="00903162">
      <w:pPr>
        <w:widowControl w:val="0"/>
        <w:ind w:left="851"/>
        <w:rPr>
          <w:sz w:val="24"/>
          <w:szCs w:val="24"/>
        </w:rPr>
      </w:pPr>
      <w:r>
        <w:rPr>
          <w:i/>
          <w:iCs/>
          <w:sz w:val="24"/>
          <w:szCs w:val="24"/>
        </w:rPr>
        <w:t xml:space="preserve">Ældre, nedsat nyrefunktion, nedsat leverfunktion: </w:t>
      </w:r>
      <w:r>
        <w:rPr>
          <w:sz w:val="24"/>
          <w:szCs w:val="24"/>
        </w:rPr>
        <w:t>Dosisjustering er ikke nødvendig</w:t>
      </w:r>
    </w:p>
    <w:p w:rsidR="00903162" w:rsidRPr="00034AE2" w:rsidRDefault="00903162" w:rsidP="0050403C">
      <w:pPr>
        <w:widowControl w:val="0"/>
        <w:ind w:left="851" w:hanging="851"/>
        <w:rPr>
          <w:sz w:val="24"/>
          <w:szCs w:val="24"/>
        </w:rPr>
      </w:pPr>
    </w:p>
    <w:p w:rsidR="0050403C" w:rsidRPr="00034AE2" w:rsidRDefault="0050403C" w:rsidP="0050403C">
      <w:pPr>
        <w:widowControl w:val="0"/>
        <w:ind w:left="851"/>
        <w:rPr>
          <w:sz w:val="24"/>
          <w:szCs w:val="24"/>
          <w:u w:val="single"/>
          <w:lang w:eastAsia="da-DK"/>
        </w:rPr>
      </w:pPr>
      <w:r w:rsidRPr="00034AE2">
        <w:rPr>
          <w:sz w:val="24"/>
          <w:szCs w:val="24"/>
          <w:u w:val="single"/>
        </w:rPr>
        <w:t>Nedsat nyrefunktion</w:t>
      </w:r>
    </w:p>
    <w:p w:rsidR="0050403C" w:rsidRPr="00034AE2" w:rsidRDefault="0050403C" w:rsidP="0050403C">
      <w:pPr>
        <w:widowControl w:val="0"/>
        <w:ind w:left="851"/>
        <w:rPr>
          <w:sz w:val="24"/>
          <w:szCs w:val="24"/>
        </w:rPr>
      </w:pPr>
      <w:r w:rsidRPr="00034AE2">
        <w:rPr>
          <w:sz w:val="24"/>
          <w:szCs w:val="24"/>
        </w:rPr>
        <w:t xml:space="preserve">Patienter i aktiv hæmodialyse kan udvise øget </w:t>
      </w:r>
      <w:proofErr w:type="spellStart"/>
      <w:r w:rsidRPr="00034AE2">
        <w:rPr>
          <w:sz w:val="24"/>
          <w:szCs w:val="24"/>
        </w:rPr>
        <w:t>clearance</w:t>
      </w:r>
      <w:proofErr w:type="spellEnd"/>
      <w:r w:rsidRPr="00034AE2">
        <w:rPr>
          <w:sz w:val="24"/>
          <w:szCs w:val="24"/>
        </w:rPr>
        <w:t xml:space="preserve"> af lægemidlet via </w:t>
      </w:r>
      <w:proofErr w:type="spellStart"/>
      <w:r w:rsidRPr="00034AE2">
        <w:rPr>
          <w:sz w:val="24"/>
          <w:szCs w:val="24"/>
        </w:rPr>
        <w:t>dialysatet</w:t>
      </w:r>
      <w:proofErr w:type="spellEnd"/>
      <w:r w:rsidRPr="00034AE2">
        <w:rPr>
          <w:sz w:val="24"/>
          <w:szCs w:val="24"/>
        </w:rPr>
        <w:t>, og kan derfor have behov for en justering af steroiddosen.</w:t>
      </w:r>
    </w:p>
    <w:p w:rsidR="0050403C" w:rsidRPr="00034AE2" w:rsidRDefault="0050403C" w:rsidP="0050403C">
      <w:pPr>
        <w:widowControl w:val="0"/>
        <w:ind w:left="851"/>
        <w:rPr>
          <w:sz w:val="24"/>
          <w:szCs w:val="24"/>
        </w:rPr>
      </w:pPr>
    </w:p>
    <w:p w:rsidR="0050403C" w:rsidRPr="00034AE2" w:rsidRDefault="0050403C" w:rsidP="0050403C">
      <w:pPr>
        <w:widowControl w:val="0"/>
        <w:ind w:left="851"/>
        <w:rPr>
          <w:sz w:val="24"/>
          <w:szCs w:val="24"/>
          <w:u w:val="single"/>
          <w:lang w:eastAsia="da-DK"/>
        </w:rPr>
      </w:pPr>
      <w:r w:rsidRPr="00034AE2">
        <w:rPr>
          <w:sz w:val="24"/>
          <w:szCs w:val="24"/>
          <w:u w:val="single"/>
        </w:rPr>
        <w:t>Nedsat leverfunktion</w:t>
      </w:r>
    </w:p>
    <w:p w:rsidR="0050403C" w:rsidRPr="00034AE2" w:rsidRDefault="0050403C" w:rsidP="0050403C">
      <w:pPr>
        <w:widowControl w:val="0"/>
        <w:ind w:left="851"/>
        <w:rPr>
          <w:sz w:val="24"/>
          <w:szCs w:val="24"/>
        </w:rPr>
      </w:pPr>
      <w:r w:rsidRPr="00034AE2">
        <w:rPr>
          <w:sz w:val="24"/>
          <w:szCs w:val="24"/>
        </w:rPr>
        <w:t xml:space="preserve">Hos patienter med alvorlig leversygdom, kan en justering af dosis være nødvendig. Hos patienter med svært nedsat leverfunktion kan den biologiske effekt af </w:t>
      </w:r>
      <w:proofErr w:type="spellStart"/>
      <w:r w:rsidRPr="00034AE2">
        <w:rPr>
          <w:sz w:val="24"/>
          <w:szCs w:val="24"/>
        </w:rPr>
        <w:t>dexamethason</w:t>
      </w:r>
      <w:proofErr w:type="spellEnd"/>
      <w:r w:rsidRPr="00034AE2">
        <w:rPr>
          <w:sz w:val="24"/>
          <w:szCs w:val="24"/>
        </w:rPr>
        <w:t xml:space="preserve"> være øget pga. langsommere metabolisme (forlænget halveringstid i plasma) og pga. hypoalbuminæmi (øgede plasmaniveauer af ubundet lægemiddel), hvilket også kan føre til </w:t>
      </w:r>
      <w:r w:rsidRPr="00034AE2">
        <w:rPr>
          <w:sz w:val="24"/>
          <w:szCs w:val="24"/>
        </w:rPr>
        <w:lastRenderedPageBreak/>
        <w:t>flere bivirkninger.</w:t>
      </w:r>
    </w:p>
    <w:p w:rsidR="0050403C" w:rsidRPr="00034AE2" w:rsidRDefault="0050403C" w:rsidP="0050403C">
      <w:pPr>
        <w:widowControl w:val="0"/>
        <w:ind w:left="851"/>
        <w:rPr>
          <w:sz w:val="24"/>
          <w:szCs w:val="24"/>
        </w:rPr>
      </w:pPr>
    </w:p>
    <w:p w:rsidR="0050403C" w:rsidRPr="00034AE2" w:rsidRDefault="0050403C" w:rsidP="0050403C">
      <w:pPr>
        <w:widowControl w:val="0"/>
        <w:ind w:left="851"/>
        <w:rPr>
          <w:sz w:val="24"/>
          <w:szCs w:val="24"/>
          <w:u w:val="single"/>
          <w:lang w:eastAsia="da-DK"/>
        </w:rPr>
      </w:pPr>
      <w:r w:rsidRPr="00034AE2">
        <w:rPr>
          <w:sz w:val="24"/>
          <w:szCs w:val="24"/>
          <w:u w:val="single"/>
        </w:rPr>
        <w:t>Ældre</w:t>
      </w:r>
    </w:p>
    <w:p w:rsidR="0050403C" w:rsidRPr="00034AE2" w:rsidRDefault="0050403C" w:rsidP="0050403C">
      <w:pPr>
        <w:widowControl w:val="0"/>
        <w:ind w:left="851"/>
        <w:rPr>
          <w:sz w:val="24"/>
          <w:szCs w:val="24"/>
        </w:rPr>
      </w:pPr>
      <w:r w:rsidRPr="00034AE2">
        <w:rPr>
          <w:sz w:val="24"/>
          <w:szCs w:val="24"/>
        </w:rPr>
        <w:t xml:space="preserve">Behandling af ældre patienter, særligt hvis det er over længere tid, bør planlægges med tanke på de mere alvorlige konsekvenser af almindelige bivirkninger af </w:t>
      </w:r>
      <w:proofErr w:type="spellStart"/>
      <w:r w:rsidRPr="00034AE2">
        <w:rPr>
          <w:sz w:val="24"/>
          <w:szCs w:val="24"/>
        </w:rPr>
        <w:t>kortikosterioder</w:t>
      </w:r>
      <w:proofErr w:type="spellEnd"/>
      <w:r w:rsidRPr="00034AE2">
        <w:rPr>
          <w:sz w:val="24"/>
          <w:szCs w:val="24"/>
        </w:rPr>
        <w:t xml:space="preserve"> hos ældre (osteoporose, diabetes mellitus, hypertension, nedsat immunitet, psykologiske ændringer). Hos disse patienter, kan plasmakoncentration af </w:t>
      </w:r>
      <w:proofErr w:type="spellStart"/>
      <w:r w:rsidRPr="00034AE2">
        <w:rPr>
          <w:sz w:val="24"/>
          <w:szCs w:val="24"/>
        </w:rPr>
        <w:t>dexamethason</w:t>
      </w:r>
      <w:proofErr w:type="spellEnd"/>
      <w:r w:rsidRPr="00034AE2">
        <w:rPr>
          <w:sz w:val="24"/>
          <w:szCs w:val="24"/>
        </w:rPr>
        <w:t xml:space="preserve"> være højere og dets udskillelse langsommere end hos yngre patienter, og som konsekvens heraf bør dosis reduceres.</w:t>
      </w:r>
    </w:p>
    <w:p w:rsidR="00761175" w:rsidRDefault="00761175" w:rsidP="0050403C">
      <w:pPr>
        <w:widowControl w:val="0"/>
        <w:ind w:left="851"/>
        <w:rPr>
          <w:i/>
          <w:sz w:val="24"/>
          <w:szCs w:val="24"/>
        </w:rPr>
      </w:pPr>
    </w:p>
    <w:p w:rsidR="0050403C" w:rsidRPr="00034AE2" w:rsidRDefault="0050403C" w:rsidP="0050403C">
      <w:pPr>
        <w:widowControl w:val="0"/>
        <w:ind w:left="851"/>
        <w:rPr>
          <w:i/>
          <w:sz w:val="24"/>
          <w:szCs w:val="24"/>
          <w:lang w:eastAsia="da-DK"/>
        </w:rPr>
      </w:pPr>
      <w:r w:rsidRPr="00034AE2">
        <w:rPr>
          <w:i/>
          <w:sz w:val="24"/>
          <w:szCs w:val="24"/>
        </w:rPr>
        <w:t>Pædiatrisk population</w:t>
      </w:r>
    </w:p>
    <w:p w:rsidR="0050403C" w:rsidRPr="00034AE2" w:rsidRDefault="0050403C" w:rsidP="0050403C">
      <w:pPr>
        <w:widowControl w:val="0"/>
        <w:ind w:left="851"/>
        <w:rPr>
          <w:sz w:val="24"/>
          <w:szCs w:val="24"/>
        </w:rPr>
      </w:pPr>
      <w:r w:rsidRPr="00034AE2">
        <w:rPr>
          <w:sz w:val="24"/>
          <w:szCs w:val="24"/>
        </w:rPr>
        <w:t xml:space="preserve">Udskillelsen af </w:t>
      </w:r>
      <w:proofErr w:type="spellStart"/>
      <w:r w:rsidRPr="00034AE2">
        <w:rPr>
          <w:sz w:val="24"/>
          <w:szCs w:val="24"/>
        </w:rPr>
        <w:t>dexamethason</w:t>
      </w:r>
      <w:proofErr w:type="spellEnd"/>
      <w:r w:rsidRPr="00034AE2">
        <w:rPr>
          <w:sz w:val="24"/>
          <w:szCs w:val="24"/>
        </w:rPr>
        <w:t xml:space="preserve"> hos børn er ca. den samme som hos voksne, hvis dosis justeres efter deres kropsareal. Dosering bør planlægges med tanke på mulige effekter på vækst og udvikling og tegn på </w:t>
      </w:r>
      <w:proofErr w:type="spellStart"/>
      <w:r w:rsidRPr="00034AE2">
        <w:rPr>
          <w:sz w:val="24"/>
          <w:szCs w:val="24"/>
        </w:rPr>
        <w:t>adrenal</w:t>
      </w:r>
      <w:proofErr w:type="spellEnd"/>
      <w:r w:rsidRPr="00034AE2">
        <w:rPr>
          <w:sz w:val="24"/>
          <w:szCs w:val="24"/>
        </w:rPr>
        <w:t xml:space="preserve"> suppression.</w:t>
      </w:r>
    </w:p>
    <w:p w:rsidR="0050403C" w:rsidRPr="00034AE2" w:rsidRDefault="0050403C" w:rsidP="0050403C">
      <w:pPr>
        <w:widowControl w:val="0"/>
        <w:ind w:left="851"/>
        <w:rPr>
          <w:sz w:val="24"/>
          <w:szCs w:val="24"/>
        </w:rPr>
      </w:pPr>
    </w:p>
    <w:p w:rsidR="0050403C" w:rsidRPr="00034AE2" w:rsidRDefault="0050403C" w:rsidP="0050403C">
      <w:pPr>
        <w:widowControl w:val="0"/>
        <w:ind w:left="851"/>
        <w:rPr>
          <w:i/>
          <w:sz w:val="24"/>
          <w:szCs w:val="24"/>
          <w:lang w:eastAsia="da-DK"/>
        </w:rPr>
      </w:pPr>
      <w:r w:rsidRPr="00034AE2">
        <w:rPr>
          <w:i/>
          <w:sz w:val="24"/>
          <w:szCs w:val="24"/>
        </w:rPr>
        <w:t>Langtidsbehandling</w:t>
      </w:r>
    </w:p>
    <w:p w:rsidR="0050403C" w:rsidRPr="00034AE2" w:rsidRDefault="0050403C" w:rsidP="0050403C">
      <w:pPr>
        <w:widowControl w:val="0"/>
        <w:ind w:left="851"/>
        <w:rPr>
          <w:sz w:val="24"/>
          <w:szCs w:val="24"/>
        </w:rPr>
      </w:pPr>
      <w:r w:rsidRPr="00034AE2">
        <w:rPr>
          <w:sz w:val="24"/>
          <w:szCs w:val="24"/>
        </w:rPr>
        <w:t xml:space="preserve">Til langtidsbehandling af flere forskellige lidelser, bør der efter den indledende behandling skiftes </w:t>
      </w:r>
      <w:proofErr w:type="spellStart"/>
      <w:r w:rsidRPr="00034AE2">
        <w:rPr>
          <w:sz w:val="24"/>
          <w:szCs w:val="24"/>
        </w:rPr>
        <w:t>glukokortikoidbehandling</w:t>
      </w:r>
      <w:proofErr w:type="spellEnd"/>
      <w:r w:rsidRPr="00034AE2">
        <w:rPr>
          <w:sz w:val="24"/>
          <w:szCs w:val="24"/>
        </w:rPr>
        <w:t xml:space="preserve"> fra </w:t>
      </w:r>
      <w:proofErr w:type="spellStart"/>
      <w:r w:rsidRPr="00034AE2">
        <w:rPr>
          <w:sz w:val="24"/>
          <w:szCs w:val="24"/>
        </w:rPr>
        <w:t>dexamethason</w:t>
      </w:r>
      <w:proofErr w:type="spellEnd"/>
      <w:r w:rsidRPr="00034AE2">
        <w:rPr>
          <w:sz w:val="24"/>
          <w:szCs w:val="24"/>
        </w:rPr>
        <w:t xml:space="preserve"> til </w:t>
      </w:r>
      <w:proofErr w:type="spellStart"/>
      <w:r w:rsidRPr="00034AE2">
        <w:rPr>
          <w:sz w:val="24"/>
          <w:szCs w:val="24"/>
        </w:rPr>
        <w:t>prednison</w:t>
      </w:r>
      <w:proofErr w:type="spellEnd"/>
      <w:r w:rsidRPr="00034AE2">
        <w:rPr>
          <w:sz w:val="24"/>
          <w:szCs w:val="24"/>
        </w:rPr>
        <w:t>/</w:t>
      </w:r>
      <w:proofErr w:type="spellStart"/>
      <w:r w:rsidRPr="00034AE2">
        <w:rPr>
          <w:sz w:val="24"/>
          <w:szCs w:val="24"/>
        </w:rPr>
        <w:t>prednisolon</w:t>
      </w:r>
      <w:proofErr w:type="spellEnd"/>
      <w:r w:rsidRPr="00034AE2">
        <w:rPr>
          <w:sz w:val="24"/>
          <w:szCs w:val="24"/>
        </w:rPr>
        <w:t xml:space="preserve"> for at reducere suppressionen af binyrebarkens funktion.</w:t>
      </w:r>
    </w:p>
    <w:p w:rsidR="0050403C" w:rsidRPr="00034AE2" w:rsidRDefault="0050403C" w:rsidP="0050403C">
      <w:pPr>
        <w:widowControl w:val="0"/>
        <w:ind w:left="851"/>
        <w:rPr>
          <w:sz w:val="24"/>
          <w:szCs w:val="24"/>
        </w:rPr>
      </w:pPr>
    </w:p>
    <w:p w:rsidR="0050403C" w:rsidRPr="00034AE2" w:rsidRDefault="0050403C" w:rsidP="0050403C">
      <w:pPr>
        <w:widowControl w:val="0"/>
        <w:ind w:left="851"/>
        <w:rPr>
          <w:bCs/>
          <w:i/>
          <w:sz w:val="24"/>
          <w:szCs w:val="24"/>
          <w:lang w:eastAsia="da-DK"/>
        </w:rPr>
      </w:pPr>
      <w:proofErr w:type="spellStart"/>
      <w:r w:rsidRPr="00034AE2">
        <w:rPr>
          <w:bCs/>
          <w:i/>
          <w:sz w:val="24"/>
          <w:szCs w:val="24"/>
        </w:rPr>
        <w:t>Seponering</w:t>
      </w:r>
      <w:proofErr w:type="spellEnd"/>
      <w:r w:rsidRPr="00034AE2">
        <w:rPr>
          <w:bCs/>
          <w:i/>
          <w:sz w:val="24"/>
          <w:szCs w:val="24"/>
        </w:rPr>
        <w:t xml:space="preserve"> af behandlingen</w:t>
      </w:r>
    </w:p>
    <w:p w:rsidR="0050403C" w:rsidRPr="00034AE2" w:rsidRDefault="0050403C" w:rsidP="0050403C">
      <w:pPr>
        <w:widowControl w:val="0"/>
        <w:ind w:left="851"/>
        <w:rPr>
          <w:bCs/>
          <w:sz w:val="24"/>
          <w:szCs w:val="24"/>
        </w:rPr>
      </w:pPr>
      <w:r w:rsidRPr="00034AE2">
        <w:rPr>
          <w:bCs/>
          <w:sz w:val="24"/>
          <w:szCs w:val="24"/>
        </w:rPr>
        <w:t xml:space="preserve">Akut </w:t>
      </w:r>
      <w:proofErr w:type="spellStart"/>
      <w:r w:rsidRPr="00034AE2">
        <w:rPr>
          <w:bCs/>
          <w:sz w:val="24"/>
          <w:szCs w:val="24"/>
        </w:rPr>
        <w:t>adrenokortikalt</w:t>
      </w:r>
      <w:proofErr w:type="spellEnd"/>
      <w:r w:rsidRPr="00034AE2">
        <w:rPr>
          <w:bCs/>
          <w:sz w:val="24"/>
          <w:szCs w:val="24"/>
        </w:rPr>
        <w:t xml:space="preserve"> svigt kan forekomme efter pludselig </w:t>
      </w:r>
      <w:proofErr w:type="spellStart"/>
      <w:r w:rsidRPr="00034AE2">
        <w:rPr>
          <w:bCs/>
          <w:sz w:val="24"/>
          <w:szCs w:val="24"/>
        </w:rPr>
        <w:t>seponering</w:t>
      </w:r>
      <w:proofErr w:type="spellEnd"/>
      <w:r w:rsidRPr="00034AE2">
        <w:rPr>
          <w:bCs/>
          <w:sz w:val="24"/>
          <w:szCs w:val="24"/>
        </w:rPr>
        <w:t xml:space="preserve"> af langtidsbehandling med høje doser </w:t>
      </w:r>
      <w:proofErr w:type="spellStart"/>
      <w:r w:rsidRPr="00034AE2">
        <w:rPr>
          <w:bCs/>
          <w:sz w:val="24"/>
          <w:szCs w:val="24"/>
        </w:rPr>
        <w:t>glukokortikoider</w:t>
      </w:r>
      <w:proofErr w:type="spellEnd"/>
      <w:r w:rsidRPr="00034AE2">
        <w:rPr>
          <w:bCs/>
          <w:sz w:val="24"/>
          <w:szCs w:val="24"/>
        </w:rPr>
        <w:t xml:space="preserve">. Derfor bør </w:t>
      </w:r>
      <w:proofErr w:type="spellStart"/>
      <w:r w:rsidRPr="00034AE2">
        <w:rPr>
          <w:bCs/>
          <w:sz w:val="24"/>
          <w:szCs w:val="24"/>
        </w:rPr>
        <w:t>glukokortikoiddoser</w:t>
      </w:r>
      <w:proofErr w:type="spellEnd"/>
      <w:r w:rsidRPr="00034AE2">
        <w:rPr>
          <w:bCs/>
          <w:sz w:val="24"/>
          <w:szCs w:val="24"/>
        </w:rPr>
        <w:t xml:space="preserve"> reduceres gradvist og behandlingen seponeres gradvist (se pkt. 4.4).</w:t>
      </w:r>
    </w:p>
    <w:p w:rsidR="0050403C" w:rsidRPr="00034AE2" w:rsidRDefault="0050403C" w:rsidP="0050403C">
      <w:pPr>
        <w:widowControl w:val="0"/>
        <w:ind w:left="851"/>
        <w:rPr>
          <w:sz w:val="24"/>
          <w:szCs w:val="24"/>
        </w:rPr>
      </w:pPr>
    </w:p>
    <w:p w:rsidR="0050403C" w:rsidRPr="00034AE2" w:rsidRDefault="0050403C" w:rsidP="0050403C">
      <w:pPr>
        <w:widowControl w:val="0"/>
        <w:ind w:left="851"/>
        <w:rPr>
          <w:sz w:val="24"/>
          <w:szCs w:val="24"/>
          <w:u w:val="single"/>
          <w:lang w:eastAsia="da-DK"/>
        </w:rPr>
      </w:pPr>
      <w:r w:rsidRPr="00034AE2">
        <w:rPr>
          <w:sz w:val="24"/>
          <w:szCs w:val="24"/>
          <w:u w:val="single"/>
        </w:rPr>
        <w:t>Administration</w:t>
      </w:r>
    </w:p>
    <w:p w:rsidR="0050403C" w:rsidRPr="00034AE2" w:rsidRDefault="0050403C" w:rsidP="0050403C">
      <w:pPr>
        <w:widowControl w:val="0"/>
        <w:ind w:left="851"/>
        <w:rPr>
          <w:sz w:val="24"/>
          <w:szCs w:val="24"/>
        </w:rPr>
      </w:pPr>
      <w:proofErr w:type="spellStart"/>
      <w:r w:rsidRPr="00034AE2">
        <w:rPr>
          <w:sz w:val="24"/>
          <w:szCs w:val="24"/>
        </w:rPr>
        <w:t>Dexamethason</w:t>
      </w:r>
      <w:proofErr w:type="spellEnd"/>
      <w:r w:rsidRPr="00034AE2">
        <w:rPr>
          <w:sz w:val="24"/>
          <w:szCs w:val="24"/>
        </w:rPr>
        <w:t xml:space="preserve"> bør indtages sammen med eller lige efter mad for at minimere irritation af mave-tarm-kanalen. Alkohol- eller koffeinholdige drikkevarer bør undgås.</w:t>
      </w:r>
    </w:p>
    <w:p w:rsidR="0050403C" w:rsidRPr="00034AE2" w:rsidRDefault="00E05AF9" w:rsidP="0050403C">
      <w:pPr>
        <w:widowControl w:val="0"/>
        <w:ind w:left="851"/>
        <w:rPr>
          <w:sz w:val="24"/>
          <w:szCs w:val="24"/>
          <w:u w:val="single"/>
        </w:rPr>
      </w:pPr>
      <w:proofErr w:type="spellStart"/>
      <w:r>
        <w:rPr>
          <w:sz w:val="24"/>
          <w:szCs w:val="24"/>
        </w:rPr>
        <w:t>Dexamethason</w:t>
      </w:r>
      <w:proofErr w:type="spellEnd"/>
      <w:r>
        <w:rPr>
          <w:sz w:val="24"/>
          <w:szCs w:val="24"/>
        </w:rPr>
        <w:t xml:space="preserve"> ”2care4”</w:t>
      </w:r>
      <w:r w:rsidR="0050403C" w:rsidRPr="00034AE2">
        <w:rPr>
          <w:sz w:val="24"/>
          <w:szCs w:val="24"/>
        </w:rPr>
        <w:t xml:space="preserve"> er i form af tabletter på 4 mg. Tabletterne kan deles i lige store halvdele og kan på den måde stille en styrke på 2 mg til rådighed samt gøre det lettere for patienten at sluge tabletten.</w:t>
      </w:r>
    </w:p>
    <w:p w:rsidR="0050403C" w:rsidRPr="00034AE2" w:rsidRDefault="0050403C" w:rsidP="0050403C">
      <w:pPr>
        <w:widowControl w:val="0"/>
        <w:ind w:left="851"/>
        <w:rPr>
          <w:sz w:val="24"/>
          <w:szCs w:val="24"/>
        </w:rPr>
      </w:pPr>
      <w:r w:rsidRPr="00034AE2">
        <w:rPr>
          <w:sz w:val="24"/>
          <w:szCs w:val="24"/>
        </w:rPr>
        <w:t xml:space="preserve">Når behandling hver anden dag ikke er muligt, kan hele den daglige dosis af </w:t>
      </w:r>
      <w:proofErr w:type="spellStart"/>
      <w:r w:rsidRPr="00034AE2">
        <w:rPr>
          <w:sz w:val="24"/>
          <w:szCs w:val="24"/>
        </w:rPr>
        <w:t>glukokortikoid</w:t>
      </w:r>
      <w:proofErr w:type="spellEnd"/>
      <w:r w:rsidRPr="00034AE2">
        <w:rPr>
          <w:sz w:val="24"/>
          <w:szCs w:val="24"/>
        </w:rPr>
        <w:t xml:space="preserve"> sædvanligvis administreres som en enkelt morgendosis. Dog vil det for nogen patienter være nødvendigt med opdelte daglige doser af </w:t>
      </w:r>
      <w:proofErr w:type="spellStart"/>
      <w:r w:rsidRPr="00034AE2">
        <w:rPr>
          <w:sz w:val="24"/>
          <w:szCs w:val="24"/>
        </w:rPr>
        <w:t>glukokortikoid</w:t>
      </w:r>
      <w:proofErr w:type="spellEnd"/>
      <w:r w:rsidRPr="00034AE2">
        <w:rPr>
          <w:sz w:val="24"/>
          <w:szCs w:val="24"/>
        </w:rPr>
        <w: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4.3</w:t>
      </w:r>
      <w:r w:rsidRPr="00034AE2">
        <w:rPr>
          <w:b/>
          <w:sz w:val="24"/>
          <w:szCs w:val="24"/>
        </w:rPr>
        <w:tab/>
        <w:t>Kontraindikationer</w:t>
      </w:r>
    </w:p>
    <w:p w:rsidR="0050403C" w:rsidRPr="00034AE2" w:rsidRDefault="0050403C" w:rsidP="0050403C">
      <w:pPr>
        <w:widowControl w:val="0"/>
        <w:ind w:left="851"/>
        <w:rPr>
          <w:sz w:val="24"/>
          <w:szCs w:val="24"/>
          <w:lang w:eastAsia="da-DK"/>
        </w:rPr>
      </w:pPr>
      <w:r w:rsidRPr="00034AE2">
        <w:rPr>
          <w:sz w:val="24"/>
          <w:szCs w:val="24"/>
        </w:rPr>
        <w:t>Overfølsomhed over for det aktive stof eller over for et eller flere af hjælpestofferne anført i pkt. 6.1.</w:t>
      </w:r>
    </w:p>
    <w:p w:rsidR="0050403C" w:rsidRPr="00034AE2" w:rsidRDefault="0050403C" w:rsidP="0050403C">
      <w:pPr>
        <w:widowControl w:val="0"/>
        <w:ind w:left="851" w:hanging="851"/>
        <w:rPr>
          <w:sz w:val="24"/>
          <w:szCs w:val="24"/>
        </w:rPr>
      </w:pPr>
    </w:p>
    <w:p w:rsidR="0050403C" w:rsidRPr="00034AE2" w:rsidRDefault="0050403C" w:rsidP="0050403C">
      <w:pPr>
        <w:widowControl w:val="0"/>
        <w:ind w:left="851"/>
        <w:rPr>
          <w:sz w:val="24"/>
          <w:szCs w:val="24"/>
        </w:rPr>
      </w:pPr>
      <w:r w:rsidRPr="00034AE2">
        <w:rPr>
          <w:sz w:val="24"/>
          <w:szCs w:val="24"/>
        </w:rPr>
        <w:t>Systemisk infektion, med mindre specifik anti-infektiøs behandling gives.</w:t>
      </w:r>
    </w:p>
    <w:p w:rsidR="0050403C" w:rsidRPr="00034AE2" w:rsidRDefault="0050403C" w:rsidP="0050403C">
      <w:pPr>
        <w:widowControl w:val="0"/>
        <w:ind w:left="851"/>
        <w:rPr>
          <w:sz w:val="24"/>
          <w:szCs w:val="24"/>
        </w:rPr>
      </w:pPr>
      <w:r w:rsidRPr="00034AE2">
        <w:rPr>
          <w:sz w:val="24"/>
          <w:szCs w:val="24"/>
        </w:rPr>
        <w:t xml:space="preserve">Mavesår eller </w:t>
      </w:r>
      <w:proofErr w:type="spellStart"/>
      <w:r w:rsidRPr="00034AE2">
        <w:rPr>
          <w:sz w:val="24"/>
          <w:szCs w:val="24"/>
        </w:rPr>
        <w:t>duodenalsår</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Vaccination med levende vacciner samtidig med behandling med store terapeutiske doser af </w:t>
      </w:r>
      <w:proofErr w:type="spellStart"/>
      <w:r w:rsidRPr="00034AE2">
        <w:rPr>
          <w:sz w:val="24"/>
          <w:szCs w:val="24"/>
        </w:rPr>
        <w:t>dexamethason</w:t>
      </w:r>
      <w:proofErr w:type="spellEnd"/>
      <w:r w:rsidRPr="00034AE2">
        <w:rPr>
          <w:sz w:val="24"/>
          <w:szCs w:val="24"/>
        </w:rPr>
        <w:t xml:space="preserve"> (og andre </w:t>
      </w:r>
      <w:proofErr w:type="spellStart"/>
      <w:r w:rsidRPr="00034AE2">
        <w:rPr>
          <w:sz w:val="24"/>
          <w:szCs w:val="24"/>
        </w:rPr>
        <w:t>kortikosteroider</w:t>
      </w:r>
      <w:proofErr w:type="spellEnd"/>
      <w:r w:rsidRPr="00034AE2">
        <w:rPr>
          <w:sz w:val="24"/>
          <w:szCs w:val="24"/>
        </w:rPr>
        <w:t xml:space="preserve">) er kontraindiceret pga. muligheden for virusinfektion (se </w:t>
      </w:r>
      <w:r>
        <w:rPr>
          <w:sz w:val="24"/>
          <w:szCs w:val="24"/>
        </w:rPr>
        <w:t>pkt.</w:t>
      </w:r>
      <w:r w:rsidRPr="00034AE2">
        <w:rPr>
          <w:sz w:val="24"/>
          <w:szCs w:val="24"/>
        </w:rPr>
        <w:t xml:space="preserve"> 4.4 og 4.5).</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4.4</w:t>
      </w:r>
      <w:r w:rsidRPr="00034AE2">
        <w:rPr>
          <w:b/>
          <w:sz w:val="24"/>
          <w:szCs w:val="24"/>
        </w:rPr>
        <w:tab/>
        <w:t>Særlige advarsler og forsigtighedsregler vedrørende brugen</w:t>
      </w:r>
    </w:p>
    <w:p w:rsidR="00761175" w:rsidRPr="00034AE2" w:rsidRDefault="00761175" w:rsidP="00761175">
      <w:pPr>
        <w:widowControl w:val="0"/>
        <w:ind w:left="851"/>
        <w:rPr>
          <w:iCs/>
          <w:sz w:val="24"/>
          <w:szCs w:val="24"/>
          <w:lang w:eastAsia="da-DK"/>
        </w:rPr>
      </w:pPr>
      <w:r w:rsidRPr="00034AE2">
        <w:rPr>
          <w:iCs/>
          <w:sz w:val="24"/>
          <w:szCs w:val="24"/>
        </w:rPr>
        <w:t xml:space="preserve">Behandling med </w:t>
      </w:r>
      <w:proofErr w:type="spellStart"/>
      <w:r w:rsidRPr="00034AE2">
        <w:rPr>
          <w:iCs/>
          <w:sz w:val="24"/>
          <w:szCs w:val="24"/>
        </w:rPr>
        <w:t>dexamethason</w:t>
      </w:r>
      <w:proofErr w:type="spellEnd"/>
      <w:r w:rsidRPr="00034AE2">
        <w:rPr>
          <w:iCs/>
          <w:sz w:val="24"/>
          <w:szCs w:val="24"/>
        </w:rPr>
        <w:t xml:space="preserve"> bør kun implementeres i tilfælde af de stærkeste indikationer, og om nødvendigt med samtidig målrettet anti-infektiøs behandling for følgende sygdomme:</w:t>
      </w:r>
    </w:p>
    <w:p w:rsidR="00761175" w:rsidRPr="00034AE2" w:rsidRDefault="00761175" w:rsidP="00761175">
      <w:pPr>
        <w:widowControl w:val="0"/>
        <w:numPr>
          <w:ilvl w:val="0"/>
          <w:numId w:val="6"/>
        </w:numPr>
        <w:ind w:left="1276" w:hanging="425"/>
        <w:rPr>
          <w:iCs/>
          <w:sz w:val="24"/>
          <w:szCs w:val="24"/>
        </w:rPr>
      </w:pPr>
      <w:r w:rsidRPr="00034AE2">
        <w:rPr>
          <w:iCs/>
          <w:sz w:val="24"/>
          <w:szCs w:val="24"/>
        </w:rPr>
        <w:t xml:space="preserve">Akutte virusinfektioner (Herpes </w:t>
      </w:r>
      <w:proofErr w:type="spellStart"/>
      <w:r w:rsidRPr="00034AE2">
        <w:rPr>
          <w:iCs/>
          <w:sz w:val="24"/>
          <w:szCs w:val="24"/>
        </w:rPr>
        <w:t>zoster</w:t>
      </w:r>
      <w:proofErr w:type="spellEnd"/>
      <w:r w:rsidRPr="00034AE2">
        <w:rPr>
          <w:iCs/>
          <w:sz w:val="24"/>
          <w:szCs w:val="24"/>
        </w:rPr>
        <w:t xml:space="preserve">, Herpes </w:t>
      </w:r>
      <w:proofErr w:type="spellStart"/>
      <w:r w:rsidRPr="00034AE2">
        <w:rPr>
          <w:iCs/>
          <w:sz w:val="24"/>
          <w:szCs w:val="24"/>
        </w:rPr>
        <w:t>simplex</w:t>
      </w:r>
      <w:proofErr w:type="spellEnd"/>
      <w:r w:rsidRPr="00034AE2">
        <w:rPr>
          <w:iCs/>
          <w:sz w:val="24"/>
          <w:szCs w:val="24"/>
        </w:rPr>
        <w:t xml:space="preserve">, </w:t>
      </w:r>
      <w:proofErr w:type="spellStart"/>
      <w:r w:rsidRPr="00034AE2">
        <w:rPr>
          <w:iCs/>
          <w:sz w:val="24"/>
          <w:szCs w:val="24"/>
        </w:rPr>
        <w:t>Varicella</w:t>
      </w:r>
      <w:proofErr w:type="spellEnd"/>
      <w:r w:rsidRPr="00034AE2">
        <w:rPr>
          <w:iCs/>
          <w:sz w:val="24"/>
          <w:szCs w:val="24"/>
        </w:rPr>
        <w:t xml:space="preserve">, </w:t>
      </w:r>
      <w:proofErr w:type="spellStart"/>
      <w:r w:rsidRPr="00034AE2">
        <w:rPr>
          <w:iCs/>
          <w:sz w:val="24"/>
          <w:szCs w:val="24"/>
        </w:rPr>
        <w:t>herpetisk</w:t>
      </w:r>
      <w:proofErr w:type="spellEnd"/>
      <w:r w:rsidRPr="00034AE2">
        <w:rPr>
          <w:iCs/>
          <w:sz w:val="24"/>
          <w:szCs w:val="24"/>
        </w:rPr>
        <w:t xml:space="preserve"> </w:t>
      </w:r>
      <w:proofErr w:type="spellStart"/>
      <w:r w:rsidRPr="00034AE2">
        <w:rPr>
          <w:iCs/>
          <w:sz w:val="24"/>
          <w:szCs w:val="24"/>
        </w:rPr>
        <w:t>keratitis</w:t>
      </w:r>
      <w:proofErr w:type="spellEnd"/>
      <w:r w:rsidRPr="00034AE2">
        <w:rPr>
          <w:iCs/>
          <w:sz w:val="24"/>
          <w:szCs w:val="24"/>
        </w:rPr>
        <w:t>)</w:t>
      </w:r>
    </w:p>
    <w:p w:rsidR="00761175" w:rsidRPr="00034AE2" w:rsidRDefault="00761175" w:rsidP="00761175">
      <w:pPr>
        <w:widowControl w:val="0"/>
        <w:numPr>
          <w:ilvl w:val="0"/>
          <w:numId w:val="6"/>
        </w:numPr>
        <w:ind w:left="1276" w:hanging="425"/>
        <w:rPr>
          <w:iCs/>
          <w:sz w:val="24"/>
          <w:szCs w:val="24"/>
        </w:rPr>
      </w:pPr>
      <w:proofErr w:type="spellStart"/>
      <w:r w:rsidRPr="00034AE2">
        <w:rPr>
          <w:iCs/>
          <w:sz w:val="24"/>
          <w:szCs w:val="24"/>
        </w:rPr>
        <w:t>HBsAG</w:t>
      </w:r>
      <w:proofErr w:type="spellEnd"/>
      <w:r w:rsidRPr="00034AE2">
        <w:rPr>
          <w:iCs/>
          <w:sz w:val="24"/>
          <w:szCs w:val="24"/>
        </w:rPr>
        <w:t>-positiv kronisk aktiv hepatitis</w:t>
      </w:r>
    </w:p>
    <w:p w:rsidR="00761175" w:rsidRPr="00034AE2" w:rsidRDefault="00761175" w:rsidP="00761175">
      <w:pPr>
        <w:widowControl w:val="0"/>
        <w:numPr>
          <w:ilvl w:val="0"/>
          <w:numId w:val="6"/>
        </w:numPr>
        <w:ind w:left="1276" w:hanging="425"/>
        <w:rPr>
          <w:iCs/>
          <w:sz w:val="24"/>
          <w:szCs w:val="24"/>
        </w:rPr>
      </w:pPr>
      <w:r w:rsidRPr="00034AE2">
        <w:rPr>
          <w:iCs/>
          <w:sz w:val="24"/>
          <w:szCs w:val="24"/>
        </w:rPr>
        <w:lastRenderedPageBreak/>
        <w:t>Ca. 8 uger før og indtil 2 uger efter vaccination med levende vacciner (se pkt. 4.3 og 4.5)</w:t>
      </w:r>
    </w:p>
    <w:p w:rsidR="00761175" w:rsidRPr="00034AE2" w:rsidRDefault="00761175" w:rsidP="00761175">
      <w:pPr>
        <w:widowControl w:val="0"/>
        <w:numPr>
          <w:ilvl w:val="0"/>
          <w:numId w:val="6"/>
        </w:numPr>
        <w:ind w:left="1276" w:hanging="425"/>
        <w:rPr>
          <w:iCs/>
          <w:sz w:val="24"/>
          <w:szCs w:val="24"/>
        </w:rPr>
      </w:pPr>
      <w:r w:rsidRPr="00034AE2">
        <w:rPr>
          <w:iCs/>
          <w:sz w:val="24"/>
          <w:szCs w:val="24"/>
        </w:rPr>
        <w:t xml:space="preserve">Systemisk </w:t>
      </w:r>
      <w:proofErr w:type="spellStart"/>
      <w:r w:rsidRPr="00034AE2">
        <w:rPr>
          <w:iCs/>
          <w:sz w:val="24"/>
          <w:szCs w:val="24"/>
        </w:rPr>
        <w:t>mykoser</w:t>
      </w:r>
      <w:proofErr w:type="spellEnd"/>
      <w:r w:rsidRPr="00034AE2">
        <w:rPr>
          <w:iCs/>
          <w:sz w:val="24"/>
          <w:szCs w:val="24"/>
        </w:rPr>
        <w:t xml:space="preserve"> og </w:t>
      </w:r>
      <w:proofErr w:type="spellStart"/>
      <w:r w:rsidRPr="00034AE2">
        <w:rPr>
          <w:iCs/>
          <w:sz w:val="24"/>
          <w:szCs w:val="24"/>
        </w:rPr>
        <w:t>parasitosis</w:t>
      </w:r>
      <w:proofErr w:type="spellEnd"/>
      <w:r w:rsidRPr="00034AE2">
        <w:rPr>
          <w:iCs/>
          <w:sz w:val="24"/>
          <w:szCs w:val="24"/>
        </w:rPr>
        <w:t xml:space="preserve"> (f.eks. </w:t>
      </w:r>
      <w:proofErr w:type="spellStart"/>
      <w:r w:rsidRPr="00034AE2">
        <w:rPr>
          <w:iCs/>
          <w:sz w:val="24"/>
          <w:szCs w:val="24"/>
        </w:rPr>
        <w:t>nematoder</w:t>
      </w:r>
      <w:proofErr w:type="spellEnd"/>
      <w:r w:rsidRPr="00034AE2">
        <w:rPr>
          <w:iCs/>
          <w:sz w:val="24"/>
          <w:szCs w:val="24"/>
        </w:rPr>
        <w:t>)</w:t>
      </w:r>
    </w:p>
    <w:p w:rsidR="00761175" w:rsidRPr="00034AE2" w:rsidRDefault="00761175" w:rsidP="00761175">
      <w:pPr>
        <w:widowControl w:val="0"/>
        <w:numPr>
          <w:ilvl w:val="0"/>
          <w:numId w:val="6"/>
        </w:numPr>
        <w:ind w:left="1276" w:hanging="425"/>
        <w:rPr>
          <w:iCs/>
          <w:sz w:val="24"/>
          <w:szCs w:val="24"/>
        </w:rPr>
      </w:pPr>
      <w:r w:rsidRPr="00034AE2">
        <w:rPr>
          <w:iCs/>
          <w:sz w:val="24"/>
          <w:szCs w:val="24"/>
        </w:rPr>
        <w:t>Poliomyelitis</w:t>
      </w:r>
    </w:p>
    <w:p w:rsidR="00761175" w:rsidRPr="00034AE2" w:rsidRDefault="00761175" w:rsidP="00761175">
      <w:pPr>
        <w:widowControl w:val="0"/>
        <w:numPr>
          <w:ilvl w:val="0"/>
          <w:numId w:val="6"/>
        </w:numPr>
        <w:ind w:left="1276" w:hanging="425"/>
        <w:rPr>
          <w:iCs/>
          <w:sz w:val="24"/>
          <w:szCs w:val="24"/>
        </w:rPr>
      </w:pPr>
      <w:proofErr w:type="spellStart"/>
      <w:r w:rsidRPr="00034AE2">
        <w:rPr>
          <w:iCs/>
          <w:sz w:val="24"/>
          <w:szCs w:val="24"/>
        </w:rPr>
        <w:t>Lymphadenitis</w:t>
      </w:r>
      <w:proofErr w:type="spellEnd"/>
      <w:r w:rsidRPr="00034AE2">
        <w:rPr>
          <w:iCs/>
          <w:sz w:val="24"/>
          <w:szCs w:val="24"/>
        </w:rPr>
        <w:t xml:space="preserve"> efter </w:t>
      </w:r>
      <w:proofErr w:type="gramStart"/>
      <w:r w:rsidRPr="00034AE2">
        <w:rPr>
          <w:iCs/>
          <w:sz w:val="24"/>
          <w:szCs w:val="24"/>
        </w:rPr>
        <w:t>BCG vaccination</w:t>
      </w:r>
      <w:proofErr w:type="gramEnd"/>
    </w:p>
    <w:p w:rsidR="00761175" w:rsidRPr="00034AE2" w:rsidRDefault="00761175" w:rsidP="00761175">
      <w:pPr>
        <w:widowControl w:val="0"/>
        <w:numPr>
          <w:ilvl w:val="0"/>
          <w:numId w:val="6"/>
        </w:numPr>
        <w:ind w:left="1276" w:hanging="425"/>
        <w:rPr>
          <w:iCs/>
          <w:sz w:val="24"/>
          <w:szCs w:val="24"/>
        </w:rPr>
      </w:pPr>
      <w:r w:rsidRPr="00034AE2">
        <w:rPr>
          <w:iCs/>
          <w:sz w:val="24"/>
          <w:szCs w:val="24"/>
        </w:rPr>
        <w:t>Akutte og kroniske bakterielle infektioner</w:t>
      </w:r>
    </w:p>
    <w:p w:rsidR="00761175" w:rsidRPr="00034AE2" w:rsidRDefault="00761175" w:rsidP="00761175">
      <w:pPr>
        <w:widowControl w:val="0"/>
        <w:numPr>
          <w:ilvl w:val="0"/>
          <w:numId w:val="6"/>
        </w:numPr>
        <w:ind w:left="1276" w:hanging="425"/>
        <w:rPr>
          <w:iCs/>
          <w:sz w:val="24"/>
          <w:szCs w:val="24"/>
        </w:rPr>
      </w:pPr>
      <w:r w:rsidRPr="00034AE2">
        <w:rPr>
          <w:iCs/>
          <w:sz w:val="24"/>
          <w:szCs w:val="24"/>
        </w:rPr>
        <w:t xml:space="preserve">Brug kun, hvor der har været tuberkulose i sygdomshistorien (risiko for genaktivering), hvis der også gives </w:t>
      </w:r>
      <w:proofErr w:type="spellStart"/>
      <w:r w:rsidRPr="00034AE2">
        <w:rPr>
          <w:iCs/>
          <w:sz w:val="24"/>
          <w:szCs w:val="24"/>
        </w:rPr>
        <w:t>tuberkulostatika</w:t>
      </w:r>
      <w:proofErr w:type="spellEnd"/>
      <w:r w:rsidRPr="00034AE2">
        <w:rPr>
          <w:iCs/>
          <w:sz w:val="24"/>
          <w:szCs w:val="24"/>
        </w:rPr>
        <w:t>.</w:t>
      </w:r>
    </w:p>
    <w:p w:rsidR="00761175" w:rsidRPr="00034AE2" w:rsidRDefault="00761175" w:rsidP="00761175">
      <w:pPr>
        <w:numPr>
          <w:ilvl w:val="0"/>
          <w:numId w:val="6"/>
        </w:numPr>
        <w:ind w:left="1276" w:hanging="425"/>
        <w:rPr>
          <w:iCs/>
          <w:sz w:val="24"/>
          <w:szCs w:val="24"/>
        </w:rPr>
      </w:pPr>
      <w:r w:rsidRPr="00034AE2">
        <w:rPr>
          <w:iCs/>
          <w:sz w:val="24"/>
          <w:szCs w:val="24"/>
        </w:rPr>
        <w:t xml:space="preserve">Kendt eller mistænkt </w:t>
      </w:r>
      <w:proofErr w:type="spellStart"/>
      <w:r w:rsidRPr="00034AE2">
        <w:rPr>
          <w:iCs/>
          <w:sz w:val="24"/>
          <w:szCs w:val="24"/>
        </w:rPr>
        <w:t>Strongyloidiasis</w:t>
      </w:r>
      <w:proofErr w:type="spellEnd"/>
      <w:r w:rsidRPr="00034AE2">
        <w:rPr>
          <w:iCs/>
          <w:sz w:val="24"/>
          <w:szCs w:val="24"/>
        </w:rPr>
        <w:t xml:space="preserve"> (infektion med trådorm/børneorm) Behandling med </w:t>
      </w:r>
      <w:proofErr w:type="spellStart"/>
      <w:r w:rsidRPr="00034AE2">
        <w:rPr>
          <w:iCs/>
          <w:sz w:val="24"/>
          <w:szCs w:val="24"/>
        </w:rPr>
        <w:t>glukokortikoider</w:t>
      </w:r>
      <w:proofErr w:type="spellEnd"/>
      <w:r w:rsidRPr="00034AE2">
        <w:rPr>
          <w:iCs/>
          <w:sz w:val="24"/>
          <w:szCs w:val="24"/>
        </w:rPr>
        <w:t xml:space="preserve"> kan føre til </w:t>
      </w:r>
      <w:proofErr w:type="spellStart"/>
      <w:r w:rsidRPr="00034AE2">
        <w:rPr>
          <w:iCs/>
          <w:sz w:val="24"/>
          <w:szCs w:val="24"/>
        </w:rPr>
        <w:t>hyperinfektion</w:t>
      </w:r>
      <w:proofErr w:type="spellEnd"/>
      <w:r w:rsidRPr="00034AE2">
        <w:rPr>
          <w:iCs/>
          <w:sz w:val="24"/>
          <w:szCs w:val="24"/>
        </w:rPr>
        <w:t xml:space="preserve"> med </w:t>
      </w:r>
      <w:proofErr w:type="spellStart"/>
      <w:r w:rsidRPr="00034AE2">
        <w:rPr>
          <w:iCs/>
          <w:sz w:val="24"/>
          <w:szCs w:val="24"/>
        </w:rPr>
        <w:t>Strongyloides</w:t>
      </w:r>
      <w:proofErr w:type="spellEnd"/>
      <w:r w:rsidRPr="00034AE2">
        <w:rPr>
          <w:iCs/>
          <w:sz w:val="24"/>
          <w:szCs w:val="24"/>
        </w:rPr>
        <w:t xml:space="preserve"> og spredning med omfattende larvemigration.</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Cs/>
          <w:sz w:val="24"/>
          <w:szCs w:val="24"/>
          <w:lang w:eastAsia="da-DK"/>
        </w:rPr>
      </w:pPr>
      <w:r w:rsidRPr="00034AE2">
        <w:rPr>
          <w:iCs/>
          <w:sz w:val="24"/>
          <w:szCs w:val="24"/>
        </w:rPr>
        <w:t xml:space="preserve">Derudover bør behandling med </w:t>
      </w:r>
      <w:proofErr w:type="spellStart"/>
      <w:r w:rsidRPr="00034AE2">
        <w:rPr>
          <w:iCs/>
          <w:sz w:val="24"/>
          <w:szCs w:val="24"/>
        </w:rPr>
        <w:t>dexamethason</w:t>
      </w:r>
      <w:proofErr w:type="spellEnd"/>
      <w:r w:rsidRPr="00034AE2">
        <w:rPr>
          <w:iCs/>
          <w:sz w:val="24"/>
          <w:szCs w:val="24"/>
        </w:rPr>
        <w:t xml:space="preserve"> kun implementeres i tilfælde af de stærkeste indikationer, og om nødvendigt skal yderligere behandling implementeres for:</w:t>
      </w:r>
    </w:p>
    <w:p w:rsidR="00761175" w:rsidRPr="00034AE2" w:rsidRDefault="00761175" w:rsidP="00761175">
      <w:pPr>
        <w:widowControl w:val="0"/>
        <w:numPr>
          <w:ilvl w:val="0"/>
          <w:numId w:val="7"/>
        </w:numPr>
        <w:ind w:left="1276" w:hanging="425"/>
        <w:rPr>
          <w:iCs/>
          <w:sz w:val="24"/>
          <w:szCs w:val="24"/>
        </w:rPr>
      </w:pPr>
      <w:proofErr w:type="spellStart"/>
      <w:r w:rsidRPr="00034AE2">
        <w:rPr>
          <w:iCs/>
          <w:sz w:val="24"/>
          <w:szCs w:val="24"/>
        </w:rPr>
        <w:t>Gastrointestinale</w:t>
      </w:r>
      <w:proofErr w:type="spellEnd"/>
      <w:r w:rsidRPr="00034AE2">
        <w:rPr>
          <w:iCs/>
          <w:sz w:val="24"/>
          <w:szCs w:val="24"/>
        </w:rPr>
        <w:t xml:space="preserve"> sår</w:t>
      </w:r>
    </w:p>
    <w:p w:rsidR="00761175" w:rsidRPr="00034AE2" w:rsidRDefault="00761175" w:rsidP="00761175">
      <w:pPr>
        <w:widowControl w:val="0"/>
        <w:numPr>
          <w:ilvl w:val="0"/>
          <w:numId w:val="7"/>
        </w:numPr>
        <w:ind w:left="1276" w:hanging="425"/>
        <w:rPr>
          <w:iCs/>
          <w:sz w:val="24"/>
          <w:szCs w:val="24"/>
        </w:rPr>
      </w:pPr>
      <w:r w:rsidRPr="00034AE2">
        <w:rPr>
          <w:iCs/>
          <w:sz w:val="24"/>
          <w:szCs w:val="24"/>
        </w:rPr>
        <w:t xml:space="preserve">Alvorlig osteoporose (da </w:t>
      </w:r>
      <w:proofErr w:type="spellStart"/>
      <w:r w:rsidRPr="00034AE2">
        <w:rPr>
          <w:iCs/>
          <w:sz w:val="24"/>
          <w:szCs w:val="24"/>
        </w:rPr>
        <w:t>kortikosteroider</w:t>
      </w:r>
      <w:proofErr w:type="spellEnd"/>
      <w:r w:rsidRPr="00034AE2">
        <w:rPr>
          <w:iCs/>
          <w:sz w:val="24"/>
          <w:szCs w:val="24"/>
        </w:rPr>
        <w:t xml:space="preserve"> har en negativ effekt på calciumbalancen)</w:t>
      </w:r>
    </w:p>
    <w:p w:rsidR="00761175" w:rsidRPr="00034AE2" w:rsidRDefault="00761175" w:rsidP="00761175">
      <w:pPr>
        <w:widowControl w:val="0"/>
        <w:numPr>
          <w:ilvl w:val="0"/>
          <w:numId w:val="7"/>
        </w:numPr>
        <w:ind w:left="1276" w:hanging="425"/>
        <w:rPr>
          <w:iCs/>
          <w:sz w:val="24"/>
          <w:szCs w:val="24"/>
        </w:rPr>
      </w:pPr>
      <w:r w:rsidRPr="00034AE2">
        <w:rPr>
          <w:iCs/>
          <w:sz w:val="24"/>
          <w:szCs w:val="24"/>
        </w:rPr>
        <w:t>Svært regulerbart forhøjet blodtryk</w:t>
      </w:r>
    </w:p>
    <w:p w:rsidR="00761175" w:rsidRPr="00034AE2" w:rsidRDefault="00761175" w:rsidP="00761175">
      <w:pPr>
        <w:widowControl w:val="0"/>
        <w:numPr>
          <w:ilvl w:val="0"/>
          <w:numId w:val="7"/>
        </w:numPr>
        <w:ind w:left="1276" w:hanging="425"/>
        <w:rPr>
          <w:iCs/>
          <w:sz w:val="24"/>
          <w:szCs w:val="24"/>
        </w:rPr>
      </w:pPr>
      <w:r w:rsidRPr="00034AE2">
        <w:rPr>
          <w:iCs/>
          <w:sz w:val="24"/>
          <w:szCs w:val="24"/>
        </w:rPr>
        <w:t>Svær regulerbar diabetes mellitus</w:t>
      </w:r>
    </w:p>
    <w:p w:rsidR="00761175" w:rsidRPr="00034AE2" w:rsidRDefault="00761175" w:rsidP="00761175">
      <w:pPr>
        <w:widowControl w:val="0"/>
        <w:numPr>
          <w:ilvl w:val="0"/>
          <w:numId w:val="7"/>
        </w:numPr>
        <w:ind w:left="1276" w:hanging="425"/>
        <w:rPr>
          <w:iCs/>
          <w:sz w:val="24"/>
          <w:szCs w:val="24"/>
        </w:rPr>
      </w:pPr>
      <w:r w:rsidRPr="00034AE2">
        <w:rPr>
          <w:iCs/>
          <w:sz w:val="24"/>
          <w:szCs w:val="24"/>
        </w:rPr>
        <w:t>Psykiatriske lidelser (herunder i sygdomshistorien)</w:t>
      </w:r>
    </w:p>
    <w:p w:rsidR="00761175" w:rsidRPr="00034AE2" w:rsidRDefault="00761175" w:rsidP="00761175">
      <w:pPr>
        <w:widowControl w:val="0"/>
        <w:numPr>
          <w:ilvl w:val="0"/>
          <w:numId w:val="7"/>
        </w:numPr>
        <w:ind w:left="1276" w:hanging="425"/>
        <w:rPr>
          <w:iCs/>
          <w:sz w:val="24"/>
          <w:szCs w:val="24"/>
        </w:rPr>
      </w:pPr>
      <w:r w:rsidRPr="00034AE2">
        <w:rPr>
          <w:iCs/>
          <w:sz w:val="24"/>
          <w:szCs w:val="24"/>
        </w:rPr>
        <w:t xml:space="preserve">Snævervinklet </w:t>
      </w:r>
      <w:proofErr w:type="spellStart"/>
      <w:r w:rsidRPr="00034AE2">
        <w:rPr>
          <w:iCs/>
          <w:sz w:val="24"/>
          <w:szCs w:val="24"/>
        </w:rPr>
        <w:t>glaukom</w:t>
      </w:r>
      <w:proofErr w:type="spellEnd"/>
      <w:r w:rsidRPr="00034AE2">
        <w:rPr>
          <w:iCs/>
          <w:sz w:val="24"/>
          <w:szCs w:val="24"/>
        </w:rPr>
        <w:t xml:space="preserve"> og åbenvinklet </w:t>
      </w:r>
      <w:proofErr w:type="spellStart"/>
      <w:r w:rsidRPr="00034AE2">
        <w:rPr>
          <w:iCs/>
          <w:sz w:val="24"/>
          <w:szCs w:val="24"/>
        </w:rPr>
        <w:t>glaukom</w:t>
      </w:r>
      <w:proofErr w:type="spellEnd"/>
    </w:p>
    <w:p w:rsidR="00761175" w:rsidRPr="00034AE2" w:rsidRDefault="00761175" w:rsidP="00761175">
      <w:pPr>
        <w:widowControl w:val="0"/>
        <w:numPr>
          <w:ilvl w:val="0"/>
          <w:numId w:val="7"/>
        </w:numPr>
        <w:ind w:left="1276" w:hanging="425"/>
        <w:rPr>
          <w:iCs/>
          <w:sz w:val="24"/>
          <w:szCs w:val="24"/>
        </w:rPr>
      </w:pPr>
      <w:r w:rsidRPr="00034AE2">
        <w:rPr>
          <w:iCs/>
          <w:sz w:val="24"/>
          <w:szCs w:val="24"/>
        </w:rPr>
        <w:t>Hornhindesår og hornhindeskader</w:t>
      </w:r>
    </w:p>
    <w:p w:rsidR="00761175" w:rsidRPr="00034AE2" w:rsidRDefault="00761175" w:rsidP="00761175">
      <w:pPr>
        <w:widowControl w:val="0"/>
        <w:numPr>
          <w:ilvl w:val="0"/>
          <w:numId w:val="7"/>
        </w:numPr>
        <w:ind w:left="1276" w:hanging="425"/>
        <w:rPr>
          <w:iCs/>
          <w:sz w:val="24"/>
          <w:szCs w:val="24"/>
        </w:rPr>
      </w:pPr>
      <w:r w:rsidRPr="00034AE2">
        <w:rPr>
          <w:iCs/>
          <w:sz w:val="24"/>
          <w:szCs w:val="24"/>
        </w:rPr>
        <w:t>Alvorligt hjertesvigt</w:t>
      </w:r>
    </w:p>
    <w:p w:rsidR="00761175" w:rsidRPr="00034AE2" w:rsidRDefault="00761175" w:rsidP="00761175">
      <w:pPr>
        <w:widowControl w:val="0"/>
        <w:ind w:left="851" w:hanging="851"/>
        <w:rPr>
          <w:iCs/>
          <w:sz w:val="24"/>
          <w:szCs w:val="24"/>
          <w:lang w:val="en-GB"/>
        </w:rPr>
      </w:pPr>
    </w:p>
    <w:p w:rsidR="00761175" w:rsidRPr="00034AE2" w:rsidRDefault="00761175" w:rsidP="00761175">
      <w:pPr>
        <w:widowControl w:val="0"/>
        <w:ind w:left="851"/>
        <w:rPr>
          <w:i/>
          <w:iCs/>
          <w:sz w:val="24"/>
          <w:szCs w:val="24"/>
          <w:lang w:eastAsia="da-DK"/>
        </w:rPr>
      </w:pPr>
      <w:proofErr w:type="spellStart"/>
      <w:r w:rsidRPr="00034AE2">
        <w:rPr>
          <w:i/>
          <w:iCs/>
          <w:sz w:val="24"/>
          <w:szCs w:val="24"/>
        </w:rPr>
        <w:t>Adrenokortikal</w:t>
      </w:r>
      <w:proofErr w:type="spellEnd"/>
      <w:r w:rsidRPr="00034AE2">
        <w:rPr>
          <w:i/>
          <w:iCs/>
          <w:sz w:val="24"/>
          <w:szCs w:val="24"/>
        </w:rPr>
        <w:t xml:space="preserve"> insufficiens</w:t>
      </w:r>
    </w:p>
    <w:p w:rsidR="00761175" w:rsidRPr="00034AE2" w:rsidRDefault="00761175" w:rsidP="00761175">
      <w:pPr>
        <w:widowControl w:val="0"/>
        <w:ind w:left="851"/>
        <w:rPr>
          <w:iCs/>
          <w:sz w:val="24"/>
          <w:szCs w:val="24"/>
        </w:rPr>
      </w:pPr>
      <w:proofErr w:type="spellStart"/>
      <w:r w:rsidRPr="00034AE2">
        <w:rPr>
          <w:iCs/>
          <w:sz w:val="24"/>
          <w:szCs w:val="24"/>
        </w:rPr>
        <w:t>Adrenokortikal</w:t>
      </w:r>
      <w:proofErr w:type="spellEnd"/>
      <w:r w:rsidRPr="00034AE2">
        <w:rPr>
          <w:iCs/>
          <w:sz w:val="24"/>
          <w:szCs w:val="24"/>
        </w:rPr>
        <w:t xml:space="preserve"> insufficiens forårsaget af </w:t>
      </w:r>
      <w:proofErr w:type="spellStart"/>
      <w:r w:rsidRPr="00034AE2">
        <w:rPr>
          <w:iCs/>
          <w:sz w:val="24"/>
          <w:szCs w:val="24"/>
        </w:rPr>
        <w:t>glukokortikoidbehandling</w:t>
      </w:r>
      <w:proofErr w:type="spellEnd"/>
      <w:r w:rsidRPr="00034AE2">
        <w:rPr>
          <w:iCs/>
          <w:sz w:val="24"/>
          <w:szCs w:val="24"/>
        </w:rPr>
        <w:t xml:space="preserve"> kan, afhængigt af dosis og varighed af behandlingen, forblive til stede i mange måneder, og i nogle tilfælde over et år, efter behandlingens ophør. Under behandling med </w:t>
      </w:r>
      <w:proofErr w:type="spellStart"/>
      <w:r w:rsidRPr="00034AE2">
        <w:rPr>
          <w:iCs/>
          <w:sz w:val="24"/>
          <w:szCs w:val="24"/>
        </w:rPr>
        <w:t>dexamethason</w:t>
      </w:r>
      <w:proofErr w:type="spellEnd"/>
      <w:r w:rsidRPr="00034AE2">
        <w:rPr>
          <w:iCs/>
          <w:sz w:val="24"/>
          <w:szCs w:val="24"/>
        </w:rPr>
        <w:t xml:space="preserve"> for specifikke fysiske stresstilstande (traume, kirurgi, fødsel) kan en midlertidig øgning af dosen være nødvendig. Pga. den mulige risiko i stressfyldte situationer, bør en </w:t>
      </w:r>
      <w:proofErr w:type="spellStart"/>
      <w:r w:rsidRPr="00034AE2">
        <w:rPr>
          <w:iCs/>
          <w:sz w:val="24"/>
          <w:szCs w:val="24"/>
        </w:rPr>
        <w:t>kortikosteroid</w:t>
      </w:r>
      <w:proofErr w:type="spellEnd"/>
      <w:r w:rsidRPr="00034AE2">
        <w:rPr>
          <w:iCs/>
          <w:sz w:val="24"/>
          <w:szCs w:val="24"/>
        </w:rPr>
        <w:t xml:space="preserve">-ID laves for patienter, der er i langvarig behandling. Selv i tilfælde af længerevarende </w:t>
      </w:r>
      <w:proofErr w:type="spellStart"/>
      <w:r w:rsidRPr="00034AE2">
        <w:rPr>
          <w:iCs/>
          <w:sz w:val="24"/>
          <w:szCs w:val="24"/>
        </w:rPr>
        <w:t>adrenokortikal</w:t>
      </w:r>
      <w:proofErr w:type="spellEnd"/>
      <w:r w:rsidRPr="00034AE2">
        <w:rPr>
          <w:iCs/>
          <w:sz w:val="24"/>
          <w:szCs w:val="24"/>
        </w:rPr>
        <w:t xml:space="preserve"> insufficiens efter </w:t>
      </w:r>
      <w:proofErr w:type="spellStart"/>
      <w:r w:rsidRPr="00034AE2">
        <w:rPr>
          <w:iCs/>
          <w:sz w:val="24"/>
          <w:szCs w:val="24"/>
        </w:rPr>
        <w:t>seponering</w:t>
      </w:r>
      <w:proofErr w:type="spellEnd"/>
      <w:r w:rsidRPr="00034AE2">
        <w:rPr>
          <w:iCs/>
          <w:sz w:val="24"/>
          <w:szCs w:val="24"/>
        </w:rPr>
        <w:t xml:space="preserve"> af behandling, kan administrationen af </w:t>
      </w:r>
      <w:proofErr w:type="spellStart"/>
      <w:r w:rsidRPr="00034AE2">
        <w:rPr>
          <w:iCs/>
          <w:sz w:val="24"/>
          <w:szCs w:val="24"/>
        </w:rPr>
        <w:t>glukokortikoider</w:t>
      </w:r>
      <w:proofErr w:type="spellEnd"/>
      <w:r w:rsidRPr="00034AE2">
        <w:rPr>
          <w:iCs/>
          <w:sz w:val="24"/>
          <w:szCs w:val="24"/>
        </w:rPr>
        <w:t xml:space="preserve"> være nødvendigt i tilfælde af fysiske stresstilstande. En </w:t>
      </w:r>
      <w:proofErr w:type="spellStart"/>
      <w:r w:rsidRPr="00034AE2">
        <w:rPr>
          <w:iCs/>
          <w:sz w:val="24"/>
          <w:szCs w:val="24"/>
        </w:rPr>
        <w:t>adrenokortikal</w:t>
      </w:r>
      <w:proofErr w:type="spellEnd"/>
      <w:r w:rsidRPr="00034AE2">
        <w:rPr>
          <w:iCs/>
          <w:sz w:val="24"/>
          <w:szCs w:val="24"/>
        </w:rPr>
        <w:t xml:space="preserve"> insufficiens induceret af akut terapi kan mindskes vha. langsom dosisreduktion indtil et planlagt </w:t>
      </w:r>
      <w:proofErr w:type="spellStart"/>
      <w:r w:rsidRPr="00034AE2">
        <w:rPr>
          <w:iCs/>
          <w:sz w:val="24"/>
          <w:szCs w:val="24"/>
        </w:rPr>
        <w:t>seponeringstidspunkt</w:t>
      </w:r>
      <w:proofErr w:type="spellEnd"/>
      <w:r w:rsidRPr="00034AE2">
        <w:rPr>
          <w:iCs/>
          <w:sz w:val="24"/>
          <w:szCs w:val="24"/>
        </w:rPr>
        <w:t>.</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bCs/>
          <w:i/>
          <w:sz w:val="24"/>
          <w:szCs w:val="24"/>
          <w:lang w:eastAsia="da-DK"/>
        </w:rPr>
      </w:pPr>
      <w:proofErr w:type="spellStart"/>
      <w:r w:rsidRPr="00034AE2">
        <w:rPr>
          <w:bCs/>
          <w:i/>
          <w:sz w:val="24"/>
          <w:szCs w:val="24"/>
        </w:rPr>
        <w:t>Seponering</w:t>
      </w:r>
      <w:proofErr w:type="spellEnd"/>
      <w:r w:rsidRPr="00034AE2">
        <w:rPr>
          <w:bCs/>
          <w:i/>
          <w:sz w:val="24"/>
          <w:szCs w:val="24"/>
        </w:rPr>
        <w:t xml:space="preserve"> af behandlingen</w:t>
      </w:r>
    </w:p>
    <w:p w:rsidR="00761175" w:rsidRPr="00034AE2" w:rsidRDefault="00761175" w:rsidP="00761175">
      <w:pPr>
        <w:widowControl w:val="0"/>
        <w:ind w:left="851"/>
        <w:rPr>
          <w:bCs/>
          <w:sz w:val="24"/>
          <w:szCs w:val="24"/>
        </w:rPr>
      </w:pPr>
      <w:proofErr w:type="spellStart"/>
      <w:r w:rsidRPr="00034AE2">
        <w:rPr>
          <w:bCs/>
          <w:sz w:val="24"/>
          <w:szCs w:val="24"/>
        </w:rPr>
        <w:t>Glukokortikoiddoser</w:t>
      </w:r>
      <w:proofErr w:type="spellEnd"/>
      <w:r w:rsidRPr="00034AE2">
        <w:rPr>
          <w:bCs/>
          <w:sz w:val="24"/>
          <w:szCs w:val="24"/>
        </w:rPr>
        <w:t xml:space="preserve"> bør reduceres gradvist.</w:t>
      </w:r>
    </w:p>
    <w:p w:rsidR="00761175" w:rsidRPr="00034AE2" w:rsidRDefault="00761175" w:rsidP="00761175">
      <w:pPr>
        <w:widowControl w:val="0"/>
        <w:ind w:left="851"/>
        <w:rPr>
          <w:iCs/>
          <w:sz w:val="24"/>
          <w:szCs w:val="24"/>
        </w:rPr>
      </w:pPr>
      <w:r w:rsidRPr="00034AE2">
        <w:rPr>
          <w:iCs/>
          <w:sz w:val="24"/>
          <w:szCs w:val="24"/>
        </w:rPr>
        <w:t xml:space="preserve">Følgende risici bør overvejes ved afbrydelse eller ophør af langvarig behandling med </w:t>
      </w:r>
      <w:proofErr w:type="spellStart"/>
      <w:r w:rsidRPr="00034AE2">
        <w:rPr>
          <w:iCs/>
          <w:sz w:val="24"/>
          <w:szCs w:val="24"/>
        </w:rPr>
        <w:t>glukokortikoider</w:t>
      </w:r>
      <w:proofErr w:type="spellEnd"/>
      <w:r w:rsidRPr="00034AE2">
        <w:rPr>
          <w:iCs/>
          <w:sz w:val="24"/>
          <w:szCs w:val="24"/>
        </w:rPr>
        <w:t>:</w:t>
      </w:r>
    </w:p>
    <w:p w:rsidR="00761175" w:rsidRPr="00034AE2" w:rsidRDefault="00761175" w:rsidP="00761175">
      <w:pPr>
        <w:widowControl w:val="0"/>
        <w:numPr>
          <w:ilvl w:val="0"/>
          <w:numId w:val="7"/>
        </w:numPr>
        <w:ind w:left="1276" w:hanging="425"/>
        <w:rPr>
          <w:iCs/>
          <w:sz w:val="24"/>
          <w:szCs w:val="24"/>
        </w:rPr>
      </w:pPr>
      <w:r w:rsidRPr="00034AE2">
        <w:rPr>
          <w:sz w:val="24"/>
          <w:szCs w:val="24"/>
        </w:rPr>
        <w:t xml:space="preserve">Forværring eller tilbagevenden af den underliggende sygdom, akut </w:t>
      </w:r>
      <w:proofErr w:type="spellStart"/>
      <w:r w:rsidRPr="00034AE2">
        <w:rPr>
          <w:sz w:val="24"/>
          <w:szCs w:val="24"/>
        </w:rPr>
        <w:t>adrenokortikal</w:t>
      </w:r>
      <w:proofErr w:type="spellEnd"/>
      <w:r w:rsidRPr="00034AE2">
        <w:rPr>
          <w:sz w:val="24"/>
          <w:szCs w:val="24"/>
        </w:rPr>
        <w:t xml:space="preserve"> insufficiens, </w:t>
      </w:r>
      <w:proofErr w:type="spellStart"/>
      <w:r w:rsidRPr="00034AE2">
        <w:rPr>
          <w:sz w:val="24"/>
          <w:szCs w:val="24"/>
        </w:rPr>
        <w:t>kortikosteroid-seponeringssyndrom</w:t>
      </w:r>
      <w:proofErr w:type="spellEnd"/>
      <w:r w:rsidRPr="00034AE2">
        <w:rPr>
          <w:sz w:val="24"/>
          <w:szCs w:val="24"/>
        </w:rPr>
        <w:t xml:space="preserve"> (et </w:t>
      </w:r>
      <w:r>
        <w:rPr>
          <w:sz w:val="24"/>
          <w:szCs w:val="24"/>
        </w:rPr>
        <w:t>"</w:t>
      </w:r>
      <w:proofErr w:type="spellStart"/>
      <w:r w:rsidRPr="00034AE2">
        <w:rPr>
          <w:sz w:val="24"/>
          <w:szCs w:val="24"/>
        </w:rPr>
        <w:t>seponeringssyndrom</w:t>
      </w:r>
      <w:proofErr w:type="spellEnd"/>
      <w:r>
        <w:rPr>
          <w:sz w:val="24"/>
          <w:szCs w:val="24"/>
        </w:rPr>
        <w:t>"</w:t>
      </w:r>
      <w:r w:rsidRPr="00034AE2">
        <w:rPr>
          <w:sz w:val="24"/>
          <w:szCs w:val="24"/>
        </w:rPr>
        <w:t xml:space="preserve"> kan inkludere symptomer som feber, muskel- og ledsmerter, inflammation af næseslimhinden (</w:t>
      </w:r>
      <w:proofErr w:type="spellStart"/>
      <w:r w:rsidRPr="00034AE2">
        <w:rPr>
          <w:sz w:val="24"/>
          <w:szCs w:val="24"/>
        </w:rPr>
        <w:t>rhinitis</w:t>
      </w:r>
      <w:proofErr w:type="spellEnd"/>
      <w:r w:rsidRPr="00034AE2">
        <w:rPr>
          <w:sz w:val="24"/>
          <w:szCs w:val="24"/>
        </w:rPr>
        <w:t>), vægttab, kløende hud og øjeninflammation (</w:t>
      </w:r>
      <w:proofErr w:type="spellStart"/>
      <w:r w:rsidRPr="00034AE2">
        <w:rPr>
          <w:sz w:val="24"/>
          <w:szCs w:val="24"/>
        </w:rPr>
        <w:t>konjuktivitis</w:t>
      </w:r>
      <w:proofErr w:type="spellEnd"/>
      <w:r w:rsidRPr="00034AE2">
        <w:rPr>
          <w:sz w:val="24"/>
          <w:szCs w:val="24"/>
        </w:rPr>
        <w:t>)).</w:t>
      </w:r>
    </w:p>
    <w:p w:rsidR="00761175" w:rsidRDefault="00761175" w:rsidP="00761175">
      <w:pPr>
        <w:widowControl w:val="0"/>
        <w:ind w:left="851"/>
        <w:rPr>
          <w:i/>
          <w:iCs/>
          <w:sz w:val="24"/>
          <w:szCs w:val="24"/>
        </w:rPr>
      </w:pPr>
    </w:p>
    <w:p w:rsidR="00761175" w:rsidRPr="00034AE2" w:rsidRDefault="00761175" w:rsidP="00761175">
      <w:pPr>
        <w:widowControl w:val="0"/>
        <w:ind w:left="851"/>
        <w:rPr>
          <w:i/>
          <w:iCs/>
          <w:sz w:val="24"/>
          <w:szCs w:val="24"/>
        </w:rPr>
      </w:pPr>
      <w:proofErr w:type="spellStart"/>
      <w:r w:rsidRPr="00034AE2">
        <w:rPr>
          <w:i/>
          <w:iCs/>
          <w:sz w:val="24"/>
          <w:szCs w:val="24"/>
        </w:rPr>
        <w:t>Anafylaktisk</w:t>
      </w:r>
      <w:proofErr w:type="spellEnd"/>
      <w:r w:rsidRPr="00034AE2">
        <w:rPr>
          <w:i/>
          <w:iCs/>
          <w:sz w:val="24"/>
          <w:szCs w:val="24"/>
        </w:rPr>
        <w:t xml:space="preserve"> reaktion</w:t>
      </w:r>
    </w:p>
    <w:p w:rsidR="00761175" w:rsidRPr="00034AE2" w:rsidRDefault="00761175" w:rsidP="00761175">
      <w:pPr>
        <w:widowControl w:val="0"/>
        <w:ind w:left="851"/>
        <w:rPr>
          <w:iCs/>
          <w:sz w:val="24"/>
          <w:szCs w:val="24"/>
        </w:rPr>
      </w:pPr>
      <w:r w:rsidRPr="00034AE2">
        <w:rPr>
          <w:iCs/>
          <w:sz w:val="24"/>
          <w:szCs w:val="24"/>
        </w:rPr>
        <w:t>Alvorlige anafylaktiske reaktioner kan forekomme.</w:t>
      </w:r>
    </w:p>
    <w:p w:rsidR="00761175" w:rsidRPr="00034AE2" w:rsidRDefault="00761175" w:rsidP="00761175">
      <w:pPr>
        <w:widowControl w:val="0"/>
        <w:ind w:left="851" w:hanging="851"/>
        <w:rPr>
          <w:iCs/>
          <w:sz w:val="24"/>
          <w:szCs w:val="24"/>
        </w:rPr>
      </w:pPr>
    </w:p>
    <w:p w:rsidR="00761175" w:rsidRPr="00034AE2" w:rsidRDefault="00761175" w:rsidP="0080782D">
      <w:pPr>
        <w:keepNext/>
        <w:widowControl w:val="0"/>
        <w:ind w:left="851"/>
        <w:rPr>
          <w:i/>
          <w:iCs/>
          <w:sz w:val="24"/>
          <w:szCs w:val="24"/>
          <w:lang w:eastAsia="da-DK"/>
        </w:rPr>
      </w:pPr>
      <w:proofErr w:type="spellStart"/>
      <w:r w:rsidRPr="00034AE2">
        <w:rPr>
          <w:i/>
          <w:iCs/>
          <w:sz w:val="24"/>
          <w:szCs w:val="24"/>
        </w:rPr>
        <w:t>Senebetændelse</w:t>
      </w:r>
      <w:proofErr w:type="spellEnd"/>
    </w:p>
    <w:p w:rsidR="00761175" w:rsidRPr="00034AE2" w:rsidRDefault="00761175" w:rsidP="0080782D">
      <w:pPr>
        <w:ind w:left="851"/>
        <w:rPr>
          <w:iCs/>
          <w:sz w:val="24"/>
          <w:szCs w:val="24"/>
        </w:rPr>
      </w:pPr>
      <w:r w:rsidRPr="00034AE2">
        <w:rPr>
          <w:iCs/>
          <w:sz w:val="24"/>
          <w:szCs w:val="24"/>
        </w:rPr>
        <w:t xml:space="preserve">Risikoen for </w:t>
      </w:r>
      <w:proofErr w:type="spellStart"/>
      <w:r w:rsidRPr="00034AE2">
        <w:rPr>
          <w:iCs/>
          <w:sz w:val="24"/>
          <w:szCs w:val="24"/>
        </w:rPr>
        <w:t>senebetændelse</w:t>
      </w:r>
      <w:proofErr w:type="spellEnd"/>
      <w:r w:rsidRPr="00034AE2">
        <w:rPr>
          <w:iCs/>
          <w:sz w:val="24"/>
          <w:szCs w:val="24"/>
        </w:rPr>
        <w:t xml:space="preserve"> og ruptur af sener er øget hos patienter, der behandles samtidigt med </w:t>
      </w:r>
      <w:proofErr w:type="spellStart"/>
      <w:r w:rsidRPr="00034AE2">
        <w:rPr>
          <w:iCs/>
          <w:sz w:val="24"/>
          <w:szCs w:val="24"/>
        </w:rPr>
        <w:t>glukokortikoider</w:t>
      </w:r>
      <w:proofErr w:type="spellEnd"/>
      <w:r w:rsidRPr="00034AE2">
        <w:rPr>
          <w:iCs/>
          <w:sz w:val="24"/>
          <w:szCs w:val="24"/>
        </w:rPr>
        <w:t xml:space="preserve"> og </w:t>
      </w:r>
      <w:proofErr w:type="spellStart"/>
      <w:r w:rsidRPr="00034AE2">
        <w:rPr>
          <w:iCs/>
          <w:sz w:val="24"/>
          <w:szCs w:val="24"/>
        </w:rPr>
        <w:t>fluoroquinoloner</w:t>
      </w:r>
      <w:proofErr w:type="spellEnd"/>
      <w:r w:rsidRPr="00034AE2">
        <w:rPr>
          <w:iCs/>
          <w:sz w:val="24"/>
          <w:szCs w:val="24"/>
        </w:rPr>
        <w:t>.</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
          <w:iCs/>
          <w:sz w:val="24"/>
          <w:szCs w:val="24"/>
          <w:lang w:eastAsia="da-DK"/>
        </w:rPr>
      </w:pPr>
      <w:proofErr w:type="spellStart"/>
      <w:r w:rsidRPr="00034AE2">
        <w:rPr>
          <w:i/>
          <w:iCs/>
          <w:sz w:val="24"/>
          <w:szCs w:val="24"/>
        </w:rPr>
        <w:lastRenderedPageBreak/>
        <w:t>Myasthenia</w:t>
      </w:r>
      <w:proofErr w:type="spellEnd"/>
      <w:r w:rsidRPr="00034AE2">
        <w:rPr>
          <w:i/>
          <w:iCs/>
          <w:sz w:val="24"/>
          <w:szCs w:val="24"/>
        </w:rPr>
        <w:t xml:space="preserve"> </w:t>
      </w:r>
      <w:proofErr w:type="spellStart"/>
      <w:r w:rsidRPr="00034AE2">
        <w:rPr>
          <w:i/>
          <w:iCs/>
          <w:sz w:val="24"/>
          <w:szCs w:val="24"/>
        </w:rPr>
        <w:t>gravis</w:t>
      </w:r>
      <w:proofErr w:type="spellEnd"/>
    </w:p>
    <w:p w:rsidR="00761175" w:rsidRPr="00034AE2" w:rsidRDefault="00761175" w:rsidP="00761175">
      <w:pPr>
        <w:widowControl w:val="0"/>
        <w:ind w:left="851"/>
        <w:rPr>
          <w:iCs/>
          <w:sz w:val="24"/>
          <w:szCs w:val="24"/>
        </w:rPr>
      </w:pPr>
      <w:r w:rsidRPr="00034AE2">
        <w:rPr>
          <w:iCs/>
          <w:sz w:val="24"/>
          <w:szCs w:val="24"/>
        </w:rPr>
        <w:t xml:space="preserve">Allerede eksisterende </w:t>
      </w:r>
      <w:proofErr w:type="spellStart"/>
      <w:r w:rsidRPr="00034AE2">
        <w:rPr>
          <w:iCs/>
          <w:sz w:val="24"/>
          <w:szCs w:val="24"/>
        </w:rPr>
        <w:t>myasthenia</w:t>
      </w:r>
      <w:proofErr w:type="spellEnd"/>
      <w:r w:rsidRPr="00034AE2">
        <w:rPr>
          <w:iCs/>
          <w:sz w:val="24"/>
          <w:szCs w:val="24"/>
        </w:rPr>
        <w:t xml:space="preserve"> </w:t>
      </w:r>
      <w:proofErr w:type="spellStart"/>
      <w:r w:rsidRPr="00034AE2">
        <w:rPr>
          <w:iCs/>
          <w:sz w:val="24"/>
          <w:szCs w:val="24"/>
        </w:rPr>
        <w:t>gravis</w:t>
      </w:r>
      <w:proofErr w:type="spellEnd"/>
      <w:r w:rsidRPr="00034AE2">
        <w:rPr>
          <w:iCs/>
          <w:sz w:val="24"/>
          <w:szCs w:val="24"/>
        </w:rPr>
        <w:t xml:space="preserve"> kan indledningsvis forværres i begyndelsen af </w:t>
      </w:r>
      <w:proofErr w:type="spellStart"/>
      <w:r w:rsidRPr="00034AE2">
        <w:rPr>
          <w:iCs/>
          <w:sz w:val="24"/>
          <w:szCs w:val="24"/>
        </w:rPr>
        <w:t>dexamethasonbehandling</w:t>
      </w:r>
      <w:proofErr w:type="spellEnd"/>
      <w:r w:rsidRPr="00034AE2">
        <w:rPr>
          <w:iCs/>
          <w:sz w:val="24"/>
          <w:szCs w:val="24"/>
        </w:rPr>
        <w:t>.</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
          <w:sz w:val="24"/>
          <w:szCs w:val="24"/>
          <w:lang w:eastAsia="da-DK"/>
        </w:rPr>
      </w:pPr>
      <w:r w:rsidRPr="00034AE2">
        <w:rPr>
          <w:i/>
          <w:sz w:val="24"/>
          <w:szCs w:val="24"/>
        </w:rPr>
        <w:t xml:space="preserve">Synsforstyrrelse </w:t>
      </w:r>
    </w:p>
    <w:p w:rsidR="00761175" w:rsidRPr="00034AE2" w:rsidRDefault="00761175" w:rsidP="00761175">
      <w:pPr>
        <w:widowControl w:val="0"/>
        <w:ind w:left="851"/>
        <w:rPr>
          <w:sz w:val="24"/>
          <w:szCs w:val="24"/>
        </w:rPr>
      </w:pPr>
      <w:r w:rsidRPr="00034AE2">
        <w:rPr>
          <w:sz w:val="24"/>
          <w:szCs w:val="24"/>
        </w:rPr>
        <w:t xml:space="preserve">Synsforstyrrelse kan rapporteres ved systemisk og </w:t>
      </w:r>
      <w:proofErr w:type="spellStart"/>
      <w:r w:rsidRPr="00034AE2">
        <w:rPr>
          <w:sz w:val="24"/>
          <w:szCs w:val="24"/>
        </w:rPr>
        <w:t>topikal</w:t>
      </w:r>
      <w:proofErr w:type="spellEnd"/>
      <w:r w:rsidRPr="00034AE2">
        <w:rPr>
          <w:sz w:val="24"/>
          <w:szCs w:val="24"/>
        </w:rPr>
        <w:t xml:space="preserve"> brug af </w:t>
      </w:r>
      <w:proofErr w:type="spellStart"/>
      <w:r w:rsidRPr="00034AE2">
        <w:rPr>
          <w:sz w:val="24"/>
          <w:szCs w:val="24"/>
        </w:rPr>
        <w:t>kortikosteroider</w:t>
      </w:r>
      <w:proofErr w:type="spellEnd"/>
      <w:r w:rsidRPr="00034AE2">
        <w:rPr>
          <w:sz w:val="24"/>
          <w:szCs w:val="24"/>
        </w:rPr>
        <w:t xml:space="preserve">. Hvis en patient præsenterer med symptomer såsom sløret syn eller andre synsforstyrrelser, skal det overvejes at henvise patienten til en øjenlæge for evaluering af mulige årsager, der kan inkludere grå stær, grøn stær eller sjældne sygdomme som central serøs </w:t>
      </w:r>
      <w:proofErr w:type="spellStart"/>
      <w:r w:rsidRPr="00034AE2">
        <w:rPr>
          <w:sz w:val="24"/>
          <w:szCs w:val="24"/>
        </w:rPr>
        <w:t>chorioretinopati</w:t>
      </w:r>
      <w:proofErr w:type="spellEnd"/>
      <w:r w:rsidRPr="00034AE2">
        <w:rPr>
          <w:sz w:val="24"/>
          <w:szCs w:val="24"/>
        </w:rPr>
        <w:t xml:space="preserve"> (CSCR), der er blevet rapporteret efter systemisk og </w:t>
      </w:r>
      <w:proofErr w:type="spellStart"/>
      <w:r w:rsidRPr="00034AE2">
        <w:rPr>
          <w:sz w:val="24"/>
          <w:szCs w:val="24"/>
        </w:rPr>
        <w:t>topikal</w:t>
      </w:r>
      <w:proofErr w:type="spellEnd"/>
      <w:r w:rsidRPr="00034AE2">
        <w:rPr>
          <w:sz w:val="24"/>
          <w:szCs w:val="24"/>
        </w:rPr>
        <w:t xml:space="preserve"> brug af </w:t>
      </w:r>
      <w:proofErr w:type="spellStart"/>
      <w:r w:rsidRPr="00034AE2">
        <w:rPr>
          <w:sz w:val="24"/>
          <w:szCs w:val="24"/>
        </w:rPr>
        <w:t>kortikosteroider</w:t>
      </w:r>
      <w:proofErr w:type="spellEnd"/>
      <w:r w:rsidRPr="00034AE2">
        <w:rPr>
          <w:sz w:val="24"/>
          <w:szCs w:val="24"/>
        </w:rPr>
        <w:t>.</w:t>
      </w:r>
    </w:p>
    <w:p w:rsidR="00761175" w:rsidRPr="00034AE2" w:rsidRDefault="00761175" w:rsidP="00761175">
      <w:pPr>
        <w:widowControl w:val="0"/>
        <w:ind w:left="851"/>
        <w:rPr>
          <w:iCs/>
          <w:sz w:val="24"/>
          <w:szCs w:val="24"/>
        </w:rPr>
      </w:pPr>
      <w:r w:rsidRPr="00034AE2">
        <w:rPr>
          <w:iCs/>
          <w:sz w:val="24"/>
          <w:szCs w:val="24"/>
        </w:rPr>
        <w:t xml:space="preserve">Længerevarende brug af </w:t>
      </w:r>
      <w:proofErr w:type="spellStart"/>
      <w:r w:rsidRPr="00034AE2">
        <w:rPr>
          <w:iCs/>
          <w:sz w:val="24"/>
          <w:szCs w:val="24"/>
        </w:rPr>
        <w:t>kortikosteroider</w:t>
      </w:r>
      <w:proofErr w:type="spellEnd"/>
      <w:r w:rsidRPr="00034AE2">
        <w:rPr>
          <w:iCs/>
          <w:sz w:val="24"/>
          <w:szCs w:val="24"/>
        </w:rPr>
        <w:t xml:space="preserve"> kan føre til bagvedliggende </w:t>
      </w:r>
      <w:proofErr w:type="spellStart"/>
      <w:r w:rsidRPr="00034AE2">
        <w:rPr>
          <w:iCs/>
          <w:sz w:val="24"/>
          <w:szCs w:val="24"/>
        </w:rPr>
        <w:t>subcapsulær</w:t>
      </w:r>
      <w:proofErr w:type="spellEnd"/>
      <w:r w:rsidRPr="00034AE2">
        <w:rPr>
          <w:iCs/>
          <w:sz w:val="24"/>
          <w:szCs w:val="24"/>
        </w:rPr>
        <w:t xml:space="preserve"> grå stær, grøn stær med mulig skade på synsnerven og kan øge risikoen for sekundære </w:t>
      </w:r>
      <w:proofErr w:type="spellStart"/>
      <w:r w:rsidRPr="00034AE2">
        <w:rPr>
          <w:iCs/>
          <w:sz w:val="24"/>
          <w:szCs w:val="24"/>
        </w:rPr>
        <w:t>okulære</w:t>
      </w:r>
      <w:proofErr w:type="spellEnd"/>
      <w:r w:rsidRPr="00034AE2">
        <w:rPr>
          <w:iCs/>
          <w:sz w:val="24"/>
          <w:szCs w:val="24"/>
        </w:rPr>
        <w:t xml:space="preserve"> infektioner med svampe eller vira.</w:t>
      </w:r>
    </w:p>
    <w:p w:rsidR="00761175" w:rsidRPr="00034AE2" w:rsidRDefault="00761175" w:rsidP="00761175">
      <w:pPr>
        <w:widowControl w:val="0"/>
        <w:ind w:left="851"/>
        <w:rPr>
          <w:iCs/>
          <w:sz w:val="24"/>
          <w:szCs w:val="24"/>
        </w:rPr>
      </w:pPr>
      <w:proofErr w:type="spellStart"/>
      <w:r w:rsidRPr="00034AE2">
        <w:rPr>
          <w:iCs/>
          <w:sz w:val="24"/>
          <w:szCs w:val="24"/>
        </w:rPr>
        <w:t>Kortikosterioder</w:t>
      </w:r>
      <w:proofErr w:type="spellEnd"/>
      <w:r w:rsidRPr="00034AE2">
        <w:rPr>
          <w:iCs/>
          <w:sz w:val="24"/>
          <w:szCs w:val="24"/>
        </w:rPr>
        <w:t xml:space="preserve"> bør bruges med forsigtighed i patienter med </w:t>
      </w:r>
      <w:proofErr w:type="spellStart"/>
      <w:r w:rsidRPr="00034AE2">
        <w:rPr>
          <w:iCs/>
          <w:sz w:val="24"/>
          <w:szCs w:val="24"/>
        </w:rPr>
        <w:t>okulær</w:t>
      </w:r>
      <w:proofErr w:type="spellEnd"/>
      <w:r w:rsidRPr="00034AE2">
        <w:rPr>
          <w:iCs/>
          <w:sz w:val="24"/>
          <w:szCs w:val="24"/>
        </w:rPr>
        <w:t xml:space="preserve"> herpes </w:t>
      </w:r>
      <w:proofErr w:type="spellStart"/>
      <w:r w:rsidRPr="00034AE2">
        <w:rPr>
          <w:iCs/>
          <w:sz w:val="24"/>
          <w:szCs w:val="24"/>
        </w:rPr>
        <w:t>simplex</w:t>
      </w:r>
      <w:proofErr w:type="spellEnd"/>
      <w:r w:rsidRPr="00034AE2">
        <w:rPr>
          <w:iCs/>
          <w:sz w:val="24"/>
          <w:szCs w:val="24"/>
        </w:rPr>
        <w:t xml:space="preserve"> pga. mulig perforation af hornhinden.</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
          <w:iCs/>
          <w:sz w:val="24"/>
          <w:szCs w:val="24"/>
          <w:lang w:eastAsia="da-DK"/>
        </w:rPr>
      </w:pPr>
      <w:r w:rsidRPr="00034AE2">
        <w:rPr>
          <w:i/>
          <w:iCs/>
          <w:sz w:val="24"/>
          <w:szCs w:val="24"/>
        </w:rPr>
        <w:t>Perforation af tarmen</w:t>
      </w:r>
    </w:p>
    <w:p w:rsidR="00761175" w:rsidRPr="00034AE2" w:rsidRDefault="00761175" w:rsidP="00761175">
      <w:pPr>
        <w:widowControl w:val="0"/>
        <w:ind w:left="851"/>
        <w:rPr>
          <w:iCs/>
          <w:sz w:val="24"/>
          <w:szCs w:val="24"/>
        </w:rPr>
      </w:pPr>
      <w:r w:rsidRPr="00034AE2">
        <w:rPr>
          <w:iCs/>
          <w:sz w:val="24"/>
          <w:szCs w:val="24"/>
        </w:rPr>
        <w:t xml:space="preserve">Pga. risikoen for perforation af tarmen, må </w:t>
      </w:r>
      <w:proofErr w:type="spellStart"/>
      <w:r w:rsidRPr="00034AE2">
        <w:rPr>
          <w:iCs/>
          <w:sz w:val="24"/>
          <w:szCs w:val="24"/>
        </w:rPr>
        <w:t>dexamethason</w:t>
      </w:r>
      <w:proofErr w:type="spellEnd"/>
      <w:r w:rsidRPr="00034AE2">
        <w:rPr>
          <w:iCs/>
          <w:sz w:val="24"/>
          <w:szCs w:val="24"/>
        </w:rPr>
        <w:t xml:space="preserve"> kun bruges i akutte indikationer og under relevant overvågning for:</w:t>
      </w:r>
    </w:p>
    <w:p w:rsidR="00761175" w:rsidRPr="00034AE2" w:rsidRDefault="00761175" w:rsidP="00761175">
      <w:pPr>
        <w:widowControl w:val="0"/>
        <w:numPr>
          <w:ilvl w:val="0"/>
          <w:numId w:val="8"/>
        </w:numPr>
        <w:ind w:left="1276" w:hanging="425"/>
        <w:rPr>
          <w:iCs/>
          <w:sz w:val="24"/>
          <w:szCs w:val="24"/>
        </w:rPr>
      </w:pPr>
      <w:r w:rsidRPr="00034AE2">
        <w:rPr>
          <w:iCs/>
          <w:sz w:val="24"/>
          <w:szCs w:val="24"/>
        </w:rPr>
        <w:t xml:space="preserve">Alvorlig </w:t>
      </w:r>
      <w:proofErr w:type="spellStart"/>
      <w:r w:rsidRPr="00034AE2">
        <w:rPr>
          <w:iCs/>
          <w:sz w:val="24"/>
          <w:szCs w:val="24"/>
        </w:rPr>
        <w:t>ulcerativ</w:t>
      </w:r>
      <w:proofErr w:type="spellEnd"/>
      <w:r w:rsidRPr="00034AE2">
        <w:rPr>
          <w:iCs/>
          <w:sz w:val="24"/>
          <w:szCs w:val="24"/>
        </w:rPr>
        <w:t xml:space="preserve"> colitis med risiko for perforation</w:t>
      </w:r>
    </w:p>
    <w:p w:rsidR="00761175" w:rsidRPr="00034AE2" w:rsidRDefault="00761175" w:rsidP="00761175">
      <w:pPr>
        <w:widowControl w:val="0"/>
        <w:numPr>
          <w:ilvl w:val="0"/>
          <w:numId w:val="8"/>
        </w:numPr>
        <w:ind w:left="1276" w:hanging="425"/>
        <w:rPr>
          <w:iCs/>
          <w:sz w:val="24"/>
          <w:szCs w:val="24"/>
        </w:rPr>
      </w:pPr>
      <w:proofErr w:type="spellStart"/>
      <w:r w:rsidRPr="00034AE2">
        <w:rPr>
          <w:iCs/>
          <w:sz w:val="24"/>
          <w:szCs w:val="24"/>
        </w:rPr>
        <w:t>Diverticulitis</w:t>
      </w:r>
      <w:proofErr w:type="spellEnd"/>
    </w:p>
    <w:p w:rsidR="00761175" w:rsidRPr="00034AE2" w:rsidRDefault="00761175" w:rsidP="00761175">
      <w:pPr>
        <w:widowControl w:val="0"/>
        <w:numPr>
          <w:ilvl w:val="0"/>
          <w:numId w:val="8"/>
        </w:numPr>
        <w:ind w:left="1276" w:hanging="425"/>
        <w:rPr>
          <w:iCs/>
          <w:sz w:val="24"/>
          <w:szCs w:val="24"/>
        </w:rPr>
      </w:pPr>
      <w:proofErr w:type="spellStart"/>
      <w:r w:rsidRPr="00034AE2">
        <w:rPr>
          <w:iCs/>
          <w:sz w:val="24"/>
          <w:szCs w:val="24"/>
        </w:rPr>
        <w:t>Entero-anastomose</w:t>
      </w:r>
      <w:proofErr w:type="spellEnd"/>
      <w:r w:rsidRPr="00034AE2">
        <w:rPr>
          <w:iCs/>
          <w:sz w:val="24"/>
          <w:szCs w:val="24"/>
        </w:rPr>
        <w:t xml:space="preserve"> (umiddelbart postoperativt)</w:t>
      </w:r>
    </w:p>
    <w:p w:rsidR="00761175" w:rsidRPr="00034AE2" w:rsidRDefault="00761175" w:rsidP="00761175">
      <w:pPr>
        <w:widowControl w:val="0"/>
        <w:ind w:left="851"/>
        <w:rPr>
          <w:iCs/>
          <w:sz w:val="24"/>
          <w:szCs w:val="24"/>
        </w:rPr>
      </w:pPr>
      <w:r w:rsidRPr="00034AE2">
        <w:rPr>
          <w:iCs/>
          <w:sz w:val="24"/>
          <w:szCs w:val="24"/>
        </w:rPr>
        <w:t xml:space="preserve">Tegn på </w:t>
      </w:r>
      <w:proofErr w:type="spellStart"/>
      <w:r w:rsidRPr="00034AE2">
        <w:rPr>
          <w:iCs/>
          <w:sz w:val="24"/>
          <w:szCs w:val="24"/>
        </w:rPr>
        <w:t>peritoneal</w:t>
      </w:r>
      <w:proofErr w:type="spellEnd"/>
      <w:r w:rsidRPr="00034AE2">
        <w:rPr>
          <w:iCs/>
          <w:sz w:val="24"/>
          <w:szCs w:val="24"/>
        </w:rPr>
        <w:t xml:space="preserve"> irritation efter </w:t>
      </w:r>
      <w:proofErr w:type="spellStart"/>
      <w:r w:rsidRPr="00034AE2">
        <w:rPr>
          <w:iCs/>
          <w:sz w:val="24"/>
          <w:szCs w:val="24"/>
        </w:rPr>
        <w:t>gastrointestinal</w:t>
      </w:r>
      <w:proofErr w:type="spellEnd"/>
      <w:r w:rsidRPr="00034AE2">
        <w:rPr>
          <w:iCs/>
          <w:sz w:val="24"/>
          <w:szCs w:val="24"/>
        </w:rPr>
        <w:t xml:space="preserve"> perforation kan udeblive hos patienter, der modtager høje doser </w:t>
      </w:r>
      <w:proofErr w:type="spellStart"/>
      <w:r w:rsidRPr="00034AE2">
        <w:rPr>
          <w:iCs/>
          <w:sz w:val="24"/>
          <w:szCs w:val="24"/>
        </w:rPr>
        <w:t>glukokortikoider</w:t>
      </w:r>
      <w:proofErr w:type="spellEnd"/>
      <w:r w:rsidRPr="00034AE2">
        <w:rPr>
          <w:iCs/>
          <w:sz w:val="24"/>
          <w:szCs w:val="24"/>
        </w:rPr>
        <w:t>.</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
          <w:iCs/>
          <w:sz w:val="24"/>
          <w:szCs w:val="24"/>
          <w:lang w:eastAsia="da-DK"/>
        </w:rPr>
      </w:pPr>
      <w:r w:rsidRPr="00034AE2">
        <w:rPr>
          <w:i/>
          <w:iCs/>
          <w:sz w:val="24"/>
          <w:szCs w:val="24"/>
        </w:rPr>
        <w:t>Diabetes</w:t>
      </w:r>
    </w:p>
    <w:p w:rsidR="00761175" w:rsidRPr="00034AE2" w:rsidRDefault="00761175" w:rsidP="00761175">
      <w:pPr>
        <w:widowControl w:val="0"/>
        <w:ind w:left="851"/>
        <w:rPr>
          <w:iCs/>
          <w:sz w:val="24"/>
          <w:szCs w:val="24"/>
        </w:rPr>
      </w:pPr>
      <w:r w:rsidRPr="00034AE2">
        <w:rPr>
          <w:iCs/>
          <w:sz w:val="24"/>
          <w:szCs w:val="24"/>
        </w:rPr>
        <w:t xml:space="preserve">Et øget behov for insulin eller orale antidiabetiske midler skal tages i betragtning når </w:t>
      </w:r>
      <w:proofErr w:type="spellStart"/>
      <w:r w:rsidRPr="00034AE2">
        <w:rPr>
          <w:iCs/>
          <w:sz w:val="24"/>
          <w:szCs w:val="24"/>
        </w:rPr>
        <w:t>dexamethason</w:t>
      </w:r>
      <w:proofErr w:type="spellEnd"/>
      <w:r w:rsidRPr="00034AE2">
        <w:rPr>
          <w:iCs/>
          <w:sz w:val="24"/>
          <w:szCs w:val="24"/>
        </w:rPr>
        <w:t xml:space="preserve"> gives til diabetikere.</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
          <w:iCs/>
          <w:sz w:val="24"/>
          <w:szCs w:val="24"/>
          <w:lang w:eastAsia="da-DK"/>
        </w:rPr>
      </w:pPr>
      <w:proofErr w:type="spellStart"/>
      <w:r w:rsidRPr="00034AE2">
        <w:rPr>
          <w:i/>
          <w:iCs/>
          <w:sz w:val="24"/>
          <w:szCs w:val="24"/>
        </w:rPr>
        <w:t>Kardiovaskulære</w:t>
      </w:r>
      <w:proofErr w:type="spellEnd"/>
      <w:r w:rsidRPr="00034AE2">
        <w:rPr>
          <w:i/>
          <w:iCs/>
          <w:sz w:val="24"/>
          <w:szCs w:val="24"/>
        </w:rPr>
        <w:t xml:space="preserve"> forstyrrelser</w:t>
      </w:r>
    </w:p>
    <w:p w:rsidR="00761175" w:rsidRPr="00034AE2" w:rsidRDefault="00761175" w:rsidP="00761175">
      <w:pPr>
        <w:widowControl w:val="0"/>
        <w:ind w:left="851"/>
        <w:rPr>
          <w:iCs/>
          <w:sz w:val="24"/>
          <w:szCs w:val="24"/>
        </w:rPr>
      </w:pPr>
      <w:r w:rsidRPr="00034AE2">
        <w:rPr>
          <w:iCs/>
          <w:sz w:val="24"/>
          <w:szCs w:val="24"/>
        </w:rPr>
        <w:t xml:space="preserve">Regelmæssig monitorering af blodtrykket er nødvendig under behandling med </w:t>
      </w:r>
      <w:proofErr w:type="spellStart"/>
      <w:r w:rsidRPr="00034AE2">
        <w:rPr>
          <w:iCs/>
          <w:sz w:val="24"/>
          <w:szCs w:val="24"/>
        </w:rPr>
        <w:t>dexamethason</w:t>
      </w:r>
      <w:proofErr w:type="spellEnd"/>
      <w:r w:rsidRPr="00034AE2">
        <w:rPr>
          <w:iCs/>
          <w:sz w:val="24"/>
          <w:szCs w:val="24"/>
        </w:rPr>
        <w:t>, særligt når der administreres højere doser og hos patienter, der har svært ved at regulere et højt blodtryk. Pga. risikoen for forværring af tilstanden, bør patienter med alvorlig hjerteinsufficiens monitoreres nøje.</w:t>
      </w:r>
    </w:p>
    <w:p w:rsidR="00761175" w:rsidRPr="00034AE2" w:rsidRDefault="00761175" w:rsidP="00761175">
      <w:pPr>
        <w:widowControl w:val="0"/>
        <w:ind w:left="851"/>
        <w:rPr>
          <w:iCs/>
          <w:sz w:val="24"/>
          <w:szCs w:val="24"/>
        </w:rPr>
      </w:pPr>
      <w:r w:rsidRPr="00034AE2">
        <w:rPr>
          <w:iCs/>
          <w:sz w:val="24"/>
          <w:szCs w:val="24"/>
        </w:rPr>
        <w:t xml:space="preserve">Bradykardi kan forekomme hos patienter, der behandles med høje doser </w:t>
      </w:r>
      <w:proofErr w:type="spellStart"/>
      <w:r w:rsidRPr="00034AE2">
        <w:rPr>
          <w:iCs/>
          <w:sz w:val="24"/>
          <w:szCs w:val="24"/>
        </w:rPr>
        <w:t>dexamethason</w:t>
      </w:r>
      <w:proofErr w:type="spellEnd"/>
      <w:r w:rsidRPr="00034AE2">
        <w:rPr>
          <w:iCs/>
          <w:sz w:val="24"/>
          <w:szCs w:val="24"/>
        </w:rPr>
        <w:t>.</w:t>
      </w:r>
    </w:p>
    <w:p w:rsidR="00761175" w:rsidRPr="00034AE2" w:rsidRDefault="00761175" w:rsidP="00761175">
      <w:pPr>
        <w:widowControl w:val="0"/>
        <w:ind w:left="851"/>
        <w:rPr>
          <w:iCs/>
          <w:sz w:val="24"/>
          <w:szCs w:val="24"/>
        </w:rPr>
      </w:pPr>
      <w:r w:rsidRPr="00034AE2">
        <w:rPr>
          <w:iCs/>
          <w:sz w:val="24"/>
          <w:szCs w:val="24"/>
        </w:rPr>
        <w:t xml:space="preserve">Forsigtighed bør udvises når </w:t>
      </w:r>
      <w:proofErr w:type="spellStart"/>
      <w:r w:rsidRPr="00034AE2">
        <w:rPr>
          <w:iCs/>
          <w:sz w:val="24"/>
          <w:szCs w:val="24"/>
        </w:rPr>
        <w:t>kortikosteroider</w:t>
      </w:r>
      <w:proofErr w:type="spellEnd"/>
      <w:r w:rsidRPr="00034AE2">
        <w:rPr>
          <w:iCs/>
          <w:sz w:val="24"/>
          <w:szCs w:val="24"/>
        </w:rPr>
        <w:t xml:space="preserve"> bruges i patienter, som for nyligt har haft et myokardieinfarkt, da </w:t>
      </w:r>
      <w:proofErr w:type="spellStart"/>
      <w:r w:rsidRPr="00034AE2">
        <w:rPr>
          <w:iCs/>
          <w:sz w:val="24"/>
          <w:szCs w:val="24"/>
        </w:rPr>
        <w:t>myokardieruptur</w:t>
      </w:r>
      <w:proofErr w:type="spellEnd"/>
      <w:r w:rsidRPr="00034AE2">
        <w:rPr>
          <w:iCs/>
          <w:sz w:val="24"/>
          <w:szCs w:val="24"/>
        </w:rPr>
        <w:t xml:space="preserve"> er blevet rapporteret.</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
          <w:iCs/>
          <w:sz w:val="24"/>
          <w:szCs w:val="24"/>
          <w:lang w:eastAsia="da-DK"/>
        </w:rPr>
      </w:pPr>
      <w:r w:rsidRPr="00034AE2">
        <w:rPr>
          <w:i/>
          <w:iCs/>
          <w:sz w:val="24"/>
          <w:szCs w:val="24"/>
        </w:rPr>
        <w:t>Infektioner</w:t>
      </w:r>
    </w:p>
    <w:p w:rsidR="00761175" w:rsidRPr="00034AE2" w:rsidRDefault="00761175" w:rsidP="00761175">
      <w:pPr>
        <w:widowControl w:val="0"/>
        <w:ind w:left="851"/>
        <w:rPr>
          <w:iCs/>
          <w:sz w:val="24"/>
          <w:szCs w:val="24"/>
        </w:rPr>
      </w:pPr>
      <w:r w:rsidRPr="00034AE2">
        <w:rPr>
          <w:iCs/>
          <w:sz w:val="24"/>
          <w:szCs w:val="24"/>
        </w:rPr>
        <w:t xml:space="preserve">Behandling med </w:t>
      </w:r>
      <w:proofErr w:type="spellStart"/>
      <w:r w:rsidRPr="00034AE2">
        <w:rPr>
          <w:iCs/>
          <w:sz w:val="24"/>
          <w:szCs w:val="24"/>
        </w:rPr>
        <w:t>dexamethason</w:t>
      </w:r>
      <w:proofErr w:type="spellEnd"/>
      <w:r w:rsidRPr="00034AE2">
        <w:rPr>
          <w:iCs/>
          <w:sz w:val="24"/>
          <w:szCs w:val="24"/>
        </w:rPr>
        <w:t xml:space="preserve"> kan maskere symptomerne på en eksisterende eller begyndende infektion og dermed vanskeliggøre en diagnose. Længerevarende brug af selv små mængder </w:t>
      </w:r>
      <w:proofErr w:type="spellStart"/>
      <w:r w:rsidRPr="00034AE2">
        <w:rPr>
          <w:iCs/>
          <w:sz w:val="24"/>
          <w:szCs w:val="24"/>
        </w:rPr>
        <w:t>dexamethason</w:t>
      </w:r>
      <w:proofErr w:type="spellEnd"/>
      <w:r w:rsidRPr="00034AE2">
        <w:rPr>
          <w:iCs/>
          <w:sz w:val="24"/>
          <w:szCs w:val="24"/>
        </w:rPr>
        <w:t xml:space="preserve"> fører til en øget risiko for infektioner, selv med mikroorganismer som ellers sjældent forårsager infektioner (såkaldte opportunistiske infektioner).</w:t>
      </w:r>
    </w:p>
    <w:p w:rsidR="00761175" w:rsidRPr="00034AE2" w:rsidRDefault="00761175" w:rsidP="00761175">
      <w:pPr>
        <w:widowControl w:val="0"/>
        <w:ind w:left="851" w:hanging="851"/>
        <w:rPr>
          <w:i/>
          <w:iCs/>
          <w:sz w:val="24"/>
          <w:szCs w:val="24"/>
        </w:rPr>
      </w:pPr>
    </w:p>
    <w:p w:rsidR="00761175" w:rsidRPr="00034AE2" w:rsidRDefault="00761175" w:rsidP="00761175">
      <w:pPr>
        <w:widowControl w:val="0"/>
        <w:ind w:left="851"/>
        <w:rPr>
          <w:iCs/>
          <w:sz w:val="24"/>
          <w:szCs w:val="24"/>
          <w:lang w:eastAsia="da-DK"/>
        </w:rPr>
      </w:pPr>
      <w:r w:rsidRPr="00034AE2">
        <w:rPr>
          <w:iCs/>
          <w:sz w:val="24"/>
          <w:szCs w:val="24"/>
        </w:rPr>
        <w:t xml:space="preserve">Bestemte virussygdomme (skoldkopper, mæslinger) hos patienter, der er i behandling med </w:t>
      </w:r>
      <w:proofErr w:type="spellStart"/>
      <w:r w:rsidRPr="00034AE2">
        <w:rPr>
          <w:iCs/>
          <w:sz w:val="24"/>
          <w:szCs w:val="24"/>
        </w:rPr>
        <w:t>glukokortikoider</w:t>
      </w:r>
      <w:proofErr w:type="spellEnd"/>
      <w:r w:rsidRPr="00034AE2">
        <w:rPr>
          <w:iCs/>
          <w:sz w:val="24"/>
          <w:szCs w:val="24"/>
        </w:rPr>
        <w:t>, kan være alvorlige.</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Cs/>
          <w:sz w:val="24"/>
          <w:szCs w:val="24"/>
          <w:lang w:eastAsia="da-DK"/>
        </w:rPr>
      </w:pPr>
      <w:r w:rsidRPr="00034AE2">
        <w:rPr>
          <w:iCs/>
          <w:sz w:val="24"/>
          <w:szCs w:val="24"/>
        </w:rPr>
        <w:t xml:space="preserve">Børn og immunkompromitterede personer, der ikke tidligere har været udsat for infektion med skoldkopper eller mæslinger, er særligt udsatte. Hvis disse personer kommer i kontakt med personer smittet med mæslinger eller skoldkopper mens de er i behandling med </w:t>
      </w:r>
      <w:proofErr w:type="spellStart"/>
      <w:r w:rsidRPr="00034AE2">
        <w:rPr>
          <w:iCs/>
          <w:sz w:val="24"/>
          <w:szCs w:val="24"/>
        </w:rPr>
        <w:lastRenderedPageBreak/>
        <w:t>dexamethason</w:t>
      </w:r>
      <w:proofErr w:type="spellEnd"/>
      <w:r w:rsidRPr="00034AE2">
        <w:rPr>
          <w:iCs/>
          <w:sz w:val="24"/>
          <w:szCs w:val="24"/>
        </w:rPr>
        <w:t>, skal en forbyggende behandling igangsættes om nødvendigt.</w:t>
      </w:r>
    </w:p>
    <w:p w:rsidR="00761175" w:rsidRPr="00034AE2" w:rsidRDefault="00761175" w:rsidP="00761175">
      <w:pPr>
        <w:widowControl w:val="0"/>
        <w:ind w:left="851" w:hanging="851"/>
        <w:rPr>
          <w:i/>
          <w:iCs/>
          <w:sz w:val="24"/>
          <w:szCs w:val="24"/>
        </w:rPr>
      </w:pPr>
    </w:p>
    <w:p w:rsidR="00761175" w:rsidRPr="00034AE2" w:rsidRDefault="00761175" w:rsidP="00761175">
      <w:pPr>
        <w:widowControl w:val="0"/>
        <w:ind w:left="851"/>
        <w:rPr>
          <w:iCs/>
          <w:sz w:val="24"/>
          <w:szCs w:val="24"/>
          <w:lang w:eastAsia="da-DK"/>
        </w:rPr>
      </w:pPr>
      <w:r>
        <w:rPr>
          <w:iCs/>
          <w:sz w:val="24"/>
          <w:szCs w:val="24"/>
          <w:lang w:eastAsia="da-DK"/>
        </w:rPr>
        <w:t>Ved</w:t>
      </w:r>
      <w:r w:rsidRPr="00685AB9">
        <w:rPr>
          <w:iCs/>
          <w:sz w:val="24"/>
          <w:szCs w:val="24"/>
          <w:lang w:eastAsia="da-DK"/>
        </w:rPr>
        <w:t xml:space="preserve"> COVID</w:t>
      </w:r>
      <w:r w:rsidRPr="00685AB9">
        <w:rPr>
          <w:iCs/>
          <w:sz w:val="24"/>
          <w:szCs w:val="24"/>
          <w:lang w:eastAsia="da-DK"/>
        </w:rPr>
        <w:noBreakHyphen/>
        <w:t>19-</w:t>
      </w:r>
      <w:r>
        <w:rPr>
          <w:iCs/>
          <w:sz w:val="24"/>
          <w:szCs w:val="24"/>
          <w:lang w:eastAsia="da-DK"/>
        </w:rPr>
        <w:t>infektion</w:t>
      </w:r>
      <w:r w:rsidRPr="00685AB9">
        <w:rPr>
          <w:iCs/>
          <w:sz w:val="24"/>
          <w:szCs w:val="24"/>
          <w:lang w:eastAsia="da-DK"/>
        </w:rPr>
        <w:t xml:space="preserve"> bør behandling med systemiske </w:t>
      </w:r>
      <w:proofErr w:type="spellStart"/>
      <w:r w:rsidRPr="00685AB9">
        <w:rPr>
          <w:iCs/>
          <w:sz w:val="24"/>
          <w:szCs w:val="24"/>
          <w:lang w:eastAsia="da-DK"/>
        </w:rPr>
        <w:t>kortikosteroider</w:t>
      </w:r>
      <w:proofErr w:type="spellEnd"/>
      <w:r w:rsidRPr="00685AB9">
        <w:rPr>
          <w:iCs/>
          <w:sz w:val="24"/>
          <w:szCs w:val="24"/>
          <w:lang w:eastAsia="da-DK"/>
        </w:rPr>
        <w:t xml:space="preserve"> ikke stoppes hos patienter, der i forvejen er i behandling med systemiske (orale) </w:t>
      </w:r>
      <w:proofErr w:type="spellStart"/>
      <w:r w:rsidRPr="00685AB9">
        <w:rPr>
          <w:iCs/>
          <w:sz w:val="24"/>
          <w:szCs w:val="24"/>
          <w:lang w:eastAsia="da-DK"/>
        </w:rPr>
        <w:t>kortikosteroider</w:t>
      </w:r>
      <w:proofErr w:type="spellEnd"/>
      <w:r w:rsidRPr="00685AB9">
        <w:rPr>
          <w:iCs/>
          <w:sz w:val="24"/>
          <w:szCs w:val="24"/>
          <w:lang w:eastAsia="da-DK"/>
        </w:rPr>
        <w:t xml:space="preserve"> af andre årsager (f.eks. patienter med kronisk obstruktiv lungesygdom), men ikke har behov for supplerende iltbehandling</w:t>
      </w:r>
      <w:r>
        <w:rPr>
          <w:iCs/>
          <w:sz w:val="24"/>
          <w:szCs w:val="24"/>
          <w:lang w:eastAsia="da-DK"/>
        </w:rPr>
        <w:t>.</w:t>
      </w:r>
    </w:p>
    <w:p w:rsidR="00761175" w:rsidRPr="00903162" w:rsidRDefault="00761175" w:rsidP="00761175">
      <w:pPr>
        <w:widowControl w:val="0"/>
        <w:ind w:left="851"/>
        <w:rPr>
          <w:iCs/>
          <w:sz w:val="24"/>
          <w:szCs w:val="24"/>
        </w:rPr>
      </w:pPr>
    </w:p>
    <w:p w:rsidR="00761175" w:rsidRPr="00034AE2" w:rsidRDefault="00761175" w:rsidP="00761175">
      <w:pPr>
        <w:widowControl w:val="0"/>
        <w:ind w:left="851"/>
        <w:rPr>
          <w:iCs/>
          <w:sz w:val="24"/>
          <w:szCs w:val="24"/>
          <w:lang w:eastAsia="da-DK"/>
        </w:rPr>
      </w:pPr>
      <w:r w:rsidRPr="00034AE2">
        <w:rPr>
          <w:i/>
          <w:iCs/>
          <w:sz w:val="24"/>
          <w:szCs w:val="24"/>
        </w:rPr>
        <w:t>Vaccinationer</w:t>
      </w:r>
    </w:p>
    <w:p w:rsidR="00761175" w:rsidRPr="00034AE2" w:rsidRDefault="00761175" w:rsidP="00761175">
      <w:pPr>
        <w:widowControl w:val="0"/>
        <w:ind w:left="851"/>
        <w:rPr>
          <w:iCs/>
          <w:sz w:val="24"/>
          <w:szCs w:val="24"/>
        </w:rPr>
      </w:pPr>
      <w:r w:rsidRPr="00034AE2">
        <w:rPr>
          <w:iCs/>
          <w:sz w:val="24"/>
          <w:szCs w:val="24"/>
        </w:rPr>
        <w:t xml:space="preserve">Vaccinationer med inaktiveret vaccine er altid muligt. Det skal dog bemærkes, at immunresponset og dermed vaccinationens succes kan påvirkes af højere doser </w:t>
      </w:r>
      <w:proofErr w:type="spellStart"/>
      <w:r w:rsidRPr="00034AE2">
        <w:rPr>
          <w:iCs/>
          <w:sz w:val="24"/>
          <w:szCs w:val="24"/>
        </w:rPr>
        <w:t>kortikoider</w:t>
      </w:r>
      <w:proofErr w:type="spellEnd"/>
      <w:r w:rsidRPr="00034AE2">
        <w:rPr>
          <w:iCs/>
          <w:sz w:val="24"/>
          <w:szCs w:val="24"/>
        </w:rPr>
        <w:t>.</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Cs/>
          <w:sz w:val="24"/>
          <w:szCs w:val="24"/>
          <w:lang w:eastAsia="da-DK"/>
        </w:rPr>
      </w:pPr>
      <w:r w:rsidRPr="00034AE2">
        <w:rPr>
          <w:iCs/>
          <w:sz w:val="24"/>
          <w:szCs w:val="24"/>
        </w:rPr>
        <w:t xml:space="preserve">Jævnlige kontrolbesøg hos læger (herunder synsundersøgelse i intervaller af tre måneder) er tilrådeligt under langvarig behandling med </w:t>
      </w:r>
      <w:proofErr w:type="spellStart"/>
      <w:r w:rsidRPr="00034AE2">
        <w:rPr>
          <w:iCs/>
          <w:sz w:val="24"/>
          <w:szCs w:val="24"/>
        </w:rPr>
        <w:t>dexamethason</w:t>
      </w:r>
      <w:proofErr w:type="spellEnd"/>
      <w:r w:rsidRPr="00034AE2">
        <w:rPr>
          <w:iCs/>
          <w:sz w:val="24"/>
          <w:szCs w:val="24"/>
        </w:rPr>
        <w:t>.</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
          <w:iCs/>
          <w:sz w:val="24"/>
          <w:szCs w:val="24"/>
          <w:lang w:eastAsia="da-DK"/>
        </w:rPr>
      </w:pPr>
      <w:r w:rsidRPr="00034AE2">
        <w:rPr>
          <w:i/>
          <w:iCs/>
          <w:sz w:val="24"/>
          <w:szCs w:val="24"/>
        </w:rPr>
        <w:t>Stofskifteforstyrrelser</w:t>
      </w:r>
    </w:p>
    <w:p w:rsidR="00761175" w:rsidRPr="00034AE2" w:rsidRDefault="00761175" w:rsidP="00761175">
      <w:pPr>
        <w:widowControl w:val="0"/>
        <w:ind w:left="851"/>
        <w:rPr>
          <w:iCs/>
          <w:sz w:val="24"/>
          <w:szCs w:val="24"/>
        </w:rPr>
      </w:pPr>
      <w:r w:rsidRPr="00034AE2">
        <w:rPr>
          <w:iCs/>
          <w:sz w:val="24"/>
          <w:szCs w:val="24"/>
        </w:rPr>
        <w:t>Ved høje doser bør det overvåges, at calciumindtaget er tilstrækkeligt og at natrium</w:t>
      </w:r>
      <w:r>
        <w:rPr>
          <w:iCs/>
          <w:sz w:val="24"/>
          <w:szCs w:val="24"/>
        </w:rPr>
        <w:softHyphen/>
      </w:r>
      <w:r w:rsidRPr="00034AE2">
        <w:rPr>
          <w:iCs/>
          <w:sz w:val="24"/>
          <w:szCs w:val="24"/>
        </w:rPr>
        <w:t xml:space="preserve">indtaget indskrænkes. Niveauer af kalium i serum bør også overvåges. En negativ indflydelse på calciummetabolismen er forventelig, så afhængigt af dosis og behandlingens varighed anbefales osteoporoseprofylakse. Dette gælder særligt for individer med samtidigt forekommende risikofaktorer, som familiær disposition, fremskreden alder, menopause, utilstrækkeligt indtag af protein og calcium, </w:t>
      </w:r>
      <w:proofErr w:type="spellStart"/>
      <w:r w:rsidRPr="00034AE2">
        <w:rPr>
          <w:iCs/>
          <w:sz w:val="24"/>
          <w:szCs w:val="24"/>
        </w:rPr>
        <w:t>storrygning</w:t>
      </w:r>
      <w:proofErr w:type="spellEnd"/>
      <w:r w:rsidRPr="00034AE2">
        <w:rPr>
          <w:iCs/>
          <w:sz w:val="24"/>
          <w:szCs w:val="24"/>
        </w:rPr>
        <w:t>, overdrevet alkoholindtag så vel om utilstrækkelig motion. Forebyggelse består af tilstrækkeligt indtag af calcium og D-vitamin, samt fysisk aktivitet. Yderligere medicinsk behandling bør overvejes i tilfælde af allerede eksisterende osteoporose.</w:t>
      </w:r>
    </w:p>
    <w:p w:rsidR="00761175" w:rsidRPr="00034AE2" w:rsidRDefault="00761175" w:rsidP="00761175">
      <w:pPr>
        <w:widowControl w:val="0"/>
        <w:ind w:left="851"/>
        <w:rPr>
          <w:iCs/>
          <w:sz w:val="24"/>
          <w:szCs w:val="24"/>
        </w:rPr>
      </w:pPr>
      <w:proofErr w:type="spellStart"/>
      <w:r w:rsidRPr="00034AE2">
        <w:rPr>
          <w:iCs/>
          <w:sz w:val="24"/>
          <w:szCs w:val="24"/>
        </w:rPr>
        <w:t>Kortikosteroider</w:t>
      </w:r>
      <w:proofErr w:type="spellEnd"/>
      <w:r w:rsidRPr="00034AE2">
        <w:rPr>
          <w:iCs/>
          <w:sz w:val="24"/>
          <w:szCs w:val="24"/>
        </w:rPr>
        <w:t xml:space="preserve"> bør bruges med forsigtighed i patienter med migræne, da </w:t>
      </w:r>
      <w:proofErr w:type="spellStart"/>
      <w:r w:rsidRPr="00034AE2">
        <w:rPr>
          <w:iCs/>
          <w:sz w:val="24"/>
          <w:szCs w:val="24"/>
        </w:rPr>
        <w:t>kortikosterioder</w:t>
      </w:r>
      <w:proofErr w:type="spellEnd"/>
      <w:r w:rsidRPr="00034AE2">
        <w:rPr>
          <w:iCs/>
          <w:sz w:val="24"/>
          <w:szCs w:val="24"/>
        </w:rPr>
        <w:t xml:space="preserve"> kan forårsage væskeretention.</w:t>
      </w:r>
    </w:p>
    <w:p w:rsidR="00761175" w:rsidRPr="00034AE2" w:rsidRDefault="00761175" w:rsidP="00761175">
      <w:pPr>
        <w:widowControl w:val="0"/>
        <w:ind w:left="851" w:hanging="851"/>
        <w:rPr>
          <w:iCs/>
          <w:sz w:val="24"/>
          <w:szCs w:val="24"/>
        </w:rPr>
      </w:pPr>
    </w:p>
    <w:p w:rsidR="00761175" w:rsidRPr="00034AE2" w:rsidRDefault="00761175" w:rsidP="00761175">
      <w:pPr>
        <w:widowControl w:val="0"/>
        <w:numPr>
          <w:ilvl w:val="12"/>
          <w:numId w:val="0"/>
        </w:numPr>
        <w:ind w:left="851"/>
        <w:rPr>
          <w:bCs/>
          <w:i/>
          <w:noProof/>
          <w:sz w:val="24"/>
          <w:szCs w:val="24"/>
          <w:lang w:eastAsia="da-DK"/>
        </w:rPr>
      </w:pPr>
      <w:r w:rsidRPr="00034AE2">
        <w:rPr>
          <w:bCs/>
          <w:i/>
          <w:sz w:val="24"/>
          <w:szCs w:val="24"/>
        </w:rPr>
        <w:t>Psykologiske forandringer</w:t>
      </w:r>
    </w:p>
    <w:p w:rsidR="00761175" w:rsidRPr="00034AE2" w:rsidRDefault="00761175" w:rsidP="00761175">
      <w:pPr>
        <w:widowControl w:val="0"/>
        <w:numPr>
          <w:ilvl w:val="12"/>
          <w:numId w:val="0"/>
        </w:numPr>
        <w:ind w:left="851"/>
        <w:rPr>
          <w:bCs/>
          <w:noProof/>
          <w:sz w:val="24"/>
          <w:szCs w:val="24"/>
        </w:rPr>
      </w:pPr>
      <w:r w:rsidRPr="00034AE2">
        <w:rPr>
          <w:bCs/>
          <w:sz w:val="24"/>
          <w:szCs w:val="24"/>
        </w:rPr>
        <w:t>Psykologiske forandringer manifesterer sig på forskellige måder, hvor den mest almindelige er eufori. Depression, psykotiske reaktioner og selvmordstendenser kan også opstå.</w:t>
      </w:r>
    </w:p>
    <w:p w:rsidR="00761175" w:rsidRPr="00034AE2" w:rsidRDefault="00761175" w:rsidP="00761175">
      <w:pPr>
        <w:widowControl w:val="0"/>
        <w:numPr>
          <w:ilvl w:val="12"/>
          <w:numId w:val="0"/>
        </w:numPr>
        <w:ind w:left="851"/>
        <w:rPr>
          <w:bCs/>
          <w:noProof/>
          <w:sz w:val="24"/>
          <w:szCs w:val="24"/>
        </w:rPr>
      </w:pPr>
      <w:r w:rsidRPr="00034AE2">
        <w:rPr>
          <w:bCs/>
          <w:sz w:val="24"/>
          <w:szCs w:val="24"/>
        </w:rPr>
        <w:t>Disse tilstande kan være alvorlige. De starter som regel inden</w:t>
      </w:r>
      <w:r>
        <w:rPr>
          <w:bCs/>
          <w:sz w:val="24"/>
          <w:szCs w:val="24"/>
        </w:rPr>
        <w:t xml:space="preserve"> </w:t>
      </w:r>
      <w:r w:rsidRPr="00034AE2">
        <w:rPr>
          <w:bCs/>
          <w:sz w:val="24"/>
          <w:szCs w:val="24"/>
        </w:rPr>
        <w:t>for få dage eller uger efter behandlingens start. Sandsynligheden for forekomst er større ved højere doser. De fleste af disse problemer forsvinder hvis dosis sænkes eller behandlingen stoppes. Imidlertid kan de være behandlingskrævende, hvis de opstår. I nogle få tilfælde er problemer med det mentale helbred opstået når doser sænkes eller seponeres.</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
          <w:iCs/>
          <w:sz w:val="24"/>
          <w:szCs w:val="24"/>
          <w:lang w:eastAsia="da-DK"/>
        </w:rPr>
      </w:pPr>
      <w:r w:rsidRPr="00034AE2">
        <w:rPr>
          <w:i/>
          <w:iCs/>
          <w:sz w:val="24"/>
          <w:szCs w:val="24"/>
        </w:rPr>
        <w:t xml:space="preserve">Cerebralt ødem eller øget </w:t>
      </w:r>
      <w:proofErr w:type="spellStart"/>
      <w:r w:rsidRPr="00034AE2">
        <w:rPr>
          <w:i/>
          <w:iCs/>
          <w:sz w:val="24"/>
          <w:szCs w:val="24"/>
        </w:rPr>
        <w:t>intrakranielt</w:t>
      </w:r>
      <w:proofErr w:type="spellEnd"/>
      <w:r w:rsidRPr="00034AE2">
        <w:rPr>
          <w:i/>
          <w:iCs/>
          <w:sz w:val="24"/>
          <w:szCs w:val="24"/>
        </w:rPr>
        <w:t xml:space="preserve"> tryk.</w:t>
      </w:r>
    </w:p>
    <w:p w:rsidR="00761175" w:rsidRPr="00034AE2" w:rsidRDefault="00761175" w:rsidP="00761175">
      <w:pPr>
        <w:widowControl w:val="0"/>
        <w:ind w:left="851"/>
        <w:rPr>
          <w:iCs/>
          <w:sz w:val="24"/>
          <w:szCs w:val="24"/>
        </w:rPr>
      </w:pPr>
      <w:proofErr w:type="spellStart"/>
      <w:r w:rsidRPr="00034AE2">
        <w:rPr>
          <w:iCs/>
          <w:sz w:val="24"/>
          <w:szCs w:val="24"/>
        </w:rPr>
        <w:t>Kortikosteroider</w:t>
      </w:r>
      <w:proofErr w:type="spellEnd"/>
      <w:r w:rsidRPr="00034AE2">
        <w:rPr>
          <w:iCs/>
          <w:sz w:val="24"/>
          <w:szCs w:val="24"/>
        </w:rPr>
        <w:t xml:space="preserve"> bør ikke bruges i forbindelse med hovedtraume, da de sandsynligvis ikke vil gavne og kan endda muligvis gøre skade.</w:t>
      </w:r>
    </w:p>
    <w:p w:rsidR="00761175" w:rsidRPr="00034AE2" w:rsidRDefault="00761175" w:rsidP="00761175">
      <w:pPr>
        <w:widowControl w:val="0"/>
        <w:ind w:left="851" w:hanging="851"/>
        <w:rPr>
          <w:iCs/>
          <w:sz w:val="24"/>
          <w:szCs w:val="24"/>
        </w:rPr>
      </w:pPr>
    </w:p>
    <w:p w:rsidR="00474A35" w:rsidRDefault="00474A35" w:rsidP="00474A35">
      <w:pPr>
        <w:widowControl w:val="0"/>
        <w:ind w:left="851"/>
        <w:rPr>
          <w:i/>
          <w:iCs/>
          <w:sz w:val="24"/>
          <w:szCs w:val="24"/>
        </w:rPr>
      </w:pPr>
      <w:proofErr w:type="spellStart"/>
      <w:r w:rsidRPr="00474A35">
        <w:rPr>
          <w:i/>
          <w:iCs/>
          <w:sz w:val="24"/>
          <w:szCs w:val="24"/>
        </w:rPr>
        <w:t>Fæokromocytomkrise</w:t>
      </w:r>
      <w:proofErr w:type="spellEnd"/>
      <w:r>
        <w:rPr>
          <w:i/>
          <w:iCs/>
          <w:sz w:val="24"/>
          <w:szCs w:val="24"/>
        </w:rPr>
        <w:t xml:space="preserve"> </w:t>
      </w:r>
    </w:p>
    <w:p w:rsidR="00761175" w:rsidRPr="00034AE2" w:rsidRDefault="00761175" w:rsidP="00761175">
      <w:pPr>
        <w:widowControl w:val="0"/>
        <w:ind w:left="851"/>
        <w:rPr>
          <w:iCs/>
          <w:sz w:val="24"/>
          <w:szCs w:val="24"/>
        </w:rPr>
      </w:pPr>
      <w:proofErr w:type="spellStart"/>
      <w:r w:rsidRPr="00034AE2">
        <w:rPr>
          <w:iCs/>
          <w:sz w:val="24"/>
          <w:szCs w:val="24"/>
        </w:rPr>
        <w:t>Fæokromocytomkrise</w:t>
      </w:r>
      <w:proofErr w:type="spellEnd"/>
      <w:r w:rsidRPr="00034AE2">
        <w:rPr>
          <w:iCs/>
          <w:sz w:val="24"/>
          <w:szCs w:val="24"/>
        </w:rPr>
        <w:t xml:space="preserve">, som kan være dødelig, er blevet rapporteret efter systemisk administration af </w:t>
      </w:r>
      <w:proofErr w:type="spellStart"/>
      <w:r w:rsidRPr="00034AE2">
        <w:rPr>
          <w:iCs/>
          <w:sz w:val="24"/>
          <w:szCs w:val="24"/>
        </w:rPr>
        <w:t>kortikosteroider</w:t>
      </w:r>
      <w:proofErr w:type="spellEnd"/>
      <w:r w:rsidRPr="00034AE2">
        <w:rPr>
          <w:iCs/>
          <w:sz w:val="24"/>
          <w:szCs w:val="24"/>
        </w:rPr>
        <w:t xml:space="preserve">. </w:t>
      </w:r>
      <w:proofErr w:type="spellStart"/>
      <w:r w:rsidRPr="00034AE2">
        <w:rPr>
          <w:iCs/>
          <w:sz w:val="24"/>
          <w:szCs w:val="24"/>
        </w:rPr>
        <w:t>Kortikosterioder</w:t>
      </w:r>
      <w:proofErr w:type="spellEnd"/>
      <w:r w:rsidRPr="00034AE2">
        <w:rPr>
          <w:iCs/>
          <w:sz w:val="24"/>
          <w:szCs w:val="24"/>
        </w:rPr>
        <w:t xml:space="preserve"> bør kun gives til patienter, hvor der er mistanke om eller identificeret </w:t>
      </w:r>
      <w:proofErr w:type="spellStart"/>
      <w:r w:rsidRPr="00034AE2">
        <w:rPr>
          <w:iCs/>
          <w:sz w:val="24"/>
          <w:szCs w:val="24"/>
        </w:rPr>
        <w:t>fæokromocytom</w:t>
      </w:r>
      <w:proofErr w:type="spellEnd"/>
      <w:r w:rsidRPr="00034AE2">
        <w:rPr>
          <w:iCs/>
          <w:sz w:val="24"/>
          <w:szCs w:val="24"/>
        </w:rPr>
        <w:t>, efter en passende vurdering af risikoen holdt op mod den potentielle gavnlige virkning.</w:t>
      </w:r>
    </w:p>
    <w:p w:rsidR="00761175" w:rsidRPr="00034AE2" w:rsidRDefault="00761175" w:rsidP="00761175">
      <w:pPr>
        <w:widowControl w:val="0"/>
        <w:ind w:left="851"/>
        <w:rPr>
          <w:iCs/>
          <w:sz w:val="24"/>
          <w:szCs w:val="24"/>
        </w:rPr>
      </w:pPr>
    </w:p>
    <w:p w:rsidR="00761175" w:rsidRPr="00034AE2" w:rsidRDefault="00761175" w:rsidP="00761175">
      <w:pPr>
        <w:keepNext/>
        <w:widowControl w:val="0"/>
        <w:ind w:left="851"/>
        <w:rPr>
          <w:iCs/>
          <w:sz w:val="24"/>
          <w:szCs w:val="24"/>
          <w:u w:val="single"/>
          <w:lang w:eastAsia="da-DK"/>
        </w:rPr>
      </w:pPr>
      <w:r w:rsidRPr="00034AE2">
        <w:rPr>
          <w:iCs/>
          <w:sz w:val="24"/>
          <w:szCs w:val="24"/>
          <w:u w:val="single"/>
        </w:rPr>
        <w:t>Pædiatrisk population</w:t>
      </w:r>
    </w:p>
    <w:p w:rsidR="00761175" w:rsidRPr="00034AE2" w:rsidRDefault="00761175" w:rsidP="00761175">
      <w:pPr>
        <w:widowControl w:val="0"/>
        <w:ind w:left="851"/>
        <w:rPr>
          <w:iCs/>
          <w:sz w:val="24"/>
          <w:szCs w:val="24"/>
        </w:rPr>
      </w:pPr>
      <w:proofErr w:type="spellStart"/>
      <w:r w:rsidRPr="00034AE2">
        <w:rPr>
          <w:iCs/>
          <w:sz w:val="24"/>
          <w:szCs w:val="24"/>
        </w:rPr>
        <w:t>Kortikosteroider</w:t>
      </w:r>
      <w:proofErr w:type="spellEnd"/>
      <w:r w:rsidRPr="00034AE2">
        <w:rPr>
          <w:iCs/>
          <w:sz w:val="24"/>
          <w:szCs w:val="24"/>
        </w:rPr>
        <w:t xml:space="preserve"> forårsager en dosisafhængig hæmning af vækst i spædbarnsalderen, barndommen og ungdommen, da </w:t>
      </w:r>
      <w:proofErr w:type="spellStart"/>
      <w:r w:rsidRPr="00034AE2">
        <w:rPr>
          <w:iCs/>
          <w:sz w:val="24"/>
          <w:szCs w:val="24"/>
        </w:rPr>
        <w:t>kortikosteroider</w:t>
      </w:r>
      <w:proofErr w:type="spellEnd"/>
      <w:r w:rsidRPr="00034AE2">
        <w:rPr>
          <w:iCs/>
          <w:sz w:val="24"/>
          <w:szCs w:val="24"/>
        </w:rPr>
        <w:t xml:space="preserve"> kan lede til en tidlig lukning af </w:t>
      </w:r>
      <w:proofErr w:type="spellStart"/>
      <w:r w:rsidRPr="00034AE2">
        <w:rPr>
          <w:iCs/>
          <w:sz w:val="24"/>
          <w:szCs w:val="24"/>
        </w:rPr>
        <w:lastRenderedPageBreak/>
        <w:t>epifyserne</w:t>
      </w:r>
      <w:proofErr w:type="spellEnd"/>
      <w:r w:rsidRPr="00034AE2">
        <w:rPr>
          <w:iCs/>
          <w:sz w:val="24"/>
          <w:szCs w:val="24"/>
        </w:rPr>
        <w:t xml:space="preserve">, som kan være irreversibel. Derfor bør indikationen for langtidsbehandling af børn med </w:t>
      </w:r>
      <w:proofErr w:type="spellStart"/>
      <w:r w:rsidRPr="00034AE2">
        <w:rPr>
          <w:iCs/>
          <w:sz w:val="24"/>
          <w:szCs w:val="24"/>
        </w:rPr>
        <w:t>dexamethason</w:t>
      </w:r>
      <w:proofErr w:type="spellEnd"/>
      <w:r w:rsidRPr="00034AE2">
        <w:rPr>
          <w:iCs/>
          <w:sz w:val="24"/>
          <w:szCs w:val="24"/>
        </w:rPr>
        <w:t xml:space="preserve"> være meget stærk og deres vækstrate bør undersøges med jævne mellemrum.</w:t>
      </w:r>
    </w:p>
    <w:p w:rsidR="00761175" w:rsidRPr="00034AE2" w:rsidRDefault="00761175" w:rsidP="00761175">
      <w:pPr>
        <w:widowControl w:val="0"/>
        <w:ind w:left="851"/>
        <w:rPr>
          <w:iCs/>
          <w:sz w:val="24"/>
          <w:szCs w:val="24"/>
        </w:rPr>
      </w:pPr>
    </w:p>
    <w:p w:rsidR="00761175" w:rsidRPr="00034AE2" w:rsidRDefault="00761175" w:rsidP="00761175">
      <w:pPr>
        <w:widowControl w:val="0"/>
        <w:ind w:left="851"/>
        <w:rPr>
          <w:iCs/>
          <w:sz w:val="24"/>
          <w:szCs w:val="24"/>
          <w:lang w:eastAsia="da-DK"/>
        </w:rPr>
      </w:pPr>
      <w:r w:rsidRPr="00034AE2">
        <w:rPr>
          <w:i/>
          <w:iCs/>
          <w:sz w:val="24"/>
          <w:szCs w:val="24"/>
        </w:rPr>
        <w:t>For tidligt fødte:</w:t>
      </w:r>
      <w:r w:rsidRPr="00034AE2">
        <w:rPr>
          <w:iCs/>
          <w:sz w:val="24"/>
          <w:szCs w:val="24"/>
        </w:rPr>
        <w:t xml:space="preserve"> Den tilgængelige evidens peger på langvarige </w:t>
      </w:r>
      <w:proofErr w:type="spellStart"/>
      <w:r w:rsidRPr="00034AE2">
        <w:rPr>
          <w:iCs/>
          <w:sz w:val="24"/>
          <w:szCs w:val="24"/>
        </w:rPr>
        <w:t>neuroudviklingsmæssige</w:t>
      </w:r>
      <w:proofErr w:type="spellEnd"/>
      <w:r w:rsidRPr="00034AE2">
        <w:rPr>
          <w:iCs/>
          <w:sz w:val="24"/>
          <w:szCs w:val="24"/>
        </w:rPr>
        <w:t xml:space="preserve"> bivirkninger efter tidlig behandling (&lt;96 timer) af for tidligt fødte børn med kroniske lungesygdomme ved startdoser på 0,25 mg/kg to gange </w:t>
      </w:r>
      <w:r>
        <w:rPr>
          <w:iCs/>
          <w:sz w:val="24"/>
          <w:szCs w:val="24"/>
        </w:rPr>
        <w:t>daglig</w:t>
      </w:r>
      <w:r w:rsidRPr="00034AE2">
        <w:rPr>
          <w:iCs/>
          <w:sz w:val="24"/>
          <w:szCs w:val="24"/>
        </w:rPr>
        <w:t>.</w:t>
      </w:r>
    </w:p>
    <w:p w:rsidR="00761175" w:rsidRPr="00034AE2" w:rsidRDefault="00761175" w:rsidP="00761175">
      <w:pPr>
        <w:widowControl w:val="0"/>
        <w:ind w:left="851"/>
        <w:rPr>
          <w:iCs/>
          <w:sz w:val="24"/>
          <w:szCs w:val="24"/>
        </w:rPr>
      </w:pPr>
    </w:p>
    <w:p w:rsidR="00761175" w:rsidRPr="00034AE2" w:rsidRDefault="00761175" w:rsidP="00761175">
      <w:pPr>
        <w:widowControl w:val="0"/>
        <w:ind w:left="851"/>
        <w:rPr>
          <w:iCs/>
          <w:sz w:val="24"/>
          <w:szCs w:val="24"/>
          <w:u w:val="single"/>
          <w:lang w:eastAsia="da-DK"/>
        </w:rPr>
      </w:pPr>
      <w:r w:rsidRPr="00034AE2">
        <w:rPr>
          <w:sz w:val="24"/>
          <w:szCs w:val="24"/>
          <w:u w:val="single"/>
        </w:rPr>
        <w:t>Ældre</w:t>
      </w:r>
      <w:r w:rsidRPr="00034AE2">
        <w:rPr>
          <w:iCs/>
          <w:sz w:val="24"/>
          <w:szCs w:val="24"/>
          <w:u w:val="single"/>
        </w:rPr>
        <w:t xml:space="preserve"> </w:t>
      </w:r>
    </w:p>
    <w:p w:rsidR="00761175" w:rsidRDefault="00761175" w:rsidP="00761175">
      <w:pPr>
        <w:widowControl w:val="0"/>
        <w:ind w:left="851"/>
        <w:rPr>
          <w:iCs/>
          <w:sz w:val="24"/>
          <w:szCs w:val="24"/>
        </w:rPr>
      </w:pPr>
      <w:r w:rsidRPr="00034AE2">
        <w:rPr>
          <w:iCs/>
          <w:sz w:val="24"/>
          <w:szCs w:val="24"/>
        </w:rPr>
        <w:t xml:space="preserve">Bivirkningerne af systemiske </w:t>
      </w:r>
      <w:proofErr w:type="spellStart"/>
      <w:r w:rsidRPr="00034AE2">
        <w:rPr>
          <w:iCs/>
          <w:sz w:val="24"/>
          <w:szCs w:val="24"/>
        </w:rPr>
        <w:t>kortikosteroider</w:t>
      </w:r>
      <w:proofErr w:type="spellEnd"/>
      <w:r w:rsidRPr="00034AE2">
        <w:rPr>
          <w:iCs/>
          <w:sz w:val="24"/>
          <w:szCs w:val="24"/>
        </w:rPr>
        <w:t xml:space="preserve"> kan få alvorlige konsekvenser, især hos ældre patienter. Det gælder hovedsageligt osteoporose, hypertension, </w:t>
      </w:r>
      <w:proofErr w:type="spellStart"/>
      <w:r w:rsidRPr="00034AE2">
        <w:rPr>
          <w:iCs/>
          <w:sz w:val="24"/>
          <w:szCs w:val="24"/>
        </w:rPr>
        <w:t>hypokalæmi</w:t>
      </w:r>
      <w:proofErr w:type="spellEnd"/>
      <w:r w:rsidRPr="00034AE2">
        <w:rPr>
          <w:iCs/>
          <w:sz w:val="24"/>
          <w:szCs w:val="24"/>
        </w:rPr>
        <w:t>, diabetes, modtagelighed over</w:t>
      </w:r>
      <w:r>
        <w:rPr>
          <w:iCs/>
          <w:sz w:val="24"/>
          <w:szCs w:val="24"/>
        </w:rPr>
        <w:t xml:space="preserve"> </w:t>
      </w:r>
      <w:r w:rsidRPr="00034AE2">
        <w:rPr>
          <w:iCs/>
          <w:sz w:val="24"/>
          <w:szCs w:val="24"/>
        </w:rPr>
        <w:t>for infektioner samt atrofi af huden. Nøje klinisk overvågning er påkrævet for at undgå livstruende situationer.</w:t>
      </w:r>
    </w:p>
    <w:p w:rsidR="00761175" w:rsidRPr="00034AE2" w:rsidRDefault="00761175" w:rsidP="00761175">
      <w:pPr>
        <w:widowControl w:val="0"/>
        <w:ind w:left="851"/>
        <w:rPr>
          <w:iCs/>
          <w:sz w:val="24"/>
          <w:szCs w:val="24"/>
        </w:rPr>
      </w:pPr>
    </w:p>
    <w:p w:rsidR="00761175" w:rsidRPr="00034AE2" w:rsidRDefault="00761175" w:rsidP="00761175">
      <w:pPr>
        <w:widowControl w:val="0"/>
        <w:ind w:left="851"/>
        <w:rPr>
          <w:iCs/>
          <w:sz w:val="24"/>
          <w:szCs w:val="24"/>
          <w:u w:val="single"/>
          <w:lang w:eastAsia="da-DK"/>
        </w:rPr>
      </w:pPr>
      <w:r w:rsidRPr="00034AE2">
        <w:rPr>
          <w:iCs/>
          <w:sz w:val="24"/>
          <w:szCs w:val="24"/>
          <w:u w:val="single"/>
        </w:rPr>
        <w:t>Indflydelse på diagnostiske tests</w:t>
      </w:r>
    </w:p>
    <w:p w:rsidR="00761175" w:rsidRPr="00034AE2" w:rsidRDefault="00761175" w:rsidP="00761175">
      <w:pPr>
        <w:widowControl w:val="0"/>
        <w:ind w:left="851"/>
        <w:rPr>
          <w:iCs/>
          <w:sz w:val="24"/>
          <w:szCs w:val="24"/>
        </w:rPr>
      </w:pPr>
      <w:proofErr w:type="spellStart"/>
      <w:r w:rsidRPr="00034AE2">
        <w:rPr>
          <w:iCs/>
          <w:sz w:val="24"/>
          <w:szCs w:val="24"/>
        </w:rPr>
        <w:t>Glukokortikoider</w:t>
      </w:r>
      <w:proofErr w:type="spellEnd"/>
      <w:r w:rsidRPr="00034AE2">
        <w:rPr>
          <w:iCs/>
          <w:sz w:val="24"/>
          <w:szCs w:val="24"/>
        </w:rPr>
        <w:t xml:space="preserve"> kan undertrykke hudreaktioner ved allergitests. De kan også påvirke nitroblå </w:t>
      </w:r>
      <w:proofErr w:type="spellStart"/>
      <w:r w:rsidRPr="00034AE2">
        <w:rPr>
          <w:iCs/>
          <w:sz w:val="24"/>
          <w:szCs w:val="24"/>
        </w:rPr>
        <w:t>tetrazolium</w:t>
      </w:r>
      <w:proofErr w:type="spellEnd"/>
      <w:r w:rsidRPr="00034AE2">
        <w:rPr>
          <w:iCs/>
          <w:sz w:val="24"/>
          <w:szCs w:val="24"/>
        </w:rPr>
        <w:t>-testen for bakterielle infektioner og forårsage falsk-negative resultater.</w:t>
      </w:r>
    </w:p>
    <w:p w:rsidR="00761175" w:rsidRPr="00034AE2" w:rsidRDefault="00761175" w:rsidP="00761175">
      <w:pPr>
        <w:widowControl w:val="0"/>
        <w:ind w:left="851"/>
        <w:rPr>
          <w:iCs/>
          <w:sz w:val="24"/>
          <w:szCs w:val="24"/>
        </w:rPr>
      </w:pPr>
    </w:p>
    <w:p w:rsidR="00761175" w:rsidRDefault="00761175" w:rsidP="00761175">
      <w:pPr>
        <w:widowControl w:val="0"/>
        <w:ind w:left="851"/>
        <w:rPr>
          <w:sz w:val="24"/>
          <w:szCs w:val="24"/>
          <w:lang w:eastAsia="da-DK"/>
        </w:rPr>
      </w:pPr>
      <w:proofErr w:type="spellStart"/>
      <w:r w:rsidRPr="0026733D">
        <w:rPr>
          <w:sz w:val="24"/>
          <w:szCs w:val="24"/>
        </w:rPr>
        <w:t>Dexamethasone</w:t>
      </w:r>
      <w:proofErr w:type="spellEnd"/>
      <w:r w:rsidRPr="0026733D">
        <w:rPr>
          <w:sz w:val="24"/>
          <w:szCs w:val="24"/>
        </w:rPr>
        <w:t xml:space="preserve"> </w:t>
      </w:r>
      <w:r w:rsidR="00436CA1">
        <w:rPr>
          <w:sz w:val="24"/>
          <w:szCs w:val="24"/>
        </w:rPr>
        <w:t>”2care4”</w:t>
      </w:r>
      <w:r w:rsidRPr="0026733D">
        <w:rPr>
          <w:sz w:val="24"/>
          <w:szCs w:val="24"/>
        </w:rPr>
        <w:t xml:space="preserve">indeholder </w:t>
      </w:r>
      <w:proofErr w:type="spellStart"/>
      <w:r w:rsidRPr="0026733D">
        <w:rPr>
          <w:sz w:val="24"/>
          <w:szCs w:val="24"/>
        </w:rPr>
        <w:t>lactose</w:t>
      </w:r>
      <w:proofErr w:type="spellEnd"/>
      <w:r w:rsidRPr="0026733D">
        <w:rPr>
          <w:sz w:val="24"/>
          <w:szCs w:val="24"/>
        </w:rPr>
        <w:t xml:space="preserve">. Bør ikke anvendes af patienter med hereditær </w:t>
      </w:r>
      <w:proofErr w:type="spellStart"/>
      <w:r w:rsidRPr="0026733D">
        <w:rPr>
          <w:sz w:val="24"/>
          <w:szCs w:val="24"/>
        </w:rPr>
        <w:t>galactoseintolerance</w:t>
      </w:r>
      <w:proofErr w:type="spellEnd"/>
      <w:r w:rsidRPr="0026733D">
        <w:rPr>
          <w:sz w:val="24"/>
          <w:szCs w:val="24"/>
        </w:rPr>
        <w:t xml:space="preserve">, total </w:t>
      </w:r>
      <w:proofErr w:type="spellStart"/>
      <w:r w:rsidRPr="0026733D">
        <w:rPr>
          <w:sz w:val="24"/>
          <w:szCs w:val="24"/>
        </w:rPr>
        <w:t>lactasemangel</w:t>
      </w:r>
      <w:proofErr w:type="spellEnd"/>
      <w:r w:rsidRPr="0026733D">
        <w:rPr>
          <w:sz w:val="24"/>
          <w:szCs w:val="24"/>
        </w:rPr>
        <w:t xml:space="preserve"> eller </w:t>
      </w:r>
      <w:proofErr w:type="spellStart"/>
      <w:r w:rsidRPr="0026733D">
        <w:rPr>
          <w:sz w:val="24"/>
          <w:szCs w:val="24"/>
        </w:rPr>
        <w:t>glucose-galactosemalabsorption</w:t>
      </w:r>
      <w:proofErr w:type="spellEnd"/>
      <w:r w:rsidRPr="0026733D">
        <w:rPr>
          <w:sz w:val="24"/>
          <w:szCs w:val="24"/>
        </w:rPr>
        <w: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4.5</w:t>
      </w:r>
      <w:r w:rsidRPr="00034AE2">
        <w:rPr>
          <w:b/>
          <w:sz w:val="24"/>
          <w:szCs w:val="24"/>
        </w:rPr>
        <w:tab/>
        <w:t>Interaktion med andre lægemidler og andre former for interaktion</w:t>
      </w:r>
    </w:p>
    <w:p w:rsidR="0050403C" w:rsidRPr="00034AE2" w:rsidRDefault="0050403C" w:rsidP="0050403C">
      <w:pPr>
        <w:widowControl w:val="0"/>
        <w:ind w:left="851"/>
        <w:rPr>
          <w:sz w:val="24"/>
          <w:szCs w:val="24"/>
          <w:lang w:eastAsia="da-DK"/>
        </w:rPr>
      </w:pPr>
      <w:r w:rsidRPr="00034AE2">
        <w:rPr>
          <w:sz w:val="24"/>
          <w:szCs w:val="24"/>
        </w:rPr>
        <w:t xml:space="preserve">Før </w:t>
      </w:r>
      <w:proofErr w:type="spellStart"/>
      <w:r w:rsidR="00E05AF9">
        <w:rPr>
          <w:sz w:val="24"/>
          <w:szCs w:val="24"/>
        </w:rPr>
        <w:t>Dexamethason</w:t>
      </w:r>
      <w:proofErr w:type="spellEnd"/>
      <w:r w:rsidR="00E05AF9">
        <w:rPr>
          <w:sz w:val="24"/>
          <w:szCs w:val="24"/>
        </w:rPr>
        <w:t xml:space="preserve"> ”2care4”</w:t>
      </w:r>
      <w:r w:rsidRPr="00034AE2">
        <w:rPr>
          <w:sz w:val="24"/>
          <w:szCs w:val="24"/>
        </w:rPr>
        <w:t xml:space="preserve"> bruges i kombination med andre lægemidler, bør man referere til Produktresuméet for det pågældende lægemiddel.</w:t>
      </w:r>
    </w:p>
    <w:p w:rsidR="0050403C" w:rsidRPr="00034AE2" w:rsidRDefault="0050403C" w:rsidP="0050403C">
      <w:pPr>
        <w:widowControl w:val="0"/>
        <w:ind w:left="851" w:hanging="851"/>
        <w:rPr>
          <w:sz w:val="24"/>
          <w:szCs w:val="24"/>
        </w:rPr>
      </w:pPr>
    </w:p>
    <w:p w:rsidR="0050403C" w:rsidRPr="00034AE2" w:rsidRDefault="0050403C" w:rsidP="0050403C">
      <w:pPr>
        <w:pStyle w:val="Default"/>
        <w:ind w:left="851"/>
        <w:rPr>
          <w:u w:val="single"/>
        </w:rPr>
      </w:pPr>
      <w:proofErr w:type="spellStart"/>
      <w:r w:rsidRPr="00034AE2">
        <w:rPr>
          <w:u w:val="single"/>
        </w:rPr>
        <w:t>Farmakodynamiske</w:t>
      </w:r>
      <w:proofErr w:type="spellEnd"/>
      <w:r w:rsidRPr="00034AE2">
        <w:rPr>
          <w:u w:val="single"/>
        </w:rPr>
        <w:t xml:space="preserve"> interaktioner </w:t>
      </w:r>
    </w:p>
    <w:p w:rsidR="0050403C" w:rsidRPr="00034AE2" w:rsidRDefault="0050403C" w:rsidP="0050403C">
      <w:pPr>
        <w:pStyle w:val="Default"/>
        <w:ind w:left="851" w:hanging="851"/>
        <w:rPr>
          <w:i/>
          <w:iCs/>
        </w:rPr>
      </w:pPr>
    </w:p>
    <w:p w:rsidR="0050403C" w:rsidRPr="00034AE2" w:rsidRDefault="0050403C" w:rsidP="0050403C">
      <w:pPr>
        <w:widowControl w:val="0"/>
        <w:ind w:left="851"/>
        <w:rPr>
          <w:sz w:val="24"/>
          <w:szCs w:val="24"/>
        </w:rPr>
      </w:pPr>
      <w:r w:rsidRPr="00034AE2">
        <w:rPr>
          <w:sz w:val="24"/>
          <w:szCs w:val="24"/>
        </w:rPr>
        <w:t xml:space="preserve">Patienter, der tager </w:t>
      </w:r>
      <w:proofErr w:type="spellStart"/>
      <w:r w:rsidRPr="00034AE2">
        <w:rPr>
          <w:sz w:val="24"/>
          <w:szCs w:val="24"/>
        </w:rPr>
        <w:t>NSAID’er</w:t>
      </w:r>
      <w:proofErr w:type="spellEnd"/>
      <w:r w:rsidRPr="00034AE2">
        <w:rPr>
          <w:sz w:val="24"/>
          <w:szCs w:val="24"/>
        </w:rPr>
        <w:t xml:space="preserve"> bør monitoreres, da </w:t>
      </w:r>
      <w:proofErr w:type="spellStart"/>
      <w:r w:rsidRPr="00034AE2">
        <w:rPr>
          <w:sz w:val="24"/>
          <w:szCs w:val="24"/>
        </w:rPr>
        <w:t>NSAID’er</w:t>
      </w:r>
      <w:proofErr w:type="spellEnd"/>
      <w:r w:rsidRPr="00034AE2">
        <w:rPr>
          <w:sz w:val="24"/>
          <w:szCs w:val="24"/>
        </w:rPr>
        <w:t xml:space="preserve"> kan øge </w:t>
      </w:r>
      <w:proofErr w:type="spellStart"/>
      <w:r w:rsidRPr="00034AE2">
        <w:rPr>
          <w:sz w:val="24"/>
          <w:szCs w:val="24"/>
        </w:rPr>
        <w:t>forkomsten</w:t>
      </w:r>
      <w:proofErr w:type="spellEnd"/>
      <w:r w:rsidRPr="00034AE2">
        <w:rPr>
          <w:sz w:val="24"/>
          <w:szCs w:val="24"/>
        </w:rPr>
        <w:t xml:space="preserve"> og/eller sværhedsgraden af mavesår. Acetylsalicylsyre bør bruges med forsigtighed i kombination med </w:t>
      </w:r>
      <w:proofErr w:type="spellStart"/>
      <w:r w:rsidRPr="00034AE2">
        <w:rPr>
          <w:sz w:val="24"/>
          <w:szCs w:val="24"/>
        </w:rPr>
        <w:t>kortikosterioder</w:t>
      </w:r>
      <w:proofErr w:type="spellEnd"/>
      <w:r w:rsidRPr="00034AE2">
        <w:rPr>
          <w:sz w:val="24"/>
          <w:szCs w:val="24"/>
        </w:rPr>
        <w:t xml:space="preserve"> ved </w:t>
      </w:r>
      <w:proofErr w:type="spellStart"/>
      <w:r w:rsidRPr="00034AE2">
        <w:rPr>
          <w:sz w:val="24"/>
          <w:szCs w:val="24"/>
        </w:rPr>
        <w:t>hypoprothrombinæmi</w:t>
      </w:r>
      <w:proofErr w:type="spellEnd"/>
      <w:r w:rsidRPr="00034AE2">
        <w:rPr>
          <w:sz w:val="24"/>
          <w:szCs w:val="24"/>
        </w:rPr>
        <w:t>.</w:t>
      </w:r>
    </w:p>
    <w:p w:rsidR="0050403C" w:rsidRPr="00034AE2" w:rsidRDefault="0050403C" w:rsidP="0050403C">
      <w:pPr>
        <w:widowControl w:val="0"/>
        <w:ind w:left="851"/>
        <w:rPr>
          <w:sz w:val="24"/>
          <w:szCs w:val="24"/>
        </w:rPr>
      </w:pPr>
      <w:proofErr w:type="spellStart"/>
      <w:r w:rsidRPr="00034AE2">
        <w:rPr>
          <w:sz w:val="24"/>
          <w:szCs w:val="24"/>
        </w:rPr>
        <w:t>Kortikosteroider</w:t>
      </w:r>
      <w:proofErr w:type="spellEnd"/>
      <w:r w:rsidRPr="00034AE2">
        <w:rPr>
          <w:sz w:val="24"/>
          <w:szCs w:val="24"/>
        </w:rPr>
        <w:t xml:space="preserve"> øger den </w:t>
      </w:r>
      <w:proofErr w:type="spellStart"/>
      <w:r w:rsidRPr="00034AE2">
        <w:rPr>
          <w:sz w:val="24"/>
          <w:szCs w:val="24"/>
        </w:rPr>
        <w:t>renale</w:t>
      </w:r>
      <w:proofErr w:type="spellEnd"/>
      <w:r w:rsidRPr="00034AE2">
        <w:rPr>
          <w:sz w:val="24"/>
          <w:szCs w:val="24"/>
        </w:rPr>
        <w:t xml:space="preserve"> </w:t>
      </w:r>
      <w:proofErr w:type="spellStart"/>
      <w:r w:rsidRPr="00034AE2">
        <w:rPr>
          <w:sz w:val="24"/>
          <w:szCs w:val="24"/>
        </w:rPr>
        <w:t>clearance</w:t>
      </w:r>
      <w:proofErr w:type="spellEnd"/>
      <w:r w:rsidRPr="00034AE2">
        <w:rPr>
          <w:sz w:val="24"/>
          <w:szCs w:val="24"/>
        </w:rPr>
        <w:t xml:space="preserve"> af </w:t>
      </w:r>
      <w:proofErr w:type="spellStart"/>
      <w:r w:rsidRPr="00034AE2">
        <w:rPr>
          <w:sz w:val="24"/>
          <w:szCs w:val="24"/>
        </w:rPr>
        <w:t>salicylater</w:t>
      </w:r>
      <w:proofErr w:type="spellEnd"/>
      <w:r w:rsidRPr="00034AE2">
        <w:rPr>
          <w:sz w:val="24"/>
          <w:szCs w:val="24"/>
        </w:rPr>
        <w:t xml:space="preserve">. Derfor kan </w:t>
      </w:r>
      <w:proofErr w:type="spellStart"/>
      <w:r w:rsidRPr="00034AE2">
        <w:rPr>
          <w:sz w:val="24"/>
          <w:szCs w:val="24"/>
        </w:rPr>
        <w:t>salicylatdosen</w:t>
      </w:r>
      <w:proofErr w:type="spellEnd"/>
      <w:r w:rsidRPr="00034AE2">
        <w:rPr>
          <w:sz w:val="24"/>
          <w:szCs w:val="24"/>
        </w:rPr>
        <w:t xml:space="preserve"> reduceres når steroiderne seponeres. </w:t>
      </w:r>
      <w:proofErr w:type="spellStart"/>
      <w:r w:rsidRPr="00034AE2">
        <w:rPr>
          <w:sz w:val="24"/>
          <w:szCs w:val="24"/>
        </w:rPr>
        <w:t>Seponering</w:t>
      </w:r>
      <w:proofErr w:type="spellEnd"/>
      <w:r w:rsidRPr="00034AE2">
        <w:rPr>
          <w:sz w:val="24"/>
          <w:szCs w:val="24"/>
        </w:rPr>
        <w:t xml:space="preserve"> af steroider kan føre til forgiftning med </w:t>
      </w:r>
      <w:proofErr w:type="spellStart"/>
      <w:r w:rsidRPr="00034AE2">
        <w:rPr>
          <w:sz w:val="24"/>
          <w:szCs w:val="24"/>
        </w:rPr>
        <w:t>salicylat</w:t>
      </w:r>
      <w:proofErr w:type="spellEnd"/>
      <w:r w:rsidRPr="00034AE2">
        <w:rPr>
          <w:sz w:val="24"/>
          <w:szCs w:val="24"/>
        </w:rPr>
        <w:t xml:space="preserve"> grundet den øgede koncentration af </w:t>
      </w:r>
      <w:proofErr w:type="spellStart"/>
      <w:r w:rsidRPr="00034AE2">
        <w:rPr>
          <w:sz w:val="24"/>
          <w:szCs w:val="24"/>
        </w:rPr>
        <w:t>salicylat</w:t>
      </w:r>
      <w:proofErr w:type="spellEnd"/>
      <w:r w:rsidRPr="00034AE2">
        <w:rPr>
          <w:sz w:val="24"/>
          <w:szCs w:val="24"/>
        </w:rPr>
        <w:t xml:space="preserve"> i serum.</w:t>
      </w:r>
    </w:p>
    <w:p w:rsidR="0050403C" w:rsidRPr="00034AE2" w:rsidRDefault="0050403C" w:rsidP="0050403C">
      <w:pPr>
        <w:pStyle w:val="Default"/>
        <w:ind w:left="851" w:hanging="851"/>
        <w:rPr>
          <w:i/>
          <w:iCs/>
        </w:rPr>
      </w:pPr>
    </w:p>
    <w:p w:rsidR="0050403C" w:rsidRPr="00034AE2" w:rsidRDefault="0050403C" w:rsidP="0050403C">
      <w:pPr>
        <w:widowControl w:val="0"/>
        <w:ind w:left="851"/>
        <w:rPr>
          <w:sz w:val="24"/>
          <w:szCs w:val="24"/>
        </w:rPr>
      </w:pPr>
      <w:proofErr w:type="spellStart"/>
      <w:r w:rsidRPr="00034AE2">
        <w:rPr>
          <w:sz w:val="24"/>
          <w:szCs w:val="24"/>
        </w:rPr>
        <w:t>Kortikosteroider</w:t>
      </w:r>
      <w:proofErr w:type="spellEnd"/>
      <w:r w:rsidRPr="00034AE2">
        <w:rPr>
          <w:sz w:val="24"/>
          <w:szCs w:val="24"/>
        </w:rPr>
        <w:t xml:space="preserve"> reducerer effekten af antidiabetiske midler som insulin, </w:t>
      </w:r>
      <w:proofErr w:type="spellStart"/>
      <w:r w:rsidRPr="00034AE2">
        <w:rPr>
          <w:sz w:val="24"/>
          <w:szCs w:val="24"/>
        </w:rPr>
        <w:t>sulfonylurea</w:t>
      </w:r>
      <w:proofErr w:type="spellEnd"/>
      <w:r w:rsidRPr="00034AE2">
        <w:rPr>
          <w:sz w:val="24"/>
          <w:szCs w:val="24"/>
        </w:rPr>
        <w:t xml:space="preserve"> og </w:t>
      </w:r>
      <w:proofErr w:type="spellStart"/>
      <w:r w:rsidRPr="00034AE2">
        <w:rPr>
          <w:sz w:val="24"/>
          <w:szCs w:val="24"/>
        </w:rPr>
        <w:t>metformin</w:t>
      </w:r>
      <w:proofErr w:type="spellEnd"/>
      <w:r w:rsidRPr="00034AE2">
        <w:rPr>
          <w:sz w:val="24"/>
          <w:szCs w:val="24"/>
        </w:rPr>
        <w:t xml:space="preserve">. </w:t>
      </w:r>
      <w:proofErr w:type="spellStart"/>
      <w:r w:rsidRPr="00034AE2">
        <w:rPr>
          <w:sz w:val="24"/>
          <w:szCs w:val="24"/>
        </w:rPr>
        <w:t>Hyperglykæmi</w:t>
      </w:r>
      <w:proofErr w:type="spellEnd"/>
      <w:r w:rsidRPr="00034AE2">
        <w:rPr>
          <w:sz w:val="24"/>
          <w:szCs w:val="24"/>
        </w:rPr>
        <w:t xml:space="preserve"> og diabetisk </w:t>
      </w:r>
      <w:proofErr w:type="spellStart"/>
      <w:r w:rsidRPr="00034AE2">
        <w:rPr>
          <w:sz w:val="24"/>
          <w:szCs w:val="24"/>
        </w:rPr>
        <w:t>ketoacidose</w:t>
      </w:r>
      <w:proofErr w:type="spellEnd"/>
      <w:r w:rsidRPr="00034AE2">
        <w:rPr>
          <w:sz w:val="24"/>
          <w:szCs w:val="24"/>
        </w:rPr>
        <w:t xml:space="preserve"> kan af og til forekomme.</w:t>
      </w:r>
    </w:p>
    <w:p w:rsidR="0050403C" w:rsidRPr="00034AE2" w:rsidRDefault="0050403C" w:rsidP="0050403C">
      <w:pPr>
        <w:widowControl w:val="0"/>
        <w:ind w:left="851"/>
        <w:rPr>
          <w:sz w:val="24"/>
          <w:szCs w:val="24"/>
        </w:rPr>
      </w:pPr>
      <w:r w:rsidRPr="00034AE2">
        <w:rPr>
          <w:sz w:val="24"/>
          <w:szCs w:val="24"/>
        </w:rPr>
        <w:t>Derfor bør diabetikere få foretaget hyppigere blod- og urinprøver i starten af behandlingen.</w:t>
      </w:r>
    </w:p>
    <w:p w:rsidR="0050403C" w:rsidRPr="00034AE2" w:rsidRDefault="0050403C" w:rsidP="0050403C">
      <w:pPr>
        <w:pStyle w:val="Default"/>
        <w:ind w:left="851" w:hanging="851"/>
        <w:rPr>
          <w:i/>
          <w:iCs/>
        </w:rPr>
      </w:pPr>
    </w:p>
    <w:p w:rsidR="0050403C" w:rsidRPr="00034AE2" w:rsidRDefault="0050403C" w:rsidP="0050403C">
      <w:pPr>
        <w:widowControl w:val="0"/>
        <w:ind w:left="851"/>
        <w:rPr>
          <w:sz w:val="24"/>
          <w:szCs w:val="24"/>
        </w:rPr>
      </w:pPr>
      <w:r w:rsidRPr="00034AE2">
        <w:rPr>
          <w:sz w:val="24"/>
          <w:szCs w:val="24"/>
        </w:rPr>
        <w:t xml:space="preserve">Den </w:t>
      </w:r>
      <w:proofErr w:type="spellStart"/>
      <w:r w:rsidRPr="00034AE2">
        <w:rPr>
          <w:sz w:val="24"/>
          <w:szCs w:val="24"/>
        </w:rPr>
        <w:t>hypokalæmiske</w:t>
      </w:r>
      <w:proofErr w:type="spellEnd"/>
      <w:r w:rsidRPr="00034AE2">
        <w:rPr>
          <w:sz w:val="24"/>
          <w:szCs w:val="24"/>
        </w:rPr>
        <w:t xml:space="preserve"> effekt af </w:t>
      </w:r>
      <w:proofErr w:type="spellStart"/>
      <w:r w:rsidRPr="00034AE2">
        <w:rPr>
          <w:sz w:val="24"/>
          <w:szCs w:val="24"/>
        </w:rPr>
        <w:t>acetazolamid</w:t>
      </w:r>
      <w:proofErr w:type="spellEnd"/>
      <w:r w:rsidRPr="00034AE2">
        <w:rPr>
          <w:sz w:val="24"/>
          <w:szCs w:val="24"/>
        </w:rPr>
        <w:t>, loop-</w:t>
      </w:r>
      <w:proofErr w:type="spellStart"/>
      <w:r w:rsidRPr="00034AE2">
        <w:rPr>
          <w:sz w:val="24"/>
          <w:szCs w:val="24"/>
        </w:rPr>
        <w:t>diuretika</w:t>
      </w:r>
      <w:proofErr w:type="spellEnd"/>
      <w:r w:rsidRPr="00034AE2">
        <w:rPr>
          <w:sz w:val="24"/>
          <w:szCs w:val="24"/>
        </w:rPr>
        <w:t xml:space="preserve">, </w:t>
      </w:r>
      <w:proofErr w:type="spellStart"/>
      <w:r w:rsidRPr="00034AE2">
        <w:rPr>
          <w:sz w:val="24"/>
          <w:szCs w:val="24"/>
        </w:rPr>
        <w:t>thiazid</w:t>
      </w:r>
      <w:proofErr w:type="spellEnd"/>
      <w:r w:rsidRPr="00034AE2">
        <w:rPr>
          <w:sz w:val="24"/>
          <w:szCs w:val="24"/>
        </w:rPr>
        <w:t xml:space="preserve"> </w:t>
      </w:r>
      <w:proofErr w:type="spellStart"/>
      <w:r w:rsidRPr="00034AE2">
        <w:rPr>
          <w:sz w:val="24"/>
          <w:szCs w:val="24"/>
        </w:rPr>
        <w:t>diuretika</w:t>
      </w:r>
      <w:proofErr w:type="spellEnd"/>
      <w:r w:rsidRPr="00034AE2">
        <w:rPr>
          <w:sz w:val="24"/>
          <w:szCs w:val="24"/>
        </w:rPr>
        <w:t xml:space="preserve">, </w:t>
      </w:r>
      <w:proofErr w:type="spellStart"/>
      <w:r w:rsidRPr="00034AE2">
        <w:rPr>
          <w:sz w:val="24"/>
          <w:szCs w:val="24"/>
        </w:rPr>
        <w:t>kaliuretika</w:t>
      </w:r>
      <w:proofErr w:type="spellEnd"/>
      <w:r w:rsidRPr="00034AE2">
        <w:rPr>
          <w:sz w:val="24"/>
          <w:szCs w:val="24"/>
        </w:rPr>
        <w:t xml:space="preserve">, </w:t>
      </w:r>
      <w:proofErr w:type="spellStart"/>
      <w:r w:rsidRPr="00034AE2">
        <w:rPr>
          <w:sz w:val="24"/>
          <w:szCs w:val="24"/>
        </w:rPr>
        <w:t>amphotericin</w:t>
      </w:r>
      <w:proofErr w:type="spellEnd"/>
      <w:r w:rsidRPr="00034AE2">
        <w:rPr>
          <w:sz w:val="24"/>
          <w:szCs w:val="24"/>
        </w:rPr>
        <w:t xml:space="preserve"> B injektioner (</w:t>
      </w:r>
      <w:proofErr w:type="spellStart"/>
      <w:r w:rsidRPr="00034AE2">
        <w:rPr>
          <w:sz w:val="24"/>
          <w:szCs w:val="24"/>
        </w:rPr>
        <w:t>glukomineral</w:t>
      </w:r>
      <w:proofErr w:type="spellEnd"/>
      <w:r w:rsidRPr="00034AE2">
        <w:rPr>
          <w:sz w:val="24"/>
          <w:szCs w:val="24"/>
        </w:rPr>
        <w:t>)-</w:t>
      </w:r>
      <w:proofErr w:type="spellStart"/>
      <w:r w:rsidRPr="00034AE2">
        <w:rPr>
          <w:sz w:val="24"/>
          <w:szCs w:val="24"/>
        </w:rPr>
        <w:t>kortikosteroider</w:t>
      </w:r>
      <w:proofErr w:type="spellEnd"/>
      <w:r w:rsidRPr="00034AE2">
        <w:rPr>
          <w:sz w:val="24"/>
          <w:szCs w:val="24"/>
        </w:rPr>
        <w:t xml:space="preserve">, </w:t>
      </w:r>
      <w:proofErr w:type="spellStart"/>
      <w:r w:rsidRPr="00034AE2">
        <w:rPr>
          <w:sz w:val="24"/>
          <w:szCs w:val="24"/>
        </w:rPr>
        <w:t>tetracosactid</w:t>
      </w:r>
      <w:proofErr w:type="spellEnd"/>
      <w:r w:rsidRPr="00034AE2">
        <w:rPr>
          <w:sz w:val="24"/>
          <w:szCs w:val="24"/>
        </w:rPr>
        <w:t xml:space="preserve"> og laksativer vil øges. </w:t>
      </w:r>
      <w:proofErr w:type="spellStart"/>
      <w:r w:rsidRPr="00034AE2">
        <w:rPr>
          <w:sz w:val="24"/>
          <w:szCs w:val="24"/>
        </w:rPr>
        <w:t>Hypokalæmi</w:t>
      </w:r>
      <w:proofErr w:type="spellEnd"/>
      <w:r w:rsidRPr="00034AE2">
        <w:rPr>
          <w:sz w:val="24"/>
          <w:szCs w:val="24"/>
        </w:rPr>
        <w:t xml:space="preserve"> fremmer </w:t>
      </w:r>
      <w:proofErr w:type="spellStart"/>
      <w:r w:rsidRPr="00034AE2">
        <w:rPr>
          <w:sz w:val="24"/>
          <w:szCs w:val="24"/>
        </w:rPr>
        <w:t>hjertearytmier</w:t>
      </w:r>
      <w:proofErr w:type="spellEnd"/>
      <w:r w:rsidRPr="00034AE2">
        <w:rPr>
          <w:sz w:val="24"/>
          <w:szCs w:val="24"/>
        </w:rPr>
        <w:t xml:space="preserve">, særligt </w:t>
      </w:r>
      <w:proofErr w:type="spellStart"/>
      <w:r w:rsidRPr="00034AE2">
        <w:rPr>
          <w:sz w:val="24"/>
          <w:szCs w:val="24"/>
        </w:rPr>
        <w:t>torsade</w:t>
      </w:r>
      <w:proofErr w:type="spellEnd"/>
      <w:r w:rsidRPr="00034AE2">
        <w:rPr>
          <w:sz w:val="24"/>
          <w:szCs w:val="24"/>
        </w:rPr>
        <w:t xml:space="preserve"> de pointes, og øger toksiciteten af hjerteglykosider. Før der startes behandling med </w:t>
      </w:r>
      <w:proofErr w:type="spellStart"/>
      <w:r w:rsidRPr="00034AE2">
        <w:rPr>
          <w:sz w:val="24"/>
          <w:szCs w:val="24"/>
        </w:rPr>
        <w:t>kortikosteroid</w:t>
      </w:r>
      <w:proofErr w:type="spellEnd"/>
      <w:r w:rsidRPr="00034AE2">
        <w:rPr>
          <w:sz w:val="24"/>
          <w:szCs w:val="24"/>
        </w:rPr>
        <w:t xml:space="preserve">, bør </w:t>
      </w:r>
      <w:proofErr w:type="spellStart"/>
      <w:r w:rsidRPr="00034AE2">
        <w:rPr>
          <w:sz w:val="24"/>
          <w:szCs w:val="24"/>
        </w:rPr>
        <w:t>hypokalæmi</w:t>
      </w:r>
      <w:proofErr w:type="spellEnd"/>
      <w:r w:rsidRPr="00034AE2">
        <w:rPr>
          <w:sz w:val="24"/>
          <w:szCs w:val="24"/>
        </w:rPr>
        <w:t xml:space="preserve"> korrigeres og patienter bør overvåges klinisk for elektrolytter og med elektrokardiografi. Derudover, er der rapporteret tilfælde hvor samtidig brug af </w:t>
      </w:r>
      <w:proofErr w:type="spellStart"/>
      <w:r w:rsidRPr="00034AE2">
        <w:rPr>
          <w:sz w:val="24"/>
          <w:szCs w:val="24"/>
        </w:rPr>
        <w:t>amphotericin</w:t>
      </w:r>
      <w:proofErr w:type="spellEnd"/>
      <w:r w:rsidRPr="00034AE2">
        <w:rPr>
          <w:sz w:val="24"/>
          <w:szCs w:val="24"/>
        </w:rPr>
        <w:t xml:space="preserve"> B og </w:t>
      </w:r>
      <w:proofErr w:type="spellStart"/>
      <w:r w:rsidRPr="00034AE2">
        <w:rPr>
          <w:sz w:val="24"/>
          <w:szCs w:val="24"/>
        </w:rPr>
        <w:t>hydrokortison</w:t>
      </w:r>
      <w:proofErr w:type="spellEnd"/>
      <w:r w:rsidRPr="00034AE2">
        <w:rPr>
          <w:sz w:val="24"/>
          <w:szCs w:val="24"/>
        </w:rPr>
        <w:t xml:space="preserve"> førte til et forstørret hjerte og hjertesvigt.</w:t>
      </w:r>
    </w:p>
    <w:p w:rsidR="0050403C" w:rsidRPr="00034AE2" w:rsidRDefault="0050403C" w:rsidP="0050403C">
      <w:pPr>
        <w:widowControl w:val="0"/>
        <w:ind w:left="851"/>
        <w:rPr>
          <w:sz w:val="24"/>
          <w:szCs w:val="24"/>
        </w:rPr>
      </w:pPr>
      <w:r w:rsidRPr="00034AE2">
        <w:rPr>
          <w:sz w:val="24"/>
          <w:szCs w:val="24"/>
        </w:rPr>
        <w:t xml:space="preserve">Mavesårsmedicin: </w:t>
      </w:r>
      <w:proofErr w:type="spellStart"/>
      <w:r w:rsidRPr="00034AE2">
        <w:rPr>
          <w:sz w:val="24"/>
          <w:szCs w:val="24"/>
        </w:rPr>
        <w:t>Carbenoxolon</w:t>
      </w:r>
      <w:proofErr w:type="spellEnd"/>
      <w:r w:rsidRPr="00034AE2">
        <w:rPr>
          <w:sz w:val="24"/>
          <w:szCs w:val="24"/>
        </w:rPr>
        <w:t xml:space="preserve"> øger risikoen for </w:t>
      </w:r>
      <w:proofErr w:type="spellStart"/>
      <w:r w:rsidRPr="00034AE2">
        <w:rPr>
          <w:sz w:val="24"/>
          <w:szCs w:val="24"/>
        </w:rPr>
        <w:t>hypokalæmi</w:t>
      </w:r>
      <w:proofErr w:type="spellEnd"/>
      <w:r w:rsidRPr="00034AE2">
        <w:rPr>
          <w:sz w:val="24"/>
          <w:szCs w:val="24"/>
        </w:rPr>
        <w:t>.</w:t>
      </w:r>
    </w:p>
    <w:p w:rsidR="0050403C" w:rsidRPr="00034AE2" w:rsidRDefault="0050403C" w:rsidP="0080782D">
      <w:pPr>
        <w:ind w:left="851"/>
        <w:rPr>
          <w:sz w:val="24"/>
          <w:szCs w:val="24"/>
        </w:rPr>
      </w:pPr>
      <w:proofErr w:type="spellStart"/>
      <w:r w:rsidRPr="00034AE2">
        <w:rPr>
          <w:sz w:val="24"/>
          <w:szCs w:val="24"/>
        </w:rPr>
        <w:t>Chloroquine</w:t>
      </w:r>
      <w:proofErr w:type="spellEnd"/>
      <w:r w:rsidRPr="00034AE2">
        <w:rPr>
          <w:sz w:val="24"/>
          <w:szCs w:val="24"/>
        </w:rPr>
        <w:t xml:space="preserve"> </w:t>
      </w:r>
      <w:proofErr w:type="spellStart"/>
      <w:r w:rsidRPr="00034AE2">
        <w:rPr>
          <w:sz w:val="24"/>
          <w:szCs w:val="24"/>
        </w:rPr>
        <w:t>hydroxychloroquie</w:t>
      </w:r>
      <w:proofErr w:type="spellEnd"/>
      <w:r w:rsidRPr="00034AE2">
        <w:rPr>
          <w:sz w:val="24"/>
          <w:szCs w:val="24"/>
        </w:rPr>
        <w:t xml:space="preserve"> og </w:t>
      </w:r>
      <w:proofErr w:type="spellStart"/>
      <w:r w:rsidRPr="00034AE2">
        <w:rPr>
          <w:sz w:val="24"/>
          <w:szCs w:val="24"/>
        </w:rPr>
        <w:t>mefloquin</w:t>
      </w:r>
      <w:proofErr w:type="spellEnd"/>
      <w:r w:rsidRPr="00034AE2">
        <w:rPr>
          <w:sz w:val="24"/>
          <w:szCs w:val="24"/>
        </w:rPr>
        <w:t xml:space="preserve">: Øget risiko for </w:t>
      </w:r>
      <w:proofErr w:type="spellStart"/>
      <w:r w:rsidRPr="00034AE2">
        <w:rPr>
          <w:sz w:val="24"/>
          <w:szCs w:val="24"/>
        </w:rPr>
        <w:t>myopatier</w:t>
      </w:r>
      <w:proofErr w:type="spellEnd"/>
      <w:r w:rsidRPr="00034AE2">
        <w:rPr>
          <w:sz w:val="24"/>
          <w:szCs w:val="24"/>
        </w:rPr>
        <w:t xml:space="preserve"> og </w:t>
      </w:r>
      <w:proofErr w:type="spellStart"/>
      <w:r w:rsidRPr="00034AE2">
        <w:rPr>
          <w:sz w:val="24"/>
          <w:szCs w:val="24"/>
        </w:rPr>
        <w:t>kardiomyopatier</w:t>
      </w:r>
      <w:proofErr w:type="spellEnd"/>
      <w:r w:rsidRPr="00034AE2">
        <w:rPr>
          <w:sz w:val="24"/>
          <w:szCs w:val="24"/>
        </w:rPr>
        <w:t>.</w:t>
      </w:r>
    </w:p>
    <w:p w:rsidR="0050403C" w:rsidRPr="00034AE2" w:rsidRDefault="0050403C" w:rsidP="0050403C">
      <w:pPr>
        <w:pStyle w:val="Default"/>
        <w:ind w:left="851" w:hanging="851"/>
        <w:rPr>
          <w:i/>
          <w:iCs/>
        </w:rPr>
      </w:pPr>
    </w:p>
    <w:p w:rsidR="0050403C" w:rsidRPr="00034AE2" w:rsidRDefault="0050403C" w:rsidP="0050403C">
      <w:pPr>
        <w:widowControl w:val="0"/>
        <w:ind w:left="851"/>
        <w:rPr>
          <w:sz w:val="24"/>
          <w:szCs w:val="24"/>
        </w:rPr>
      </w:pPr>
      <w:r w:rsidRPr="00034AE2">
        <w:rPr>
          <w:sz w:val="24"/>
          <w:szCs w:val="24"/>
        </w:rPr>
        <w:t xml:space="preserve">Den blodtrykssænkende effekt af </w:t>
      </w:r>
      <w:proofErr w:type="spellStart"/>
      <w:r w:rsidRPr="00034AE2">
        <w:rPr>
          <w:sz w:val="24"/>
          <w:szCs w:val="24"/>
        </w:rPr>
        <w:t>antihypertensiva</w:t>
      </w:r>
      <w:proofErr w:type="spellEnd"/>
      <w:r w:rsidRPr="00034AE2">
        <w:rPr>
          <w:sz w:val="24"/>
          <w:szCs w:val="24"/>
        </w:rPr>
        <w:t xml:space="preserve"> kan påvirkes af </w:t>
      </w:r>
      <w:proofErr w:type="spellStart"/>
      <w:r w:rsidRPr="00034AE2">
        <w:rPr>
          <w:sz w:val="24"/>
          <w:szCs w:val="24"/>
        </w:rPr>
        <w:t>kortikosteroider</w:t>
      </w:r>
      <w:proofErr w:type="spellEnd"/>
      <w:r w:rsidRPr="00034AE2">
        <w:rPr>
          <w:sz w:val="24"/>
          <w:szCs w:val="24"/>
        </w:rPr>
        <w:t xml:space="preserve">. Doseringen af </w:t>
      </w:r>
      <w:proofErr w:type="spellStart"/>
      <w:r w:rsidRPr="00034AE2">
        <w:rPr>
          <w:sz w:val="24"/>
          <w:szCs w:val="24"/>
        </w:rPr>
        <w:t>antihypertensiva</w:t>
      </w:r>
      <w:proofErr w:type="spellEnd"/>
      <w:r w:rsidRPr="00034AE2">
        <w:rPr>
          <w:sz w:val="24"/>
          <w:szCs w:val="24"/>
        </w:rPr>
        <w:t xml:space="preserve"> må muligvis justeres mens der behandles med </w:t>
      </w:r>
      <w:proofErr w:type="spellStart"/>
      <w:r w:rsidRPr="00034AE2">
        <w:rPr>
          <w:sz w:val="24"/>
          <w:szCs w:val="24"/>
        </w:rPr>
        <w:lastRenderedPageBreak/>
        <w:t>dexamethason</w:t>
      </w:r>
      <w:proofErr w:type="spellEnd"/>
      <w:r w:rsidRPr="00034AE2">
        <w:rPr>
          <w:sz w:val="24"/>
          <w:szCs w:val="24"/>
        </w:rPr>
        <w:t>.</w:t>
      </w:r>
    </w:p>
    <w:p w:rsidR="0050403C" w:rsidRPr="00034AE2" w:rsidRDefault="0050403C" w:rsidP="0050403C">
      <w:pPr>
        <w:widowControl w:val="0"/>
        <w:ind w:left="851" w:hanging="851"/>
        <w:rPr>
          <w:sz w:val="24"/>
          <w:szCs w:val="24"/>
          <w:u w:val="single"/>
        </w:rPr>
      </w:pPr>
    </w:p>
    <w:p w:rsidR="0050403C" w:rsidRPr="00034AE2" w:rsidRDefault="0050403C" w:rsidP="0050403C">
      <w:pPr>
        <w:widowControl w:val="0"/>
        <w:ind w:left="851"/>
        <w:rPr>
          <w:sz w:val="24"/>
          <w:szCs w:val="24"/>
          <w:lang w:eastAsia="da-DK"/>
        </w:rPr>
      </w:pPr>
      <w:proofErr w:type="spellStart"/>
      <w:r w:rsidRPr="00034AE2">
        <w:rPr>
          <w:sz w:val="24"/>
          <w:szCs w:val="24"/>
        </w:rPr>
        <w:t>Thalidomid</w:t>
      </w:r>
      <w:proofErr w:type="spellEnd"/>
      <w:r w:rsidRPr="00034AE2">
        <w:rPr>
          <w:sz w:val="24"/>
          <w:szCs w:val="24"/>
        </w:rPr>
        <w:t xml:space="preserve">: Stor forsigtighed bør udvises ved samtidig administration af </w:t>
      </w:r>
      <w:proofErr w:type="spellStart"/>
      <w:r w:rsidRPr="00034AE2">
        <w:rPr>
          <w:sz w:val="24"/>
          <w:szCs w:val="24"/>
        </w:rPr>
        <w:t>thalidomid</w:t>
      </w:r>
      <w:proofErr w:type="spellEnd"/>
      <w:r w:rsidRPr="00034AE2">
        <w:rPr>
          <w:sz w:val="24"/>
          <w:szCs w:val="24"/>
        </w:rPr>
        <w:t xml:space="preserve">, da der har været rapporteret tilfælde af toksisk </w:t>
      </w:r>
      <w:proofErr w:type="spellStart"/>
      <w:r w:rsidRPr="00034AE2">
        <w:rPr>
          <w:sz w:val="24"/>
          <w:szCs w:val="24"/>
        </w:rPr>
        <w:t>epidermal</w:t>
      </w:r>
      <w:proofErr w:type="spellEnd"/>
      <w:r w:rsidRPr="00034AE2">
        <w:rPr>
          <w:sz w:val="24"/>
          <w:szCs w:val="24"/>
        </w:rPr>
        <w:t xml:space="preserve"> </w:t>
      </w:r>
      <w:proofErr w:type="spellStart"/>
      <w:r w:rsidRPr="00034AE2">
        <w:rPr>
          <w:sz w:val="24"/>
          <w:szCs w:val="24"/>
        </w:rPr>
        <w:t>nekrolyse</w:t>
      </w:r>
      <w:proofErr w:type="spellEnd"/>
      <w:r w:rsidRPr="00034AE2">
        <w:rPr>
          <w:sz w:val="24"/>
          <w:szCs w:val="24"/>
        </w:rPr>
        <w:t>.</w:t>
      </w:r>
    </w:p>
    <w:p w:rsidR="0050403C" w:rsidRPr="00034AE2" w:rsidRDefault="0050403C" w:rsidP="0050403C">
      <w:pPr>
        <w:widowControl w:val="0"/>
        <w:ind w:left="851" w:hanging="851"/>
        <w:rPr>
          <w:sz w:val="24"/>
          <w:szCs w:val="24"/>
        </w:rPr>
      </w:pPr>
    </w:p>
    <w:p w:rsidR="0050403C" w:rsidRPr="00034AE2" w:rsidRDefault="0050403C" w:rsidP="0050403C">
      <w:pPr>
        <w:widowControl w:val="0"/>
        <w:ind w:left="851"/>
        <w:rPr>
          <w:sz w:val="24"/>
          <w:szCs w:val="24"/>
          <w:lang w:eastAsia="da-DK"/>
        </w:rPr>
      </w:pPr>
      <w:r w:rsidRPr="00034AE2">
        <w:rPr>
          <w:sz w:val="24"/>
          <w:szCs w:val="24"/>
        </w:rPr>
        <w:t xml:space="preserve">Effekten af vacciner kan være nedsat under behandling med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Vaccination med levende vacciner samtidig med behandling med høje terapeutiske doser af </w:t>
      </w:r>
      <w:proofErr w:type="spellStart"/>
      <w:r w:rsidRPr="00034AE2">
        <w:rPr>
          <w:sz w:val="24"/>
          <w:szCs w:val="24"/>
        </w:rPr>
        <w:t>dexamethason</w:t>
      </w:r>
      <w:proofErr w:type="spellEnd"/>
      <w:r w:rsidRPr="00034AE2">
        <w:rPr>
          <w:sz w:val="24"/>
          <w:szCs w:val="24"/>
        </w:rPr>
        <w:t xml:space="preserve"> (og andre </w:t>
      </w:r>
      <w:proofErr w:type="spellStart"/>
      <w:r w:rsidRPr="00034AE2">
        <w:rPr>
          <w:sz w:val="24"/>
          <w:szCs w:val="24"/>
        </w:rPr>
        <w:t>kortikosteroider</w:t>
      </w:r>
      <w:proofErr w:type="spellEnd"/>
      <w:r w:rsidRPr="00034AE2">
        <w:rPr>
          <w:sz w:val="24"/>
          <w:szCs w:val="24"/>
        </w:rPr>
        <w:t xml:space="preserve">) er kontraindikeret pga. muligheden for virusinfektion. I dette tilfælde bør vaccinationen udskydes til mindst 3 måneder efter endt behandling med </w:t>
      </w:r>
      <w:proofErr w:type="spellStart"/>
      <w:r w:rsidRPr="00034AE2">
        <w:rPr>
          <w:sz w:val="24"/>
          <w:szCs w:val="24"/>
        </w:rPr>
        <w:t>kortikosteroider</w:t>
      </w:r>
      <w:proofErr w:type="spellEnd"/>
      <w:r w:rsidRPr="00034AE2">
        <w:rPr>
          <w:sz w:val="24"/>
          <w:szCs w:val="24"/>
        </w:rPr>
        <w:t xml:space="preserve">. Andre typer af immuniseringer samtidig med behandling med høje terapeutiske doser </w:t>
      </w:r>
      <w:proofErr w:type="spellStart"/>
      <w:r w:rsidRPr="00034AE2">
        <w:rPr>
          <w:sz w:val="24"/>
          <w:szCs w:val="24"/>
        </w:rPr>
        <w:t>kortikosteroider</w:t>
      </w:r>
      <w:proofErr w:type="spellEnd"/>
      <w:r w:rsidRPr="00034AE2">
        <w:rPr>
          <w:sz w:val="24"/>
          <w:szCs w:val="24"/>
        </w:rPr>
        <w:t xml:space="preserve"> er farlige pga. risikoen for neurologiske komplikationer samt nedsat eller fravær af stigning i </w:t>
      </w:r>
      <w:proofErr w:type="spellStart"/>
      <w:r w:rsidRPr="00034AE2">
        <w:rPr>
          <w:sz w:val="24"/>
          <w:szCs w:val="24"/>
        </w:rPr>
        <w:t>antistoftitre</w:t>
      </w:r>
      <w:proofErr w:type="spellEnd"/>
      <w:r w:rsidRPr="00034AE2">
        <w:rPr>
          <w:sz w:val="24"/>
          <w:szCs w:val="24"/>
        </w:rPr>
        <w:t xml:space="preserve"> (sammenlignet med forventede værdier), og derved en mindsket beskyttelse. Dog kan patienter, der har fået mindre doser </w:t>
      </w:r>
      <w:proofErr w:type="spellStart"/>
      <w:r w:rsidRPr="00034AE2">
        <w:rPr>
          <w:sz w:val="24"/>
          <w:szCs w:val="24"/>
        </w:rPr>
        <w:t>kortikosteroider</w:t>
      </w:r>
      <w:proofErr w:type="spellEnd"/>
      <w:r w:rsidRPr="00034AE2">
        <w:rPr>
          <w:sz w:val="24"/>
          <w:szCs w:val="24"/>
        </w:rPr>
        <w:t xml:space="preserve"> lokalt (parenteralt) eller i kortere tid (mindre end 2 uger), være immuniserede.</w:t>
      </w:r>
    </w:p>
    <w:p w:rsidR="0050403C" w:rsidRPr="00034AE2" w:rsidRDefault="0050403C" w:rsidP="0050403C">
      <w:pPr>
        <w:widowControl w:val="0"/>
        <w:ind w:left="851" w:hanging="851"/>
        <w:rPr>
          <w:sz w:val="24"/>
          <w:szCs w:val="24"/>
          <w:u w:val="single"/>
        </w:rPr>
      </w:pPr>
    </w:p>
    <w:p w:rsidR="0050403C" w:rsidRPr="00034AE2" w:rsidRDefault="0050403C" w:rsidP="0050403C">
      <w:pPr>
        <w:widowControl w:val="0"/>
        <w:ind w:left="851"/>
        <w:rPr>
          <w:sz w:val="24"/>
          <w:szCs w:val="24"/>
          <w:lang w:eastAsia="da-DK"/>
        </w:rPr>
      </w:pPr>
      <w:proofErr w:type="spellStart"/>
      <w:r w:rsidRPr="00034AE2">
        <w:rPr>
          <w:sz w:val="24"/>
          <w:szCs w:val="24"/>
        </w:rPr>
        <w:t>Cholinesterase-hæmmere</w:t>
      </w:r>
      <w:proofErr w:type="spellEnd"/>
      <w:r w:rsidRPr="00034AE2">
        <w:rPr>
          <w:sz w:val="24"/>
          <w:szCs w:val="24"/>
        </w:rPr>
        <w:t xml:space="preserve">: Samtidig brug af </w:t>
      </w:r>
      <w:proofErr w:type="spellStart"/>
      <w:r w:rsidRPr="00034AE2">
        <w:rPr>
          <w:sz w:val="24"/>
          <w:szCs w:val="24"/>
        </w:rPr>
        <w:t>cholinesterase-hæmmere</w:t>
      </w:r>
      <w:proofErr w:type="spellEnd"/>
      <w:r w:rsidRPr="00034AE2">
        <w:rPr>
          <w:sz w:val="24"/>
          <w:szCs w:val="24"/>
        </w:rPr>
        <w:t xml:space="preserve"> og </w:t>
      </w:r>
      <w:proofErr w:type="spellStart"/>
      <w:r w:rsidRPr="00034AE2">
        <w:rPr>
          <w:sz w:val="24"/>
          <w:szCs w:val="24"/>
        </w:rPr>
        <w:t>kortikosteroider</w:t>
      </w:r>
      <w:proofErr w:type="spellEnd"/>
      <w:r w:rsidRPr="00034AE2">
        <w:rPr>
          <w:sz w:val="24"/>
          <w:szCs w:val="24"/>
        </w:rPr>
        <w:t xml:space="preserve"> kan føre til alvorlig muskelsvaghed hos patienter med </w:t>
      </w:r>
      <w:proofErr w:type="spellStart"/>
      <w:r w:rsidRPr="00034AE2">
        <w:rPr>
          <w:sz w:val="24"/>
          <w:szCs w:val="24"/>
        </w:rPr>
        <w:t>myasthenia</w:t>
      </w:r>
      <w:proofErr w:type="spellEnd"/>
      <w:r w:rsidRPr="00034AE2">
        <w:rPr>
          <w:sz w:val="24"/>
          <w:szCs w:val="24"/>
        </w:rPr>
        <w:t xml:space="preserve"> </w:t>
      </w:r>
      <w:proofErr w:type="spellStart"/>
      <w:r w:rsidRPr="00034AE2">
        <w:rPr>
          <w:sz w:val="24"/>
          <w:szCs w:val="24"/>
        </w:rPr>
        <w:t>gravis</w:t>
      </w:r>
      <w:proofErr w:type="spellEnd"/>
      <w:r w:rsidRPr="00034AE2">
        <w:rPr>
          <w:sz w:val="24"/>
          <w:szCs w:val="24"/>
        </w:rPr>
        <w:t xml:space="preserve">. Hvis det er muligt, bør </w:t>
      </w:r>
      <w:proofErr w:type="spellStart"/>
      <w:r w:rsidRPr="00034AE2">
        <w:rPr>
          <w:sz w:val="24"/>
          <w:szCs w:val="24"/>
        </w:rPr>
        <w:t>cholinesterase-hæmmere</w:t>
      </w:r>
      <w:proofErr w:type="spellEnd"/>
      <w:r w:rsidRPr="00034AE2">
        <w:rPr>
          <w:sz w:val="24"/>
          <w:szCs w:val="24"/>
        </w:rPr>
        <w:t xml:space="preserve"> seponeres mindst 24 timer før behandling med </w:t>
      </w:r>
      <w:proofErr w:type="spellStart"/>
      <w:r w:rsidRPr="00034AE2">
        <w:rPr>
          <w:sz w:val="24"/>
          <w:szCs w:val="24"/>
        </w:rPr>
        <w:t>kortikosteroider</w:t>
      </w:r>
      <w:proofErr w:type="spellEnd"/>
      <w:r w:rsidRPr="00034AE2">
        <w:rPr>
          <w:sz w:val="24"/>
          <w:szCs w:val="24"/>
        </w:rPr>
        <w:t xml:space="preserve"> påbegyndes.</w:t>
      </w:r>
    </w:p>
    <w:p w:rsidR="0050403C" w:rsidRPr="00034AE2" w:rsidRDefault="0050403C" w:rsidP="0050403C">
      <w:pPr>
        <w:widowControl w:val="0"/>
        <w:ind w:left="851" w:hanging="851"/>
        <w:rPr>
          <w:sz w:val="24"/>
          <w:szCs w:val="24"/>
          <w:u w:val="single"/>
        </w:rPr>
      </w:pPr>
    </w:p>
    <w:p w:rsidR="0050403C" w:rsidRPr="00034AE2" w:rsidRDefault="0050403C" w:rsidP="0050403C">
      <w:pPr>
        <w:widowControl w:val="0"/>
        <w:ind w:left="851"/>
        <w:rPr>
          <w:iCs/>
          <w:sz w:val="24"/>
          <w:szCs w:val="24"/>
          <w:lang w:eastAsia="da-DK"/>
        </w:rPr>
      </w:pPr>
      <w:r w:rsidRPr="00034AE2">
        <w:rPr>
          <w:iCs/>
          <w:sz w:val="24"/>
          <w:szCs w:val="24"/>
        </w:rPr>
        <w:t xml:space="preserve">Risikoen for </w:t>
      </w:r>
      <w:proofErr w:type="spellStart"/>
      <w:r w:rsidRPr="00034AE2">
        <w:rPr>
          <w:iCs/>
          <w:sz w:val="24"/>
          <w:szCs w:val="24"/>
        </w:rPr>
        <w:t>senebetændelse</w:t>
      </w:r>
      <w:proofErr w:type="spellEnd"/>
      <w:r w:rsidRPr="00034AE2">
        <w:rPr>
          <w:iCs/>
          <w:sz w:val="24"/>
          <w:szCs w:val="24"/>
        </w:rPr>
        <w:t xml:space="preserve"> og ruptur af sener er øget hos patienter, der behandles samtidigt med </w:t>
      </w:r>
      <w:proofErr w:type="spellStart"/>
      <w:r w:rsidRPr="00034AE2">
        <w:rPr>
          <w:iCs/>
          <w:sz w:val="24"/>
          <w:szCs w:val="24"/>
        </w:rPr>
        <w:t>glukokortikoider</w:t>
      </w:r>
      <w:proofErr w:type="spellEnd"/>
      <w:r w:rsidRPr="00034AE2">
        <w:rPr>
          <w:iCs/>
          <w:sz w:val="24"/>
          <w:szCs w:val="24"/>
        </w:rPr>
        <w:t xml:space="preserve"> og </w:t>
      </w:r>
      <w:proofErr w:type="spellStart"/>
      <w:r w:rsidRPr="00034AE2">
        <w:rPr>
          <w:iCs/>
          <w:sz w:val="24"/>
          <w:szCs w:val="24"/>
        </w:rPr>
        <w:t>fluoroquinoloner</w:t>
      </w:r>
      <w:proofErr w:type="spellEnd"/>
      <w:r w:rsidRPr="00034AE2">
        <w:rPr>
          <w:iCs/>
          <w:sz w:val="24"/>
          <w:szCs w:val="24"/>
        </w:rPr>
        <w:t>.</w:t>
      </w:r>
    </w:p>
    <w:p w:rsidR="0050403C" w:rsidRPr="00034AE2" w:rsidRDefault="0050403C" w:rsidP="0050403C">
      <w:pPr>
        <w:widowControl w:val="0"/>
        <w:ind w:left="851" w:hanging="851"/>
        <w:rPr>
          <w:iCs/>
          <w:sz w:val="24"/>
          <w:szCs w:val="24"/>
        </w:rPr>
      </w:pPr>
    </w:p>
    <w:p w:rsidR="0050403C" w:rsidRPr="00034AE2" w:rsidRDefault="0050403C" w:rsidP="0050403C">
      <w:pPr>
        <w:widowControl w:val="0"/>
        <w:ind w:left="851"/>
        <w:rPr>
          <w:iCs/>
          <w:sz w:val="24"/>
          <w:szCs w:val="24"/>
          <w:lang w:eastAsia="da-DK"/>
        </w:rPr>
      </w:pPr>
      <w:r w:rsidRPr="00034AE2">
        <w:rPr>
          <w:iCs/>
          <w:sz w:val="24"/>
          <w:szCs w:val="24"/>
        </w:rPr>
        <w:t xml:space="preserve">Samtidig behandling med CYP3A-hæmmere, herunder </w:t>
      </w:r>
      <w:proofErr w:type="spellStart"/>
      <w:r w:rsidRPr="00034AE2">
        <w:rPr>
          <w:iCs/>
          <w:sz w:val="24"/>
          <w:szCs w:val="24"/>
        </w:rPr>
        <w:t>cobicistat</w:t>
      </w:r>
      <w:proofErr w:type="spellEnd"/>
      <w:r w:rsidRPr="00034AE2">
        <w:rPr>
          <w:iCs/>
          <w:sz w:val="24"/>
          <w:szCs w:val="24"/>
        </w:rPr>
        <w:t xml:space="preserve">-indeholdende midler, forventes at øge risikoen for systemiske bivirkninger. Denne kombination bør undgås, med mindre den gavnlige effekt opvejer den øgede risiko for systemiske bivirkninger af </w:t>
      </w:r>
      <w:proofErr w:type="spellStart"/>
      <w:r w:rsidRPr="00034AE2">
        <w:rPr>
          <w:iCs/>
          <w:sz w:val="24"/>
          <w:szCs w:val="24"/>
        </w:rPr>
        <w:t>kortikosteroider</w:t>
      </w:r>
      <w:proofErr w:type="spellEnd"/>
      <w:r w:rsidRPr="00034AE2">
        <w:rPr>
          <w:iCs/>
          <w:sz w:val="24"/>
          <w:szCs w:val="24"/>
        </w:rPr>
        <w:t xml:space="preserve">, og i disse tilfælde bør patienter monitoreres for systemiske </w:t>
      </w:r>
      <w:proofErr w:type="spellStart"/>
      <w:r w:rsidRPr="00034AE2">
        <w:rPr>
          <w:iCs/>
          <w:sz w:val="24"/>
          <w:szCs w:val="24"/>
        </w:rPr>
        <w:t>kortikosteroidbivirkninger</w:t>
      </w:r>
      <w:proofErr w:type="spellEnd"/>
      <w:r w:rsidRPr="00034AE2">
        <w:rPr>
          <w:iCs/>
          <w:sz w:val="24"/>
          <w:szCs w:val="24"/>
        </w:rPr>
        <w:t>.</w:t>
      </w:r>
    </w:p>
    <w:p w:rsidR="0050403C" w:rsidRPr="00034AE2" w:rsidRDefault="0050403C" w:rsidP="0050403C">
      <w:pPr>
        <w:widowControl w:val="0"/>
        <w:ind w:left="851" w:hanging="851"/>
        <w:rPr>
          <w:sz w:val="24"/>
          <w:szCs w:val="24"/>
          <w:u w:val="single"/>
        </w:rPr>
      </w:pPr>
    </w:p>
    <w:p w:rsidR="0050403C" w:rsidRPr="00034AE2" w:rsidRDefault="0050403C" w:rsidP="0050403C">
      <w:pPr>
        <w:pStyle w:val="Default"/>
        <w:ind w:left="851"/>
        <w:rPr>
          <w:u w:val="single"/>
        </w:rPr>
      </w:pPr>
      <w:proofErr w:type="spellStart"/>
      <w:r w:rsidRPr="00034AE2">
        <w:rPr>
          <w:u w:val="single"/>
        </w:rPr>
        <w:t>Farmakokinetiske</w:t>
      </w:r>
      <w:proofErr w:type="spellEnd"/>
      <w:r w:rsidRPr="00034AE2">
        <w:rPr>
          <w:u w:val="single"/>
        </w:rPr>
        <w:t xml:space="preserve"> interaktioner </w:t>
      </w:r>
    </w:p>
    <w:p w:rsidR="0050403C" w:rsidRPr="00034AE2" w:rsidRDefault="0050403C" w:rsidP="0050403C">
      <w:pPr>
        <w:widowControl w:val="0"/>
        <w:ind w:left="851" w:hanging="851"/>
        <w:rPr>
          <w:sz w:val="24"/>
          <w:szCs w:val="24"/>
          <w:u w:val="single"/>
        </w:rPr>
      </w:pPr>
    </w:p>
    <w:p w:rsidR="0050403C" w:rsidRPr="00034AE2" w:rsidRDefault="0050403C" w:rsidP="0050403C">
      <w:pPr>
        <w:widowControl w:val="0"/>
        <w:ind w:left="851"/>
        <w:rPr>
          <w:sz w:val="24"/>
          <w:szCs w:val="24"/>
          <w:u w:val="single"/>
          <w:lang w:eastAsia="da-DK"/>
        </w:rPr>
      </w:pPr>
      <w:r w:rsidRPr="00034AE2">
        <w:rPr>
          <w:sz w:val="24"/>
          <w:szCs w:val="24"/>
          <w:u w:val="single"/>
        </w:rPr>
        <w:t xml:space="preserve">Andre lægemidlers virkning på </w:t>
      </w:r>
      <w:proofErr w:type="spellStart"/>
      <w:r w:rsidRPr="00034AE2">
        <w:rPr>
          <w:sz w:val="24"/>
          <w:szCs w:val="24"/>
          <w:u w:val="single"/>
        </w:rPr>
        <w:t>dexamethason</w:t>
      </w:r>
      <w:proofErr w:type="spellEnd"/>
      <w:r w:rsidRPr="00034AE2">
        <w:rPr>
          <w:sz w:val="24"/>
          <w:szCs w:val="24"/>
          <w:u w:val="single"/>
        </w:rPr>
        <w:t>:</w:t>
      </w:r>
    </w:p>
    <w:p w:rsidR="0050403C" w:rsidRPr="00034AE2" w:rsidRDefault="0050403C" w:rsidP="0050403C">
      <w:pPr>
        <w:widowControl w:val="0"/>
        <w:ind w:left="851"/>
        <w:rPr>
          <w:sz w:val="24"/>
          <w:szCs w:val="24"/>
          <w:lang w:val="en-GB"/>
        </w:rPr>
      </w:pPr>
      <w:proofErr w:type="spellStart"/>
      <w:r w:rsidRPr="00034AE2">
        <w:rPr>
          <w:sz w:val="24"/>
          <w:szCs w:val="24"/>
          <w:lang w:val="en-GB"/>
        </w:rPr>
        <w:t>Dexamethason</w:t>
      </w:r>
      <w:proofErr w:type="spellEnd"/>
      <w:r w:rsidRPr="00034AE2">
        <w:rPr>
          <w:sz w:val="24"/>
          <w:szCs w:val="24"/>
          <w:lang w:val="en-GB"/>
        </w:rPr>
        <w:t xml:space="preserve"> </w:t>
      </w:r>
      <w:proofErr w:type="spellStart"/>
      <w:r w:rsidRPr="00034AE2">
        <w:rPr>
          <w:sz w:val="24"/>
          <w:szCs w:val="24"/>
          <w:lang w:val="en-GB"/>
        </w:rPr>
        <w:t>metaboliserers</w:t>
      </w:r>
      <w:proofErr w:type="spellEnd"/>
      <w:r w:rsidRPr="00034AE2">
        <w:rPr>
          <w:sz w:val="24"/>
          <w:szCs w:val="24"/>
          <w:lang w:val="en-GB"/>
        </w:rPr>
        <w:t xml:space="preserve"> via </w:t>
      </w:r>
      <w:proofErr w:type="spellStart"/>
      <w:r w:rsidRPr="00034AE2">
        <w:rPr>
          <w:sz w:val="24"/>
          <w:szCs w:val="24"/>
          <w:lang w:val="en-GB"/>
        </w:rPr>
        <w:t>cytochrom</w:t>
      </w:r>
      <w:proofErr w:type="spellEnd"/>
      <w:r w:rsidRPr="00034AE2">
        <w:rPr>
          <w:sz w:val="24"/>
          <w:szCs w:val="24"/>
          <w:lang w:val="en-GB"/>
        </w:rPr>
        <w:t xml:space="preserve"> P450 3A4 (CYP3A4).</w:t>
      </w:r>
    </w:p>
    <w:p w:rsidR="0050403C" w:rsidRPr="00034AE2" w:rsidRDefault="0050403C" w:rsidP="0050403C">
      <w:pPr>
        <w:widowControl w:val="0"/>
        <w:ind w:left="851"/>
        <w:rPr>
          <w:sz w:val="24"/>
          <w:szCs w:val="24"/>
        </w:rPr>
      </w:pPr>
      <w:r w:rsidRPr="00034AE2">
        <w:rPr>
          <w:sz w:val="24"/>
          <w:szCs w:val="24"/>
        </w:rPr>
        <w:t xml:space="preserve">Administrationen af </w:t>
      </w:r>
      <w:proofErr w:type="spellStart"/>
      <w:r w:rsidRPr="00034AE2">
        <w:rPr>
          <w:sz w:val="24"/>
          <w:szCs w:val="24"/>
        </w:rPr>
        <w:t>dexamethason</w:t>
      </w:r>
      <w:proofErr w:type="spellEnd"/>
      <w:r w:rsidRPr="00034AE2">
        <w:rPr>
          <w:sz w:val="24"/>
          <w:szCs w:val="24"/>
        </w:rPr>
        <w:t xml:space="preserve"> sammen med CYP3A4-induktorer, som </w:t>
      </w:r>
      <w:proofErr w:type="spellStart"/>
      <w:r w:rsidRPr="00034AE2">
        <w:rPr>
          <w:sz w:val="24"/>
          <w:szCs w:val="24"/>
        </w:rPr>
        <w:t>efedrin</w:t>
      </w:r>
      <w:proofErr w:type="spellEnd"/>
      <w:r w:rsidRPr="00034AE2">
        <w:rPr>
          <w:sz w:val="24"/>
          <w:szCs w:val="24"/>
        </w:rPr>
        <w:t xml:space="preserve">, barbiturater, </w:t>
      </w:r>
      <w:proofErr w:type="spellStart"/>
      <w:r w:rsidRPr="00034AE2">
        <w:rPr>
          <w:sz w:val="24"/>
          <w:szCs w:val="24"/>
        </w:rPr>
        <w:t>rifabutin</w:t>
      </w:r>
      <w:proofErr w:type="spellEnd"/>
      <w:r w:rsidRPr="00034AE2">
        <w:rPr>
          <w:sz w:val="24"/>
          <w:szCs w:val="24"/>
        </w:rPr>
        <w:t xml:space="preserve">, </w:t>
      </w:r>
      <w:proofErr w:type="spellStart"/>
      <w:r w:rsidRPr="00034AE2">
        <w:rPr>
          <w:sz w:val="24"/>
          <w:szCs w:val="24"/>
        </w:rPr>
        <w:t>rifampicin</w:t>
      </w:r>
      <w:proofErr w:type="spellEnd"/>
      <w:r w:rsidRPr="00034AE2">
        <w:rPr>
          <w:sz w:val="24"/>
          <w:szCs w:val="24"/>
        </w:rPr>
        <w:t xml:space="preserve">, </w:t>
      </w:r>
      <w:proofErr w:type="spellStart"/>
      <w:r w:rsidRPr="00034AE2">
        <w:rPr>
          <w:sz w:val="24"/>
          <w:szCs w:val="24"/>
        </w:rPr>
        <w:t>phenytoin</w:t>
      </w:r>
      <w:proofErr w:type="spellEnd"/>
      <w:r w:rsidRPr="00034AE2">
        <w:rPr>
          <w:sz w:val="24"/>
          <w:szCs w:val="24"/>
        </w:rPr>
        <w:t xml:space="preserve"> og </w:t>
      </w:r>
      <w:proofErr w:type="spellStart"/>
      <w:r w:rsidRPr="00034AE2">
        <w:rPr>
          <w:sz w:val="24"/>
          <w:szCs w:val="24"/>
        </w:rPr>
        <w:t>carbamazepin</w:t>
      </w:r>
      <w:proofErr w:type="spellEnd"/>
      <w:r w:rsidRPr="00034AE2">
        <w:rPr>
          <w:sz w:val="24"/>
          <w:szCs w:val="24"/>
        </w:rPr>
        <w:t xml:space="preserve"> kan føre til reducerede plasmakoncentrationer af </w:t>
      </w:r>
      <w:proofErr w:type="spellStart"/>
      <w:r w:rsidRPr="00034AE2">
        <w:rPr>
          <w:sz w:val="24"/>
          <w:szCs w:val="24"/>
        </w:rPr>
        <w:t>dexamethason</w:t>
      </w:r>
      <w:proofErr w:type="spellEnd"/>
      <w:r w:rsidRPr="00034AE2">
        <w:rPr>
          <w:sz w:val="24"/>
          <w:szCs w:val="24"/>
        </w:rPr>
        <w:t xml:space="preserve"> og give behov for en dosisøgning.</w:t>
      </w:r>
    </w:p>
    <w:p w:rsidR="0050403C" w:rsidRPr="00034AE2" w:rsidRDefault="0050403C" w:rsidP="0050403C">
      <w:pPr>
        <w:widowControl w:val="0"/>
        <w:ind w:left="851"/>
        <w:rPr>
          <w:sz w:val="24"/>
          <w:szCs w:val="24"/>
        </w:rPr>
      </w:pPr>
      <w:proofErr w:type="spellStart"/>
      <w:r w:rsidRPr="00034AE2">
        <w:rPr>
          <w:sz w:val="24"/>
          <w:szCs w:val="24"/>
        </w:rPr>
        <w:t>Aminoglutethimid</w:t>
      </w:r>
      <w:proofErr w:type="spellEnd"/>
      <w:r w:rsidRPr="00034AE2">
        <w:rPr>
          <w:sz w:val="24"/>
          <w:szCs w:val="24"/>
        </w:rPr>
        <w:t xml:space="preserve"> kan accelerere reduktionen af </w:t>
      </w:r>
      <w:proofErr w:type="spellStart"/>
      <w:r w:rsidRPr="00034AE2">
        <w:rPr>
          <w:sz w:val="24"/>
          <w:szCs w:val="24"/>
        </w:rPr>
        <w:t>dexamethason</w:t>
      </w:r>
      <w:proofErr w:type="spellEnd"/>
      <w:r w:rsidRPr="00034AE2">
        <w:rPr>
          <w:sz w:val="24"/>
          <w:szCs w:val="24"/>
        </w:rPr>
        <w:t xml:space="preserve"> og reducere effekten. Om nødvendigt bør der foretages dosisjustering af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rPr>
          <w:sz w:val="24"/>
          <w:szCs w:val="24"/>
        </w:rPr>
      </w:pPr>
      <w:proofErr w:type="spellStart"/>
      <w:r w:rsidRPr="00034AE2">
        <w:rPr>
          <w:sz w:val="24"/>
          <w:szCs w:val="24"/>
        </w:rPr>
        <w:t>Galdesyreresiner</w:t>
      </w:r>
      <w:proofErr w:type="spellEnd"/>
      <w:r w:rsidRPr="00034AE2">
        <w:rPr>
          <w:sz w:val="24"/>
          <w:szCs w:val="24"/>
        </w:rPr>
        <w:t xml:space="preserve">, såsom </w:t>
      </w:r>
      <w:proofErr w:type="spellStart"/>
      <w:r w:rsidRPr="00034AE2">
        <w:rPr>
          <w:sz w:val="24"/>
          <w:szCs w:val="24"/>
        </w:rPr>
        <w:t>cholestyramin</w:t>
      </w:r>
      <w:proofErr w:type="spellEnd"/>
      <w:r w:rsidRPr="00034AE2">
        <w:rPr>
          <w:sz w:val="24"/>
          <w:szCs w:val="24"/>
        </w:rPr>
        <w:t xml:space="preserve">, kan reducere optagelsen af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rPr>
          <w:sz w:val="24"/>
          <w:szCs w:val="24"/>
        </w:rPr>
      </w:pPr>
      <w:proofErr w:type="spellStart"/>
      <w:r w:rsidRPr="00034AE2">
        <w:rPr>
          <w:sz w:val="24"/>
          <w:szCs w:val="24"/>
        </w:rPr>
        <w:t>Topikalt</w:t>
      </w:r>
      <w:proofErr w:type="spellEnd"/>
      <w:r w:rsidRPr="00034AE2">
        <w:rPr>
          <w:sz w:val="24"/>
          <w:szCs w:val="24"/>
        </w:rPr>
        <w:t xml:space="preserve"> påførte mave-tarmlægemidler, syreneutraliserende midler, aktivt kul: Nedsat resorption af </w:t>
      </w:r>
      <w:proofErr w:type="spellStart"/>
      <w:r w:rsidRPr="00034AE2">
        <w:rPr>
          <w:sz w:val="24"/>
          <w:szCs w:val="24"/>
        </w:rPr>
        <w:t>glukokortikoider</w:t>
      </w:r>
      <w:proofErr w:type="spellEnd"/>
      <w:r w:rsidRPr="00034AE2">
        <w:rPr>
          <w:sz w:val="24"/>
          <w:szCs w:val="24"/>
        </w:rPr>
        <w:t xml:space="preserve"> er beskrevet under samtidig administration af </w:t>
      </w:r>
      <w:proofErr w:type="spellStart"/>
      <w:r w:rsidRPr="00034AE2">
        <w:rPr>
          <w:sz w:val="24"/>
          <w:szCs w:val="24"/>
        </w:rPr>
        <w:t>prednisolon</w:t>
      </w:r>
      <w:proofErr w:type="spellEnd"/>
      <w:r w:rsidRPr="00034AE2">
        <w:rPr>
          <w:sz w:val="24"/>
          <w:szCs w:val="24"/>
        </w:rPr>
        <w:t xml:space="preserve"> og </w:t>
      </w:r>
      <w:proofErr w:type="spellStart"/>
      <w:r w:rsidRPr="00034AE2">
        <w:rPr>
          <w:sz w:val="24"/>
          <w:szCs w:val="24"/>
        </w:rPr>
        <w:t>dexamethason</w:t>
      </w:r>
      <w:proofErr w:type="spellEnd"/>
      <w:r w:rsidRPr="00034AE2">
        <w:rPr>
          <w:sz w:val="24"/>
          <w:szCs w:val="24"/>
        </w:rPr>
        <w:t xml:space="preserve">. Derfor bør administrationen af </w:t>
      </w:r>
      <w:proofErr w:type="spellStart"/>
      <w:r w:rsidRPr="00034AE2">
        <w:rPr>
          <w:sz w:val="24"/>
          <w:szCs w:val="24"/>
        </w:rPr>
        <w:t>glukokortikoider</w:t>
      </w:r>
      <w:proofErr w:type="spellEnd"/>
      <w:r w:rsidRPr="00034AE2">
        <w:rPr>
          <w:sz w:val="24"/>
          <w:szCs w:val="24"/>
        </w:rPr>
        <w:t xml:space="preserve"> og </w:t>
      </w:r>
      <w:proofErr w:type="spellStart"/>
      <w:r w:rsidRPr="00034AE2">
        <w:rPr>
          <w:sz w:val="24"/>
          <w:szCs w:val="24"/>
        </w:rPr>
        <w:t>topikalt</w:t>
      </w:r>
      <w:proofErr w:type="spellEnd"/>
      <w:r w:rsidRPr="00034AE2">
        <w:rPr>
          <w:sz w:val="24"/>
          <w:szCs w:val="24"/>
        </w:rPr>
        <w:t xml:space="preserve"> påførte mave-tarmlægemidler, syreneutraliserende midler samt aktivt kul ske med et mellemrum på mindst 2 timer.</w:t>
      </w:r>
    </w:p>
    <w:p w:rsidR="0050403C" w:rsidRPr="00034AE2" w:rsidRDefault="0050403C" w:rsidP="0050403C">
      <w:pPr>
        <w:widowControl w:val="0"/>
        <w:ind w:left="851"/>
        <w:rPr>
          <w:sz w:val="24"/>
          <w:szCs w:val="24"/>
        </w:rPr>
      </w:pPr>
      <w:r w:rsidRPr="00034AE2">
        <w:rPr>
          <w:sz w:val="24"/>
          <w:szCs w:val="24"/>
        </w:rPr>
        <w:t xml:space="preserve">Administrationen af </w:t>
      </w:r>
      <w:proofErr w:type="spellStart"/>
      <w:r w:rsidRPr="00034AE2">
        <w:rPr>
          <w:sz w:val="24"/>
          <w:szCs w:val="24"/>
        </w:rPr>
        <w:t>dexamethason</w:t>
      </w:r>
      <w:proofErr w:type="spellEnd"/>
      <w:r w:rsidRPr="00034AE2">
        <w:rPr>
          <w:sz w:val="24"/>
          <w:szCs w:val="24"/>
        </w:rPr>
        <w:t xml:space="preserve"> sammen med CYP3A4-inhibitorer, såsom </w:t>
      </w:r>
      <w:proofErr w:type="spellStart"/>
      <w:r w:rsidRPr="00034AE2">
        <w:rPr>
          <w:sz w:val="24"/>
          <w:szCs w:val="24"/>
        </w:rPr>
        <w:t>azolsvampemidler</w:t>
      </w:r>
      <w:proofErr w:type="spellEnd"/>
      <w:r w:rsidRPr="00034AE2">
        <w:rPr>
          <w:sz w:val="24"/>
          <w:szCs w:val="24"/>
        </w:rPr>
        <w:t xml:space="preserve"> (f.eks. </w:t>
      </w:r>
      <w:proofErr w:type="spellStart"/>
      <w:r w:rsidRPr="00034AE2">
        <w:rPr>
          <w:sz w:val="24"/>
          <w:szCs w:val="24"/>
        </w:rPr>
        <w:t>ketoconazol</w:t>
      </w:r>
      <w:proofErr w:type="spellEnd"/>
      <w:r w:rsidRPr="00034AE2">
        <w:rPr>
          <w:sz w:val="24"/>
          <w:szCs w:val="24"/>
        </w:rPr>
        <w:t xml:space="preserve"> og </w:t>
      </w:r>
      <w:proofErr w:type="spellStart"/>
      <w:r w:rsidRPr="00034AE2">
        <w:rPr>
          <w:sz w:val="24"/>
          <w:szCs w:val="24"/>
        </w:rPr>
        <w:t>itraconazol</w:t>
      </w:r>
      <w:proofErr w:type="spellEnd"/>
      <w:r w:rsidRPr="00034AE2">
        <w:rPr>
          <w:sz w:val="24"/>
          <w:szCs w:val="24"/>
        </w:rPr>
        <w:t>), hiv-</w:t>
      </w:r>
      <w:proofErr w:type="spellStart"/>
      <w:r w:rsidRPr="00034AE2">
        <w:rPr>
          <w:sz w:val="24"/>
          <w:szCs w:val="24"/>
        </w:rPr>
        <w:t>proteasehæmmere</w:t>
      </w:r>
      <w:proofErr w:type="spellEnd"/>
      <w:r w:rsidRPr="00034AE2">
        <w:rPr>
          <w:sz w:val="24"/>
          <w:szCs w:val="24"/>
        </w:rPr>
        <w:t xml:space="preserve"> (f.eks. </w:t>
      </w:r>
      <w:proofErr w:type="spellStart"/>
      <w:r w:rsidRPr="00034AE2">
        <w:rPr>
          <w:sz w:val="24"/>
          <w:szCs w:val="24"/>
        </w:rPr>
        <w:t>ritonavir</w:t>
      </w:r>
      <w:proofErr w:type="spellEnd"/>
      <w:r w:rsidRPr="00034AE2">
        <w:rPr>
          <w:sz w:val="24"/>
          <w:szCs w:val="24"/>
        </w:rPr>
        <w:t xml:space="preserve">) og </w:t>
      </w:r>
      <w:proofErr w:type="spellStart"/>
      <w:r w:rsidRPr="00034AE2">
        <w:rPr>
          <w:sz w:val="24"/>
          <w:szCs w:val="24"/>
        </w:rPr>
        <w:t>makrolidantibiotika</w:t>
      </w:r>
      <w:proofErr w:type="spellEnd"/>
      <w:r w:rsidRPr="00034AE2">
        <w:rPr>
          <w:sz w:val="24"/>
          <w:szCs w:val="24"/>
        </w:rPr>
        <w:t xml:space="preserve"> (f.eks. </w:t>
      </w:r>
      <w:proofErr w:type="spellStart"/>
      <w:r w:rsidRPr="00034AE2">
        <w:rPr>
          <w:sz w:val="24"/>
          <w:szCs w:val="24"/>
        </w:rPr>
        <w:t>erythromycin</w:t>
      </w:r>
      <w:proofErr w:type="spellEnd"/>
      <w:r w:rsidRPr="00034AE2">
        <w:rPr>
          <w:sz w:val="24"/>
          <w:szCs w:val="24"/>
        </w:rPr>
        <w:t xml:space="preserve">), kan føre til øgede plasmakoncentrationer og nedsat </w:t>
      </w:r>
      <w:proofErr w:type="spellStart"/>
      <w:r w:rsidRPr="00034AE2">
        <w:rPr>
          <w:sz w:val="24"/>
          <w:szCs w:val="24"/>
        </w:rPr>
        <w:t>clearance</w:t>
      </w:r>
      <w:proofErr w:type="spellEnd"/>
      <w:r w:rsidRPr="00034AE2">
        <w:rPr>
          <w:sz w:val="24"/>
          <w:szCs w:val="24"/>
        </w:rPr>
        <w:t xml:space="preserve"> af </w:t>
      </w:r>
      <w:proofErr w:type="spellStart"/>
      <w:r w:rsidRPr="00034AE2">
        <w:rPr>
          <w:sz w:val="24"/>
          <w:szCs w:val="24"/>
        </w:rPr>
        <w:t>dexamethason</w:t>
      </w:r>
      <w:proofErr w:type="spellEnd"/>
      <w:r w:rsidRPr="00034AE2">
        <w:rPr>
          <w:sz w:val="24"/>
          <w:szCs w:val="24"/>
        </w:rPr>
        <w:t xml:space="preserve">. Hvis det er nødvendigt, bør </w:t>
      </w:r>
      <w:proofErr w:type="spellStart"/>
      <w:r w:rsidRPr="00034AE2">
        <w:rPr>
          <w:sz w:val="24"/>
          <w:szCs w:val="24"/>
        </w:rPr>
        <w:t>dexamethasondosen</w:t>
      </w:r>
      <w:proofErr w:type="spellEnd"/>
      <w:r w:rsidRPr="00034AE2">
        <w:rPr>
          <w:sz w:val="24"/>
          <w:szCs w:val="24"/>
        </w:rPr>
        <w:t xml:space="preserve"> reduceres.</w:t>
      </w:r>
    </w:p>
    <w:p w:rsidR="0050403C" w:rsidRPr="00034AE2" w:rsidRDefault="0050403C" w:rsidP="0050403C">
      <w:pPr>
        <w:widowControl w:val="0"/>
        <w:ind w:left="851"/>
        <w:rPr>
          <w:sz w:val="24"/>
          <w:szCs w:val="24"/>
        </w:rPr>
      </w:pPr>
      <w:proofErr w:type="spellStart"/>
      <w:r w:rsidRPr="00034AE2">
        <w:rPr>
          <w:sz w:val="24"/>
          <w:szCs w:val="24"/>
        </w:rPr>
        <w:t>Ketoconazol</w:t>
      </w:r>
      <w:proofErr w:type="spellEnd"/>
      <w:r w:rsidRPr="00034AE2">
        <w:rPr>
          <w:sz w:val="24"/>
          <w:szCs w:val="24"/>
        </w:rPr>
        <w:t xml:space="preserve"> kan øge plasmakoncentrationen af </w:t>
      </w:r>
      <w:proofErr w:type="spellStart"/>
      <w:r w:rsidRPr="00034AE2">
        <w:rPr>
          <w:sz w:val="24"/>
          <w:szCs w:val="24"/>
        </w:rPr>
        <w:t>dexamethason</w:t>
      </w:r>
      <w:proofErr w:type="spellEnd"/>
      <w:r w:rsidRPr="00034AE2">
        <w:rPr>
          <w:sz w:val="24"/>
          <w:szCs w:val="24"/>
        </w:rPr>
        <w:t xml:space="preserve"> gennem hæmning af </w:t>
      </w:r>
      <w:r w:rsidRPr="00034AE2">
        <w:rPr>
          <w:sz w:val="24"/>
          <w:szCs w:val="24"/>
        </w:rPr>
        <w:lastRenderedPageBreak/>
        <w:t xml:space="preserve">CYP3A4, men også undertrykke den </w:t>
      </w:r>
      <w:proofErr w:type="spellStart"/>
      <w:r w:rsidRPr="00034AE2">
        <w:rPr>
          <w:sz w:val="24"/>
          <w:szCs w:val="24"/>
        </w:rPr>
        <w:t>adrenale</w:t>
      </w:r>
      <w:proofErr w:type="spellEnd"/>
      <w:r w:rsidRPr="00034AE2">
        <w:rPr>
          <w:sz w:val="24"/>
          <w:szCs w:val="24"/>
        </w:rPr>
        <w:t xml:space="preserve"> </w:t>
      </w:r>
      <w:proofErr w:type="spellStart"/>
      <w:r w:rsidRPr="00034AE2">
        <w:rPr>
          <w:sz w:val="24"/>
          <w:szCs w:val="24"/>
        </w:rPr>
        <w:t>kortikosteroidsyntese</w:t>
      </w:r>
      <w:proofErr w:type="spellEnd"/>
      <w:r w:rsidRPr="00034AE2">
        <w:rPr>
          <w:sz w:val="24"/>
          <w:szCs w:val="24"/>
        </w:rPr>
        <w:t xml:space="preserve"> og bevirke </w:t>
      </w:r>
      <w:proofErr w:type="spellStart"/>
      <w:r w:rsidRPr="00034AE2">
        <w:rPr>
          <w:sz w:val="24"/>
          <w:szCs w:val="24"/>
        </w:rPr>
        <w:t>adrenal</w:t>
      </w:r>
      <w:proofErr w:type="spellEnd"/>
      <w:r w:rsidRPr="00034AE2">
        <w:rPr>
          <w:sz w:val="24"/>
          <w:szCs w:val="24"/>
        </w:rPr>
        <w:t xml:space="preserve"> insufficiens efter </w:t>
      </w:r>
      <w:proofErr w:type="spellStart"/>
      <w:r w:rsidRPr="00034AE2">
        <w:rPr>
          <w:sz w:val="24"/>
          <w:szCs w:val="24"/>
        </w:rPr>
        <w:t>seponering</w:t>
      </w:r>
      <w:proofErr w:type="spellEnd"/>
      <w:r w:rsidRPr="00034AE2">
        <w:rPr>
          <w:sz w:val="24"/>
          <w:szCs w:val="24"/>
        </w:rPr>
        <w:t xml:space="preserve"> af </w:t>
      </w:r>
      <w:proofErr w:type="spellStart"/>
      <w:r w:rsidRPr="00034AE2">
        <w:rPr>
          <w:sz w:val="24"/>
          <w:szCs w:val="24"/>
        </w:rPr>
        <w:t>kortikosteroidbehandling</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Østrogener, herunder orale </w:t>
      </w:r>
      <w:proofErr w:type="spellStart"/>
      <w:r w:rsidRPr="00034AE2">
        <w:rPr>
          <w:sz w:val="24"/>
          <w:szCs w:val="24"/>
        </w:rPr>
        <w:t>kontraceptiva</w:t>
      </w:r>
      <w:proofErr w:type="spellEnd"/>
      <w:r w:rsidRPr="00034AE2">
        <w:rPr>
          <w:sz w:val="24"/>
          <w:szCs w:val="24"/>
        </w:rPr>
        <w:t xml:space="preserve">, kan hæmme metabolismen af visse </w:t>
      </w:r>
      <w:proofErr w:type="spellStart"/>
      <w:r w:rsidRPr="00034AE2">
        <w:rPr>
          <w:sz w:val="24"/>
          <w:szCs w:val="24"/>
        </w:rPr>
        <w:t>kortikosteroider</w:t>
      </w:r>
      <w:proofErr w:type="spellEnd"/>
      <w:r w:rsidRPr="00034AE2">
        <w:rPr>
          <w:sz w:val="24"/>
          <w:szCs w:val="24"/>
        </w:rPr>
        <w:t xml:space="preserve"> og derved øge effekten.</w:t>
      </w:r>
    </w:p>
    <w:p w:rsidR="0050403C" w:rsidRPr="00034AE2" w:rsidRDefault="0050403C" w:rsidP="0050403C">
      <w:pPr>
        <w:widowControl w:val="0"/>
        <w:ind w:left="851"/>
        <w:rPr>
          <w:sz w:val="24"/>
          <w:szCs w:val="24"/>
        </w:rPr>
      </w:pPr>
    </w:p>
    <w:p w:rsidR="0050403C" w:rsidRPr="00034AE2" w:rsidRDefault="0050403C" w:rsidP="0050403C">
      <w:pPr>
        <w:widowControl w:val="0"/>
        <w:ind w:left="851"/>
        <w:rPr>
          <w:sz w:val="24"/>
          <w:szCs w:val="24"/>
          <w:u w:val="single"/>
          <w:lang w:eastAsia="da-DK"/>
        </w:rPr>
      </w:pPr>
      <w:proofErr w:type="spellStart"/>
      <w:r w:rsidRPr="00034AE2">
        <w:rPr>
          <w:sz w:val="24"/>
          <w:szCs w:val="24"/>
          <w:u w:val="single"/>
        </w:rPr>
        <w:t>Dexamethasons</w:t>
      </w:r>
      <w:proofErr w:type="spellEnd"/>
      <w:r w:rsidRPr="00034AE2">
        <w:rPr>
          <w:sz w:val="24"/>
          <w:szCs w:val="24"/>
          <w:u w:val="single"/>
        </w:rPr>
        <w:t xml:space="preserve"> virkning på andre lægemidler</w:t>
      </w:r>
    </w:p>
    <w:p w:rsidR="0050403C" w:rsidRPr="00034AE2" w:rsidRDefault="0050403C" w:rsidP="0050403C">
      <w:pPr>
        <w:widowControl w:val="0"/>
        <w:ind w:left="851"/>
        <w:rPr>
          <w:sz w:val="24"/>
          <w:szCs w:val="24"/>
        </w:rPr>
      </w:pPr>
      <w:proofErr w:type="spellStart"/>
      <w:r w:rsidRPr="00034AE2">
        <w:rPr>
          <w:sz w:val="24"/>
          <w:szCs w:val="24"/>
        </w:rPr>
        <w:t>Dexamethason</w:t>
      </w:r>
      <w:proofErr w:type="spellEnd"/>
      <w:r w:rsidRPr="00034AE2">
        <w:rPr>
          <w:sz w:val="24"/>
          <w:szCs w:val="24"/>
        </w:rPr>
        <w:t xml:space="preserve"> er en moderat CYP3A4-induktor. Administrationen af </w:t>
      </w:r>
      <w:proofErr w:type="spellStart"/>
      <w:r w:rsidRPr="00034AE2">
        <w:rPr>
          <w:sz w:val="24"/>
          <w:szCs w:val="24"/>
        </w:rPr>
        <w:t>dexamthason</w:t>
      </w:r>
      <w:proofErr w:type="spellEnd"/>
      <w:r w:rsidRPr="00034AE2">
        <w:rPr>
          <w:sz w:val="24"/>
          <w:szCs w:val="24"/>
        </w:rPr>
        <w:t xml:space="preserve"> sammen med substanser, der </w:t>
      </w:r>
      <w:proofErr w:type="spellStart"/>
      <w:r w:rsidRPr="00034AE2">
        <w:rPr>
          <w:sz w:val="24"/>
          <w:szCs w:val="24"/>
        </w:rPr>
        <w:t>metaboliseres</w:t>
      </w:r>
      <w:proofErr w:type="spellEnd"/>
      <w:r w:rsidRPr="00034AE2">
        <w:rPr>
          <w:sz w:val="24"/>
          <w:szCs w:val="24"/>
        </w:rPr>
        <w:t xml:space="preserve"> af CYP3A4 kan føre til øget </w:t>
      </w:r>
      <w:proofErr w:type="spellStart"/>
      <w:r w:rsidRPr="00034AE2">
        <w:rPr>
          <w:sz w:val="24"/>
          <w:szCs w:val="24"/>
        </w:rPr>
        <w:t>clearance</w:t>
      </w:r>
      <w:proofErr w:type="spellEnd"/>
      <w:r w:rsidRPr="00034AE2">
        <w:rPr>
          <w:sz w:val="24"/>
          <w:szCs w:val="24"/>
        </w:rPr>
        <w:t xml:space="preserve"> og reducerede plasmakoncentrationer af disse.</w:t>
      </w:r>
    </w:p>
    <w:p w:rsidR="0050403C" w:rsidRPr="00034AE2" w:rsidRDefault="0050403C" w:rsidP="0050403C">
      <w:pPr>
        <w:widowControl w:val="0"/>
        <w:ind w:left="851"/>
        <w:rPr>
          <w:sz w:val="24"/>
          <w:szCs w:val="24"/>
        </w:rPr>
      </w:pPr>
      <w:proofErr w:type="spellStart"/>
      <w:r w:rsidRPr="00034AE2">
        <w:rPr>
          <w:sz w:val="24"/>
          <w:szCs w:val="24"/>
        </w:rPr>
        <w:t>Tuberkulostatika</w:t>
      </w:r>
      <w:proofErr w:type="spellEnd"/>
      <w:r w:rsidRPr="00034AE2">
        <w:rPr>
          <w:sz w:val="24"/>
          <w:szCs w:val="24"/>
        </w:rPr>
        <w:t xml:space="preserve">: </w:t>
      </w:r>
      <w:proofErr w:type="spellStart"/>
      <w:r w:rsidRPr="00034AE2">
        <w:rPr>
          <w:sz w:val="24"/>
          <w:szCs w:val="24"/>
        </w:rPr>
        <w:t>Reducered</w:t>
      </w:r>
      <w:proofErr w:type="spellEnd"/>
      <w:r w:rsidRPr="00034AE2">
        <w:rPr>
          <w:sz w:val="24"/>
          <w:szCs w:val="24"/>
        </w:rPr>
        <w:t xml:space="preserve"> plasmakoncentrationer af </w:t>
      </w:r>
      <w:proofErr w:type="spellStart"/>
      <w:r w:rsidRPr="00034AE2">
        <w:rPr>
          <w:sz w:val="24"/>
          <w:szCs w:val="24"/>
        </w:rPr>
        <w:t>isoniazid</w:t>
      </w:r>
      <w:proofErr w:type="spellEnd"/>
      <w:r w:rsidRPr="00034AE2">
        <w:rPr>
          <w:sz w:val="24"/>
          <w:szCs w:val="24"/>
        </w:rPr>
        <w:t xml:space="preserve"> blev observeret ved samtidig brug af </w:t>
      </w:r>
      <w:proofErr w:type="spellStart"/>
      <w:r w:rsidRPr="00034AE2">
        <w:rPr>
          <w:sz w:val="24"/>
          <w:szCs w:val="24"/>
        </w:rPr>
        <w:t>prednisolon</w:t>
      </w:r>
      <w:proofErr w:type="spellEnd"/>
      <w:r w:rsidRPr="00034AE2">
        <w:rPr>
          <w:sz w:val="24"/>
          <w:szCs w:val="24"/>
        </w:rPr>
        <w:t xml:space="preserve">. Patienter, der tager </w:t>
      </w:r>
      <w:proofErr w:type="spellStart"/>
      <w:r w:rsidRPr="00034AE2">
        <w:rPr>
          <w:sz w:val="24"/>
          <w:szCs w:val="24"/>
        </w:rPr>
        <w:t>isoniazid</w:t>
      </w:r>
      <w:proofErr w:type="spellEnd"/>
      <w:r w:rsidRPr="00034AE2">
        <w:rPr>
          <w:sz w:val="24"/>
          <w:szCs w:val="24"/>
        </w:rPr>
        <w:t>, bør monitoreres nøje.</w:t>
      </w:r>
    </w:p>
    <w:p w:rsidR="0050403C" w:rsidRPr="00034AE2" w:rsidRDefault="0050403C" w:rsidP="0050403C">
      <w:pPr>
        <w:widowControl w:val="0"/>
        <w:ind w:left="851"/>
        <w:rPr>
          <w:sz w:val="24"/>
          <w:szCs w:val="24"/>
        </w:rPr>
      </w:pPr>
      <w:proofErr w:type="spellStart"/>
      <w:r w:rsidRPr="00034AE2">
        <w:rPr>
          <w:sz w:val="24"/>
          <w:szCs w:val="24"/>
        </w:rPr>
        <w:t>Cyklosporin</w:t>
      </w:r>
      <w:proofErr w:type="spellEnd"/>
      <w:r w:rsidRPr="00034AE2">
        <w:rPr>
          <w:sz w:val="24"/>
          <w:szCs w:val="24"/>
        </w:rPr>
        <w:t xml:space="preserve">: Samtidig administration af </w:t>
      </w:r>
      <w:proofErr w:type="spellStart"/>
      <w:r w:rsidRPr="00034AE2">
        <w:rPr>
          <w:sz w:val="24"/>
          <w:szCs w:val="24"/>
        </w:rPr>
        <w:t>cyklosporin</w:t>
      </w:r>
      <w:proofErr w:type="spellEnd"/>
      <w:r w:rsidRPr="00034AE2">
        <w:rPr>
          <w:sz w:val="24"/>
          <w:szCs w:val="24"/>
        </w:rPr>
        <w:t xml:space="preserve"> og </w:t>
      </w:r>
      <w:proofErr w:type="spellStart"/>
      <w:r w:rsidRPr="00034AE2">
        <w:rPr>
          <w:sz w:val="24"/>
          <w:szCs w:val="24"/>
        </w:rPr>
        <w:t>kortikosteroider</w:t>
      </w:r>
      <w:proofErr w:type="spellEnd"/>
      <w:r w:rsidRPr="00034AE2">
        <w:rPr>
          <w:sz w:val="24"/>
          <w:szCs w:val="24"/>
        </w:rPr>
        <w:t xml:space="preserve"> kan føre til en øget effekt af begge stoffer. Der er øget risiko for cerebrale anfald.</w:t>
      </w:r>
    </w:p>
    <w:p w:rsidR="0050403C" w:rsidRPr="00034AE2" w:rsidRDefault="0050403C" w:rsidP="0050403C">
      <w:pPr>
        <w:widowControl w:val="0"/>
        <w:ind w:left="851"/>
        <w:rPr>
          <w:sz w:val="24"/>
          <w:szCs w:val="24"/>
        </w:rPr>
      </w:pPr>
      <w:proofErr w:type="spellStart"/>
      <w:r w:rsidRPr="00034AE2">
        <w:rPr>
          <w:sz w:val="24"/>
          <w:szCs w:val="24"/>
        </w:rPr>
        <w:t>Praziquantel</w:t>
      </w:r>
      <w:proofErr w:type="spellEnd"/>
      <w:r w:rsidRPr="00034AE2">
        <w:rPr>
          <w:sz w:val="24"/>
          <w:szCs w:val="24"/>
        </w:rPr>
        <w:t xml:space="preserve">: Reducerede plasmakoncentrationer af </w:t>
      </w:r>
      <w:proofErr w:type="spellStart"/>
      <w:r w:rsidRPr="00034AE2">
        <w:rPr>
          <w:sz w:val="24"/>
          <w:szCs w:val="24"/>
        </w:rPr>
        <w:t>praziquantel</w:t>
      </w:r>
      <w:proofErr w:type="spellEnd"/>
      <w:r w:rsidRPr="00034AE2">
        <w:rPr>
          <w:sz w:val="24"/>
          <w:szCs w:val="24"/>
        </w:rPr>
        <w:t xml:space="preserve"> giver risiko for terapisvigt pga</w:t>
      </w:r>
      <w:r>
        <w:rPr>
          <w:sz w:val="24"/>
          <w:szCs w:val="24"/>
        </w:rPr>
        <w:t>.</w:t>
      </w:r>
      <w:r w:rsidRPr="00034AE2">
        <w:rPr>
          <w:sz w:val="24"/>
          <w:szCs w:val="24"/>
        </w:rPr>
        <w:t xml:space="preserve"> den øgede </w:t>
      </w:r>
      <w:proofErr w:type="spellStart"/>
      <w:r w:rsidRPr="00034AE2">
        <w:rPr>
          <w:sz w:val="24"/>
          <w:szCs w:val="24"/>
        </w:rPr>
        <w:t>hepatiske</w:t>
      </w:r>
      <w:proofErr w:type="spellEnd"/>
      <w:r w:rsidRPr="00034AE2">
        <w:rPr>
          <w:sz w:val="24"/>
          <w:szCs w:val="24"/>
        </w:rPr>
        <w:t xml:space="preserve"> metabolisme af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 xml:space="preserve">Orale </w:t>
      </w:r>
      <w:proofErr w:type="spellStart"/>
      <w:r w:rsidRPr="00034AE2">
        <w:rPr>
          <w:sz w:val="24"/>
          <w:szCs w:val="24"/>
        </w:rPr>
        <w:t>antikoagulantia</w:t>
      </w:r>
      <w:proofErr w:type="spellEnd"/>
      <w:r w:rsidRPr="00034AE2">
        <w:rPr>
          <w:sz w:val="24"/>
          <w:szCs w:val="24"/>
        </w:rPr>
        <w:t xml:space="preserve"> (</w:t>
      </w:r>
      <w:proofErr w:type="spellStart"/>
      <w:r w:rsidRPr="00034AE2">
        <w:rPr>
          <w:sz w:val="24"/>
          <w:szCs w:val="24"/>
        </w:rPr>
        <w:t>coumarin</w:t>
      </w:r>
      <w:proofErr w:type="spellEnd"/>
      <w:r w:rsidRPr="00034AE2">
        <w:rPr>
          <w:sz w:val="24"/>
          <w:szCs w:val="24"/>
        </w:rPr>
        <w:t xml:space="preserve">): Samtidig behandling med </w:t>
      </w:r>
      <w:proofErr w:type="spellStart"/>
      <w:r w:rsidRPr="00034AE2">
        <w:rPr>
          <w:sz w:val="24"/>
          <w:szCs w:val="24"/>
        </w:rPr>
        <w:t>kortikosteroider</w:t>
      </w:r>
      <w:proofErr w:type="spellEnd"/>
      <w:r w:rsidRPr="00034AE2">
        <w:rPr>
          <w:sz w:val="24"/>
          <w:szCs w:val="24"/>
        </w:rPr>
        <w:t xml:space="preserve"> kan enten styrke eller svække virkningen af orale </w:t>
      </w:r>
      <w:proofErr w:type="spellStart"/>
      <w:r w:rsidRPr="00034AE2">
        <w:rPr>
          <w:sz w:val="24"/>
          <w:szCs w:val="24"/>
        </w:rPr>
        <w:t>antikoagulantia</w:t>
      </w:r>
      <w:proofErr w:type="spellEnd"/>
      <w:r w:rsidRPr="00034AE2">
        <w:rPr>
          <w:sz w:val="24"/>
          <w:szCs w:val="24"/>
        </w:rPr>
        <w:t xml:space="preserve">. I tilfælde af høje doser eller behandling af mere end 10 dages varighed er der risiko for blødning, der er specifik for </w:t>
      </w:r>
      <w:proofErr w:type="spellStart"/>
      <w:r w:rsidRPr="00034AE2">
        <w:rPr>
          <w:sz w:val="24"/>
          <w:szCs w:val="24"/>
        </w:rPr>
        <w:t>kortikosteroidterapi</w:t>
      </w:r>
      <w:proofErr w:type="spellEnd"/>
      <w:r w:rsidRPr="00034AE2">
        <w:rPr>
          <w:sz w:val="24"/>
          <w:szCs w:val="24"/>
        </w:rPr>
        <w:t xml:space="preserve"> (</w:t>
      </w:r>
      <w:proofErr w:type="spellStart"/>
      <w:r w:rsidRPr="00034AE2">
        <w:rPr>
          <w:sz w:val="24"/>
          <w:szCs w:val="24"/>
        </w:rPr>
        <w:t>gastrointestinale</w:t>
      </w:r>
      <w:proofErr w:type="spellEnd"/>
      <w:r w:rsidRPr="00034AE2">
        <w:rPr>
          <w:sz w:val="24"/>
          <w:szCs w:val="24"/>
        </w:rPr>
        <w:t xml:space="preserve"> </w:t>
      </w:r>
      <w:proofErr w:type="spellStart"/>
      <w:r w:rsidRPr="00034AE2">
        <w:rPr>
          <w:sz w:val="24"/>
          <w:szCs w:val="24"/>
        </w:rPr>
        <w:t>mucosa</w:t>
      </w:r>
      <w:proofErr w:type="spellEnd"/>
      <w:r w:rsidRPr="00034AE2">
        <w:rPr>
          <w:sz w:val="24"/>
          <w:szCs w:val="24"/>
        </w:rPr>
        <w:t xml:space="preserve">, </w:t>
      </w:r>
      <w:proofErr w:type="spellStart"/>
      <w:r w:rsidRPr="00034AE2">
        <w:rPr>
          <w:sz w:val="24"/>
          <w:szCs w:val="24"/>
        </w:rPr>
        <w:t>vaskulær</w:t>
      </w:r>
      <w:proofErr w:type="spellEnd"/>
      <w:r w:rsidRPr="00034AE2">
        <w:rPr>
          <w:sz w:val="24"/>
          <w:szCs w:val="24"/>
        </w:rPr>
        <w:t xml:space="preserve"> skrøbelighed). Patienter, der bruger </w:t>
      </w:r>
      <w:proofErr w:type="spellStart"/>
      <w:r w:rsidRPr="00034AE2">
        <w:rPr>
          <w:sz w:val="24"/>
          <w:szCs w:val="24"/>
        </w:rPr>
        <w:t>kortikosteroider</w:t>
      </w:r>
      <w:proofErr w:type="spellEnd"/>
      <w:r w:rsidRPr="00034AE2">
        <w:rPr>
          <w:sz w:val="24"/>
          <w:szCs w:val="24"/>
        </w:rPr>
        <w:t xml:space="preserve"> i kombination med orale </w:t>
      </w:r>
      <w:proofErr w:type="spellStart"/>
      <w:r w:rsidRPr="00034AE2">
        <w:rPr>
          <w:sz w:val="24"/>
          <w:szCs w:val="24"/>
        </w:rPr>
        <w:t>antikoagulantia</w:t>
      </w:r>
      <w:proofErr w:type="spellEnd"/>
      <w:r w:rsidRPr="00034AE2">
        <w:rPr>
          <w:sz w:val="24"/>
          <w:szCs w:val="24"/>
        </w:rPr>
        <w:t xml:space="preserve"> bør følges tæt (kontrol på dag 8 og derefter med 2 ugers mellemrum under og efter behandling).</w:t>
      </w:r>
    </w:p>
    <w:p w:rsidR="0050403C" w:rsidRPr="00034AE2" w:rsidRDefault="0050403C" w:rsidP="0050403C">
      <w:pPr>
        <w:widowControl w:val="0"/>
        <w:ind w:left="851"/>
        <w:rPr>
          <w:sz w:val="24"/>
          <w:szCs w:val="24"/>
        </w:rPr>
      </w:pPr>
      <w:r w:rsidRPr="00034AE2">
        <w:rPr>
          <w:sz w:val="24"/>
          <w:szCs w:val="24"/>
        </w:rPr>
        <w:t xml:space="preserve">Atropin og andre </w:t>
      </w:r>
      <w:proofErr w:type="spellStart"/>
      <w:r w:rsidRPr="00034AE2">
        <w:rPr>
          <w:sz w:val="24"/>
          <w:szCs w:val="24"/>
        </w:rPr>
        <w:t>antikolinerge</w:t>
      </w:r>
      <w:proofErr w:type="spellEnd"/>
      <w:r w:rsidRPr="00034AE2">
        <w:rPr>
          <w:sz w:val="24"/>
          <w:szCs w:val="24"/>
        </w:rPr>
        <w:t xml:space="preserve"> midler: Stigninger af det </w:t>
      </w:r>
      <w:proofErr w:type="spellStart"/>
      <w:r w:rsidRPr="00034AE2">
        <w:rPr>
          <w:sz w:val="24"/>
          <w:szCs w:val="24"/>
        </w:rPr>
        <w:t>intraokulære</w:t>
      </w:r>
      <w:proofErr w:type="spellEnd"/>
      <w:r w:rsidRPr="00034AE2">
        <w:rPr>
          <w:sz w:val="24"/>
          <w:szCs w:val="24"/>
        </w:rPr>
        <w:t xml:space="preserve"> tryk kan ses ved samtidig behandling med </w:t>
      </w:r>
      <w:proofErr w:type="spellStart"/>
      <w:r w:rsidRPr="00034AE2">
        <w:rPr>
          <w:sz w:val="24"/>
          <w:szCs w:val="24"/>
        </w:rPr>
        <w:t>dexamethason</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t>Ikke-</w:t>
      </w:r>
      <w:proofErr w:type="spellStart"/>
      <w:r w:rsidRPr="00034AE2">
        <w:rPr>
          <w:sz w:val="24"/>
          <w:szCs w:val="24"/>
        </w:rPr>
        <w:t>depolariserende</w:t>
      </w:r>
      <w:proofErr w:type="spellEnd"/>
      <w:r w:rsidRPr="00034AE2">
        <w:rPr>
          <w:sz w:val="24"/>
          <w:szCs w:val="24"/>
        </w:rPr>
        <w:t xml:space="preserve"> muskelafslappende midler: Den muskelafslappende virkning kan vare længere.</w:t>
      </w:r>
    </w:p>
    <w:p w:rsidR="0050403C" w:rsidRPr="00034AE2" w:rsidRDefault="0050403C" w:rsidP="0050403C">
      <w:pPr>
        <w:widowControl w:val="0"/>
        <w:ind w:left="851"/>
        <w:rPr>
          <w:sz w:val="24"/>
          <w:szCs w:val="24"/>
        </w:rPr>
      </w:pPr>
      <w:proofErr w:type="spellStart"/>
      <w:r w:rsidRPr="00034AE2">
        <w:rPr>
          <w:sz w:val="24"/>
          <w:szCs w:val="24"/>
        </w:rPr>
        <w:t>Somatotropin</w:t>
      </w:r>
      <w:proofErr w:type="spellEnd"/>
      <w:r w:rsidRPr="00034AE2">
        <w:rPr>
          <w:sz w:val="24"/>
          <w:szCs w:val="24"/>
        </w:rPr>
        <w:t>: effekten af væksthormonet kan blive reduceret.</w:t>
      </w:r>
    </w:p>
    <w:p w:rsidR="0050403C" w:rsidRPr="00034AE2" w:rsidRDefault="0050403C" w:rsidP="0050403C">
      <w:pPr>
        <w:widowControl w:val="0"/>
        <w:ind w:left="851"/>
        <w:rPr>
          <w:sz w:val="24"/>
          <w:szCs w:val="24"/>
        </w:rPr>
      </w:pPr>
      <w:proofErr w:type="spellStart"/>
      <w:r w:rsidRPr="00034AE2">
        <w:rPr>
          <w:sz w:val="24"/>
          <w:szCs w:val="24"/>
        </w:rPr>
        <w:t>Protirelin</w:t>
      </w:r>
      <w:proofErr w:type="spellEnd"/>
      <w:r w:rsidRPr="00034AE2">
        <w:rPr>
          <w:sz w:val="24"/>
          <w:szCs w:val="24"/>
        </w:rPr>
        <w:t xml:space="preserve"> Reduceret stigning i TSH kan bemærkes ved administration af </w:t>
      </w:r>
      <w:proofErr w:type="spellStart"/>
      <w:r w:rsidRPr="00034AE2">
        <w:rPr>
          <w:sz w:val="24"/>
          <w:szCs w:val="24"/>
        </w:rPr>
        <w:t>protirelin</w:t>
      </w:r>
      <w:proofErr w:type="spellEnd"/>
      <w:r w:rsidRPr="00034AE2">
        <w:rPr>
          <w:sz w:val="24"/>
          <w:szCs w:val="24"/>
        </w:rPr>
        <w: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4.6</w:t>
      </w:r>
      <w:r w:rsidRPr="00034AE2">
        <w:rPr>
          <w:b/>
          <w:sz w:val="24"/>
          <w:szCs w:val="24"/>
        </w:rPr>
        <w:tab/>
      </w:r>
      <w:r w:rsidR="00474A35">
        <w:rPr>
          <w:b/>
          <w:sz w:val="24"/>
          <w:szCs w:val="24"/>
        </w:rPr>
        <w:t>Fertilitet, g</w:t>
      </w:r>
      <w:r w:rsidRPr="00034AE2">
        <w:rPr>
          <w:b/>
          <w:sz w:val="24"/>
          <w:szCs w:val="24"/>
        </w:rPr>
        <w:t>raviditet og amning</w:t>
      </w:r>
    </w:p>
    <w:p w:rsidR="0050403C" w:rsidRDefault="0050403C" w:rsidP="0050403C">
      <w:pPr>
        <w:widowControl w:val="0"/>
        <w:autoSpaceDE w:val="0"/>
        <w:autoSpaceDN w:val="0"/>
        <w:adjustRightInd w:val="0"/>
        <w:ind w:left="851" w:hanging="851"/>
        <w:rPr>
          <w:color w:val="000000"/>
          <w:sz w:val="24"/>
          <w:szCs w:val="24"/>
          <w:u w:val="single"/>
        </w:rPr>
      </w:pPr>
    </w:p>
    <w:p w:rsidR="0050403C" w:rsidRPr="00034AE2" w:rsidRDefault="0050403C" w:rsidP="0050403C">
      <w:pPr>
        <w:widowControl w:val="0"/>
        <w:autoSpaceDE w:val="0"/>
        <w:autoSpaceDN w:val="0"/>
        <w:adjustRightInd w:val="0"/>
        <w:ind w:left="851"/>
        <w:rPr>
          <w:color w:val="000000"/>
          <w:sz w:val="24"/>
          <w:szCs w:val="24"/>
          <w:lang w:eastAsia="da-DK"/>
        </w:rPr>
      </w:pPr>
      <w:r w:rsidRPr="00034AE2">
        <w:rPr>
          <w:color w:val="000000"/>
          <w:sz w:val="24"/>
          <w:szCs w:val="24"/>
          <w:u w:val="single"/>
        </w:rPr>
        <w:t>Graviditet</w:t>
      </w:r>
    </w:p>
    <w:p w:rsidR="0050403C" w:rsidRPr="00034AE2" w:rsidRDefault="0050403C" w:rsidP="0050403C">
      <w:pPr>
        <w:widowControl w:val="0"/>
        <w:ind w:left="851"/>
        <w:outlineLvl w:val="0"/>
        <w:rPr>
          <w:sz w:val="24"/>
          <w:szCs w:val="24"/>
        </w:rPr>
      </w:pPr>
      <w:proofErr w:type="spellStart"/>
      <w:r w:rsidRPr="00034AE2">
        <w:rPr>
          <w:sz w:val="24"/>
          <w:szCs w:val="24"/>
        </w:rPr>
        <w:t>Dexamethason</w:t>
      </w:r>
      <w:proofErr w:type="spellEnd"/>
      <w:r w:rsidRPr="00034AE2">
        <w:rPr>
          <w:sz w:val="24"/>
          <w:szCs w:val="24"/>
        </w:rPr>
        <w:t xml:space="preserve"> krydser placenta. Administration af </w:t>
      </w:r>
      <w:proofErr w:type="spellStart"/>
      <w:r w:rsidRPr="00034AE2">
        <w:rPr>
          <w:sz w:val="24"/>
          <w:szCs w:val="24"/>
        </w:rPr>
        <w:t>kortikosterioder</w:t>
      </w:r>
      <w:proofErr w:type="spellEnd"/>
      <w:r w:rsidRPr="00034AE2">
        <w:rPr>
          <w:sz w:val="24"/>
          <w:szCs w:val="24"/>
        </w:rPr>
        <w:t xml:space="preserve"> til drægtige dyr kan føre til </w:t>
      </w:r>
      <w:proofErr w:type="spellStart"/>
      <w:r w:rsidRPr="00034AE2">
        <w:rPr>
          <w:sz w:val="24"/>
          <w:szCs w:val="24"/>
        </w:rPr>
        <w:t>abnormaliteter</w:t>
      </w:r>
      <w:proofErr w:type="spellEnd"/>
      <w:r w:rsidRPr="00034AE2">
        <w:rPr>
          <w:sz w:val="24"/>
          <w:szCs w:val="24"/>
        </w:rPr>
        <w:t xml:space="preserve"> i fosterudvikling, herunder ganespalte, hæmning af intrauterin vækst og effekter på hjernens vækst og udvikling. Der er ikke evidens for, at </w:t>
      </w:r>
      <w:proofErr w:type="spellStart"/>
      <w:r w:rsidRPr="00034AE2">
        <w:rPr>
          <w:sz w:val="24"/>
          <w:szCs w:val="24"/>
        </w:rPr>
        <w:t>kortikosteroider</w:t>
      </w:r>
      <w:proofErr w:type="spellEnd"/>
      <w:r w:rsidRPr="00034AE2">
        <w:rPr>
          <w:sz w:val="24"/>
          <w:szCs w:val="24"/>
        </w:rPr>
        <w:t xml:space="preserve"> resulterer i øget forekomst af medfødte </w:t>
      </w:r>
      <w:proofErr w:type="spellStart"/>
      <w:r w:rsidRPr="00034AE2">
        <w:rPr>
          <w:sz w:val="24"/>
          <w:szCs w:val="24"/>
        </w:rPr>
        <w:t>abnormaliteter</w:t>
      </w:r>
      <w:proofErr w:type="spellEnd"/>
      <w:r w:rsidRPr="00034AE2">
        <w:rPr>
          <w:sz w:val="24"/>
          <w:szCs w:val="24"/>
        </w:rPr>
        <w:t xml:space="preserve">, såsom gane-/læbespalte, hos mennesker (se </w:t>
      </w:r>
      <w:r>
        <w:rPr>
          <w:sz w:val="24"/>
          <w:szCs w:val="24"/>
        </w:rPr>
        <w:t>pkt.</w:t>
      </w:r>
      <w:r w:rsidRPr="00034AE2">
        <w:rPr>
          <w:sz w:val="24"/>
          <w:szCs w:val="24"/>
        </w:rPr>
        <w:t xml:space="preserve"> 5.3). Langvarig eller gentagen behandling med </w:t>
      </w:r>
      <w:proofErr w:type="spellStart"/>
      <w:r w:rsidRPr="00034AE2">
        <w:rPr>
          <w:sz w:val="24"/>
          <w:szCs w:val="24"/>
        </w:rPr>
        <w:t>kortikosteroider</w:t>
      </w:r>
      <w:proofErr w:type="spellEnd"/>
      <w:r w:rsidRPr="00034AE2">
        <w:rPr>
          <w:sz w:val="24"/>
          <w:szCs w:val="24"/>
        </w:rPr>
        <w:t xml:space="preserve"> under graviditet øger risikoen for intrauterin væksthæmning. Hos nyfødte eksponerede for </w:t>
      </w:r>
      <w:proofErr w:type="spellStart"/>
      <w:r w:rsidRPr="00034AE2">
        <w:rPr>
          <w:sz w:val="24"/>
          <w:szCs w:val="24"/>
        </w:rPr>
        <w:t>kortikosteroider</w:t>
      </w:r>
      <w:proofErr w:type="spellEnd"/>
      <w:r w:rsidRPr="00034AE2">
        <w:rPr>
          <w:sz w:val="24"/>
          <w:szCs w:val="24"/>
        </w:rPr>
        <w:t xml:space="preserve"> i den prænatale periode er der en øget risiko for </w:t>
      </w:r>
      <w:proofErr w:type="spellStart"/>
      <w:r w:rsidRPr="00034AE2">
        <w:rPr>
          <w:sz w:val="24"/>
          <w:szCs w:val="24"/>
        </w:rPr>
        <w:t>adrenal</w:t>
      </w:r>
      <w:proofErr w:type="spellEnd"/>
      <w:r w:rsidRPr="00034AE2">
        <w:rPr>
          <w:sz w:val="24"/>
          <w:szCs w:val="24"/>
        </w:rPr>
        <w:t xml:space="preserve"> insufficiens, som under normale omstændigheder gennemgår spontan </w:t>
      </w:r>
      <w:proofErr w:type="spellStart"/>
      <w:r w:rsidRPr="00034AE2">
        <w:rPr>
          <w:sz w:val="24"/>
          <w:szCs w:val="24"/>
        </w:rPr>
        <w:t>postnatal</w:t>
      </w:r>
      <w:proofErr w:type="spellEnd"/>
      <w:r w:rsidRPr="00034AE2">
        <w:rPr>
          <w:sz w:val="24"/>
          <w:szCs w:val="24"/>
        </w:rPr>
        <w:t xml:space="preserve"> regression, og sjældent er af klinisk betydning. </w:t>
      </w:r>
      <w:proofErr w:type="spellStart"/>
      <w:r w:rsidRPr="00034AE2">
        <w:rPr>
          <w:sz w:val="24"/>
          <w:szCs w:val="24"/>
        </w:rPr>
        <w:t>Dexamethason</w:t>
      </w:r>
      <w:proofErr w:type="spellEnd"/>
      <w:r w:rsidRPr="00034AE2">
        <w:rPr>
          <w:sz w:val="24"/>
          <w:szCs w:val="24"/>
        </w:rPr>
        <w:t xml:space="preserve"> bør kun ordineres under graviditet, og særligt i første trimester, hvis den gunstige virkning opvejer de tilstedeværende risici for mor og barn.</w:t>
      </w:r>
    </w:p>
    <w:p w:rsidR="0050403C" w:rsidRPr="00034AE2" w:rsidRDefault="0050403C" w:rsidP="0050403C">
      <w:pPr>
        <w:widowControl w:val="0"/>
        <w:ind w:left="851" w:hanging="851"/>
        <w:outlineLvl w:val="0"/>
        <w:rPr>
          <w:sz w:val="24"/>
          <w:szCs w:val="24"/>
        </w:rPr>
      </w:pPr>
    </w:p>
    <w:p w:rsidR="0050403C" w:rsidRPr="00034AE2" w:rsidRDefault="0050403C" w:rsidP="0050403C">
      <w:pPr>
        <w:widowControl w:val="0"/>
        <w:autoSpaceDE w:val="0"/>
        <w:autoSpaceDN w:val="0"/>
        <w:adjustRightInd w:val="0"/>
        <w:ind w:left="851"/>
        <w:rPr>
          <w:color w:val="000000"/>
          <w:sz w:val="24"/>
          <w:szCs w:val="24"/>
          <w:u w:val="single"/>
          <w:lang w:eastAsia="da-DK"/>
        </w:rPr>
      </w:pPr>
      <w:r w:rsidRPr="00034AE2">
        <w:rPr>
          <w:color w:val="000000"/>
          <w:sz w:val="24"/>
          <w:szCs w:val="24"/>
          <w:u w:val="single"/>
        </w:rPr>
        <w:t>Amning</w:t>
      </w:r>
    </w:p>
    <w:p w:rsidR="0050403C" w:rsidRPr="00034AE2" w:rsidRDefault="0050403C" w:rsidP="0050403C">
      <w:pPr>
        <w:widowControl w:val="0"/>
        <w:ind w:left="851"/>
        <w:rPr>
          <w:sz w:val="24"/>
          <w:szCs w:val="24"/>
        </w:rPr>
      </w:pPr>
      <w:proofErr w:type="spellStart"/>
      <w:r w:rsidRPr="00034AE2">
        <w:rPr>
          <w:sz w:val="24"/>
          <w:szCs w:val="24"/>
        </w:rPr>
        <w:t>Glukokortikoider</w:t>
      </w:r>
      <w:proofErr w:type="spellEnd"/>
      <w:r w:rsidRPr="00034AE2">
        <w:rPr>
          <w:sz w:val="24"/>
          <w:szCs w:val="24"/>
        </w:rPr>
        <w:t xml:space="preserve"> udskilles i modermælken. Der foreligger utilstrækkelig information om udskillelsen af </w:t>
      </w:r>
      <w:proofErr w:type="spellStart"/>
      <w:r w:rsidRPr="00034AE2">
        <w:rPr>
          <w:sz w:val="24"/>
          <w:szCs w:val="24"/>
        </w:rPr>
        <w:t>dexamethason</w:t>
      </w:r>
      <w:proofErr w:type="spellEnd"/>
      <w:r w:rsidRPr="00034AE2">
        <w:rPr>
          <w:sz w:val="24"/>
          <w:szCs w:val="24"/>
        </w:rPr>
        <w:t xml:space="preserve"> i modermælk. En risiko for nyfødte/spædbørn kan ikke udelukkes. Spædbørn med mødre, der tager høje doser systemiske </w:t>
      </w:r>
      <w:proofErr w:type="spellStart"/>
      <w:r w:rsidRPr="00034AE2">
        <w:rPr>
          <w:sz w:val="24"/>
          <w:szCs w:val="24"/>
        </w:rPr>
        <w:t>kortikosteroider</w:t>
      </w:r>
      <w:proofErr w:type="spellEnd"/>
      <w:r w:rsidRPr="00034AE2">
        <w:rPr>
          <w:sz w:val="24"/>
          <w:szCs w:val="24"/>
        </w:rPr>
        <w:t xml:space="preserve"> i længere perioder, kan have en vis grad af </w:t>
      </w:r>
      <w:proofErr w:type="spellStart"/>
      <w:r w:rsidRPr="00034AE2">
        <w:rPr>
          <w:sz w:val="24"/>
          <w:szCs w:val="24"/>
        </w:rPr>
        <w:t>adrenal</w:t>
      </w:r>
      <w:proofErr w:type="spellEnd"/>
      <w:r w:rsidRPr="00034AE2">
        <w:rPr>
          <w:sz w:val="24"/>
          <w:szCs w:val="24"/>
        </w:rPr>
        <w:t xml:space="preserve"> insufficiens.</w:t>
      </w:r>
    </w:p>
    <w:p w:rsidR="0050403C" w:rsidRPr="00034AE2" w:rsidRDefault="0050403C" w:rsidP="0050403C">
      <w:pPr>
        <w:widowControl w:val="0"/>
        <w:ind w:left="851"/>
        <w:rPr>
          <w:sz w:val="24"/>
          <w:szCs w:val="24"/>
        </w:rPr>
      </w:pPr>
      <w:r w:rsidRPr="00034AE2">
        <w:rPr>
          <w:sz w:val="24"/>
          <w:szCs w:val="24"/>
        </w:rPr>
        <w:t xml:space="preserve">Beslutningen om enten at afslutte/fortsætte amning eller at fortsætte/seponere behandling med </w:t>
      </w:r>
      <w:proofErr w:type="spellStart"/>
      <w:r w:rsidRPr="00034AE2">
        <w:rPr>
          <w:sz w:val="24"/>
          <w:szCs w:val="24"/>
        </w:rPr>
        <w:t>dexamethason</w:t>
      </w:r>
      <w:proofErr w:type="spellEnd"/>
      <w:r w:rsidRPr="00034AE2">
        <w:rPr>
          <w:sz w:val="24"/>
          <w:szCs w:val="24"/>
        </w:rPr>
        <w:t xml:space="preserve"> bør tages ved at opgøre fordelen ved amning af barnet over</w:t>
      </w:r>
      <w:r>
        <w:rPr>
          <w:sz w:val="24"/>
          <w:szCs w:val="24"/>
        </w:rPr>
        <w:t xml:space="preserve"> </w:t>
      </w:r>
      <w:r w:rsidRPr="00034AE2">
        <w:rPr>
          <w:sz w:val="24"/>
          <w:szCs w:val="24"/>
        </w:rPr>
        <w:t xml:space="preserve">for fordelen af </w:t>
      </w:r>
      <w:proofErr w:type="spellStart"/>
      <w:r w:rsidRPr="00034AE2">
        <w:rPr>
          <w:sz w:val="24"/>
          <w:szCs w:val="24"/>
        </w:rPr>
        <w:t>dexamthasonbehandlingen</w:t>
      </w:r>
      <w:proofErr w:type="spellEnd"/>
      <w:r w:rsidRPr="00034AE2">
        <w:rPr>
          <w:sz w:val="24"/>
          <w:szCs w:val="24"/>
        </w:rPr>
        <w:t xml:space="preserve"> for kvinden.</w:t>
      </w:r>
    </w:p>
    <w:p w:rsidR="0050403C" w:rsidRPr="00034AE2" w:rsidRDefault="0050403C" w:rsidP="0050403C">
      <w:pPr>
        <w:widowControl w:val="0"/>
        <w:ind w:left="851" w:hanging="851"/>
        <w:rPr>
          <w:sz w:val="24"/>
          <w:szCs w:val="24"/>
        </w:rPr>
      </w:pPr>
    </w:p>
    <w:p w:rsidR="0050403C" w:rsidRPr="00034AE2" w:rsidRDefault="0050403C" w:rsidP="0050403C">
      <w:pPr>
        <w:widowControl w:val="0"/>
        <w:autoSpaceDE w:val="0"/>
        <w:autoSpaceDN w:val="0"/>
        <w:adjustRightInd w:val="0"/>
        <w:ind w:left="851"/>
        <w:rPr>
          <w:color w:val="000000"/>
          <w:sz w:val="24"/>
          <w:szCs w:val="24"/>
          <w:u w:val="single"/>
          <w:lang w:eastAsia="da-DK"/>
        </w:rPr>
      </w:pPr>
      <w:r w:rsidRPr="00034AE2">
        <w:rPr>
          <w:color w:val="000000"/>
          <w:sz w:val="24"/>
          <w:szCs w:val="24"/>
          <w:u w:val="single"/>
        </w:rPr>
        <w:lastRenderedPageBreak/>
        <w:t>Fertilitet</w:t>
      </w:r>
    </w:p>
    <w:p w:rsidR="0050403C" w:rsidRPr="00034AE2" w:rsidRDefault="0050403C" w:rsidP="0050403C">
      <w:pPr>
        <w:widowControl w:val="0"/>
        <w:autoSpaceDE w:val="0"/>
        <w:autoSpaceDN w:val="0"/>
        <w:adjustRightInd w:val="0"/>
        <w:ind w:left="851"/>
        <w:rPr>
          <w:snapToGrid w:val="0"/>
          <w:sz w:val="24"/>
          <w:szCs w:val="24"/>
        </w:rPr>
      </w:pPr>
      <w:proofErr w:type="spellStart"/>
      <w:r w:rsidRPr="00034AE2">
        <w:rPr>
          <w:snapToGrid w:val="0"/>
          <w:sz w:val="24"/>
          <w:szCs w:val="24"/>
        </w:rPr>
        <w:t>Dexamethason</w:t>
      </w:r>
      <w:proofErr w:type="spellEnd"/>
      <w:r w:rsidRPr="00034AE2">
        <w:rPr>
          <w:snapToGrid w:val="0"/>
          <w:sz w:val="24"/>
          <w:szCs w:val="24"/>
        </w:rPr>
        <w:t xml:space="preserve"> sænker biosyntesen af testosteron og den endogene sekretion af ACTH, hvilket har en effekt på </w:t>
      </w:r>
      <w:proofErr w:type="spellStart"/>
      <w:r w:rsidRPr="00034AE2">
        <w:rPr>
          <w:snapToGrid w:val="0"/>
          <w:sz w:val="24"/>
          <w:szCs w:val="24"/>
        </w:rPr>
        <w:t>spermatogenesen</w:t>
      </w:r>
      <w:proofErr w:type="spellEnd"/>
      <w:r w:rsidRPr="00034AE2">
        <w:rPr>
          <w:snapToGrid w:val="0"/>
          <w:sz w:val="24"/>
          <w:szCs w:val="24"/>
        </w:rPr>
        <w:t xml:space="preserve"> og ovariecyklus.</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4.7</w:t>
      </w:r>
      <w:r w:rsidRPr="00034AE2">
        <w:rPr>
          <w:b/>
          <w:sz w:val="24"/>
          <w:szCs w:val="24"/>
        </w:rPr>
        <w:tab/>
        <w:t xml:space="preserve">Virkning på evnen til at føre motorkøretøj </w:t>
      </w:r>
      <w:r w:rsidR="00474A35">
        <w:rPr>
          <w:b/>
          <w:sz w:val="24"/>
          <w:szCs w:val="24"/>
        </w:rPr>
        <w:t>og</w:t>
      </w:r>
      <w:r w:rsidRPr="00034AE2">
        <w:rPr>
          <w:b/>
          <w:sz w:val="24"/>
          <w:szCs w:val="24"/>
        </w:rPr>
        <w:t xml:space="preserve"> betjene maskiner</w:t>
      </w:r>
    </w:p>
    <w:p w:rsidR="0050403C" w:rsidRDefault="0050403C" w:rsidP="0050403C">
      <w:pPr>
        <w:widowControl w:val="0"/>
        <w:ind w:left="851"/>
        <w:rPr>
          <w:sz w:val="24"/>
          <w:szCs w:val="24"/>
        </w:rPr>
      </w:pPr>
      <w:r>
        <w:rPr>
          <w:sz w:val="24"/>
          <w:szCs w:val="24"/>
        </w:rPr>
        <w:t>Ikke mærkning.</w:t>
      </w:r>
    </w:p>
    <w:p w:rsidR="0050403C" w:rsidRPr="00034AE2" w:rsidRDefault="0050403C" w:rsidP="00761175">
      <w:pPr>
        <w:ind w:left="851"/>
        <w:rPr>
          <w:sz w:val="24"/>
          <w:szCs w:val="24"/>
          <w:lang w:eastAsia="da-DK"/>
        </w:rPr>
      </w:pPr>
      <w:r w:rsidRPr="00034AE2">
        <w:rPr>
          <w:sz w:val="24"/>
          <w:szCs w:val="24"/>
        </w:rPr>
        <w:t>Der er ikke foretaget studier af virkningen på evnen til at føre motorkøretøj og betjene maskiner.</w:t>
      </w:r>
    </w:p>
    <w:p w:rsidR="0050403C" w:rsidRPr="00034AE2" w:rsidRDefault="0050403C" w:rsidP="0050403C">
      <w:pPr>
        <w:widowControl w:val="0"/>
        <w:ind w:left="851"/>
        <w:rPr>
          <w:sz w:val="24"/>
          <w:szCs w:val="24"/>
        </w:rPr>
      </w:pPr>
      <w:proofErr w:type="spellStart"/>
      <w:r w:rsidRPr="00034AE2">
        <w:rPr>
          <w:sz w:val="24"/>
          <w:szCs w:val="24"/>
        </w:rPr>
        <w:t>Dexamethason</w:t>
      </w:r>
      <w:proofErr w:type="spellEnd"/>
      <w:r w:rsidRPr="00034AE2">
        <w:rPr>
          <w:sz w:val="24"/>
          <w:szCs w:val="24"/>
        </w:rPr>
        <w:t xml:space="preserve"> kan forårsage konfusion, hallucinationer, svimmelhed, </w:t>
      </w:r>
      <w:proofErr w:type="spellStart"/>
      <w:r w:rsidRPr="00034AE2">
        <w:rPr>
          <w:sz w:val="24"/>
          <w:szCs w:val="24"/>
        </w:rPr>
        <w:t>somnolens</w:t>
      </w:r>
      <w:proofErr w:type="spellEnd"/>
      <w:r w:rsidRPr="00034AE2">
        <w:rPr>
          <w:sz w:val="24"/>
          <w:szCs w:val="24"/>
        </w:rPr>
        <w:t xml:space="preserve">, træthed, synkope og </w:t>
      </w:r>
      <w:proofErr w:type="spellStart"/>
      <w:r w:rsidRPr="00034AE2">
        <w:rPr>
          <w:sz w:val="24"/>
          <w:szCs w:val="24"/>
        </w:rPr>
        <w:t>slørret</w:t>
      </w:r>
      <w:proofErr w:type="spellEnd"/>
      <w:r w:rsidRPr="00034AE2">
        <w:rPr>
          <w:sz w:val="24"/>
          <w:szCs w:val="24"/>
        </w:rPr>
        <w:t xml:space="preserve"> syn (se </w:t>
      </w:r>
      <w:r>
        <w:rPr>
          <w:sz w:val="24"/>
          <w:szCs w:val="24"/>
        </w:rPr>
        <w:t>pkt.</w:t>
      </w:r>
      <w:r w:rsidRPr="00034AE2">
        <w:rPr>
          <w:sz w:val="24"/>
          <w:szCs w:val="24"/>
        </w:rPr>
        <w:t xml:space="preserve"> 4.8). Hvis påvirkede, skal patienter instrueres i ikke at køre bil, betjene maskiner eller tage del i farlige aktiviteter mens de er i behandling med </w:t>
      </w:r>
      <w:proofErr w:type="spellStart"/>
      <w:r w:rsidRPr="00034AE2">
        <w:rPr>
          <w:sz w:val="24"/>
          <w:szCs w:val="24"/>
        </w:rPr>
        <w:t>dexamethason</w:t>
      </w:r>
      <w:proofErr w:type="spellEnd"/>
      <w:r w:rsidRPr="00034AE2">
        <w:rPr>
          <w:sz w:val="24"/>
          <w:szCs w:val="24"/>
        </w:rPr>
        <w: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4.8</w:t>
      </w:r>
      <w:r w:rsidRPr="00034AE2">
        <w:rPr>
          <w:b/>
          <w:sz w:val="24"/>
          <w:szCs w:val="24"/>
        </w:rPr>
        <w:tab/>
        <w:t>Bivirkninger</w:t>
      </w:r>
    </w:p>
    <w:p w:rsidR="0050403C" w:rsidRDefault="0050403C" w:rsidP="0050403C">
      <w:pPr>
        <w:widowControl w:val="0"/>
        <w:ind w:left="851" w:hanging="851"/>
        <w:rPr>
          <w:iCs/>
          <w:sz w:val="24"/>
          <w:szCs w:val="24"/>
          <w:u w:val="single"/>
        </w:rPr>
      </w:pPr>
    </w:p>
    <w:p w:rsidR="00761175" w:rsidRPr="00034AE2" w:rsidRDefault="00761175" w:rsidP="00761175">
      <w:pPr>
        <w:widowControl w:val="0"/>
        <w:ind w:left="851"/>
        <w:rPr>
          <w:iCs/>
          <w:sz w:val="24"/>
          <w:szCs w:val="24"/>
          <w:u w:val="single"/>
          <w:lang w:eastAsia="da-DK"/>
        </w:rPr>
      </w:pPr>
      <w:r w:rsidRPr="00034AE2">
        <w:rPr>
          <w:iCs/>
          <w:sz w:val="24"/>
          <w:szCs w:val="24"/>
          <w:u w:val="single"/>
        </w:rPr>
        <w:t>Sammendrag af sikkerhedsprofilen</w:t>
      </w:r>
    </w:p>
    <w:p w:rsidR="00761175" w:rsidRPr="00034AE2" w:rsidRDefault="00761175" w:rsidP="00761175">
      <w:pPr>
        <w:widowControl w:val="0"/>
        <w:ind w:left="851"/>
        <w:rPr>
          <w:iCs/>
          <w:sz w:val="24"/>
          <w:szCs w:val="24"/>
        </w:rPr>
      </w:pPr>
      <w:proofErr w:type="spellStart"/>
      <w:r w:rsidRPr="00034AE2">
        <w:rPr>
          <w:iCs/>
          <w:sz w:val="24"/>
          <w:szCs w:val="24"/>
        </w:rPr>
        <w:t>Incidensen</w:t>
      </w:r>
      <w:proofErr w:type="spellEnd"/>
      <w:r w:rsidRPr="00034AE2">
        <w:rPr>
          <w:iCs/>
          <w:sz w:val="24"/>
          <w:szCs w:val="24"/>
        </w:rPr>
        <w:t xml:space="preserve"> af de forventede bivirkninger korrelerer med den relative styrke af stoffet, dosis, tid på dagen af administrationen og behandlingens varighed. Ved kortvarig behandling, der efterlever anbefalingerne for dosis og tæt monitorering af patienterne, er risikoen for bivirkninger lav.</w:t>
      </w:r>
    </w:p>
    <w:p w:rsidR="00761175" w:rsidRPr="00034AE2" w:rsidRDefault="00761175" w:rsidP="00761175">
      <w:pPr>
        <w:widowControl w:val="0"/>
        <w:ind w:left="851"/>
        <w:rPr>
          <w:sz w:val="24"/>
          <w:szCs w:val="24"/>
        </w:rPr>
      </w:pPr>
    </w:p>
    <w:p w:rsidR="00761175" w:rsidRPr="00034AE2" w:rsidRDefault="00761175" w:rsidP="00761175">
      <w:pPr>
        <w:widowControl w:val="0"/>
        <w:ind w:left="851"/>
        <w:rPr>
          <w:sz w:val="24"/>
          <w:szCs w:val="24"/>
          <w:lang w:eastAsia="da-DK"/>
        </w:rPr>
      </w:pPr>
      <w:r w:rsidRPr="00034AE2">
        <w:rPr>
          <w:sz w:val="24"/>
          <w:szCs w:val="24"/>
        </w:rPr>
        <w:t xml:space="preserve">De almindelige bivirkninger ved kortvarig </w:t>
      </w:r>
      <w:proofErr w:type="spellStart"/>
      <w:r w:rsidRPr="00034AE2">
        <w:rPr>
          <w:sz w:val="24"/>
          <w:szCs w:val="24"/>
        </w:rPr>
        <w:t>dexamethasonbehandling</w:t>
      </w:r>
      <w:proofErr w:type="spellEnd"/>
      <w:r w:rsidRPr="00034AE2">
        <w:rPr>
          <w:sz w:val="24"/>
          <w:szCs w:val="24"/>
        </w:rPr>
        <w:t xml:space="preserve"> (dage/uger) inkluderer vægtøgning, psykologiske lidelser, </w:t>
      </w:r>
      <w:proofErr w:type="spellStart"/>
      <w:r w:rsidRPr="00034AE2">
        <w:rPr>
          <w:sz w:val="24"/>
          <w:szCs w:val="24"/>
        </w:rPr>
        <w:t>glucoseintolerans</w:t>
      </w:r>
      <w:proofErr w:type="spellEnd"/>
      <w:r w:rsidRPr="00034AE2">
        <w:rPr>
          <w:sz w:val="24"/>
          <w:szCs w:val="24"/>
        </w:rPr>
        <w:t xml:space="preserve"> og forbigående </w:t>
      </w:r>
      <w:proofErr w:type="spellStart"/>
      <w:r w:rsidRPr="00034AE2">
        <w:rPr>
          <w:sz w:val="24"/>
          <w:szCs w:val="24"/>
        </w:rPr>
        <w:t>adrenokortikal</w:t>
      </w:r>
      <w:proofErr w:type="spellEnd"/>
      <w:r w:rsidRPr="00034AE2">
        <w:rPr>
          <w:sz w:val="24"/>
          <w:szCs w:val="24"/>
        </w:rPr>
        <w:t xml:space="preserve"> insufficiens. Længerevarende behandling med </w:t>
      </w:r>
      <w:proofErr w:type="spellStart"/>
      <w:r w:rsidRPr="00034AE2">
        <w:rPr>
          <w:sz w:val="24"/>
          <w:szCs w:val="24"/>
        </w:rPr>
        <w:t>dexamethason</w:t>
      </w:r>
      <w:proofErr w:type="spellEnd"/>
      <w:r w:rsidRPr="00034AE2">
        <w:rPr>
          <w:sz w:val="24"/>
          <w:szCs w:val="24"/>
        </w:rPr>
        <w:t xml:space="preserve"> (måneder/år) fører sædvanligvis til central fedme, skrøbelig hud, muskelatrofi, osteoporose, væksthæmning og langvarig </w:t>
      </w:r>
      <w:proofErr w:type="spellStart"/>
      <w:r w:rsidRPr="00034AE2">
        <w:rPr>
          <w:sz w:val="24"/>
          <w:szCs w:val="24"/>
        </w:rPr>
        <w:t>adrenal</w:t>
      </w:r>
      <w:proofErr w:type="spellEnd"/>
      <w:r w:rsidRPr="00034AE2">
        <w:rPr>
          <w:sz w:val="24"/>
          <w:szCs w:val="24"/>
        </w:rPr>
        <w:t xml:space="preserve"> </w:t>
      </w:r>
      <w:proofErr w:type="spellStart"/>
      <w:r w:rsidRPr="00034AE2">
        <w:rPr>
          <w:sz w:val="24"/>
          <w:szCs w:val="24"/>
        </w:rPr>
        <w:t>insuffuciens</w:t>
      </w:r>
      <w:proofErr w:type="spellEnd"/>
      <w:r w:rsidRPr="00034AE2">
        <w:rPr>
          <w:sz w:val="24"/>
          <w:szCs w:val="24"/>
        </w:rPr>
        <w:t xml:space="preserve"> (se også pkt</w:t>
      </w:r>
      <w:r>
        <w:rPr>
          <w:sz w:val="24"/>
          <w:szCs w:val="24"/>
        </w:rPr>
        <w:t>.</w:t>
      </w:r>
      <w:r w:rsidRPr="00034AE2">
        <w:rPr>
          <w:sz w:val="24"/>
          <w:szCs w:val="24"/>
        </w:rPr>
        <w:t xml:space="preserve"> 4.4)</w:t>
      </w:r>
      <w:r>
        <w:rPr>
          <w:sz w:val="24"/>
          <w:szCs w:val="24"/>
        </w:rPr>
        <w:t>.</w:t>
      </w:r>
    </w:p>
    <w:p w:rsidR="00761175" w:rsidRPr="00034AE2" w:rsidRDefault="00761175" w:rsidP="00761175">
      <w:pPr>
        <w:widowControl w:val="0"/>
        <w:ind w:left="851"/>
        <w:rPr>
          <w:sz w:val="24"/>
          <w:szCs w:val="24"/>
          <w:lang w:val="sv-SE"/>
        </w:rPr>
      </w:pPr>
    </w:p>
    <w:p w:rsidR="00761175" w:rsidRPr="00034AE2" w:rsidRDefault="00761175" w:rsidP="00761175">
      <w:pPr>
        <w:widowControl w:val="0"/>
        <w:ind w:left="851"/>
        <w:rPr>
          <w:sz w:val="24"/>
          <w:szCs w:val="24"/>
          <w:u w:val="single"/>
          <w:lang w:eastAsia="da-DK"/>
        </w:rPr>
      </w:pPr>
      <w:r w:rsidRPr="00034AE2">
        <w:rPr>
          <w:sz w:val="24"/>
          <w:szCs w:val="24"/>
          <w:u w:val="single"/>
        </w:rPr>
        <w:t>Oversigt over bivirkninger i tabelform</w:t>
      </w:r>
    </w:p>
    <w:p w:rsidR="00761175" w:rsidRPr="00034AE2" w:rsidRDefault="00761175" w:rsidP="00761175">
      <w:pPr>
        <w:widowControl w:val="0"/>
        <w:ind w:left="851" w:hanging="851"/>
        <w:rPr>
          <w:sz w:val="24"/>
          <w:szCs w:val="24"/>
          <w:lang w:val="sv-S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6197"/>
      </w:tblGrid>
      <w:tr w:rsidR="00761175" w:rsidRPr="00C52FA2" w:rsidTr="000F3021">
        <w:tc>
          <w:tcPr>
            <w:tcW w:w="1782" w:type="pct"/>
            <w:tcBorders>
              <w:top w:val="single" w:sz="4" w:space="0" w:color="auto"/>
              <w:left w:val="single" w:sz="4" w:space="0" w:color="auto"/>
              <w:bottom w:val="single" w:sz="4" w:space="0" w:color="auto"/>
              <w:right w:val="single" w:sz="4" w:space="0" w:color="auto"/>
            </w:tcBorders>
          </w:tcPr>
          <w:p w:rsidR="00761175" w:rsidRPr="00C52FA2" w:rsidRDefault="00761175" w:rsidP="000F3021">
            <w:pPr>
              <w:rPr>
                <w:sz w:val="24"/>
                <w:szCs w:val="24"/>
                <w:lang w:val="sv-SE" w:eastAsia="da-DK"/>
              </w:rPr>
            </w:pP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Ikke kendt</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Infektioner og parasitære sygdomme</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Øget modtagelighed overfor, eller forværring af, (latente) infektioner* (herunder blodforgiftning, tuberkulose, øjeinfektioner, skoldkopper, mæslinger, svampe- og virusinfektioner) med maskering af kliniske symptomer, opportunistiske infektioner</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Blod og lymfesystemet</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Leukocytose, </w:t>
            </w:r>
            <w:proofErr w:type="spellStart"/>
            <w:r w:rsidRPr="00C52FA2">
              <w:rPr>
                <w:sz w:val="24"/>
                <w:szCs w:val="24"/>
              </w:rPr>
              <w:t>lymfopæni</w:t>
            </w:r>
            <w:proofErr w:type="spellEnd"/>
            <w:r w:rsidRPr="00C52FA2">
              <w:rPr>
                <w:sz w:val="24"/>
                <w:szCs w:val="24"/>
              </w:rPr>
              <w:t xml:space="preserve">, </w:t>
            </w:r>
            <w:proofErr w:type="spellStart"/>
            <w:r w:rsidRPr="00C52FA2">
              <w:rPr>
                <w:sz w:val="24"/>
                <w:szCs w:val="24"/>
              </w:rPr>
              <w:t>eosinopæni</w:t>
            </w:r>
            <w:proofErr w:type="spellEnd"/>
            <w:r w:rsidRPr="00C52FA2">
              <w:rPr>
                <w:sz w:val="24"/>
                <w:szCs w:val="24"/>
              </w:rPr>
              <w:t xml:space="preserve">, </w:t>
            </w:r>
            <w:proofErr w:type="spellStart"/>
            <w:r w:rsidRPr="00C52FA2">
              <w:rPr>
                <w:sz w:val="24"/>
                <w:szCs w:val="24"/>
              </w:rPr>
              <w:t>polycytæmi</w:t>
            </w:r>
            <w:proofErr w:type="spellEnd"/>
            <w:r w:rsidRPr="00C52FA2">
              <w:rPr>
                <w:sz w:val="24"/>
                <w:szCs w:val="24"/>
              </w:rPr>
              <w:t xml:space="preserve">, </w:t>
            </w:r>
            <w:proofErr w:type="spellStart"/>
            <w:r w:rsidRPr="00C52FA2">
              <w:rPr>
                <w:sz w:val="24"/>
                <w:szCs w:val="24"/>
              </w:rPr>
              <w:t>abnormal</w:t>
            </w:r>
            <w:proofErr w:type="spellEnd"/>
            <w:r w:rsidRPr="00C52FA2">
              <w:rPr>
                <w:sz w:val="24"/>
                <w:szCs w:val="24"/>
              </w:rPr>
              <w:t xml:space="preserve"> koagulation</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Immunsystemet</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Hypersensitivitetsreaktioner inkl. anafylaksi, </w:t>
            </w:r>
            <w:proofErr w:type="spellStart"/>
            <w:r w:rsidRPr="00C52FA2">
              <w:rPr>
                <w:sz w:val="24"/>
                <w:szCs w:val="24"/>
              </w:rPr>
              <w:t>immunosuppression</w:t>
            </w:r>
            <w:proofErr w:type="spellEnd"/>
            <w:r w:rsidRPr="00C52FA2">
              <w:rPr>
                <w:sz w:val="24"/>
                <w:szCs w:val="24"/>
              </w:rPr>
              <w:t xml:space="preserve"> (se også under </w:t>
            </w:r>
            <w:r>
              <w:rPr>
                <w:sz w:val="24"/>
                <w:szCs w:val="24"/>
              </w:rPr>
              <w:t>"</w:t>
            </w:r>
            <w:r w:rsidRPr="00C52FA2">
              <w:rPr>
                <w:sz w:val="24"/>
                <w:szCs w:val="24"/>
              </w:rPr>
              <w:t>Infektioner og parasitære sygdomme</w:t>
            </w:r>
            <w:r>
              <w:rPr>
                <w:sz w:val="24"/>
                <w:szCs w:val="24"/>
              </w:rPr>
              <w:t>"</w:t>
            </w:r>
            <w:r w:rsidRPr="00C52FA2">
              <w:rPr>
                <w:sz w:val="24"/>
                <w:szCs w:val="24"/>
              </w:rPr>
              <w:t>)</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Det endokrine system</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Suppression af </w:t>
            </w:r>
            <w:proofErr w:type="spellStart"/>
            <w:r w:rsidRPr="00C52FA2">
              <w:rPr>
                <w:sz w:val="24"/>
                <w:szCs w:val="24"/>
              </w:rPr>
              <w:t>hypothalamus</w:t>
            </w:r>
            <w:proofErr w:type="spellEnd"/>
            <w:r w:rsidRPr="00C52FA2">
              <w:rPr>
                <w:sz w:val="24"/>
                <w:szCs w:val="24"/>
              </w:rPr>
              <w:t>-hypofyse-</w:t>
            </w:r>
            <w:proofErr w:type="spellStart"/>
            <w:r w:rsidRPr="00C52FA2">
              <w:rPr>
                <w:sz w:val="24"/>
                <w:szCs w:val="24"/>
              </w:rPr>
              <w:t>adrenal</w:t>
            </w:r>
            <w:proofErr w:type="spellEnd"/>
            <w:r w:rsidRPr="00C52FA2">
              <w:rPr>
                <w:sz w:val="24"/>
                <w:szCs w:val="24"/>
              </w:rPr>
              <w:t xml:space="preserve">-aksen og induktion af </w:t>
            </w:r>
            <w:proofErr w:type="spellStart"/>
            <w:r w:rsidRPr="00C52FA2">
              <w:rPr>
                <w:sz w:val="24"/>
                <w:szCs w:val="24"/>
              </w:rPr>
              <w:t>Cushing’s</w:t>
            </w:r>
            <w:proofErr w:type="spellEnd"/>
            <w:r w:rsidRPr="00C52FA2">
              <w:rPr>
                <w:sz w:val="24"/>
                <w:szCs w:val="24"/>
              </w:rPr>
              <w:t xml:space="preserve"> syndrom (typiske symptomer: måneansigt, </w:t>
            </w:r>
            <w:proofErr w:type="spellStart"/>
            <w:r w:rsidRPr="00C52FA2">
              <w:rPr>
                <w:sz w:val="24"/>
                <w:szCs w:val="24"/>
              </w:rPr>
              <w:t>plethora</w:t>
            </w:r>
            <w:proofErr w:type="spellEnd"/>
            <w:r w:rsidRPr="00C52FA2">
              <w:rPr>
                <w:sz w:val="24"/>
                <w:szCs w:val="24"/>
              </w:rPr>
              <w:t xml:space="preserve">, </w:t>
            </w:r>
            <w:proofErr w:type="spellStart"/>
            <w:r w:rsidRPr="00C52FA2">
              <w:rPr>
                <w:sz w:val="24"/>
                <w:szCs w:val="24"/>
              </w:rPr>
              <w:t>trunkal</w:t>
            </w:r>
            <w:proofErr w:type="spellEnd"/>
            <w:r w:rsidRPr="00C52FA2">
              <w:rPr>
                <w:sz w:val="24"/>
                <w:szCs w:val="24"/>
              </w:rPr>
              <w:t xml:space="preserve"> fedme), sekundær </w:t>
            </w:r>
            <w:proofErr w:type="spellStart"/>
            <w:r w:rsidRPr="00C52FA2">
              <w:rPr>
                <w:sz w:val="24"/>
                <w:szCs w:val="24"/>
              </w:rPr>
              <w:t>adrenal</w:t>
            </w:r>
            <w:proofErr w:type="spellEnd"/>
            <w:r w:rsidRPr="00C52FA2">
              <w:rPr>
                <w:sz w:val="24"/>
                <w:szCs w:val="24"/>
              </w:rPr>
              <w:t xml:space="preserve">- og hypofyseinsufficiens* (særligt under stress som traume eller kirurgi), vækstundertrykkelse hos spædbørn, børn og unge, uregelmæssig menstruation og udeblevet menstruation, </w:t>
            </w:r>
            <w:proofErr w:type="spellStart"/>
            <w:r w:rsidRPr="00C52FA2">
              <w:rPr>
                <w:sz w:val="24"/>
                <w:szCs w:val="24"/>
              </w:rPr>
              <w:t>hirsurtisme</w:t>
            </w:r>
            <w:proofErr w:type="spellEnd"/>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Metabolisme og ernæring</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Vægtøgning, negativ protein- og calciumbalance*, øget appetit, natrium- og væskeretention*, tab af kalium* (advarsel: </w:t>
            </w:r>
            <w:proofErr w:type="spellStart"/>
            <w:r w:rsidRPr="00C52FA2">
              <w:rPr>
                <w:sz w:val="24"/>
                <w:szCs w:val="24"/>
              </w:rPr>
              <w:t>hjertearytmi</w:t>
            </w:r>
            <w:proofErr w:type="spellEnd"/>
            <w:r w:rsidRPr="00C52FA2">
              <w:rPr>
                <w:sz w:val="24"/>
                <w:szCs w:val="24"/>
              </w:rPr>
              <w:t xml:space="preserve">), </w:t>
            </w:r>
            <w:proofErr w:type="spellStart"/>
            <w:r w:rsidRPr="00C52FA2">
              <w:rPr>
                <w:sz w:val="24"/>
                <w:szCs w:val="24"/>
              </w:rPr>
              <w:t>hypokalæmisk</w:t>
            </w:r>
            <w:proofErr w:type="spellEnd"/>
            <w:r w:rsidRPr="00C52FA2">
              <w:rPr>
                <w:sz w:val="24"/>
                <w:szCs w:val="24"/>
              </w:rPr>
              <w:t xml:space="preserve"> </w:t>
            </w:r>
            <w:proofErr w:type="spellStart"/>
            <w:r w:rsidRPr="00C52FA2">
              <w:rPr>
                <w:sz w:val="24"/>
                <w:szCs w:val="24"/>
              </w:rPr>
              <w:t>alkalose</w:t>
            </w:r>
            <w:proofErr w:type="spellEnd"/>
            <w:r w:rsidRPr="00C52FA2">
              <w:rPr>
                <w:sz w:val="24"/>
                <w:szCs w:val="24"/>
              </w:rPr>
              <w:t xml:space="preserve">, manifestationer af latent diabetes mellitus, nedsat </w:t>
            </w:r>
            <w:r w:rsidRPr="00C52FA2">
              <w:rPr>
                <w:sz w:val="24"/>
                <w:szCs w:val="24"/>
              </w:rPr>
              <w:lastRenderedPageBreak/>
              <w:t xml:space="preserve">kulhydrattolerance med øget dosisbehov af antidiabetisk terapi*, </w:t>
            </w:r>
            <w:proofErr w:type="spellStart"/>
            <w:r w:rsidRPr="00C52FA2">
              <w:rPr>
                <w:sz w:val="24"/>
                <w:szCs w:val="24"/>
              </w:rPr>
              <w:t>hypercholesterolæmi</w:t>
            </w:r>
            <w:proofErr w:type="spellEnd"/>
            <w:r w:rsidRPr="00C52FA2">
              <w:rPr>
                <w:sz w:val="24"/>
                <w:szCs w:val="24"/>
              </w:rPr>
              <w:t xml:space="preserve">, </w:t>
            </w:r>
            <w:proofErr w:type="spellStart"/>
            <w:r w:rsidRPr="00C52FA2">
              <w:rPr>
                <w:sz w:val="24"/>
                <w:szCs w:val="24"/>
              </w:rPr>
              <w:t>hypertryglyceridæmi</w:t>
            </w:r>
            <w:proofErr w:type="spellEnd"/>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lastRenderedPageBreak/>
              <w:t>Psykiatriske forstyrrelser*</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Psykologisk afhængighed, depression, </w:t>
            </w:r>
            <w:proofErr w:type="spellStart"/>
            <w:r w:rsidRPr="00C52FA2">
              <w:rPr>
                <w:sz w:val="24"/>
                <w:szCs w:val="24"/>
              </w:rPr>
              <w:t>insomni</w:t>
            </w:r>
            <w:proofErr w:type="spellEnd"/>
            <w:r w:rsidRPr="00C52FA2">
              <w:rPr>
                <w:sz w:val="24"/>
                <w:szCs w:val="24"/>
              </w:rPr>
              <w:t xml:space="preserve">, forværret </w:t>
            </w:r>
            <w:proofErr w:type="spellStart"/>
            <w:r w:rsidRPr="00C52FA2">
              <w:rPr>
                <w:sz w:val="24"/>
                <w:szCs w:val="24"/>
              </w:rPr>
              <w:t>skizofeni</w:t>
            </w:r>
            <w:proofErr w:type="spellEnd"/>
            <w:r w:rsidRPr="00C52FA2">
              <w:rPr>
                <w:sz w:val="24"/>
                <w:szCs w:val="24"/>
              </w:rPr>
              <w:t>, sindslidelse, fra eufori til manifesteret psykose</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Nervesystemet</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Øget </w:t>
            </w:r>
            <w:proofErr w:type="spellStart"/>
            <w:r w:rsidRPr="00C52FA2">
              <w:rPr>
                <w:sz w:val="24"/>
                <w:szCs w:val="24"/>
              </w:rPr>
              <w:t>intrakranielt</w:t>
            </w:r>
            <w:proofErr w:type="spellEnd"/>
            <w:r w:rsidRPr="00C52FA2">
              <w:rPr>
                <w:sz w:val="24"/>
                <w:szCs w:val="24"/>
              </w:rPr>
              <w:t xml:space="preserve"> tryk med </w:t>
            </w:r>
            <w:proofErr w:type="spellStart"/>
            <w:r w:rsidRPr="00C52FA2">
              <w:rPr>
                <w:sz w:val="24"/>
                <w:szCs w:val="24"/>
              </w:rPr>
              <w:t>papilloødem</w:t>
            </w:r>
            <w:proofErr w:type="spellEnd"/>
            <w:r w:rsidRPr="00C52FA2">
              <w:rPr>
                <w:sz w:val="24"/>
                <w:szCs w:val="24"/>
              </w:rPr>
              <w:t xml:space="preserve"> hos børn (pseudotumor </w:t>
            </w:r>
            <w:proofErr w:type="spellStart"/>
            <w:r w:rsidRPr="00C52FA2">
              <w:rPr>
                <w:sz w:val="24"/>
                <w:szCs w:val="24"/>
              </w:rPr>
              <w:t>cerebri</w:t>
            </w:r>
            <w:proofErr w:type="spellEnd"/>
            <w:r w:rsidRPr="00C52FA2">
              <w:rPr>
                <w:sz w:val="24"/>
                <w:szCs w:val="24"/>
              </w:rPr>
              <w:t xml:space="preserve">) sædvanligvis efter </w:t>
            </w:r>
            <w:proofErr w:type="spellStart"/>
            <w:r w:rsidRPr="00C52FA2">
              <w:rPr>
                <w:sz w:val="24"/>
                <w:szCs w:val="24"/>
              </w:rPr>
              <w:t>seponering</w:t>
            </w:r>
            <w:proofErr w:type="spellEnd"/>
            <w:r w:rsidRPr="00C52FA2">
              <w:rPr>
                <w:sz w:val="24"/>
                <w:szCs w:val="24"/>
              </w:rPr>
              <w:t xml:space="preserve"> af behandling, manifestation af latent epilepsi, øget forekomst af anfald i åbenbar epilepsi, </w:t>
            </w:r>
            <w:proofErr w:type="spellStart"/>
            <w:r w:rsidRPr="00C52FA2">
              <w:rPr>
                <w:sz w:val="24"/>
                <w:szCs w:val="24"/>
              </w:rPr>
              <w:t>vertigo</w:t>
            </w:r>
            <w:proofErr w:type="spellEnd"/>
            <w:r w:rsidRPr="00C52FA2">
              <w:rPr>
                <w:sz w:val="24"/>
                <w:szCs w:val="24"/>
              </w:rPr>
              <w:t>, hovedpine</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Øjne</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Øget </w:t>
            </w:r>
            <w:proofErr w:type="spellStart"/>
            <w:r w:rsidRPr="00C52FA2">
              <w:rPr>
                <w:sz w:val="24"/>
                <w:szCs w:val="24"/>
              </w:rPr>
              <w:t>intraokulært</w:t>
            </w:r>
            <w:proofErr w:type="spellEnd"/>
            <w:r w:rsidRPr="00C52FA2">
              <w:rPr>
                <w:sz w:val="24"/>
                <w:szCs w:val="24"/>
              </w:rPr>
              <w:t xml:space="preserve"> tryk, </w:t>
            </w:r>
            <w:proofErr w:type="spellStart"/>
            <w:r w:rsidRPr="00C52FA2">
              <w:rPr>
                <w:sz w:val="24"/>
                <w:szCs w:val="24"/>
              </w:rPr>
              <w:t>glaukom</w:t>
            </w:r>
            <w:proofErr w:type="spellEnd"/>
            <w:r w:rsidRPr="00C52FA2">
              <w:rPr>
                <w:sz w:val="24"/>
                <w:szCs w:val="24"/>
              </w:rPr>
              <w:t xml:space="preserve">*, </w:t>
            </w:r>
            <w:proofErr w:type="spellStart"/>
            <w:r w:rsidRPr="00C52FA2">
              <w:rPr>
                <w:sz w:val="24"/>
                <w:szCs w:val="24"/>
              </w:rPr>
              <w:t>papilloødem</w:t>
            </w:r>
            <w:proofErr w:type="spellEnd"/>
            <w:r w:rsidRPr="00C52FA2">
              <w:rPr>
                <w:sz w:val="24"/>
                <w:szCs w:val="24"/>
              </w:rPr>
              <w:t xml:space="preserve">, katarakt*, primært med </w:t>
            </w:r>
            <w:proofErr w:type="spellStart"/>
            <w:r w:rsidRPr="00C52FA2">
              <w:rPr>
                <w:sz w:val="24"/>
                <w:szCs w:val="24"/>
              </w:rPr>
              <w:t>posterior</w:t>
            </w:r>
            <w:proofErr w:type="spellEnd"/>
            <w:r w:rsidRPr="00C52FA2">
              <w:rPr>
                <w:sz w:val="24"/>
                <w:szCs w:val="24"/>
              </w:rPr>
              <w:t xml:space="preserve"> </w:t>
            </w:r>
            <w:proofErr w:type="spellStart"/>
            <w:r w:rsidRPr="00C52FA2">
              <w:rPr>
                <w:sz w:val="24"/>
                <w:szCs w:val="24"/>
              </w:rPr>
              <w:t>subkapsulær</w:t>
            </w:r>
            <w:proofErr w:type="spellEnd"/>
            <w:r w:rsidRPr="00C52FA2">
              <w:rPr>
                <w:sz w:val="24"/>
                <w:szCs w:val="24"/>
              </w:rPr>
              <w:t xml:space="preserve"> uklarhed, </w:t>
            </w:r>
            <w:proofErr w:type="spellStart"/>
            <w:r w:rsidRPr="00C52FA2">
              <w:rPr>
                <w:sz w:val="24"/>
                <w:szCs w:val="24"/>
              </w:rPr>
              <w:t>corneal</w:t>
            </w:r>
            <w:proofErr w:type="spellEnd"/>
            <w:r w:rsidRPr="00C52FA2">
              <w:rPr>
                <w:sz w:val="24"/>
                <w:szCs w:val="24"/>
              </w:rPr>
              <w:t xml:space="preserve"> og </w:t>
            </w:r>
            <w:proofErr w:type="spellStart"/>
            <w:r w:rsidRPr="00C52FA2">
              <w:rPr>
                <w:sz w:val="24"/>
                <w:szCs w:val="24"/>
              </w:rPr>
              <w:t>skleral</w:t>
            </w:r>
            <w:proofErr w:type="spellEnd"/>
            <w:r w:rsidRPr="00C52FA2">
              <w:rPr>
                <w:sz w:val="24"/>
                <w:szCs w:val="24"/>
              </w:rPr>
              <w:t xml:space="preserve"> atrofi, øget forekomst af øjerelaterede virus-, svampe- og bakterieinfektioner, forværring af symptomer associerede med hornhindesår*, sløret syn (se også pkt. 4.4.)</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Hjerte</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Ruptur af hjertemuskulaturen efter </w:t>
            </w:r>
            <w:proofErr w:type="gramStart"/>
            <w:r w:rsidRPr="00C52FA2">
              <w:rPr>
                <w:sz w:val="24"/>
                <w:szCs w:val="24"/>
              </w:rPr>
              <w:t>nylig myokardieinfarkt</w:t>
            </w:r>
            <w:proofErr w:type="gramEnd"/>
            <w:r w:rsidRPr="00C52FA2">
              <w:rPr>
                <w:sz w:val="24"/>
                <w:szCs w:val="24"/>
              </w:rPr>
              <w:t xml:space="preserve">, </w:t>
            </w:r>
            <w:proofErr w:type="spellStart"/>
            <w:r w:rsidRPr="00C52FA2">
              <w:rPr>
                <w:sz w:val="24"/>
                <w:szCs w:val="24"/>
              </w:rPr>
              <w:t>kongestivt</w:t>
            </w:r>
            <w:proofErr w:type="spellEnd"/>
            <w:r w:rsidRPr="00C52FA2">
              <w:rPr>
                <w:sz w:val="24"/>
                <w:szCs w:val="24"/>
              </w:rPr>
              <w:t xml:space="preserve"> hjertesvigt i prædisponerede patienter, </w:t>
            </w:r>
            <w:proofErr w:type="spellStart"/>
            <w:r w:rsidRPr="00C52FA2">
              <w:rPr>
                <w:sz w:val="24"/>
                <w:szCs w:val="24"/>
              </w:rPr>
              <w:t>hjertedekompensation</w:t>
            </w:r>
            <w:proofErr w:type="spellEnd"/>
            <w:r w:rsidRPr="00C52FA2">
              <w:rPr>
                <w:sz w:val="24"/>
                <w:szCs w:val="24"/>
              </w:rPr>
              <w:t>*</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proofErr w:type="spellStart"/>
            <w:r w:rsidRPr="00C52FA2">
              <w:rPr>
                <w:sz w:val="24"/>
                <w:szCs w:val="24"/>
              </w:rPr>
              <w:t>Vaskulære</w:t>
            </w:r>
            <w:proofErr w:type="spellEnd"/>
            <w:r w:rsidRPr="00C52FA2">
              <w:rPr>
                <w:sz w:val="24"/>
                <w:szCs w:val="24"/>
              </w:rPr>
              <w:t xml:space="preserve"> forstyrrelser</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Hypertension, </w:t>
            </w:r>
            <w:proofErr w:type="spellStart"/>
            <w:r w:rsidRPr="00C52FA2">
              <w:rPr>
                <w:sz w:val="24"/>
                <w:szCs w:val="24"/>
              </w:rPr>
              <w:t>vaskulitis</w:t>
            </w:r>
            <w:proofErr w:type="spellEnd"/>
            <w:r w:rsidRPr="00C52FA2">
              <w:rPr>
                <w:sz w:val="24"/>
                <w:szCs w:val="24"/>
              </w:rPr>
              <w:t>, øget aterosklerose og risiko for trombose/</w:t>
            </w:r>
            <w:proofErr w:type="spellStart"/>
            <w:r w:rsidRPr="00C52FA2">
              <w:rPr>
                <w:sz w:val="24"/>
                <w:szCs w:val="24"/>
              </w:rPr>
              <w:t>tromboembolisme</w:t>
            </w:r>
            <w:proofErr w:type="spellEnd"/>
            <w:r w:rsidRPr="00C52FA2">
              <w:rPr>
                <w:sz w:val="24"/>
                <w:szCs w:val="24"/>
              </w:rPr>
              <w:t xml:space="preserve"> (en øgning af blodets </w:t>
            </w:r>
            <w:proofErr w:type="spellStart"/>
            <w:r w:rsidRPr="00C52FA2">
              <w:rPr>
                <w:sz w:val="24"/>
                <w:szCs w:val="24"/>
              </w:rPr>
              <w:t>koagulabilitet</w:t>
            </w:r>
            <w:proofErr w:type="spellEnd"/>
            <w:r w:rsidRPr="00C52FA2">
              <w:rPr>
                <w:sz w:val="24"/>
                <w:szCs w:val="24"/>
              </w:rPr>
              <w:t xml:space="preserve"> kan føre til </w:t>
            </w:r>
            <w:proofErr w:type="spellStart"/>
            <w:r w:rsidRPr="00C52FA2">
              <w:rPr>
                <w:sz w:val="24"/>
                <w:szCs w:val="24"/>
              </w:rPr>
              <w:t>tromboemboliske</w:t>
            </w:r>
            <w:proofErr w:type="spellEnd"/>
            <w:r w:rsidRPr="00C52FA2">
              <w:rPr>
                <w:sz w:val="24"/>
                <w:szCs w:val="24"/>
              </w:rPr>
              <w:t xml:space="preserve"> komplikationer)</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Luftveje, thorax og </w:t>
            </w:r>
            <w:proofErr w:type="spellStart"/>
            <w:r w:rsidRPr="00C52FA2">
              <w:rPr>
                <w:sz w:val="24"/>
                <w:szCs w:val="24"/>
              </w:rPr>
              <w:t>mediastinum</w:t>
            </w:r>
            <w:proofErr w:type="spellEnd"/>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Hikke</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Mave-tarm-kanalen</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Dyspepsi, udspilet abdomen*, mavesår med perforation og blødning, akut </w:t>
            </w:r>
            <w:proofErr w:type="spellStart"/>
            <w:r w:rsidRPr="00C52FA2">
              <w:rPr>
                <w:sz w:val="24"/>
                <w:szCs w:val="24"/>
              </w:rPr>
              <w:t>pankreatitis</w:t>
            </w:r>
            <w:proofErr w:type="spellEnd"/>
            <w:r w:rsidRPr="00C52FA2">
              <w:rPr>
                <w:sz w:val="24"/>
                <w:szCs w:val="24"/>
              </w:rPr>
              <w:t xml:space="preserve">, </w:t>
            </w:r>
            <w:proofErr w:type="spellStart"/>
            <w:r w:rsidRPr="00C52FA2">
              <w:rPr>
                <w:sz w:val="24"/>
                <w:szCs w:val="24"/>
              </w:rPr>
              <w:t>ulcerativ</w:t>
            </w:r>
            <w:proofErr w:type="spellEnd"/>
            <w:r w:rsidRPr="00C52FA2">
              <w:rPr>
                <w:sz w:val="24"/>
                <w:szCs w:val="24"/>
              </w:rPr>
              <w:t xml:space="preserve"> </w:t>
            </w:r>
            <w:proofErr w:type="spellStart"/>
            <w:r w:rsidRPr="00C52FA2">
              <w:rPr>
                <w:sz w:val="24"/>
                <w:szCs w:val="24"/>
              </w:rPr>
              <w:t>øsofagitis</w:t>
            </w:r>
            <w:proofErr w:type="spellEnd"/>
            <w:r w:rsidRPr="00C52FA2">
              <w:rPr>
                <w:sz w:val="24"/>
                <w:szCs w:val="24"/>
              </w:rPr>
              <w:t xml:space="preserve">, </w:t>
            </w:r>
            <w:proofErr w:type="spellStart"/>
            <w:r w:rsidRPr="00C52FA2">
              <w:rPr>
                <w:sz w:val="24"/>
                <w:szCs w:val="24"/>
              </w:rPr>
              <w:t>øsofageal</w:t>
            </w:r>
            <w:proofErr w:type="spellEnd"/>
            <w:r w:rsidRPr="00C52FA2">
              <w:rPr>
                <w:sz w:val="24"/>
                <w:szCs w:val="24"/>
              </w:rPr>
              <w:t xml:space="preserve"> </w:t>
            </w:r>
            <w:proofErr w:type="spellStart"/>
            <w:r w:rsidRPr="00C52FA2">
              <w:rPr>
                <w:sz w:val="24"/>
                <w:szCs w:val="24"/>
              </w:rPr>
              <w:t>candidiasis</w:t>
            </w:r>
            <w:proofErr w:type="spellEnd"/>
            <w:r w:rsidRPr="00C52FA2">
              <w:rPr>
                <w:sz w:val="24"/>
                <w:szCs w:val="24"/>
              </w:rPr>
              <w:t xml:space="preserve">, </w:t>
            </w:r>
            <w:proofErr w:type="spellStart"/>
            <w:r w:rsidRPr="00C52FA2">
              <w:rPr>
                <w:sz w:val="24"/>
                <w:szCs w:val="24"/>
              </w:rPr>
              <w:t>flatulens</w:t>
            </w:r>
            <w:proofErr w:type="spellEnd"/>
            <w:r w:rsidRPr="00C52FA2">
              <w:rPr>
                <w:sz w:val="24"/>
                <w:szCs w:val="24"/>
              </w:rPr>
              <w:t>, kvalme, opkastning</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Hud og subkutane væv</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proofErr w:type="spellStart"/>
            <w:r w:rsidRPr="00C52FA2">
              <w:rPr>
                <w:sz w:val="24"/>
                <w:szCs w:val="24"/>
              </w:rPr>
              <w:t>Hypertrikose</w:t>
            </w:r>
            <w:proofErr w:type="spellEnd"/>
            <w:r w:rsidRPr="00C52FA2">
              <w:rPr>
                <w:sz w:val="24"/>
                <w:szCs w:val="24"/>
              </w:rPr>
              <w:t xml:space="preserve">, atrofi af huden, </w:t>
            </w:r>
            <w:proofErr w:type="spellStart"/>
            <w:r w:rsidRPr="00C52FA2">
              <w:rPr>
                <w:sz w:val="24"/>
                <w:szCs w:val="24"/>
              </w:rPr>
              <w:t>telangiektasi</w:t>
            </w:r>
            <w:proofErr w:type="spellEnd"/>
            <w:r w:rsidRPr="00C52FA2">
              <w:rPr>
                <w:sz w:val="24"/>
                <w:szCs w:val="24"/>
              </w:rPr>
              <w:t xml:space="preserve">, </w:t>
            </w:r>
            <w:proofErr w:type="spellStart"/>
            <w:r w:rsidRPr="00C52FA2">
              <w:rPr>
                <w:sz w:val="24"/>
                <w:szCs w:val="24"/>
              </w:rPr>
              <w:t>striae</w:t>
            </w:r>
            <w:proofErr w:type="spellEnd"/>
            <w:r w:rsidRPr="00C52FA2">
              <w:rPr>
                <w:sz w:val="24"/>
                <w:szCs w:val="24"/>
              </w:rPr>
              <w:t xml:space="preserve">, </w:t>
            </w:r>
            <w:proofErr w:type="spellStart"/>
            <w:r w:rsidRPr="00C52FA2">
              <w:rPr>
                <w:sz w:val="24"/>
                <w:szCs w:val="24"/>
              </w:rPr>
              <w:t>erythema</w:t>
            </w:r>
            <w:proofErr w:type="spellEnd"/>
            <w:r w:rsidRPr="00C52FA2">
              <w:rPr>
                <w:sz w:val="24"/>
                <w:szCs w:val="24"/>
              </w:rPr>
              <w:t xml:space="preserve">, steroidakne, </w:t>
            </w:r>
            <w:proofErr w:type="spellStart"/>
            <w:r w:rsidRPr="00C52FA2">
              <w:rPr>
                <w:sz w:val="24"/>
                <w:szCs w:val="24"/>
              </w:rPr>
              <w:t>petekkier</w:t>
            </w:r>
            <w:proofErr w:type="spellEnd"/>
            <w:r w:rsidRPr="00C52FA2">
              <w:rPr>
                <w:sz w:val="24"/>
                <w:szCs w:val="24"/>
              </w:rPr>
              <w:t xml:space="preserve">, </w:t>
            </w:r>
            <w:proofErr w:type="spellStart"/>
            <w:r w:rsidRPr="00C52FA2">
              <w:rPr>
                <w:sz w:val="24"/>
                <w:szCs w:val="24"/>
              </w:rPr>
              <w:t>ekkymose</w:t>
            </w:r>
            <w:proofErr w:type="spellEnd"/>
            <w:r w:rsidRPr="00C52FA2">
              <w:rPr>
                <w:sz w:val="24"/>
                <w:szCs w:val="24"/>
              </w:rPr>
              <w:t xml:space="preserve">, allergisk </w:t>
            </w:r>
            <w:proofErr w:type="spellStart"/>
            <w:r w:rsidRPr="00C52FA2">
              <w:rPr>
                <w:sz w:val="24"/>
                <w:szCs w:val="24"/>
              </w:rPr>
              <w:t>dermatitis</w:t>
            </w:r>
            <w:proofErr w:type="spellEnd"/>
            <w:r w:rsidRPr="00C52FA2">
              <w:rPr>
                <w:sz w:val="24"/>
                <w:szCs w:val="24"/>
              </w:rPr>
              <w:t xml:space="preserve">, nældefeber, </w:t>
            </w:r>
            <w:proofErr w:type="spellStart"/>
            <w:r w:rsidRPr="00C52FA2">
              <w:rPr>
                <w:sz w:val="24"/>
                <w:szCs w:val="24"/>
              </w:rPr>
              <w:t>angioneurotisk</w:t>
            </w:r>
            <w:proofErr w:type="spellEnd"/>
            <w:r w:rsidRPr="00C52FA2">
              <w:rPr>
                <w:sz w:val="24"/>
                <w:szCs w:val="24"/>
              </w:rPr>
              <w:t xml:space="preserve"> ødem, tyndt hår, pigmentforstyrrelser, øget </w:t>
            </w:r>
            <w:proofErr w:type="spellStart"/>
            <w:r w:rsidRPr="00C52FA2">
              <w:rPr>
                <w:sz w:val="24"/>
                <w:szCs w:val="24"/>
              </w:rPr>
              <w:t>kapillær</w:t>
            </w:r>
            <w:proofErr w:type="spellEnd"/>
            <w:r w:rsidRPr="00C52FA2">
              <w:rPr>
                <w:sz w:val="24"/>
                <w:szCs w:val="24"/>
              </w:rPr>
              <w:t xml:space="preserve"> </w:t>
            </w:r>
            <w:proofErr w:type="spellStart"/>
            <w:r w:rsidRPr="00C52FA2">
              <w:rPr>
                <w:sz w:val="24"/>
                <w:szCs w:val="24"/>
              </w:rPr>
              <w:t>skrøblighed</w:t>
            </w:r>
            <w:proofErr w:type="spellEnd"/>
            <w:r w:rsidRPr="00C52FA2">
              <w:rPr>
                <w:sz w:val="24"/>
                <w:szCs w:val="24"/>
              </w:rPr>
              <w:t xml:space="preserve">, perioral </w:t>
            </w:r>
            <w:proofErr w:type="spellStart"/>
            <w:r w:rsidRPr="00C52FA2">
              <w:rPr>
                <w:sz w:val="24"/>
                <w:szCs w:val="24"/>
              </w:rPr>
              <w:t>dermatitis</w:t>
            </w:r>
            <w:proofErr w:type="spellEnd"/>
            <w:r w:rsidRPr="00C52FA2">
              <w:rPr>
                <w:sz w:val="24"/>
                <w:szCs w:val="24"/>
              </w:rPr>
              <w:t xml:space="preserve">, </w:t>
            </w:r>
            <w:proofErr w:type="spellStart"/>
            <w:r w:rsidRPr="00C52FA2">
              <w:rPr>
                <w:sz w:val="24"/>
                <w:szCs w:val="24"/>
              </w:rPr>
              <w:t>hyperhidrose</w:t>
            </w:r>
            <w:proofErr w:type="spellEnd"/>
            <w:r w:rsidRPr="00C52FA2">
              <w:rPr>
                <w:sz w:val="24"/>
                <w:szCs w:val="24"/>
              </w:rPr>
              <w:t>, tendens til blå mærker</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Knogler, led, muskler og bindevæv</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Præmatur lukning af </w:t>
            </w:r>
            <w:proofErr w:type="spellStart"/>
            <w:r w:rsidRPr="00C52FA2">
              <w:rPr>
                <w:sz w:val="24"/>
                <w:szCs w:val="24"/>
              </w:rPr>
              <w:t>epifyser</w:t>
            </w:r>
            <w:proofErr w:type="spellEnd"/>
            <w:r w:rsidRPr="00C52FA2">
              <w:rPr>
                <w:sz w:val="24"/>
                <w:szCs w:val="24"/>
              </w:rPr>
              <w:t xml:space="preserve">, osteoporose, frakturer af rygsøjlen og de lange knogler, </w:t>
            </w:r>
            <w:proofErr w:type="spellStart"/>
            <w:r w:rsidRPr="00C52FA2">
              <w:rPr>
                <w:sz w:val="24"/>
                <w:szCs w:val="24"/>
              </w:rPr>
              <w:t>aspetisk</w:t>
            </w:r>
            <w:proofErr w:type="spellEnd"/>
            <w:r w:rsidRPr="00C52FA2">
              <w:rPr>
                <w:sz w:val="24"/>
                <w:szCs w:val="24"/>
              </w:rPr>
              <w:t xml:space="preserve"> nekrose af de femorale og </w:t>
            </w:r>
            <w:proofErr w:type="spellStart"/>
            <w:r w:rsidRPr="00C52FA2">
              <w:rPr>
                <w:sz w:val="24"/>
                <w:szCs w:val="24"/>
              </w:rPr>
              <w:t>humerale</w:t>
            </w:r>
            <w:proofErr w:type="spellEnd"/>
            <w:r w:rsidRPr="00C52FA2">
              <w:rPr>
                <w:sz w:val="24"/>
                <w:szCs w:val="24"/>
              </w:rPr>
              <w:t xml:space="preserve"> knogler, </w:t>
            </w:r>
            <w:proofErr w:type="spellStart"/>
            <w:r w:rsidRPr="00C52FA2">
              <w:rPr>
                <w:sz w:val="24"/>
                <w:szCs w:val="24"/>
              </w:rPr>
              <w:t>senerifter</w:t>
            </w:r>
            <w:proofErr w:type="spellEnd"/>
            <w:r w:rsidRPr="00C52FA2">
              <w:rPr>
                <w:sz w:val="24"/>
                <w:szCs w:val="24"/>
              </w:rPr>
              <w:t xml:space="preserve">*, </w:t>
            </w:r>
            <w:proofErr w:type="spellStart"/>
            <w:r w:rsidRPr="00C52FA2">
              <w:rPr>
                <w:sz w:val="24"/>
                <w:szCs w:val="24"/>
              </w:rPr>
              <w:t>proximal</w:t>
            </w:r>
            <w:proofErr w:type="spellEnd"/>
            <w:r w:rsidRPr="00C52FA2">
              <w:rPr>
                <w:sz w:val="24"/>
                <w:szCs w:val="24"/>
              </w:rPr>
              <w:t xml:space="preserve"> </w:t>
            </w:r>
            <w:proofErr w:type="spellStart"/>
            <w:r w:rsidRPr="00C52FA2">
              <w:rPr>
                <w:sz w:val="24"/>
                <w:szCs w:val="24"/>
              </w:rPr>
              <w:t>myopati</w:t>
            </w:r>
            <w:proofErr w:type="spellEnd"/>
            <w:r w:rsidRPr="00C52FA2">
              <w:rPr>
                <w:sz w:val="24"/>
                <w:szCs w:val="24"/>
              </w:rPr>
              <w:t>, muskel svaghed, tab af muskelmasse</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Det reproduktive system og mammae</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Impotens</w:t>
            </w:r>
          </w:p>
        </w:tc>
      </w:tr>
      <w:tr w:rsidR="00761175" w:rsidRPr="00C52FA2" w:rsidTr="000F3021">
        <w:tc>
          <w:tcPr>
            <w:tcW w:w="1782"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Almene symptomer og reaktioner på administrationsstedet</w:t>
            </w:r>
          </w:p>
        </w:tc>
        <w:tc>
          <w:tcPr>
            <w:tcW w:w="3218" w:type="pct"/>
            <w:tcBorders>
              <w:top w:val="single" w:sz="4" w:space="0" w:color="auto"/>
              <w:left w:val="single" w:sz="4" w:space="0" w:color="auto"/>
              <w:bottom w:val="single" w:sz="4" w:space="0" w:color="auto"/>
              <w:right w:val="single" w:sz="4" w:space="0" w:color="auto"/>
            </w:tcBorders>
            <w:hideMark/>
          </w:tcPr>
          <w:p w:rsidR="00761175" w:rsidRPr="00C52FA2" w:rsidRDefault="00761175" w:rsidP="000F3021">
            <w:pPr>
              <w:rPr>
                <w:sz w:val="24"/>
                <w:szCs w:val="24"/>
              </w:rPr>
            </w:pPr>
            <w:r w:rsidRPr="00C52FA2">
              <w:rPr>
                <w:sz w:val="24"/>
                <w:szCs w:val="24"/>
              </w:rPr>
              <w:t xml:space="preserve">Reduceret respons på vaccination og hudtests Forsinket sårheling, ubehag, ildebefindende, </w:t>
            </w:r>
            <w:proofErr w:type="spellStart"/>
            <w:r w:rsidRPr="00C52FA2">
              <w:rPr>
                <w:sz w:val="24"/>
                <w:szCs w:val="24"/>
              </w:rPr>
              <w:t>steroidseponeringssyndrom</w:t>
            </w:r>
            <w:proofErr w:type="spellEnd"/>
            <w:r w:rsidRPr="00C52FA2">
              <w:rPr>
                <w:sz w:val="24"/>
                <w:szCs w:val="24"/>
              </w:rPr>
              <w:t xml:space="preserve">: en for hurtig reduktion i </w:t>
            </w:r>
            <w:proofErr w:type="spellStart"/>
            <w:r w:rsidRPr="00C52FA2">
              <w:rPr>
                <w:sz w:val="24"/>
                <w:szCs w:val="24"/>
              </w:rPr>
              <w:t>kortikosteroiddosen</w:t>
            </w:r>
            <w:proofErr w:type="spellEnd"/>
            <w:r w:rsidRPr="00C52FA2">
              <w:rPr>
                <w:sz w:val="24"/>
                <w:szCs w:val="24"/>
              </w:rPr>
              <w:t xml:space="preserve"> efter længerevarende behandling kan føre til akut </w:t>
            </w:r>
            <w:proofErr w:type="spellStart"/>
            <w:r w:rsidRPr="00C52FA2">
              <w:rPr>
                <w:sz w:val="24"/>
                <w:szCs w:val="24"/>
              </w:rPr>
              <w:t>adrenal</w:t>
            </w:r>
            <w:proofErr w:type="spellEnd"/>
            <w:r w:rsidRPr="00C52FA2">
              <w:rPr>
                <w:sz w:val="24"/>
                <w:szCs w:val="24"/>
              </w:rPr>
              <w:t xml:space="preserve"> insufficiens, hypertension og død. Et </w:t>
            </w:r>
            <w:proofErr w:type="spellStart"/>
            <w:r w:rsidRPr="00C52FA2">
              <w:rPr>
                <w:sz w:val="24"/>
                <w:szCs w:val="24"/>
              </w:rPr>
              <w:t>seponeringssyndrom</w:t>
            </w:r>
            <w:proofErr w:type="spellEnd"/>
            <w:r w:rsidRPr="00C52FA2">
              <w:rPr>
                <w:sz w:val="24"/>
                <w:szCs w:val="24"/>
              </w:rPr>
              <w:t xml:space="preserve"> kan præsentere med feber, myalgi, </w:t>
            </w:r>
            <w:proofErr w:type="spellStart"/>
            <w:r w:rsidRPr="00C52FA2">
              <w:rPr>
                <w:sz w:val="24"/>
                <w:szCs w:val="24"/>
              </w:rPr>
              <w:t>artralgi</w:t>
            </w:r>
            <w:proofErr w:type="spellEnd"/>
            <w:r w:rsidRPr="00C52FA2">
              <w:rPr>
                <w:sz w:val="24"/>
                <w:szCs w:val="24"/>
              </w:rPr>
              <w:t xml:space="preserve">, </w:t>
            </w:r>
            <w:proofErr w:type="spellStart"/>
            <w:r w:rsidRPr="00C52FA2">
              <w:rPr>
                <w:sz w:val="24"/>
                <w:szCs w:val="24"/>
              </w:rPr>
              <w:t>rhinitis</w:t>
            </w:r>
            <w:proofErr w:type="spellEnd"/>
            <w:r w:rsidRPr="00C52FA2">
              <w:rPr>
                <w:sz w:val="24"/>
                <w:szCs w:val="24"/>
              </w:rPr>
              <w:t xml:space="preserve">, </w:t>
            </w:r>
            <w:proofErr w:type="spellStart"/>
            <w:r w:rsidRPr="00C52FA2">
              <w:rPr>
                <w:sz w:val="24"/>
                <w:szCs w:val="24"/>
              </w:rPr>
              <w:t>konjunktivitis</w:t>
            </w:r>
            <w:proofErr w:type="spellEnd"/>
            <w:r w:rsidRPr="00C52FA2">
              <w:rPr>
                <w:sz w:val="24"/>
                <w:szCs w:val="24"/>
              </w:rPr>
              <w:t>, smertefulde og kløende hudknuder og vægttab.</w:t>
            </w:r>
          </w:p>
        </w:tc>
      </w:tr>
    </w:tbl>
    <w:p w:rsidR="00761175" w:rsidRPr="00761175" w:rsidRDefault="00761175" w:rsidP="00761175">
      <w:pPr>
        <w:widowControl w:val="0"/>
        <w:autoSpaceDE w:val="0"/>
        <w:autoSpaceDN w:val="0"/>
        <w:adjustRightInd w:val="0"/>
        <w:ind w:left="851" w:hanging="851"/>
        <w:rPr>
          <w:sz w:val="24"/>
          <w:szCs w:val="24"/>
        </w:rPr>
      </w:pPr>
      <w:r w:rsidRPr="00034AE2">
        <w:rPr>
          <w:color w:val="000000"/>
          <w:sz w:val="24"/>
          <w:szCs w:val="24"/>
        </w:rPr>
        <w:t>*</w:t>
      </w:r>
      <w:r w:rsidRPr="00034AE2">
        <w:rPr>
          <w:sz w:val="24"/>
          <w:szCs w:val="24"/>
        </w:rPr>
        <w:t>Se også pkt. 4.4. Særlige advarsler og forsigtighedsregler vedrørende brugen.</w:t>
      </w:r>
    </w:p>
    <w:p w:rsidR="00761175" w:rsidRPr="00034AE2" w:rsidRDefault="00761175" w:rsidP="00761175">
      <w:pPr>
        <w:widowControl w:val="0"/>
        <w:autoSpaceDE w:val="0"/>
        <w:autoSpaceDN w:val="0"/>
        <w:adjustRightInd w:val="0"/>
        <w:ind w:left="851" w:hanging="851"/>
        <w:rPr>
          <w:sz w:val="24"/>
          <w:szCs w:val="24"/>
          <w:u w:val="single"/>
        </w:rPr>
      </w:pPr>
    </w:p>
    <w:p w:rsidR="00761175" w:rsidRPr="00034AE2" w:rsidRDefault="00761175" w:rsidP="0080782D">
      <w:pPr>
        <w:keepNext/>
        <w:widowControl w:val="0"/>
        <w:ind w:left="851"/>
        <w:rPr>
          <w:iCs/>
          <w:sz w:val="24"/>
          <w:szCs w:val="24"/>
          <w:u w:val="single"/>
        </w:rPr>
      </w:pPr>
      <w:r w:rsidRPr="00034AE2">
        <w:rPr>
          <w:iCs/>
          <w:sz w:val="24"/>
          <w:szCs w:val="24"/>
          <w:u w:val="single"/>
        </w:rPr>
        <w:t>Beskrivelse af udvalgte bivirkninger</w:t>
      </w:r>
    </w:p>
    <w:p w:rsidR="00761175" w:rsidRPr="00034AE2" w:rsidRDefault="00761175" w:rsidP="00761175">
      <w:pPr>
        <w:widowControl w:val="0"/>
        <w:ind w:left="851"/>
        <w:rPr>
          <w:iCs/>
          <w:sz w:val="24"/>
          <w:szCs w:val="24"/>
          <w:u w:val="single"/>
        </w:rPr>
      </w:pPr>
    </w:p>
    <w:p w:rsidR="00761175" w:rsidRPr="00034AE2" w:rsidRDefault="00761175" w:rsidP="00761175">
      <w:pPr>
        <w:widowControl w:val="0"/>
        <w:ind w:left="851"/>
        <w:rPr>
          <w:i/>
          <w:iCs/>
          <w:sz w:val="24"/>
          <w:szCs w:val="24"/>
          <w:lang w:eastAsia="da-DK"/>
        </w:rPr>
      </w:pPr>
      <w:proofErr w:type="spellStart"/>
      <w:r w:rsidRPr="00034AE2">
        <w:rPr>
          <w:i/>
          <w:iCs/>
          <w:sz w:val="24"/>
          <w:szCs w:val="24"/>
        </w:rPr>
        <w:t>Adrenokortikal</w:t>
      </w:r>
      <w:proofErr w:type="spellEnd"/>
      <w:r w:rsidRPr="00034AE2">
        <w:rPr>
          <w:i/>
          <w:iCs/>
          <w:sz w:val="24"/>
          <w:szCs w:val="24"/>
        </w:rPr>
        <w:t xml:space="preserve"> insufficiens</w:t>
      </w:r>
    </w:p>
    <w:p w:rsidR="00761175" w:rsidRPr="00034AE2" w:rsidRDefault="00761175" w:rsidP="00761175">
      <w:pPr>
        <w:widowControl w:val="0"/>
        <w:ind w:left="851"/>
        <w:rPr>
          <w:iCs/>
          <w:sz w:val="24"/>
          <w:szCs w:val="24"/>
        </w:rPr>
      </w:pPr>
      <w:proofErr w:type="spellStart"/>
      <w:r w:rsidRPr="00034AE2">
        <w:rPr>
          <w:iCs/>
          <w:sz w:val="24"/>
          <w:szCs w:val="24"/>
        </w:rPr>
        <w:t>Adrenokortikal</w:t>
      </w:r>
      <w:proofErr w:type="spellEnd"/>
      <w:r w:rsidRPr="00034AE2">
        <w:rPr>
          <w:iCs/>
          <w:sz w:val="24"/>
          <w:szCs w:val="24"/>
        </w:rPr>
        <w:t xml:space="preserve"> insufficiens forårsaget af </w:t>
      </w:r>
      <w:proofErr w:type="spellStart"/>
      <w:r w:rsidRPr="00034AE2">
        <w:rPr>
          <w:iCs/>
          <w:sz w:val="24"/>
          <w:szCs w:val="24"/>
        </w:rPr>
        <w:t>glukokortikoidbehandling</w:t>
      </w:r>
      <w:proofErr w:type="spellEnd"/>
      <w:r w:rsidRPr="00034AE2">
        <w:rPr>
          <w:iCs/>
          <w:sz w:val="24"/>
          <w:szCs w:val="24"/>
        </w:rPr>
        <w:t xml:space="preserve"> kan, afhængigt af dosis og varighed af behandlingen, forblive til stede i mange måneder, og i nogle tilfælde over et år, efter behandlingens ophør </w:t>
      </w:r>
      <w:r w:rsidRPr="00034AE2">
        <w:rPr>
          <w:sz w:val="24"/>
          <w:szCs w:val="24"/>
        </w:rPr>
        <w:t>(se også pkt. 4.4).</w:t>
      </w:r>
    </w:p>
    <w:p w:rsidR="00761175" w:rsidRPr="00034AE2" w:rsidRDefault="00761175" w:rsidP="00761175">
      <w:pPr>
        <w:widowControl w:val="0"/>
        <w:ind w:left="851"/>
        <w:rPr>
          <w:i/>
          <w:iCs/>
          <w:sz w:val="24"/>
          <w:szCs w:val="24"/>
        </w:rPr>
      </w:pPr>
    </w:p>
    <w:p w:rsidR="00761175" w:rsidRPr="00034AE2" w:rsidRDefault="00761175" w:rsidP="00761175">
      <w:pPr>
        <w:widowControl w:val="0"/>
        <w:numPr>
          <w:ilvl w:val="12"/>
          <w:numId w:val="0"/>
        </w:numPr>
        <w:ind w:left="851"/>
        <w:rPr>
          <w:bCs/>
          <w:i/>
          <w:noProof/>
          <w:sz w:val="24"/>
          <w:szCs w:val="24"/>
          <w:lang w:eastAsia="da-DK"/>
        </w:rPr>
      </w:pPr>
      <w:r w:rsidRPr="00034AE2">
        <w:rPr>
          <w:bCs/>
          <w:i/>
          <w:sz w:val="24"/>
          <w:szCs w:val="24"/>
        </w:rPr>
        <w:lastRenderedPageBreak/>
        <w:t>Psykologiske forandringer</w:t>
      </w:r>
    </w:p>
    <w:p w:rsidR="00761175" w:rsidRPr="00034AE2" w:rsidRDefault="00761175" w:rsidP="00761175">
      <w:pPr>
        <w:numPr>
          <w:ilvl w:val="12"/>
          <w:numId w:val="0"/>
        </w:numPr>
        <w:ind w:left="851"/>
        <w:rPr>
          <w:bCs/>
          <w:noProof/>
          <w:sz w:val="24"/>
          <w:szCs w:val="24"/>
        </w:rPr>
      </w:pPr>
      <w:r w:rsidRPr="00034AE2">
        <w:rPr>
          <w:bCs/>
          <w:sz w:val="24"/>
          <w:szCs w:val="24"/>
        </w:rPr>
        <w:t>Psykologiske forandringer manifesterer sig på forskellige måder, hvor den mest almindelige er eufori. Depression, psykotiske reaktioner og selvmordstendenser kan også opstå. Disse tilstande kan være alvorlige. De starter som regel inden</w:t>
      </w:r>
      <w:r>
        <w:rPr>
          <w:bCs/>
          <w:sz w:val="24"/>
          <w:szCs w:val="24"/>
        </w:rPr>
        <w:t xml:space="preserve"> </w:t>
      </w:r>
      <w:r w:rsidRPr="00034AE2">
        <w:rPr>
          <w:bCs/>
          <w:sz w:val="24"/>
          <w:szCs w:val="24"/>
        </w:rPr>
        <w:t xml:space="preserve">for få dage eller uger efter behandlingens start. Sandsynligheden for forekomst er større ved højere doser. De fleste af disse problemer forsvinder hvis dosis sænkes eller behandlingen stoppes </w:t>
      </w:r>
      <w:r w:rsidRPr="00034AE2">
        <w:rPr>
          <w:sz w:val="24"/>
          <w:szCs w:val="24"/>
        </w:rPr>
        <w:t>(se også pkt</w:t>
      </w:r>
      <w:r>
        <w:rPr>
          <w:sz w:val="24"/>
          <w:szCs w:val="24"/>
        </w:rPr>
        <w:t>.</w:t>
      </w:r>
      <w:r w:rsidRPr="00034AE2">
        <w:rPr>
          <w:sz w:val="24"/>
          <w:szCs w:val="24"/>
        </w:rPr>
        <w:t xml:space="preserve"> 4.4).</w:t>
      </w:r>
    </w:p>
    <w:p w:rsidR="00761175" w:rsidRPr="00034AE2" w:rsidRDefault="00761175" w:rsidP="00761175">
      <w:pPr>
        <w:widowControl w:val="0"/>
        <w:ind w:left="851"/>
        <w:rPr>
          <w:i/>
          <w:iCs/>
          <w:sz w:val="24"/>
          <w:szCs w:val="24"/>
        </w:rPr>
      </w:pPr>
    </w:p>
    <w:p w:rsidR="00761175" w:rsidRPr="00034AE2" w:rsidRDefault="00761175" w:rsidP="00761175">
      <w:pPr>
        <w:widowControl w:val="0"/>
        <w:ind w:left="851"/>
        <w:rPr>
          <w:i/>
          <w:iCs/>
          <w:sz w:val="24"/>
          <w:szCs w:val="24"/>
          <w:lang w:eastAsia="da-DK"/>
        </w:rPr>
      </w:pPr>
      <w:r w:rsidRPr="00034AE2">
        <w:rPr>
          <w:i/>
          <w:iCs/>
          <w:sz w:val="24"/>
          <w:szCs w:val="24"/>
        </w:rPr>
        <w:t>Infektioner</w:t>
      </w:r>
    </w:p>
    <w:p w:rsidR="00761175" w:rsidRPr="00034AE2" w:rsidRDefault="00761175" w:rsidP="00761175">
      <w:pPr>
        <w:widowControl w:val="0"/>
        <w:numPr>
          <w:ilvl w:val="12"/>
          <w:numId w:val="0"/>
        </w:numPr>
        <w:ind w:left="851"/>
        <w:rPr>
          <w:bCs/>
          <w:noProof/>
          <w:sz w:val="24"/>
          <w:szCs w:val="24"/>
        </w:rPr>
      </w:pPr>
      <w:r w:rsidRPr="00034AE2">
        <w:rPr>
          <w:iCs/>
          <w:sz w:val="24"/>
          <w:szCs w:val="24"/>
        </w:rPr>
        <w:t xml:space="preserve">Behandling med </w:t>
      </w:r>
      <w:proofErr w:type="spellStart"/>
      <w:r w:rsidRPr="00034AE2">
        <w:rPr>
          <w:iCs/>
          <w:sz w:val="24"/>
          <w:szCs w:val="24"/>
        </w:rPr>
        <w:t>dexamethason</w:t>
      </w:r>
      <w:proofErr w:type="spellEnd"/>
      <w:r w:rsidRPr="00034AE2">
        <w:rPr>
          <w:iCs/>
          <w:sz w:val="24"/>
          <w:szCs w:val="24"/>
        </w:rPr>
        <w:t xml:space="preserve"> kan maskere symptomerne på en eksisterende eller begyndende infektion og dermed vanskeliggøre en diagnose samt føre til en øget infektionsrisiko </w:t>
      </w:r>
      <w:r w:rsidRPr="00034AE2">
        <w:rPr>
          <w:sz w:val="24"/>
          <w:szCs w:val="24"/>
        </w:rPr>
        <w:t>(se også pkt</w:t>
      </w:r>
      <w:r>
        <w:rPr>
          <w:sz w:val="24"/>
          <w:szCs w:val="24"/>
        </w:rPr>
        <w:t>.</w:t>
      </w:r>
      <w:r w:rsidRPr="00034AE2">
        <w:rPr>
          <w:sz w:val="24"/>
          <w:szCs w:val="24"/>
        </w:rPr>
        <w:t xml:space="preserve"> 4.4).</w:t>
      </w:r>
    </w:p>
    <w:p w:rsidR="00761175" w:rsidRPr="00034AE2" w:rsidRDefault="00761175" w:rsidP="00761175">
      <w:pPr>
        <w:widowControl w:val="0"/>
        <w:ind w:left="851"/>
        <w:rPr>
          <w:iCs/>
          <w:sz w:val="24"/>
          <w:szCs w:val="24"/>
        </w:rPr>
      </w:pPr>
    </w:p>
    <w:p w:rsidR="00761175" w:rsidRPr="00034AE2" w:rsidRDefault="00761175" w:rsidP="00761175">
      <w:pPr>
        <w:widowControl w:val="0"/>
        <w:ind w:left="851"/>
        <w:rPr>
          <w:i/>
          <w:iCs/>
          <w:sz w:val="24"/>
          <w:szCs w:val="24"/>
          <w:lang w:eastAsia="da-DK"/>
        </w:rPr>
      </w:pPr>
      <w:r w:rsidRPr="00034AE2">
        <w:rPr>
          <w:i/>
          <w:iCs/>
          <w:sz w:val="24"/>
          <w:szCs w:val="24"/>
        </w:rPr>
        <w:t>Perforation af tarmen</w:t>
      </w:r>
    </w:p>
    <w:p w:rsidR="00761175" w:rsidRPr="00034AE2" w:rsidRDefault="00761175" w:rsidP="00761175">
      <w:pPr>
        <w:widowControl w:val="0"/>
        <w:ind w:left="851"/>
        <w:rPr>
          <w:iCs/>
          <w:sz w:val="24"/>
          <w:szCs w:val="24"/>
        </w:rPr>
      </w:pPr>
      <w:proofErr w:type="spellStart"/>
      <w:r w:rsidRPr="00034AE2">
        <w:rPr>
          <w:iCs/>
          <w:sz w:val="24"/>
          <w:szCs w:val="24"/>
        </w:rPr>
        <w:t>Kortikosteroider</w:t>
      </w:r>
      <w:proofErr w:type="spellEnd"/>
      <w:r w:rsidRPr="00034AE2">
        <w:rPr>
          <w:iCs/>
          <w:sz w:val="24"/>
          <w:szCs w:val="24"/>
        </w:rPr>
        <w:t xml:space="preserve"> kan være associeret med en øget risiko af perforation af </w:t>
      </w:r>
      <w:proofErr w:type="spellStart"/>
      <w:r w:rsidRPr="00034AE2">
        <w:rPr>
          <w:iCs/>
          <w:sz w:val="24"/>
          <w:szCs w:val="24"/>
        </w:rPr>
        <w:t>colon</w:t>
      </w:r>
      <w:proofErr w:type="spellEnd"/>
      <w:r w:rsidRPr="00034AE2">
        <w:rPr>
          <w:iCs/>
          <w:sz w:val="24"/>
          <w:szCs w:val="24"/>
        </w:rPr>
        <w:t xml:space="preserve"> i svær </w:t>
      </w:r>
      <w:proofErr w:type="spellStart"/>
      <w:r w:rsidRPr="00034AE2">
        <w:rPr>
          <w:iCs/>
          <w:sz w:val="24"/>
          <w:szCs w:val="24"/>
        </w:rPr>
        <w:t>ulcerativ</w:t>
      </w:r>
      <w:proofErr w:type="spellEnd"/>
      <w:r w:rsidRPr="00034AE2">
        <w:rPr>
          <w:iCs/>
          <w:sz w:val="24"/>
          <w:szCs w:val="24"/>
        </w:rPr>
        <w:t xml:space="preserve"> colitis med risiko for perforation, </w:t>
      </w:r>
      <w:proofErr w:type="spellStart"/>
      <w:r w:rsidRPr="00034AE2">
        <w:rPr>
          <w:iCs/>
          <w:sz w:val="24"/>
          <w:szCs w:val="24"/>
        </w:rPr>
        <w:t>divertikulitis</w:t>
      </w:r>
      <w:proofErr w:type="spellEnd"/>
      <w:r w:rsidRPr="00034AE2">
        <w:rPr>
          <w:iCs/>
          <w:sz w:val="24"/>
          <w:szCs w:val="24"/>
        </w:rPr>
        <w:t xml:space="preserve"> og </w:t>
      </w:r>
      <w:proofErr w:type="spellStart"/>
      <w:r w:rsidRPr="00034AE2">
        <w:rPr>
          <w:iCs/>
          <w:sz w:val="24"/>
          <w:szCs w:val="24"/>
        </w:rPr>
        <w:t>entero-anastomose</w:t>
      </w:r>
      <w:proofErr w:type="spellEnd"/>
      <w:r w:rsidRPr="00034AE2">
        <w:rPr>
          <w:iCs/>
          <w:sz w:val="24"/>
          <w:szCs w:val="24"/>
        </w:rPr>
        <w:t xml:space="preserve"> (umiddelbart postoperativt).</w:t>
      </w:r>
    </w:p>
    <w:p w:rsidR="00761175" w:rsidRPr="00034AE2" w:rsidRDefault="00761175" w:rsidP="00761175">
      <w:pPr>
        <w:widowControl w:val="0"/>
        <w:numPr>
          <w:ilvl w:val="12"/>
          <w:numId w:val="0"/>
        </w:numPr>
        <w:ind w:left="851"/>
        <w:rPr>
          <w:bCs/>
          <w:noProof/>
          <w:sz w:val="24"/>
          <w:szCs w:val="24"/>
        </w:rPr>
      </w:pPr>
      <w:r w:rsidRPr="00034AE2">
        <w:rPr>
          <w:iCs/>
          <w:sz w:val="24"/>
          <w:szCs w:val="24"/>
        </w:rPr>
        <w:t xml:space="preserve">Tegn på </w:t>
      </w:r>
      <w:proofErr w:type="spellStart"/>
      <w:r w:rsidRPr="00034AE2">
        <w:rPr>
          <w:iCs/>
          <w:sz w:val="24"/>
          <w:szCs w:val="24"/>
        </w:rPr>
        <w:t>peritoneal</w:t>
      </w:r>
      <w:proofErr w:type="spellEnd"/>
      <w:r w:rsidRPr="00034AE2">
        <w:rPr>
          <w:iCs/>
          <w:sz w:val="24"/>
          <w:szCs w:val="24"/>
        </w:rPr>
        <w:t xml:space="preserve"> irritation efter </w:t>
      </w:r>
      <w:proofErr w:type="spellStart"/>
      <w:r w:rsidRPr="00034AE2">
        <w:rPr>
          <w:iCs/>
          <w:sz w:val="24"/>
          <w:szCs w:val="24"/>
        </w:rPr>
        <w:t>gastrointestinal</w:t>
      </w:r>
      <w:proofErr w:type="spellEnd"/>
      <w:r w:rsidRPr="00034AE2">
        <w:rPr>
          <w:iCs/>
          <w:sz w:val="24"/>
          <w:szCs w:val="24"/>
        </w:rPr>
        <w:t xml:space="preserve"> perforation kan udeblive hos patienter, der modtager høje doser </w:t>
      </w:r>
      <w:proofErr w:type="spellStart"/>
      <w:r w:rsidRPr="00034AE2">
        <w:rPr>
          <w:iCs/>
          <w:sz w:val="24"/>
          <w:szCs w:val="24"/>
        </w:rPr>
        <w:t>glukokortikoider</w:t>
      </w:r>
      <w:proofErr w:type="spellEnd"/>
      <w:r w:rsidRPr="00034AE2">
        <w:rPr>
          <w:iCs/>
          <w:sz w:val="24"/>
          <w:szCs w:val="24"/>
        </w:rPr>
        <w:t xml:space="preserve"> </w:t>
      </w:r>
      <w:r w:rsidRPr="00034AE2">
        <w:rPr>
          <w:sz w:val="24"/>
          <w:szCs w:val="24"/>
        </w:rPr>
        <w:t>(se også pkt</w:t>
      </w:r>
      <w:r>
        <w:rPr>
          <w:sz w:val="24"/>
          <w:szCs w:val="24"/>
        </w:rPr>
        <w:t>.</w:t>
      </w:r>
      <w:r w:rsidRPr="00034AE2">
        <w:rPr>
          <w:sz w:val="24"/>
          <w:szCs w:val="24"/>
        </w:rPr>
        <w:t xml:space="preserve"> 4.4).</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
          <w:iCs/>
          <w:sz w:val="24"/>
          <w:szCs w:val="24"/>
          <w:lang w:eastAsia="da-DK"/>
        </w:rPr>
      </w:pPr>
      <w:proofErr w:type="spellStart"/>
      <w:r w:rsidRPr="00034AE2">
        <w:rPr>
          <w:i/>
          <w:iCs/>
          <w:sz w:val="24"/>
          <w:szCs w:val="24"/>
        </w:rPr>
        <w:t>Kardiovaskulære</w:t>
      </w:r>
      <w:proofErr w:type="spellEnd"/>
      <w:r w:rsidRPr="00034AE2">
        <w:rPr>
          <w:i/>
          <w:iCs/>
          <w:sz w:val="24"/>
          <w:szCs w:val="24"/>
        </w:rPr>
        <w:t xml:space="preserve"> forstyrrelser</w:t>
      </w:r>
    </w:p>
    <w:p w:rsidR="00761175" w:rsidRPr="00034AE2" w:rsidRDefault="00761175" w:rsidP="00761175">
      <w:pPr>
        <w:widowControl w:val="0"/>
        <w:ind w:left="851"/>
        <w:rPr>
          <w:iCs/>
          <w:sz w:val="24"/>
          <w:szCs w:val="24"/>
        </w:rPr>
      </w:pPr>
      <w:r w:rsidRPr="00034AE2">
        <w:rPr>
          <w:iCs/>
          <w:sz w:val="24"/>
          <w:szCs w:val="24"/>
        </w:rPr>
        <w:t xml:space="preserve">Bradykardi, forværring af alvorlig hjerteinsufficiens og svært regulerbart forhøjet blodtryk kan forekomme. Forsigtighed bør udvises når </w:t>
      </w:r>
      <w:proofErr w:type="spellStart"/>
      <w:r w:rsidRPr="00034AE2">
        <w:rPr>
          <w:iCs/>
          <w:sz w:val="24"/>
          <w:szCs w:val="24"/>
        </w:rPr>
        <w:t>kortikosteroider</w:t>
      </w:r>
      <w:proofErr w:type="spellEnd"/>
      <w:r w:rsidRPr="00034AE2">
        <w:rPr>
          <w:iCs/>
          <w:sz w:val="24"/>
          <w:szCs w:val="24"/>
        </w:rPr>
        <w:t xml:space="preserve"> bruges i patienter, som for nyligt har haft et myokardieinfarkt, da </w:t>
      </w:r>
      <w:proofErr w:type="spellStart"/>
      <w:r w:rsidRPr="00034AE2">
        <w:rPr>
          <w:iCs/>
          <w:sz w:val="24"/>
          <w:szCs w:val="24"/>
        </w:rPr>
        <w:t>myokardieruptur</w:t>
      </w:r>
      <w:proofErr w:type="spellEnd"/>
      <w:r w:rsidRPr="00034AE2">
        <w:rPr>
          <w:iCs/>
          <w:sz w:val="24"/>
          <w:szCs w:val="24"/>
        </w:rPr>
        <w:t xml:space="preserve"> er blevet rapporteret </w:t>
      </w:r>
      <w:r w:rsidRPr="00034AE2">
        <w:rPr>
          <w:sz w:val="24"/>
          <w:szCs w:val="24"/>
        </w:rPr>
        <w:t>(se også pkt</w:t>
      </w:r>
      <w:r>
        <w:rPr>
          <w:sz w:val="24"/>
          <w:szCs w:val="24"/>
        </w:rPr>
        <w:t>.</w:t>
      </w:r>
      <w:r w:rsidRPr="00034AE2">
        <w:rPr>
          <w:sz w:val="24"/>
          <w:szCs w:val="24"/>
        </w:rPr>
        <w:t xml:space="preserve"> 4.4).</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Cs/>
          <w:sz w:val="24"/>
          <w:szCs w:val="24"/>
          <w:u w:val="single"/>
          <w:lang w:eastAsia="da-DK"/>
        </w:rPr>
      </w:pPr>
      <w:r w:rsidRPr="00034AE2">
        <w:rPr>
          <w:iCs/>
          <w:sz w:val="24"/>
          <w:szCs w:val="24"/>
          <w:u w:val="single"/>
        </w:rPr>
        <w:t>Pædiatrisk population</w:t>
      </w:r>
    </w:p>
    <w:p w:rsidR="00761175" w:rsidRPr="00034AE2" w:rsidRDefault="00761175" w:rsidP="00761175">
      <w:pPr>
        <w:widowControl w:val="0"/>
        <w:ind w:left="851"/>
        <w:rPr>
          <w:iCs/>
          <w:sz w:val="24"/>
          <w:szCs w:val="24"/>
        </w:rPr>
      </w:pPr>
      <w:proofErr w:type="spellStart"/>
      <w:r w:rsidRPr="00034AE2">
        <w:rPr>
          <w:iCs/>
          <w:sz w:val="24"/>
          <w:szCs w:val="24"/>
        </w:rPr>
        <w:t>Kortikosteroider</w:t>
      </w:r>
      <w:proofErr w:type="spellEnd"/>
      <w:r w:rsidRPr="00034AE2">
        <w:rPr>
          <w:iCs/>
          <w:sz w:val="24"/>
          <w:szCs w:val="24"/>
        </w:rPr>
        <w:t xml:space="preserve"> forårsager en dosisafhængig hæmning af vækst i spædbarnsalderen, barndommen og ungdommen, da </w:t>
      </w:r>
      <w:proofErr w:type="spellStart"/>
      <w:r w:rsidRPr="00034AE2">
        <w:rPr>
          <w:iCs/>
          <w:sz w:val="24"/>
          <w:szCs w:val="24"/>
        </w:rPr>
        <w:t>kortikosteroider</w:t>
      </w:r>
      <w:proofErr w:type="spellEnd"/>
      <w:r w:rsidRPr="00034AE2">
        <w:rPr>
          <w:iCs/>
          <w:sz w:val="24"/>
          <w:szCs w:val="24"/>
        </w:rPr>
        <w:t xml:space="preserve"> kan lede til en tidlig lukning af </w:t>
      </w:r>
      <w:proofErr w:type="spellStart"/>
      <w:r w:rsidRPr="00034AE2">
        <w:rPr>
          <w:iCs/>
          <w:sz w:val="24"/>
          <w:szCs w:val="24"/>
        </w:rPr>
        <w:t>epifyserne</w:t>
      </w:r>
      <w:proofErr w:type="spellEnd"/>
      <w:r w:rsidRPr="00034AE2">
        <w:rPr>
          <w:iCs/>
          <w:sz w:val="24"/>
          <w:szCs w:val="24"/>
        </w:rPr>
        <w:t xml:space="preserve">, som kan være irreversibel </w:t>
      </w:r>
      <w:r w:rsidRPr="00034AE2">
        <w:rPr>
          <w:sz w:val="24"/>
          <w:szCs w:val="24"/>
        </w:rPr>
        <w:t>(se også pkt</w:t>
      </w:r>
      <w:r>
        <w:rPr>
          <w:sz w:val="24"/>
          <w:szCs w:val="24"/>
        </w:rPr>
        <w:t>.</w:t>
      </w:r>
      <w:r w:rsidRPr="00034AE2">
        <w:rPr>
          <w:sz w:val="24"/>
          <w:szCs w:val="24"/>
        </w:rPr>
        <w:t xml:space="preserve"> 4.4).</w:t>
      </w:r>
    </w:p>
    <w:p w:rsidR="00761175" w:rsidRPr="00034AE2" w:rsidRDefault="00761175" w:rsidP="00761175">
      <w:pPr>
        <w:widowControl w:val="0"/>
        <w:ind w:left="851" w:hanging="851"/>
        <w:rPr>
          <w:iCs/>
          <w:sz w:val="24"/>
          <w:szCs w:val="24"/>
        </w:rPr>
      </w:pPr>
    </w:p>
    <w:p w:rsidR="00761175" w:rsidRPr="00034AE2" w:rsidRDefault="00761175" w:rsidP="00761175">
      <w:pPr>
        <w:widowControl w:val="0"/>
        <w:ind w:left="851"/>
        <w:rPr>
          <w:iCs/>
          <w:sz w:val="24"/>
          <w:szCs w:val="24"/>
          <w:u w:val="single"/>
          <w:lang w:eastAsia="da-DK"/>
        </w:rPr>
      </w:pPr>
      <w:r w:rsidRPr="00034AE2">
        <w:rPr>
          <w:iCs/>
          <w:sz w:val="24"/>
          <w:szCs w:val="24"/>
          <w:u w:val="single"/>
        </w:rPr>
        <w:t>Ældre</w:t>
      </w:r>
    </w:p>
    <w:p w:rsidR="00761175" w:rsidRPr="00034AE2" w:rsidRDefault="00761175" w:rsidP="00761175">
      <w:pPr>
        <w:widowControl w:val="0"/>
        <w:autoSpaceDE w:val="0"/>
        <w:autoSpaceDN w:val="0"/>
        <w:adjustRightInd w:val="0"/>
        <w:ind w:left="851"/>
        <w:rPr>
          <w:iCs/>
          <w:sz w:val="24"/>
          <w:szCs w:val="24"/>
        </w:rPr>
      </w:pPr>
      <w:r w:rsidRPr="00034AE2">
        <w:rPr>
          <w:iCs/>
          <w:sz w:val="24"/>
          <w:szCs w:val="24"/>
        </w:rPr>
        <w:t xml:space="preserve">Bivirkningerne af systemiske </w:t>
      </w:r>
      <w:proofErr w:type="spellStart"/>
      <w:r w:rsidRPr="00034AE2">
        <w:rPr>
          <w:iCs/>
          <w:sz w:val="24"/>
          <w:szCs w:val="24"/>
        </w:rPr>
        <w:t>kortikosteroider</w:t>
      </w:r>
      <w:proofErr w:type="spellEnd"/>
      <w:r w:rsidRPr="00034AE2">
        <w:rPr>
          <w:iCs/>
          <w:sz w:val="24"/>
          <w:szCs w:val="24"/>
        </w:rPr>
        <w:t xml:space="preserve"> kan få alvorlige konsekvenser, især hos ældre patienter. Det gælder hovedsageligt osteoporose, hypertension, </w:t>
      </w:r>
      <w:proofErr w:type="spellStart"/>
      <w:r w:rsidRPr="00034AE2">
        <w:rPr>
          <w:iCs/>
          <w:sz w:val="24"/>
          <w:szCs w:val="24"/>
        </w:rPr>
        <w:t>hypokalæmi</w:t>
      </w:r>
      <w:proofErr w:type="spellEnd"/>
      <w:r w:rsidRPr="00034AE2">
        <w:rPr>
          <w:iCs/>
          <w:sz w:val="24"/>
          <w:szCs w:val="24"/>
        </w:rPr>
        <w:t>, diabetes, modtagelighed over</w:t>
      </w:r>
      <w:r>
        <w:rPr>
          <w:iCs/>
          <w:sz w:val="24"/>
          <w:szCs w:val="24"/>
        </w:rPr>
        <w:t xml:space="preserve"> </w:t>
      </w:r>
      <w:r w:rsidRPr="00034AE2">
        <w:rPr>
          <w:iCs/>
          <w:sz w:val="24"/>
          <w:szCs w:val="24"/>
        </w:rPr>
        <w:t xml:space="preserve">for infektioner samt atrofi af huden </w:t>
      </w:r>
      <w:r w:rsidRPr="00034AE2">
        <w:rPr>
          <w:sz w:val="24"/>
          <w:szCs w:val="24"/>
        </w:rPr>
        <w:t>(se også pkt</w:t>
      </w:r>
      <w:r>
        <w:rPr>
          <w:sz w:val="24"/>
          <w:szCs w:val="24"/>
        </w:rPr>
        <w:t>.</w:t>
      </w:r>
      <w:r w:rsidRPr="00034AE2">
        <w:rPr>
          <w:sz w:val="24"/>
          <w:szCs w:val="24"/>
        </w:rPr>
        <w:t xml:space="preserve"> 4.4).</w:t>
      </w:r>
    </w:p>
    <w:p w:rsidR="00761175" w:rsidRPr="00034AE2" w:rsidRDefault="00761175" w:rsidP="00761175">
      <w:pPr>
        <w:widowControl w:val="0"/>
        <w:autoSpaceDE w:val="0"/>
        <w:autoSpaceDN w:val="0"/>
        <w:adjustRightInd w:val="0"/>
        <w:ind w:left="851" w:hanging="851"/>
        <w:rPr>
          <w:iCs/>
          <w:sz w:val="24"/>
          <w:szCs w:val="24"/>
        </w:rPr>
      </w:pPr>
    </w:p>
    <w:p w:rsidR="00761175" w:rsidRDefault="00761175" w:rsidP="00761175">
      <w:pPr>
        <w:widowControl w:val="0"/>
        <w:autoSpaceDE w:val="0"/>
        <w:autoSpaceDN w:val="0"/>
        <w:adjustRightInd w:val="0"/>
        <w:ind w:left="851"/>
        <w:rPr>
          <w:sz w:val="24"/>
          <w:szCs w:val="24"/>
          <w:u w:val="single"/>
          <w:lang w:eastAsia="da-DK"/>
        </w:rPr>
      </w:pPr>
      <w:r>
        <w:rPr>
          <w:sz w:val="24"/>
          <w:szCs w:val="24"/>
          <w:u w:val="single"/>
        </w:rPr>
        <w:t>Indberetning af formodede bivirkninger</w:t>
      </w:r>
    </w:p>
    <w:p w:rsidR="00761175" w:rsidRDefault="00761175" w:rsidP="00761175">
      <w:pPr>
        <w:widowControl w:val="0"/>
        <w:autoSpaceDE w:val="0"/>
        <w:autoSpaceDN w:val="0"/>
        <w:adjustRightInd w:val="0"/>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w:t>
      </w:r>
      <w:r w:rsidRPr="0026733D">
        <w:rPr>
          <w:sz w:val="24"/>
          <w:szCs w:val="24"/>
        </w:rPr>
        <w:t>. Sundhedspersoner</w:t>
      </w:r>
      <w:r>
        <w:rPr>
          <w:sz w:val="24"/>
          <w:szCs w:val="24"/>
        </w:rPr>
        <w:t xml:space="preserve"> anmodes om at indberette alle formodede bivirkninger via:</w:t>
      </w:r>
    </w:p>
    <w:p w:rsidR="00761175" w:rsidRDefault="00761175" w:rsidP="00761175">
      <w:pPr>
        <w:widowControl w:val="0"/>
        <w:autoSpaceDE w:val="0"/>
        <w:autoSpaceDN w:val="0"/>
        <w:adjustRightInd w:val="0"/>
        <w:ind w:left="851"/>
        <w:rPr>
          <w:sz w:val="24"/>
          <w:szCs w:val="24"/>
        </w:rPr>
      </w:pPr>
    </w:p>
    <w:p w:rsidR="00761175" w:rsidRDefault="00761175" w:rsidP="0080782D">
      <w:pPr>
        <w:keepNext/>
        <w:widowControl w:val="0"/>
        <w:autoSpaceDE w:val="0"/>
        <w:autoSpaceDN w:val="0"/>
        <w:adjustRightInd w:val="0"/>
        <w:ind w:left="851"/>
        <w:rPr>
          <w:sz w:val="24"/>
          <w:szCs w:val="24"/>
        </w:rPr>
      </w:pPr>
      <w:r>
        <w:rPr>
          <w:sz w:val="24"/>
          <w:szCs w:val="24"/>
        </w:rPr>
        <w:t>Lægemiddelstyrelsen</w:t>
      </w:r>
    </w:p>
    <w:p w:rsidR="00761175" w:rsidRDefault="00761175" w:rsidP="0080782D">
      <w:pPr>
        <w:keepNext/>
        <w:widowControl w:val="0"/>
        <w:autoSpaceDE w:val="0"/>
        <w:autoSpaceDN w:val="0"/>
        <w:adjustRightInd w:val="0"/>
        <w:ind w:left="851"/>
        <w:rPr>
          <w:sz w:val="24"/>
          <w:szCs w:val="24"/>
        </w:rPr>
      </w:pPr>
      <w:r>
        <w:rPr>
          <w:sz w:val="24"/>
          <w:szCs w:val="24"/>
        </w:rPr>
        <w:t>Axel Heides Gade 1</w:t>
      </w:r>
    </w:p>
    <w:p w:rsidR="00761175" w:rsidRDefault="00761175" w:rsidP="0080782D">
      <w:pPr>
        <w:keepNext/>
        <w:widowControl w:val="0"/>
        <w:autoSpaceDE w:val="0"/>
        <w:autoSpaceDN w:val="0"/>
        <w:adjustRightInd w:val="0"/>
        <w:ind w:left="851"/>
        <w:rPr>
          <w:sz w:val="24"/>
          <w:szCs w:val="24"/>
        </w:rPr>
      </w:pPr>
      <w:r>
        <w:rPr>
          <w:sz w:val="24"/>
          <w:szCs w:val="24"/>
        </w:rPr>
        <w:t>DK-2300 København S</w:t>
      </w:r>
    </w:p>
    <w:p w:rsidR="00761175" w:rsidRDefault="00761175" w:rsidP="00761175">
      <w:pPr>
        <w:widowControl w:val="0"/>
        <w:autoSpaceDE w:val="0"/>
        <w:autoSpaceDN w:val="0"/>
        <w:adjustRightInd w:val="0"/>
        <w:ind w:left="851"/>
        <w:rPr>
          <w:sz w:val="24"/>
          <w:szCs w:val="24"/>
        </w:rPr>
      </w:pPr>
      <w:r>
        <w:rPr>
          <w:sz w:val="24"/>
          <w:szCs w:val="24"/>
        </w:rPr>
        <w:t>Websted: www.meldenbivirkning.dk</w:t>
      </w:r>
    </w:p>
    <w:p w:rsidR="0050403C" w:rsidRPr="00E05AF9" w:rsidRDefault="0050403C" w:rsidP="0050403C">
      <w:pPr>
        <w:pStyle w:val="Sidehoved"/>
        <w:tabs>
          <w:tab w:val="clear" w:pos="4819"/>
          <w:tab w:val="clear" w:pos="9638"/>
        </w:tabs>
        <w:ind w:left="851" w:hanging="851"/>
        <w:rPr>
          <w:szCs w:val="24"/>
        </w:rPr>
      </w:pPr>
    </w:p>
    <w:p w:rsidR="0050403C" w:rsidRPr="00034AE2" w:rsidRDefault="0050403C" w:rsidP="0050403C">
      <w:pPr>
        <w:ind w:left="851" w:hanging="851"/>
        <w:rPr>
          <w:b/>
          <w:sz w:val="24"/>
          <w:szCs w:val="24"/>
        </w:rPr>
      </w:pPr>
      <w:r w:rsidRPr="00034AE2">
        <w:rPr>
          <w:b/>
          <w:sz w:val="24"/>
          <w:szCs w:val="24"/>
        </w:rPr>
        <w:t>4.9</w:t>
      </w:r>
      <w:r w:rsidRPr="00034AE2">
        <w:rPr>
          <w:b/>
          <w:sz w:val="24"/>
          <w:szCs w:val="24"/>
        </w:rPr>
        <w:tab/>
        <w:t>Overdosering</w:t>
      </w:r>
    </w:p>
    <w:p w:rsidR="0050403C" w:rsidRDefault="0050403C" w:rsidP="0050403C">
      <w:pPr>
        <w:widowControl w:val="0"/>
        <w:ind w:left="851" w:hanging="851"/>
        <w:rPr>
          <w:iCs/>
          <w:sz w:val="24"/>
          <w:szCs w:val="24"/>
          <w:u w:val="single"/>
        </w:rPr>
      </w:pPr>
    </w:p>
    <w:p w:rsidR="0050403C" w:rsidRPr="00034AE2" w:rsidRDefault="0050403C" w:rsidP="0050403C">
      <w:pPr>
        <w:widowControl w:val="0"/>
        <w:ind w:left="851"/>
        <w:rPr>
          <w:iCs/>
          <w:sz w:val="24"/>
          <w:szCs w:val="24"/>
          <w:u w:val="single"/>
          <w:lang w:eastAsia="da-DK"/>
        </w:rPr>
      </w:pPr>
      <w:r w:rsidRPr="00034AE2">
        <w:rPr>
          <w:iCs/>
          <w:sz w:val="24"/>
          <w:szCs w:val="24"/>
          <w:u w:val="single"/>
        </w:rPr>
        <w:t>Symptomer</w:t>
      </w:r>
    </w:p>
    <w:p w:rsidR="0050403C" w:rsidRPr="00034AE2" w:rsidRDefault="0050403C" w:rsidP="0050403C">
      <w:pPr>
        <w:widowControl w:val="0"/>
        <w:ind w:left="851"/>
        <w:rPr>
          <w:sz w:val="24"/>
          <w:szCs w:val="24"/>
        </w:rPr>
      </w:pPr>
      <w:r w:rsidRPr="00034AE2">
        <w:rPr>
          <w:sz w:val="24"/>
          <w:szCs w:val="24"/>
        </w:rPr>
        <w:t xml:space="preserve">Der rapporteres sjældent akut toksicitet og/eller dødsfald efter overdosering med </w:t>
      </w:r>
      <w:proofErr w:type="spellStart"/>
      <w:r w:rsidRPr="00034AE2">
        <w:rPr>
          <w:sz w:val="24"/>
          <w:szCs w:val="24"/>
        </w:rPr>
        <w:t>glukokortikoider</w:t>
      </w:r>
      <w:proofErr w:type="spellEnd"/>
      <w:r w:rsidRPr="00034AE2">
        <w:rPr>
          <w:sz w:val="24"/>
          <w:szCs w:val="24"/>
        </w:rPr>
        <w:t>.</w:t>
      </w:r>
    </w:p>
    <w:p w:rsidR="0050403C" w:rsidRPr="00034AE2" w:rsidRDefault="0050403C" w:rsidP="0050403C">
      <w:pPr>
        <w:widowControl w:val="0"/>
        <w:ind w:left="851"/>
        <w:rPr>
          <w:sz w:val="24"/>
          <w:szCs w:val="24"/>
        </w:rPr>
      </w:pPr>
      <w:r w:rsidRPr="00034AE2">
        <w:rPr>
          <w:sz w:val="24"/>
          <w:szCs w:val="24"/>
        </w:rPr>
        <w:lastRenderedPageBreak/>
        <w:t xml:space="preserve">Overdosis eller længerevarende brug kan forværre bivirkningerne af </w:t>
      </w:r>
      <w:proofErr w:type="spellStart"/>
      <w:r w:rsidRPr="00034AE2">
        <w:rPr>
          <w:sz w:val="24"/>
          <w:szCs w:val="24"/>
        </w:rPr>
        <w:t>glukokortikoider</w:t>
      </w:r>
      <w:proofErr w:type="spellEnd"/>
      <w:r w:rsidRPr="00034AE2">
        <w:rPr>
          <w:sz w:val="24"/>
          <w:szCs w:val="24"/>
        </w:rPr>
        <w:t>.</w:t>
      </w:r>
    </w:p>
    <w:p w:rsidR="0050403C" w:rsidRPr="00034AE2" w:rsidRDefault="0050403C" w:rsidP="0050403C">
      <w:pPr>
        <w:widowControl w:val="0"/>
        <w:ind w:left="851" w:hanging="851"/>
        <w:rPr>
          <w:iCs/>
          <w:sz w:val="24"/>
          <w:szCs w:val="24"/>
          <w:u w:val="single"/>
        </w:rPr>
      </w:pPr>
    </w:p>
    <w:p w:rsidR="0050403C" w:rsidRPr="00034AE2" w:rsidRDefault="0050403C" w:rsidP="0050403C">
      <w:pPr>
        <w:widowControl w:val="0"/>
        <w:ind w:left="851"/>
        <w:rPr>
          <w:iCs/>
          <w:sz w:val="24"/>
          <w:szCs w:val="24"/>
          <w:u w:val="single"/>
          <w:lang w:eastAsia="da-DK"/>
        </w:rPr>
      </w:pPr>
      <w:r w:rsidRPr="00034AE2">
        <w:rPr>
          <w:iCs/>
          <w:sz w:val="24"/>
          <w:szCs w:val="24"/>
          <w:u w:val="single"/>
        </w:rPr>
        <w:t>Behandling</w:t>
      </w:r>
    </w:p>
    <w:p w:rsidR="0050403C" w:rsidRPr="00034AE2" w:rsidRDefault="0050403C" w:rsidP="0050403C">
      <w:pPr>
        <w:widowControl w:val="0"/>
        <w:ind w:left="851"/>
        <w:rPr>
          <w:sz w:val="24"/>
          <w:szCs w:val="24"/>
        </w:rPr>
      </w:pPr>
      <w:r w:rsidRPr="00034AE2">
        <w:rPr>
          <w:sz w:val="24"/>
          <w:szCs w:val="24"/>
        </w:rPr>
        <w:t xml:space="preserve">Der findes ingen </w:t>
      </w:r>
      <w:proofErr w:type="spellStart"/>
      <w:r w:rsidRPr="00034AE2">
        <w:rPr>
          <w:sz w:val="24"/>
          <w:szCs w:val="24"/>
        </w:rPr>
        <w:t>antidot</w:t>
      </w:r>
      <w:proofErr w:type="spellEnd"/>
      <w:r w:rsidRPr="00034AE2">
        <w:rPr>
          <w:sz w:val="24"/>
          <w:szCs w:val="24"/>
        </w:rPr>
        <w:t xml:space="preserve">. Behandlingen bør være symptomatisk og støttende og med en reduktion og langsom </w:t>
      </w:r>
      <w:proofErr w:type="spellStart"/>
      <w:r w:rsidRPr="00034AE2">
        <w:rPr>
          <w:sz w:val="24"/>
          <w:szCs w:val="24"/>
        </w:rPr>
        <w:t>seponering</w:t>
      </w:r>
      <w:proofErr w:type="spellEnd"/>
      <w:r w:rsidRPr="00034AE2">
        <w:rPr>
          <w:sz w:val="24"/>
          <w:szCs w:val="24"/>
        </w:rPr>
        <w:t xml:space="preserve"> af </w:t>
      </w:r>
      <w:proofErr w:type="spellStart"/>
      <w:r w:rsidRPr="00034AE2">
        <w:rPr>
          <w:sz w:val="24"/>
          <w:szCs w:val="24"/>
        </w:rPr>
        <w:t>dexamethason</w:t>
      </w:r>
      <w:proofErr w:type="spellEnd"/>
      <w:r w:rsidRPr="00034AE2">
        <w:rPr>
          <w:sz w:val="24"/>
          <w:szCs w:val="24"/>
        </w:rPr>
        <w:t>, hvor det er muligt. Behandling er sandsynligvis ikke indikeret for reaktioner, der er forårsaget af kronisk forgiftning, med mindre patienten har en lidelse, der gør ham/hende usædvanligt følsom over</w:t>
      </w:r>
      <w:r>
        <w:rPr>
          <w:sz w:val="24"/>
          <w:szCs w:val="24"/>
        </w:rPr>
        <w:t xml:space="preserve"> </w:t>
      </w:r>
      <w:r w:rsidRPr="00034AE2">
        <w:rPr>
          <w:sz w:val="24"/>
          <w:szCs w:val="24"/>
        </w:rPr>
        <w:t xml:space="preserve">for bivirkninger af </w:t>
      </w:r>
      <w:proofErr w:type="spellStart"/>
      <w:r w:rsidRPr="00034AE2">
        <w:rPr>
          <w:sz w:val="24"/>
          <w:szCs w:val="24"/>
        </w:rPr>
        <w:t>kortikosteroider</w:t>
      </w:r>
      <w:proofErr w:type="spellEnd"/>
      <w:r w:rsidRPr="00034AE2">
        <w:rPr>
          <w:sz w:val="24"/>
          <w:szCs w:val="24"/>
        </w:rPr>
        <w:t xml:space="preserve">. I sådan et tilfælde bør maveindholdet fjernes og symptomatisk behandling igangsættes som omstændighederne kræver det. </w:t>
      </w:r>
      <w:proofErr w:type="spellStart"/>
      <w:r w:rsidRPr="00034AE2">
        <w:rPr>
          <w:sz w:val="24"/>
          <w:szCs w:val="24"/>
        </w:rPr>
        <w:t>Anafylatiske</w:t>
      </w:r>
      <w:proofErr w:type="spellEnd"/>
      <w:r w:rsidRPr="00034AE2">
        <w:rPr>
          <w:sz w:val="24"/>
          <w:szCs w:val="24"/>
        </w:rPr>
        <w:t xml:space="preserve"> og hypersensitivitetsreaktioner kan behandles med adrenalin, overtryksventilation og </w:t>
      </w:r>
      <w:proofErr w:type="spellStart"/>
      <w:r w:rsidRPr="00034AE2">
        <w:rPr>
          <w:sz w:val="24"/>
          <w:szCs w:val="24"/>
        </w:rPr>
        <w:t>aminophyllin</w:t>
      </w:r>
      <w:proofErr w:type="spellEnd"/>
      <w:r w:rsidRPr="00034AE2">
        <w:rPr>
          <w:sz w:val="24"/>
          <w:szCs w:val="24"/>
        </w:rPr>
        <w:t xml:space="preserve">. Patienten bør holdes varm og i ro. </w:t>
      </w:r>
      <w:proofErr w:type="spellStart"/>
      <w:r w:rsidRPr="00034AE2">
        <w:rPr>
          <w:sz w:val="24"/>
          <w:szCs w:val="24"/>
        </w:rPr>
        <w:t>Dexamethasons</w:t>
      </w:r>
      <w:proofErr w:type="spellEnd"/>
      <w:r w:rsidRPr="00034AE2">
        <w:rPr>
          <w:sz w:val="24"/>
          <w:szCs w:val="24"/>
        </w:rPr>
        <w:t xml:space="preserve"> biologiske halveringstid i plasma er omkring 190 minutter.</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4.10</w:t>
      </w:r>
      <w:r w:rsidRPr="00034AE2">
        <w:rPr>
          <w:b/>
          <w:sz w:val="24"/>
          <w:szCs w:val="24"/>
        </w:rPr>
        <w:tab/>
        <w:t>Udlevering</w:t>
      </w:r>
    </w:p>
    <w:p w:rsidR="0050403C" w:rsidRPr="00034AE2" w:rsidRDefault="0050403C" w:rsidP="0050403C">
      <w:pPr>
        <w:ind w:left="851"/>
        <w:rPr>
          <w:sz w:val="24"/>
          <w:szCs w:val="24"/>
        </w:rPr>
      </w:pPr>
      <w:r w:rsidRPr="00034AE2">
        <w:rPr>
          <w:sz w:val="24"/>
          <w:szCs w:val="24"/>
        </w:rPr>
        <w:t>B</w:t>
      </w:r>
    </w:p>
    <w:p w:rsidR="0050403C" w:rsidRPr="00034AE2" w:rsidRDefault="0050403C" w:rsidP="0050403C">
      <w:pPr>
        <w:ind w:left="851" w:hanging="851"/>
        <w:rPr>
          <w:sz w:val="24"/>
          <w:szCs w:val="24"/>
        </w:rPr>
      </w:pPr>
    </w:p>
    <w:p w:rsidR="0050403C" w:rsidRPr="00034AE2" w:rsidRDefault="0050403C" w:rsidP="0050403C">
      <w:pPr>
        <w:ind w:left="851" w:hanging="851"/>
        <w:rPr>
          <w:sz w:val="24"/>
          <w:szCs w:val="24"/>
        </w:rPr>
      </w:pPr>
    </w:p>
    <w:p w:rsidR="0050403C" w:rsidRPr="00474A35" w:rsidRDefault="0050403C" w:rsidP="00474A35">
      <w:pPr>
        <w:ind w:left="851" w:hanging="851"/>
        <w:rPr>
          <w:b/>
          <w:sz w:val="24"/>
          <w:szCs w:val="24"/>
        </w:rPr>
      </w:pPr>
      <w:r w:rsidRPr="00034AE2">
        <w:rPr>
          <w:b/>
          <w:sz w:val="24"/>
          <w:szCs w:val="24"/>
        </w:rPr>
        <w:t>5.</w:t>
      </w:r>
      <w:r w:rsidRPr="00034AE2">
        <w:rPr>
          <w:b/>
          <w:sz w:val="24"/>
          <w:szCs w:val="24"/>
        </w:rPr>
        <w:tab/>
        <w:t>FARMAKOLOGISKE EGENSKABER</w:t>
      </w:r>
      <w:r w:rsidRPr="00034AE2">
        <w:rPr>
          <w:sz w:val="24"/>
          <w:szCs w:val="24"/>
        </w:rPr>
        <w:t xml:space="preserve"> </w:t>
      </w:r>
    </w:p>
    <w:p w:rsidR="0050403C" w:rsidRPr="00034AE2" w:rsidRDefault="0050403C" w:rsidP="0050403C">
      <w:pPr>
        <w:ind w:left="851" w:hanging="851"/>
        <w:rPr>
          <w:sz w:val="24"/>
          <w:szCs w:val="24"/>
        </w:rPr>
      </w:pPr>
    </w:p>
    <w:p w:rsidR="0050403C" w:rsidRDefault="0050403C" w:rsidP="0050403C">
      <w:pPr>
        <w:ind w:left="851" w:hanging="851"/>
        <w:rPr>
          <w:b/>
          <w:sz w:val="24"/>
          <w:szCs w:val="24"/>
        </w:rPr>
      </w:pPr>
      <w:r w:rsidRPr="00034AE2">
        <w:rPr>
          <w:b/>
          <w:sz w:val="24"/>
          <w:szCs w:val="24"/>
        </w:rPr>
        <w:t>5.1</w:t>
      </w:r>
      <w:r w:rsidRPr="00034AE2">
        <w:rPr>
          <w:b/>
          <w:sz w:val="24"/>
          <w:szCs w:val="24"/>
        </w:rPr>
        <w:tab/>
      </w:r>
      <w:proofErr w:type="spellStart"/>
      <w:r w:rsidRPr="00034AE2">
        <w:rPr>
          <w:b/>
          <w:sz w:val="24"/>
          <w:szCs w:val="24"/>
        </w:rPr>
        <w:t>Farmakodynamiske</w:t>
      </w:r>
      <w:proofErr w:type="spellEnd"/>
      <w:r w:rsidRPr="00034AE2">
        <w:rPr>
          <w:b/>
          <w:sz w:val="24"/>
          <w:szCs w:val="24"/>
        </w:rPr>
        <w:t xml:space="preserve"> egenskaber</w:t>
      </w:r>
    </w:p>
    <w:p w:rsidR="00474A35" w:rsidRDefault="00474A35" w:rsidP="00474A35">
      <w:pPr>
        <w:ind w:left="851" w:hanging="851"/>
        <w:rPr>
          <w:b/>
          <w:sz w:val="24"/>
          <w:szCs w:val="24"/>
        </w:rPr>
      </w:pPr>
      <w:r>
        <w:rPr>
          <w:b/>
          <w:sz w:val="24"/>
          <w:szCs w:val="24"/>
        </w:rPr>
        <w:tab/>
      </w:r>
      <w:proofErr w:type="spellStart"/>
      <w:r>
        <w:rPr>
          <w:b/>
          <w:sz w:val="24"/>
          <w:szCs w:val="24"/>
        </w:rPr>
        <w:t>Farmakoterapeutisk</w:t>
      </w:r>
      <w:proofErr w:type="spellEnd"/>
      <w:r>
        <w:rPr>
          <w:b/>
          <w:sz w:val="24"/>
          <w:szCs w:val="24"/>
        </w:rPr>
        <w:t xml:space="preserve"> klassifikation: </w:t>
      </w:r>
      <w:proofErr w:type="spellStart"/>
      <w:r>
        <w:rPr>
          <w:sz w:val="24"/>
          <w:szCs w:val="24"/>
        </w:rPr>
        <w:t>Korticosteroider</w:t>
      </w:r>
      <w:proofErr w:type="spellEnd"/>
      <w:r>
        <w:rPr>
          <w:sz w:val="24"/>
          <w:szCs w:val="24"/>
        </w:rPr>
        <w:t xml:space="preserve"> til systemisk brug, usammensatte</w:t>
      </w:r>
      <w:r>
        <w:rPr>
          <w:bCs/>
          <w:color w:val="000000"/>
          <w:sz w:val="24"/>
          <w:szCs w:val="24"/>
        </w:rPr>
        <w:t xml:space="preserve">, </w:t>
      </w:r>
      <w:hyperlink r:id="rId8" w:history="1">
        <w:proofErr w:type="spellStart"/>
        <w:r>
          <w:rPr>
            <w:rStyle w:val="Hyperlink"/>
            <w:bCs/>
          </w:rPr>
          <w:t>glucocorticoider</w:t>
        </w:r>
        <w:proofErr w:type="spellEnd"/>
      </w:hyperlink>
      <w:r>
        <w:rPr>
          <w:sz w:val="24"/>
          <w:szCs w:val="24"/>
        </w:rPr>
        <w:t>, ATC-kode: H02AB02</w:t>
      </w:r>
    </w:p>
    <w:p w:rsidR="0050403C" w:rsidRDefault="0050403C" w:rsidP="00474A35">
      <w:pPr>
        <w:widowControl w:val="0"/>
        <w:autoSpaceDE w:val="0"/>
        <w:autoSpaceDN w:val="0"/>
        <w:adjustRightInd w:val="0"/>
        <w:jc w:val="both"/>
        <w:rPr>
          <w:color w:val="000000"/>
          <w:sz w:val="24"/>
          <w:szCs w:val="24"/>
          <w:u w:val="single"/>
        </w:rPr>
      </w:pPr>
    </w:p>
    <w:p w:rsidR="0050403C" w:rsidRPr="00034AE2" w:rsidRDefault="0050403C" w:rsidP="0050403C">
      <w:pPr>
        <w:widowControl w:val="0"/>
        <w:autoSpaceDE w:val="0"/>
        <w:autoSpaceDN w:val="0"/>
        <w:adjustRightInd w:val="0"/>
        <w:ind w:left="851"/>
        <w:jc w:val="both"/>
        <w:rPr>
          <w:color w:val="000000"/>
          <w:sz w:val="24"/>
          <w:szCs w:val="24"/>
          <w:u w:val="single"/>
          <w:lang w:eastAsia="da-DK"/>
        </w:rPr>
      </w:pPr>
      <w:r w:rsidRPr="00034AE2">
        <w:rPr>
          <w:color w:val="000000"/>
          <w:sz w:val="24"/>
          <w:szCs w:val="24"/>
          <w:u w:val="single"/>
        </w:rPr>
        <w:t>Virkningsmekanisme</w:t>
      </w:r>
    </w:p>
    <w:p w:rsidR="0050403C" w:rsidRPr="00034AE2" w:rsidRDefault="0050403C" w:rsidP="0050403C">
      <w:pPr>
        <w:widowControl w:val="0"/>
        <w:ind w:left="851"/>
        <w:rPr>
          <w:noProof/>
          <w:sz w:val="24"/>
          <w:szCs w:val="24"/>
        </w:rPr>
      </w:pPr>
      <w:proofErr w:type="spellStart"/>
      <w:r w:rsidRPr="00034AE2">
        <w:rPr>
          <w:sz w:val="24"/>
          <w:szCs w:val="24"/>
        </w:rPr>
        <w:t>Dexamethason</w:t>
      </w:r>
      <w:proofErr w:type="spellEnd"/>
      <w:r w:rsidRPr="00034AE2">
        <w:rPr>
          <w:sz w:val="24"/>
          <w:szCs w:val="24"/>
        </w:rPr>
        <w:t xml:space="preserve"> er et højpotent og langtidsvirkende </w:t>
      </w:r>
      <w:proofErr w:type="spellStart"/>
      <w:r w:rsidRPr="00034AE2">
        <w:rPr>
          <w:sz w:val="24"/>
          <w:szCs w:val="24"/>
        </w:rPr>
        <w:t>glukokortikoid</w:t>
      </w:r>
      <w:proofErr w:type="spellEnd"/>
      <w:r w:rsidRPr="00034AE2">
        <w:rPr>
          <w:sz w:val="24"/>
          <w:szCs w:val="24"/>
        </w:rPr>
        <w:t xml:space="preserve"> med ubetydelige natriumretentionsegenskaber og er derfor særligt egnet til brug i patienter med hjertesvigt og hypertension.</w:t>
      </w:r>
    </w:p>
    <w:p w:rsidR="005E0E94" w:rsidRDefault="0050403C" w:rsidP="00474A35">
      <w:pPr>
        <w:widowControl w:val="0"/>
        <w:ind w:left="851"/>
        <w:rPr>
          <w:rStyle w:val="Hyperlink"/>
        </w:rPr>
      </w:pPr>
      <w:proofErr w:type="spellStart"/>
      <w:r w:rsidRPr="00034AE2">
        <w:rPr>
          <w:sz w:val="24"/>
          <w:szCs w:val="24"/>
        </w:rPr>
        <w:t>Dexamethason</w:t>
      </w:r>
      <w:proofErr w:type="spellEnd"/>
      <w:r w:rsidRPr="00034AE2">
        <w:rPr>
          <w:sz w:val="24"/>
          <w:szCs w:val="24"/>
        </w:rPr>
        <w:t xml:space="preserve"> har antiinflammatoriske, antiallergiske, febernedsættende og immunsupprimerende egenskaber.</w:t>
      </w:r>
    </w:p>
    <w:p w:rsidR="00474A35" w:rsidRPr="00474A35" w:rsidRDefault="00474A35" w:rsidP="00474A35">
      <w:pPr>
        <w:widowControl w:val="0"/>
        <w:ind w:left="851"/>
        <w:rPr>
          <w:rStyle w:val="Hyperlink"/>
          <w:noProof/>
          <w:u w:val="none"/>
        </w:rPr>
      </w:pPr>
    </w:p>
    <w:p w:rsidR="0050403C" w:rsidRDefault="0050403C" w:rsidP="005E0E94">
      <w:pPr>
        <w:ind w:left="851"/>
        <w:rPr>
          <w:rStyle w:val="Hyperlink"/>
        </w:rPr>
      </w:pPr>
      <w:r w:rsidRPr="00034AE2">
        <w:rPr>
          <w:rStyle w:val="Hyperlink"/>
        </w:rPr>
        <w:t xml:space="preserve">Ækvivalente doser af bestemte </w:t>
      </w:r>
      <w:proofErr w:type="spellStart"/>
      <w:r w:rsidRPr="00034AE2">
        <w:rPr>
          <w:rStyle w:val="Hyperlink"/>
        </w:rPr>
        <w:t>kortikosteroider</w:t>
      </w:r>
      <w:proofErr w:type="spellEnd"/>
      <w:r w:rsidRPr="00034AE2">
        <w:rPr>
          <w:rStyle w:val="Hyperlink"/>
        </w:rPr>
        <w:t xml:space="preserve"> i mg:</w:t>
      </w:r>
    </w:p>
    <w:p w:rsidR="0050403C" w:rsidRPr="00034AE2" w:rsidRDefault="0050403C" w:rsidP="005E0E94">
      <w:pPr>
        <w:ind w:left="851"/>
        <w:rPr>
          <w:rStyle w:val="Hyperlink"/>
          <w:lang w:eastAsia="da-DK"/>
        </w:rPr>
      </w:pPr>
    </w:p>
    <w:tbl>
      <w:tblPr>
        <w:tblW w:w="0" w:type="auto"/>
        <w:tblInd w:w="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3"/>
        <w:gridCol w:w="2552"/>
      </w:tblGrid>
      <w:tr w:rsidR="0050403C" w:rsidRPr="00034AE2" w:rsidTr="000F3021">
        <w:tc>
          <w:tcPr>
            <w:tcW w:w="2043" w:type="dxa"/>
            <w:tcBorders>
              <w:top w:val="single" w:sz="4" w:space="0" w:color="auto"/>
              <w:left w:val="single" w:sz="4" w:space="0" w:color="auto"/>
              <w:bottom w:val="single" w:sz="4" w:space="0" w:color="auto"/>
              <w:right w:val="single" w:sz="4" w:space="0" w:color="auto"/>
            </w:tcBorders>
            <w:hideMark/>
          </w:tcPr>
          <w:p w:rsidR="0050403C" w:rsidRPr="00034AE2" w:rsidRDefault="0050403C" w:rsidP="005E0E94">
            <w:pPr>
              <w:rPr>
                <w:rStyle w:val="Hyperlink"/>
              </w:rPr>
            </w:pPr>
            <w:proofErr w:type="spellStart"/>
            <w:r w:rsidRPr="00034AE2">
              <w:rPr>
                <w:rStyle w:val="Hyperlink"/>
              </w:rPr>
              <w:t>Dexamethason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50403C" w:rsidRPr="003E7880" w:rsidRDefault="0050403C" w:rsidP="005E0E94">
            <w:pPr>
              <w:rPr>
                <w:rStyle w:val="Hyperlink"/>
              </w:rPr>
            </w:pPr>
            <w:r w:rsidRPr="003E7880">
              <w:rPr>
                <w:rStyle w:val="Hyperlink"/>
              </w:rPr>
              <w:t>0,75</w:t>
            </w:r>
          </w:p>
        </w:tc>
      </w:tr>
      <w:tr w:rsidR="0050403C" w:rsidRPr="00034AE2" w:rsidTr="000F3021">
        <w:tc>
          <w:tcPr>
            <w:tcW w:w="2043" w:type="dxa"/>
            <w:tcBorders>
              <w:top w:val="single" w:sz="4" w:space="0" w:color="auto"/>
              <w:left w:val="single" w:sz="4" w:space="0" w:color="auto"/>
              <w:bottom w:val="single" w:sz="4" w:space="0" w:color="auto"/>
              <w:right w:val="single" w:sz="4" w:space="0" w:color="auto"/>
            </w:tcBorders>
            <w:hideMark/>
          </w:tcPr>
          <w:p w:rsidR="0050403C" w:rsidRPr="00034AE2" w:rsidRDefault="0050403C" w:rsidP="005E0E94">
            <w:pPr>
              <w:rPr>
                <w:rStyle w:val="Hyperlink"/>
              </w:rPr>
            </w:pPr>
            <w:proofErr w:type="spellStart"/>
            <w:r w:rsidRPr="00034AE2">
              <w:rPr>
                <w:rStyle w:val="Hyperlink"/>
              </w:rPr>
              <w:t>Cortisol</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50403C" w:rsidRPr="003E7880" w:rsidRDefault="0050403C" w:rsidP="005E0E94">
            <w:pPr>
              <w:rPr>
                <w:rStyle w:val="Hyperlink"/>
              </w:rPr>
            </w:pPr>
            <w:r w:rsidRPr="003E7880">
              <w:rPr>
                <w:rStyle w:val="Hyperlink"/>
              </w:rPr>
              <w:t>20</w:t>
            </w:r>
          </w:p>
        </w:tc>
      </w:tr>
      <w:tr w:rsidR="0050403C" w:rsidRPr="00034AE2" w:rsidTr="000F3021">
        <w:tc>
          <w:tcPr>
            <w:tcW w:w="2043" w:type="dxa"/>
            <w:tcBorders>
              <w:top w:val="single" w:sz="4" w:space="0" w:color="auto"/>
              <w:left w:val="single" w:sz="4" w:space="0" w:color="auto"/>
              <w:bottom w:val="single" w:sz="4" w:space="0" w:color="auto"/>
              <w:right w:val="single" w:sz="4" w:space="0" w:color="auto"/>
            </w:tcBorders>
            <w:hideMark/>
          </w:tcPr>
          <w:p w:rsidR="0050403C" w:rsidRPr="00034AE2" w:rsidRDefault="0050403C" w:rsidP="005E0E94">
            <w:pPr>
              <w:rPr>
                <w:rStyle w:val="Hyperlink"/>
              </w:rPr>
            </w:pPr>
            <w:proofErr w:type="spellStart"/>
            <w:r w:rsidRPr="00034AE2">
              <w:rPr>
                <w:rStyle w:val="Hyperlink"/>
              </w:rPr>
              <w:t>Hydrocortison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50403C" w:rsidRPr="003E7880" w:rsidRDefault="0050403C" w:rsidP="005E0E94">
            <w:pPr>
              <w:rPr>
                <w:rStyle w:val="Hyperlink"/>
              </w:rPr>
            </w:pPr>
            <w:r w:rsidRPr="003E7880">
              <w:rPr>
                <w:rStyle w:val="Hyperlink"/>
              </w:rPr>
              <w:t>25</w:t>
            </w:r>
          </w:p>
        </w:tc>
      </w:tr>
      <w:tr w:rsidR="0050403C" w:rsidRPr="00034AE2" w:rsidTr="000F3021">
        <w:tc>
          <w:tcPr>
            <w:tcW w:w="2043" w:type="dxa"/>
            <w:tcBorders>
              <w:top w:val="single" w:sz="4" w:space="0" w:color="auto"/>
              <w:left w:val="single" w:sz="4" w:space="0" w:color="auto"/>
              <w:bottom w:val="single" w:sz="4" w:space="0" w:color="auto"/>
              <w:right w:val="single" w:sz="4" w:space="0" w:color="auto"/>
            </w:tcBorders>
            <w:hideMark/>
          </w:tcPr>
          <w:p w:rsidR="0050403C" w:rsidRPr="00034AE2" w:rsidRDefault="0050403C" w:rsidP="005E0E94">
            <w:pPr>
              <w:rPr>
                <w:rStyle w:val="Hyperlink"/>
              </w:rPr>
            </w:pPr>
            <w:proofErr w:type="spellStart"/>
            <w:r w:rsidRPr="00034AE2">
              <w:rPr>
                <w:rStyle w:val="Hyperlink"/>
              </w:rPr>
              <w:t>Prednison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50403C" w:rsidRPr="003E7880" w:rsidRDefault="0050403C" w:rsidP="005E0E94">
            <w:pPr>
              <w:rPr>
                <w:rStyle w:val="Hyperlink"/>
              </w:rPr>
            </w:pPr>
            <w:r w:rsidRPr="003E7880">
              <w:rPr>
                <w:rStyle w:val="Hyperlink"/>
              </w:rPr>
              <w:t>5</w:t>
            </w:r>
          </w:p>
        </w:tc>
      </w:tr>
      <w:tr w:rsidR="0050403C" w:rsidRPr="00034AE2" w:rsidTr="000F3021">
        <w:tc>
          <w:tcPr>
            <w:tcW w:w="2043" w:type="dxa"/>
            <w:tcBorders>
              <w:top w:val="single" w:sz="4" w:space="0" w:color="auto"/>
              <w:left w:val="single" w:sz="4" w:space="0" w:color="auto"/>
              <w:bottom w:val="single" w:sz="4" w:space="0" w:color="auto"/>
              <w:right w:val="single" w:sz="4" w:space="0" w:color="auto"/>
            </w:tcBorders>
            <w:hideMark/>
          </w:tcPr>
          <w:p w:rsidR="0050403C" w:rsidRPr="00034AE2" w:rsidRDefault="0050403C" w:rsidP="005E0E94">
            <w:pPr>
              <w:rPr>
                <w:rStyle w:val="Hyperlink"/>
              </w:rPr>
            </w:pPr>
            <w:proofErr w:type="spellStart"/>
            <w:r w:rsidRPr="00034AE2">
              <w:rPr>
                <w:rStyle w:val="Hyperlink"/>
              </w:rPr>
              <w:t>Prednisolon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50403C" w:rsidRPr="003E7880" w:rsidRDefault="0050403C" w:rsidP="005E0E94">
            <w:pPr>
              <w:rPr>
                <w:rStyle w:val="Hyperlink"/>
              </w:rPr>
            </w:pPr>
            <w:r w:rsidRPr="003E7880">
              <w:rPr>
                <w:rStyle w:val="Hyperlink"/>
              </w:rPr>
              <w:t>5</w:t>
            </w:r>
          </w:p>
        </w:tc>
      </w:tr>
      <w:tr w:rsidR="0050403C" w:rsidRPr="00034AE2" w:rsidTr="000F3021">
        <w:tc>
          <w:tcPr>
            <w:tcW w:w="2043" w:type="dxa"/>
            <w:tcBorders>
              <w:top w:val="single" w:sz="4" w:space="0" w:color="auto"/>
              <w:left w:val="single" w:sz="4" w:space="0" w:color="auto"/>
              <w:bottom w:val="single" w:sz="4" w:space="0" w:color="auto"/>
              <w:right w:val="single" w:sz="4" w:space="0" w:color="auto"/>
            </w:tcBorders>
            <w:hideMark/>
          </w:tcPr>
          <w:p w:rsidR="0050403C" w:rsidRPr="00034AE2" w:rsidRDefault="0050403C" w:rsidP="005E0E94">
            <w:pPr>
              <w:rPr>
                <w:rStyle w:val="Hyperlink"/>
              </w:rPr>
            </w:pPr>
            <w:proofErr w:type="spellStart"/>
            <w:r w:rsidRPr="00034AE2">
              <w:rPr>
                <w:rStyle w:val="Hyperlink"/>
              </w:rPr>
              <w:t>Methylprednisolon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50403C" w:rsidRPr="003E7880" w:rsidRDefault="0050403C" w:rsidP="005E0E94">
            <w:pPr>
              <w:rPr>
                <w:rStyle w:val="Hyperlink"/>
              </w:rPr>
            </w:pPr>
            <w:r w:rsidRPr="003E7880">
              <w:rPr>
                <w:rStyle w:val="Hyperlink"/>
              </w:rPr>
              <w:t>4</w:t>
            </w:r>
          </w:p>
        </w:tc>
      </w:tr>
      <w:tr w:rsidR="0050403C" w:rsidRPr="00034AE2" w:rsidTr="000F3021">
        <w:tc>
          <w:tcPr>
            <w:tcW w:w="2043" w:type="dxa"/>
            <w:tcBorders>
              <w:top w:val="single" w:sz="4" w:space="0" w:color="auto"/>
              <w:left w:val="single" w:sz="4" w:space="0" w:color="auto"/>
              <w:bottom w:val="single" w:sz="4" w:space="0" w:color="auto"/>
              <w:right w:val="single" w:sz="4" w:space="0" w:color="auto"/>
            </w:tcBorders>
            <w:hideMark/>
          </w:tcPr>
          <w:p w:rsidR="0050403C" w:rsidRPr="00034AE2" w:rsidRDefault="0050403C" w:rsidP="005E0E94">
            <w:pPr>
              <w:rPr>
                <w:rStyle w:val="Hyperlink"/>
              </w:rPr>
            </w:pPr>
            <w:proofErr w:type="spellStart"/>
            <w:r w:rsidRPr="00034AE2">
              <w:rPr>
                <w:rStyle w:val="Hyperlink"/>
              </w:rPr>
              <w:t>Triamcinolon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50403C" w:rsidRPr="003E7880" w:rsidRDefault="0050403C" w:rsidP="005E0E94">
            <w:pPr>
              <w:rPr>
                <w:rStyle w:val="Hyperlink"/>
              </w:rPr>
            </w:pPr>
            <w:r w:rsidRPr="003E7880">
              <w:rPr>
                <w:rStyle w:val="Hyperlink"/>
              </w:rPr>
              <w:t>4</w:t>
            </w:r>
          </w:p>
        </w:tc>
      </w:tr>
      <w:tr w:rsidR="0050403C" w:rsidRPr="00034AE2" w:rsidTr="000F3021">
        <w:tc>
          <w:tcPr>
            <w:tcW w:w="2043" w:type="dxa"/>
            <w:tcBorders>
              <w:top w:val="single" w:sz="4" w:space="0" w:color="auto"/>
              <w:left w:val="single" w:sz="4" w:space="0" w:color="auto"/>
              <w:bottom w:val="single" w:sz="4" w:space="0" w:color="auto"/>
              <w:right w:val="single" w:sz="4" w:space="0" w:color="auto"/>
            </w:tcBorders>
            <w:hideMark/>
          </w:tcPr>
          <w:p w:rsidR="0050403C" w:rsidRPr="00034AE2" w:rsidRDefault="0050403C" w:rsidP="005E0E94">
            <w:pPr>
              <w:rPr>
                <w:rStyle w:val="Hyperlink"/>
              </w:rPr>
            </w:pPr>
            <w:proofErr w:type="spellStart"/>
            <w:r w:rsidRPr="00034AE2">
              <w:rPr>
                <w:rStyle w:val="Hyperlink"/>
              </w:rPr>
              <w:t>Bethamethason</w:t>
            </w:r>
            <w:proofErr w:type="spellEnd"/>
          </w:p>
        </w:tc>
        <w:tc>
          <w:tcPr>
            <w:tcW w:w="2552" w:type="dxa"/>
            <w:tcBorders>
              <w:top w:val="single" w:sz="4" w:space="0" w:color="auto"/>
              <w:left w:val="single" w:sz="4" w:space="0" w:color="auto"/>
              <w:bottom w:val="single" w:sz="4" w:space="0" w:color="auto"/>
              <w:right w:val="single" w:sz="4" w:space="0" w:color="auto"/>
            </w:tcBorders>
            <w:hideMark/>
          </w:tcPr>
          <w:p w:rsidR="0050403C" w:rsidRPr="003E7880" w:rsidRDefault="0050403C" w:rsidP="005E0E94">
            <w:pPr>
              <w:rPr>
                <w:rStyle w:val="Hyperlink"/>
              </w:rPr>
            </w:pPr>
            <w:r w:rsidRPr="003E7880">
              <w:rPr>
                <w:rStyle w:val="Hyperlink"/>
              </w:rPr>
              <w:t>0,75</w:t>
            </w:r>
          </w:p>
        </w:tc>
      </w:tr>
    </w:tbl>
    <w:p w:rsidR="0050403C" w:rsidRPr="00034AE2" w:rsidRDefault="0050403C" w:rsidP="0050403C">
      <w:pPr>
        <w:widowControl w:val="0"/>
        <w:ind w:left="851" w:hanging="851"/>
        <w:rPr>
          <w:noProof/>
          <w:sz w:val="24"/>
          <w:szCs w:val="24"/>
          <w:lang w:val="en-GB"/>
        </w:rPr>
      </w:pPr>
    </w:p>
    <w:p w:rsidR="0050403C" w:rsidRDefault="0050403C" w:rsidP="0050403C">
      <w:pPr>
        <w:widowControl w:val="0"/>
        <w:ind w:left="851"/>
        <w:rPr>
          <w:sz w:val="24"/>
          <w:szCs w:val="24"/>
          <w:lang w:val="sv-SE"/>
        </w:rPr>
      </w:pPr>
      <w:proofErr w:type="spellStart"/>
      <w:r w:rsidRPr="00034AE2">
        <w:rPr>
          <w:sz w:val="24"/>
          <w:szCs w:val="24"/>
          <w:lang w:val="sv-SE"/>
        </w:rPr>
        <w:t>Dexamethason</w:t>
      </w:r>
      <w:proofErr w:type="spellEnd"/>
      <w:r w:rsidRPr="00034AE2">
        <w:rPr>
          <w:sz w:val="24"/>
          <w:szCs w:val="24"/>
          <w:lang w:val="sv-SE"/>
        </w:rPr>
        <w:t xml:space="preserve"> har en biologisk halveringstid på </w:t>
      </w:r>
      <w:proofErr w:type="gramStart"/>
      <w:r w:rsidRPr="00034AE2">
        <w:rPr>
          <w:sz w:val="24"/>
          <w:szCs w:val="24"/>
          <w:lang w:val="sv-SE"/>
        </w:rPr>
        <w:t>36-54</w:t>
      </w:r>
      <w:proofErr w:type="gramEnd"/>
      <w:r w:rsidRPr="00034AE2">
        <w:rPr>
          <w:sz w:val="24"/>
          <w:szCs w:val="24"/>
          <w:lang w:val="sv-SE"/>
        </w:rPr>
        <w:t xml:space="preserve"> timer </w:t>
      </w:r>
      <w:proofErr w:type="spellStart"/>
      <w:r w:rsidRPr="00034AE2">
        <w:rPr>
          <w:sz w:val="24"/>
          <w:szCs w:val="24"/>
          <w:lang w:val="sv-SE"/>
        </w:rPr>
        <w:t>og</w:t>
      </w:r>
      <w:proofErr w:type="spellEnd"/>
      <w:r w:rsidRPr="00034AE2">
        <w:rPr>
          <w:sz w:val="24"/>
          <w:szCs w:val="24"/>
          <w:lang w:val="sv-SE"/>
        </w:rPr>
        <w:t xml:space="preserve"> er </w:t>
      </w:r>
      <w:proofErr w:type="spellStart"/>
      <w:r w:rsidRPr="00034AE2">
        <w:rPr>
          <w:sz w:val="24"/>
          <w:szCs w:val="24"/>
          <w:lang w:val="sv-SE"/>
        </w:rPr>
        <w:t>derfor</w:t>
      </w:r>
      <w:proofErr w:type="spellEnd"/>
      <w:r w:rsidRPr="00034AE2">
        <w:rPr>
          <w:sz w:val="24"/>
          <w:szCs w:val="24"/>
          <w:lang w:val="sv-SE"/>
        </w:rPr>
        <w:t xml:space="preserve"> </w:t>
      </w:r>
      <w:proofErr w:type="spellStart"/>
      <w:r w:rsidRPr="00034AE2">
        <w:rPr>
          <w:sz w:val="24"/>
          <w:szCs w:val="24"/>
          <w:lang w:val="sv-SE"/>
        </w:rPr>
        <w:t>egnet</w:t>
      </w:r>
      <w:proofErr w:type="spellEnd"/>
      <w:r w:rsidRPr="00034AE2">
        <w:rPr>
          <w:sz w:val="24"/>
          <w:szCs w:val="24"/>
          <w:lang w:val="sv-SE"/>
        </w:rPr>
        <w:t xml:space="preserve"> i </w:t>
      </w:r>
      <w:proofErr w:type="spellStart"/>
      <w:r w:rsidRPr="00034AE2">
        <w:rPr>
          <w:sz w:val="24"/>
          <w:szCs w:val="24"/>
          <w:lang w:val="sv-SE"/>
        </w:rPr>
        <w:t>tilstande</w:t>
      </w:r>
      <w:proofErr w:type="spellEnd"/>
      <w:r w:rsidRPr="00034AE2">
        <w:rPr>
          <w:sz w:val="24"/>
          <w:szCs w:val="24"/>
          <w:lang w:val="sv-SE"/>
        </w:rPr>
        <w:t xml:space="preserve"> </w:t>
      </w:r>
      <w:proofErr w:type="spellStart"/>
      <w:r w:rsidRPr="00034AE2">
        <w:rPr>
          <w:sz w:val="24"/>
          <w:szCs w:val="24"/>
          <w:lang w:val="sv-SE"/>
        </w:rPr>
        <w:t>hvor</w:t>
      </w:r>
      <w:proofErr w:type="spellEnd"/>
      <w:r w:rsidRPr="00034AE2">
        <w:rPr>
          <w:sz w:val="24"/>
          <w:szCs w:val="24"/>
          <w:lang w:val="sv-SE"/>
        </w:rPr>
        <w:t xml:space="preserve"> kontinuerlig virkning </w:t>
      </w:r>
      <w:proofErr w:type="spellStart"/>
      <w:r w:rsidRPr="00034AE2">
        <w:rPr>
          <w:sz w:val="24"/>
          <w:szCs w:val="24"/>
          <w:lang w:val="sv-SE"/>
        </w:rPr>
        <w:t>af</w:t>
      </w:r>
      <w:proofErr w:type="spellEnd"/>
      <w:r w:rsidRPr="00034AE2">
        <w:rPr>
          <w:sz w:val="24"/>
          <w:szCs w:val="24"/>
          <w:lang w:val="sv-SE"/>
        </w:rPr>
        <w:t xml:space="preserve"> </w:t>
      </w:r>
      <w:proofErr w:type="spellStart"/>
      <w:r w:rsidRPr="00034AE2">
        <w:rPr>
          <w:sz w:val="24"/>
          <w:szCs w:val="24"/>
          <w:lang w:val="sv-SE"/>
        </w:rPr>
        <w:t>glukokortikoider</w:t>
      </w:r>
      <w:proofErr w:type="spellEnd"/>
      <w:r w:rsidRPr="00034AE2">
        <w:rPr>
          <w:sz w:val="24"/>
          <w:szCs w:val="24"/>
          <w:lang w:val="sv-SE"/>
        </w:rPr>
        <w:t xml:space="preserve"> er </w:t>
      </w:r>
      <w:proofErr w:type="spellStart"/>
      <w:r w:rsidRPr="00034AE2">
        <w:rPr>
          <w:sz w:val="24"/>
          <w:szCs w:val="24"/>
          <w:lang w:val="sv-SE"/>
        </w:rPr>
        <w:t>påkrævet</w:t>
      </w:r>
      <w:proofErr w:type="spellEnd"/>
      <w:r w:rsidRPr="00034AE2">
        <w:rPr>
          <w:sz w:val="24"/>
          <w:szCs w:val="24"/>
          <w:lang w:val="sv-SE"/>
        </w:rPr>
        <w:t>.</w:t>
      </w:r>
    </w:p>
    <w:p w:rsidR="00903162" w:rsidRDefault="00903162" w:rsidP="0050403C">
      <w:pPr>
        <w:widowControl w:val="0"/>
        <w:ind w:left="851"/>
        <w:rPr>
          <w:sz w:val="24"/>
          <w:szCs w:val="24"/>
          <w:lang w:val="sv-SE" w:eastAsia="da-DK"/>
        </w:rPr>
      </w:pPr>
    </w:p>
    <w:p w:rsidR="00903162" w:rsidRPr="009E6302" w:rsidRDefault="00903162" w:rsidP="00903162">
      <w:pPr>
        <w:widowControl w:val="0"/>
        <w:ind w:left="851"/>
        <w:rPr>
          <w:sz w:val="24"/>
          <w:szCs w:val="24"/>
        </w:rPr>
      </w:pPr>
      <w:r w:rsidRPr="009E6302">
        <w:rPr>
          <w:sz w:val="24"/>
          <w:szCs w:val="24"/>
        </w:rPr>
        <w:t>RECOVERY-studiet (</w:t>
      </w:r>
      <w:proofErr w:type="spellStart"/>
      <w:r w:rsidRPr="009E6302">
        <w:rPr>
          <w:sz w:val="24"/>
          <w:szCs w:val="24"/>
        </w:rPr>
        <w:t>Randomized</w:t>
      </w:r>
      <w:proofErr w:type="spellEnd"/>
      <w:r w:rsidRPr="009E6302">
        <w:rPr>
          <w:sz w:val="24"/>
          <w:szCs w:val="24"/>
        </w:rPr>
        <w:t xml:space="preserve"> Evaluation of COVid-19 </w:t>
      </w:r>
      <w:proofErr w:type="spellStart"/>
      <w:r w:rsidRPr="009E6302">
        <w:rPr>
          <w:sz w:val="24"/>
          <w:szCs w:val="24"/>
        </w:rPr>
        <w:t>thERapY</w:t>
      </w:r>
      <w:proofErr w:type="spellEnd"/>
      <w:r w:rsidRPr="009E6302">
        <w:rPr>
          <w:sz w:val="24"/>
          <w:szCs w:val="24"/>
        </w:rPr>
        <w:t>)</w:t>
      </w:r>
      <w:r w:rsidRPr="009E6302">
        <w:rPr>
          <w:sz w:val="24"/>
          <w:szCs w:val="24"/>
          <w:vertAlign w:val="superscript"/>
        </w:rPr>
        <w:footnoteReference w:id="1"/>
      </w:r>
      <w:r w:rsidRPr="009E6302">
        <w:rPr>
          <w:sz w:val="24"/>
          <w:szCs w:val="24"/>
        </w:rPr>
        <w:t xml:space="preserve"> er et </w:t>
      </w:r>
      <w:proofErr w:type="spellStart"/>
      <w:r w:rsidRPr="009E6302">
        <w:rPr>
          <w:sz w:val="24"/>
          <w:szCs w:val="24"/>
        </w:rPr>
        <w:t>investigator</w:t>
      </w:r>
      <w:proofErr w:type="spellEnd"/>
      <w:r w:rsidRPr="009E6302">
        <w:rPr>
          <w:sz w:val="24"/>
          <w:szCs w:val="24"/>
        </w:rPr>
        <w:t>-initieret, individuelt randomiseret, kontrolleret, åbent, adaptivt platformstudie til evaluering af effekten af potentielle behandlinger hos patienter, der er indlagt med COVID</w:t>
      </w:r>
      <w:r w:rsidRPr="009E6302">
        <w:rPr>
          <w:sz w:val="24"/>
          <w:szCs w:val="24"/>
        </w:rPr>
        <w:noBreakHyphen/>
        <w:t>19.</w:t>
      </w:r>
    </w:p>
    <w:p w:rsidR="00903162" w:rsidRPr="009E6302" w:rsidRDefault="00903162" w:rsidP="00903162">
      <w:pPr>
        <w:widowControl w:val="0"/>
        <w:ind w:left="851"/>
        <w:rPr>
          <w:sz w:val="24"/>
          <w:szCs w:val="24"/>
        </w:rPr>
      </w:pPr>
      <w:r w:rsidRPr="009E6302">
        <w:rPr>
          <w:sz w:val="24"/>
          <w:szCs w:val="24"/>
        </w:rPr>
        <w:t>Studiet blev udført på 176 hospitalsafdelinger i Storbritannien.</w:t>
      </w:r>
    </w:p>
    <w:p w:rsidR="00903162" w:rsidRPr="009E6302" w:rsidRDefault="00903162" w:rsidP="00903162">
      <w:pPr>
        <w:widowControl w:val="0"/>
        <w:ind w:left="851"/>
        <w:rPr>
          <w:sz w:val="24"/>
          <w:szCs w:val="24"/>
        </w:rPr>
      </w:pPr>
      <w:r w:rsidRPr="009E6302">
        <w:rPr>
          <w:sz w:val="24"/>
          <w:szCs w:val="24"/>
        </w:rPr>
        <w:t xml:space="preserve">6.425 patienter </w:t>
      </w:r>
      <w:r>
        <w:rPr>
          <w:sz w:val="24"/>
          <w:szCs w:val="24"/>
        </w:rPr>
        <w:t>blev</w:t>
      </w:r>
      <w:r w:rsidRPr="009E6302">
        <w:rPr>
          <w:sz w:val="24"/>
          <w:szCs w:val="24"/>
        </w:rPr>
        <w:t xml:space="preserve"> randomiserede til enten at få </w:t>
      </w:r>
      <w:proofErr w:type="spellStart"/>
      <w:r w:rsidRPr="009E6302">
        <w:rPr>
          <w:sz w:val="24"/>
          <w:szCs w:val="24"/>
        </w:rPr>
        <w:t>dexamethason</w:t>
      </w:r>
      <w:proofErr w:type="spellEnd"/>
      <w:r w:rsidRPr="009E6302">
        <w:rPr>
          <w:sz w:val="24"/>
          <w:szCs w:val="24"/>
        </w:rPr>
        <w:t xml:space="preserve"> (2.104 patienter) eller </w:t>
      </w:r>
      <w:r w:rsidRPr="009E6302">
        <w:rPr>
          <w:sz w:val="24"/>
          <w:szCs w:val="24"/>
        </w:rPr>
        <w:lastRenderedPageBreak/>
        <w:t>almindelig pleje alene (4.321 patienter). 89 % af patienterne havde laboratoriebekræftet SARS</w:t>
      </w:r>
      <w:r w:rsidRPr="009E6302">
        <w:rPr>
          <w:sz w:val="24"/>
          <w:szCs w:val="24"/>
        </w:rPr>
        <w:noBreakHyphen/>
        <w:t>CoV</w:t>
      </w:r>
      <w:r w:rsidRPr="009E6302">
        <w:rPr>
          <w:sz w:val="24"/>
          <w:szCs w:val="24"/>
        </w:rPr>
        <w:noBreakHyphen/>
        <w:t>2-infektion.</w:t>
      </w:r>
    </w:p>
    <w:p w:rsidR="00903162" w:rsidRPr="009E6302" w:rsidRDefault="00903162" w:rsidP="00903162">
      <w:pPr>
        <w:widowControl w:val="0"/>
        <w:ind w:left="851"/>
        <w:rPr>
          <w:sz w:val="24"/>
          <w:szCs w:val="24"/>
        </w:rPr>
      </w:pPr>
      <w:r w:rsidRPr="009E6302">
        <w:rPr>
          <w:sz w:val="24"/>
          <w:szCs w:val="24"/>
        </w:rPr>
        <w:t xml:space="preserve">Ved </w:t>
      </w:r>
      <w:proofErr w:type="spellStart"/>
      <w:r w:rsidRPr="009E6302">
        <w:rPr>
          <w:sz w:val="24"/>
          <w:szCs w:val="24"/>
        </w:rPr>
        <w:t>randomisering</w:t>
      </w:r>
      <w:proofErr w:type="spellEnd"/>
      <w:r w:rsidRPr="009E6302">
        <w:rPr>
          <w:sz w:val="24"/>
          <w:szCs w:val="24"/>
        </w:rPr>
        <w:t xml:space="preserve"> fik 16 % af patienterne invasiv mekanisk ventilation eller ekstrakorporal </w:t>
      </w:r>
      <w:proofErr w:type="spellStart"/>
      <w:r w:rsidRPr="009E6302">
        <w:rPr>
          <w:sz w:val="24"/>
          <w:szCs w:val="24"/>
        </w:rPr>
        <w:t>membranoxygenering</w:t>
      </w:r>
      <w:proofErr w:type="spellEnd"/>
      <w:r w:rsidRPr="009E6302">
        <w:rPr>
          <w:sz w:val="24"/>
          <w:szCs w:val="24"/>
        </w:rPr>
        <w:t>, 60 % fik kun ilt (med eller uden non</w:t>
      </w:r>
      <w:r w:rsidRPr="009E6302">
        <w:rPr>
          <w:sz w:val="24"/>
          <w:szCs w:val="24"/>
        </w:rPr>
        <w:noBreakHyphen/>
        <w:t>invasiv ventilation) og 24 % fik ingen af delene.</w:t>
      </w:r>
    </w:p>
    <w:p w:rsidR="00903162" w:rsidRPr="009E6302" w:rsidRDefault="00903162" w:rsidP="00903162">
      <w:pPr>
        <w:widowControl w:val="0"/>
        <w:ind w:left="851"/>
        <w:rPr>
          <w:sz w:val="24"/>
          <w:szCs w:val="24"/>
        </w:rPr>
      </w:pPr>
      <w:r w:rsidRPr="009E6302">
        <w:rPr>
          <w:sz w:val="24"/>
          <w:szCs w:val="24"/>
        </w:rPr>
        <w:t>Patienternes gennemsnitsalder var 66,1+/-15,7 år. 36 % af patienterne var kvinder. 24 % af patienterne havde diabetes, 27 % havde hjertesygdom og 21 % havde kronisk lungesygdom.</w:t>
      </w:r>
    </w:p>
    <w:p w:rsidR="00903162" w:rsidRPr="009E6302" w:rsidRDefault="00903162" w:rsidP="00903162">
      <w:pPr>
        <w:widowControl w:val="0"/>
        <w:ind w:left="851"/>
        <w:rPr>
          <w:sz w:val="24"/>
          <w:szCs w:val="24"/>
        </w:rPr>
      </w:pPr>
    </w:p>
    <w:p w:rsidR="00903162" w:rsidRPr="009E6302" w:rsidRDefault="00903162" w:rsidP="00903162">
      <w:pPr>
        <w:widowControl w:val="0"/>
        <w:ind w:left="851"/>
        <w:rPr>
          <w:b/>
          <w:bCs/>
          <w:sz w:val="24"/>
          <w:szCs w:val="24"/>
        </w:rPr>
      </w:pPr>
      <w:r w:rsidRPr="009E6302">
        <w:rPr>
          <w:b/>
          <w:bCs/>
          <w:sz w:val="24"/>
          <w:szCs w:val="24"/>
        </w:rPr>
        <w:t>Primært endepunkt</w:t>
      </w:r>
    </w:p>
    <w:p w:rsidR="00903162" w:rsidRPr="009E6302" w:rsidRDefault="00903162" w:rsidP="00903162">
      <w:pPr>
        <w:widowControl w:val="0"/>
        <w:ind w:left="851"/>
        <w:rPr>
          <w:sz w:val="24"/>
          <w:szCs w:val="24"/>
        </w:rPr>
      </w:pPr>
      <w:r w:rsidRPr="009E6302">
        <w:rPr>
          <w:sz w:val="24"/>
          <w:szCs w:val="24"/>
        </w:rPr>
        <w:t xml:space="preserve">Dødeligheden efter 28 dage var signifikant lavere i </w:t>
      </w:r>
      <w:proofErr w:type="spellStart"/>
      <w:r w:rsidRPr="009E6302">
        <w:rPr>
          <w:sz w:val="24"/>
          <w:szCs w:val="24"/>
        </w:rPr>
        <w:t>dexamethasongruppen</w:t>
      </w:r>
      <w:proofErr w:type="spellEnd"/>
      <w:r w:rsidRPr="009E6302">
        <w:rPr>
          <w:sz w:val="24"/>
          <w:szCs w:val="24"/>
        </w:rPr>
        <w:t xml:space="preserve"> end i gruppen, der fik almindelig pleje, med rapporterede dødsfald hos henholdsvis 482 ud af 2.104 patienter (22,9 %) og hos 1.110 ud af 4.321 patienter (25,7 %) (rate ratio, 0,83; 95 % konfidensinterval [CI], 0,75</w:t>
      </w:r>
      <w:r w:rsidRPr="009E6302">
        <w:rPr>
          <w:sz w:val="24"/>
          <w:szCs w:val="24"/>
        </w:rPr>
        <w:noBreakHyphen/>
        <w:t>0,93; p &lt;0,001).</w:t>
      </w:r>
    </w:p>
    <w:p w:rsidR="00903162" w:rsidRPr="009E6302" w:rsidRDefault="00903162" w:rsidP="00903162">
      <w:pPr>
        <w:widowControl w:val="0"/>
        <w:ind w:left="851"/>
        <w:rPr>
          <w:sz w:val="24"/>
          <w:szCs w:val="24"/>
        </w:rPr>
      </w:pPr>
      <w:r w:rsidRPr="009E6302">
        <w:rPr>
          <w:sz w:val="24"/>
          <w:szCs w:val="24"/>
        </w:rPr>
        <w:t xml:space="preserve">I </w:t>
      </w:r>
      <w:proofErr w:type="spellStart"/>
      <w:r w:rsidRPr="009E6302">
        <w:rPr>
          <w:sz w:val="24"/>
          <w:szCs w:val="24"/>
        </w:rPr>
        <w:t>dexamethasongruppen</w:t>
      </w:r>
      <w:proofErr w:type="spellEnd"/>
      <w:r w:rsidRPr="009E6302">
        <w:rPr>
          <w:sz w:val="24"/>
          <w:szCs w:val="24"/>
        </w:rPr>
        <w:t xml:space="preserve"> var </w:t>
      </w:r>
      <w:proofErr w:type="spellStart"/>
      <w:r w:rsidRPr="009E6302">
        <w:rPr>
          <w:sz w:val="24"/>
          <w:szCs w:val="24"/>
        </w:rPr>
        <w:t>incidensen</w:t>
      </w:r>
      <w:proofErr w:type="spellEnd"/>
      <w:r w:rsidRPr="009E6302">
        <w:rPr>
          <w:sz w:val="24"/>
          <w:szCs w:val="24"/>
        </w:rPr>
        <w:t xml:space="preserve"> af dødsfald lavere end i gruppen, der fik almindelig pleje, blandt patienter, der fik invasiv mekanisk ventilation (29,3 % </w:t>
      </w:r>
      <w:r w:rsidRPr="009E6302">
        <w:rPr>
          <w:i/>
          <w:iCs/>
          <w:sz w:val="24"/>
          <w:szCs w:val="24"/>
        </w:rPr>
        <w:t>vs.</w:t>
      </w:r>
      <w:r w:rsidRPr="009E6302">
        <w:rPr>
          <w:sz w:val="24"/>
          <w:szCs w:val="24"/>
        </w:rPr>
        <w:t xml:space="preserve"> 41,4 %; rate ratio, 0,64; 95 % CI, 0,51</w:t>
      </w:r>
      <w:r w:rsidRPr="009E6302">
        <w:rPr>
          <w:sz w:val="24"/>
          <w:szCs w:val="24"/>
        </w:rPr>
        <w:noBreakHyphen/>
        <w:t xml:space="preserve">0.81), og hos patienter, der fik supplerende iltbehandling uden invasiv mekanisk ventilation (23,3 % </w:t>
      </w:r>
      <w:r w:rsidRPr="009E6302">
        <w:rPr>
          <w:i/>
          <w:iCs/>
          <w:sz w:val="24"/>
          <w:szCs w:val="24"/>
        </w:rPr>
        <w:t>vs.</w:t>
      </w:r>
      <w:r w:rsidRPr="009E6302">
        <w:rPr>
          <w:sz w:val="24"/>
          <w:szCs w:val="24"/>
        </w:rPr>
        <w:t xml:space="preserve"> 26,2 %; rate ratio, 0,82; 95 % CI, 0,72</w:t>
      </w:r>
      <w:r w:rsidRPr="009E6302">
        <w:rPr>
          <w:sz w:val="24"/>
          <w:szCs w:val="24"/>
        </w:rPr>
        <w:noBreakHyphen/>
        <w:t>0,94).</w:t>
      </w:r>
    </w:p>
    <w:p w:rsidR="00903162" w:rsidRPr="009E6302" w:rsidRDefault="00903162" w:rsidP="00903162">
      <w:pPr>
        <w:widowControl w:val="0"/>
        <w:ind w:left="851"/>
        <w:rPr>
          <w:sz w:val="24"/>
          <w:szCs w:val="24"/>
        </w:rPr>
      </w:pPr>
      <w:r w:rsidRPr="009E6302">
        <w:rPr>
          <w:sz w:val="24"/>
          <w:szCs w:val="24"/>
        </w:rPr>
        <w:t xml:space="preserve">Der var ingen klar effekt af </w:t>
      </w:r>
      <w:proofErr w:type="spellStart"/>
      <w:r w:rsidRPr="009E6302">
        <w:rPr>
          <w:sz w:val="24"/>
          <w:szCs w:val="24"/>
        </w:rPr>
        <w:t>dexamethason</w:t>
      </w:r>
      <w:proofErr w:type="spellEnd"/>
      <w:r w:rsidRPr="009E6302">
        <w:rPr>
          <w:sz w:val="24"/>
          <w:szCs w:val="24"/>
        </w:rPr>
        <w:t xml:space="preserve"> blandt patienter, der ikke fik respiratorisk støtte ved </w:t>
      </w:r>
      <w:proofErr w:type="spellStart"/>
      <w:r w:rsidRPr="009E6302">
        <w:rPr>
          <w:sz w:val="24"/>
          <w:szCs w:val="24"/>
        </w:rPr>
        <w:t>randomisering</w:t>
      </w:r>
      <w:proofErr w:type="spellEnd"/>
      <w:r w:rsidRPr="009E6302">
        <w:rPr>
          <w:sz w:val="24"/>
          <w:szCs w:val="24"/>
        </w:rPr>
        <w:t xml:space="preserve"> (17,8 % </w:t>
      </w:r>
      <w:r w:rsidRPr="009E6302">
        <w:rPr>
          <w:i/>
          <w:iCs/>
          <w:sz w:val="24"/>
          <w:szCs w:val="24"/>
        </w:rPr>
        <w:t>vs.</w:t>
      </w:r>
      <w:r w:rsidRPr="009E6302">
        <w:rPr>
          <w:sz w:val="24"/>
          <w:szCs w:val="24"/>
        </w:rPr>
        <w:t xml:space="preserve"> 14,0 %; rate ratio, 1,19; 95 % CI, 0,91</w:t>
      </w:r>
      <w:r w:rsidRPr="009E6302">
        <w:rPr>
          <w:sz w:val="24"/>
          <w:szCs w:val="24"/>
        </w:rPr>
        <w:noBreakHyphen/>
        <w:t>1,55).</w:t>
      </w:r>
    </w:p>
    <w:p w:rsidR="00903162" w:rsidRPr="009E6302" w:rsidRDefault="00903162" w:rsidP="00903162">
      <w:pPr>
        <w:widowControl w:val="0"/>
        <w:ind w:left="851"/>
        <w:rPr>
          <w:sz w:val="24"/>
          <w:szCs w:val="24"/>
        </w:rPr>
      </w:pPr>
    </w:p>
    <w:p w:rsidR="00903162" w:rsidRPr="009E6302" w:rsidRDefault="00903162" w:rsidP="00903162">
      <w:pPr>
        <w:widowControl w:val="0"/>
        <w:ind w:left="851"/>
        <w:rPr>
          <w:b/>
          <w:bCs/>
          <w:sz w:val="24"/>
          <w:szCs w:val="24"/>
        </w:rPr>
      </w:pPr>
      <w:r w:rsidRPr="009E6302">
        <w:rPr>
          <w:b/>
          <w:bCs/>
          <w:sz w:val="24"/>
          <w:szCs w:val="24"/>
        </w:rPr>
        <w:t>Sekundære endepunkter</w:t>
      </w:r>
    </w:p>
    <w:p w:rsidR="00903162" w:rsidRPr="009E6302" w:rsidRDefault="00903162" w:rsidP="00903162">
      <w:pPr>
        <w:widowControl w:val="0"/>
        <w:ind w:left="851"/>
        <w:rPr>
          <w:sz w:val="24"/>
          <w:szCs w:val="24"/>
        </w:rPr>
      </w:pPr>
      <w:r w:rsidRPr="009E6302">
        <w:rPr>
          <w:sz w:val="24"/>
          <w:szCs w:val="24"/>
        </w:rPr>
        <w:t xml:space="preserve">Patienterne i </w:t>
      </w:r>
      <w:proofErr w:type="spellStart"/>
      <w:r w:rsidRPr="009E6302">
        <w:rPr>
          <w:sz w:val="24"/>
          <w:szCs w:val="24"/>
        </w:rPr>
        <w:t>dexamethasongruppen</w:t>
      </w:r>
      <w:proofErr w:type="spellEnd"/>
      <w:r w:rsidRPr="009E6302">
        <w:rPr>
          <w:sz w:val="24"/>
          <w:szCs w:val="24"/>
        </w:rPr>
        <w:t xml:space="preserve"> havde en kortere indlæggelsestid end patienterne i gruppen, der fik almindelig pleje (gennemsnit, 12 dage </w:t>
      </w:r>
      <w:r w:rsidRPr="009E6302">
        <w:rPr>
          <w:i/>
          <w:iCs/>
          <w:sz w:val="24"/>
          <w:szCs w:val="24"/>
        </w:rPr>
        <w:t xml:space="preserve">vs. </w:t>
      </w:r>
      <w:r w:rsidRPr="009E6302">
        <w:rPr>
          <w:sz w:val="24"/>
          <w:szCs w:val="24"/>
        </w:rPr>
        <w:t>13 dage), og en større sandsynlighed for at blive udskrevet i live inden for 28 dage (rate ratio, 1,10; 95 % CI, 1,03</w:t>
      </w:r>
      <w:r w:rsidRPr="009E6302">
        <w:rPr>
          <w:sz w:val="24"/>
          <w:szCs w:val="24"/>
        </w:rPr>
        <w:noBreakHyphen/>
        <w:t>1,17).</w:t>
      </w:r>
    </w:p>
    <w:p w:rsidR="00903162" w:rsidRPr="009E6302" w:rsidRDefault="00903162" w:rsidP="005E0E94">
      <w:pPr>
        <w:ind w:left="851"/>
        <w:rPr>
          <w:sz w:val="24"/>
          <w:szCs w:val="24"/>
        </w:rPr>
      </w:pPr>
      <w:r w:rsidRPr="009E6302">
        <w:rPr>
          <w:sz w:val="24"/>
          <w:szCs w:val="24"/>
        </w:rPr>
        <w:t xml:space="preserve">I overensstemmelse med det primære endepunkt sås den største effekt med hensyn til udskrivelse inden for 28 dage blandt patienter, der fik invasiv mekanisk ventilation ved </w:t>
      </w:r>
      <w:proofErr w:type="spellStart"/>
      <w:r w:rsidRPr="009E6302">
        <w:rPr>
          <w:sz w:val="24"/>
          <w:szCs w:val="24"/>
        </w:rPr>
        <w:t>randomisering</w:t>
      </w:r>
      <w:proofErr w:type="spellEnd"/>
      <w:r w:rsidRPr="009E6302">
        <w:rPr>
          <w:sz w:val="24"/>
          <w:szCs w:val="24"/>
        </w:rPr>
        <w:t xml:space="preserve"> (rate ratio 1,48; 95 % CI 1,16</w:t>
      </w:r>
      <w:r w:rsidRPr="009E6302">
        <w:rPr>
          <w:sz w:val="24"/>
          <w:szCs w:val="24"/>
        </w:rPr>
        <w:noBreakHyphen/>
        <w:t>1,90), efterfulgt af ilt alene (rate ratio, 1,15; 95 % CI, 1,06</w:t>
      </w:r>
      <w:r w:rsidRPr="009E6302">
        <w:rPr>
          <w:sz w:val="24"/>
          <w:szCs w:val="24"/>
        </w:rPr>
        <w:noBreakHyphen/>
        <w:t xml:space="preserve">1,24) </w:t>
      </w:r>
      <w:r>
        <w:rPr>
          <w:sz w:val="24"/>
          <w:szCs w:val="24"/>
        </w:rPr>
        <w:t>og ingen</w:t>
      </w:r>
      <w:r w:rsidRPr="009E6302">
        <w:rPr>
          <w:sz w:val="24"/>
          <w:szCs w:val="24"/>
        </w:rPr>
        <w:t xml:space="preserve"> gavnlig effekt hos patienter, der ikke fik ilt (rate ratio, 0,96; 95 % CI, 0,85</w:t>
      </w:r>
      <w:r w:rsidRPr="009E6302">
        <w:rPr>
          <w:sz w:val="24"/>
          <w:szCs w:val="24"/>
        </w:rPr>
        <w:noBreakHyphen/>
        <w:t>1,08).</w:t>
      </w:r>
    </w:p>
    <w:p w:rsidR="00903162" w:rsidRDefault="00903162" w:rsidP="00903162">
      <w:pPr>
        <w:ind w:left="851" w:hanging="851"/>
        <w:rPr>
          <w:sz w:val="24"/>
          <w:szCs w:val="24"/>
        </w:rPr>
      </w:pPr>
    </w:p>
    <w:tbl>
      <w:tblPr>
        <w:tblStyle w:val="Tabel-Gitter"/>
        <w:tblW w:w="9639" w:type="dxa"/>
        <w:tblInd w:w="392" w:type="dxa"/>
        <w:tblBorders>
          <w:insideH w:val="none" w:sz="0" w:space="0" w:color="auto"/>
          <w:insideV w:val="none" w:sz="0" w:space="0" w:color="auto"/>
        </w:tblBorders>
        <w:tblLook w:val="04A0" w:firstRow="1" w:lastRow="0" w:firstColumn="1" w:lastColumn="0" w:noHBand="0" w:noVBand="1"/>
      </w:tblPr>
      <w:tblGrid>
        <w:gridCol w:w="3714"/>
        <w:gridCol w:w="2126"/>
        <w:gridCol w:w="1843"/>
        <w:gridCol w:w="1956"/>
      </w:tblGrid>
      <w:tr w:rsidR="00903162" w:rsidRPr="00447B7D" w:rsidTr="000F3021">
        <w:tc>
          <w:tcPr>
            <w:tcW w:w="3714" w:type="dxa"/>
          </w:tcPr>
          <w:p w:rsidR="00903162" w:rsidRDefault="00903162" w:rsidP="000F3021">
            <w:pPr>
              <w:pStyle w:val="Ingenafstand"/>
              <w:rPr>
                <w:rFonts w:ascii="Times New Roman" w:hAnsi="Times New Roman" w:cs="Times New Roman"/>
                <w:b/>
                <w:sz w:val="20"/>
                <w:szCs w:val="20"/>
              </w:rPr>
            </w:pPr>
          </w:p>
          <w:p w:rsidR="00903162" w:rsidRPr="00B540E1" w:rsidRDefault="00903162" w:rsidP="000F3021">
            <w:pPr>
              <w:pStyle w:val="Ingenafstand"/>
              <w:rPr>
                <w:rFonts w:ascii="Times New Roman" w:hAnsi="Times New Roman" w:cs="Times New Roman"/>
                <w:b/>
                <w:sz w:val="20"/>
                <w:szCs w:val="20"/>
              </w:rPr>
            </w:pPr>
            <w:r w:rsidRPr="00B540E1">
              <w:rPr>
                <w:rFonts w:ascii="Times New Roman" w:hAnsi="Times New Roman" w:cs="Times New Roman"/>
                <w:b/>
                <w:sz w:val="20"/>
                <w:szCs w:val="20"/>
              </w:rPr>
              <w:t>Resultat</w:t>
            </w:r>
          </w:p>
        </w:tc>
        <w:tc>
          <w:tcPr>
            <w:tcW w:w="2126" w:type="dxa"/>
          </w:tcPr>
          <w:p w:rsidR="00903162" w:rsidRPr="00B540E1" w:rsidRDefault="00903162" w:rsidP="000F3021">
            <w:pPr>
              <w:pStyle w:val="Ingenafstand"/>
              <w:jc w:val="center"/>
              <w:rPr>
                <w:rFonts w:ascii="Times New Roman" w:hAnsi="Times New Roman" w:cs="Times New Roman"/>
                <w:b/>
                <w:sz w:val="20"/>
                <w:szCs w:val="20"/>
              </w:rPr>
            </w:pPr>
            <w:r w:rsidRPr="00B540E1">
              <w:rPr>
                <w:rFonts w:ascii="Times New Roman" w:hAnsi="Times New Roman" w:cs="Times New Roman"/>
                <w:b/>
                <w:sz w:val="20"/>
                <w:szCs w:val="20"/>
              </w:rPr>
              <w:t>Dexamethason</w:t>
            </w:r>
          </w:p>
          <w:p w:rsidR="00903162" w:rsidRPr="00B540E1" w:rsidRDefault="00903162" w:rsidP="000F3021">
            <w:pPr>
              <w:pStyle w:val="Ingenafstand"/>
              <w:jc w:val="center"/>
              <w:rPr>
                <w:rFonts w:ascii="Times New Roman" w:hAnsi="Times New Roman" w:cs="Times New Roman"/>
                <w:b/>
                <w:sz w:val="20"/>
                <w:szCs w:val="20"/>
              </w:rPr>
            </w:pPr>
            <w:r w:rsidRPr="00B540E1">
              <w:rPr>
                <w:rFonts w:ascii="Times New Roman" w:hAnsi="Times New Roman" w:cs="Times New Roman"/>
                <w:b/>
                <w:sz w:val="20"/>
                <w:szCs w:val="20"/>
              </w:rPr>
              <w:t>(N = 2</w:t>
            </w:r>
            <w:r>
              <w:rPr>
                <w:rFonts w:ascii="Times New Roman" w:hAnsi="Times New Roman" w:cs="Times New Roman"/>
                <w:b/>
                <w:sz w:val="20"/>
                <w:szCs w:val="20"/>
              </w:rPr>
              <w:t>.</w:t>
            </w:r>
            <w:r w:rsidRPr="00B540E1">
              <w:rPr>
                <w:rFonts w:ascii="Times New Roman" w:hAnsi="Times New Roman" w:cs="Times New Roman"/>
                <w:b/>
                <w:sz w:val="20"/>
                <w:szCs w:val="20"/>
              </w:rPr>
              <w:t>104)</w:t>
            </w:r>
          </w:p>
        </w:tc>
        <w:tc>
          <w:tcPr>
            <w:tcW w:w="1843" w:type="dxa"/>
          </w:tcPr>
          <w:p w:rsidR="00903162" w:rsidRPr="00B540E1" w:rsidRDefault="00903162" w:rsidP="000F3021">
            <w:pPr>
              <w:pStyle w:val="Ingenafstand"/>
              <w:jc w:val="center"/>
              <w:rPr>
                <w:rFonts w:ascii="Times New Roman" w:hAnsi="Times New Roman" w:cs="Times New Roman"/>
                <w:b/>
                <w:sz w:val="20"/>
                <w:szCs w:val="20"/>
              </w:rPr>
            </w:pPr>
            <w:r w:rsidRPr="00B540E1">
              <w:rPr>
                <w:rFonts w:ascii="Times New Roman" w:hAnsi="Times New Roman" w:cs="Times New Roman"/>
                <w:b/>
                <w:sz w:val="20"/>
                <w:szCs w:val="20"/>
              </w:rPr>
              <w:t>Almindelig pleje</w:t>
            </w:r>
          </w:p>
          <w:p w:rsidR="00903162" w:rsidRPr="00B540E1" w:rsidRDefault="00903162" w:rsidP="000F3021">
            <w:pPr>
              <w:pStyle w:val="Ingenafstand"/>
              <w:jc w:val="center"/>
              <w:rPr>
                <w:rFonts w:ascii="Times New Roman" w:hAnsi="Times New Roman" w:cs="Times New Roman"/>
                <w:b/>
                <w:sz w:val="20"/>
                <w:szCs w:val="20"/>
              </w:rPr>
            </w:pPr>
            <w:r w:rsidRPr="00B540E1">
              <w:rPr>
                <w:rFonts w:ascii="Times New Roman" w:hAnsi="Times New Roman" w:cs="Times New Roman"/>
                <w:b/>
                <w:sz w:val="20"/>
                <w:szCs w:val="20"/>
              </w:rPr>
              <w:t>(N = 4</w:t>
            </w:r>
            <w:r>
              <w:rPr>
                <w:rFonts w:ascii="Times New Roman" w:hAnsi="Times New Roman" w:cs="Times New Roman"/>
                <w:b/>
                <w:sz w:val="20"/>
                <w:szCs w:val="20"/>
              </w:rPr>
              <w:t>.</w:t>
            </w:r>
            <w:r w:rsidRPr="00B540E1">
              <w:rPr>
                <w:rFonts w:ascii="Times New Roman" w:hAnsi="Times New Roman" w:cs="Times New Roman"/>
                <w:b/>
                <w:sz w:val="20"/>
                <w:szCs w:val="20"/>
              </w:rPr>
              <w:t>321)</w:t>
            </w:r>
          </w:p>
          <w:p w:rsidR="00903162" w:rsidRPr="00B540E1" w:rsidRDefault="00903162" w:rsidP="000F3021">
            <w:pPr>
              <w:pStyle w:val="Ingenafstand"/>
              <w:jc w:val="center"/>
              <w:rPr>
                <w:rFonts w:ascii="Times New Roman" w:hAnsi="Times New Roman" w:cs="Times New Roman"/>
                <w:b/>
                <w:sz w:val="20"/>
                <w:szCs w:val="20"/>
              </w:rPr>
            </w:pPr>
          </w:p>
        </w:tc>
        <w:tc>
          <w:tcPr>
            <w:tcW w:w="1956" w:type="dxa"/>
          </w:tcPr>
          <w:p w:rsidR="00903162" w:rsidRPr="00B540E1" w:rsidRDefault="00903162" w:rsidP="000F3021">
            <w:pPr>
              <w:pStyle w:val="Ingenafstand"/>
              <w:jc w:val="center"/>
              <w:rPr>
                <w:rFonts w:ascii="Times New Roman" w:hAnsi="Times New Roman" w:cs="Times New Roman"/>
                <w:b/>
                <w:sz w:val="20"/>
                <w:szCs w:val="20"/>
              </w:rPr>
            </w:pPr>
            <w:r w:rsidRPr="00B540E1">
              <w:rPr>
                <w:rFonts w:ascii="Times New Roman" w:hAnsi="Times New Roman" w:cs="Times New Roman"/>
                <w:b/>
                <w:sz w:val="20"/>
                <w:szCs w:val="20"/>
              </w:rPr>
              <w:t>Rate eller risk ratio</w:t>
            </w:r>
          </w:p>
          <w:p w:rsidR="00903162" w:rsidRPr="00B540E1" w:rsidRDefault="00903162" w:rsidP="000F3021">
            <w:pPr>
              <w:pStyle w:val="Ingenafstand"/>
              <w:jc w:val="center"/>
              <w:rPr>
                <w:rFonts w:ascii="Times New Roman" w:hAnsi="Times New Roman" w:cs="Times New Roman"/>
                <w:b/>
                <w:sz w:val="20"/>
                <w:szCs w:val="20"/>
              </w:rPr>
            </w:pPr>
            <w:r w:rsidRPr="00B540E1">
              <w:rPr>
                <w:rFonts w:ascii="Times New Roman" w:hAnsi="Times New Roman" w:cs="Times New Roman"/>
                <w:b/>
                <w:sz w:val="20"/>
                <w:szCs w:val="20"/>
              </w:rPr>
              <w:t>(95</w:t>
            </w:r>
            <w:r>
              <w:rPr>
                <w:rFonts w:ascii="Times New Roman" w:hAnsi="Times New Roman" w:cs="Times New Roman"/>
                <w:b/>
                <w:sz w:val="20"/>
                <w:szCs w:val="20"/>
              </w:rPr>
              <w:t> </w:t>
            </w:r>
            <w:r w:rsidRPr="00B540E1">
              <w:rPr>
                <w:rFonts w:ascii="Times New Roman" w:hAnsi="Times New Roman" w:cs="Times New Roman"/>
                <w:b/>
                <w:sz w:val="20"/>
                <w:szCs w:val="20"/>
              </w:rPr>
              <w:t>% CI)</w:t>
            </w:r>
            <w:r w:rsidRPr="00B540E1">
              <w:rPr>
                <w:sz w:val="20"/>
                <w:szCs w:val="20"/>
              </w:rPr>
              <w:t xml:space="preserve"> </w:t>
            </w:r>
            <w:r w:rsidRPr="00B540E1">
              <w:rPr>
                <w:rFonts w:ascii="Times New Roman" w:hAnsi="Times New Roman" w:cs="Times New Roman"/>
                <w:b/>
                <w:sz w:val="20"/>
                <w:szCs w:val="20"/>
              </w:rPr>
              <w:t>*</w:t>
            </w:r>
          </w:p>
        </w:tc>
      </w:tr>
      <w:tr w:rsidR="00903162" w:rsidRPr="00B540E1" w:rsidTr="000F3021">
        <w:tc>
          <w:tcPr>
            <w:tcW w:w="3714" w:type="dxa"/>
          </w:tcPr>
          <w:p w:rsidR="00903162" w:rsidRDefault="00903162" w:rsidP="000F3021">
            <w:pPr>
              <w:pStyle w:val="Ingenafstand"/>
              <w:rPr>
                <w:b/>
                <w:sz w:val="20"/>
              </w:rPr>
            </w:pPr>
          </w:p>
        </w:tc>
        <w:tc>
          <w:tcPr>
            <w:tcW w:w="5925" w:type="dxa"/>
            <w:gridSpan w:val="3"/>
          </w:tcPr>
          <w:p w:rsidR="00903162" w:rsidRPr="00A54F19" w:rsidRDefault="00903162" w:rsidP="000F3021">
            <w:pPr>
              <w:pStyle w:val="Ingenafstand"/>
              <w:jc w:val="center"/>
              <w:rPr>
                <w:rFonts w:ascii="Times New Roman" w:hAnsi="Times New Roman" w:cs="Times New Roman"/>
                <w:i/>
                <w:iCs/>
                <w:sz w:val="20"/>
                <w:szCs w:val="20"/>
              </w:rPr>
            </w:pPr>
            <w:r w:rsidRPr="00A54F19">
              <w:rPr>
                <w:rFonts w:ascii="Times New Roman" w:hAnsi="Times New Roman" w:cs="Times New Roman"/>
                <w:i/>
                <w:iCs/>
                <w:sz w:val="20"/>
                <w:szCs w:val="20"/>
              </w:rPr>
              <w:t>antal/samlet antal patienter (%)</w:t>
            </w:r>
          </w:p>
          <w:p w:rsidR="00903162" w:rsidRPr="00BB4EA9" w:rsidRDefault="00903162" w:rsidP="000F3021">
            <w:pPr>
              <w:pStyle w:val="Ingenafstand"/>
              <w:jc w:val="center"/>
              <w:rPr>
                <w:b/>
                <w:sz w:val="20"/>
              </w:rPr>
            </w:pPr>
          </w:p>
        </w:tc>
      </w:tr>
      <w:tr w:rsidR="00903162" w:rsidRPr="00B540E1" w:rsidTr="000F3021">
        <w:tc>
          <w:tcPr>
            <w:tcW w:w="3714" w:type="dxa"/>
            <w:shd w:val="clear" w:color="auto" w:fill="E7E6E6" w:themeFill="background2"/>
          </w:tcPr>
          <w:p w:rsidR="00903162" w:rsidRPr="00B540E1" w:rsidRDefault="00903162" w:rsidP="000F3021">
            <w:pPr>
              <w:pStyle w:val="Ingenafstand"/>
              <w:rPr>
                <w:rFonts w:ascii="Times New Roman" w:hAnsi="Times New Roman" w:cs="Times New Roman"/>
                <w:b/>
                <w:sz w:val="20"/>
                <w:szCs w:val="20"/>
              </w:rPr>
            </w:pPr>
            <w:r w:rsidRPr="00B540E1">
              <w:rPr>
                <w:rFonts w:ascii="Times New Roman" w:hAnsi="Times New Roman" w:cs="Times New Roman"/>
                <w:b/>
                <w:sz w:val="20"/>
                <w:szCs w:val="20"/>
              </w:rPr>
              <w:t>Primært resultat</w:t>
            </w:r>
          </w:p>
        </w:tc>
        <w:tc>
          <w:tcPr>
            <w:tcW w:w="2126"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p>
        </w:tc>
        <w:tc>
          <w:tcPr>
            <w:tcW w:w="1843"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p>
        </w:tc>
        <w:tc>
          <w:tcPr>
            <w:tcW w:w="1956"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p>
        </w:tc>
      </w:tr>
      <w:tr w:rsidR="00903162" w:rsidRPr="00B540E1" w:rsidTr="000F3021">
        <w:tc>
          <w:tcPr>
            <w:tcW w:w="3714" w:type="dxa"/>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Dødelighed efter 28 dage</w:t>
            </w:r>
          </w:p>
        </w:tc>
        <w:tc>
          <w:tcPr>
            <w:tcW w:w="2126" w:type="dxa"/>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482/2.104 (22,9)</w:t>
            </w:r>
          </w:p>
        </w:tc>
        <w:tc>
          <w:tcPr>
            <w:tcW w:w="1843" w:type="dxa"/>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1.110/4.321 (25,7)</w:t>
            </w:r>
          </w:p>
        </w:tc>
        <w:tc>
          <w:tcPr>
            <w:tcW w:w="1956" w:type="dxa"/>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0,83 (0,75-0,93)</w:t>
            </w:r>
          </w:p>
        </w:tc>
      </w:tr>
      <w:tr w:rsidR="00903162" w:rsidRPr="00B540E1" w:rsidTr="000F3021">
        <w:tc>
          <w:tcPr>
            <w:tcW w:w="3714" w:type="dxa"/>
            <w:shd w:val="clear" w:color="auto" w:fill="E7E6E6" w:themeFill="background2"/>
          </w:tcPr>
          <w:p w:rsidR="00903162" w:rsidRPr="00B540E1" w:rsidRDefault="00903162" w:rsidP="000F3021">
            <w:pPr>
              <w:pStyle w:val="Ingenafstand"/>
              <w:rPr>
                <w:rFonts w:ascii="Times New Roman" w:hAnsi="Times New Roman" w:cs="Times New Roman"/>
                <w:b/>
                <w:sz w:val="20"/>
                <w:szCs w:val="20"/>
              </w:rPr>
            </w:pPr>
            <w:r w:rsidRPr="00B540E1">
              <w:rPr>
                <w:rFonts w:ascii="Times New Roman" w:hAnsi="Times New Roman" w:cs="Times New Roman"/>
                <w:b/>
                <w:sz w:val="20"/>
                <w:szCs w:val="20"/>
              </w:rPr>
              <w:t>Sekundære resultater</w:t>
            </w:r>
          </w:p>
        </w:tc>
        <w:tc>
          <w:tcPr>
            <w:tcW w:w="2126"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p>
        </w:tc>
        <w:tc>
          <w:tcPr>
            <w:tcW w:w="1843"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p>
        </w:tc>
        <w:tc>
          <w:tcPr>
            <w:tcW w:w="1956"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p>
        </w:tc>
      </w:tr>
      <w:tr w:rsidR="00903162" w:rsidRPr="00B540E1" w:rsidTr="000F3021">
        <w:tc>
          <w:tcPr>
            <w:tcW w:w="3714" w:type="dxa"/>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Udskrevet fra hospitalet inden for 28</w:t>
            </w:r>
            <w:r>
              <w:rPr>
                <w:rFonts w:ascii="Times New Roman" w:hAnsi="Times New Roman" w:cs="Times New Roman"/>
                <w:sz w:val="20"/>
                <w:szCs w:val="20"/>
              </w:rPr>
              <w:t> </w:t>
            </w:r>
            <w:r w:rsidRPr="00B540E1">
              <w:rPr>
                <w:rFonts w:ascii="Times New Roman" w:hAnsi="Times New Roman" w:cs="Times New Roman"/>
                <w:sz w:val="20"/>
                <w:szCs w:val="20"/>
              </w:rPr>
              <w:t>dage</w:t>
            </w:r>
          </w:p>
        </w:tc>
        <w:tc>
          <w:tcPr>
            <w:tcW w:w="2126" w:type="dxa"/>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1.413/2.104 (67,2)</w:t>
            </w:r>
          </w:p>
        </w:tc>
        <w:tc>
          <w:tcPr>
            <w:tcW w:w="1843" w:type="dxa"/>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2.745/4.321 (63,5)</w:t>
            </w:r>
          </w:p>
        </w:tc>
        <w:tc>
          <w:tcPr>
            <w:tcW w:w="1956" w:type="dxa"/>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1,10 (1,03-1,17)</w:t>
            </w:r>
          </w:p>
        </w:tc>
      </w:tr>
      <w:tr w:rsidR="00903162" w:rsidRPr="00B540E1" w:rsidTr="000F3021">
        <w:tc>
          <w:tcPr>
            <w:tcW w:w="3714"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Invasiv mekanisk ventilation eller død †</w:t>
            </w:r>
          </w:p>
        </w:tc>
        <w:tc>
          <w:tcPr>
            <w:tcW w:w="2126"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456/1.780 (25,6)</w:t>
            </w:r>
          </w:p>
        </w:tc>
        <w:tc>
          <w:tcPr>
            <w:tcW w:w="1843"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994/3.638 (27,3)</w:t>
            </w:r>
          </w:p>
        </w:tc>
        <w:tc>
          <w:tcPr>
            <w:tcW w:w="1956"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0,92 (0,84-1,01)</w:t>
            </w:r>
          </w:p>
        </w:tc>
      </w:tr>
      <w:tr w:rsidR="00903162" w:rsidRPr="00B540E1" w:rsidTr="000F3021">
        <w:tc>
          <w:tcPr>
            <w:tcW w:w="3714" w:type="dxa"/>
          </w:tcPr>
          <w:p w:rsidR="00903162" w:rsidRPr="00B540E1" w:rsidRDefault="00903162" w:rsidP="000F3021">
            <w:pPr>
              <w:pStyle w:val="Ingenafstand"/>
              <w:ind w:left="170"/>
              <w:rPr>
                <w:rFonts w:ascii="Times New Roman" w:hAnsi="Times New Roman" w:cs="Times New Roman"/>
                <w:sz w:val="20"/>
                <w:szCs w:val="20"/>
              </w:rPr>
            </w:pPr>
            <w:r w:rsidRPr="00B540E1">
              <w:rPr>
                <w:rFonts w:ascii="Times New Roman" w:hAnsi="Times New Roman" w:cs="Times New Roman"/>
                <w:sz w:val="20"/>
                <w:szCs w:val="20"/>
              </w:rPr>
              <w:t>Invasiv mekanisk ventilation</w:t>
            </w:r>
          </w:p>
        </w:tc>
        <w:tc>
          <w:tcPr>
            <w:tcW w:w="2126" w:type="dxa"/>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102/1.780 (5,7)</w:t>
            </w:r>
          </w:p>
        </w:tc>
        <w:tc>
          <w:tcPr>
            <w:tcW w:w="1843" w:type="dxa"/>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285/3.638 (7,8)</w:t>
            </w:r>
          </w:p>
        </w:tc>
        <w:tc>
          <w:tcPr>
            <w:tcW w:w="1956" w:type="dxa"/>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0,77 (0,62-0,95)</w:t>
            </w:r>
          </w:p>
        </w:tc>
      </w:tr>
      <w:tr w:rsidR="00903162" w:rsidRPr="00B540E1" w:rsidTr="000F3021">
        <w:tc>
          <w:tcPr>
            <w:tcW w:w="3714" w:type="dxa"/>
            <w:shd w:val="clear" w:color="auto" w:fill="E7E6E6" w:themeFill="background2"/>
          </w:tcPr>
          <w:p w:rsidR="00903162" w:rsidRPr="00B540E1" w:rsidRDefault="00903162" w:rsidP="000F3021">
            <w:pPr>
              <w:pStyle w:val="Ingenafstand"/>
              <w:ind w:left="170"/>
              <w:rPr>
                <w:rFonts w:ascii="Times New Roman" w:hAnsi="Times New Roman" w:cs="Times New Roman"/>
                <w:sz w:val="20"/>
                <w:szCs w:val="20"/>
              </w:rPr>
            </w:pPr>
            <w:r w:rsidRPr="00B540E1">
              <w:rPr>
                <w:rFonts w:ascii="Times New Roman" w:hAnsi="Times New Roman" w:cs="Times New Roman"/>
                <w:sz w:val="20"/>
                <w:szCs w:val="20"/>
              </w:rPr>
              <w:t>Død</w:t>
            </w:r>
          </w:p>
        </w:tc>
        <w:tc>
          <w:tcPr>
            <w:tcW w:w="2126"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387/1.780 (21,7)</w:t>
            </w:r>
          </w:p>
        </w:tc>
        <w:tc>
          <w:tcPr>
            <w:tcW w:w="1843"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827/3.638 (22,7)</w:t>
            </w:r>
          </w:p>
        </w:tc>
        <w:tc>
          <w:tcPr>
            <w:tcW w:w="1956" w:type="dxa"/>
            <w:shd w:val="clear" w:color="auto" w:fill="E7E6E6" w:themeFill="background2"/>
          </w:tcPr>
          <w:p w:rsidR="00903162" w:rsidRPr="00B540E1" w:rsidRDefault="00903162" w:rsidP="000F3021">
            <w:pPr>
              <w:pStyle w:val="Ingenafstand"/>
              <w:rPr>
                <w:rFonts w:ascii="Times New Roman" w:hAnsi="Times New Roman" w:cs="Times New Roman"/>
                <w:sz w:val="20"/>
                <w:szCs w:val="20"/>
              </w:rPr>
            </w:pPr>
            <w:r w:rsidRPr="00B540E1">
              <w:rPr>
                <w:rFonts w:ascii="Times New Roman" w:hAnsi="Times New Roman" w:cs="Times New Roman"/>
                <w:sz w:val="20"/>
                <w:szCs w:val="20"/>
              </w:rPr>
              <w:t>0,93 (0,84-1,03)</w:t>
            </w:r>
          </w:p>
        </w:tc>
      </w:tr>
    </w:tbl>
    <w:p w:rsidR="00903162" w:rsidRPr="0066529B" w:rsidRDefault="00903162" w:rsidP="00903162">
      <w:pPr>
        <w:widowControl w:val="0"/>
        <w:ind w:left="851"/>
        <w:rPr>
          <w:sz w:val="24"/>
          <w:szCs w:val="24"/>
          <w:lang w:eastAsia="da-DK"/>
        </w:rPr>
      </w:pPr>
      <w:r w:rsidRPr="0066529B">
        <w:rPr>
          <w:sz w:val="24"/>
          <w:szCs w:val="24"/>
          <w:lang w:eastAsia="da-DK"/>
        </w:rPr>
        <w:t>* Rate ratio er blevet justeret for alder med hensyn til resultaterne ved dag</w:t>
      </w:r>
      <w:r>
        <w:rPr>
          <w:sz w:val="24"/>
          <w:szCs w:val="24"/>
          <w:lang w:eastAsia="da-DK"/>
        </w:rPr>
        <w:t> </w:t>
      </w:r>
      <w:r w:rsidRPr="0066529B">
        <w:rPr>
          <w:sz w:val="24"/>
          <w:szCs w:val="24"/>
          <w:lang w:eastAsia="da-DK"/>
        </w:rPr>
        <w:t>28 dødelighed og hospitalsudskrivelse. Risk ratio er blevet justeret for alder med hensyn til resultaterne</w:t>
      </w:r>
      <w:r>
        <w:rPr>
          <w:sz w:val="24"/>
          <w:szCs w:val="24"/>
          <w:lang w:eastAsia="da-DK"/>
        </w:rPr>
        <w:t xml:space="preserve"> af</w:t>
      </w:r>
      <w:r w:rsidRPr="0066529B">
        <w:rPr>
          <w:sz w:val="24"/>
          <w:szCs w:val="24"/>
          <w:lang w:eastAsia="da-DK"/>
        </w:rPr>
        <w:t xml:space="preserve"> invasiv mekanisk ventilation eller død og dets underkomponenter.</w:t>
      </w:r>
    </w:p>
    <w:p w:rsidR="00903162" w:rsidRPr="002A1761" w:rsidRDefault="00903162" w:rsidP="00903162">
      <w:pPr>
        <w:widowControl w:val="0"/>
        <w:ind w:left="851"/>
        <w:rPr>
          <w:sz w:val="24"/>
          <w:szCs w:val="24"/>
          <w:lang w:eastAsia="da-DK"/>
        </w:rPr>
      </w:pPr>
      <w:r w:rsidRPr="0066529B">
        <w:rPr>
          <w:sz w:val="24"/>
          <w:szCs w:val="24"/>
          <w:lang w:eastAsia="da-DK"/>
        </w:rPr>
        <w:t xml:space="preserve">† Patienter, der fik invasiv mekanisk ventilation ved </w:t>
      </w:r>
      <w:proofErr w:type="spellStart"/>
      <w:r w:rsidRPr="0066529B">
        <w:rPr>
          <w:sz w:val="24"/>
          <w:szCs w:val="24"/>
          <w:lang w:eastAsia="da-DK"/>
        </w:rPr>
        <w:t>randomisering</w:t>
      </w:r>
      <w:proofErr w:type="spellEnd"/>
      <w:r w:rsidRPr="0066529B">
        <w:rPr>
          <w:sz w:val="24"/>
          <w:szCs w:val="24"/>
          <w:lang w:eastAsia="da-DK"/>
        </w:rPr>
        <w:t>, er ekskluderet fra denne kategori.</w:t>
      </w:r>
    </w:p>
    <w:p w:rsidR="00903162" w:rsidRDefault="00903162" w:rsidP="00903162">
      <w:pPr>
        <w:pBdr>
          <w:bottom w:val="single" w:sz="4" w:space="1" w:color="auto"/>
        </w:pBdr>
        <w:tabs>
          <w:tab w:val="left" w:pos="851"/>
        </w:tabs>
        <w:ind w:left="851"/>
        <w:rPr>
          <w:sz w:val="24"/>
          <w:szCs w:val="24"/>
        </w:rPr>
      </w:pPr>
    </w:p>
    <w:p w:rsidR="00903162" w:rsidRDefault="00903162" w:rsidP="00903162">
      <w:pPr>
        <w:tabs>
          <w:tab w:val="left" w:pos="851"/>
        </w:tabs>
        <w:rPr>
          <w:sz w:val="24"/>
          <w:szCs w:val="24"/>
        </w:rPr>
      </w:pPr>
    </w:p>
    <w:p w:rsidR="00E4085D" w:rsidRDefault="00E4085D">
      <w:pPr>
        <w:rPr>
          <w:b/>
          <w:bCs/>
          <w:sz w:val="24"/>
          <w:szCs w:val="24"/>
        </w:rPr>
      </w:pPr>
      <w:r>
        <w:rPr>
          <w:b/>
          <w:bCs/>
          <w:sz w:val="24"/>
          <w:szCs w:val="24"/>
        </w:rPr>
        <w:br w:type="page"/>
      </w:r>
    </w:p>
    <w:p w:rsidR="00903162" w:rsidRPr="000306EB" w:rsidRDefault="00903162" w:rsidP="00903162">
      <w:pPr>
        <w:tabs>
          <w:tab w:val="left" w:pos="851"/>
        </w:tabs>
        <w:ind w:left="851"/>
        <w:rPr>
          <w:b/>
          <w:bCs/>
          <w:sz w:val="24"/>
          <w:szCs w:val="24"/>
        </w:rPr>
      </w:pPr>
      <w:r w:rsidRPr="000306EB">
        <w:rPr>
          <w:b/>
          <w:bCs/>
          <w:sz w:val="24"/>
          <w:szCs w:val="24"/>
        </w:rPr>
        <w:lastRenderedPageBreak/>
        <w:t>Sikkerhed</w:t>
      </w:r>
    </w:p>
    <w:p w:rsidR="00903162" w:rsidRPr="000306EB" w:rsidRDefault="00903162" w:rsidP="00903162">
      <w:pPr>
        <w:tabs>
          <w:tab w:val="left" w:pos="851"/>
          <w:tab w:val="left" w:pos="1350"/>
        </w:tabs>
        <w:ind w:left="851"/>
        <w:rPr>
          <w:sz w:val="24"/>
          <w:szCs w:val="24"/>
        </w:rPr>
      </w:pPr>
      <w:r w:rsidRPr="000306EB">
        <w:rPr>
          <w:sz w:val="24"/>
          <w:szCs w:val="24"/>
        </w:rPr>
        <w:t xml:space="preserve">Der var fire alvorlige bivirkningstilfælde relateret til studiebehandlingen: To alvorlige bivirkningstilfælde med </w:t>
      </w:r>
      <w:proofErr w:type="spellStart"/>
      <w:r w:rsidRPr="000306EB">
        <w:rPr>
          <w:sz w:val="24"/>
          <w:szCs w:val="24"/>
        </w:rPr>
        <w:t>hyperglykæmi</w:t>
      </w:r>
      <w:proofErr w:type="spellEnd"/>
      <w:r w:rsidRPr="000306EB">
        <w:rPr>
          <w:sz w:val="24"/>
          <w:szCs w:val="24"/>
        </w:rPr>
        <w:t xml:space="preserve">, et alvorligt bivirkningstilfælde med steroidinduceret psykose og et alvorligt bivirkningstilfælde med øvre </w:t>
      </w:r>
      <w:proofErr w:type="spellStart"/>
      <w:r w:rsidRPr="000306EB">
        <w:rPr>
          <w:sz w:val="24"/>
          <w:szCs w:val="24"/>
        </w:rPr>
        <w:t>gastrointestinal</w:t>
      </w:r>
      <w:proofErr w:type="spellEnd"/>
      <w:r w:rsidRPr="000306EB">
        <w:rPr>
          <w:sz w:val="24"/>
          <w:szCs w:val="24"/>
        </w:rPr>
        <w:t xml:space="preserve"> blødning. Alle bivirkninger forsvandt.</w:t>
      </w:r>
    </w:p>
    <w:p w:rsidR="005E0E94" w:rsidRDefault="005E0E94">
      <w:pPr>
        <w:rPr>
          <w:b/>
          <w:bCs/>
          <w:sz w:val="24"/>
          <w:szCs w:val="24"/>
        </w:rPr>
      </w:pPr>
    </w:p>
    <w:p w:rsidR="00903162" w:rsidRPr="000306EB" w:rsidRDefault="00903162" w:rsidP="00903162">
      <w:pPr>
        <w:tabs>
          <w:tab w:val="left" w:pos="851"/>
          <w:tab w:val="left" w:pos="1350"/>
        </w:tabs>
        <w:ind w:left="851"/>
        <w:rPr>
          <w:b/>
          <w:bCs/>
          <w:sz w:val="24"/>
          <w:szCs w:val="24"/>
        </w:rPr>
      </w:pPr>
      <w:r w:rsidRPr="000306EB">
        <w:rPr>
          <w:b/>
          <w:bCs/>
          <w:sz w:val="24"/>
          <w:szCs w:val="24"/>
        </w:rPr>
        <w:t>Undergruppeanalyser</w:t>
      </w:r>
    </w:p>
    <w:p w:rsidR="00903162" w:rsidRPr="000306EB" w:rsidRDefault="00903162" w:rsidP="00903162">
      <w:pPr>
        <w:tabs>
          <w:tab w:val="left" w:pos="851"/>
          <w:tab w:val="left" w:pos="1350"/>
        </w:tabs>
        <w:ind w:left="851"/>
        <w:rPr>
          <w:b/>
          <w:bCs/>
          <w:sz w:val="24"/>
          <w:szCs w:val="24"/>
        </w:rPr>
      </w:pPr>
    </w:p>
    <w:p w:rsidR="00903162" w:rsidRDefault="00903162" w:rsidP="00903162">
      <w:pPr>
        <w:tabs>
          <w:tab w:val="left" w:pos="851"/>
          <w:tab w:val="left" w:pos="1350"/>
        </w:tabs>
        <w:ind w:left="851"/>
        <w:rPr>
          <w:b/>
          <w:bCs/>
          <w:i/>
          <w:iCs/>
          <w:sz w:val="24"/>
          <w:szCs w:val="24"/>
        </w:rPr>
      </w:pPr>
      <w:r w:rsidRPr="000306EB">
        <w:rPr>
          <w:b/>
          <w:bCs/>
          <w:i/>
          <w:iCs/>
          <w:sz w:val="24"/>
          <w:szCs w:val="24"/>
        </w:rPr>
        <w:t xml:space="preserve">Effekt af tildeling af </w:t>
      </w:r>
      <w:proofErr w:type="spellStart"/>
      <w:r>
        <w:rPr>
          <w:b/>
          <w:bCs/>
          <w:i/>
          <w:iCs/>
          <w:sz w:val="24"/>
          <w:szCs w:val="24"/>
        </w:rPr>
        <w:t>dexamethason</w:t>
      </w:r>
      <w:proofErr w:type="spellEnd"/>
      <w:r w:rsidRPr="000306EB">
        <w:rPr>
          <w:b/>
          <w:bCs/>
          <w:i/>
          <w:iCs/>
          <w:sz w:val="24"/>
          <w:szCs w:val="24"/>
        </w:rPr>
        <w:t xml:space="preserve"> på dødeligheden efter 28 dage, efter alder og respiratorisk støtte modtaget ved </w:t>
      </w:r>
      <w:proofErr w:type="spellStart"/>
      <w:r w:rsidRPr="000306EB">
        <w:rPr>
          <w:b/>
          <w:bCs/>
          <w:i/>
          <w:iCs/>
          <w:sz w:val="24"/>
          <w:szCs w:val="24"/>
        </w:rPr>
        <w:t>randomisering</w:t>
      </w:r>
      <w:proofErr w:type="spellEnd"/>
      <w:r w:rsidRPr="000306EB">
        <w:rPr>
          <w:rStyle w:val="Fodnotehenvisning"/>
          <w:b/>
          <w:bCs/>
          <w:i/>
          <w:iCs/>
          <w:sz w:val="24"/>
          <w:szCs w:val="24"/>
        </w:rPr>
        <w:footnoteReference w:id="2"/>
      </w:r>
    </w:p>
    <w:p w:rsidR="00903162" w:rsidRDefault="00903162" w:rsidP="00903162">
      <w:pPr>
        <w:tabs>
          <w:tab w:val="left" w:pos="851"/>
          <w:tab w:val="left" w:pos="1350"/>
        </w:tabs>
        <w:ind w:left="851"/>
        <w:rPr>
          <w:b/>
          <w:bCs/>
          <w:i/>
          <w:iCs/>
          <w:sz w:val="24"/>
          <w:szCs w:val="24"/>
        </w:rPr>
      </w:pPr>
    </w:p>
    <w:tbl>
      <w:tblPr>
        <w:tblStyle w:val="Tabel-Gitter"/>
        <w:tblW w:w="5020" w:type="pct"/>
        <w:tblInd w:w="279" w:type="dxa"/>
        <w:tblLayout w:type="fixed"/>
        <w:tblLook w:val="04A0" w:firstRow="1" w:lastRow="0" w:firstColumn="1" w:lastColumn="0" w:noHBand="0" w:noVBand="1"/>
      </w:tblPr>
      <w:tblGrid>
        <w:gridCol w:w="1496"/>
        <w:gridCol w:w="1806"/>
        <w:gridCol w:w="1862"/>
        <w:gridCol w:w="1663"/>
        <w:gridCol w:w="1237"/>
        <w:gridCol w:w="1603"/>
      </w:tblGrid>
      <w:tr w:rsidR="00903162" w:rsidRPr="002A1761" w:rsidTr="000F3021">
        <w:trPr>
          <w:cantSplit/>
        </w:trPr>
        <w:tc>
          <w:tcPr>
            <w:tcW w:w="774" w:type="pct"/>
          </w:tcPr>
          <w:p w:rsidR="00903162" w:rsidRPr="002A1761" w:rsidRDefault="00903162" w:rsidP="000F3021">
            <w:pPr>
              <w:rPr>
                <w:rFonts w:ascii="Times New Roman" w:hAnsi="Times New Roman" w:cs="Times New Roman"/>
                <w:sz w:val="20"/>
                <w:szCs w:val="20"/>
                <w:lang w:val="da-DK"/>
              </w:rPr>
            </w:pPr>
          </w:p>
        </w:tc>
        <w:tc>
          <w:tcPr>
            <w:tcW w:w="934" w:type="pct"/>
          </w:tcPr>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Dexamethason</w:t>
            </w:r>
          </w:p>
        </w:tc>
        <w:tc>
          <w:tcPr>
            <w:tcW w:w="963" w:type="pct"/>
          </w:tcPr>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Almindelig pleje</w:t>
            </w:r>
          </w:p>
        </w:tc>
        <w:tc>
          <w:tcPr>
            <w:tcW w:w="1500" w:type="pct"/>
            <w:gridSpan w:val="2"/>
            <w:vMerge w:val="restart"/>
          </w:tcPr>
          <w:p w:rsidR="00903162" w:rsidRPr="002A1761" w:rsidRDefault="00903162" w:rsidP="000F3021">
            <w:pPr>
              <w:rPr>
                <w:rFonts w:ascii="Times New Roman" w:hAnsi="Times New Roman" w:cs="Times New Roman"/>
                <w:noProof/>
                <w:sz w:val="12"/>
                <w:szCs w:val="12"/>
                <w:lang w:val="da-DK" w:eastAsia="sl-SI"/>
              </w:rPr>
            </w:pPr>
            <w:r w:rsidRPr="002A1761">
              <w:rPr>
                <w:rFonts w:ascii="Times New Roman" w:hAnsi="Times New Roman" w:cs="Times New Roman"/>
                <w:noProof/>
                <w:sz w:val="12"/>
                <w:szCs w:val="12"/>
                <w:lang w:eastAsia="sl-SI"/>
              </w:rPr>
              <w:t xml:space="preserve">         </w:t>
            </w:r>
          </w:p>
          <w:p w:rsidR="00903162" w:rsidRPr="002A1761" w:rsidRDefault="00903162" w:rsidP="000F3021">
            <w:pPr>
              <w:rPr>
                <w:rFonts w:ascii="Times New Roman" w:hAnsi="Times New Roman" w:cs="Times New Roman"/>
                <w:noProof/>
                <w:sz w:val="12"/>
                <w:szCs w:val="12"/>
                <w:lang w:val="da-DK" w:eastAsia="sl-SI"/>
              </w:rPr>
            </w:pPr>
          </w:p>
          <w:p w:rsidR="00903162" w:rsidRPr="002A1761" w:rsidRDefault="00903162" w:rsidP="000F3021">
            <w:pPr>
              <w:rPr>
                <w:rFonts w:ascii="Times New Roman" w:hAnsi="Times New Roman" w:cs="Times New Roman"/>
                <w:sz w:val="12"/>
                <w:szCs w:val="12"/>
              </w:rPr>
            </w:pPr>
            <w:r w:rsidRPr="002A1761">
              <w:rPr>
                <w:rFonts w:ascii="Times New Roman" w:eastAsia="Times New Roman" w:hAnsi="Times New Roman" w:cs="Times New Roman"/>
                <w:szCs w:val="20"/>
                <w:lang w:val="da-DK"/>
              </w:rPr>
              <w:object w:dxaOrig="3555" w:dyaOrig="60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pt;height:232.5pt" o:ole="">
                  <v:imagedata r:id="rId9" o:title=""/>
                </v:shape>
                <o:OLEObject Type="Embed" ProgID="PBrush" ShapeID="_x0000_i1025" DrawAspect="Content" ObjectID="_1803470605" r:id="rId10"/>
              </w:object>
            </w:r>
          </w:p>
          <w:p w:rsidR="00903162" w:rsidRPr="002A1761" w:rsidRDefault="00903162" w:rsidP="000F3021">
            <w:pPr>
              <w:rPr>
                <w:rFonts w:ascii="Times New Roman" w:hAnsi="Times New Roman" w:cs="Times New Roman"/>
                <w:sz w:val="12"/>
                <w:szCs w:val="12"/>
              </w:rPr>
            </w:pPr>
          </w:p>
          <w:p w:rsidR="00903162" w:rsidRPr="002A1761" w:rsidRDefault="00903162" w:rsidP="000F3021">
            <w:pPr>
              <w:rPr>
                <w:rFonts w:ascii="Times New Roman" w:hAnsi="Times New Roman" w:cs="Times New Roman"/>
                <w:sz w:val="12"/>
                <w:szCs w:val="12"/>
                <w:lang w:val="da-DK"/>
              </w:rPr>
            </w:pPr>
          </w:p>
        </w:tc>
        <w:tc>
          <w:tcPr>
            <w:tcW w:w="830" w:type="pct"/>
          </w:tcPr>
          <w:p w:rsidR="00903162" w:rsidRPr="002A1761" w:rsidRDefault="00903162" w:rsidP="000F3021">
            <w:pPr>
              <w:rPr>
                <w:rFonts w:ascii="Times New Roman" w:hAnsi="Times New Roman" w:cs="Times New Roman"/>
                <w:b/>
                <w:sz w:val="18"/>
                <w:szCs w:val="18"/>
                <w:lang w:val="da-DK"/>
              </w:rPr>
            </w:pPr>
            <w:r w:rsidRPr="002A1761">
              <w:rPr>
                <w:rFonts w:ascii="Times New Roman" w:hAnsi="Times New Roman" w:cs="Times New Roman"/>
                <w:b/>
                <w:sz w:val="18"/>
                <w:szCs w:val="18"/>
              </w:rPr>
              <w:t>RR (95 % Cl)</w:t>
            </w:r>
          </w:p>
        </w:tc>
      </w:tr>
      <w:tr w:rsidR="00903162" w:rsidRPr="002A1761" w:rsidTr="000F3021">
        <w:trPr>
          <w:cantSplit/>
        </w:trPr>
        <w:tc>
          <w:tcPr>
            <w:tcW w:w="2670" w:type="pct"/>
            <w:gridSpan w:val="3"/>
          </w:tcPr>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Ingen ilt (x</w:t>
            </w:r>
            <w:r w:rsidRPr="002A1761">
              <w:rPr>
                <w:rFonts w:ascii="Times New Roman" w:hAnsi="Times New Roman" w:cs="Times New Roman"/>
                <w:b/>
                <w:sz w:val="20"/>
                <w:vertAlign w:val="subscript"/>
              </w:rPr>
              <w:t>1</w:t>
            </w:r>
            <w:r w:rsidRPr="002A1761">
              <w:rPr>
                <w:rFonts w:ascii="Times New Roman" w:hAnsi="Times New Roman" w:cs="Times New Roman"/>
                <w:b/>
                <w:sz w:val="20"/>
                <w:vertAlign w:val="superscript"/>
              </w:rPr>
              <w:t>2</w:t>
            </w:r>
            <w:r w:rsidRPr="002A1761">
              <w:rPr>
                <w:rFonts w:ascii="Times New Roman" w:hAnsi="Times New Roman" w:cs="Times New Roman"/>
                <w:b/>
                <w:sz w:val="20"/>
              </w:rPr>
              <w:t>= 0,70; p=0,40)</w:t>
            </w:r>
          </w:p>
        </w:tc>
        <w:tc>
          <w:tcPr>
            <w:tcW w:w="1500" w:type="pct"/>
            <w:gridSpan w:val="2"/>
            <w:vMerge/>
          </w:tcPr>
          <w:p w:rsidR="00903162" w:rsidRPr="002A1761" w:rsidRDefault="00903162" w:rsidP="000F3021">
            <w:pPr>
              <w:rPr>
                <w:rFonts w:ascii="Times New Roman" w:hAnsi="Times New Roman" w:cs="Times New Roman"/>
                <w:sz w:val="20"/>
                <w:szCs w:val="20"/>
                <w:lang w:val="da-DK"/>
              </w:rPr>
            </w:pPr>
          </w:p>
        </w:tc>
        <w:tc>
          <w:tcPr>
            <w:tcW w:w="830" w:type="pct"/>
          </w:tcPr>
          <w:p w:rsidR="00903162" w:rsidRPr="002A1761" w:rsidRDefault="00903162" w:rsidP="000F3021">
            <w:pPr>
              <w:rPr>
                <w:rFonts w:ascii="Times New Roman" w:hAnsi="Times New Roman" w:cs="Times New Roman"/>
                <w:sz w:val="20"/>
                <w:szCs w:val="20"/>
                <w:lang w:val="da-DK"/>
              </w:rPr>
            </w:pPr>
          </w:p>
        </w:tc>
      </w:tr>
      <w:tr w:rsidR="00903162" w:rsidRPr="002A1761" w:rsidTr="000F3021">
        <w:trPr>
          <w:cantSplit/>
          <w:trHeight w:val="925"/>
        </w:trPr>
        <w:tc>
          <w:tcPr>
            <w:tcW w:w="774" w:type="pct"/>
          </w:tcPr>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 xml:space="preserve">&lt;70 </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 xml:space="preserve">≥70 &lt;80 </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 xml:space="preserve">≥80 </w:t>
            </w:r>
          </w:p>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 xml:space="preserve">Subtotal </w:t>
            </w:r>
          </w:p>
        </w:tc>
        <w:tc>
          <w:tcPr>
            <w:tcW w:w="934" w:type="pct"/>
          </w:tcPr>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10/197 (5,1 %)</w:t>
            </w:r>
          </w:p>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25/114 (21,9 %)</w:t>
            </w:r>
          </w:p>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54/190 (28,4 %)</w:t>
            </w:r>
          </w:p>
          <w:p w:rsidR="00903162" w:rsidRPr="002A1761" w:rsidRDefault="00903162" w:rsidP="000F3021">
            <w:pPr>
              <w:jc w:val="right"/>
              <w:rPr>
                <w:rFonts w:ascii="Times New Roman" w:hAnsi="Times New Roman" w:cs="Times New Roman"/>
                <w:b/>
                <w:sz w:val="20"/>
                <w:szCs w:val="20"/>
                <w:lang w:val="da-DK"/>
              </w:rPr>
            </w:pPr>
            <w:r w:rsidRPr="002A1761">
              <w:rPr>
                <w:rFonts w:ascii="Times New Roman" w:hAnsi="Times New Roman" w:cs="Times New Roman"/>
                <w:b/>
                <w:sz w:val="20"/>
              </w:rPr>
              <w:t>89/501 (17,8 %)</w:t>
            </w:r>
          </w:p>
        </w:tc>
        <w:tc>
          <w:tcPr>
            <w:tcW w:w="963" w:type="pct"/>
          </w:tcPr>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18/462 (3,9 %)</w:t>
            </w:r>
          </w:p>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35/224 (15,6 %)</w:t>
            </w:r>
          </w:p>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92/348 (26,4 %)</w:t>
            </w:r>
          </w:p>
          <w:p w:rsidR="00903162" w:rsidRPr="002A1761" w:rsidRDefault="00903162" w:rsidP="000F3021">
            <w:pPr>
              <w:jc w:val="right"/>
              <w:rPr>
                <w:rFonts w:ascii="Times New Roman" w:hAnsi="Times New Roman" w:cs="Times New Roman"/>
                <w:b/>
                <w:sz w:val="20"/>
                <w:szCs w:val="20"/>
                <w:lang w:val="da-DK"/>
              </w:rPr>
            </w:pPr>
            <w:r w:rsidRPr="002A1761">
              <w:rPr>
                <w:rFonts w:ascii="Times New Roman" w:hAnsi="Times New Roman" w:cs="Times New Roman"/>
                <w:b/>
                <w:sz w:val="20"/>
              </w:rPr>
              <w:t>145/1.034 (14,0 %)</w:t>
            </w:r>
          </w:p>
        </w:tc>
        <w:tc>
          <w:tcPr>
            <w:tcW w:w="1500" w:type="pct"/>
            <w:gridSpan w:val="2"/>
            <w:vMerge/>
          </w:tcPr>
          <w:p w:rsidR="00903162" w:rsidRPr="002A1761" w:rsidRDefault="00903162" w:rsidP="000F3021">
            <w:pPr>
              <w:rPr>
                <w:rFonts w:ascii="Times New Roman" w:hAnsi="Times New Roman" w:cs="Times New Roman"/>
                <w:sz w:val="20"/>
                <w:szCs w:val="20"/>
                <w:lang w:val="da-DK"/>
              </w:rPr>
            </w:pPr>
          </w:p>
        </w:tc>
        <w:tc>
          <w:tcPr>
            <w:tcW w:w="830" w:type="pct"/>
          </w:tcPr>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1,31 (0,60</w:t>
            </w:r>
            <w:r w:rsidRPr="002A1761">
              <w:rPr>
                <w:rFonts w:ascii="Times New Roman" w:hAnsi="Times New Roman" w:cs="Times New Roman"/>
                <w:sz w:val="20"/>
              </w:rPr>
              <w:noBreakHyphen/>
              <w:t>2,83)</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1,46 (0,88</w:t>
            </w:r>
            <w:r w:rsidRPr="002A1761">
              <w:rPr>
                <w:rFonts w:ascii="Times New Roman" w:hAnsi="Times New Roman" w:cs="Times New Roman"/>
                <w:sz w:val="20"/>
              </w:rPr>
              <w:noBreakHyphen/>
              <w:t>2,45)</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1,06 (0,76</w:t>
            </w:r>
            <w:r w:rsidRPr="002A1761">
              <w:rPr>
                <w:rFonts w:ascii="Times New Roman" w:hAnsi="Times New Roman" w:cs="Times New Roman"/>
                <w:sz w:val="20"/>
              </w:rPr>
              <w:noBreakHyphen/>
              <w:t>1,49)</w:t>
            </w:r>
          </w:p>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1,19 (0,91</w:t>
            </w:r>
            <w:r w:rsidRPr="002A1761">
              <w:rPr>
                <w:rFonts w:ascii="Times New Roman" w:hAnsi="Times New Roman" w:cs="Times New Roman"/>
                <w:b/>
                <w:sz w:val="20"/>
              </w:rPr>
              <w:noBreakHyphen/>
              <w:t>1,55)</w:t>
            </w:r>
          </w:p>
        </w:tc>
      </w:tr>
      <w:tr w:rsidR="00903162" w:rsidRPr="002A1761" w:rsidTr="000F3021">
        <w:trPr>
          <w:cantSplit/>
          <w:trHeight w:val="275"/>
        </w:trPr>
        <w:tc>
          <w:tcPr>
            <w:tcW w:w="2670" w:type="pct"/>
            <w:gridSpan w:val="3"/>
          </w:tcPr>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Kun ilt (x</w:t>
            </w:r>
            <w:r w:rsidRPr="002A1761">
              <w:rPr>
                <w:rFonts w:ascii="Times New Roman" w:hAnsi="Times New Roman" w:cs="Times New Roman"/>
                <w:b/>
                <w:sz w:val="20"/>
                <w:vertAlign w:val="subscript"/>
              </w:rPr>
              <w:t>1</w:t>
            </w:r>
            <w:r w:rsidRPr="002A1761">
              <w:rPr>
                <w:rFonts w:ascii="Times New Roman" w:hAnsi="Times New Roman" w:cs="Times New Roman"/>
                <w:b/>
                <w:sz w:val="20"/>
                <w:vertAlign w:val="superscript"/>
              </w:rPr>
              <w:t>2</w:t>
            </w:r>
            <w:r w:rsidRPr="002A1761">
              <w:rPr>
                <w:rFonts w:ascii="Times New Roman" w:hAnsi="Times New Roman" w:cs="Times New Roman"/>
                <w:b/>
                <w:sz w:val="20"/>
              </w:rPr>
              <w:t>= 2,54; p=0,11)</w:t>
            </w:r>
          </w:p>
        </w:tc>
        <w:tc>
          <w:tcPr>
            <w:tcW w:w="1500" w:type="pct"/>
            <w:gridSpan w:val="2"/>
            <w:vMerge/>
          </w:tcPr>
          <w:p w:rsidR="00903162" w:rsidRPr="002A1761" w:rsidRDefault="00903162" w:rsidP="000F3021">
            <w:pPr>
              <w:rPr>
                <w:rFonts w:ascii="Times New Roman" w:hAnsi="Times New Roman" w:cs="Times New Roman"/>
                <w:sz w:val="20"/>
                <w:szCs w:val="20"/>
                <w:lang w:val="da-DK"/>
              </w:rPr>
            </w:pPr>
          </w:p>
        </w:tc>
        <w:tc>
          <w:tcPr>
            <w:tcW w:w="830" w:type="pct"/>
          </w:tcPr>
          <w:p w:rsidR="00903162" w:rsidRPr="002A1761" w:rsidRDefault="00903162" w:rsidP="000F3021">
            <w:pPr>
              <w:rPr>
                <w:rFonts w:ascii="Times New Roman" w:hAnsi="Times New Roman" w:cs="Times New Roman"/>
                <w:sz w:val="20"/>
                <w:szCs w:val="20"/>
                <w:lang w:val="da-DK"/>
              </w:rPr>
            </w:pPr>
          </w:p>
        </w:tc>
      </w:tr>
      <w:tr w:rsidR="00903162" w:rsidRPr="002A1761" w:rsidTr="000F3021">
        <w:trPr>
          <w:cantSplit/>
          <w:trHeight w:val="842"/>
        </w:trPr>
        <w:tc>
          <w:tcPr>
            <w:tcW w:w="774" w:type="pct"/>
          </w:tcPr>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 xml:space="preserve">&lt;70 </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 xml:space="preserve">≥70 &lt;80 </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 xml:space="preserve">≥80 </w:t>
            </w:r>
          </w:p>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Subtotal</w:t>
            </w:r>
          </w:p>
          <w:p w:rsidR="00903162" w:rsidRPr="002A1761" w:rsidRDefault="00903162" w:rsidP="000F3021">
            <w:pPr>
              <w:rPr>
                <w:rFonts w:ascii="Times New Roman" w:hAnsi="Times New Roman" w:cs="Times New Roman"/>
                <w:sz w:val="20"/>
                <w:szCs w:val="20"/>
                <w:lang w:val="da-DK"/>
              </w:rPr>
            </w:pPr>
          </w:p>
        </w:tc>
        <w:tc>
          <w:tcPr>
            <w:tcW w:w="934" w:type="pct"/>
          </w:tcPr>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53/675 (7,9 %)</w:t>
            </w:r>
          </w:p>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104/306 (34,0 %)</w:t>
            </w:r>
          </w:p>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141/298 (47,3 %)</w:t>
            </w:r>
          </w:p>
          <w:p w:rsidR="00903162" w:rsidRPr="002A1761" w:rsidRDefault="00903162" w:rsidP="000F3021">
            <w:pPr>
              <w:jc w:val="right"/>
              <w:rPr>
                <w:rFonts w:ascii="Times New Roman" w:hAnsi="Times New Roman" w:cs="Times New Roman"/>
                <w:b/>
                <w:bCs/>
                <w:sz w:val="20"/>
                <w:szCs w:val="20"/>
                <w:lang w:val="da-DK"/>
              </w:rPr>
            </w:pPr>
            <w:r w:rsidRPr="002A1761">
              <w:rPr>
                <w:rFonts w:ascii="Times New Roman" w:hAnsi="Times New Roman" w:cs="Times New Roman"/>
                <w:b/>
                <w:bCs/>
                <w:sz w:val="20"/>
              </w:rPr>
              <w:t>298/1.279 (23</w:t>
            </w:r>
            <w:r>
              <w:rPr>
                <w:rFonts w:ascii="Times New Roman" w:hAnsi="Times New Roman" w:cs="Times New Roman"/>
                <w:b/>
                <w:bCs/>
                <w:sz w:val="20"/>
              </w:rPr>
              <w:t>,</w:t>
            </w:r>
            <w:r w:rsidRPr="002A1761">
              <w:rPr>
                <w:rFonts w:ascii="Times New Roman" w:hAnsi="Times New Roman" w:cs="Times New Roman"/>
                <w:b/>
                <w:bCs/>
                <w:sz w:val="20"/>
              </w:rPr>
              <w:t>3 %)</w:t>
            </w:r>
          </w:p>
        </w:tc>
        <w:tc>
          <w:tcPr>
            <w:tcW w:w="963" w:type="pct"/>
          </w:tcPr>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193/1.473 (13,1 %)</w:t>
            </w:r>
          </w:p>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178/531 (33,5 %)</w:t>
            </w:r>
          </w:p>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311/600 (51,8 %)</w:t>
            </w:r>
          </w:p>
          <w:p w:rsidR="00903162" w:rsidRPr="002A1761" w:rsidRDefault="00903162" w:rsidP="000F3021">
            <w:pPr>
              <w:jc w:val="right"/>
              <w:rPr>
                <w:rFonts w:ascii="Times New Roman" w:hAnsi="Times New Roman" w:cs="Times New Roman"/>
                <w:b/>
                <w:sz w:val="20"/>
                <w:szCs w:val="20"/>
                <w:lang w:val="da-DK"/>
              </w:rPr>
            </w:pPr>
            <w:r w:rsidRPr="002A1761">
              <w:rPr>
                <w:rFonts w:ascii="Times New Roman" w:hAnsi="Times New Roman" w:cs="Times New Roman"/>
                <w:b/>
                <w:sz w:val="20"/>
              </w:rPr>
              <w:t>682/2.604 (26,2 %)</w:t>
            </w:r>
          </w:p>
        </w:tc>
        <w:tc>
          <w:tcPr>
            <w:tcW w:w="1500" w:type="pct"/>
            <w:gridSpan w:val="2"/>
            <w:vMerge/>
          </w:tcPr>
          <w:p w:rsidR="00903162" w:rsidRPr="002A1761" w:rsidRDefault="00903162" w:rsidP="000F3021">
            <w:pPr>
              <w:rPr>
                <w:rFonts w:ascii="Times New Roman" w:hAnsi="Times New Roman" w:cs="Times New Roman"/>
                <w:sz w:val="20"/>
                <w:szCs w:val="20"/>
                <w:lang w:val="da-DK"/>
              </w:rPr>
            </w:pPr>
          </w:p>
        </w:tc>
        <w:tc>
          <w:tcPr>
            <w:tcW w:w="830" w:type="pct"/>
          </w:tcPr>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0,58 (0,43</w:t>
            </w:r>
            <w:r w:rsidRPr="002A1761">
              <w:rPr>
                <w:rFonts w:ascii="Times New Roman" w:hAnsi="Times New Roman" w:cs="Times New Roman"/>
                <w:sz w:val="20"/>
              </w:rPr>
              <w:noBreakHyphen/>
              <w:t>0,78)</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0,98 (0,77</w:t>
            </w:r>
            <w:r w:rsidRPr="002A1761">
              <w:rPr>
                <w:rFonts w:ascii="Times New Roman" w:hAnsi="Times New Roman" w:cs="Times New Roman"/>
                <w:sz w:val="20"/>
              </w:rPr>
              <w:noBreakHyphen/>
              <w:t>1,25)</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0,85 (0,70</w:t>
            </w:r>
            <w:r w:rsidRPr="002A1761">
              <w:rPr>
                <w:rFonts w:ascii="Times New Roman" w:hAnsi="Times New Roman" w:cs="Times New Roman"/>
                <w:sz w:val="20"/>
              </w:rPr>
              <w:noBreakHyphen/>
              <w:t>1,04)</w:t>
            </w:r>
          </w:p>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0,82 (0,72</w:t>
            </w:r>
            <w:r w:rsidRPr="002A1761">
              <w:rPr>
                <w:rFonts w:ascii="Times New Roman" w:hAnsi="Times New Roman" w:cs="Times New Roman"/>
                <w:b/>
                <w:sz w:val="20"/>
              </w:rPr>
              <w:noBreakHyphen/>
              <w:t>0,94)</w:t>
            </w:r>
          </w:p>
        </w:tc>
      </w:tr>
      <w:tr w:rsidR="00903162" w:rsidRPr="002A1761" w:rsidTr="000F3021">
        <w:trPr>
          <w:cantSplit/>
        </w:trPr>
        <w:tc>
          <w:tcPr>
            <w:tcW w:w="2670" w:type="pct"/>
            <w:gridSpan w:val="3"/>
          </w:tcPr>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Mekanisk ventilation (x</w:t>
            </w:r>
            <w:r w:rsidRPr="002A1761">
              <w:rPr>
                <w:rFonts w:ascii="Times New Roman" w:hAnsi="Times New Roman" w:cs="Times New Roman"/>
                <w:b/>
                <w:sz w:val="20"/>
                <w:vertAlign w:val="subscript"/>
              </w:rPr>
              <w:t>1</w:t>
            </w:r>
            <w:r w:rsidRPr="002A1761">
              <w:rPr>
                <w:rFonts w:ascii="Times New Roman" w:hAnsi="Times New Roman" w:cs="Times New Roman"/>
                <w:b/>
                <w:sz w:val="20"/>
                <w:vertAlign w:val="superscript"/>
              </w:rPr>
              <w:t>2</w:t>
            </w:r>
            <w:r w:rsidRPr="002A1761">
              <w:rPr>
                <w:rFonts w:ascii="Times New Roman" w:hAnsi="Times New Roman" w:cs="Times New Roman"/>
                <w:b/>
                <w:sz w:val="20"/>
              </w:rPr>
              <w:t>=0,28; p=0,60)</w:t>
            </w:r>
          </w:p>
        </w:tc>
        <w:tc>
          <w:tcPr>
            <w:tcW w:w="1500" w:type="pct"/>
            <w:gridSpan w:val="2"/>
            <w:vMerge/>
          </w:tcPr>
          <w:p w:rsidR="00903162" w:rsidRPr="002A1761" w:rsidRDefault="00903162" w:rsidP="000F3021">
            <w:pPr>
              <w:rPr>
                <w:rFonts w:ascii="Times New Roman" w:hAnsi="Times New Roman" w:cs="Times New Roman"/>
                <w:sz w:val="20"/>
                <w:szCs w:val="20"/>
                <w:lang w:val="da-DK"/>
              </w:rPr>
            </w:pPr>
          </w:p>
        </w:tc>
        <w:tc>
          <w:tcPr>
            <w:tcW w:w="830" w:type="pct"/>
          </w:tcPr>
          <w:p w:rsidR="00903162" w:rsidRPr="002A1761" w:rsidRDefault="00903162" w:rsidP="000F3021">
            <w:pPr>
              <w:rPr>
                <w:rFonts w:ascii="Times New Roman" w:hAnsi="Times New Roman" w:cs="Times New Roman"/>
                <w:sz w:val="20"/>
                <w:szCs w:val="20"/>
                <w:lang w:val="da-DK"/>
              </w:rPr>
            </w:pPr>
          </w:p>
        </w:tc>
      </w:tr>
      <w:tr w:rsidR="00903162" w:rsidRPr="002A1761" w:rsidTr="000F3021">
        <w:trPr>
          <w:cantSplit/>
        </w:trPr>
        <w:tc>
          <w:tcPr>
            <w:tcW w:w="774" w:type="pct"/>
          </w:tcPr>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 xml:space="preserve">&lt;70 </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 xml:space="preserve">≥70 &lt;80 </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 xml:space="preserve">≥80 </w:t>
            </w:r>
          </w:p>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Subtotal</w:t>
            </w:r>
          </w:p>
          <w:p w:rsidR="00903162" w:rsidRPr="002A1761" w:rsidRDefault="00903162" w:rsidP="000F3021">
            <w:pPr>
              <w:rPr>
                <w:rFonts w:ascii="Times New Roman" w:hAnsi="Times New Roman" w:cs="Times New Roman"/>
                <w:sz w:val="20"/>
                <w:szCs w:val="20"/>
                <w:lang w:val="da-DK"/>
              </w:rPr>
            </w:pPr>
          </w:p>
        </w:tc>
        <w:tc>
          <w:tcPr>
            <w:tcW w:w="934" w:type="pct"/>
          </w:tcPr>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66/269 (24,5 %)</w:t>
            </w:r>
          </w:p>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26/49 (53,1 %)</w:t>
            </w:r>
          </w:p>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3/6 (50,0 %)</w:t>
            </w:r>
          </w:p>
          <w:p w:rsidR="00903162" w:rsidRPr="002A1761" w:rsidRDefault="00903162" w:rsidP="000F3021">
            <w:pPr>
              <w:jc w:val="right"/>
              <w:rPr>
                <w:rFonts w:ascii="Times New Roman" w:hAnsi="Times New Roman" w:cs="Times New Roman"/>
                <w:b/>
                <w:bCs/>
                <w:sz w:val="20"/>
                <w:szCs w:val="20"/>
                <w:lang w:val="da-DK"/>
              </w:rPr>
            </w:pPr>
            <w:r w:rsidRPr="002A1761">
              <w:rPr>
                <w:rFonts w:ascii="Times New Roman" w:hAnsi="Times New Roman" w:cs="Times New Roman"/>
                <w:b/>
                <w:bCs/>
                <w:sz w:val="20"/>
              </w:rPr>
              <w:t>95/324 (29,3 %)</w:t>
            </w:r>
          </w:p>
        </w:tc>
        <w:tc>
          <w:tcPr>
            <w:tcW w:w="963" w:type="pct"/>
          </w:tcPr>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217/569 (38,1 %)</w:t>
            </w:r>
          </w:p>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58/104 (55,8 %)</w:t>
            </w:r>
          </w:p>
          <w:p w:rsidR="00903162" w:rsidRPr="002A1761" w:rsidRDefault="00903162" w:rsidP="000F3021">
            <w:pPr>
              <w:jc w:val="right"/>
              <w:rPr>
                <w:rFonts w:ascii="Times New Roman" w:hAnsi="Times New Roman" w:cs="Times New Roman"/>
                <w:sz w:val="20"/>
                <w:szCs w:val="20"/>
                <w:lang w:val="da-DK"/>
              </w:rPr>
            </w:pPr>
            <w:r w:rsidRPr="002A1761">
              <w:rPr>
                <w:rFonts w:ascii="Times New Roman" w:hAnsi="Times New Roman" w:cs="Times New Roman"/>
                <w:sz w:val="20"/>
              </w:rPr>
              <w:t>8/10 (80,0 %)</w:t>
            </w:r>
          </w:p>
          <w:p w:rsidR="00903162" w:rsidRPr="002A1761" w:rsidRDefault="00903162" w:rsidP="000F3021">
            <w:pPr>
              <w:jc w:val="right"/>
              <w:rPr>
                <w:rFonts w:ascii="Times New Roman" w:hAnsi="Times New Roman" w:cs="Times New Roman"/>
                <w:b/>
                <w:sz w:val="20"/>
                <w:szCs w:val="20"/>
                <w:lang w:val="da-DK"/>
              </w:rPr>
            </w:pPr>
            <w:r w:rsidRPr="002A1761">
              <w:rPr>
                <w:rFonts w:ascii="Times New Roman" w:hAnsi="Times New Roman" w:cs="Times New Roman"/>
                <w:b/>
                <w:sz w:val="20"/>
              </w:rPr>
              <w:t>283/683 (41,4 %)</w:t>
            </w:r>
          </w:p>
        </w:tc>
        <w:tc>
          <w:tcPr>
            <w:tcW w:w="1500" w:type="pct"/>
            <w:gridSpan w:val="2"/>
            <w:vMerge/>
          </w:tcPr>
          <w:p w:rsidR="00903162" w:rsidRPr="002A1761" w:rsidRDefault="00903162" w:rsidP="000F3021">
            <w:pPr>
              <w:rPr>
                <w:rFonts w:ascii="Times New Roman" w:hAnsi="Times New Roman" w:cs="Times New Roman"/>
                <w:sz w:val="20"/>
                <w:szCs w:val="20"/>
                <w:lang w:val="da-DK"/>
              </w:rPr>
            </w:pPr>
          </w:p>
        </w:tc>
        <w:tc>
          <w:tcPr>
            <w:tcW w:w="830" w:type="pct"/>
          </w:tcPr>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0,61 (0,46-0,81)</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0,85 (0,53-1,34)</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sz w:val="20"/>
              </w:rPr>
              <w:t>0,39 (0,10-1,47)</w:t>
            </w:r>
          </w:p>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0,64 (0,51-0,81)</w:t>
            </w:r>
          </w:p>
        </w:tc>
      </w:tr>
      <w:tr w:rsidR="00903162" w:rsidRPr="002A1761" w:rsidTr="000F3021">
        <w:trPr>
          <w:cantSplit/>
        </w:trPr>
        <w:tc>
          <w:tcPr>
            <w:tcW w:w="774" w:type="pct"/>
          </w:tcPr>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Alle deltagere</w:t>
            </w:r>
          </w:p>
          <w:p w:rsidR="00903162" w:rsidRPr="002A1761" w:rsidRDefault="00903162" w:rsidP="000F3021">
            <w:pPr>
              <w:rPr>
                <w:rFonts w:ascii="Times New Roman" w:hAnsi="Times New Roman" w:cs="Times New Roman"/>
                <w:b/>
                <w:sz w:val="20"/>
                <w:szCs w:val="20"/>
                <w:lang w:val="da-DK"/>
              </w:rPr>
            </w:pPr>
          </w:p>
          <w:p w:rsidR="00903162" w:rsidRPr="002A1761" w:rsidRDefault="00903162" w:rsidP="000F3021">
            <w:pPr>
              <w:rPr>
                <w:rFonts w:ascii="Times New Roman" w:hAnsi="Times New Roman" w:cs="Times New Roman"/>
                <w:b/>
                <w:sz w:val="20"/>
                <w:szCs w:val="20"/>
                <w:lang w:val="da-DK"/>
              </w:rPr>
            </w:pPr>
          </w:p>
        </w:tc>
        <w:tc>
          <w:tcPr>
            <w:tcW w:w="934" w:type="pct"/>
          </w:tcPr>
          <w:p w:rsidR="00903162" w:rsidRPr="002A1761" w:rsidRDefault="00903162" w:rsidP="000F3021">
            <w:pPr>
              <w:jc w:val="right"/>
              <w:rPr>
                <w:rFonts w:ascii="Times New Roman" w:hAnsi="Times New Roman" w:cs="Times New Roman"/>
                <w:b/>
                <w:sz w:val="20"/>
                <w:szCs w:val="20"/>
                <w:lang w:val="da-DK"/>
              </w:rPr>
            </w:pPr>
            <w:r w:rsidRPr="002A1761">
              <w:rPr>
                <w:rFonts w:ascii="Times New Roman" w:hAnsi="Times New Roman" w:cs="Times New Roman"/>
                <w:b/>
                <w:sz w:val="20"/>
              </w:rPr>
              <w:t>482/2.104 (22,9 %)</w:t>
            </w:r>
          </w:p>
        </w:tc>
        <w:tc>
          <w:tcPr>
            <w:tcW w:w="963" w:type="pct"/>
          </w:tcPr>
          <w:p w:rsidR="00903162" w:rsidRPr="002A1761" w:rsidRDefault="00903162" w:rsidP="000F3021">
            <w:pPr>
              <w:jc w:val="right"/>
              <w:rPr>
                <w:rFonts w:ascii="Times New Roman" w:hAnsi="Times New Roman" w:cs="Times New Roman"/>
                <w:b/>
                <w:sz w:val="20"/>
                <w:szCs w:val="20"/>
                <w:lang w:val="da-DK"/>
              </w:rPr>
            </w:pPr>
            <w:r w:rsidRPr="002A1761">
              <w:rPr>
                <w:rFonts w:ascii="Times New Roman" w:hAnsi="Times New Roman" w:cs="Times New Roman"/>
                <w:b/>
                <w:sz w:val="20"/>
              </w:rPr>
              <w:t>1.110/4321 (25,7 %)</w:t>
            </w:r>
          </w:p>
        </w:tc>
        <w:tc>
          <w:tcPr>
            <w:tcW w:w="1500" w:type="pct"/>
            <w:gridSpan w:val="2"/>
            <w:vMerge/>
          </w:tcPr>
          <w:p w:rsidR="00903162" w:rsidRPr="002A1761" w:rsidRDefault="00903162" w:rsidP="000F3021">
            <w:pPr>
              <w:rPr>
                <w:rFonts w:ascii="Times New Roman" w:hAnsi="Times New Roman" w:cs="Times New Roman"/>
                <w:sz w:val="20"/>
                <w:szCs w:val="20"/>
                <w:lang w:val="da-DK"/>
              </w:rPr>
            </w:pPr>
          </w:p>
        </w:tc>
        <w:tc>
          <w:tcPr>
            <w:tcW w:w="830" w:type="pct"/>
          </w:tcPr>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0,83 (0,75-0,93)</w:t>
            </w:r>
          </w:p>
          <w:p w:rsidR="00903162" w:rsidRPr="002A1761" w:rsidRDefault="00903162" w:rsidP="000F3021">
            <w:pPr>
              <w:rPr>
                <w:rFonts w:ascii="Times New Roman" w:hAnsi="Times New Roman" w:cs="Times New Roman"/>
                <w:sz w:val="20"/>
                <w:szCs w:val="20"/>
                <w:lang w:val="da-DK"/>
              </w:rPr>
            </w:pPr>
            <w:r w:rsidRPr="002A1761">
              <w:rPr>
                <w:rFonts w:ascii="Times New Roman" w:hAnsi="Times New Roman" w:cs="Times New Roman"/>
                <w:b/>
                <w:sz w:val="20"/>
              </w:rPr>
              <w:t>p &lt;0,001</w:t>
            </w:r>
          </w:p>
        </w:tc>
      </w:tr>
      <w:tr w:rsidR="00903162" w:rsidRPr="002A1761" w:rsidTr="000F3021">
        <w:trPr>
          <w:cantSplit/>
        </w:trPr>
        <w:tc>
          <w:tcPr>
            <w:tcW w:w="3531" w:type="pct"/>
            <w:gridSpan w:val="4"/>
          </w:tcPr>
          <w:p w:rsidR="00903162" w:rsidRPr="002A1761" w:rsidRDefault="00903162" w:rsidP="000F3021">
            <w:pPr>
              <w:jc w:val="right"/>
              <w:rPr>
                <w:rFonts w:ascii="Times New Roman" w:hAnsi="Times New Roman" w:cs="Times New Roman"/>
                <w:b/>
                <w:sz w:val="20"/>
                <w:szCs w:val="20"/>
                <w:lang w:val="da-DK"/>
              </w:rPr>
            </w:pPr>
            <w:r w:rsidRPr="002A1761">
              <w:rPr>
                <w:rFonts w:ascii="Times New Roman" w:hAnsi="Times New Roman" w:cs="Times New Roman"/>
                <w:b/>
                <w:sz w:val="20"/>
              </w:rPr>
              <w:t xml:space="preserve">Dexamethason </w:t>
            </w:r>
          </w:p>
          <w:p w:rsidR="00903162" w:rsidRPr="002A1761" w:rsidRDefault="00903162" w:rsidP="000F3021">
            <w:pPr>
              <w:jc w:val="right"/>
              <w:rPr>
                <w:rFonts w:ascii="Times New Roman" w:hAnsi="Times New Roman" w:cs="Times New Roman"/>
                <w:b/>
                <w:sz w:val="20"/>
                <w:szCs w:val="20"/>
                <w:lang w:val="da-DK"/>
              </w:rPr>
            </w:pPr>
            <w:r w:rsidRPr="002A1761">
              <w:rPr>
                <w:rFonts w:ascii="Times New Roman" w:hAnsi="Times New Roman" w:cs="Times New Roman"/>
                <w:b/>
                <w:sz w:val="20"/>
              </w:rPr>
              <w:t>bedre</w:t>
            </w:r>
          </w:p>
          <w:p w:rsidR="00903162" w:rsidRPr="002A1761" w:rsidRDefault="00903162" w:rsidP="000F3021">
            <w:pPr>
              <w:jc w:val="center"/>
              <w:rPr>
                <w:rFonts w:ascii="Times New Roman" w:hAnsi="Times New Roman" w:cs="Times New Roman"/>
                <w:b/>
                <w:sz w:val="20"/>
                <w:szCs w:val="20"/>
                <w:lang w:val="da-DK"/>
              </w:rPr>
            </w:pPr>
            <w:r w:rsidRPr="002A1761">
              <w:rPr>
                <w:rFonts w:ascii="Times New Roman" w:hAnsi="Times New Roman" w:cs="Times New Roman"/>
                <w:b/>
                <w:sz w:val="20"/>
              </w:rPr>
              <w:t xml:space="preserve">                                                                                                    </w:t>
            </w:r>
          </w:p>
        </w:tc>
        <w:tc>
          <w:tcPr>
            <w:tcW w:w="1469" w:type="pct"/>
            <w:gridSpan w:val="2"/>
          </w:tcPr>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 xml:space="preserve">Almindelig pleje </w:t>
            </w:r>
          </w:p>
          <w:p w:rsidR="00903162" w:rsidRPr="002A1761" w:rsidRDefault="00903162" w:rsidP="000F3021">
            <w:pPr>
              <w:rPr>
                <w:rFonts w:ascii="Times New Roman" w:hAnsi="Times New Roman" w:cs="Times New Roman"/>
                <w:b/>
                <w:sz w:val="20"/>
                <w:szCs w:val="20"/>
                <w:lang w:val="da-DK"/>
              </w:rPr>
            </w:pPr>
            <w:r w:rsidRPr="002A1761">
              <w:rPr>
                <w:rFonts w:ascii="Times New Roman" w:hAnsi="Times New Roman" w:cs="Times New Roman"/>
                <w:b/>
                <w:sz w:val="20"/>
              </w:rPr>
              <w:t>bedre</w:t>
            </w:r>
          </w:p>
          <w:p w:rsidR="00903162" w:rsidRPr="002A1761" w:rsidRDefault="00903162" w:rsidP="000F3021">
            <w:pPr>
              <w:rPr>
                <w:rFonts w:ascii="Times New Roman" w:hAnsi="Times New Roman" w:cs="Times New Roman"/>
                <w:b/>
                <w:sz w:val="20"/>
                <w:szCs w:val="20"/>
                <w:lang w:val="da-DK"/>
              </w:rPr>
            </w:pPr>
          </w:p>
        </w:tc>
      </w:tr>
    </w:tbl>
    <w:p w:rsidR="005E0E94" w:rsidRDefault="005E0E94">
      <w:pPr>
        <w:rPr>
          <w:b/>
          <w:bCs/>
          <w:i/>
          <w:iCs/>
          <w:sz w:val="24"/>
          <w:szCs w:val="24"/>
        </w:rPr>
      </w:pPr>
    </w:p>
    <w:p w:rsidR="00903162" w:rsidRDefault="00903162" w:rsidP="00903162">
      <w:pPr>
        <w:tabs>
          <w:tab w:val="left" w:pos="851"/>
          <w:tab w:val="left" w:pos="1350"/>
        </w:tabs>
        <w:ind w:left="851"/>
        <w:rPr>
          <w:b/>
          <w:bCs/>
          <w:i/>
          <w:iCs/>
          <w:sz w:val="24"/>
          <w:szCs w:val="24"/>
        </w:rPr>
      </w:pPr>
    </w:p>
    <w:p w:rsidR="00903162" w:rsidRPr="00B540E1" w:rsidRDefault="00903162" w:rsidP="00903162">
      <w:pPr>
        <w:tabs>
          <w:tab w:val="left" w:pos="851"/>
        </w:tabs>
        <w:ind w:left="851"/>
        <w:rPr>
          <w:b/>
          <w:bCs/>
          <w:i/>
          <w:iCs/>
          <w:sz w:val="24"/>
          <w:szCs w:val="24"/>
          <w:vertAlign w:val="superscript"/>
        </w:rPr>
      </w:pPr>
      <w:r>
        <w:rPr>
          <w:b/>
          <w:bCs/>
          <w:i/>
          <w:iCs/>
          <w:sz w:val="24"/>
          <w:szCs w:val="24"/>
        </w:rPr>
        <w:t xml:space="preserve">Effekt af tildeling af </w:t>
      </w:r>
      <w:proofErr w:type="spellStart"/>
      <w:r>
        <w:rPr>
          <w:b/>
          <w:bCs/>
          <w:i/>
          <w:iCs/>
          <w:sz w:val="24"/>
          <w:szCs w:val="24"/>
        </w:rPr>
        <w:t>dexamethason</w:t>
      </w:r>
      <w:proofErr w:type="spellEnd"/>
      <w:r>
        <w:rPr>
          <w:b/>
          <w:bCs/>
          <w:i/>
          <w:iCs/>
          <w:sz w:val="24"/>
          <w:szCs w:val="24"/>
        </w:rPr>
        <w:t xml:space="preserve"> på dødeligheden efter 28 dage, efter respiratorisk støtte modtaget ved </w:t>
      </w:r>
      <w:proofErr w:type="spellStart"/>
      <w:r>
        <w:rPr>
          <w:b/>
          <w:bCs/>
          <w:i/>
          <w:iCs/>
          <w:sz w:val="24"/>
          <w:szCs w:val="24"/>
        </w:rPr>
        <w:t>randomisering</w:t>
      </w:r>
      <w:proofErr w:type="spellEnd"/>
      <w:r>
        <w:rPr>
          <w:b/>
          <w:bCs/>
          <w:i/>
          <w:iCs/>
          <w:sz w:val="24"/>
          <w:szCs w:val="24"/>
        </w:rPr>
        <w:t xml:space="preserve"> og anamnese med kronisk sygdom.</w:t>
      </w:r>
      <w:r>
        <w:rPr>
          <w:b/>
          <w:bCs/>
          <w:i/>
          <w:iCs/>
          <w:sz w:val="24"/>
          <w:szCs w:val="24"/>
          <w:vertAlign w:val="superscript"/>
        </w:rPr>
        <w:t>2</w:t>
      </w:r>
    </w:p>
    <w:p w:rsidR="00903162" w:rsidRDefault="00903162" w:rsidP="00903162">
      <w:pPr>
        <w:tabs>
          <w:tab w:val="left" w:pos="851"/>
          <w:tab w:val="left" w:pos="1350"/>
        </w:tabs>
        <w:ind w:left="851"/>
        <w:rPr>
          <w:b/>
          <w:bCs/>
          <w:i/>
          <w:iCs/>
          <w:sz w:val="24"/>
          <w:szCs w:val="24"/>
        </w:rPr>
      </w:pPr>
    </w:p>
    <w:tbl>
      <w:tblPr>
        <w:tblStyle w:val="Tabel-Gitter"/>
        <w:tblW w:w="5112" w:type="pct"/>
        <w:tblInd w:w="534" w:type="dxa"/>
        <w:tblLayout w:type="fixed"/>
        <w:tblLook w:val="04A0" w:firstRow="1" w:lastRow="0" w:firstColumn="1" w:lastColumn="0" w:noHBand="0" w:noVBand="1"/>
      </w:tblPr>
      <w:tblGrid>
        <w:gridCol w:w="2043"/>
        <w:gridCol w:w="1583"/>
        <w:gridCol w:w="1876"/>
        <w:gridCol w:w="1668"/>
        <w:gridCol w:w="1217"/>
        <w:gridCol w:w="1457"/>
      </w:tblGrid>
      <w:tr w:rsidR="00903162" w:rsidRPr="000D109C" w:rsidTr="000F3021">
        <w:trPr>
          <w:trHeight w:val="20"/>
        </w:trPr>
        <w:tc>
          <w:tcPr>
            <w:tcW w:w="1038" w:type="pct"/>
          </w:tcPr>
          <w:p w:rsidR="00903162" w:rsidRPr="00B540E1" w:rsidRDefault="00903162" w:rsidP="000F3021">
            <w:pPr>
              <w:rPr>
                <w:rFonts w:ascii="Times New Roman" w:eastAsia="Calibri" w:hAnsi="Times New Roman" w:cs="Times New Roman"/>
                <w:sz w:val="18"/>
                <w:szCs w:val="18"/>
                <w:lang w:val="da-DK"/>
              </w:rPr>
            </w:pPr>
          </w:p>
        </w:tc>
        <w:tc>
          <w:tcPr>
            <w:tcW w:w="804" w:type="pct"/>
          </w:tcPr>
          <w:p w:rsidR="00903162" w:rsidRPr="00B540E1" w:rsidRDefault="00903162" w:rsidP="000F3021">
            <w:pPr>
              <w:rPr>
                <w:rFonts w:ascii="Times New Roman" w:eastAsia="Calibri" w:hAnsi="Times New Roman" w:cs="Times New Roman"/>
                <w:b/>
                <w:sz w:val="18"/>
                <w:szCs w:val="18"/>
                <w:lang w:val="da-DK"/>
              </w:rPr>
            </w:pPr>
            <w:proofErr w:type="spellStart"/>
            <w:r w:rsidRPr="00B540E1">
              <w:rPr>
                <w:rFonts w:ascii="Times New Roman" w:eastAsia="Calibri" w:hAnsi="Times New Roman" w:cs="Times New Roman"/>
                <w:b/>
                <w:sz w:val="18"/>
                <w:szCs w:val="18"/>
                <w:lang w:val="da-DK"/>
              </w:rPr>
              <w:t>Dexamethason</w:t>
            </w:r>
            <w:proofErr w:type="spellEnd"/>
          </w:p>
        </w:tc>
        <w:tc>
          <w:tcPr>
            <w:tcW w:w="953" w:type="pct"/>
          </w:tcPr>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Almindelig pleje</w:t>
            </w:r>
          </w:p>
        </w:tc>
        <w:tc>
          <w:tcPr>
            <w:tcW w:w="1465" w:type="pct"/>
            <w:gridSpan w:val="2"/>
            <w:vMerge w:val="restart"/>
          </w:tcPr>
          <w:p w:rsidR="00903162" w:rsidRPr="002A1761" w:rsidRDefault="00903162" w:rsidP="000F3021">
            <w:pPr>
              <w:rPr>
                <w:rFonts w:ascii="Times New Roman" w:eastAsia="Calibri" w:hAnsi="Times New Roman" w:cs="Times New Roman"/>
                <w:sz w:val="16"/>
                <w:szCs w:val="16"/>
                <w:lang w:val="da-DK"/>
              </w:rPr>
            </w:pPr>
            <w:r w:rsidRPr="002A1761">
              <w:rPr>
                <w:rFonts w:eastAsia="Calibri"/>
                <w:noProof/>
                <w:sz w:val="16"/>
                <w:szCs w:val="16"/>
                <w:lang w:eastAsia="sl-SI"/>
              </w:rPr>
              <w:t xml:space="preserve">          </w:t>
            </w:r>
            <w:r w:rsidRPr="002A1761">
              <w:rPr>
                <w:sz w:val="16"/>
                <w:szCs w:val="16"/>
              </w:rPr>
              <w:t xml:space="preserve"> </w:t>
            </w:r>
            <w:r w:rsidRPr="00541006">
              <w:rPr>
                <w:rFonts w:ascii="Times New Roman" w:eastAsia="Times New Roman" w:hAnsi="Times New Roman" w:cs="Times New Roman"/>
                <w:sz w:val="16"/>
                <w:szCs w:val="16"/>
                <w:lang w:val="da-DK"/>
              </w:rPr>
              <w:object w:dxaOrig="3540" w:dyaOrig="5475">
                <v:shape id="_x0000_i1026" type="#_x0000_t75" style="width:134.25pt;height:214.5pt" o:ole="">
                  <v:imagedata r:id="rId11" o:title=""/>
                </v:shape>
                <o:OLEObject Type="Embed" ProgID="PBrush" ShapeID="_x0000_i1026" DrawAspect="Content" ObjectID="_1803470606" r:id="rId12"/>
              </w:object>
            </w:r>
          </w:p>
        </w:tc>
        <w:tc>
          <w:tcPr>
            <w:tcW w:w="739" w:type="pct"/>
          </w:tcPr>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RR (95</w:t>
            </w:r>
            <w:r w:rsidRPr="00B540E1">
              <w:rPr>
                <w:rFonts w:ascii="Times New Roman" w:eastAsia="Calibri" w:hAnsi="Times New Roman" w:cs="Times New Roman"/>
                <w:b/>
                <w:sz w:val="18"/>
                <w:szCs w:val="18"/>
              </w:rPr>
              <w:t xml:space="preserve"> </w:t>
            </w:r>
            <w:r w:rsidRPr="00B540E1">
              <w:rPr>
                <w:rFonts w:ascii="Times New Roman" w:eastAsia="Calibri" w:hAnsi="Times New Roman" w:cs="Times New Roman"/>
                <w:b/>
                <w:sz w:val="18"/>
                <w:szCs w:val="18"/>
                <w:lang w:val="da-DK"/>
              </w:rPr>
              <w:t>% Cl)</w:t>
            </w:r>
          </w:p>
        </w:tc>
      </w:tr>
      <w:tr w:rsidR="00903162" w:rsidRPr="000D109C" w:rsidTr="000F3021">
        <w:trPr>
          <w:trHeight w:val="202"/>
        </w:trPr>
        <w:tc>
          <w:tcPr>
            <w:tcW w:w="2795" w:type="pct"/>
            <w:gridSpan w:val="3"/>
          </w:tcPr>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rPr>
              <w:t>Ingen ilt</w:t>
            </w:r>
            <w:r w:rsidRPr="00B540E1">
              <w:rPr>
                <w:rFonts w:ascii="Times New Roman" w:eastAsia="Calibri" w:hAnsi="Times New Roman" w:cs="Times New Roman"/>
                <w:b/>
                <w:sz w:val="18"/>
                <w:szCs w:val="18"/>
                <w:lang w:val="da-DK"/>
              </w:rPr>
              <w:t xml:space="preserve"> (x</w:t>
            </w:r>
            <w:r w:rsidRPr="00B540E1">
              <w:rPr>
                <w:rFonts w:ascii="Times New Roman" w:eastAsia="Calibri" w:hAnsi="Times New Roman" w:cs="Times New Roman"/>
                <w:b/>
                <w:sz w:val="18"/>
                <w:szCs w:val="18"/>
                <w:vertAlign w:val="subscript"/>
                <w:lang w:val="da-DK"/>
              </w:rPr>
              <w:t>1</w:t>
            </w:r>
            <w:r w:rsidRPr="00B540E1">
              <w:rPr>
                <w:rFonts w:ascii="Times New Roman" w:eastAsia="Calibri" w:hAnsi="Times New Roman" w:cs="Times New Roman"/>
                <w:b/>
                <w:sz w:val="18"/>
                <w:szCs w:val="18"/>
                <w:vertAlign w:val="superscript"/>
                <w:lang w:val="da-DK"/>
              </w:rPr>
              <w:t>2</w:t>
            </w:r>
            <w:r w:rsidRPr="00B540E1">
              <w:rPr>
                <w:rFonts w:ascii="Times New Roman" w:eastAsia="Calibri" w:hAnsi="Times New Roman" w:cs="Times New Roman"/>
                <w:b/>
                <w:sz w:val="18"/>
                <w:szCs w:val="18"/>
                <w:lang w:val="da-DK"/>
              </w:rPr>
              <w:t>= 0</w:t>
            </w:r>
            <w:r>
              <w:rPr>
                <w:rFonts w:ascii="Times New Roman" w:eastAsia="Calibri" w:hAnsi="Times New Roman" w:cs="Times New Roman"/>
                <w:b/>
                <w:sz w:val="18"/>
                <w:szCs w:val="18"/>
              </w:rPr>
              <w:t>,08</w:t>
            </w:r>
            <w:r w:rsidRPr="00B540E1">
              <w:rPr>
                <w:rFonts w:ascii="Times New Roman" w:eastAsia="Calibri" w:hAnsi="Times New Roman" w:cs="Times New Roman"/>
                <w:b/>
                <w:sz w:val="18"/>
                <w:szCs w:val="18"/>
                <w:lang w:val="da-DK"/>
              </w:rPr>
              <w:t>; p=0</w:t>
            </w:r>
            <w:r w:rsidRPr="00B540E1">
              <w:rPr>
                <w:rFonts w:ascii="Times New Roman" w:eastAsia="Calibri" w:hAnsi="Times New Roman" w:cs="Times New Roman"/>
                <w:b/>
                <w:sz w:val="18"/>
                <w:szCs w:val="18"/>
              </w:rPr>
              <w:t>,</w:t>
            </w:r>
            <w:r>
              <w:rPr>
                <w:rFonts w:ascii="Times New Roman" w:eastAsia="Calibri" w:hAnsi="Times New Roman" w:cs="Times New Roman"/>
                <w:b/>
                <w:sz w:val="18"/>
                <w:szCs w:val="18"/>
              </w:rPr>
              <w:t>78</w:t>
            </w:r>
            <w:r w:rsidRPr="00B540E1">
              <w:rPr>
                <w:rFonts w:ascii="Times New Roman" w:eastAsia="Calibri" w:hAnsi="Times New Roman" w:cs="Times New Roman"/>
                <w:b/>
                <w:sz w:val="18"/>
                <w:szCs w:val="18"/>
                <w:lang w:val="da-DK"/>
              </w:rPr>
              <w:t>)</w:t>
            </w:r>
          </w:p>
        </w:tc>
        <w:tc>
          <w:tcPr>
            <w:tcW w:w="1465" w:type="pct"/>
            <w:gridSpan w:val="2"/>
            <w:vMerge/>
          </w:tcPr>
          <w:p w:rsidR="00903162" w:rsidRPr="00B540E1" w:rsidRDefault="00903162" w:rsidP="000F3021">
            <w:pPr>
              <w:rPr>
                <w:rFonts w:ascii="Times New Roman" w:eastAsia="Calibri" w:hAnsi="Times New Roman" w:cs="Times New Roman"/>
                <w:sz w:val="18"/>
                <w:szCs w:val="18"/>
                <w:lang w:val="da-DK"/>
              </w:rPr>
            </w:pPr>
          </w:p>
        </w:tc>
        <w:tc>
          <w:tcPr>
            <w:tcW w:w="739" w:type="pct"/>
          </w:tcPr>
          <w:p w:rsidR="00903162" w:rsidRPr="00B540E1" w:rsidRDefault="00903162" w:rsidP="000F3021">
            <w:pPr>
              <w:rPr>
                <w:rFonts w:ascii="Times New Roman" w:eastAsia="Calibri" w:hAnsi="Times New Roman" w:cs="Times New Roman"/>
                <w:sz w:val="18"/>
                <w:szCs w:val="18"/>
                <w:lang w:val="da-DK"/>
              </w:rPr>
            </w:pPr>
          </w:p>
        </w:tc>
      </w:tr>
      <w:tr w:rsidR="00903162" w:rsidRPr="000D109C" w:rsidTr="000F3021">
        <w:trPr>
          <w:trHeight w:val="935"/>
        </w:trPr>
        <w:tc>
          <w:tcPr>
            <w:tcW w:w="1038" w:type="pct"/>
          </w:tcPr>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rPr>
              <w:t>Tidligere sygdom</w:t>
            </w:r>
          </w:p>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rPr>
              <w:t>Ingen tidligere sygdom</w:t>
            </w:r>
          </w:p>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 xml:space="preserve">Subtotal </w:t>
            </w:r>
          </w:p>
        </w:tc>
        <w:tc>
          <w:tcPr>
            <w:tcW w:w="804" w:type="pct"/>
          </w:tcPr>
          <w:p w:rsidR="00903162" w:rsidRPr="00B540E1" w:rsidRDefault="00903162" w:rsidP="000F3021">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65/313 (20</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8</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903162" w:rsidRPr="00B540E1" w:rsidRDefault="00903162" w:rsidP="000F3021">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24/188 (12</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8</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903162" w:rsidRPr="00B540E1" w:rsidRDefault="00903162" w:rsidP="000F3021">
            <w:pPr>
              <w:jc w:val="right"/>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89/501 (17</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8</w:t>
            </w:r>
            <w:r w:rsidRPr="00B540E1">
              <w:rPr>
                <w:rFonts w:ascii="Times New Roman" w:eastAsia="Calibri" w:hAnsi="Times New Roman" w:cs="Times New Roman"/>
                <w:b/>
                <w:sz w:val="18"/>
                <w:szCs w:val="18"/>
              </w:rPr>
              <w:t xml:space="preserve"> </w:t>
            </w:r>
            <w:r w:rsidRPr="00B540E1">
              <w:rPr>
                <w:rFonts w:ascii="Times New Roman" w:eastAsia="Calibri" w:hAnsi="Times New Roman" w:cs="Times New Roman"/>
                <w:b/>
                <w:sz w:val="18"/>
                <w:szCs w:val="18"/>
                <w:lang w:val="da-DK"/>
              </w:rPr>
              <w:t>%)</w:t>
            </w:r>
          </w:p>
        </w:tc>
        <w:tc>
          <w:tcPr>
            <w:tcW w:w="953" w:type="pct"/>
          </w:tcPr>
          <w:p w:rsidR="00903162" w:rsidRPr="00B540E1" w:rsidRDefault="00903162" w:rsidP="000F3021">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100/598 (16</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7</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903162" w:rsidRPr="00B540E1" w:rsidRDefault="00903162" w:rsidP="000F3021">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45/436 (10</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3</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903162" w:rsidRPr="00B540E1" w:rsidRDefault="00903162" w:rsidP="000F3021">
            <w:pPr>
              <w:jc w:val="right"/>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145/1</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034 (14</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0</w:t>
            </w:r>
            <w:r w:rsidRPr="00B540E1">
              <w:rPr>
                <w:rFonts w:ascii="Times New Roman" w:eastAsia="Calibri" w:hAnsi="Times New Roman" w:cs="Times New Roman"/>
                <w:b/>
                <w:sz w:val="18"/>
                <w:szCs w:val="18"/>
              </w:rPr>
              <w:t xml:space="preserve"> </w:t>
            </w:r>
            <w:r w:rsidRPr="00B540E1">
              <w:rPr>
                <w:rFonts w:ascii="Times New Roman" w:eastAsia="Calibri" w:hAnsi="Times New Roman" w:cs="Times New Roman"/>
                <w:b/>
                <w:sz w:val="18"/>
                <w:szCs w:val="18"/>
                <w:lang w:val="da-DK"/>
              </w:rPr>
              <w:t>%)</w:t>
            </w:r>
          </w:p>
        </w:tc>
        <w:tc>
          <w:tcPr>
            <w:tcW w:w="1465" w:type="pct"/>
            <w:gridSpan w:val="2"/>
            <w:vMerge/>
          </w:tcPr>
          <w:p w:rsidR="00903162" w:rsidRPr="00B540E1" w:rsidRDefault="00903162" w:rsidP="000F3021">
            <w:pPr>
              <w:rPr>
                <w:rFonts w:ascii="Times New Roman" w:eastAsia="Calibri" w:hAnsi="Times New Roman" w:cs="Times New Roman"/>
                <w:sz w:val="18"/>
                <w:szCs w:val="18"/>
                <w:lang w:val="da-DK"/>
              </w:rPr>
            </w:pPr>
          </w:p>
        </w:tc>
        <w:tc>
          <w:tcPr>
            <w:tcW w:w="739" w:type="pct"/>
          </w:tcPr>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1,22 (0,89–1,66)</w:t>
            </w:r>
          </w:p>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1,12 (0,68–1,83)</w:t>
            </w:r>
          </w:p>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1</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19 (0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91</w:t>
            </w:r>
            <w:r w:rsidRPr="00B540E1">
              <w:rPr>
                <w:rFonts w:ascii="Times New Roman" w:eastAsia="Calibri" w:hAnsi="Times New Roman" w:cs="Times New Roman"/>
                <w:b/>
                <w:sz w:val="18"/>
                <w:szCs w:val="18"/>
                <w:lang w:val="da-DK"/>
              </w:rPr>
              <w:noBreakHyphen/>
              <w:t>1</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55)</w:t>
            </w:r>
          </w:p>
        </w:tc>
      </w:tr>
      <w:tr w:rsidR="00903162" w:rsidRPr="000D109C" w:rsidTr="000F3021">
        <w:trPr>
          <w:trHeight w:val="278"/>
        </w:trPr>
        <w:tc>
          <w:tcPr>
            <w:tcW w:w="2795" w:type="pct"/>
            <w:gridSpan w:val="3"/>
          </w:tcPr>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rPr>
              <w:t>Kun ilt</w:t>
            </w:r>
            <w:r w:rsidRPr="00B540E1">
              <w:rPr>
                <w:rFonts w:ascii="Times New Roman" w:eastAsia="Calibri" w:hAnsi="Times New Roman" w:cs="Times New Roman"/>
                <w:b/>
                <w:sz w:val="18"/>
                <w:szCs w:val="18"/>
                <w:lang w:val="da-DK"/>
              </w:rPr>
              <w:t xml:space="preserve"> (x</w:t>
            </w:r>
            <w:r w:rsidRPr="00B540E1">
              <w:rPr>
                <w:rFonts w:ascii="Times New Roman" w:eastAsia="Calibri" w:hAnsi="Times New Roman" w:cs="Times New Roman"/>
                <w:b/>
                <w:sz w:val="18"/>
                <w:szCs w:val="18"/>
                <w:vertAlign w:val="subscript"/>
                <w:lang w:val="da-DK"/>
              </w:rPr>
              <w:t>1</w:t>
            </w:r>
            <w:r w:rsidRPr="00B540E1">
              <w:rPr>
                <w:rFonts w:ascii="Times New Roman" w:eastAsia="Calibri" w:hAnsi="Times New Roman" w:cs="Times New Roman"/>
                <w:b/>
                <w:sz w:val="18"/>
                <w:szCs w:val="18"/>
                <w:vertAlign w:val="superscript"/>
                <w:lang w:val="da-DK"/>
              </w:rPr>
              <w:t>2</w:t>
            </w:r>
            <w:r w:rsidRPr="00B540E1">
              <w:rPr>
                <w:rFonts w:ascii="Times New Roman" w:eastAsia="Calibri" w:hAnsi="Times New Roman" w:cs="Times New Roman"/>
                <w:b/>
                <w:sz w:val="18"/>
                <w:szCs w:val="18"/>
                <w:lang w:val="da-DK"/>
              </w:rPr>
              <w:t xml:space="preserve">= </w:t>
            </w:r>
            <w:r>
              <w:rPr>
                <w:rFonts w:ascii="Times New Roman" w:eastAsia="Calibri" w:hAnsi="Times New Roman" w:cs="Times New Roman"/>
                <w:b/>
                <w:sz w:val="18"/>
                <w:szCs w:val="18"/>
                <w:lang w:val="da-DK"/>
              </w:rPr>
              <w:t>2,05</w:t>
            </w:r>
            <w:r w:rsidRPr="00B540E1">
              <w:rPr>
                <w:rFonts w:ascii="Times New Roman" w:eastAsia="Calibri" w:hAnsi="Times New Roman" w:cs="Times New Roman"/>
                <w:b/>
                <w:sz w:val="18"/>
                <w:szCs w:val="18"/>
                <w:lang w:val="da-DK"/>
              </w:rPr>
              <w:t>; p=0</w:t>
            </w:r>
            <w:r w:rsidRPr="00B540E1">
              <w:rPr>
                <w:rFonts w:ascii="Times New Roman" w:eastAsia="Calibri" w:hAnsi="Times New Roman" w:cs="Times New Roman"/>
                <w:b/>
                <w:sz w:val="18"/>
                <w:szCs w:val="18"/>
              </w:rPr>
              <w:t>,</w:t>
            </w:r>
            <w:r>
              <w:rPr>
                <w:rFonts w:ascii="Times New Roman" w:eastAsia="Calibri" w:hAnsi="Times New Roman" w:cs="Times New Roman"/>
                <w:b/>
                <w:sz w:val="18"/>
                <w:szCs w:val="18"/>
              </w:rPr>
              <w:t>15</w:t>
            </w:r>
            <w:r w:rsidRPr="00B540E1">
              <w:rPr>
                <w:rFonts w:ascii="Times New Roman" w:eastAsia="Calibri" w:hAnsi="Times New Roman" w:cs="Times New Roman"/>
                <w:b/>
                <w:sz w:val="18"/>
                <w:szCs w:val="18"/>
                <w:lang w:val="da-DK"/>
              </w:rPr>
              <w:t>)</w:t>
            </w:r>
          </w:p>
        </w:tc>
        <w:tc>
          <w:tcPr>
            <w:tcW w:w="1465" w:type="pct"/>
            <w:gridSpan w:val="2"/>
            <w:vMerge/>
          </w:tcPr>
          <w:p w:rsidR="00903162" w:rsidRPr="00B540E1" w:rsidRDefault="00903162" w:rsidP="000F3021">
            <w:pPr>
              <w:rPr>
                <w:rFonts w:ascii="Times New Roman" w:eastAsia="Calibri" w:hAnsi="Times New Roman" w:cs="Times New Roman"/>
                <w:sz w:val="18"/>
                <w:szCs w:val="18"/>
                <w:lang w:val="da-DK"/>
              </w:rPr>
            </w:pPr>
          </w:p>
        </w:tc>
        <w:tc>
          <w:tcPr>
            <w:tcW w:w="739" w:type="pct"/>
          </w:tcPr>
          <w:p w:rsidR="00903162" w:rsidRPr="00B540E1" w:rsidRDefault="00903162" w:rsidP="000F3021">
            <w:pPr>
              <w:rPr>
                <w:rFonts w:ascii="Times New Roman" w:eastAsia="Calibri" w:hAnsi="Times New Roman" w:cs="Times New Roman"/>
                <w:sz w:val="18"/>
                <w:szCs w:val="18"/>
                <w:lang w:val="da-DK"/>
              </w:rPr>
            </w:pPr>
          </w:p>
        </w:tc>
      </w:tr>
      <w:tr w:rsidR="00903162" w:rsidRPr="000D109C" w:rsidTr="000F3021">
        <w:trPr>
          <w:trHeight w:val="851"/>
        </w:trPr>
        <w:tc>
          <w:tcPr>
            <w:tcW w:w="1038" w:type="pct"/>
          </w:tcPr>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rPr>
              <w:t>Tidligere sygdom</w:t>
            </w:r>
          </w:p>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rPr>
              <w:t>Ingen tidligere sygdom</w:t>
            </w:r>
          </w:p>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Subtotal</w:t>
            </w:r>
          </w:p>
          <w:p w:rsidR="00903162" w:rsidRPr="002A47B9" w:rsidRDefault="00903162" w:rsidP="000F3021">
            <w:pPr>
              <w:rPr>
                <w:rFonts w:ascii="Times New Roman" w:eastAsia="Calibri" w:hAnsi="Times New Roman" w:cs="Times New Roman"/>
                <w:sz w:val="18"/>
                <w:szCs w:val="18"/>
                <w:lang w:val="da-DK"/>
              </w:rPr>
            </w:pPr>
          </w:p>
        </w:tc>
        <w:tc>
          <w:tcPr>
            <w:tcW w:w="804" w:type="pct"/>
          </w:tcPr>
          <w:p w:rsidR="00903162" w:rsidRPr="00B540E1" w:rsidRDefault="00903162" w:rsidP="000F3021">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221/702 (31</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5</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903162" w:rsidRPr="00B540E1" w:rsidRDefault="00903162" w:rsidP="000F3021">
            <w:pPr>
              <w:jc w:val="right"/>
              <w:rPr>
                <w:rFonts w:ascii="Times New Roman" w:eastAsia="Calibri" w:hAnsi="Times New Roman" w:cs="Times New Roman"/>
                <w:b/>
                <w:sz w:val="18"/>
                <w:szCs w:val="18"/>
                <w:lang w:val="da-DK"/>
              </w:rPr>
            </w:pPr>
            <w:r w:rsidRPr="00B540E1">
              <w:rPr>
                <w:rFonts w:ascii="Times New Roman" w:eastAsia="Calibri" w:hAnsi="Times New Roman" w:cs="Times New Roman"/>
                <w:sz w:val="18"/>
                <w:szCs w:val="18"/>
                <w:lang w:val="da-DK"/>
              </w:rPr>
              <w:t>77/577 (13</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3</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b/>
                <w:sz w:val="18"/>
                <w:szCs w:val="18"/>
                <w:lang w:val="da-DK"/>
              </w:rPr>
              <w:t>29</w:t>
            </w:r>
            <w:r w:rsidRPr="00B540E1">
              <w:rPr>
                <w:rFonts w:ascii="Times New Roman" w:eastAsia="Calibri" w:hAnsi="Times New Roman" w:cs="Times New Roman"/>
                <w:b/>
                <w:sz w:val="18"/>
                <w:szCs w:val="18"/>
              </w:rPr>
              <w:t>8/1.</w:t>
            </w:r>
            <w:r w:rsidRPr="00B540E1">
              <w:rPr>
                <w:rFonts w:ascii="Times New Roman" w:eastAsia="Calibri" w:hAnsi="Times New Roman" w:cs="Times New Roman"/>
                <w:b/>
                <w:sz w:val="18"/>
                <w:szCs w:val="18"/>
                <w:lang w:val="da-DK"/>
              </w:rPr>
              <w:t>279 (23</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3</w:t>
            </w:r>
            <w:r w:rsidRPr="00B540E1">
              <w:rPr>
                <w:rFonts w:ascii="Times New Roman" w:eastAsia="Calibri" w:hAnsi="Times New Roman" w:cs="Times New Roman"/>
                <w:b/>
                <w:sz w:val="18"/>
                <w:szCs w:val="18"/>
              </w:rPr>
              <w:t> </w:t>
            </w:r>
            <w:r w:rsidRPr="00B540E1">
              <w:rPr>
                <w:rFonts w:ascii="Times New Roman" w:eastAsia="Calibri" w:hAnsi="Times New Roman" w:cs="Times New Roman"/>
                <w:b/>
                <w:sz w:val="18"/>
                <w:szCs w:val="18"/>
                <w:lang w:val="da-DK"/>
              </w:rPr>
              <w:t>%)</w:t>
            </w:r>
          </w:p>
        </w:tc>
        <w:tc>
          <w:tcPr>
            <w:tcW w:w="953" w:type="pct"/>
          </w:tcPr>
          <w:p w:rsidR="00903162" w:rsidRPr="00B540E1" w:rsidRDefault="00903162" w:rsidP="000F3021">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481/1</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473 (32</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7</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903162" w:rsidRPr="00B540E1" w:rsidRDefault="00903162" w:rsidP="000F3021">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201/1</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131 (17</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8</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903162" w:rsidRPr="00B540E1" w:rsidRDefault="00903162" w:rsidP="000F3021">
            <w:pPr>
              <w:jc w:val="right"/>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682/2</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604 (26</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2</w:t>
            </w:r>
            <w:r w:rsidRPr="00B540E1">
              <w:rPr>
                <w:rFonts w:ascii="Times New Roman" w:eastAsia="Calibri" w:hAnsi="Times New Roman" w:cs="Times New Roman"/>
                <w:b/>
                <w:sz w:val="18"/>
                <w:szCs w:val="18"/>
              </w:rPr>
              <w:t xml:space="preserve"> </w:t>
            </w:r>
            <w:r w:rsidRPr="00B540E1">
              <w:rPr>
                <w:rFonts w:ascii="Times New Roman" w:eastAsia="Calibri" w:hAnsi="Times New Roman" w:cs="Times New Roman"/>
                <w:b/>
                <w:sz w:val="18"/>
                <w:szCs w:val="18"/>
                <w:lang w:val="da-DK"/>
              </w:rPr>
              <w:t>%)</w:t>
            </w:r>
          </w:p>
        </w:tc>
        <w:tc>
          <w:tcPr>
            <w:tcW w:w="1465" w:type="pct"/>
            <w:gridSpan w:val="2"/>
            <w:vMerge/>
          </w:tcPr>
          <w:p w:rsidR="00903162" w:rsidRPr="00B540E1" w:rsidRDefault="00903162" w:rsidP="000F3021">
            <w:pPr>
              <w:rPr>
                <w:rFonts w:ascii="Times New Roman" w:eastAsia="Calibri" w:hAnsi="Times New Roman" w:cs="Times New Roman"/>
                <w:sz w:val="18"/>
                <w:szCs w:val="18"/>
                <w:lang w:val="da-DK"/>
              </w:rPr>
            </w:pPr>
          </w:p>
        </w:tc>
        <w:tc>
          <w:tcPr>
            <w:tcW w:w="739" w:type="pct"/>
          </w:tcPr>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0,88 (0,75–1,03)</w:t>
            </w:r>
          </w:p>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0,70 (0,54–0,91)</w:t>
            </w:r>
          </w:p>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82 (0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72</w:t>
            </w:r>
            <w:r w:rsidRPr="00B540E1">
              <w:rPr>
                <w:rFonts w:ascii="Times New Roman" w:eastAsia="Calibri" w:hAnsi="Times New Roman" w:cs="Times New Roman"/>
                <w:b/>
                <w:sz w:val="18"/>
                <w:szCs w:val="18"/>
                <w:lang w:val="da-DK"/>
              </w:rPr>
              <w:noBreakHyphen/>
              <w:t>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94)</w:t>
            </w:r>
          </w:p>
        </w:tc>
      </w:tr>
      <w:tr w:rsidR="00903162" w:rsidRPr="000D109C" w:rsidTr="000F3021">
        <w:trPr>
          <w:trHeight w:val="202"/>
        </w:trPr>
        <w:tc>
          <w:tcPr>
            <w:tcW w:w="2795" w:type="pct"/>
            <w:gridSpan w:val="3"/>
          </w:tcPr>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Me</w:t>
            </w:r>
            <w:r w:rsidRPr="00B540E1">
              <w:rPr>
                <w:rFonts w:ascii="Times New Roman" w:eastAsia="Calibri" w:hAnsi="Times New Roman" w:cs="Times New Roman"/>
                <w:b/>
                <w:sz w:val="18"/>
                <w:szCs w:val="18"/>
              </w:rPr>
              <w:t>kanisk</w:t>
            </w:r>
            <w:r w:rsidRPr="00B540E1">
              <w:rPr>
                <w:rFonts w:ascii="Times New Roman" w:eastAsia="Calibri" w:hAnsi="Times New Roman" w:cs="Times New Roman"/>
                <w:b/>
                <w:sz w:val="18"/>
                <w:szCs w:val="18"/>
                <w:lang w:val="da-DK"/>
              </w:rPr>
              <w:t xml:space="preserve"> ventilation (x</w:t>
            </w:r>
            <w:r w:rsidRPr="00B540E1">
              <w:rPr>
                <w:rFonts w:ascii="Times New Roman" w:eastAsia="Calibri" w:hAnsi="Times New Roman" w:cs="Times New Roman"/>
                <w:b/>
                <w:sz w:val="18"/>
                <w:szCs w:val="18"/>
                <w:vertAlign w:val="subscript"/>
                <w:lang w:val="da-DK"/>
              </w:rPr>
              <w:t>1</w:t>
            </w:r>
            <w:r w:rsidRPr="00B540E1">
              <w:rPr>
                <w:rFonts w:ascii="Times New Roman" w:eastAsia="Calibri" w:hAnsi="Times New Roman" w:cs="Times New Roman"/>
                <w:b/>
                <w:sz w:val="18"/>
                <w:szCs w:val="18"/>
                <w:vertAlign w:val="superscript"/>
                <w:lang w:val="da-DK"/>
              </w:rPr>
              <w:t>2</w:t>
            </w:r>
            <w:r w:rsidRPr="00B540E1">
              <w:rPr>
                <w:rFonts w:ascii="Times New Roman" w:eastAsia="Calibri" w:hAnsi="Times New Roman" w:cs="Times New Roman"/>
                <w:b/>
                <w:sz w:val="18"/>
                <w:szCs w:val="18"/>
                <w:lang w:val="da-DK"/>
              </w:rPr>
              <w:t xml:space="preserve">= </w:t>
            </w:r>
            <w:r>
              <w:rPr>
                <w:rFonts w:ascii="Times New Roman" w:eastAsia="Calibri" w:hAnsi="Times New Roman" w:cs="Times New Roman"/>
                <w:b/>
                <w:sz w:val="18"/>
                <w:szCs w:val="18"/>
                <w:lang w:val="da-DK"/>
              </w:rPr>
              <w:t>1,52</w:t>
            </w:r>
            <w:r w:rsidRPr="00B540E1">
              <w:rPr>
                <w:rFonts w:ascii="Times New Roman" w:eastAsia="Calibri" w:hAnsi="Times New Roman" w:cs="Times New Roman"/>
                <w:b/>
                <w:sz w:val="18"/>
                <w:szCs w:val="18"/>
                <w:lang w:val="da-DK"/>
              </w:rPr>
              <w:t>; p=0</w:t>
            </w:r>
            <w:r w:rsidRPr="00B540E1">
              <w:rPr>
                <w:rFonts w:ascii="Times New Roman" w:eastAsia="Calibri" w:hAnsi="Times New Roman" w:cs="Times New Roman"/>
                <w:b/>
                <w:sz w:val="18"/>
                <w:szCs w:val="18"/>
              </w:rPr>
              <w:t>,</w:t>
            </w:r>
            <w:r>
              <w:rPr>
                <w:rFonts w:ascii="Times New Roman" w:eastAsia="Calibri" w:hAnsi="Times New Roman" w:cs="Times New Roman"/>
                <w:b/>
                <w:sz w:val="18"/>
                <w:szCs w:val="18"/>
              </w:rPr>
              <w:t>22</w:t>
            </w:r>
            <w:r w:rsidRPr="00B540E1">
              <w:rPr>
                <w:rFonts w:ascii="Times New Roman" w:eastAsia="Calibri" w:hAnsi="Times New Roman" w:cs="Times New Roman"/>
                <w:b/>
                <w:sz w:val="18"/>
                <w:szCs w:val="18"/>
                <w:lang w:val="da-DK"/>
              </w:rPr>
              <w:t>)</w:t>
            </w:r>
          </w:p>
        </w:tc>
        <w:tc>
          <w:tcPr>
            <w:tcW w:w="1465" w:type="pct"/>
            <w:gridSpan w:val="2"/>
            <w:vMerge/>
          </w:tcPr>
          <w:p w:rsidR="00903162" w:rsidRPr="00B540E1" w:rsidRDefault="00903162" w:rsidP="000F3021">
            <w:pPr>
              <w:rPr>
                <w:rFonts w:ascii="Times New Roman" w:eastAsia="Calibri" w:hAnsi="Times New Roman" w:cs="Times New Roman"/>
                <w:sz w:val="18"/>
                <w:szCs w:val="18"/>
                <w:lang w:val="da-DK"/>
              </w:rPr>
            </w:pPr>
          </w:p>
        </w:tc>
        <w:tc>
          <w:tcPr>
            <w:tcW w:w="739" w:type="pct"/>
          </w:tcPr>
          <w:p w:rsidR="00903162" w:rsidRPr="00B540E1" w:rsidRDefault="00903162" w:rsidP="000F3021">
            <w:pPr>
              <w:rPr>
                <w:rFonts w:ascii="Times New Roman" w:eastAsia="Calibri" w:hAnsi="Times New Roman" w:cs="Times New Roman"/>
                <w:sz w:val="18"/>
                <w:szCs w:val="18"/>
                <w:lang w:val="da-DK"/>
              </w:rPr>
            </w:pPr>
          </w:p>
        </w:tc>
      </w:tr>
      <w:tr w:rsidR="00903162" w:rsidRPr="000D109C" w:rsidTr="000F3021">
        <w:trPr>
          <w:trHeight w:val="864"/>
        </w:trPr>
        <w:tc>
          <w:tcPr>
            <w:tcW w:w="1038" w:type="pct"/>
          </w:tcPr>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rPr>
              <w:lastRenderedPageBreak/>
              <w:t>Tidligere sygdom</w:t>
            </w:r>
          </w:p>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rPr>
              <w:t>Ingen tidligere sygdom</w:t>
            </w:r>
          </w:p>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Subtotal</w:t>
            </w:r>
          </w:p>
          <w:p w:rsidR="00903162" w:rsidRPr="00C035BC" w:rsidRDefault="00903162" w:rsidP="000F3021">
            <w:pPr>
              <w:rPr>
                <w:rFonts w:ascii="Times New Roman" w:eastAsia="Calibri" w:hAnsi="Times New Roman" w:cs="Times New Roman"/>
                <w:sz w:val="16"/>
                <w:szCs w:val="16"/>
                <w:lang w:val="da-DK"/>
              </w:rPr>
            </w:pPr>
          </w:p>
        </w:tc>
        <w:tc>
          <w:tcPr>
            <w:tcW w:w="804" w:type="pct"/>
          </w:tcPr>
          <w:p w:rsidR="00903162" w:rsidRPr="00B540E1" w:rsidRDefault="00903162" w:rsidP="000F3021">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51/159 (32</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1</w:t>
            </w:r>
            <w:r w:rsidRPr="00B540E1">
              <w:rPr>
                <w:rFonts w:ascii="Times New Roman" w:eastAsia="Calibri" w:hAnsi="Times New Roman" w:cs="Times New Roman"/>
                <w:sz w:val="18"/>
                <w:szCs w:val="18"/>
              </w:rPr>
              <w:t xml:space="preserve"> </w:t>
            </w:r>
            <w:r w:rsidRPr="00B540E1">
              <w:rPr>
                <w:rFonts w:ascii="Times New Roman" w:eastAsia="Calibri" w:hAnsi="Times New Roman" w:cs="Times New Roman"/>
                <w:sz w:val="18"/>
                <w:szCs w:val="18"/>
                <w:lang w:val="da-DK"/>
              </w:rPr>
              <w:t>%)</w:t>
            </w:r>
          </w:p>
          <w:p w:rsidR="00903162" w:rsidRPr="00B540E1" w:rsidRDefault="00903162" w:rsidP="000F3021">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44/165 (26</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7 %)</w:t>
            </w:r>
          </w:p>
          <w:p w:rsidR="00903162" w:rsidRPr="00B540E1" w:rsidRDefault="00903162" w:rsidP="000F3021">
            <w:pPr>
              <w:jc w:val="right"/>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95/324 (29</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3 %)</w:t>
            </w:r>
          </w:p>
        </w:tc>
        <w:tc>
          <w:tcPr>
            <w:tcW w:w="953" w:type="pct"/>
          </w:tcPr>
          <w:p w:rsidR="00903162" w:rsidRPr="00B540E1" w:rsidRDefault="00903162" w:rsidP="000F3021">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150/346 (43</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4 %)</w:t>
            </w:r>
          </w:p>
          <w:p w:rsidR="00903162" w:rsidRPr="00B540E1" w:rsidRDefault="00903162" w:rsidP="000F3021">
            <w:pPr>
              <w:jc w:val="right"/>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133/337 (39</w:t>
            </w:r>
            <w:r w:rsidRPr="00B540E1">
              <w:rPr>
                <w:rFonts w:ascii="Times New Roman" w:eastAsia="Calibri" w:hAnsi="Times New Roman" w:cs="Times New Roman"/>
                <w:sz w:val="18"/>
                <w:szCs w:val="18"/>
              </w:rPr>
              <w:t>,</w:t>
            </w:r>
            <w:r w:rsidRPr="00B540E1">
              <w:rPr>
                <w:rFonts w:ascii="Times New Roman" w:eastAsia="Calibri" w:hAnsi="Times New Roman" w:cs="Times New Roman"/>
                <w:sz w:val="18"/>
                <w:szCs w:val="18"/>
                <w:lang w:val="da-DK"/>
              </w:rPr>
              <w:t>5 %)</w:t>
            </w:r>
          </w:p>
          <w:p w:rsidR="00903162" w:rsidRPr="00B540E1" w:rsidRDefault="00903162" w:rsidP="000F3021">
            <w:pPr>
              <w:jc w:val="right"/>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283/683 (41</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4</w:t>
            </w:r>
            <w:r w:rsidRPr="00B540E1">
              <w:rPr>
                <w:rFonts w:ascii="Times New Roman" w:eastAsia="Calibri" w:hAnsi="Times New Roman" w:cs="Times New Roman"/>
                <w:b/>
                <w:sz w:val="18"/>
                <w:szCs w:val="18"/>
              </w:rPr>
              <w:t xml:space="preserve"> </w:t>
            </w:r>
            <w:r w:rsidRPr="00B540E1">
              <w:rPr>
                <w:rFonts w:ascii="Times New Roman" w:eastAsia="Calibri" w:hAnsi="Times New Roman" w:cs="Times New Roman"/>
                <w:b/>
                <w:sz w:val="18"/>
                <w:szCs w:val="18"/>
                <w:lang w:val="da-DK"/>
              </w:rPr>
              <w:t>%)</w:t>
            </w:r>
          </w:p>
        </w:tc>
        <w:tc>
          <w:tcPr>
            <w:tcW w:w="1465" w:type="pct"/>
            <w:gridSpan w:val="2"/>
            <w:vMerge/>
          </w:tcPr>
          <w:p w:rsidR="00903162" w:rsidRPr="00B540E1" w:rsidRDefault="00903162" w:rsidP="000F3021">
            <w:pPr>
              <w:rPr>
                <w:rFonts w:ascii="Times New Roman" w:eastAsia="Calibri" w:hAnsi="Times New Roman" w:cs="Times New Roman"/>
                <w:sz w:val="18"/>
                <w:szCs w:val="18"/>
                <w:lang w:val="da-DK"/>
              </w:rPr>
            </w:pPr>
          </w:p>
        </w:tc>
        <w:tc>
          <w:tcPr>
            <w:tcW w:w="739" w:type="pct"/>
          </w:tcPr>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0,75 (0,54–1,02)</w:t>
            </w:r>
          </w:p>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sz w:val="18"/>
                <w:szCs w:val="18"/>
                <w:lang w:val="da-DK"/>
              </w:rPr>
              <w:t>0,56 (0,40–0,78</w:t>
            </w:r>
            <w:r w:rsidRPr="00B540E1">
              <w:rPr>
                <w:rFonts w:ascii="Times New Roman" w:eastAsia="Calibri" w:hAnsi="Times New Roman" w:cs="Times New Roman"/>
                <w:sz w:val="18"/>
                <w:szCs w:val="18"/>
              </w:rPr>
              <w:t>)</w:t>
            </w:r>
          </w:p>
          <w:p w:rsidR="00903162"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64 (0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51-0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81)</w:t>
            </w:r>
          </w:p>
          <w:p w:rsidR="00903162" w:rsidRPr="00C035BC" w:rsidRDefault="00903162" w:rsidP="000F3021">
            <w:pPr>
              <w:rPr>
                <w:rFonts w:ascii="Times New Roman" w:eastAsia="Calibri" w:hAnsi="Times New Roman" w:cs="Times New Roman"/>
                <w:b/>
                <w:sz w:val="16"/>
                <w:szCs w:val="16"/>
                <w:lang w:val="da-DK"/>
              </w:rPr>
            </w:pPr>
          </w:p>
        </w:tc>
      </w:tr>
      <w:tr w:rsidR="00903162" w:rsidRPr="000D109C" w:rsidTr="000F3021">
        <w:trPr>
          <w:trHeight w:val="2296"/>
        </w:trPr>
        <w:tc>
          <w:tcPr>
            <w:tcW w:w="1038" w:type="pct"/>
          </w:tcPr>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All</w:t>
            </w:r>
            <w:r w:rsidRPr="00B540E1">
              <w:rPr>
                <w:rFonts w:ascii="Times New Roman" w:eastAsia="Calibri" w:hAnsi="Times New Roman" w:cs="Times New Roman"/>
                <w:b/>
                <w:sz w:val="18"/>
                <w:szCs w:val="18"/>
              </w:rPr>
              <w:t>e deltagere</w:t>
            </w:r>
          </w:p>
          <w:p w:rsidR="00903162" w:rsidRPr="00B540E1" w:rsidRDefault="00903162" w:rsidP="000F3021">
            <w:pPr>
              <w:rPr>
                <w:rFonts w:ascii="Times New Roman" w:eastAsia="Calibri" w:hAnsi="Times New Roman" w:cs="Times New Roman"/>
                <w:b/>
                <w:sz w:val="18"/>
                <w:szCs w:val="18"/>
                <w:lang w:val="da-DK"/>
              </w:rPr>
            </w:pPr>
          </w:p>
          <w:p w:rsidR="00903162" w:rsidRPr="00B540E1" w:rsidRDefault="00903162" w:rsidP="000F3021">
            <w:pPr>
              <w:rPr>
                <w:rFonts w:ascii="Times New Roman" w:eastAsia="Calibri" w:hAnsi="Times New Roman" w:cs="Times New Roman"/>
                <w:b/>
                <w:sz w:val="18"/>
                <w:szCs w:val="18"/>
                <w:lang w:val="da-DK"/>
              </w:rPr>
            </w:pPr>
          </w:p>
          <w:p w:rsidR="00903162" w:rsidRPr="00B540E1" w:rsidRDefault="00903162" w:rsidP="000F3021">
            <w:pPr>
              <w:rPr>
                <w:rFonts w:ascii="Times New Roman" w:eastAsia="Calibri" w:hAnsi="Times New Roman" w:cs="Times New Roman"/>
                <w:b/>
                <w:sz w:val="18"/>
                <w:szCs w:val="18"/>
                <w:lang w:val="da-DK"/>
              </w:rPr>
            </w:pPr>
          </w:p>
          <w:p w:rsidR="00903162" w:rsidRPr="00B540E1" w:rsidRDefault="00903162" w:rsidP="000F3021">
            <w:pPr>
              <w:rPr>
                <w:rFonts w:ascii="Times New Roman" w:eastAsia="Calibri" w:hAnsi="Times New Roman" w:cs="Times New Roman"/>
                <w:b/>
                <w:sz w:val="18"/>
                <w:szCs w:val="18"/>
                <w:lang w:val="da-DK"/>
              </w:rPr>
            </w:pPr>
          </w:p>
        </w:tc>
        <w:tc>
          <w:tcPr>
            <w:tcW w:w="804" w:type="pct"/>
          </w:tcPr>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48</w:t>
            </w:r>
            <w:r w:rsidRPr="00B540E1">
              <w:rPr>
                <w:rFonts w:ascii="Times New Roman" w:eastAsia="Calibri" w:hAnsi="Times New Roman" w:cs="Times New Roman"/>
                <w:b/>
                <w:sz w:val="18"/>
                <w:szCs w:val="18"/>
              </w:rPr>
              <w:t>2/2.</w:t>
            </w:r>
            <w:r w:rsidRPr="00B540E1">
              <w:rPr>
                <w:rFonts w:ascii="Times New Roman" w:eastAsia="Calibri" w:hAnsi="Times New Roman" w:cs="Times New Roman"/>
                <w:b/>
                <w:sz w:val="18"/>
                <w:szCs w:val="18"/>
                <w:lang w:val="da-DK"/>
              </w:rPr>
              <w:t>104 (22</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9</w:t>
            </w:r>
            <w:r w:rsidRPr="00B540E1">
              <w:rPr>
                <w:rFonts w:ascii="Times New Roman" w:eastAsia="Calibri" w:hAnsi="Times New Roman" w:cs="Times New Roman"/>
                <w:b/>
                <w:sz w:val="18"/>
                <w:szCs w:val="18"/>
              </w:rPr>
              <w:t> </w:t>
            </w:r>
            <w:r w:rsidRPr="00B540E1">
              <w:rPr>
                <w:rFonts w:ascii="Times New Roman" w:eastAsia="Calibri" w:hAnsi="Times New Roman" w:cs="Times New Roman"/>
                <w:b/>
                <w:sz w:val="18"/>
                <w:szCs w:val="18"/>
                <w:lang w:val="da-DK"/>
              </w:rPr>
              <w:t>%)</w:t>
            </w:r>
          </w:p>
        </w:tc>
        <w:tc>
          <w:tcPr>
            <w:tcW w:w="953" w:type="pct"/>
          </w:tcPr>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1</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110/4</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321 (25</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7</w:t>
            </w:r>
            <w:r w:rsidRPr="00B540E1">
              <w:rPr>
                <w:rFonts w:ascii="Times New Roman" w:eastAsia="Calibri" w:hAnsi="Times New Roman" w:cs="Times New Roman"/>
                <w:b/>
                <w:sz w:val="18"/>
                <w:szCs w:val="18"/>
              </w:rPr>
              <w:t> </w:t>
            </w:r>
            <w:r w:rsidRPr="00B540E1">
              <w:rPr>
                <w:rFonts w:ascii="Times New Roman" w:eastAsia="Calibri" w:hAnsi="Times New Roman" w:cs="Times New Roman"/>
                <w:b/>
                <w:sz w:val="18"/>
                <w:szCs w:val="18"/>
                <w:lang w:val="da-DK"/>
              </w:rPr>
              <w:t>%)</w:t>
            </w:r>
          </w:p>
        </w:tc>
        <w:tc>
          <w:tcPr>
            <w:tcW w:w="1465" w:type="pct"/>
            <w:gridSpan w:val="2"/>
            <w:vMerge/>
          </w:tcPr>
          <w:p w:rsidR="00903162" w:rsidRPr="00B540E1" w:rsidRDefault="00903162" w:rsidP="000F3021">
            <w:pPr>
              <w:rPr>
                <w:rFonts w:ascii="Times New Roman" w:eastAsia="Calibri" w:hAnsi="Times New Roman" w:cs="Times New Roman"/>
                <w:sz w:val="18"/>
                <w:szCs w:val="18"/>
                <w:lang w:val="da-DK"/>
              </w:rPr>
            </w:pPr>
          </w:p>
        </w:tc>
        <w:tc>
          <w:tcPr>
            <w:tcW w:w="739" w:type="pct"/>
          </w:tcPr>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83 (0</w:t>
            </w:r>
            <w:r w:rsidRPr="00B540E1">
              <w:rPr>
                <w:rFonts w:ascii="Times New Roman" w:eastAsia="Calibri" w:hAnsi="Times New Roman" w:cs="Times New Roman"/>
                <w:b/>
                <w:sz w:val="18"/>
                <w:szCs w:val="18"/>
              </w:rPr>
              <w:t>,</w:t>
            </w:r>
            <w:r w:rsidRPr="00B540E1">
              <w:rPr>
                <w:rFonts w:ascii="Times New Roman" w:eastAsia="Calibri" w:hAnsi="Times New Roman" w:cs="Times New Roman"/>
                <w:b/>
                <w:sz w:val="18"/>
                <w:szCs w:val="18"/>
                <w:lang w:val="da-DK"/>
              </w:rPr>
              <w:t>75-0</w:t>
            </w:r>
            <w:r>
              <w:rPr>
                <w:rFonts w:ascii="Times New Roman" w:eastAsia="Calibri" w:hAnsi="Times New Roman" w:cs="Times New Roman"/>
                <w:b/>
                <w:sz w:val="18"/>
                <w:szCs w:val="18"/>
                <w:lang w:val="da-DK"/>
              </w:rPr>
              <w:t>,</w:t>
            </w:r>
            <w:r w:rsidRPr="00B540E1">
              <w:rPr>
                <w:rFonts w:ascii="Times New Roman" w:eastAsia="Calibri" w:hAnsi="Times New Roman" w:cs="Times New Roman"/>
                <w:b/>
                <w:sz w:val="18"/>
                <w:szCs w:val="18"/>
                <w:lang w:val="da-DK"/>
              </w:rPr>
              <w:t>93)</w:t>
            </w:r>
          </w:p>
          <w:p w:rsidR="00903162" w:rsidRPr="00B540E1" w:rsidRDefault="00903162" w:rsidP="000F3021">
            <w:pPr>
              <w:rPr>
                <w:rFonts w:ascii="Times New Roman" w:eastAsia="Calibri" w:hAnsi="Times New Roman" w:cs="Times New Roman"/>
                <w:sz w:val="18"/>
                <w:szCs w:val="18"/>
                <w:lang w:val="da-DK"/>
              </w:rPr>
            </w:pPr>
            <w:r w:rsidRPr="00B540E1">
              <w:rPr>
                <w:rFonts w:ascii="Times New Roman" w:eastAsia="Calibri" w:hAnsi="Times New Roman" w:cs="Times New Roman"/>
                <w:b/>
                <w:sz w:val="18"/>
                <w:szCs w:val="18"/>
                <w:lang w:val="da-DK"/>
              </w:rPr>
              <w:t>p &lt;0</w:t>
            </w:r>
            <w:r>
              <w:rPr>
                <w:rFonts w:ascii="Times New Roman" w:eastAsia="Calibri" w:hAnsi="Times New Roman" w:cs="Times New Roman"/>
                <w:b/>
                <w:sz w:val="18"/>
                <w:szCs w:val="18"/>
                <w:lang w:val="da-DK"/>
              </w:rPr>
              <w:t>,</w:t>
            </w:r>
            <w:r w:rsidRPr="00B540E1">
              <w:rPr>
                <w:rFonts w:ascii="Times New Roman" w:eastAsia="Calibri" w:hAnsi="Times New Roman" w:cs="Times New Roman"/>
                <w:b/>
                <w:sz w:val="18"/>
                <w:szCs w:val="18"/>
                <w:lang w:val="da-DK"/>
              </w:rPr>
              <w:t>001</w:t>
            </w:r>
          </w:p>
        </w:tc>
      </w:tr>
      <w:tr w:rsidR="00903162" w:rsidRPr="000D109C" w:rsidTr="000F3021">
        <w:trPr>
          <w:trHeight w:val="627"/>
        </w:trPr>
        <w:tc>
          <w:tcPr>
            <w:tcW w:w="3642" w:type="pct"/>
            <w:gridSpan w:val="4"/>
          </w:tcPr>
          <w:p w:rsidR="00903162" w:rsidRPr="00B540E1" w:rsidRDefault="00903162" w:rsidP="000F3021">
            <w:pPr>
              <w:jc w:val="right"/>
              <w:rPr>
                <w:rFonts w:ascii="Times New Roman" w:eastAsia="Calibri" w:hAnsi="Times New Roman" w:cs="Times New Roman"/>
                <w:b/>
                <w:sz w:val="18"/>
                <w:szCs w:val="18"/>
                <w:lang w:val="da-DK"/>
              </w:rPr>
            </w:pPr>
            <w:proofErr w:type="spellStart"/>
            <w:r w:rsidRPr="00B540E1">
              <w:rPr>
                <w:rFonts w:ascii="Times New Roman" w:eastAsia="Calibri" w:hAnsi="Times New Roman" w:cs="Times New Roman"/>
                <w:b/>
                <w:sz w:val="18"/>
                <w:szCs w:val="18"/>
                <w:lang w:val="da-DK"/>
              </w:rPr>
              <w:t>Dexamethason</w:t>
            </w:r>
            <w:proofErr w:type="spellEnd"/>
          </w:p>
          <w:p w:rsidR="00903162" w:rsidRPr="00B540E1" w:rsidRDefault="00903162" w:rsidP="000F3021">
            <w:pPr>
              <w:jc w:val="right"/>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rPr>
              <w:t>bedre</w:t>
            </w:r>
          </w:p>
          <w:p w:rsidR="00903162" w:rsidRPr="00B540E1" w:rsidRDefault="00903162" w:rsidP="000F3021">
            <w:pPr>
              <w:jc w:val="cente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lang w:val="da-DK"/>
              </w:rPr>
              <w:t xml:space="preserve">                                                                                                    </w:t>
            </w:r>
          </w:p>
        </w:tc>
        <w:tc>
          <w:tcPr>
            <w:tcW w:w="1358" w:type="pct"/>
            <w:gridSpan w:val="2"/>
          </w:tcPr>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rPr>
              <w:t>Almindelig pleje</w:t>
            </w:r>
          </w:p>
          <w:p w:rsidR="00903162" w:rsidRPr="00B540E1" w:rsidRDefault="00903162" w:rsidP="000F3021">
            <w:pPr>
              <w:rPr>
                <w:rFonts w:ascii="Times New Roman" w:eastAsia="Calibri" w:hAnsi="Times New Roman" w:cs="Times New Roman"/>
                <w:b/>
                <w:sz w:val="18"/>
                <w:szCs w:val="18"/>
                <w:lang w:val="da-DK"/>
              </w:rPr>
            </w:pPr>
            <w:r w:rsidRPr="00B540E1">
              <w:rPr>
                <w:rFonts w:ascii="Times New Roman" w:eastAsia="Calibri" w:hAnsi="Times New Roman" w:cs="Times New Roman"/>
                <w:b/>
                <w:sz w:val="18"/>
                <w:szCs w:val="18"/>
              </w:rPr>
              <w:t>bedre</w:t>
            </w:r>
          </w:p>
          <w:p w:rsidR="00903162" w:rsidRPr="00B540E1" w:rsidRDefault="00903162" w:rsidP="000F3021">
            <w:pPr>
              <w:rPr>
                <w:rFonts w:ascii="Times New Roman" w:eastAsia="Calibri" w:hAnsi="Times New Roman" w:cs="Times New Roman"/>
                <w:b/>
                <w:sz w:val="18"/>
                <w:szCs w:val="18"/>
                <w:lang w:val="da-DK"/>
              </w:rPr>
            </w:pPr>
          </w:p>
        </w:tc>
      </w:tr>
    </w:tbl>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5.2</w:t>
      </w:r>
      <w:r w:rsidRPr="00034AE2">
        <w:rPr>
          <w:b/>
          <w:sz w:val="24"/>
          <w:szCs w:val="24"/>
        </w:rPr>
        <w:tab/>
      </w:r>
      <w:proofErr w:type="spellStart"/>
      <w:r w:rsidRPr="00034AE2">
        <w:rPr>
          <w:b/>
          <w:sz w:val="24"/>
          <w:szCs w:val="24"/>
        </w:rPr>
        <w:t>Farmakokinetiske</w:t>
      </w:r>
      <w:proofErr w:type="spellEnd"/>
      <w:r w:rsidRPr="00034AE2">
        <w:rPr>
          <w:b/>
          <w:sz w:val="24"/>
          <w:szCs w:val="24"/>
        </w:rPr>
        <w:t xml:space="preserve"> egenskaber</w:t>
      </w:r>
    </w:p>
    <w:p w:rsidR="0050403C" w:rsidRDefault="0050403C" w:rsidP="0050403C">
      <w:pPr>
        <w:widowControl w:val="0"/>
        <w:numPr>
          <w:ilvl w:val="12"/>
          <w:numId w:val="0"/>
        </w:numPr>
        <w:ind w:left="851" w:right="-2" w:hanging="851"/>
        <w:rPr>
          <w:iCs/>
          <w:sz w:val="24"/>
          <w:szCs w:val="24"/>
          <w:u w:val="single"/>
        </w:rPr>
      </w:pPr>
    </w:p>
    <w:p w:rsidR="0050403C" w:rsidRPr="00034AE2" w:rsidRDefault="0050403C" w:rsidP="0050403C">
      <w:pPr>
        <w:widowControl w:val="0"/>
        <w:numPr>
          <w:ilvl w:val="12"/>
          <w:numId w:val="0"/>
        </w:numPr>
        <w:ind w:left="851" w:right="-2"/>
        <w:rPr>
          <w:iCs/>
          <w:sz w:val="24"/>
          <w:szCs w:val="24"/>
          <w:u w:val="single"/>
          <w:lang w:eastAsia="da-DK"/>
        </w:rPr>
      </w:pPr>
      <w:r w:rsidRPr="00034AE2">
        <w:rPr>
          <w:iCs/>
          <w:sz w:val="24"/>
          <w:szCs w:val="24"/>
          <w:u w:val="single"/>
        </w:rPr>
        <w:t>Absorption og distribution</w:t>
      </w:r>
    </w:p>
    <w:p w:rsidR="0050403C" w:rsidRPr="00034AE2" w:rsidRDefault="0050403C" w:rsidP="0050403C">
      <w:pPr>
        <w:widowControl w:val="0"/>
        <w:numPr>
          <w:ilvl w:val="12"/>
          <w:numId w:val="0"/>
        </w:numPr>
        <w:ind w:left="851" w:right="-2"/>
        <w:rPr>
          <w:iCs/>
          <w:sz w:val="24"/>
          <w:szCs w:val="24"/>
        </w:rPr>
      </w:pPr>
      <w:proofErr w:type="spellStart"/>
      <w:r w:rsidRPr="00034AE2">
        <w:rPr>
          <w:iCs/>
          <w:sz w:val="24"/>
          <w:szCs w:val="24"/>
        </w:rPr>
        <w:t>Dexamethason</w:t>
      </w:r>
      <w:proofErr w:type="spellEnd"/>
      <w:r w:rsidRPr="00034AE2">
        <w:rPr>
          <w:iCs/>
          <w:sz w:val="24"/>
          <w:szCs w:val="24"/>
        </w:rPr>
        <w:t xml:space="preserve"> absorberes godt når det indgives oralt. Plasmaniveauer topper 1-2 timer efter indtagelse og udviser store variationer individer imellem. Den gennemsnitlige halveringstid i plasma er 3,6 ± 0,9 timer. </w:t>
      </w:r>
      <w:proofErr w:type="spellStart"/>
      <w:r w:rsidRPr="00034AE2">
        <w:rPr>
          <w:iCs/>
          <w:sz w:val="24"/>
          <w:szCs w:val="24"/>
        </w:rPr>
        <w:t>Dexamethason</w:t>
      </w:r>
      <w:proofErr w:type="spellEnd"/>
      <w:r w:rsidRPr="00034AE2">
        <w:rPr>
          <w:iCs/>
          <w:sz w:val="24"/>
          <w:szCs w:val="24"/>
        </w:rPr>
        <w:t xml:space="preserve"> bindes (op til ca. 77%) til plasmaproteiner, hovedsageligt albumin. </w:t>
      </w:r>
      <w:proofErr w:type="spellStart"/>
      <w:r w:rsidRPr="00034AE2">
        <w:rPr>
          <w:iCs/>
          <w:sz w:val="24"/>
          <w:szCs w:val="24"/>
        </w:rPr>
        <w:t>Dexamethasons</w:t>
      </w:r>
      <w:proofErr w:type="spellEnd"/>
      <w:r w:rsidRPr="00034AE2">
        <w:rPr>
          <w:iCs/>
          <w:sz w:val="24"/>
          <w:szCs w:val="24"/>
        </w:rPr>
        <w:t xml:space="preserve"> procentvise proteinbinding forbliver stort set uændret ved stigende steroidkoncentrationer, i modsætning til </w:t>
      </w:r>
      <w:proofErr w:type="spellStart"/>
      <w:r w:rsidRPr="00034AE2">
        <w:rPr>
          <w:iCs/>
          <w:sz w:val="24"/>
          <w:szCs w:val="24"/>
        </w:rPr>
        <w:t>cortisol</w:t>
      </w:r>
      <w:proofErr w:type="spellEnd"/>
      <w:r w:rsidRPr="00034AE2">
        <w:rPr>
          <w:iCs/>
          <w:sz w:val="24"/>
          <w:szCs w:val="24"/>
        </w:rPr>
        <w:t xml:space="preserve">. </w:t>
      </w:r>
      <w:proofErr w:type="spellStart"/>
      <w:r w:rsidRPr="00034AE2">
        <w:rPr>
          <w:iCs/>
          <w:sz w:val="24"/>
          <w:szCs w:val="24"/>
        </w:rPr>
        <w:t>Kortikosteroider</w:t>
      </w:r>
      <w:proofErr w:type="spellEnd"/>
      <w:r w:rsidRPr="00034AE2">
        <w:rPr>
          <w:iCs/>
          <w:sz w:val="24"/>
          <w:szCs w:val="24"/>
        </w:rPr>
        <w:t xml:space="preserve"> fordeles hurtigt til alle væv i kroppen. De krydser placenta og kan udskilles i modermælk i små mængder.</w:t>
      </w:r>
    </w:p>
    <w:p w:rsidR="0050403C" w:rsidRPr="00034AE2" w:rsidRDefault="0050403C" w:rsidP="0050403C">
      <w:pPr>
        <w:widowControl w:val="0"/>
        <w:numPr>
          <w:ilvl w:val="12"/>
          <w:numId w:val="0"/>
        </w:numPr>
        <w:ind w:left="851" w:right="-2"/>
        <w:rPr>
          <w:iCs/>
          <w:sz w:val="24"/>
          <w:szCs w:val="24"/>
        </w:rPr>
      </w:pPr>
    </w:p>
    <w:p w:rsidR="0050403C" w:rsidRPr="00034AE2" w:rsidRDefault="0050403C" w:rsidP="0050403C">
      <w:pPr>
        <w:widowControl w:val="0"/>
        <w:numPr>
          <w:ilvl w:val="12"/>
          <w:numId w:val="0"/>
        </w:numPr>
        <w:ind w:left="851" w:right="-2"/>
        <w:rPr>
          <w:iCs/>
          <w:sz w:val="24"/>
          <w:szCs w:val="24"/>
          <w:u w:val="single"/>
          <w:lang w:eastAsia="da-DK"/>
        </w:rPr>
      </w:pPr>
      <w:r w:rsidRPr="00034AE2">
        <w:rPr>
          <w:iCs/>
          <w:sz w:val="24"/>
          <w:szCs w:val="24"/>
          <w:u w:val="single"/>
        </w:rPr>
        <w:t>Biotransformation</w:t>
      </w:r>
    </w:p>
    <w:p w:rsidR="0050403C" w:rsidRPr="00034AE2" w:rsidRDefault="0050403C" w:rsidP="0050403C">
      <w:pPr>
        <w:widowControl w:val="0"/>
        <w:numPr>
          <w:ilvl w:val="12"/>
          <w:numId w:val="0"/>
        </w:numPr>
        <w:ind w:left="851" w:right="-2"/>
        <w:rPr>
          <w:iCs/>
          <w:sz w:val="24"/>
          <w:szCs w:val="24"/>
        </w:rPr>
      </w:pPr>
      <w:proofErr w:type="spellStart"/>
      <w:r w:rsidRPr="00034AE2">
        <w:rPr>
          <w:iCs/>
          <w:sz w:val="24"/>
          <w:szCs w:val="24"/>
        </w:rPr>
        <w:t>Dexamethason</w:t>
      </w:r>
      <w:proofErr w:type="spellEnd"/>
      <w:r w:rsidRPr="00034AE2">
        <w:rPr>
          <w:iCs/>
          <w:sz w:val="24"/>
          <w:szCs w:val="24"/>
        </w:rPr>
        <w:t xml:space="preserve"> </w:t>
      </w:r>
      <w:proofErr w:type="spellStart"/>
      <w:r w:rsidRPr="00034AE2">
        <w:rPr>
          <w:iCs/>
          <w:sz w:val="24"/>
          <w:szCs w:val="24"/>
        </w:rPr>
        <w:t>metaboliseres</w:t>
      </w:r>
      <w:proofErr w:type="spellEnd"/>
      <w:r w:rsidRPr="00034AE2">
        <w:rPr>
          <w:iCs/>
          <w:sz w:val="24"/>
          <w:szCs w:val="24"/>
        </w:rPr>
        <w:t xml:space="preserve"> hovedsageligt i leveren, men også i nyrerne.</w:t>
      </w:r>
    </w:p>
    <w:p w:rsidR="00761175" w:rsidRDefault="00761175" w:rsidP="00761175">
      <w:pPr>
        <w:ind w:firstLine="851"/>
        <w:rPr>
          <w:iCs/>
          <w:sz w:val="24"/>
          <w:szCs w:val="24"/>
        </w:rPr>
      </w:pPr>
    </w:p>
    <w:p w:rsidR="0050403C" w:rsidRPr="00761175" w:rsidRDefault="0050403C" w:rsidP="00761175">
      <w:pPr>
        <w:ind w:firstLine="851"/>
        <w:rPr>
          <w:iCs/>
          <w:sz w:val="24"/>
          <w:szCs w:val="24"/>
        </w:rPr>
      </w:pPr>
      <w:r w:rsidRPr="00034AE2">
        <w:rPr>
          <w:iCs/>
          <w:sz w:val="24"/>
          <w:szCs w:val="24"/>
          <w:u w:val="single"/>
        </w:rPr>
        <w:t>Elimination</w:t>
      </w:r>
    </w:p>
    <w:p w:rsidR="0050403C" w:rsidRPr="00034AE2" w:rsidRDefault="0050403C" w:rsidP="0050403C">
      <w:pPr>
        <w:widowControl w:val="0"/>
        <w:numPr>
          <w:ilvl w:val="12"/>
          <w:numId w:val="0"/>
        </w:numPr>
        <w:ind w:left="851" w:right="-2"/>
        <w:rPr>
          <w:sz w:val="24"/>
          <w:szCs w:val="24"/>
        </w:rPr>
      </w:pPr>
      <w:proofErr w:type="spellStart"/>
      <w:r w:rsidRPr="00034AE2">
        <w:rPr>
          <w:iCs/>
          <w:sz w:val="24"/>
          <w:szCs w:val="24"/>
        </w:rPr>
        <w:t>Dexamethason</w:t>
      </w:r>
      <w:proofErr w:type="spellEnd"/>
      <w:r w:rsidRPr="00034AE2">
        <w:rPr>
          <w:iCs/>
          <w:sz w:val="24"/>
          <w:szCs w:val="24"/>
        </w:rPr>
        <w:t xml:space="preserve"> og dets metabolitter udskilles i urin.</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5.3</w:t>
      </w:r>
      <w:r w:rsidRPr="00034AE2">
        <w:rPr>
          <w:b/>
          <w:sz w:val="24"/>
          <w:szCs w:val="24"/>
        </w:rPr>
        <w:tab/>
      </w:r>
      <w:r w:rsidR="00474A35">
        <w:rPr>
          <w:b/>
          <w:sz w:val="24"/>
          <w:szCs w:val="24"/>
        </w:rPr>
        <w:t>Non-</w:t>
      </w:r>
      <w:r w:rsidRPr="00034AE2">
        <w:rPr>
          <w:b/>
          <w:sz w:val="24"/>
          <w:szCs w:val="24"/>
        </w:rPr>
        <w:t>kliniske sikkerhedsdata</w:t>
      </w:r>
    </w:p>
    <w:p w:rsidR="0050403C" w:rsidRPr="00034AE2" w:rsidRDefault="0050403C" w:rsidP="00E4085D">
      <w:pPr>
        <w:ind w:left="851"/>
        <w:rPr>
          <w:sz w:val="24"/>
          <w:szCs w:val="24"/>
          <w:lang w:eastAsia="da-DK"/>
        </w:rPr>
      </w:pPr>
      <w:r w:rsidRPr="00034AE2">
        <w:rPr>
          <w:sz w:val="24"/>
          <w:szCs w:val="24"/>
        </w:rPr>
        <w:t xml:space="preserve">Dyrestudier har vist, at </w:t>
      </w:r>
      <w:proofErr w:type="spellStart"/>
      <w:r w:rsidRPr="00034AE2">
        <w:rPr>
          <w:sz w:val="24"/>
          <w:szCs w:val="24"/>
        </w:rPr>
        <w:t>glukokortikoider</w:t>
      </w:r>
      <w:proofErr w:type="spellEnd"/>
      <w:r w:rsidRPr="00034AE2">
        <w:rPr>
          <w:sz w:val="24"/>
          <w:szCs w:val="24"/>
        </w:rPr>
        <w:t xml:space="preserve"> øger </w:t>
      </w:r>
      <w:proofErr w:type="spellStart"/>
      <w:r w:rsidRPr="00034AE2">
        <w:rPr>
          <w:sz w:val="24"/>
          <w:szCs w:val="24"/>
        </w:rPr>
        <w:t>incidensen</w:t>
      </w:r>
      <w:proofErr w:type="spellEnd"/>
      <w:r w:rsidRPr="00034AE2">
        <w:rPr>
          <w:sz w:val="24"/>
          <w:szCs w:val="24"/>
        </w:rPr>
        <w:t xml:space="preserve"> af ganespalte, spontane aborter og intrauterin væksthæmning. I nogle tilfælde forekom disse afvigelser i kombination med defekter i centralnervesystemet og hjertet. Hos ikke-menneskelige primater blev mindre </w:t>
      </w:r>
      <w:proofErr w:type="spellStart"/>
      <w:r w:rsidRPr="00034AE2">
        <w:rPr>
          <w:sz w:val="24"/>
          <w:szCs w:val="24"/>
        </w:rPr>
        <w:t>kraniale</w:t>
      </w:r>
      <w:proofErr w:type="spellEnd"/>
      <w:r w:rsidRPr="00034AE2">
        <w:rPr>
          <w:sz w:val="24"/>
          <w:szCs w:val="24"/>
        </w:rPr>
        <w:t xml:space="preserve"> skeletale </w:t>
      </w:r>
      <w:proofErr w:type="spellStart"/>
      <w:r w:rsidRPr="00034AE2">
        <w:rPr>
          <w:sz w:val="24"/>
          <w:szCs w:val="24"/>
        </w:rPr>
        <w:t>abnormaliteter</w:t>
      </w:r>
      <w:proofErr w:type="spellEnd"/>
      <w:r w:rsidRPr="00034AE2">
        <w:rPr>
          <w:sz w:val="24"/>
          <w:szCs w:val="24"/>
        </w:rPr>
        <w:t xml:space="preserve"> observeret. Disse effekter blev observeret efter høje doser </w:t>
      </w:r>
      <w:proofErr w:type="spellStart"/>
      <w:r w:rsidRPr="00034AE2">
        <w:rPr>
          <w:sz w:val="24"/>
          <w:szCs w:val="24"/>
        </w:rPr>
        <w:t>dexamethason</w:t>
      </w:r>
      <w:proofErr w:type="spellEnd"/>
      <w:r w:rsidRPr="00034AE2">
        <w:rPr>
          <w:sz w:val="24"/>
          <w:szCs w:val="24"/>
        </w:rPr>
        <w:t xml:space="preserve"> blev brugt.</w:t>
      </w:r>
    </w:p>
    <w:p w:rsidR="0050403C" w:rsidRPr="00034AE2" w:rsidRDefault="0050403C" w:rsidP="0050403C">
      <w:pPr>
        <w:ind w:left="851" w:hanging="851"/>
        <w:rPr>
          <w:sz w:val="24"/>
          <w:szCs w:val="24"/>
        </w:rPr>
      </w:pP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w:t>
      </w:r>
      <w:r w:rsidRPr="00034AE2">
        <w:rPr>
          <w:b/>
          <w:sz w:val="24"/>
          <w:szCs w:val="24"/>
        </w:rPr>
        <w:tab/>
        <w:t>FARMACEUTISKE OPLYSNINGER</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6.1</w:t>
      </w:r>
      <w:r w:rsidRPr="00034AE2">
        <w:rPr>
          <w:b/>
          <w:sz w:val="24"/>
          <w:szCs w:val="24"/>
        </w:rPr>
        <w:tab/>
        <w:t>Hjælpestoffer</w:t>
      </w:r>
    </w:p>
    <w:p w:rsidR="0050403C" w:rsidRPr="00034AE2" w:rsidRDefault="0050403C" w:rsidP="0050403C">
      <w:pPr>
        <w:widowControl w:val="0"/>
        <w:ind w:left="851"/>
        <w:rPr>
          <w:sz w:val="24"/>
          <w:szCs w:val="24"/>
          <w:lang w:eastAsia="da-DK"/>
        </w:rPr>
      </w:pPr>
      <w:proofErr w:type="spellStart"/>
      <w:r w:rsidRPr="00034AE2">
        <w:rPr>
          <w:sz w:val="24"/>
          <w:szCs w:val="24"/>
        </w:rPr>
        <w:t>Lactosemonohydrat</w:t>
      </w:r>
      <w:proofErr w:type="spellEnd"/>
    </w:p>
    <w:p w:rsidR="0050403C" w:rsidRPr="00034AE2" w:rsidRDefault="0050403C" w:rsidP="0050403C">
      <w:pPr>
        <w:widowControl w:val="0"/>
        <w:ind w:left="851"/>
        <w:rPr>
          <w:sz w:val="24"/>
          <w:szCs w:val="24"/>
        </w:rPr>
      </w:pPr>
      <w:r w:rsidRPr="00034AE2">
        <w:rPr>
          <w:sz w:val="24"/>
          <w:szCs w:val="24"/>
        </w:rPr>
        <w:t>Prægelatineret, majsstivelse</w:t>
      </w:r>
    </w:p>
    <w:p w:rsidR="0050403C" w:rsidRPr="00034AE2" w:rsidRDefault="0050403C" w:rsidP="0050403C">
      <w:pPr>
        <w:widowControl w:val="0"/>
        <w:ind w:left="851"/>
        <w:rPr>
          <w:sz w:val="24"/>
          <w:szCs w:val="24"/>
        </w:rPr>
      </w:pPr>
      <w:r w:rsidRPr="00034AE2">
        <w:rPr>
          <w:sz w:val="24"/>
          <w:szCs w:val="24"/>
        </w:rPr>
        <w:t xml:space="preserve">Kolloid vandfri </w:t>
      </w:r>
      <w:proofErr w:type="spellStart"/>
      <w:r w:rsidRPr="00034AE2">
        <w:rPr>
          <w:sz w:val="24"/>
          <w:szCs w:val="24"/>
        </w:rPr>
        <w:t>silica</w:t>
      </w:r>
      <w:proofErr w:type="spellEnd"/>
    </w:p>
    <w:p w:rsidR="0050403C" w:rsidRPr="00034AE2" w:rsidRDefault="0050403C" w:rsidP="0050403C">
      <w:pPr>
        <w:widowControl w:val="0"/>
        <w:ind w:left="851"/>
        <w:rPr>
          <w:sz w:val="24"/>
          <w:szCs w:val="24"/>
        </w:rPr>
      </w:pPr>
      <w:proofErr w:type="spellStart"/>
      <w:r w:rsidRPr="00034AE2">
        <w:rPr>
          <w:sz w:val="24"/>
          <w:szCs w:val="24"/>
        </w:rPr>
        <w:t>Magnesiumstearat</w:t>
      </w:r>
      <w:proofErr w:type="spellEnd"/>
      <w:r w:rsidRPr="00034AE2">
        <w:rPr>
          <w:sz w:val="24"/>
          <w:szCs w:val="24"/>
        </w:rPr>
        <w:t xml:space="preserve"> (E470b)</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6.2</w:t>
      </w:r>
      <w:r w:rsidRPr="00034AE2">
        <w:rPr>
          <w:b/>
          <w:sz w:val="24"/>
          <w:szCs w:val="24"/>
        </w:rPr>
        <w:tab/>
        <w:t>Uforligeligheder</w:t>
      </w:r>
    </w:p>
    <w:p w:rsidR="0050403C" w:rsidRPr="00034AE2" w:rsidRDefault="0050403C" w:rsidP="0050403C">
      <w:pPr>
        <w:widowControl w:val="0"/>
        <w:ind w:left="851"/>
        <w:rPr>
          <w:sz w:val="24"/>
          <w:szCs w:val="24"/>
          <w:lang w:eastAsia="da-DK"/>
        </w:rPr>
      </w:pPr>
      <w:r w:rsidRPr="00034AE2">
        <w:rPr>
          <w:sz w:val="24"/>
          <w:szCs w:val="24"/>
        </w:rPr>
        <w:t>Ikke relevant.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6.3</w:t>
      </w:r>
      <w:r w:rsidRPr="00034AE2">
        <w:rPr>
          <w:b/>
          <w:sz w:val="24"/>
          <w:szCs w:val="24"/>
        </w:rPr>
        <w:tab/>
        <w:t>Opbevaringstid</w:t>
      </w:r>
    </w:p>
    <w:p w:rsidR="0050403C" w:rsidRPr="00034AE2" w:rsidRDefault="0050403C" w:rsidP="0050403C">
      <w:pPr>
        <w:widowControl w:val="0"/>
        <w:ind w:left="851" w:hanging="851"/>
        <w:rPr>
          <w:sz w:val="24"/>
          <w:szCs w:val="24"/>
          <w:lang w:eastAsia="da-DK"/>
        </w:rPr>
      </w:pPr>
      <w:r w:rsidRPr="00034AE2">
        <w:rPr>
          <w:sz w:val="24"/>
          <w:szCs w:val="24"/>
        </w:rPr>
        <w:tab/>
      </w:r>
      <w:r>
        <w:rPr>
          <w:sz w:val="24"/>
          <w:szCs w:val="24"/>
        </w:rPr>
        <w:t>3</w:t>
      </w:r>
      <w:r w:rsidRPr="00034AE2">
        <w:rPr>
          <w:sz w:val="24"/>
          <w:szCs w:val="24"/>
        </w:rPr>
        <w:t> år</w:t>
      </w:r>
      <w:r>
        <w:rPr>
          <w:sz w:val="24"/>
          <w:szCs w:val="24"/>
        </w:rPr>
        <w: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6.4</w:t>
      </w:r>
      <w:r w:rsidRPr="00034AE2">
        <w:rPr>
          <w:b/>
          <w:sz w:val="24"/>
          <w:szCs w:val="24"/>
        </w:rPr>
        <w:tab/>
        <w:t>Særlige opbevaringsforhold</w:t>
      </w:r>
    </w:p>
    <w:p w:rsidR="0050403C" w:rsidRPr="00034AE2" w:rsidRDefault="0050403C" w:rsidP="0050403C">
      <w:pPr>
        <w:widowControl w:val="0"/>
        <w:ind w:left="851"/>
        <w:rPr>
          <w:sz w:val="24"/>
          <w:szCs w:val="24"/>
          <w:lang w:eastAsia="da-DK"/>
        </w:rPr>
      </w:pPr>
      <w:r>
        <w:rPr>
          <w:sz w:val="24"/>
          <w:szCs w:val="24"/>
        </w:rPr>
        <w:t xml:space="preserve">Der er ingen </w:t>
      </w:r>
      <w:r w:rsidRPr="00034AE2">
        <w:rPr>
          <w:sz w:val="24"/>
          <w:szCs w:val="24"/>
        </w:rPr>
        <w:t>særlige</w:t>
      </w:r>
      <w:r>
        <w:rPr>
          <w:sz w:val="24"/>
          <w:szCs w:val="24"/>
        </w:rPr>
        <w:t xml:space="preserve"> krav vedrørende </w:t>
      </w:r>
      <w:r w:rsidRPr="00034AE2">
        <w:rPr>
          <w:sz w:val="24"/>
          <w:szCs w:val="24"/>
        </w:rPr>
        <w:t>opbevarings</w:t>
      </w:r>
      <w:r>
        <w:rPr>
          <w:sz w:val="24"/>
          <w:szCs w:val="24"/>
        </w:rPr>
        <w:t>temperaturer for dette lægemiddel.</w:t>
      </w:r>
    </w:p>
    <w:p w:rsidR="0050403C" w:rsidRPr="00034AE2" w:rsidRDefault="0050403C" w:rsidP="0050403C">
      <w:pPr>
        <w:widowControl w:val="0"/>
        <w:ind w:left="851"/>
        <w:rPr>
          <w:sz w:val="24"/>
          <w:szCs w:val="24"/>
        </w:rPr>
      </w:pPr>
      <w:r w:rsidRPr="00034AE2">
        <w:rPr>
          <w:sz w:val="24"/>
          <w:szCs w:val="24"/>
        </w:rPr>
        <w:t>Opbevares i den originale pakning for at beskytte mod lys og fugt.</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6.5</w:t>
      </w:r>
      <w:r w:rsidRPr="00034AE2">
        <w:rPr>
          <w:b/>
          <w:sz w:val="24"/>
          <w:szCs w:val="24"/>
        </w:rPr>
        <w:tab/>
        <w:t>Emballagetype</w:t>
      </w:r>
      <w:r w:rsidR="00474A35">
        <w:rPr>
          <w:b/>
          <w:sz w:val="24"/>
          <w:szCs w:val="24"/>
        </w:rPr>
        <w:t xml:space="preserve"> </w:t>
      </w:r>
      <w:r w:rsidRPr="00034AE2">
        <w:rPr>
          <w:b/>
          <w:sz w:val="24"/>
          <w:szCs w:val="24"/>
        </w:rPr>
        <w:t>og pakningsstørrelser</w:t>
      </w:r>
    </w:p>
    <w:p w:rsidR="0050403C" w:rsidRPr="00034AE2" w:rsidRDefault="00E05AF9" w:rsidP="0050403C">
      <w:pPr>
        <w:widowControl w:val="0"/>
        <w:ind w:left="851"/>
        <w:rPr>
          <w:sz w:val="24"/>
          <w:szCs w:val="24"/>
        </w:rPr>
      </w:pPr>
      <w:r>
        <w:rPr>
          <w:sz w:val="24"/>
          <w:szCs w:val="24"/>
        </w:rPr>
        <w:t>Blister.</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6.6</w:t>
      </w:r>
      <w:r w:rsidRPr="00034AE2">
        <w:rPr>
          <w:b/>
          <w:sz w:val="24"/>
          <w:szCs w:val="24"/>
        </w:rPr>
        <w:tab/>
        <w:t xml:space="preserve">Regler for </w:t>
      </w:r>
      <w:r w:rsidR="00474A35">
        <w:rPr>
          <w:b/>
          <w:sz w:val="24"/>
          <w:szCs w:val="24"/>
        </w:rPr>
        <w:t>bortskaffelse</w:t>
      </w:r>
      <w:r w:rsidRPr="00034AE2">
        <w:rPr>
          <w:b/>
          <w:sz w:val="24"/>
          <w:szCs w:val="24"/>
        </w:rPr>
        <w:t xml:space="preserve"> og anden håndtering</w:t>
      </w:r>
    </w:p>
    <w:p w:rsidR="0050403C" w:rsidRPr="00034AE2" w:rsidRDefault="0050403C" w:rsidP="0050403C">
      <w:pPr>
        <w:widowControl w:val="0"/>
        <w:ind w:left="851"/>
        <w:rPr>
          <w:sz w:val="24"/>
          <w:szCs w:val="24"/>
          <w:lang w:eastAsia="da-DK"/>
        </w:rPr>
      </w:pPr>
      <w:r w:rsidRPr="00034AE2">
        <w:rPr>
          <w:sz w:val="24"/>
          <w:szCs w:val="24"/>
        </w:rPr>
        <w:t>Ingen særlige forholdsregler.</w:t>
      </w:r>
    </w:p>
    <w:p w:rsidR="0050403C" w:rsidRPr="00034AE2" w:rsidRDefault="0050403C" w:rsidP="0050403C">
      <w:pPr>
        <w:ind w:left="851" w:hanging="851"/>
        <w:jc w:val="both"/>
        <w:rPr>
          <w:sz w:val="24"/>
          <w:szCs w:val="24"/>
        </w:rPr>
      </w:pPr>
    </w:p>
    <w:p w:rsidR="0050403C" w:rsidRPr="00034AE2" w:rsidRDefault="0050403C" w:rsidP="0050403C">
      <w:pPr>
        <w:ind w:left="851" w:hanging="851"/>
        <w:rPr>
          <w:b/>
          <w:sz w:val="24"/>
          <w:szCs w:val="24"/>
        </w:rPr>
      </w:pPr>
      <w:r w:rsidRPr="00034AE2">
        <w:rPr>
          <w:b/>
          <w:sz w:val="24"/>
          <w:szCs w:val="24"/>
        </w:rPr>
        <w:t>7.</w:t>
      </w:r>
      <w:r w:rsidRPr="00034AE2">
        <w:rPr>
          <w:b/>
          <w:sz w:val="24"/>
          <w:szCs w:val="24"/>
        </w:rPr>
        <w:tab/>
        <w:t>INDEHAVER AF MARKEDSFØRINGSTILLADELSEN</w:t>
      </w:r>
    </w:p>
    <w:p w:rsidR="00E05AF9" w:rsidRPr="002F2B9C" w:rsidRDefault="00E05AF9" w:rsidP="00E05AF9">
      <w:pPr>
        <w:ind w:firstLine="851"/>
        <w:rPr>
          <w:lang w:eastAsia="da-DK"/>
        </w:rPr>
      </w:pPr>
      <w:r w:rsidRPr="002F2B9C">
        <w:rPr>
          <w:lang w:eastAsia="da-DK"/>
        </w:rPr>
        <w:t>2care4 ApS</w:t>
      </w:r>
    </w:p>
    <w:p w:rsidR="00E05AF9" w:rsidRPr="002F2B9C" w:rsidRDefault="00E05AF9" w:rsidP="00E05AF9">
      <w:pPr>
        <w:ind w:firstLine="851"/>
        <w:rPr>
          <w:lang w:eastAsia="da-DK"/>
        </w:rPr>
      </w:pPr>
      <w:r>
        <w:rPr>
          <w:lang w:eastAsia="da-DK"/>
        </w:rPr>
        <w:t>Stenhuggervej 12</w:t>
      </w:r>
    </w:p>
    <w:p w:rsidR="00E05AF9" w:rsidRDefault="00E05AF9" w:rsidP="00761175">
      <w:pPr>
        <w:ind w:firstLine="851"/>
        <w:rPr>
          <w:lang w:eastAsia="da-DK"/>
        </w:rPr>
      </w:pPr>
      <w:r w:rsidRPr="002F2B9C">
        <w:rPr>
          <w:lang w:eastAsia="da-DK"/>
        </w:rPr>
        <w:t>6710 Esbjerg V</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8.</w:t>
      </w:r>
      <w:r w:rsidRPr="00034AE2">
        <w:rPr>
          <w:b/>
          <w:sz w:val="24"/>
          <w:szCs w:val="24"/>
        </w:rPr>
        <w:tab/>
        <w:t>MARKEDSFØRINGSTILLADELSESNUMMER (</w:t>
      </w:r>
      <w:r w:rsidR="00474A35">
        <w:rPr>
          <w:b/>
          <w:sz w:val="24"/>
          <w:szCs w:val="24"/>
        </w:rPr>
        <w:t>-</w:t>
      </w:r>
      <w:r w:rsidRPr="00034AE2">
        <w:rPr>
          <w:b/>
          <w:sz w:val="24"/>
          <w:szCs w:val="24"/>
        </w:rPr>
        <w:t>NUMRE)</w:t>
      </w:r>
    </w:p>
    <w:p w:rsidR="0050403C" w:rsidRDefault="00E05AF9" w:rsidP="00E05AF9">
      <w:pPr>
        <w:ind w:left="851"/>
        <w:jc w:val="both"/>
        <w:rPr>
          <w:sz w:val="24"/>
          <w:szCs w:val="24"/>
        </w:rPr>
      </w:pPr>
      <w:r w:rsidRPr="00E05AF9">
        <w:rPr>
          <w:sz w:val="24"/>
          <w:szCs w:val="24"/>
        </w:rPr>
        <w:t>65227</w:t>
      </w:r>
    </w:p>
    <w:p w:rsidR="00E05AF9" w:rsidRPr="00034AE2" w:rsidRDefault="00E05AF9" w:rsidP="00E05AF9">
      <w:pPr>
        <w:ind w:left="851"/>
        <w:jc w:val="both"/>
        <w:rPr>
          <w:sz w:val="24"/>
          <w:szCs w:val="24"/>
        </w:rPr>
      </w:pPr>
    </w:p>
    <w:p w:rsidR="0050403C" w:rsidRPr="00034AE2" w:rsidRDefault="0050403C" w:rsidP="0050403C">
      <w:pPr>
        <w:ind w:left="851" w:hanging="851"/>
        <w:rPr>
          <w:b/>
          <w:sz w:val="24"/>
          <w:szCs w:val="24"/>
        </w:rPr>
      </w:pPr>
      <w:r w:rsidRPr="00034AE2">
        <w:rPr>
          <w:b/>
          <w:sz w:val="24"/>
          <w:szCs w:val="24"/>
        </w:rPr>
        <w:t>9.</w:t>
      </w:r>
      <w:r w:rsidRPr="00034AE2">
        <w:rPr>
          <w:b/>
          <w:sz w:val="24"/>
          <w:szCs w:val="24"/>
        </w:rPr>
        <w:tab/>
        <w:t>DATO FOR FØRSTE MARKEDSFØRINGSTILLADELSE</w:t>
      </w:r>
    </w:p>
    <w:p w:rsidR="0050403C" w:rsidRDefault="00E05AF9" w:rsidP="0050403C">
      <w:pPr>
        <w:ind w:left="851"/>
        <w:rPr>
          <w:sz w:val="24"/>
          <w:szCs w:val="24"/>
        </w:rPr>
      </w:pPr>
      <w:r>
        <w:rPr>
          <w:sz w:val="24"/>
          <w:szCs w:val="24"/>
        </w:rPr>
        <w:t>13. november 2020</w:t>
      </w:r>
    </w:p>
    <w:p w:rsidR="0050403C" w:rsidRPr="00034AE2" w:rsidRDefault="0050403C" w:rsidP="0050403C">
      <w:pPr>
        <w:ind w:left="851" w:hanging="851"/>
        <w:rPr>
          <w:sz w:val="24"/>
          <w:szCs w:val="24"/>
        </w:rPr>
      </w:pPr>
    </w:p>
    <w:p w:rsidR="0050403C" w:rsidRPr="00034AE2" w:rsidRDefault="0050403C" w:rsidP="0050403C">
      <w:pPr>
        <w:ind w:left="851" w:hanging="851"/>
        <w:rPr>
          <w:b/>
          <w:sz w:val="24"/>
          <w:szCs w:val="24"/>
        </w:rPr>
      </w:pPr>
      <w:r w:rsidRPr="00034AE2">
        <w:rPr>
          <w:b/>
          <w:sz w:val="24"/>
          <w:szCs w:val="24"/>
        </w:rPr>
        <w:t>10.</w:t>
      </w:r>
      <w:r w:rsidRPr="00034AE2">
        <w:rPr>
          <w:b/>
          <w:sz w:val="24"/>
          <w:szCs w:val="24"/>
        </w:rPr>
        <w:tab/>
        <w:t>DATO FOR ÆNDRING AF TEKSTEN</w:t>
      </w:r>
    </w:p>
    <w:p w:rsidR="0050403C" w:rsidRPr="00034AE2" w:rsidRDefault="00474A35" w:rsidP="0050403C">
      <w:pPr>
        <w:ind w:left="851"/>
        <w:rPr>
          <w:sz w:val="24"/>
          <w:szCs w:val="24"/>
        </w:rPr>
      </w:pPr>
      <w:r>
        <w:rPr>
          <w:sz w:val="24"/>
          <w:szCs w:val="24"/>
        </w:rPr>
        <w:t>21</w:t>
      </w:r>
      <w:r w:rsidR="00761175">
        <w:rPr>
          <w:sz w:val="24"/>
          <w:szCs w:val="24"/>
        </w:rPr>
        <w:t xml:space="preserve">. </w:t>
      </w:r>
      <w:r>
        <w:rPr>
          <w:sz w:val="24"/>
          <w:szCs w:val="24"/>
        </w:rPr>
        <w:t>november</w:t>
      </w:r>
      <w:r w:rsidR="00761175">
        <w:rPr>
          <w:sz w:val="24"/>
          <w:szCs w:val="24"/>
        </w:rPr>
        <w:t xml:space="preserve"> 202</w:t>
      </w:r>
      <w:r>
        <w:rPr>
          <w:sz w:val="24"/>
          <w:szCs w:val="24"/>
        </w:rPr>
        <w:t>3</w:t>
      </w:r>
    </w:p>
    <w:p w:rsidR="0050403C" w:rsidRPr="00CD7211" w:rsidRDefault="0050403C" w:rsidP="0050403C"/>
    <w:p w:rsidR="009260DE" w:rsidRPr="0050403C" w:rsidRDefault="009260DE" w:rsidP="0050403C"/>
    <w:sectPr w:rsidR="009260DE" w:rsidRPr="0050403C" w:rsidSect="000259B9">
      <w:footerReference w:type="default" r:id="rId13"/>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021" w:rsidRDefault="000F3021">
      <w:r>
        <w:separator/>
      </w:r>
    </w:p>
  </w:endnote>
  <w:endnote w:type="continuationSeparator" w:id="0">
    <w:p w:rsidR="000F3021" w:rsidRDefault="000F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3021" w:rsidRDefault="000F3021">
    <w:pPr>
      <w:pStyle w:val="Sidefod"/>
      <w:pBdr>
        <w:bottom w:val="single" w:sz="6" w:space="1" w:color="auto"/>
      </w:pBdr>
    </w:pPr>
  </w:p>
  <w:p w:rsidR="000F3021" w:rsidRDefault="000F3021" w:rsidP="00C42586">
    <w:pPr>
      <w:pStyle w:val="Sidefod"/>
      <w:tabs>
        <w:tab w:val="clear" w:pos="4819"/>
        <w:tab w:val="left" w:pos="8505"/>
      </w:tabs>
      <w:rPr>
        <w:i/>
        <w:sz w:val="18"/>
        <w:szCs w:val="18"/>
      </w:rPr>
    </w:pPr>
  </w:p>
  <w:p w:rsidR="000F3021" w:rsidRPr="00224125" w:rsidRDefault="000F3021" w:rsidP="00C42586">
    <w:pPr>
      <w:pStyle w:val="Sidefod"/>
      <w:tabs>
        <w:tab w:val="clear" w:pos="4819"/>
        <w:tab w:val="left" w:pos="8505"/>
      </w:tabs>
      <w:rPr>
        <w:i/>
        <w:sz w:val="18"/>
        <w:szCs w:val="18"/>
        <w:lang w:val="en-US"/>
      </w:rPr>
    </w:pPr>
    <w:r w:rsidRPr="00B373D7">
      <w:rPr>
        <w:i/>
        <w:sz w:val="18"/>
        <w:szCs w:val="18"/>
      </w:rPr>
      <w:fldChar w:fldCharType="begin"/>
    </w:r>
    <w:r w:rsidRPr="00224125">
      <w:rPr>
        <w:i/>
        <w:sz w:val="18"/>
        <w:szCs w:val="18"/>
        <w:lang w:val="en-US"/>
      </w:rPr>
      <w:instrText xml:space="preserve"> FILENAME </w:instrText>
    </w:r>
    <w:r w:rsidRPr="00B373D7">
      <w:rPr>
        <w:i/>
        <w:sz w:val="18"/>
        <w:szCs w:val="18"/>
      </w:rPr>
      <w:fldChar w:fldCharType="separate"/>
    </w:r>
    <w:r w:rsidRPr="00224125">
      <w:rPr>
        <w:i/>
        <w:noProof/>
        <w:sz w:val="18"/>
        <w:szCs w:val="18"/>
        <w:lang w:val="en-US"/>
      </w:rPr>
      <w:t>Dexamethason 2care4 (2care4), tabletter 4 mg</w:t>
    </w:r>
    <w:r w:rsidRPr="00B373D7">
      <w:rPr>
        <w:i/>
        <w:sz w:val="18"/>
        <w:szCs w:val="18"/>
      </w:rPr>
      <w:fldChar w:fldCharType="end"/>
    </w:r>
    <w:r w:rsidRPr="00224125">
      <w:rPr>
        <w:i/>
        <w:sz w:val="18"/>
        <w:szCs w:val="18"/>
        <w:lang w:val="en-US"/>
      </w:rPr>
      <w:tab/>
      <w:t xml:space="preserve">Side </w:t>
    </w:r>
    <w:r w:rsidRPr="00B373D7">
      <w:rPr>
        <w:rStyle w:val="Sidetal"/>
        <w:i/>
        <w:sz w:val="18"/>
        <w:szCs w:val="18"/>
      </w:rPr>
      <w:fldChar w:fldCharType="begin"/>
    </w:r>
    <w:r w:rsidRPr="00224125">
      <w:rPr>
        <w:rStyle w:val="Sidetal"/>
        <w:i/>
        <w:sz w:val="18"/>
        <w:szCs w:val="18"/>
        <w:lang w:val="en-US"/>
      </w:rPr>
      <w:instrText xml:space="preserve"> PAGE </w:instrText>
    </w:r>
    <w:r w:rsidRPr="00B373D7">
      <w:rPr>
        <w:rStyle w:val="Sidetal"/>
        <w:i/>
        <w:sz w:val="18"/>
        <w:szCs w:val="18"/>
      </w:rPr>
      <w:fldChar w:fldCharType="separate"/>
    </w:r>
    <w:r w:rsidRPr="00224125">
      <w:rPr>
        <w:rStyle w:val="Sidetal"/>
        <w:i/>
        <w:noProof/>
        <w:sz w:val="18"/>
        <w:szCs w:val="18"/>
        <w:lang w:val="en-US"/>
      </w:rPr>
      <w:t>3</w:t>
    </w:r>
    <w:r w:rsidRPr="00B373D7">
      <w:rPr>
        <w:rStyle w:val="Sidetal"/>
        <w:i/>
        <w:sz w:val="18"/>
        <w:szCs w:val="18"/>
      </w:rPr>
      <w:fldChar w:fldCharType="end"/>
    </w:r>
    <w:r w:rsidRPr="00224125">
      <w:rPr>
        <w:rStyle w:val="Sidetal"/>
        <w:i/>
        <w:sz w:val="18"/>
        <w:szCs w:val="18"/>
        <w:lang w:val="en-US"/>
      </w:rPr>
      <w:t xml:space="preserve"> af </w:t>
    </w:r>
    <w:r w:rsidRPr="00B373D7">
      <w:rPr>
        <w:rStyle w:val="Sidetal"/>
        <w:i/>
        <w:sz w:val="18"/>
        <w:szCs w:val="18"/>
      </w:rPr>
      <w:fldChar w:fldCharType="begin"/>
    </w:r>
    <w:r w:rsidRPr="00224125">
      <w:rPr>
        <w:rStyle w:val="Sidetal"/>
        <w:i/>
        <w:sz w:val="18"/>
        <w:szCs w:val="18"/>
        <w:lang w:val="en-US"/>
      </w:rPr>
      <w:instrText xml:space="preserve"> NUMPAGES </w:instrText>
    </w:r>
    <w:r w:rsidRPr="00B373D7">
      <w:rPr>
        <w:rStyle w:val="Sidetal"/>
        <w:i/>
        <w:sz w:val="18"/>
        <w:szCs w:val="18"/>
      </w:rPr>
      <w:fldChar w:fldCharType="separate"/>
    </w:r>
    <w:r w:rsidRPr="00224125">
      <w:rPr>
        <w:rStyle w:val="Sidetal"/>
        <w:i/>
        <w:noProof/>
        <w:sz w:val="18"/>
        <w:szCs w:val="18"/>
        <w:lang w:val="en-US"/>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021" w:rsidRDefault="000F3021">
      <w:r>
        <w:separator/>
      </w:r>
    </w:p>
  </w:footnote>
  <w:footnote w:type="continuationSeparator" w:id="0">
    <w:p w:rsidR="000F3021" w:rsidRDefault="000F3021">
      <w:r>
        <w:continuationSeparator/>
      </w:r>
    </w:p>
  </w:footnote>
  <w:footnote w:id="1">
    <w:p w:rsidR="000F3021" w:rsidRPr="009E6302" w:rsidRDefault="000F3021" w:rsidP="00903162">
      <w:pPr>
        <w:pStyle w:val="Fodnotetekst"/>
        <w:rPr>
          <w:lang w:val="sv-SE"/>
        </w:rPr>
      </w:pPr>
      <w:r w:rsidRPr="009E6302">
        <w:rPr>
          <w:rStyle w:val="Fodnotehenvisning"/>
        </w:rPr>
        <w:footnoteRef/>
      </w:r>
      <w:r w:rsidRPr="009E6302">
        <w:t xml:space="preserve"> </w:t>
      </w:r>
      <w:hyperlink r:id="rId1" w:history="1">
        <w:r w:rsidRPr="00C035BC">
          <w:rPr>
            <w:rStyle w:val="Hyperlink"/>
            <w:sz w:val="20"/>
            <w:szCs w:val="20"/>
            <w:lang w:eastAsia="en-GB"/>
          </w:rPr>
          <w:t>www.recoverytrial.net</w:t>
        </w:r>
      </w:hyperlink>
    </w:p>
  </w:footnote>
  <w:footnote w:id="2">
    <w:p w:rsidR="000F3021" w:rsidRPr="00953271" w:rsidRDefault="000F3021" w:rsidP="00903162">
      <w:pPr>
        <w:pStyle w:val="Fodnotetekst"/>
        <w:rPr>
          <w:lang w:val="sv-SE"/>
        </w:rPr>
      </w:pPr>
      <w:r>
        <w:rPr>
          <w:rStyle w:val="Fodnotehenvisning"/>
        </w:rPr>
        <w:footnoteRef/>
      </w:r>
      <w:r>
        <w:t xml:space="preserve"> </w:t>
      </w:r>
      <w:r w:rsidRPr="00E0576D">
        <w:t xml:space="preserve">(source: </w:t>
      </w:r>
      <w:r w:rsidRPr="00E0576D">
        <w:t xml:space="preserve">Horby P. et al., 2020; </w:t>
      </w:r>
      <w:r w:rsidRPr="00E0576D">
        <w:t>https://www.medrxiv.org/content/10.1101/2020.06.22.20137273v1 ; doi: https://doi.org/10.1101/2020.06.22.20137273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4F3E"/>
    <w:multiLevelType w:val="hybridMultilevel"/>
    <w:tmpl w:val="76A2B7B8"/>
    <w:lvl w:ilvl="0" w:tplc="D450914A">
      <w:start w:val="1"/>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CFD3D6E"/>
    <w:multiLevelType w:val="hybridMultilevel"/>
    <w:tmpl w:val="C49046D4"/>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30A84A6E"/>
    <w:multiLevelType w:val="hybridMultilevel"/>
    <w:tmpl w:val="2A84770E"/>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D011F38"/>
    <w:multiLevelType w:val="hybridMultilevel"/>
    <w:tmpl w:val="CE5AEABE"/>
    <w:lvl w:ilvl="0" w:tplc="D450914A">
      <w:start w:val="1"/>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403C"/>
    <w:rsid w:val="000259B9"/>
    <w:rsid w:val="00041491"/>
    <w:rsid w:val="00050D16"/>
    <w:rsid w:val="00057E43"/>
    <w:rsid w:val="00074F2A"/>
    <w:rsid w:val="000A1CA8"/>
    <w:rsid w:val="000A466B"/>
    <w:rsid w:val="000B058C"/>
    <w:rsid w:val="000E4EE6"/>
    <w:rsid w:val="000F3021"/>
    <w:rsid w:val="00135F81"/>
    <w:rsid w:val="001454E2"/>
    <w:rsid w:val="001473F3"/>
    <w:rsid w:val="00206CE8"/>
    <w:rsid w:val="0021526C"/>
    <w:rsid w:val="00224125"/>
    <w:rsid w:val="00283A2B"/>
    <w:rsid w:val="002B30AD"/>
    <w:rsid w:val="002C2C01"/>
    <w:rsid w:val="00306FF1"/>
    <w:rsid w:val="0032109E"/>
    <w:rsid w:val="0035072B"/>
    <w:rsid w:val="003A29AE"/>
    <w:rsid w:val="003A32D7"/>
    <w:rsid w:val="003B4074"/>
    <w:rsid w:val="003C769A"/>
    <w:rsid w:val="003F1838"/>
    <w:rsid w:val="00436CA1"/>
    <w:rsid w:val="00447B7D"/>
    <w:rsid w:val="00455600"/>
    <w:rsid w:val="0045746C"/>
    <w:rsid w:val="00474A35"/>
    <w:rsid w:val="0049104B"/>
    <w:rsid w:val="004E3B12"/>
    <w:rsid w:val="0050403C"/>
    <w:rsid w:val="00532310"/>
    <w:rsid w:val="00560ECC"/>
    <w:rsid w:val="00565F0F"/>
    <w:rsid w:val="00573594"/>
    <w:rsid w:val="00594A86"/>
    <w:rsid w:val="00596D86"/>
    <w:rsid w:val="005E0E94"/>
    <w:rsid w:val="005F37A6"/>
    <w:rsid w:val="00637F5A"/>
    <w:rsid w:val="006416BD"/>
    <w:rsid w:val="006560B1"/>
    <w:rsid w:val="006756DD"/>
    <w:rsid w:val="006B4892"/>
    <w:rsid w:val="00737275"/>
    <w:rsid w:val="00740EEC"/>
    <w:rsid w:val="00746A25"/>
    <w:rsid w:val="00761175"/>
    <w:rsid w:val="0078011A"/>
    <w:rsid w:val="00782AF4"/>
    <w:rsid w:val="00790EE7"/>
    <w:rsid w:val="007B6649"/>
    <w:rsid w:val="0080782D"/>
    <w:rsid w:val="0081546F"/>
    <w:rsid w:val="0082576E"/>
    <w:rsid w:val="00903162"/>
    <w:rsid w:val="00907F75"/>
    <w:rsid w:val="009260DE"/>
    <w:rsid w:val="0093258A"/>
    <w:rsid w:val="009C7BA3"/>
    <w:rsid w:val="009D1F5A"/>
    <w:rsid w:val="00A3531E"/>
    <w:rsid w:val="00B003BF"/>
    <w:rsid w:val="00B373D7"/>
    <w:rsid w:val="00B825E7"/>
    <w:rsid w:val="00C36276"/>
    <w:rsid w:val="00C42586"/>
    <w:rsid w:val="00C60CCD"/>
    <w:rsid w:val="00C84483"/>
    <w:rsid w:val="00C95551"/>
    <w:rsid w:val="00CB20D7"/>
    <w:rsid w:val="00D020B0"/>
    <w:rsid w:val="00D11748"/>
    <w:rsid w:val="00D366CF"/>
    <w:rsid w:val="00E05AF9"/>
    <w:rsid w:val="00E108AA"/>
    <w:rsid w:val="00E31812"/>
    <w:rsid w:val="00E3749A"/>
    <w:rsid w:val="00E4085D"/>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2CC7B7D"/>
  <w15:chartTrackingRefBased/>
  <w15:docId w15:val="{8A756C33-1A98-4AF3-917D-593C8DA1E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Default">
    <w:name w:val="Default"/>
    <w:rsid w:val="0050403C"/>
    <w:pPr>
      <w:autoSpaceDE w:val="0"/>
      <w:autoSpaceDN w:val="0"/>
      <w:adjustRightInd w:val="0"/>
    </w:pPr>
    <w:rPr>
      <w:color w:val="000000"/>
      <w:sz w:val="24"/>
      <w:szCs w:val="24"/>
      <w:lang w:eastAsia="sl-SI"/>
    </w:rPr>
  </w:style>
  <w:style w:type="character" w:styleId="Hyperlink">
    <w:name w:val="Hyperlink"/>
    <w:uiPriority w:val="99"/>
    <w:unhideWhenUsed/>
    <w:rsid w:val="0050403C"/>
    <w:rPr>
      <w:rFonts w:ascii="Times New Roman" w:hAnsi="Times New Roman" w:cs="Times New Roman" w:hint="default"/>
      <w:color w:val="auto"/>
      <w:sz w:val="24"/>
      <w:szCs w:val="24"/>
      <w:u w:val="single"/>
      <w:lang w:val="da-DK"/>
    </w:rPr>
  </w:style>
  <w:style w:type="paragraph" w:styleId="Listeafsnit">
    <w:name w:val="List Paragraph"/>
    <w:basedOn w:val="Normal"/>
    <w:uiPriority w:val="34"/>
    <w:qFormat/>
    <w:rsid w:val="0050403C"/>
    <w:pPr>
      <w:ind w:left="720"/>
      <w:contextualSpacing/>
    </w:pPr>
  </w:style>
  <w:style w:type="character" w:styleId="Ulstomtale">
    <w:name w:val="Unresolved Mention"/>
    <w:basedOn w:val="Standardskrifttypeiafsnit"/>
    <w:uiPriority w:val="99"/>
    <w:semiHidden/>
    <w:unhideWhenUsed/>
    <w:rsid w:val="00E05AF9"/>
    <w:rPr>
      <w:color w:val="605E5C"/>
      <w:shd w:val="clear" w:color="auto" w:fill="E1DFDD"/>
    </w:rPr>
  </w:style>
  <w:style w:type="paragraph" w:styleId="Fodnotetekst">
    <w:name w:val="footnote text"/>
    <w:basedOn w:val="Normal"/>
    <w:link w:val="FodnotetekstTegn"/>
    <w:uiPriority w:val="99"/>
    <w:semiHidden/>
    <w:unhideWhenUsed/>
    <w:rsid w:val="00903162"/>
    <w:rPr>
      <w:sz w:val="20"/>
    </w:rPr>
  </w:style>
  <w:style w:type="character" w:customStyle="1" w:styleId="FodnotetekstTegn">
    <w:name w:val="Fodnotetekst Tegn"/>
    <w:basedOn w:val="Standardskrifttypeiafsnit"/>
    <w:link w:val="Fodnotetekst"/>
    <w:uiPriority w:val="99"/>
    <w:semiHidden/>
    <w:rsid w:val="00903162"/>
    <w:rPr>
      <w:lang w:eastAsia="en-US"/>
    </w:rPr>
  </w:style>
  <w:style w:type="character" w:styleId="Fodnotehenvisning">
    <w:name w:val="footnote reference"/>
    <w:basedOn w:val="Standardskrifttypeiafsnit"/>
    <w:uiPriority w:val="99"/>
    <w:semiHidden/>
    <w:unhideWhenUsed/>
    <w:rsid w:val="00903162"/>
    <w:rPr>
      <w:vertAlign w:val="superscript"/>
    </w:rPr>
  </w:style>
  <w:style w:type="table" w:styleId="Tabel-Gitter">
    <w:name w:val="Table Grid"/>
    <w:basedOn w:val="Tabel-Normal"/>
    <w:uiPriority w:val="39"/>
    <w:rsid w:val="00903162"/>
    <w:rPr>
      <w:rFonts w:asciiTheme="minorHAnsi" w:eastAsiaTheme="minorHAnsi" w:hAnsiTheme="minorHAnsi" w:cstheme="minorBidi"/>
      <w:sz w:val="22"/>
      <w:szCs w:val="22"/>
      <w:lang w:val="sl-SI"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afstand">
    <w:name w:val="No Spacing"/>
    <w:uiPriority w:val="1"/>
    <w:qFormat/>
    <w:rsid w:val="00903162"/>
    <w:rPr>
      <w:sz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1139038">
      <w:bodyDiv w:val="1"/>
      <w:marLeft w:val="0"/>
      <w:marRight w:val="0"/>
      <w:marTop w:val="0"/>
      <w:marBottom w:val="0"/>
      <w:divBdr>
        <w:top w:val="none" w:sz="0" w:space="0" w:color="auto"/>
        <w:left w:val="none" w:sz="0" w:space="0" w:color="auto"/>
        <w:bottom w:val="none" w:sz="0" w:space="0" w:color="auto"/>
        <w:right w:val="none" w:sz="0" w:space="0" w:color="auto"/>
      </w:divBdr>
    </w:div>
    <w:div w:id="1823817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occ.no/atc_ddd_index/?code=H02AB"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recoverytrial.net"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5671</Words>
  <Characters>38777</Characters>
  <Application>Microsoft Office Word</Application>
  <DocSecurity>0</DocSecurity>
  <Lines>323</Lines>
  <Paragraphs>88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Victoria Alexandra Ringgaard</dc:creator>
  <cp:keywords/>
  <dc:description>2024034195_x000d_
Overskrifter iht. QRD_x000d_
Ændring af PI-SPC - de ændringer der skulle foretages, var allerede foretaget i pkt. 4.4, 4.8 og 5.1</dc:description>
  <cp:lastModifiedBy>Camilla Sværke Hansen</cp:lastModifiedBy>
  <cp:revision>3</cp:revision>
  <cp:lastPrinted>2012-08-22T08:53:00Z</cp:lastPrinted>
  <dcterms:created xsi:type="dcterms:W3CDTF">2025-03-14T14:15:00Z</dcterms:created>
  <dcterms:modified xsi:type="dcterms:W3CDTF">2025-03-14T14:17:00Z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