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6C40" w14:textId="1D08DA42"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5A4A1D8" wp14:editId="47E1C48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1F34485" w14:textId="5DDCA2C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741A9">
        <w:rPr>
          <w:szCs w:val="24"/>
        </w:rPr>
        <w:t>20</w:t>
      </w:r>
      <w:r w:rsidR="00016F69">
        <w:rPr>
          <w:szCs w:val="24"/>
        </w:rPr>
        <w:t xml:space="preserve">. </w:t>
      </w:r>
      <w:r w:rsidR="001741A9">
        <w:rPr>
          <w:szCs w:val="24"/>
        </w:rPr>
        <w:t>n</w:t>
      </w:r>
      <w:r w:rsidR="008D3060">
        <w:rPr>
          <w:szCs w:val="24"/>
        </w:rPr>
        <w:t>o</w:t>
      </w:r>
      <w:r w:rsidR="001741A9">
        <w:rPr>
          <w:szCs w:val="24"/>
        </w:rPr>
        <w:t>vember</w:t>
      </w:r>
      <w:r w:rsidR="00016F69">
        <w:rPr>
          <w:szCs w:val="24"/>
        </w:rPr>
        <w:t xml:space="preserve"> 202</w:t>
      </w:r>
      <w:r w:rsidR="001741A9">
        <w:rPr>
          <w:szCs w:val="24"/>
        </w:rPr>
        <w:t>3</w:t>
      </w:r>
    </w:p>
    <w:p w14:paraId="3C986E5F" w14:textId="77777777" w:rsidR="009260DE" w:rsidRPr="00C84483" w:rsidRDefault="009260DE" w:rsidP="009260DE">
      <w:pPr>
        <w:pStyle w:val="Titel"/>
        <w:tabs>
          <w:tab w:val="left" w:pos="8222"/>
        </w:tabs>
        <w:jc w:val="left"/>
        <w:rPr>
          <w:b w:val="0"/>
          <w:szCs w:val="24"/>
        </w:rPr>
      </w:pPr>
    </w:p>
    <w:p w14:paraId="3ECEF400" w14:textId="77777777" w:rsidR="009260DE" w:rsidRPr="00C84483" w:rsidRDefault="009260DE" w:rsidP="009260DE">
      <w:pPr>
        <w:pStyle w:val="Titel"/>
        <w:jc w:val="left"/>
        <w:rPr>
          <w:b w:val="0"/>
          <w:szCs w:val="24"/>
        </w:rPr>
      </w:pPr>
    </w:p>
    <w:p w14:paraId="24737466" w14:textId="77777777" w:rsidR="009260DE" w:rsidRPr="00C84483" w:rsidRDefault="009260DE" w:rsidP="009260DE">
      <w:pPr>
        <w:pStyle w:val="Titel"/>
        <w:jc w:val="left"/>
        <w:rPr>
          <w:b w:val="0"/>
          <w:szCs w:val="24"/>
        </w:rPr>
      </w:pPr>
    </w:p>
    <w:p w14:paraId="7C454312" w14:textId="77777777" w:rsidR="009260DE" w:rsidRPr="00C84483" w:rsidRDefault="009260DE" w:rsidP="009260DE">
      <w:pPr>
        <w:jc w:val="center"/>
        <w:rPr>
          <w:b/>
          <w:sz w:val="24"/>
          <w:szCs w:val="24"/>
        </w:rPr>
      </w:pPr>
      <w:r w:rsidRPr="00C84483">
        <w:rPr>
          <w:b/>
          <w:sz w:val="24"/>
          <w:szCs w:val="24"/>
        </w:rPr>
        <w:t>PRODUKTRESUMÉ</w:t>
      </w:r>
    </w:p>
    <w:p w14:paraId="082AF776" w14:textId="77777777" w:rsidR="009260DE" w:rsidRPr="00C84483" w:rsidRDefault="009260DE" w:rsidP="009260DE">
      <w:pPr>
        <w:jc w:val="center"/>
        <w:rPr>
          <w:b/>
          <w:sz w:val="24"/>
          <w:szCs w:val="24"/>
        </w:rPr>
      </w:pPr>
    </w:p>
    <w:p w14:paraId="73642F53" w14:textId="77777777" w:rsidR="009260DE" w:rsidRDefault="009260DE" w:rsidP="009260DE">
      <w:pPr>
        <w:jc w:val="center"/>
        <w:rPr>
          <w:b/>
          <w:sz w:val="24"/>
          <w:szCs w:val="24"/>
        </w:rPr>
      </w:pPr>
      <w:r w:rsidRPr="00C84483">
        <w:rPr>
          <w:b/>
          <w:sz w:val="24"/>
          <w:szCs w:val="24"/>
        </w:rPr>
        <w:t>for</w:t>
      </w:r>
    </w:p>
    <w:p w14:paraId="65786B9A" w14:textId="77777777" w:rsidR="000B058C" w:rsidRPr="00C84483" w:rsidRDefault="000B058C" w:rsidP="009260DE">
      <w:pPr>
        <w:jc w:val="center"/>
        <w:rPr>
          <w:b/>
          <w:sz w:val="24"/>
          <w:szCs w:val="24"/>
        </w:rPr>
      </w:pPr>
    </w:p>
    <w:p w14:paraId="57C4D4E0" w14:textId="018AF764" w:rsidR="009260DE" w:rsidRPr="00C84483" w:rsidRDefault="008D407E" w:rsidP="009260DE">
      <w:pPr>
        <w:jc w:val="center"/>
        <w:rPr>
          <w:b/>
          <w:sz w:val="24"/>
          <w:szCs w:val="24"/>
        </w:rPr>
      </w:pPr>
      <w:proofErr w:type="spellStart"/>
      <w:r>
        <w:rPr>
          <w:b/>
          <w:sz w:val="24"/>
          <w:szCs w:val="24"/>
        </w:rPr>
        <w:t>Dexamethason</w:t>
      </w:r>
      <w:proofErr w:type="spellEnd"/>
      <w:r>
        <w:rPr>
          <w:b/>
          <w:sz w:val="24"/>
          <w:szCs w:val="24"/>
        </w:rPr>
        <w:t xml:space="preserve"> "</w:t>
      </w:r>
      <w:proofErr w:type="spellStart"/>
      <w:r>
        <w:rPr>
          <w:b/>
          <w:sz w:val="24"/>
          <w:szCs w:val="24"/>
        </w:rPr>
        <w:t>Krka</w:t>
      </w:r>
      <w:proofErr w:type="spellEnd"/>
      <w:r>
        <w:rPr>
          <w:b/>
          <w:sz w:val="24"/>
          <w:szCs w:val="24"/>
        </w:rPr>
        <w:t>", injektions-/infusionsvæske, opløsning</w:t>
      </w:r>
    </w:p>
    <w:p w14:paraId="35277EBA" w14:textId="77777777" w:rsidR="009260DE" w:rsidRPr="00C84483" w:rsidRDefault="009260DE" w:rsidP="009260DE">
      <w:pPr>
        <w:jc w:val="both"/>
        <w:rPr>
          <w:sz w:val="24"/>
          <w:szCs w:val="24"/>
        </w:rPr>
      </w:pPr>
    </w:p>
    <w:p w14:paraId="473567E2" w14:textId="77777777" w:rsidR="009260DE" w:rsidRPr="00057786" w:rsidRDefault="009260DE" w:rsidP="009260DE">
      <w:pPr>
        <w:jc w:val="both"/>
        <w:rPr>
          <w:sz w:val="24"/>
          <w:szCs w:val="24"/>
        </w:rPr>
      </w:pPr>
    </w:p>
    <w:p w14:paraId="66DF196C" w14:textId="77777777" w:rsidR="009260DE" w:rsidRPr="00057786" w:rsidRDefault="009260DE" w:rsidP="009260DE">
      <w:pPr>
        <w:tabs>
          <w:tab w:val="left" w:pos="851"/>
        </w:tabs>
        <w:ind w:left="851" w:hanging="851"/>
        <w:rPr>
          <w:b/>
          <w:sz w:val="24"/>
          <w:szCs w:val="24"/>
        </w:rPr>
      </w:pPr>
      <w:r w:rsidRPr="00057786">
        <w:rPr>
          <w:b/>
          <w:sz w:val="24"/>
          <w:szCs w:val="24"/>
        </w:rPr>
        <w:t>0.</w:t>
      </w:r>
      <w:r w:rsidRPr="00057786">
        <w:rPr>
          <w:b/>
          <w:sz w:val="24"/>
          <w:szCs w:val="24"/>
        </w:rPr>
        <w:tab/>
        <w:t>D.SP.NR.</w:t>
      </w:r>
    </w:p>
    <w:p w14:paraId="17DF39A6" w14:textId="6F92C4CD" w:rsidR="009260DE" w:rsidRPr="00057786" w:rsidRDefault="00C7467B" w:rsidP="009260DE">
      <w:pPr>
        <w:tabs>
          <w:tab w:val="left" w:pos="851"/>
        </w:tabs>
        <w:ind w:left="851"/>
        <w:rPr>
          <w:sz w:val="24"/>
          <w:szCs w:val="24"/>
        </w:rPr>
      </w:pPr>
      <w:r w:rsidRPr="00057786">
        <w:rPr>
          <w:sz w:val="24"/>
          <w:szCs w:val="24"/>
        </w:rPr>
        <w:t>31254</w:t>
      </w:r>
    </w:p>
    <w:p w14:paraId="69B360FB" w14:textId="77777777" w:rsidR="009260DE" w:rsidRPr="00057786" w:rsidRDefault="009260DE" w:rsidP="009260DE">
      <w:pPr>
        <w:tabs>
          <w:tab w:val="left" w:pos="851"/>
        </w:tabs>
        <w:ind w:left="851"/>
        <w:rPr>
          <w:sz w:val="24"/>
          <w:szCs w:val="24"/>
        </w:rPr>
      </w:pPr>
    </w:p>
    <w:p w14:paraId="219C688F" w14:textId="77777777" w:rsidR="009260DE" w:rsidRPr="00057786" w:rsidRDefault="009260DE" w:rsidP="009260DE">
      <w:pPr>
        <w:tabs>
          <w:tab w:val="left" w:pos="851"/>
        </w:tabs>
        <w:ind w:left="851" w:hanging="851"/>
        <w:rPr>
          <w:b/>
          <w:sz w:val="24"/>
          <w:szCs w:val="24"/>
        </w:rPr>
      </w:pPr>
      <w:r w:rsidRPr="00057786">
        <w:rPr>
          <w:b/>
          <w:sz w:val="24"/>
          <w:szCs w:val="24"/>
        </w:rPr>
        <w:t>1.</w:t>
      </w:r>
      <w:r w:rsidRPr="00057786">
        <w:rPr>
          <w:b/>
          <w:sz w:val="24"/>
          <w:szCs w:val="24"/>
        </w:rPr>
        <w:tab/>
        <w:t>LÆGEMIDLETS NAVN</w:t>
      </w:r>
    </w:p>
    <w:p w14:paraId="0863F498" w14:textId="1A31470A" w:rsidR="009260DE" w:rsidRPr="00057786" w:rsidRDefault="00C7467B" w:rsidP="009260DE">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w:t>
      </w:r>
    </w:p>
    <w:p w14:paraId="7DAB18FF" w14:textId="77777777" w:rsidR="009260DE" w:rsidRPr="00057786" w:rsidRDefault="009260DE" w:rsidP="009260DE">
      <w:pPr>
        <w:tabs>
          <w:tab w:val="left" w:pos="851"/>
        </w:tabs>
        <w:ind w:left="851"/>
        <w:rPr>
          <w:sz w:val="24"/>
          <w:szCs w:val="24"/>
        </w:rPr>
      </w:pPr>
    </w:p>
    <w:p w14:paraId="27EAEE2B" w14:textId="77777777" w:rsidR="009260DE" w:rsidRPr="00057786" w:rsidRDefault="009260DE" w:rsidP="009260DE">
      <w:pPr>
        <w:tabs>
          <w:tab w:val="left" w:pos="851"/>
        </w:tabs>
        <w:ind w:left="851" w:hanging="851"/>
        <w:rPr>
          <w:b/>
          <w:sz w:val="24"/>
          <w:szCs w:val="24"/>
        </w:rPr>
      </w:pPr>
      <w:r w:rsidRPr="00057786">
        <w:rPr>
          <w:b/>
          <w:sz w:val="24"/>
          <w:szCs w:val="24"/>
        </w:rPr>
        <w:t>2.</w:t>
      </w:r>
      <w:r w:rsidRPr="00057786">
        <w:rPr>
          <w:b/>
          <w:sz w:val="24"/>
          <w:szCs w:val="24"/>
        </w:rPr>
        <w:tab/>
        <w:t>KVALITATIV OG KVANTITATIV SAMMENSÆTNING</w:t>
      </w:r>
    </w:p>
    <w:p w14:paraId="7987769C" w14:textId="0FD948F7" w:rsidR="00583679" w:rsidRPr="00EA4DE4" w:rsidRDefault="009D3539" w:rsidP="00583679">
      <w:pPr>
        <w:tabs>
          <w:tab w:val="left" w:pos="851"/>
        </w:tabs>
        <w:ind w:left="851"/>
        <w:rPr>
          <w:sz w:val="24"/>
          <w:szCs w:val="24"/>
          <w:lang w:eastAsia="da-DK"/>
        </w:rPr>
      </w:pPr>
      <w:r w:rsidRPr="00EA4DE4">
        <w:rPr>
          <w:sz w:val="24"/>
          <w:szCs w:val="24"/>
        </w:rPr>
        <w:t xml:space="preserve">Hver </w:t>
      </w:r>
      <w:r w:rsidR="00583679" w:rsidRPr="00EA4DE4">
        <w:rPr>
          <w:sz w:val="24"/>
          <w:szCs w:val="24"/>
        </w:rPr>
        <w:t xml:space="preserve">ampul a 1 ml indeholder 4 mg </w:t>
      </w:r>
      <w:proofErr w:type="spellStart"/>
      <w:r w:rsidR="00583679" w:rsidRPr="00EA4DE4">
        <w:rPr>
          <w:sz w:val="24"/>
          <w:szCs w:val="24"/>
        </w:rPr>
        <w:t>dexamethasonphosphat</w:t>
      </w:r>
      <w:proofErr w:type="spellEnd"/>
      <w:r w:rsidR="00583679" w:rsidRPr="00EA4DE4">
        <w:rPr>
          <w:sz w:val="24"/>
          <w:szCs w:val="24"/>
        </w:rPr>
        <w:t xml:space="preserve"> (som </w:t>
      </w:r>
      <w:proofErr w:type="spellStart"/>
      <w:r w:rsidR="00583679" w:rsidRPr="00EA4DE4">
        <w:rPr>
          <w:sz w:val="24"/>
          <w:szCs w:val="24"/>
        </w:rPr>
        <w:t>dexamethasonnatrium</w:t>
      </w:r>
      <w:r w:rsidR="00583679" w:rsidRPr="00EA4DE4">
        <w:rPr>
          <w:sz w:val="24"/>
          <w:szCs w:val="24"/>
        </w:rPr>
        <w:softHyphen/>
        <w:t>phosphat</w:t>
      </w:r>
      <w:proofErr w:type="spellEnd"/>
      <w:r w:rsidR="00583679" w:rsidRPr="00EA4DE4">
        <w:rPr>
          <w:sz w:val="24"/>
          <w:szCs w:val="24"/>
        </w:rPr>
        <w:t>).</w:t>
      </w:r>
    </w:p>
    <w:p w14:paraId="5CDE4ADC" w14:textId="1FE0E9FE" w:rsidR="00583679" w:rsidRPr="00EA4DE4" w:rsidRDefault="00EA4DE4" w:rsidP="00583679">
      <w:pPr>
        <w:tabs>
          <w:tab w:val="left" w:pos="851"/>
        </w:tabs>
        <w:ind w:left="851"/>
        <w:rPr>
          <w:sz w:val="24"/>
          <w:szCs w:val="24"/>
        </w:rPr>
      </w:pPr>
      <w:r w:rsidRPr="00EA4DE4">
        <w:rPr>
          <w:sz w:val="24"/>
          <w:szCs w:val="24"/>
        </w:rPr>
        <w:t>Hv</w:t>
      </w:r>
      <w:r>
        <w:rPr>
          <w:sz w:val="24"/>
          <w:szCs w:val="24"/>
        </w:rPr>
        <w:t>er</w:t>
      </w:r>
      <w:r w:rsidR="00583679" w:rsidRPr="00EA4DE4">
        <w:rPr>
          <w:sz w:val="24"/>
          <w:szCs w:val="24"/>
        </w:rPr>
        <w:t xml:space="preserve"> ampul a 2 ml indeholder 8 mg </w:t>
      </w:r>
      <w:proofErr w:type="spellStart"/>
      <w:r w:rsidR="00583679" w:rsidRPr="00EA4DE4">
        <w:rPr>
          <w:sz w:val="24"/>
          <w:szCs w:val="24"/>
        </w:rPr>
        <w:t>dexamethasonphosphat</w:t>
      </w:r>
      <w:proofErr w:type="spellEnd"/>
      <w:r w:rsidR="00583679" w:rsidRPr="00EA4DE4">
        <w:rPr>
          <w:sz w:val="24"/>
          <w:szCs w:val="24"/>
        </w:rPr>
        <w:t xml:space="preserve"> (som </w:t>
      </w:r>
      <w:proofErr w:type="spellStart"/>
      <w:r w:rsidR="00583679" w:rsidRPr="00EA4DE4">
        <w:rPr>
          <w:sz w:val="24"/>
          <w:szCs w:val="24"/>
        </w:rPr>
        <w:t>dexamethasonnatrium</w:t>
      </w:r>
      <w:r w:rsidR="00583679" w:rsidRPr="00EA4DE4">
        <w:rPr>
          <w:sz w:val="24"/>
          <w:szCs w:val="24"/>
        </w:rPr>
        <w:softHyphen/>
        <w:t>phosphat</w:t>
      </w:r>
      <w:proofErr w:type="spellEnd"/>
      <w:r w:rsidR="00583679" w:rsidRPr="00EA4DE4">
        <w:rPr>
          <w:sz w:val="24"/>
          <w:szCs w:val="24"/>
        </w:rPr>
        <w:t>).</w:t>
      </w:r>
    </w:p>
    <w:p w14:paraId="56EAD46E" w14:textId="77777777" w:rsidR="00583679" w:rsidRPr="00EA4DE4" w:rsidRDefault="00583679" w:rsidP="00583679">
      <w:pPr>
        <w:tabs>
          <w:tab w:val="left" w:pos="851"/>
        </w:tabs>
        <w:ind w:left="851"/>
        <w:rPr>
          <w:sz w:val="24"/>
          <w:szCs w:val="24"/>
        </w:rPr>
      </w:pPr>
    </w:p>
    <w:p w14:paraId="09E45921" w14:textId="77777777" w:rsidR="00583679" w:rsidRPr="00057786" w:rsidRDefault="00583679" w:rsidP="00583679">
      <w:pPr>
        <w:tabs>
          <w:tab w:val="left" w:pos="851"/>
        </w:tabs>
        <w:ind w:left="851"/>
        <w:rPr>
          <w:sz w:val="24"/>
          <w:szCs w:val="24"/>
          <w:u w:val="single"/>
        </w:rPr>
      </w:pPr>
      <w:r w:rsidRPr="00057786">
        <w:rPr>
          <w:sz w:val="24"/>
          <w:szCs w:val="24"/>
          <w:u w:val="single"/>
        </w:rPr>
        <w:t>Hjælpestof(fer), som behandleren skal være opmærksom på</w:t>
      </w:r>
    </w:p>
    <w:p w14:paraId="183C0050" w14:textId="0A703D86" w:rsidR="00583679" w:rsidRPr="00057786" w:rsidRDefault="00EA4DE4" w:rsidP="00583679">
      <w:pPr>
        <w:tabs>
          <w:tab w:val="left" w:pos="851"/>
        </w:tabs>
        <w:ind w:left="851"/>
        <w:rPr>
          <w:sz w:val="24"/>
          <w:szCs w:val="24"/>
        </w:rPr>
      </w:pPr>
      <w:r>
        <w:rPr>
          <w:sz w:val="24"/>
          <w:szCs w:val="24"/>
        </w:rPr>
        <w:t xml:space="preserve">Hver </w:t>
      </w:r>
      <w:r w:rsidR="00583679" w:rsidRPr="00057786">
        <w:rPr>
          <w:sz w:val="24"/>
          <w:szCs w:val="24"/>
        </w:rPr>
        <w:t>ampul a 1 ml indeholder cirka 3 mg natrium.</w:t>
      </w:r>
    </w:p>
    <w:p w14:paraId="50E4AED0" w14:textId="76D7A5D4" w:rsidR="00583679" w:rsidRPr="00057786" w:rsidRDefault="00EA4DE4" w:rsidP="00583679">
      <w:pPr>
        <w:tabs>
          <w:tab w:val="left" w:pos="851"/>
        </w:tabs>
        <w:ind w:left="851"/>
        <w:rPr>
          <w:sz w:val="24"/>
          <w:szCs w:val="24"/>
        </w:rPr>
      </w:pPr>
      <w:r>
        <w:rPr>
          <w:sz w:val="24"/>
          <w:szCs w:val="24"/>
        </w:rPr>
        <w:t>Hver</w:t>
      </w:r>
      <w:r w:rsidR="00583679" w:rsidRPr="00057786">
        <w:rPr>
          <w:sz w:val="24"/>
          <w:szCs w:val="24"/>
        </w:rPr>
        <w:t> ampul a 2 ml indeholder cirka 6 mg natrium.</w:t>
      </w:r>
    </w:p>
    <w:p w14:paraId="701352C7" w14:textId="77777777" w:rsidR="00583679" w:rsidRPr="00057786" w:rsidRDefault="00583679" w:rsidP="00583679">
      <w:pPr>
        <w:tabs>
          <w:tab w:val="left" w:pos="851"/>
        </w:tabs>
        <w:ind w:left="851"/>
        <w:rPr>
          <w:sz w:val="24"/>
          <w:szCs w:val="24"/>
        </w:rPr>
      </w:pPr>
    </w:p>
    <w:p w14:paraId="305B87BE" w14:textId="77777777" w:rsidR="00583679" w:rsidRPr="00057786" w:rsidRDefault="00583679" w:rsidP="00583679">
      <w:pPr>
        <w:tabs>
          <w:tab w:val="left" w:pos="851"/>
        </w:tabs>
        <w:ind w:left="851"/>
        <w:rPr>
          <w:sz w:val="24"/>
          <w:szCs w:val="24"/>
        </w:rPr>
      </w:pPr>
      <w:r w:rsidRPr="00057786">
        <w:rPr>
          <w:sz w:val="24"/>
          <w:szCs w:val="24"/>
        </w:rPr>
        <w:t>Alle hjælpestoffer er anført under pkt. 6.1.</w:t>
      </w:r>
    </w:p>
    <w:p w14:paraId="2493D569" w14:textId="77777777" w:rsidR="009260DE" w:rsidRPr="00057786" w:rsidRDefault="009260DE" w:rsidP="009260DE">
      <w:pPr>
        <w:tabs>
          <w:tab w:val="left" w:pos="851"/>
        </w:tabs>
        <w:ind w:left="851"/>
        <w:rPr>
          <w:sz w:val="24"/>
          <w:szCs w:val="24"/>
        </w:rPr>
      </w:pPr>
    </w:p>
    <w:p w14:paraId="566EDFE8" w14:textId="77777777" w:rsidR="009260DE" w:rsidRPr="00057786" w:rsidRDefault="009260DE" w:rsidP="009260DE">
      <w:pPr>
        <w:tabs>
          <w:tab w:val="left" w:pos="851"/>
        </w:tabs>
        <w:ind w:left="851" w:hanging="851"/>
        <w:rPr>
          <w:b/>
          <w:sz w:val="24"/>
          <w:szCs w:val="24"/>
        </w:rPr>
      </w:pPr>
      <w:r w:rsidRPr="00057786">
        <w:rPr>
          <w:b/>
          <w:sz w:val="24"/>
          <w:szCs w:val="24"/>
        </w:rPr>
        <w:t>3.</w:t>
      </w:r>
      <w:r w:rsidRPr="00057786">
        <w:rPr>
          <w:b/>
          <w:sz w:val="24"/>
          <w:szCs w:val="24"/>
        </w:rPr>
        <w:tab/>
        <w:t>LÆGEMIDDELFORM</w:t>
      </w:r>
    </w:p>
    <w:p w14:paraId="3953522D" w14:textId="767D9B86" w:rsidR="00583679" w:rsidRPr="00057786" w:rsidRDefault="00583679" w:rsidP="00583679">
      <w:pPr>
        <w:tabs>
          <w:tab w:val="left" w:pos="851"/>
        </w:tabs>
        <w:ind w:left="851"/>
        <w:rPr>
          <w:sz w:val="24"/>
          <w:szCs w:val="24"/>
          <w:lang w:eastAsia="da-DK"/>
        </w:rPr>
      </w:pPr>
      <w:r w:rsidRPr="00057786">
        <w:rPr>
          <w:sz w:val="24"/>
          <w:szCs w:val="24"/>
        </w:rPr>
        <w:t>Injektions-/infusionsvæske, opløsning (injektion</w:t>
      </w:r>
      <w:r w:rsidR="00EA4DE4">
        <w:rPr>
          <w:sz w:val="24"/>
          <w:szCs w:val="24"/>
        </w:rPr>
        <w:t>s-</w:t>
      </w:r>
      <w:r w:rsidRPr="00057786">
        <w:rPr>
          <w:sz w:val="24"/>
          <w:szCs w:val="24"/>
        </w:rPr>
        <w:t>/infusion</w:t>
      </w:r>
      <w:r w:rsidR="00EA4DE4">
        <w:rPr>
          <w:sz w:val="24"/>
          <w:szCs w:val="24"/>
        </w:rPr>
        <w:t>svæske</w:t>
      </w:r>
      <w:r w:rsidRPr="00057786">
        <w:rPr>
          <w:sz w:val="24"/>
          <w:szCs w:val="24"/>
        </w:rPr>
        <w:t>)</w:t>
      </w:r>
    </w:p>
    <w:p w14:paraId="4C8463FC" w14:textId="77777777" w:rsidR="00583679" w:rsidRPr="00057786" w:rsidRDefault="00583679" w:rsidP="00583679">
      <w:pPr>
        <w:tabs>
          <w:tab w:val="left" w:pos="851"/>
        </w:tabs>
        <w:ind w:left="851"/>
        <w:rPr>
          <w:sz w:val="24"/>
          <w:szCs w:val="24"/>
        </w:rPr>
      </w:pPr>
    </w:p>
    <w:p w14:paraId="0DFC9A02" w14:textId="77777777" w:rsidR="00583679" w:rsidRPr="00057786" w:rsidRDefault="00583679" w:rsidP="00583679">
      <w:pPr>
        <w:tabs>
          <w:tab w:val="left" w:pos="851"/>
        </w:tabs>
        <w:ind w:left="851"/>
        <w:rPr>
          <w:sz w:val="24"/>
          <w:szCs w:val="24"/>
        </w:rPr>
      </w:pPr>
      <w:r w:rsidRPr="00057786">
        <w:rPr>
          <w:sz w:val="24"/>
          <w:szCs w:val="24"/>
        </w:rPr>
        <w:t>Injektions-/infusionsvæsken, opløsning, er en klar, farveløs til lysegul opløsning, praktisk taget fri for partikler.</w:t>
      </w:r>
    </w:p>
    <w:p w14:paraId="24991E69" w14:textId="77777777" w:rsidR="009260DE" w:rsidRPr="00057786" w:rsidRDefault="009260DE" w:rsidP="009260DE">
      <w:pPr>
        <w:tabs>
          <w:tab w:val="left" w:pos="851"/>
        </w:tabs>
        <w:ind w:left="851"/>
        <w:rPr>
          <w:sz w:val="24"/>
          <w:szCs w:val="24"/>
        </w:rPr>
      </w:pPr>
    </w:p>
    <w:p w14:paraId="21307026" w14:textId="77777777" w:rsidR="009260DE" w:rsidRPr="00057786" w:rsidRDefault="009260DE" w:rsidP="009260DE">
      <w:pPr>
        <w:tabs>
          <w:tab w:val="left" w:pos="851"/>
        </w:tabs>
        <w:ind w:left="851"/>
        <w:rPr>
          <w:sz w:val="24"/>
          <w:szCs w:val="24"/>
        </w:rPr>
      </w:pPr>
    </w:p>
    <w:p w14:paraId="5A4B18A7" w14:textId="77777777" w:rsidR="009260DE" w:rsidRPr="00057786" w:rsidRDefault="009260DE" w:rsidP="009260DE">
      <w:pPr>
        <w:tabs>
          <w:tab w:val="left" w:pos="851"/>
        </w:tabs>
        <w:ind w:left="851" w:hanging="851"/>
        <w:rPr>
          <w:b/>
          <w:sz w:val="24"/>
          <w:szCs w:val="24"/>
        </w:rPr>
      </w:pPr>
      <w:r w:rsidRPr="00057786">
        <w:rPr>
          <w:b/>
          <w:sz w:val="24"/>
          <w:szCs w:val="24"/>
        </w:rPr>
        <w:t>4.</w:t>
      </w:r>
      <w:r w:rsidRPr="00057786">
        <w:rPr>
          <w:b/>
          <w:sz w:val="24"/>
          <w:szCs w:val="24"/>
        </w:rPr>
        <w:tab/>
        <w:t>KLINISKE OPLYSNINGER</w:t>
      </w:r>
    </w:p>
    <w:p w14:paraId="0DFD9703" w14:textId="77777777" w:rsidR="009260DE" w:rsidRPr="00057786" w:rsidRDefault="009260DE" w:rsidP="009260DE">
      <w:pPr>
        <w:tabs>
          <w:tab w:val="left" w:pos="851"/>
        </w:tabs>
        <w:ind w:left="851"/>
        <w:rPr>
          <w:b/>
          <w:sz w:val="24"/>
          <w:szCs w:val="24"/>
        </w:rPr>
      </w:pPr>
    </w:p>
    <w:p w14:paraId="5497077C" w14:textId="77777777" w:rsidR="009260DE" w:rsidRPr="00057786" w:rsidRDefault="009260DE" w:rsidP="009260DE">
      <w:pPr>
        <w:tabs>
          <w:tab w:val="left" w:pos="851"/>
        </w:tabs>
        <w:ind w:left="851" w:hanging="851"/>
        <w:rPr>
          <w:b/>
          <w:sz w:val="24"/>
          <w:szCs w:val="24"/>
          <w:u w:val="single"/>
        </w:rPr>
      </w:pPr>
      <w:r w:rsidRPr="00057786">
        <w:rPr>
          <w:b/>
          <w:sz w:val="24"/>
          <w:szCs w:val="24"/>
        </w:rPr>
        <w:t>4.1</w:t>
      </w:r>
      <w:r w:rsidRPr="00057786">
        <w:rPr>
          <w:b/>
          <w:sz w:val="24"/>
          <w:szCs w:val="24"/>
        </w:rPr>
        <w:tab/>
        <w:t>Terapeutiske indikationer</w:t>
      </w:r>
    </w:p>
    <w:p w14:paraId="76DEE656" w14:textId="77777777" w:rsidR="00583679" w:rsidRPr="00057786" w:rsidRDefault="00583679" w:rsidP="00583679">
      <w:pPr>
        <w:ind w:left="851" w:hanging="851"/>
        <w:rPr>
          <w:sz w:val="24"/>
          <w:szCs w:val="24"/>
          <w:lang w:eastAsia="da-DK"/>
        </w:rPr>
      </w:pPr>
    </w:p>
    <w:p w14:paraId="60376741" w14:textId="77777777" w:rsidR="00583679" w:rsidRPr="00057786" w:rsidRDefault="00583679" w:rsidP="00583679">
      <w:pPr>
        <w:tabs>
          <w:tab w:val="left" w:pos="851"/>
        </w:tabs>
        <w:ind w:left="851"/>
        <w:rPr>
          <w:b/>
          <w:sz w:val="24"/>
          <w:szCs w:val="24"/>
          <w:u w:val="single"/>
          <w:lang w:val="sl-SI"/>
        </w:rPr>
      </w:pPr>
      <w:r w:rsidRPr="00057786">
        <w:rPr>
          <w:b/>
          <w:sz w:val="24"/>
          <w:szCs w:val="24"/>
        </w:rPr>
        <w:t>Systemisk administration:</w:t>
      </w:r>
    </w:p>
    <w:p w14:paraId="488105C0" w14:textId="77777777" w:rsidR="00583679" w:rsidRPr="00A651D7" w:rsidRDefault="00583679" w:rsidP="00583679">
      <w:pPr>
        <w:numPr>
          <w:ilvl w:val="0"/>
          <w:numId w:val="6"/>
        </w:numPr>
        <w:tabs>
          <w:tab w:val="left" w:pos="851"/>
        </w:tabs>
        <w:ind w:left="1276" w:hanging="425"/>
        <w:rPr>
          <w:sz w:val="24"/>
          <w:szCs w:val="24"/>
          <w:lang w:val="sl-SI"/>
        </w:rPr>
      </w:pPr>
      <w:r w:rsidRPr="00A651D7">
        <w:rPr>
          <w:sz w:val="24"/>
          <w:szCs w:val="24"/>
          <w:lang w:val="sl-SI"/>
        </w:rPr>
        <w:t>cerebralt ødem forbundet med cerebral tumor, neurokirurgiske indgreb, hjerneabsces, bakteriel meningitis (f.eks. tuberkulose, tyfus, brucellose)</w:t>
      </w:r>
    </w:p>
    <w:p w14:paraId="18C66820"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polytraumatisk </w:t>
      </w:r>
      <w:proofErr w:type="spellStart"/>
      <w:r w:rsidRPr="00057786">
        <w:rPr>
          <w:sz w:val="24"/>
          <w:szCs w:val="24"/>
        </w:rPr>
        <w:t>shock</w:t>
      </w:r>
      <w:proofErr w:type="spellEnd"/>
      <w:r w:rsidRPr="00057786">
        <w:rPr>
          <w:sz w:val="24"/>
          <w:szCs w:val="24"/>
        </w:rPr>
        <w:t xml:space="preserve">/forebyggelse af posttraumatisk </w:t>
      </w:r>
      <w:proofErr w:type="spellStart"/>
      <w:r w:rsidRPr="00057786">
        <w:rPr>
          <w:sz w:val="24"/>
          <w:szCs w:val="24"/>
        </w:rPr>
        <w:t>shocklunge</w:t>
      </w:r>
      <w:proofErr w:type="spellEnd"/>
      <w:r w:rsidRPr="00057786">
        <w:rPr>
          <w:sz w:val="24"/>
          <w:szCs w:val="24"/>
        </w:rPr>
        <w:t>-syndrom</w:t>
      </w:r>
    </w:p>
    <w:p w14:paraId="0E955125"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alvorligt, akut astmaanfald</w:t>
      </w:r>
    </w:p>
    <w:p w14:paraId="1156B0CA"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lastRenderedPageBreak/>
        <w:t xml:space="preserve">indledende parenteral behandling af omfattende, akutte, alvorlige hudsygdomme såsom </w:t>
      </w:r>
      <w:proofErr w:type="spellStart"/>
      <w:r w:rsidRPr="00057786">
        <w:rPr>
          <w:sz w:val="24"/>
          <w:szCs w:val="24"/>
        </w:rPr>
        <w:t>erytrodermi</w:t>
      </w:r>
      <w:proofErr w:type="spellEnd"/>
      <w:r w:rsidRPr="00057786">
        <w:rPr>
          <w:sz w:val="24"/>
          <w:szCs w:val="24"/>
        </w:rPr>
        <w:t xml:space="preserve">, </w:t>
      </w:r>
      <w:proofErr w:type="spellStart"/>
      <w:r w:rsidRPr="00057786">
        <w:rPr>
          <w:sz w:val="24"/>
          <w:szCs w:val="24"/>
        </w:rPr>
        <w:t>pemphigus</w:t>
      </w:r>
      <w:proofErr w:type="spellEnd"/>
      <w:r w:rsidRPr="00057786">
        <w:rPr>
          <w:sz w:val="24"/>
          <w:szCs w:val="24"/>
        </w:rPr>
        <w:t xml:space="preserve"> </w:t>
      </w:r>
      <w:proofErr w:type="spellStart"/>
      <w:r w:rsidRPr="00057786">
        <w:rPr>
          <w:sz w:val="24"/>
          <w:szCs w:val="24"/>
        </w:rPr>
        <w:t>vulgaris</w:t>
      </w:r>
      <w:proofErr w:type="spellEnd"/>
      <w:r w:rsidRPr="00057786">
        <w:rPr>
          <w:sz w:val="24"/>
          <w:szCs w:val="24"/>
        </w:rPr>
        <w:t>, akut eksem</w:t>
      </w:r>
    </w:p>
    <w:p w14:paraId="45C8FFA3"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indledende parenteral behandling af autoimmune sygdomme såsom systemisk lupus </w:t>
      </w:r>
      <w:proofErr w:type="spellStart"/>
      <w:r w:rsidRPr="00057786">
        <w:rPr>
          <w:sz w:val="24"/>
          <w:szCs w:val="24"/>
        </w:rPr>
        <w:t>erythematosus</w:t>
      </w:r>
      <w:proofErr w:type="spellEnd"/>
      <w:r w:rsidRPr="00057786">
        <w:rPr>
          <w:sz w:val="24"/>
          <w:szCs w:val="24"/>
        </w:rPr>
        <w:t xml:space="preserve"> (især </w:t>
      </w:r>
      <w:proofErr w:type="spellStart"/>
      <w:r w:rsidRPr="00057786">
        <w:rPr>
          <w:sz w:val="24"/>
          <w:szCs w:val="24"/>
        </w:rPr>
        <w:t>viscerale</w:t>
      </w:r>
      <w:proofErr w:type="spellEnd"/>
      <w:r w:rsidRPr="00057786">
        <w:rPr>
          <w:sz w:val="24"/>
          <w:szCs w:val="24"/>
        </w:rPr>
        <w:t xml:space="preserve"> former)</w:t>
      </w:r>
    </w:p>
    <w:p w14:paraId="4B03EA47"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aktiv </w:t>
      </w:r>
      <w:proofErr w:type="spellStart"/>
      <w:r w:rsidRPr="00057786">
        <w:rPr>
          <w:sz w:val="24"/>
          <w:szCs w:val="24"/>
        </w:rPr>
        <w:t>reumatoid</w:t>
      </w:r>
      <w:proofErr w:type="spellEnd"/>
      <w:r w:rsidRPr="00057786">
        <w:rPr>
          <w:sz w:val="24"/>
          <w:szCs w:val="24"/>
        </w:rPr>
        <w:t xml:space="preserve"> </w:t>
      </w:r>
      <w:proofErr w:type="spellStart"/>
      <w:r w:rsidRPr="00057786">
        <w:rPr>
          <w:sz w:val="24"/>
          <w:szCs w:val="24"/>
        </w:rPr>
        <w:t>artrit</w:t>
      </w:r>
      <w:proofErr w:type="spellEnd"/>
      <w:r w:rsidRPr="00057786">
        <w:rPr>
          <w:sz w:val="24"/>
          <w:szCs w:val="24"/>
        </w:rPr>
        <w:t xml:space="preserve"> med et alvorligt, progressivt forløb, f.eks. hurtigt forløbende destruktive former og/eller med </w:t>
      </w:r>
      <w:proofErr w:type="spellStart"/>
      <w:r w:rsidRPr="00057786">
        <w:rPr>
          <w:sz w:val="24"/>
          <w:szCs w:val="24"/>
        </w:rPr>
        <w:t>ekstraartikulære</w:t>
      </w:r>
      <w:proofErr w:type="spellEnd"/>
      <w:r w:rsidRPr="00057786">
        <w:rPr>
          <w:sz w:val="24"/>
          <w:szCs w:val="24"/>
        </w:rPr>
        <w:t xml:space="preserve"> manifestationer</w:t>
      </w:r>
    </w:p>
    <w:p w14:paraId="703F8C5E"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palliative behandling af maligne tumorer</w:t>
      </w:r>
    </w:p>
    <w:p w14:paraId="31D23082" w14:textId="5C76DF45" w:rsidR="00016F69" w:rsidRDefault="00583679" w:rsidP="00016F69">
      <w:pPr>
        <w:numPr>
          <w:ilvl w:val="0"/>
          <w:numId w:val="9"/>
        </w:numPr>
        <w:tabs>
          <w:tab w:val="left" w:pos="851"/>
        </w:tabs>
        <w:ind w:left="1276" w:hanging="425"/>
        <w:rPr>
          <w:sz w:val="24"/>
          <w:szCs w:val="24"/>
        </w:rPr>
      </w:pPr>
      <w:r w:rsidRPr="00016F69">
        <w:rPr>
          <w:sz w:val="24"/>
          <w:szCs w:val="24"/>
        </w:rPr>
        <w:t xml:space="preserve">forebyggelse og behandling af post-operativ eller </w:t>
      </w:r>
      <w:proofErr w:type="spellStart"/>
      <w:r w:rsidRPr="00016F69">
        <w:rPr>
          <w:sz w:val="24"/>
          <w:szCs w:val="24"/>
        </w:rPr>
        <w:t>cytostatikainduceret</w:t>
      </w:r>
      <w:proofErr w:type="spellEnd"/>
      <w:r w:rsidRPr="00016F69">
        <w:rPr>
          <w:sz w:val="24"/>
          <w:szCs w:val="24"/>
        </w:rPr>
        <w:t xml:space="preserve"> opkastning som del af </w:t>
      </w:r>
      <w:proofErr w:type="spellStart"/>
      <w:r w:rsidRPr="00016F69">
        <w:rPr>
          <w:sz w:val="24"/>
          <w:szCs w:val="24"/>
        </w:rPr>
        <w:t>antiemetiske</w:t>
      </w:r>
      <w:proofErr w:type="spellEnd"/>
      <w:r w:rsidRPr="00016F69">
        <w:rPr>
          <w:sz w:val="24"/>
          <w:szCs w:val="24"/>
        </w:rPr>
        <w:t xml:space="preserve"> behandlinger.</w:t>
      </w:r>
      <w:r w:rsidR="00016F69" w:rsidRPr="00016F69">
        <w:rPr>
          <w:sz w:val="24"/>
          <w:szCs w:val="24"/>
        </w:rPr>
        <w:t xml:space="preserve"> </w:t>
      </w:r>
    </w:p>
    <w:p w14:paraId="778AAE7B" w14:textId="57604C1B" w:rsidR="00583679" w:rsidRDefault="00016F69" w:rsidP="00016F69">
      <w:pPr>
        <w:numPr>
          <w:ilvl w:val="0"/>
          <w:numId w:val="6"/>
        </w:numPr>
        <w:tabs>
          <w:tab w:val="left" w:pos="851"/>
        </w:tabs>
        <w:ind w:left="1276" w:hanging="425"/>
        <w:rPr>
          <w:sz w:val="24"/>
          <w:szCs w:val="24"/>
        </w:rPr>
      </w:pPr>
      <w:proofErr w:type="spellStart"/>
      <w:r>
        <w:rPr>
          <w:sz w:val="24"/>
          <w:szCs w:val="24"/>
        </w:rPr>
        <w:t>Dexamethason</w:t>
      </w:r>
      <w:proofErr w:type="spellEnd"/>
      <w:r>
        <w:rPr>
          <w:sz w:val="24"/>
          <w:szCs w:val="24"/>
        </w:rPr>
        <w:t xml:space="preserve"> "</w:t>
      </w:r>
      <w:proofErr w:type="spellStart"/>
      <w:r>
        <w:rPr>
          <w:sz w:val="24"/>
          <w:szCs w:val="24"/>
        </w:rPr>
        <w:t>Krka</w:t>
      </w:r>
      <w:proofErr w:type="spellEnd"/>
      <w:r>
        <w:rPr>
          <w:sz w:val="24"/>
          <w:szCs w:val="24"/>
        </w:rPr>
        <w:t xml:space="preserve">" er indiceret til behandling af </w:t>
      </w:r>
      <w:proofErr w:type="spellStart"/>
      <w:r>
        <w:rPr>
          <w:sz w:val="24"/>
          <w:szCs w:val="24"/>
        </w:rPr>
        <w:t>coronavirussygdom</w:t>
      </w:r>
      <w:proofErr w:type="spellEnd"/>
      <w:r>
        <w:rPr>
          <w:sz w:val="24"/>
          <w:szCs w:val="24"/>
        </w:rPr>
        <w:t xml:space="preserve"> 2019 (COVID</w:t>
      </w:r>
      <w:r>
        <w:rPr>
          <w:sz w:val="24"/>
          <w:szCs w:val="24"/>
        </w:rPr>
        <w:noBreakHyphen/>
        <w:t>19) hos voksne og unge patienter (12 år og ældre med en legemsvægt på mindst 40 kg), der har behov for supplerende iltbehandling.</w:t>
      </w:r>
    </w:p>
    <w:p w14:paraId="2454932F" w14:textId="77777777" w:rsidR="00016F69" w:rsidRPr="00016F69" w:rsidRDefault="00016F69" w:rsidP="00016F69">
      <w:pPr>
        <w:tabs>
          <w:tab w:val="left" w:pos="851"/>
        </w:tabs>
        <w:ind w:left="1276"/>
        <w:rPr>
          <w:sz w:val="24"/>
          <w:szCs w:val="24"/>
        </w:rPr>
      </w:pPr>
    </w:p>
    <w:p w14:paraId="1E548C3D" w14:textId="77777777" w:rsidR="00583679" w:rsidRPr="00057786" w:rsidRDefault="00583679" w:rsidP="00583679">
      <w:pPr>
        <w:tabs>
          <w:tab w:val="left" w:pos="851"/>
        </w:tabs>
        <w:ind w:left="851"/>
        <w:rPr>
          <w:b/>
          <w:sz w:val="24"/>
          <w:szCs w:val="24"/>
        </w:rPr>
      </w:pPr>
      <w:r w:rsidRPr="00057786">
        <w:rPr>
          <w:b/>
          <w:sz w:val="24"/>
          <w:szCs w:val="24"/>
        </w:rPr>
        <w:t>Lokal administration:</w:t>
      </w:r>
    </w:p>
    <w:p w14:paraId="2C94B4D6" w14:textId="77777777" w:rsidR="00583679" w:rsidRPr="00057786" w:rsidRDefault="00583679" w:rsidP="00583679">
      <w:pPr>
        <w:numPr>
          <w:ilvl w:val="0"/>
          <w:numId w:val="6"/>
        </w:numPr>
        <w:tabs>
          <w:tab w:val="left" w:pos="851"/>
        </w:tabs>
        <w:ind w:left="1276" w:hanging="425"/>
        <w:rPr>
          <w:sz w:val="24"/>
          <w:szCs w:val="24"/>
        </w:rPr>
      </w:pPr>
      <w:proofErr w:type="spellStart"/>
      <w:r w:rsidRPr="00057786">
        <w:rPr>
          <w:sz w:val="24"/>
          <w:szCs w:val="24"/>
        </w:rPr>
        <w:t>Intraartikulær</w:t>
      </w:r>
      <w:proofErr w:type="spellEnd"/>
      <w:r w:rsidRPr="00057786">
        <w:rPr>
          <w:sz w:val="24"/>
          <w:szCs w:val="24"/>
        </w:rPr>
        <w:t xml:space="preserve"> injektion: vedvarende inflammation i et eller få led efter general behandling af kroniske inflammatoriske </w:t>
      </w:r>
      <w:proofErr w:type="spellStart"/>
      <w:r w:rsidRPr="00057786">
        <w:rPr>
          <w:sz w:val="24"/>
          <w:szCs w:val="24"/>
        </w:rPr>
        <w:t>ledsygdomme</w:t>
      </w:r>
      <w:proofErr w:type="spellEnd"/>
      <w:r w:rsidRPr="00057786">
        <w:rPr>
          <w:sz w:val="24"/>
          <w:szCs w:val="24"/>
        </w:rPr>
        <w:t xml:space="preserve">, aktiveret </w:t>
      </w:r>
      <w:proofErr w:type="spellStart"/>
      <w:r w:rsidRPr="00057786">
        <w:rPr>
          <w:sz w:val="24"/>
          <w:szCs w:val="24"/>
        </w:rPr>
        <w:t>osteoarthritis</w:t>
      </w:r>
      <w:proofErr w:type="spellEnd"/>
      <w:r w:rsidRPr="00057786">
        <w:rPr>
          <w:sz w:val="24"/>
          <w:szCs w:val="24"/>
        </w:rPr>
        <w:t xml:space="preserve">, akutte former for </w:t>
      </w:r>
      <w:proofErr w:type="spellStart"/>
      <w:r w:rsidRPr="00057786">
        <w:rPr>
          <w:i/>
          <w:sz w:val="24"/>
          <w:szCs w:val="24"/>
        </w:rPr>
        <w:t>periarthropathia</w:t>
      </w:r>
      <w:proofErr w:type="spellEnd"/>
      <w:r w:rsidRPr="00057786">
        <w:rPr>
          <w:i/>
          <w:sz w:val="24"/>
          <w:szCs w:val="24"/>
        </w:rPr>
        <w:t xml:space="preserve"> </w:t>
      </w:r>
      <w:proofErr w:type="spellStart"/>
      <w:r w:rsidRPr="00057786">
        <w:rPr>
          <w:i/>
          <w:sz w:val="24"/>
          <w:szCs w:val="24"/>
        </w:rPr>
        <w:t>humeroscapularis</w:t>
      </w:r>
      <w:proofErr w:type="spellEnd"/>
    </w:p>
    <w:p w14:paraId="5FEA43D1" w14:textId="77777777" w:rsidR="00583679" w:rsidRPr="00057786" w:rsidRDefault="00583679" w:rsidP="00583679">
      <w:pPr>
        <w:tabs>
          <w:tab w:val="left" w:pos="851"/>
        </w:tabs>
        <w:rPr>
          <w:sz w:val="24"/>
          <w:szCs w:val="24"/>
        </w:rPr>
      </w:pPr>
    </w:p>
    <w:p w14:paraId="39388D1B"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Infiltrationsbehandling (på tvingende indikation): non-bakteriel </w:t>
      </w:r>
      <w:proofErr w:type="spellStart"/>
      <w:r w:rsidRPr="00057786">
        <w:rPr>
          <w:sz w:val="24"/>
          <w:szCs w:val="24"/>
        </w:rPr>
        <w:t>tendovaginitis</w:t>
      </w:r>
      <w:proofErr w:type="spellEnd"/>
      <w:r w:rsidRPr="00057786">
        <w:rPr>
          <w:sz w:val="24"/>
          <w:szCs w:val="24"/>
        </w:rPr>
        <w:t xml:space="preserve"> og </w:t>
      </w:r>
      <w:proofErr w:type="spellStart"/>
      <w:r w:rsidRPr="00057786">
        <w:rPr>
          <w:sz w:val="24"/>
          <w:szCs w:val="24"/>
        </w:rPr>
        <w:t>bursitis</w:t>
      </w:r>
      <w:proofErr w:type="spellEnd"/>
      <w:r w:rsidRPr="00057786">
        <w:rPr>
          <w:sz w:val="24"/>
          <w:szCs w:val="24"/>
        </w:rPr>
        <w:t xml:space="preserve">, </w:t>
      </w:r>
      <w:proofErr w:type="spellStart"/>
      <w:r w:rsidRPr="00057786">
        <w:rPr>
          <w:sz w:val="24"/>
          <w:szCs w:val="24"/>
        </w:rPr>
        <w:t>periartrit</w:t>
      </w:r>
      <w:proofErr w:type="spellEnd"/>
      <w:r w:rsidRPr="00057786">
        <w:rPr>
          <w:sz w:val="24"/>
          <w:szCs w:val="24"/>
        </w:rPr>
        <w:t xml:space="preserve">, </w:t>
      </w:r>
      <w:proofErr w:type="spellStart"/>
      <w:r w:rsidRPr="00057786">
        <w:rPr>
          <w:sz w:val="24"/>
          <w:szCs w:val="24"/>
        </w:rPr>
        <w:t>insertionel</w:t>
      </w:r>
      <w:proofErr w:type="spellEnd"/>
      <w:r w:rsidRPr="00057786">
        <w:rPr>
          <w:sz w:val="24"/>
          <w:szCs w:val="24"/>
        </w:rPr>
        <w:t xml:space="preserve"> </w:t>
      </w:r>
      <w:proofErr w:type="spellStart"/>
      <w:r w:rsidRPr="00057786">
        <w:rPr>
          <w:sz w:val="24"/>
          <w:szCs w:val="24"/>
        </w:rPr>
        <w:t>tendinopati</w:t>
      </w:r>
      <w:proofErr w:type="spellEnd"/>
    </w:p>
    <w:p w14:paraId="498A1907" w14:textId="77777777" w:rsidR="00583679" w:rsidRPr="00057786" w:rsidRDefault="00583679" w:rsidP="00583679">
      <w:pPr>
        <w:pStyle w:val="Listeafsnit"/>
        <w:rPr>
          <w:szCs w:val="24"/>
        </w:rPr>
      </w:pPr>
    </w:p>
    <w:p w14:paraId="51EF01AD"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Oftalmologi: </w:t>
      </w:r>
      <w:proofErr w:type="spellStart"/>
      <w:r w:rsidRPr="00057786">
        <w:rPr>
          <w:sz w:val="24"/>
          <w:szCs w:val="24"/>
        </w:rPr>
        <w:t>subkonjunktival</w:t>
      </w:r>
      <w:proofErr w:type="spellEnd"/>
      <w:r w:rsidRPr="00057786">
        <w:rPr>
          <w:sz w:val="24"/>
          <w:szCs w:val="24"/>
        </w:rPr>
        <w:t xml:space="preserve"> administration i ikke-infektiøs </w:t>
      </w:r>
      <w:proofErr w:type="spellStart"/>
      <w:r w:rsidRPr="00057786">
        <w:rPr>
          <w:sz w:val="24"/>
          <w:szCs w:val="24"/>
        </w:rPr>
        <w:t>keratokonjunktivitis</w:t>
      </w:r>
      <w:proofErr w:type="spellEnd"/>
      <w:r w:rsidRPr="00057786">
        <w:rPr>
          <w:sz w:val="24"/>
          <w:szCs w:val="24"/>
        </w:rPr>
        <w:t xml:space="preserve">, </w:t>
      </w:r>
      <w:proofErr w:type="spellStart"/>
      <w:r w:rsidRPr="00057786">
        <w:rPr>
          <w:sz w:val="24"/>
          <w:szCs w:val="24"/>
        </w:rPr>
        <w:t>scleritis</w:t>
      </w:r>
      <w:proofErr w:type="spellEnd"/>
      <w:r w:rsidRPr="00057786">
        <w:rPr>
          <w:sz w:val="24"/>
          <w:szCs w:val="24"/>
        </w:rPr>
        <w:t xml:space="preserve"> (bortset fra </w:t>
      </w:r>
      <w:proofErr w:type="spellStart"/>
      <w:r w:rsidRPr="00057786">
        <w:rPr>
          <w:sz w:val="24"/>
          <w:szCs w:val="24"/>
        </w:rPr>
        <w:t>nekrotiserende</w:t>
      </w:r>
      <w:proofErr w:type="spellEnd"/>
      <w:r w:rsidRPr="00057786">
        <w:rPr>
          <w:sz w:val="24"/>
          <w:szCs w:val="24"/>
        </w:rPr>
        <w:t xml:space="preserve"> </w:t>
      </w:r>
      <w:proofErr w:type="spellStart"/>
      <w:r w:rsidRPr="00057786">
        <w:rPr>
          <w:sz w:val="24"/>
          <w:szCs w:val="24"/>
        </w:rPr>
        <w:t>scleritis</w:t>
      </w:r>
      <w:proofErr w:type="spellEnd"/>
      <w:r w:rsidRPr="00057786">
        <w:rPr>
          <w:sz w:val="24"/>
          <w:szCs w:val="24"/>
        </w:rPr>
        <w:t xml:space="preserve">), </w:t>
      </w:r>
      <w:proofErr w:type="spellStart"/>
      <w:r w:rsidRPr="00057786">
        <w:rPr>
          <w:i/>
          <w:sz w:val="24"/>
          <w:szCs w:val="24"/>
        </w:rPr>
        <w:t>uveitis</w:t>
      </w:r>
      <w:proofErr w:type="spellEnd"/>
      <w:r w:rsidRPr="00057786">
        <w:rPr>
          <w:i/>
          <w:sz w:val="24"/>
          <w:szCs w:val="24"/>
        </w:rPr>
        <w:t xml:space="preserve"> </w:t>
      </w:r>
      <w:proofErr w:type="spellStart"/>
      <w:r w:rsidRPr="00057786">
        <w:rPr>
          <w:i/>
          <w:sz w:val="24"/>
          <w:szCs w:val="24"/>
        </w:rPr>
        <w:t>anterior</w:t>
      </w:r>
      <w:proofErr w:type="spellEnd"/>
      <w:r w:rsidRPr="00057786">
        <w:rPr>
          <w:sz w:val="24"/>
          <w:szCs w:val="24"/>
        </w:rPr>
        <w:t xml:space="preserve"> og </w:t>
      </w:r>
      <w:proofErr w:type="spellStart"/>
      <w:r w:rsidRPr="00057786">
        <w:rPr>
          <w:i/>
          <w:sz w:val="24"/>
          <w:szCs w:val="24"/>
        </w:rPr>
        <w:t>intermedia</w:t>
      </w:r>
      <w:proofErr w:type="spellEnd"/>
      <w:r w:rsidRPr="00057786">
        <w:rPr>
          <w:i/>
          <w:sz w:val="24"/>
          <w:szCs w:val="24"/>
        </w:rPr>
        <w:t>.</w:t>
      </w:r>
    </w:p>
    <w:p w14:paraId="44768215" w14:textId="77777777" w:rsidR="009260DE" w:rsidRPr="00057786" w:rsidRDefault="009260DE" w:rsidP="009260DE">
      <w:pPr>
        <w:tabs>
          <w:tab w:val="left" w:pos="851"/>
        </w:tabs>
        <w:ind w:left="851"/>
        <w:rPr>
          <w:sz w:val="24"/>
          <w:szCs w:val="24"/>
        </w:rPr>
      </w:pPr>
    </w:p>
    <w:p w14:paraId="11694B74" w14:textId="4C1B9158" w:rsidR="009260DE" w:rsidRPr="00057786" w:rsidRDefault="009260DE" w:rsidP="009260DE">
      <w:pPr>
        <w:tabs>
          <w:tab w:val="left" w:pos="851"/>
        </w:tabs>
        <w:ind w:left="851" w:hanging="851"/>
        <w:rPr>
          <w:b/>
          <w:sz w:val="24"/>
          <w:szCs w:val="24"/>
        </w:rPr>
      </w:pPr>
      <w:r w:rsidRPr="00057786">
        <w:rPr>
          <w:b/>
          <w:sz w:val="24"/>
          <w:szCs w:val="24"/>
        </w:rPr>
        <w:t>4.2</w:t>
      </w:r>
      <w:r w:rsidRPr="00057786">
        <w:rPr>
          <w:b/>
          <w:sz w:val="24"/>
          <w:szCs w:val="24"/>
        </w:rPr>
        <w:tab/>
        <w:t xml:space="preserve">Dosering og </w:t>
      </w:r>
      <w:r w:rsidR="001741A9">
        <w:rPr>
          <w:b/>
          <w:sz w:val="24"/>
          <w:szCs w:val="24"/>
        </w:rPr>
        <w:t>administration</w:t>
      </w:r>
    </w:p>
    <w:p w14:paraId="194C5C1A" w14:textId="77777777" w:rsidR="00895FFF" w:rsidRDefault="00895FFF" w:rsidP="00583679">
      <w:pPr>
        <w:tabs>
          <w:tab w:val="left" w:pos="851"/>
        </w:tabs>
        <w:ind w:left="851"/>
        <w:rPr>
          <w:sz w:val="24"/>
          <w:szCs w:val="24"/>
          <w:u w:val="single"/>
        </w:rPr>
      </w:pPr>
    </w:p>
    <w:p w14:paraId="257C2ABB" w14:textId="04FA81A5" w:rsidR="00583679" w:rsidRPr="00057786" w:rsidRDefault="00583679" w:rsidP="00583679">
      <w:pPr>
        <w:tabs>
          <w:tab w:val="left" w:pos="851"/>
        </w:tabs>
        <w:ind w:left="851"/>
        <w:rPr>
          <w:sz w:val="24"/>
          <w:szCs w:val="24"/>
          <w:u w:val="single"/>
          <w:lang w:eastAsia="da-DK"/>
        </w:rPr>
      </w:pPr>
      <w:r w:rsidRPr="00057786">
        <w:rPr>
          <w:sz w:val="24"/>
          <w:szCs w:val="24"/>
          <w:u w:val="single"/>
        </w:rPr>
        <w:t>Dosering</w:t>
      </w:r>
    </w:p>
    <w:p w14:paraId="27800D18" w14:textId="77777777" w:rsidR="00583679" w:rsidRPr="00057786" w:rsidRDefault="00583679" w:rsidP="00583679">
      <w:pPr>
        <w:tabs>
          <w:tab w:val="left" w:pos="851"/>
        </w:tabs>
        <w:ind w:left="851"/>
        <w:rPr>
          <w:sz w:val="24"/>
          <w:szCs w:val="24"/>
        </w:rPr>
      </w:pPr>
    </w:p>
    <w:p w14:paraId="76831E4B" w14:textId="77777777" w:rsidR="00583679" w:rsidRPr="00057786" w:rsidRDefault="00583679" w:rsidP="00583679">
      <w:pPr>
        <w:tabs>
          <w:tab w:val="left" w:pos="851"/>
        </w:tabs>
        <w:ind w:left="851"/>
        <w:rPr>
          <w:sz w:val="24"/>
          <w:szCs w:val="24"/>
        </w:rPr>
      </w:pPr>
      <w:r w:rsidRPr="00057786">
        <w:rPr>
          <w:sz w:val="24"/>
          <w:szCs w:val="24"/>
        </w:rPr>
        <w:t>Dosering afhænger af sygdommens art og sværhedsgrad og den enkelte patients respons på behandlingen. Generelt set administreres relativt høje indledende doser, og de bør være signifikant højere ved akutte alvorlige former end ved kroniske sygdomme.</w:t>
      </w:r>
    </w:p>
    <w:p w14:paraId="1F2E1584" w14:textId="77777777" w:rsidR="00583679" w:rsidRPr="00057786" w:rsidRDefault="00583679" w:rsidP="00583679">
      <w:pPr>
        <w:tabs>
          <w:tab w:val="left" w:pos="851"/>
        </w:tabs>
        <w:ind w:left="851"/>
        <w:rPr>
          <w:sz w:val="24"/>
          <w:szCs w:val="24"/>
        </w:rPr>
      </w:pPr>
    </w:p>
    <w:p w14:paraId="45FC1C94" w14:textId="77777777" w:rsidR="00583679" w:rsidRPr="00057786" w:rsidRDefault="00583679" w:rsidP="00583679">
      <w:pPr>
        <w:tabs>
          <w:tab w:val="left" w:pos="851"/>
        </w:tabs>
        <w:ind w:left="851"/>
        <w:rPr>
          <w:sz w:val="24"/>
          <w:szCs w:val="24"/>
        </w:rPr>
      </w:pPr>
      <w:r w:rsidRPr="00057786">
        <w:rPr>
          <w:sz w:val="24"/>
          <w:szCs w:val="24"/>
        </w:rPr>
        <w:t>Medmindre andet er ordineret, gælder følgende doseringsanbefalinger:</w:t>
      </w:r>
    </w:p>
    <w:p w14:paraId="73E1395F" w14:textId="77777777" w:rsidR="00583679" w:rsidRPr="00057786" w:rsidRDefault="00583679" w:rsidP="00583679">
      <w:pPr>
        <w:tabs>
          <w:tab w:val="left" w:pos="851"/>
        </w:tabs>
        <w:ind w:left="851"/>
        <w:rPr>
          <w:sz w:val="24"/>
          <w:szCs w:val="24"/>
        </w:rPr>
      </w:pPr>
    </w:p>
    <w:p w14:paraId="2262E906" w14:textId="77777777" w:rsidR="00583679" w:rsidRPr="00057786" w:rsidRDefault="00583679" w:rsidP="00583679">
      <w:pPr>
        <w:tabs>
          <w:tab w:val="left" w:pos="851"/>
        </w:tabs>
        <w:ind w:left="851"/>
        <w:rPr>
          <w:sz w:val="24"/>
          <w:szCs w:val="24"/>
          <w:u w:val="single"/>
        </w:rPr>
      </w:pPr>
      <w:r w:rsidRPr="00057786">
        <w:rPr>
          <w:sz w:val="24"/>
          <w:szCs w:val="24"/>
          <w:u w:val="single"/>
        </w:rPr>
        <w:t>Systemisk administration:</w:t>
      </w:r>
    </w:p>
    <w:p w14:paraId="47925A3B" w14:textId="77777777" w:rsidR="00583679" w:rsidRPr="00057786" w:rsidRDefault="00583679" w:rsidP="00583679">
      <w:pPr>
        <w:tabs>
          <w:tab w:val="left" w:pos="851"/>
        </w:tabs>
        <w:ind w:left="851"/>
        <w:rPr>
          <w:sz w:val="24"/>
          <w:szCs w:val="24"/>
          <w:u w:val="single"/>
        </w:rPr>
      </w:pPr>
    </w:p>
    <w:p w14:paraId="549C551C"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Cerebralt ødem:</w:t>
      </w:r>
    </w:p>
    <w:p w14:paraId="0C79FE8C" w14:textId="77777777" w:rsidR="00583679" w:rsidRPr="00057786" w:rsidRDefault="00583679" w:rsidP="00583679">
      <w:pPr>
        <w:tabs>
          <w:tab w:val="left" w:pos="851"/>
        </w:tabs>
        <w:ind w:left="1276"/>
        <w:rPr>
          <w:sz w:val="24"/>
          <w:szCs w:val="24"/>
        </w:rPr>
      </w:pPr>
      <w:r w:rsidRPr="00057786">
        <w:rPr>
          <w:sz w:val="24"/>
          <w:szCs w:val="24"/>
        </w:rPr>
        <w:t>Voksne: indledende dosis afhængigt af årsag og sværhedsgrad 8</w:t>
      </w:r>
      <w:r w:rsidRPr="00057786">
        <w:rPr>
          <w:sz w:val="24"/>
          <w:szCs w:val="24"/>
        </w:rPr>
        <w:noBreakHyphen/>
        <w:t xml:space="preserve">10 mg (op til 80 mg) </w:t>
      </w:r>
      <w:proofErr w:type="spellStart"/>
      <w:r w:rsidRPr="00057786">
        <w:rPr>
          <w:sz w:val="24"/>
          <w:szCs w:val="24"/>
        </w:rPr>
        <w:t>i.v</w:t>
      </w:r>
      <w:proofErr w:type="spellEnd"/>
      <w:r w:rsidRPr="00057786">
        <w:rPr>
          <w:sz w:val="24"/>
          <w:szCs w:val="24"/>
        </w:rPr>
        <w:t>., efterfulgt af 16</w:t>
      </w:r>
      <w:r w:rsidRPr="00057786">
        <w:rPr>
          <w:sz w:val="24"/>
          <w:szCs w:val="24"/>
        </w:rPr>
        <w:noBreakHyphen/>
        <w:t>24 mg (op til 48 </w:t>
      </w:r>
      <w:proofErr w:type="gramStart"/>
      <w:r w:rsidRPr="00057786">
        <w:rPr>
          <w:sz w:val="24"/>
          <w:szCs w:val="24"/>
        </w:rPr>
        <w:t>mg)/</w:t>
      </w:r>
      <w:proofErr w:type="gramEnd"/>
      <w:r w:rsidRPr="00057786">
        <w:rPr>
          <w:sz w:val="24"/>
          <w:szCs w:val="24"/>
        </w:rPr>
        <w:t xml:space="preserve">dag </w:t>
      </w:r>
      <w:proofErr w:type="spellStart"/>
      <w:r w:rsidRPr="00057786">
        <w:rPr>
          <w:sz w:val="24"/>
          <w:szCs w:val="24"/>
        </w:rPr>
        <w:t>i.v</w:t>
      </w:r>
      <w:proofErr w:type="spellEnd"/>
      <w:r w:rsidRPr="00057786">
        <w:rPr>
          <w:sz w:val="24"/>
          <w:szCs w:val="24"/>
        </w:rPr>
        <w:t>., opdelt i 3</w:t>
      </w:r>
      <w:r w:rsidRPr="00057786">
        <w:rPr>
          <w:sz w:val="24"/>
          <w:szCs w:val="24"/>
        </w:rPr>
        <w:noBreakHyphen/>
        <w:t>4 (6) individuelle doser i 4</w:t>
      </w:r>
      <w:r w:rsidRPr="00057786">
        <w:rPr>
          <w:sz w:val="24"/>
          <w:szCs w:val="24"/>
        </w:rPr>
        <w:noBreakHyphen/>
        <w:t xml:space="preserve">8 dage. En længerevarende lavere dosisadministration af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kan blive nødvendig i forbindelse med strålebehandling og konservativ behandling af inoperable hjernetumorer.</w:t>
      </w:r>
    </w:p>
    <w:p w14:paraId="3F26FF80" w14:textId="77777777" w:rsidR="00583679" w:rsidRPr="00057786" w:rsidRDefault="00583679" w:rsidP="00583679">
      <w:pPr>
        <w:tabs>
          <w:tab w:val="left" w:pos="851"/>
        </w:tabs>
        <w:ind w:left="851"/>
        <w:rPr>
          <w:sz w:val="24"/>
          <w:szCs w:val="24"/>
          <w:u w:val="single"/>
        </w:rPr>
      </w:pPr>
    </w:p>
    <w:p w14:paraId="5624A5A5"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Cerebralt ødem på grund af bakteriel meningitis: 0,15 mg/kg legemsvægt hver 6. time i 4 dage, børn 0,4 mg/kg legemsvægt hver 12. time i 2 dage; begyndende før første administration af antibiotika. Alvorlige tilfælde, toksiske tilstande (f.eks. tuberkulose, tyfus; kun samtidig med infektionsbehandling): 4</w:t>
      </w:r>
      <w:r w:rsidRPr="00057786">
        <w:rPr>
          <w:sz w:val="24"/>
          <w:szCs w:val="24"/>
        </w:rPr>
        <w:noBreakHyphen/>
        <w:t xml:space="preserve">20 mg/dag </w:t>
      </w:r>
      <w:proofErr w:type="spellStart"/>
      <w:r w:rsidRPr="00057786">
        <w:rPr>
          <w:sz w:val="24"/>
          <w:szCs w:val="24"/>
        </w:rPr>
        <w:t>i.v</w:t>
      </w:r>
      <w:proofErr w:type="spellEnd"/>
      <w:r w:rsidRPr="00057786">
        <w:rPr>
          <w:sz w:val="24"/>
          <w:szCs w:val="24"/>
        </w:rPr>
        <w:t>., i enkelte tilfælde (f.eks. tyfus) indledningsvist op til 200 mg.</w:t>
      </w:r>
    </w:p>
    <w:p w14:paraId="56F3841B" w14:textId="77777777" w:rsidR="00583679" w:rsidRPr="00057786" w:rsidRDefault="00583679" w:rsidP="00583679">
      <w:pPr>
        <w:tabs>
          <w:tab w:val="left" w:pos="851"/>
        </w:tabs>
        <w:ind w:left="1276"/>
        <w:rPr>
          <w:sz w:val="24"/>
          <w:szCs w:val="24"/>
        </w:rPr>
      </w:pPr>
      <w:r w:rsidRPr="00057786">
        <w:rPr>
          <w:sz w:val="24"/>
          <w:szCs w:val="24"/>
        </w:rPr>
        <w:t xml:space="preserve">De officielle retningslinjer vedrørende anvendelse af </w:t>
      </w:r>
      <w:proofErr w:type="spellStart"/>
      <w:r w:rsidRPr="00057786">
        <w:rPr>
          <w:sz w:val="24"/>
          <w:szCs w:val="24"/>
        </w:rPr>
        <w:t>kortikoidbehandling</w:t>
      </w:r>
      <w:proofErr w:type="spellEnd"/>
      <w:r w:rsidRPr="00057786">
        <w:rPr>
          <w:sz w:val="24"/>
          <w:szCs w:val="24"/>
        </w:rPr>
        <w:t xml:space="preserve"> som passende behandling af infektionssygdomme skal tages i betragtning.</w:t>
      </w:r>
    </w:p>
    <w:p w14:paraId="571FDF7E" w14:textId="77777777" w:rsidR="00583679" w:rsidRPr="00057786" w:rsidRDefault="00583679" w:rsidP="00583679">
      <w:pPr>
        <w:tabs>
          <w:tab w:val="left" w:pos="851"/>
        </w:tabs>
        <w:ind w:left="1276"/>
        <w:rPr>
          <w:sz w:val="24"/>
          <w:szCs w:val="24"/>
        </w:rPr>
      </w:pPr>
    </w:p>
    <w:p w14:paraId="7CCDBCE3"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lastRenderedPageBreak/>
        <w:t xml:space="preserve">Posttraumatisk </w:t>
      </w:r>
      <w:proofErr w:type="spellStart"/>
      <w:r w:rsidRPr="00057786">
        <w:rPr>
          <w:sz w:val="24"/>
          <w:szCs w:val="24"/>
        </w:rPr>
        <w:t>shock</w:t>
      </w:r>
      <w:proofErr w:type="spellEnd"/>
      <w:r w:rsidRPr="00057786">
        <w:rPr>
          <w:sz w:val="24"/>
          <w:szCs w:val="24"/>
        </w:rPr>
        <w:t xml:space="preserve">/forebyggelse af posttraumatisk </w:t>
      </w:r>
      <w:proofErr w:type="spellStart"/>
      <w:r w:rsidRPr="00057786">
        <w:rPr>
          <w:sz w:val="24"/>
          <w:szCs w:val="24"/>
        </w:rPr>
        <w:t>shocklunge</w:t>
      </w:r>
      <w:proofErr w:type="spellEnd"/>
      <w:r w:rsidRPr="00057786">
        <w:rPr>
          <w:sz w:val="24"/>
          <w:szCs w:val="24"/>
        </w:rPr>
        <w:t>-syndrom: indledningsvist 40</w:t>
      </w:r>
      <w:r w:rsidRPr="00057786">
        <w:rPr>
          <w:sz w:val="24"/>
          <w:szCs w:val="24"/>
        </w:rPr>
        <w:noBreakHyphen/>
        <w:t xml:space="preserve">100 mg (børn 40 mg) </w:t>
      </w:r>
      <w:proofErr w:type="spellStart"/>
      <w:r w:rsidRPr="00057786">
        <w:rPr>
          <w:sz w:val="24"/>
          <w:szCs w:val="24"/>
        </w:rPr>
        <w:t>i.v</w:t>
      </w:r>
      <w:proofErr w:type="spellEnd"/>
      <w:r w:rsidRPr="00057786">
        <w:rPr>
          <w:sz w:val="24"/>
          <w:szCs w:val="24"/>
        </w:rPr>
        <w:t>., en gentagen dosis efter 12 timer eller 16</w:t>
      </w:r>
      <w:r w:rsidRPr="00057786">
        <w:rPr>
          <w:sz w:val="24"/>
          <w:szCs w:val="24"/>
        </w:rPr>
        <w:noBreakHyphen/>
        <w:t>40 mg hver 6. time i 2</w:t>
      </w:r>
      <w:r w:rsidRPr="00057786">
        <w:rPr>
          <w:sz w:val="24"/>
          <w:szCs w:val="24"/>
        </w:rPr>
        <w:noBreakHyphen/>
        <w:t>3 dage.</w:t>
      </w:r>
    </w:p>
    <w:p w14:paraId="7BD441AE" w14:textId="77777777" w:rsidR="00583679" w:rsidRPr="00057786" w:rsidRDefault="00583679" w:rsidP="00583679">
      <w:pPr>
        <w:tabs>
          <w:tab w:val="left" w:pos="851"/>
        </w:tabs>
        <w:rPr>
          <w:sz w:val="24"/>
          <w:szCs w:val="24"/>
        </w:rPr>
      </w:pPr>
    </w:p>
    <w:p w14:paraId="18E89BBC"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Alvorligt, akut astmaanfald: voksne: 8</w:t>
      </w:r>
      <w:r w:rsidRPr="00057786">
        <w:rPr>
          <w:sz w:val="24"/>
          <w:szCs w:val="24"/>
        </w:rPr>
        <w:noBreakHyphen/>
        <w:t xml:space="preserve">20 mg </w:t>
      </w:r>
      <w:proofErr w:type="spellStart"/>
      <w:r w:rsidRPr="00057786">
        <w:rPr>
          <w:sz w:val="24"/>
          <w:szCs w:val="24"/>
        </w:rPr>
        <w:t>i.v</w:t>
      </w:r>
      <w:proofErr w:type="spellEnd"/>
      <w:r w:rsidRPr="00057786">
        <w:rPr>
          <w:sz w:val="24"/>
          <w:szCs w:val="24"/>
        </w:rPr>
        <w:t>. så tidligt som muligt.</w:t>
      </w:r>
    </w:p>
    <w:p w14:paraId="2EAB47F3" w14:textId="77777777" w:rsidR="00583679" w:rsidRPr="00057786" w:rsidRDefault="00583679" w:rsidP="00583679">
      <w:pPr>
        <w:tabs>
          <w:tab w:val="left" w:pos="851"/>
        </w:tabs>
        <w:ind w:left="1276"/>
        <w:rPr>
          <w:sz w:val="24"/>
          <w:szCs w:val="24"/>
        </w:rPr>
      </w:pPr>
      <w:r w:rsidRPr="00057786">
        <w:rPr>
          <w:sz w:val="24"/>
          <w:szCs w:val="24"/>
        </w:rPr>
        <w:t>Børn: 0,15</w:t>
      </w:r>
      <w:r w:rsidRPr="00057786">
        <w:rPr>
          <w:sz w:val="24"/>
          <w:szCs w:val="24"/>
        </w:rPr>
        <w:noBreakHyphen/>
        <w:t xml:space="preserve">0,3 mg/kg legemsvægt </w:t>
      </w:r>
      <w:proofErr w:type="spellStart"/>
      <w:r w:rsidRPr="00057786">
        <w:rPr>
          <w:sz w:val="24"/>
          <w:szCs w:val="24"/>
        </w:rPr>
        <w:t>i.v</w:t>
      </w:r>
      <w:proofErr w:type="spellEnd"/>
      <w:r w:rsidRPr="00057786">
        <w:rPr>
          <w:sz w:val="24"/>
          <w:szCs w:val="24"/>
        </w:rPr>
        <w:t>. Doser skal om nødvendigt gentages, baseret på individuel respons og klinisk behov.</w:t>
      </w:r>
    </w:p>
    <w:p w14:paraId="7BF40825" w14:textId="77777777" w:rsidR="00583679" w:rsidRPr="00057786" w:rsidRDefault="00583679" w:rsidP="00583679">
      <w:pPr>
        <w:tabs>
          <w:tab w:val="left" w:pos="851"/>
        </w:tabs>
        <w:ind w:left="1276"/>
        <w:rPr>
          <w:sz w:val="24"/>
          <w:szCs w:val="24"/>
        </w:rPr>
      </w:pPr>
    </w:p>
    <w:p w14:paraId="5BE96F99"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Akutte hudsygdomme: afhængigt af sygdommens art og omfang daglige doser 8</w:t>
      </w:r>
      <w:r w:rsidRPr="00057786">
        <w:rPr>
          <w:sz w:val="24"/>
          <w:szCs w:val="24"/>
        </w:rPr>
        <w:noBreakHyphen/>
        <w:t xml:space="preserve">40 mg </w:t>
      </w:r>
      <w:proofErr w:type="spellStart"/>
      <w:r w:rsidRPr="00057786">
        <w:rPr>
          <w:sz w:val="24"/>
          <w:szCs w:val="24"/>
        </w:rPr>
        <w:t>i.v</w:t>
      </w:r>
      <w:proofErr w:type="spellEnd"/>
      <w:r w:rsidRPr="00057786">
        <w:rPr>
          <w:sz w:val="24"/>
          <w:szCs w:val="24"/>
        </w:rPr>
        <w:t>., i alvorlige tilfælde op til 100 mg. Efterfulgt af behandling med faldende doser</w:t>
      </w:r>
    </w:p>
    <w:p w14:paraId="256B19AC" w14:textId="77777777" w:rsidR="00583679" w:rsidRPr="00057786" w:rsidRDefault="00583679" w:rsidP="00583679">
      <w:pPr>
        <w:tabs>
          <w:tab w:val="left" w:pos="851"/>
        </w:tabs>
        <w:rPr>
          <w:sz w:val="24"/>
          <w:szCs w:val="24"/>
        </w:rPr>
      </w:pPr>
    </w:p>
    <w:p w14:paraId="18C4B434"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Aktive faser af reumatiske systemiske sygdomme: systemisk lupus </w:t>
      </w:r>
      <w:proofErr w:type="spellStart"/>
      <w:r w:rsidRPr="00057786">
        <w:rPr>
          <w:sz w:val="24"/>
          <w:szCs w:val="24"/>
        </w:rPr>
        <w:t>erythematosus</w:t>
      </w:r>
      <w:proofErr w:type="spellEnd"/>
      <w:r w:rsidRPr="00057786">
        <w:rPr>
          <w:sz w:val="24"/>
          <w:szCs w:val="24"/>
        </w:rPr>
        <w:t xml:space="preserve"> 6</w:t>
      </w:r>
      <w:r w:rsidRPr="00057786">
        <w:rPr>
          <w:sz w:val="24"/>
          <w:szCs w:val="24"/>
        </w:rPr>
        <w:noBreakHyphen/>
        <w:t>16 mg/dag</w:t>
      </w:r>
    </w:p>
    <w:p w14:paraId="4D41E4C3" w14:textId="77777777" w:rsidR="00583679" w:rsidRPr="00057786" w:rsidRDefault="00583679" w:rsidP="00583679">
      <w:pPr>
        <w:tabs>
          <w:tab w:val="left" w:pos="851"/>
        </w:tabs>
        <w:ind w:left="851"/>
        <w:rPr>
          <w:sz w:val="24"/>
          <w:szCs w:val="24"/>
        </w:rPr>
      </w:pPr>
    </w:p>
    <w:p w14:paraId="73F1FDAE"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Aktiv </w:t>
      </w:r>
      <w:proofErr w:type="spellStart"/>
      <w:r w:rsidRPr="00057786">
        <w:rPr>
          <w:sz w:val="24"/>
          <w:szCs w:val="24"/>
        </w:rPr>
        <w:t>reumatoid</w:t>
      </w:r>
      <w:proofErr w:type="spellEnd"/>
      <w:r w:rsidRPr="00057786">
        <w:rPr>
          <w:sz w:val="24"/>
          <w:szCs w:val="24"/>
        </w:rPr>
        <w:t xml:space="preserve"> </w:t>
      </w:r>
      <w:proofErr w:type="spellStart"/>
      <w:r w:rsidRPr="00057786">
        <w:rPr>
          <w:sz w:val="24"/>
          <w:szCs w:val="24"/>
        </w:rPr>
        <w:t>artrit</w:t>
      </w:r>
      <w:proofErr w:type="spellEnd"/>
      <w:r w:rsidRPr="00057786">
        <w:rPr>
          <w:sz w:val="24"/>
          <w:szCs w:val="24"/>
        </w:rPr>
        <w:t xml:space="preserve"> med et alvorligt, progressivt forløb: med hurtigt destruktive former 12</w:t>
      </w:r>
      <w:r w:rsidRPr="00057786">
        <w:rPr>
          <w:sz w:val="24"/>
          <w:szCs w:val="24"/>
        </w:rPr>
        <w:noBreakHyphen/>
        <w:t xml:space="preserve">16 mg/dag, med </w:t>
      </w:r>
      <w:proofErr w:type="spellStart"/>
      <w:r w:rsidRPr="00057786">
        <w:rPr>
          <w:sz w:val="24"/>
          <w:szCs w:val="24"/>
        </w:rPr>
        <w:t>ekstraartikulære</w:t>
      </w:r>
      <w:proofErr w:type="spellEnd"/>
      <w:r w:rsidRPr="00057786">
        <w:rPr>
          <w:sz w:val="24"/>
          <w:szCs w:val="24"/>
        </w:rPr>
        <w:t xml:space="preserve"> manifestationer 6</w:t>
      </w:r>
      <w:r w:rsidRPr="00057786">
        <w:rPr>
          <w:sz w:val="24"/>
          <w:szCs w:val="24"/>
        </w:rPr>
        <w:noBreakHyphen/>
        <w:t>12 mg/dag</w:t>
      </w:r>
    </w:p>
    <w:p w14:paraId="259DEB2F" w14:textId="77777777" w:rsidR="00583679" w:rsidRPr="00057786" w:rsidRDefault="00583679" w:rsidP="00583679">
      <w:pPr>
        <w:pStyle w:val="Listeafsnit"/>
        <w:rPr>
          <w:szCs w:val="24"/>
        </w:rPr>
      </w:pPr>
    </w:p>
    <w:p w14:paraId="36541E00"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Palliativ behandling af maligne tumorer: indledningsvist 8</w:t>
      </w:r>
      <w:r w:rsidRPr="00057786">
        <w:rPr>
          <w:sz w:val="24"/>
          <w:szCs w:val="24"/>
        </w:rPr>
        <w:noBreakHyphen/>
        <w:t>16 mg/dag, i forbindelse med længerevarende behandling 4</w:t>
      </w:r>
      <w:r w:rsidRPr="00057786">
        <w:rPr>
          <w:sz w:val="24"/>
          <w:szCs w:val="24"/>
        </w:rPr>
        <w:noBreakHyphen/>
        <w:t>12 mg/dag.</w:t>
      </w:r>
    </w:p>
    <w:p w14:paraId="540FBB1E" w14:textId="77777777" w:rsidR="00583679" w:rsidRPr="00057786" w:rsidRDefault="00583679" w:rsidP="00583679">
      <w:pPr>
        <w:pStyle w:val="Listeafsnit"/>
        <w:rPr>
          <w:szCs w:val="24"/>
        </w:rPr>
      </w:pPr>
    </w:p>
    <w:p w14:paraId="7A8A54EC"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Forebyggelse og behandling af </w:t>
      </w:r>
      <w:proofErr w:type="spellStart"/>
      <w:r w:rsidRPr="00057786">
        <w:rPr>
          <w:sz w:val="24"/>
          <w:szCs w:val="24"/>
        </w:rPr>
        <w:t>cytostatikainduceret</w:t>
      </w:r>
      <w:proofErr w:type="spellEnd"/>
      <w:r w:rsidRPr="00057786">
        <w:rPr>
          <w:sz w:val="24"/>
          <w:szCs w:val="24"/>
        </w:rPr>
        <w:t xml:space="preserve"> opkastning i forbindelse med </w:t>
      </w:r>
      <w:proofErr w:type="spellStart"/>
      <w:r w:rsidRPr="00057786">
        <w:rPr>
          <w:sz w:val="24"/>
          <w:szCs w:val="24"/>
        </w:rPr>
        <w:t>antiemetisk</w:t>
      </w:r>
      <w:proofErr w:type="spellEnd"/>
      <w:r w:rsidRPr="00057786">
        <w:rPr>
          <w:sz w:val="24"/>
          <w:szCs w:val="24"/>
        </w:rPr>
        <w:t xml:space="preserve"> behandling: 8</w:t>
      </w:r>
      <w:r w:rsidRPr="00057786">
        <w:rPr>
          <w:sz w:val="24"/>
          <w:szCs w:val="24"/>
        </w:rPr>
        <w:noBreakHyphen/>
        <w:t xml:space="preserve">20 mg </w:t>
      </w:r>
      <w:proofErr w:type="spellStart"/>
      <w:r w:rsidRPr="00057786">
        <w:rPr>
          <w:sz w:val="24"/>
          <w:szCs w:val="24"/>
        </w:rPr>
        <w:t>i.v</w:t>
      </w:r>
      <w:proofErr w:type="spellEnd"/>
      <w:r w:rsidRPr="00057786">
        <w:rPr>
          <w:sz w:val="24"/>
          <w:szCs w:val="24"/>
        </w:rPr>
        <w:t>. før påbegyndelse af kemoterapi, derefter 4</w:t>
      </w:r>
      <w:r w:rsidRPr="00057786">
        <w:rPr>
          <w:sz w:val="24"/>
          <w:szCs w:val="24"/>
        </w:rPr>
        <w:noBreakHyphen/>
        <w:t>8 mg en til to gange dagligt i 2</w:t>
      </w:r>
      <w:r w:rsidRPr="00057786">
        <w:rPr>
          <w:sz w:val="24"/>
          <w:szCs w:val="24"/>
        </w:rPr>
        <w:noBreakHyphen/>
        <w:t xml:space="preserve">3 dage efter behov (moderat </w:t>
      </w:r>
      <w:proofErr w:type="spellStart"/>
      <w:r w:rsidRPr="00057786">
        <w:rPr>
          <w:sz w:val="24"/>
          <w:szCs w:val="24"/>
        </w:rPr>
        <w:t>emetogen</w:t>
      </w:r>
      <w:proofErr w:type="spellEnd"/>
      <w:r w:rsidRPr="00057786">
        <w:rPr>
          <w:sz w:val="24"/>
          <w:szCs w:val="24"/>
        </w:rPr>
        <w:t xml:space="preserve"> kemoterapi) eller op til 3</w:t>
      </w:r>
      <w:r w:rsidRPr="00057786">
        <w:rPr>
          <w:sz w:val="24"/>
          <w:szCs w:val="24"/>
        </w:rPr>
        <w:noBreakHyphen/>
        <w:t>4 dage (</w:t>
      </w:r>
      <w:proofErr w:type="spellStart"/>
      <w:r w:rsidRPr="00057786">
        <w:rPr>
          <w:sz w:val="24"/>
          <w:szCs w:val="24"/>
        </w:rPr>
        <w:t>højemetogen</w:t>
      </w:r>
      <w:proofErr w:type="spellEnd"/>
      <w:r w:rsidRPr="00057786">
        <w:rPr>
          <w:sz w:val="24"/>
          <w:szCs w:val="24"/>
        </w:rPr>
        <w:t xml:space="preserve"> kemoterapi)</w:t>
      </w:r>
    </w:p>
    <w:p w14:paraId="27E8D893" w14:textId="77777777" w:rsidR="00583679" w:rsidRPr="00057786" w:rsidRDefault="00583679" w:rsidP="00583679">
      <w:pPr>
        <w:pStyle w:val="Listeafsnit"/>
        <w:rPr>
          <w:szCs w:val="24"/>
        </w:rPr>
      </w:pPr>
    </w:p>
    <w:p w14:paraId="2AC9362D"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Forebyggelse og behandling af post-operativ opkastning: en enkelt dosis på 4</w:t>
      </w:r>
      <w:r w:rsidRPr="00057786">
        <w:rPr>
          <w:sz w:val="24"/>
          <w:szCs w:val="24"/>
        </w:rPr>
        <w:noBreakHyphen/>
        <w:t xml:space="preserve">8 mg </w:t>
      </w:r>
      <w:proofErr w:type="spellStart"/>
      <w:r w:rsidRPr="00057786">
        <w:rPr>
          <w:sz w:val="24"/>
          <w:szCs w:val="24"/>
        </w:rPr>
        <w:t>i.v</w:t>
      </w:r>
      <w:proofErr w:type="spellEnd"/>
      <w:r w:rsidRPr="00057786">
        <w:rPr>
          <w:sz w:val="24"/>
          <w:szCs w:val="24"/>
        </w:rPr>
        <w:t>. før start på operationen; hos børn over 2 år: 0,15 mg/kg legemsvægt (maks. op til 8 mg).</w:t>
      </w:r>
    </w:p>
    <w:p w14:paraId="568D0C08" w14:textId="77777777" w:rsidR="00016F69" w:rsidRDefault="00016F69" w:rsidP="00016F69">
      <w:pPr>
        <w:pStyle w:val="Listeafsnit"/>
        <w:rPr>
          <w:szCs w:val="24"/>
        </w:rPr>
      </w:pPr>
    </w:p>
    <w:p w14:paraId="7C137029" w14:textId="77777777" w:rsidR="00016F69" w:rsidRDefault="00016F69" w:rsidP="00016F69">
      <w:pPr>
        <w:numPr>
          <w:ilvl w:val="0"/>
          <w:numId w:val="9"/>
        </w:numPr>
        <w:tabs>
          <w:tab w:val="left" w:pos="851"/>
        </w:tabs>
        <w:ind w:left="1276" w:hanging="425"/>
        <w:rPr>
          <w:sz w:val="24"/>
          <w:szCs w:val="24"/>
        </w:rPr>
      </w:pPr>
      <w:r>
        <w:rPr>
          <w:sz w:val="24"/>
          <w:szCs w:val="24"/>
        </w:rPr>
        <w:t>Behandling af COVID</w:t>
      </w:r>
      <w:r>
        <w:rPr>
          <w:sz w:val="24"/>
          <w:szCs w:val="24"/>
        </w:rPr>
        <w:noBreakHyphen/>
        <w:t xml:space="preserve">19: Voksne patienter 6 mg </w:t>
      </w:r>
      <w:proofErr w:type="spellStart"/>
      <w:r>
        <w:rPr>
          <w:sz w:val="24"/>
          <w:szCs w:val="24"/>
        </w:rPr>
        <w:t>i.v</w:t>
      </w:r>
      <w:proofErr w:type="spellEnd"/>
      <w:r>
        <w:rPr>
          <w:sz w:val="24"/>
          <w:szCs w:val="24"/>
        </w:rPr>
        <w:t>. én gang dagligt i op til 10 dage.</w:t>
      </w:r>
    </w:p>
    <w:p w14:paraId="10C2CC42" w14:textId="77777777" w:rsidR="00016F69" w:rsidRDefault="00016F69" w:rsidP="00016F69">
      <w:pPr>
        <w:tabs>
          <w:tab w:val="left" w:pos="851"/>
        </w:tabs>
        <w:ind w:left="1276"/>
        <w:rPr>
          <w:sz w:val="24"/>
          <w:szCs w:val="24"/>
        </w:rPr>
      </w:pPr>
      <w:r>
        <w:rPr>
          <w:i/>
          <w:iCs/>
          <w:sz w:val="24"/>
          <w:szCs w:val="24"/>
        </w:rPr>
        <w:t xml:space="preserve">Pædiatrisk population: </w:t>
      </w:r>
      <w:r>
        <w:rPr>
          <w:sz w:val="24"/>
          <w:szCs w:val="24"/>
        </w:rPr>
        <w:t xml:space="preserve">Pædiatriske patienter (unge på 12 år eller ældre) anbefales at tage 6 mg pr. dosis </w:t>
      </w:r>
      <w:proofErr w:type="spellStart"/>
      <w:r>
        <w:rPr>
          <w:sz w:val="24"/>
          <w:szCs w:val="24"/>
        </w:rPr>
        <w:t>i.v</w:t>
      </w:r>
      <w:proofErr w:type="spellEnd"/>
      <w:r>
        <w:rPr>
          <w:sz w:val="24"/>
          <w:szCs w:val="24"/>
        </w:rPr>
        <w:t>., én gang dagligt i op til 10 dage.</w:t>
      </w:r>
    </w:p>
    <w:p w14:paraId="1C22C117" w14:textId="77777777" w:rsidR="00016F69" w:rsidRDefault="00016F69" w:rsidP="00016F69">
      <w:pPr>
        <w:tabs>
          <w:tab w:val="left" w:pos="851"/>
        </w:tabs>
        <w:ind w:left="1276"/>
        <w:rPr>
          <w:sz w:val="24"/>
          <w:szCs w:val="24"/>
        </w:rPr>
      </w:pPr>
      <w:r>
        <w:rPr>
          <w:sz w:val="24"/>
          <w:szCs w:val="24"/>
        </w:rPr>
        <w:t>Behandlingsvarigheden skal styres af klinisk respons og individuelle patientbehov.</w:t>
      </w:r>
    </w:p>
    <w:p w14:paraId="7C566346" w14:textId="77777777" w:rsidR="00016F69" w:rsidRDefault="00016F69" w:rsidP="00016F69">
      <w:pPr>
        <w:tabs>
          <w:tab w:val="left" w:pos="851"/>
        </w:tabs>
        <w:ind w:left="1276"/>
        <w:rPr>
          <w:sz w:val="24"/>
          <w:szCs w:val="24"/>
        </w:rPr>
      </w:pPr>
      <w:r>
        <w:rPr>
          <w:i/>
          <w:iCs/>
          <w:sz w:val="24"/>
          <w:szCs w:val="24"/>
        </w:rPr>
        <w:t xml:space="preserve">Ældre, nedsat nyrefunktion, nedsat leverfunktion: </w:t>
      </w:r>
      <w:r>
        <w:rPr>
          <w:sz w:val="24"/>
          <w:szCs w:val="24"/>
        </w:rPr>
        <w:t>Dosisjustering er ikke nødvendig.</w:t>
      </w:r>
    </w:p>
    <w:p w14:paraId="051CB0A1" w14:textId="77777777" w:rsidR="00016F69" w:rsidRPr="00057786" w:rsidRDefault="00016F69" w:rsidP="00583679">
      <w:pPr>
        <w:pStyle w:val="Listeafsnit"/>
        <w:rPr>
          <w:szCs w:val="24"/>
        </w:rPr>
      </w:pPr>
    </w:p>
    <w:p w14:paraId="4756CFB9" w14:textId="77777777" w:rsidR="00583679" w:rsidRPr="00057786" w:rsidRDefault="00583679" w:rsidP="00583679">
      <w:pPr>
        <w:tabs>
          <w:tab w:val="left" w:pos="851"/>
        </w:tabs>
        <w:ind w:left="851"/>
        <w:rPr>
          <w:sz w:val="24"/>
          <w:szCs w:val="24"/>
          <w:u w:val="single"/>
        </w:rPr>
      </w:pPr>
      <w:r w:rsidRPr="00057786">
        <w:rPr>
          <w:sz w:val="24"/>
          <w:szCs w:val="24"/>
          <w:u w:val="single"/>
        </w:rPr>
        <w:t>Lokal administration:</w:t>
      </w:r>
    </w:p>
    <w:p w14:paraId="686BCAEA" w14:textId="77777777" w:rsidR="00583679" w:rsidRPr="00057786" w:rsidRDefault="00583679" w:rsidP="00583679">
      <w:pPr>
        <w:tabs>
          <w:tab w:val="left" w:pos="851"/>
        </w:tabs>
        <w:ind w:left="851"/>
        <w:rPr>
          <w:sz w:val="24"/>
          <w:szCs w:val="24"/>
        </w:rPr>
      </w:pPr>
    </w:p>
    <w:p w14:paraId="0A5463A1" w14:textId="77777777" w:rsidR="00583679" w:rsidRPr="00057786" w:rsidRDefault="00583679" w:rsidP="00583679">
      <w:pPr>
        <w:tabs>
          <w:tab w:val="left" w:pos="851"/>
        </w:tabs>
        <w:ind w:left="851"/>
        <w:rPr>
          <w:sz w:val="24"/>
          <w:szCs w:val="24"/>
        </w:rPr>
      </w:pPr>
      <w:r w:rsidRPr="00057786">
        <w:rPr>
          <w:sz w:val="24"/>
          <w:szCs w:val="24"/>
        </w:rPr>
        <w:t>Lokal infiltrations- og injektionsbehandling udføres normalt med 4</w:t>
      </w:r>
      <w:r w:rsidRPr="00057786">
        <w:rPr>
          <w:sz w:val="24"/>
          <w:szCs w:val="24"/>
        </w:rPr>
        <w:noBreakHyphen/>
        <w:t xml:space="preserve">8 mg; 2 mg </w:t>
      </w:r>
      <w:proofErr w:type="spellStart"/>
      <w:r w:rsidRPr="00057786">
        <w:rPr>
          <w:sz w:val="24"/>
          <w:szCs w:val="24"/>
        </w:rPr>
        <w:t>dexamethasonnatriumphosphat</w:t>
      </w:r>
      <w:proofErr w:type="spellEnd"/>
      <w:r w:rsidRPr="00057786">
        <w:rPr>
          <w:sz w:val="24"/>
          <w:szCs w:val="24"/>
        </w:rPr>
        <w:t xml:space="preserve"> er tilstrækkeligt, hvis det injiceres i mindre led eller administreres via </w:t>
      </w:r>
      <w:proofErr w:type="spellStart"/>
      <w:r w:rsidRPr="00057786">
        <w:rPr>
          <w:sz w:val="24"/>
          <w:szCs w:val="24"/>
        </w:rPr>
        <w:t>subkonjunktival</w:t>
      </w:r>
      <w:proofErr w:type="spellEnd"/>
      <w:r w:rsidRPr="00057786">
        <w:rPr>
          <w:sz w:val="24"/>
          <w:szCs w:val="24"/>
        </w:rPr>
        <w:t xml:space="preserve"> injektion.</w:t>
      </w:r>
    </w:p>
    <w:p w14:paraId="627ECB30" w14:textId="77777777" w:rsidR="00583679" w:rsidRPr="00057786" w:rsidRDefault="00583679" w:rsidP="00583679">
      <w:pPr>
        <w:tabs>
          <w:tab w:val="left" w:pos="851"/>
        </w:tabs>
        <w:ind w:left="851"/>
        <w:rPr>
          <w:sz w:val="24"/>
          <w:szCs w:val="24"/>
        </w:rPr>
      </w:pPr>
    </w:p>
    <w:p w14:paraId="3545D704" w14:textId="77777777" w:rsidR="00583679" w:rsidRPr="00057786" w:rsidRDefault="00583679" w:rsidP="00583679">
      <w:pPr>
        <w:tabs>
          <w:tab w:val="left" w:pos="851"/>
        </w:tabs>
        <w:ind w:left="851"/>
        <w:rPr>
          <w:sz w:val="24"/>
          <w:szCs w:val="24"/>
          <w:u w:val="single"/>
        </w:rPr>
      </w:pPr>
      <w:r w:rsidRPr="00057786">
        <w:rPr>
          <w:sz w:val="24"/>
          <w:szCs w:val="24"/>
          <w:u w:val="single"/>
        </w:rPr>
        <w:t>Administration</w:t>
      </w:r>
    </w:p>
    <w:p w14:paraId="5356817B" w14:textId="77777777" w:rsidR="00583679" w:rsidRPr="00057786" w:rsidRDefault="00583679" w:rsidP="00583679">
      <w:pPr>
        <w:tabs>
          <w:tab w:val="left" w:pos="851"/>
        </w:tabs>
        <w:ind w:left="851"/>
        <w:rPr>
          <w:sz w:val="24"/>
          <w:szCs w:val="24"/>
          <w:u w:val="single"/>
        </w:rPr>
      </w:pPr>
    </w:p>
    <w:p w14:paraId="38B21B09" w14:textId="77777777" w:rsidR="00583679" w:rsidRPr="00057786" w:rsidRDefault="00583679" w:rsidP="00583679">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skal administreres via langsom (over 2</w:t>
      </w:r>
      <w:r w:rsidRPr="00057786">
        <w:rPr>
          <w:sz w:val="24"/>
          <w:szCs w:val="24"/>
        </w:rPr>
        <w:noBreakHyphen/>
        <w:t xml:space="preserve">3 minutter) intravenøs injektion, eller via infusion, men kan også administreres intramuskulært, hvis der opstår problemer med venøs adgang, og blodcirkulationen er tilstrækkelig.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xml:space="preserve">" kan også administreres via infiltration og via </w:t>
      </w:r>
      <w:proofErr w:type="spellStart"/>
      <w:r w:rsidRPr="00057786">
        <w:rPr>
          <w:sz w:val="24"/>
          <w:szCs w:val="24"/>
        </w:rPr>
        <w:t>intraartikulær</w:t>
      </w:r>
      <w:proofErr w:type="spellEnd"/>
      <w:r w:rsidRPr="00057786">
        <w:rPr>
          <w:sz w:val="24"/>
          <w:szCs w:val="24"/>
        </w:rPr>
        <w:t xml:space="preserve"> eller </w:t>
      </w:r>
      <w:proofErr w:type="spellStart"/>
      <w:r w:rsidRPr="00057786">
        <w:rPr>
          <w:sz w:val="24"/>
          <w:szCs w:val="24"/>
        </w:rPr>
        <w:t>subkonjunktival</w:t>
      </w:r>
      <w:proofErr w:type="spellEnd"/>
      <w:r w:rsidRPr="00057786">
        <w:rPr>
          <w:sz w:val="24"/>
          <w:szCs w:val="24"/>
        </w:rPr>
        <w:t xml:space="preserve"> injektion. Behandlingsvarigheden afhænger af indikationen.</w:t>
      </w:r>
    </w:p>
    <w:p w14:paraId="23C3E976" w14:textId="77777777" w:rsidR="00583679" w:rsidRPr="00057786" w:rsidRDefault="00583679" w:rsidP="00583679">
      <w:pPr>
        <w:tabs>
          <w:tab w:val="left" w:pos="851"/>
        </w:tabs>
        <w:ind w:left="851"/>
        <w:rPr>
          <w:sz w:val="24"/>
          <w:szCs w:val="24"/>
        </w:rPr>
      </w:pPr>
    </w:p>
    <w:p w14:paraId="2DE00865" w14:textId="77777777" w:rsidR="00583679" w:rsidRPr="00057786" w:rsidRDefault="00583679" w:rsidP="00583679">
      <w:pPr>
        <w:tabs>
          <w:tab w:val="left" w:pos="851"/>
        </w:tabs>
        <w:ind w:left="851"/>
        <w:rPr>
          <w:sz w:val="24"/>
          <w:szCs w:val="24"/>
        </w:rPr>
      </w:pPr>
      <w:r w:rsidRPr="00057786">
        <w:rPr>
          <w:sz w:val="24"/>
          <w:szCs w:val="24"/>
        </w:rPr>
        <w:t xml:space="preserve">I forbindelse med </w:t>
      </w:r>
      <w:proofErr w:type="spellStart"/>
      <w:r w:rsidRPr="00057786">
        <w:rPr>
          <w:sz w:val="24"/>
          <w:szCs w:val="24"/>
        </w:rPr>
        <w:t>hypotyroidisme</w:t>
      </w:r>
      <w:proofErr w:type="spellEnd"/>
      <w:r w:rsidRPr="00057786">
        <w:rPr>
          <w:sz w:val="24"/>
          <w:szCs w:val="24"/>
        </w:rPr>
        <w:t xml:space="preserve"> eller </w:t>
      </w:r>
      <w:proofErr w:type="spellStart"/>
      <w:r w:rsidRPr="00057786">
        <w:rPr>
          <w:sz w:val="24"/>
          <w:szCs w:val="24"/>
        </w:rPr>
        <w:t>levercirrhose</w:t>
      </w:r>
      <w:proofErr w:type="spellEnd"/>
      <w:r w:rsidRPr="00057786">
        <w:rPr>
          <w:sz w:val="24"/>
          <w:szCs w:val="24"/>
        </w:rPr>
        <w:t>, kan lave doser være tilstrækkeligt, eller en dosisreduktion kan være nødvendig.</w:t>
      </w:r>
    </w:p>
    <w:p w14:paraId="06AECAD5" w14:textId="77777777" w:rsidR="00583679" w:rsidRPr="00057786" w:rsidRDefault="00583679" w:rsidP="00583679">
      <w:pPr>
        <w:tabs>
          <w:tab w:val="left" w:pos="851"/>
        </w:tabs>
        <w:ind w:left="851"/>
        <w:rPr>
          <w:sz w:val="24"/>
          <w:szCs w:val="24"/>
        </w:rPr>
      </w:pPr>
    </w:p>
    <w:p w14:paraId="7AA8136F" w14:textId="77777777" w:rsidR="00583679" w:rsidRPr="00057786" w:rsidRDefault="00583679" w:rsidP="00583679">
      <w:pPr>
        <w:tabs>
          <w:tab w:val="left" w:pos="851"/>
        </w:tabs>
        <w:ind w:left="851"/>
        <w:rPr>
          <w:sz w:val="24"/>
          <w:szCs w:val="24"/>
        </w:rPr>
      </w:pPr>
      <w:r w:rsidRPr="00057786">
        <w:rPr>
          <w:sz w:val="24"/>
          <w:szCs w:val="24"/>
        </w:rPr>
        <w:t xml:space="preserve">Administration via </w:t>
      </w:r>
      <w:proofErr w:type="spellStart"/>
      <w:r w:rsidRPr="00057786">
        <w:rPr>
          <w:sz w:val="24"/>
          <w:szCs w:val="24"/>
        </w:rPr>
        <w:t>intraartikulær</w:t>
      </w:r>
      <w:proofErr w:type="spellEnd"/>
      <w:r w:rsidRPr="00057786">
        <w:rPr>
          <w:sz w:val="24"/>
          <w:szCs w:val="24"/>
        </w:rPr>
        <w:t xml:space="preserve"> injektion skal anses for at være åbent </w:t>
      </w:r>
      <w:proofErr w:type="spellStart"/>
      <w:r w:rsidRPr="00057786">
        <w:rPr>
          <w:sz w:val="24"/>
          <w:szCs w:val="24"/>
        </w:rPr>
        <w:t>ledindgreb</w:t>
      </w:r>
      <w:proofErr w:type="spellEnd"/>
      <w:r w:rsidRPr="00057786">
        <w:rPr>
          <w:sz w:val="24"/>
          <w:szCs w:val="24"/>
        </w:rPr>
        <w:t xml:space="preserve"> og udføres under strenge aseptiske forhold. En enkelt </w:t>
      </w:r>
      <w:proofErr w:type="spellStart"/>
      <w:r w:rsidRPr="00057786">
        <w:rPr>
          <w:sz w:val="24"/>
          <w:szCs w:val="24"/>
        </w:rPr>
        <w:t>intraartikulær</w:t>
      </w:r>
      <w:proofErr w:type="spellEnd"/>
      <w:r w:rsidRPr="00057786">
        <w:rPr>
          <w:sz w:val="24"/>
          <w:szCs w:val="24"/>
        </w:rPr>
        <w:t xml:space="preserve"> injektion er normalt tilstrækkelig til effektiv symptomlindring. Hvis en gentagen injektion skulle være nødvendig, må den ikke administreres tidligere end efter 3</w:t>
      </w:r>
      <w:r w:rsidRPr="00057786">
        <w:rPr>
          <w:sz w:val="24"/>
          <w:szCs w:val="24"/>
        </w:rPr>
        <w:noBreakHyphen/>
        <w:t>4 uger. Der må ikke anvendes mere end 3</w:t>
      </w:r>
      <w:r w:rsidRPr="00057786">
        <w:rPr>
          <w:sz w:val="24"/>
          <w:szCs w:val="24"/>
        </w:rPr>
        <w:noBreakHyphen/>
        <w:t>4 injektioner på ét led. En medicinsk undersøgelse af leddet er påkrævet, især efter gentagne injektioner.</w:t>
      </w:r>
    </w:p>
    <w:p w14:paraId="1CFE8329" w14:textId="77777777" w:rsidR="00583679" w:rsidRPr="00057786" w:rsidRDefault="00583679" w:rsidP="00583679">
      <w:pPr>
        <w:tabs>
          <w:tab w:val="left" w:pos="851"/>
        </w:tabs>
        <w:ind w:left="851"/>
        <w:rPr>
          <w:sz w:val="24"/>
          <w:szCs w:val="24"/>
        </w:rPr>
      </w:pPr>
    </w:p>
    <w:p w14:paraId="6AFA7CDB" w14:textId="77777777" w:rsidR="00583679" w:rsidRPr="00057786" w:rsidRDefault="00583679" w:rsidP="00583679">
      <w:pPr>
        <w:tabs>
          <w:tab w:val="left" w:pos="851"/>
        </w:tabs>
        <w:ind w:left="851"/>
        <w:rPr>
          <w:sz w:val="24"/>
          <w:szCs w:val="24"/>
        </w:rPr>
      </w:pPr>
      <w:r w:rsidRPr="00057786">
        <w:rPr>
          <w:sz w:val="24"/>
          <w:szCs w:val="24"/>
        </w:rPr>
        <w:t xml:space="preserve">Infiltration: Området med den største smerte eller </w:t>
      </w:r>
      <w:proofErr w:type="spellStart"/>
      <w:r w:rsidRPr="00057786">
        <w:rPr>
          <w:sz w:val="24"/>
          <w:szCs w:val="24"/>
        </w:rPr>
        <w:t>senefæster</w:t>
      </w:r>
      <w:proofErr w:type="spellEnd"/>
      <w:r w:rsidRPr="00057786">
        <w:rPr>
          <w:sz w:val="24"/>
          <w:szCs w:val="24"/>
        </w:rPr>
        <w:t xml:space="preserve"> er infiltreret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Forsigtig, injicér ikke i sene! Hyppige injektioner skal undgås, og strenge aseptiske forholdsregler skal overholdes.</w:t>
      </w:r>
    </w:p>
    <w:p w14:paraId="2694C9E8" w14:textId="77777777" w:rsidR="00583679" w:rsidRPr="00057786" w:rsidRDefault="00583679" w:rsidP="00583679">
      <w:pPr>
        <w:tabs>
          <w:tab w:val="left" w:pos="851"/>
        </w:tabs>
        <w:ind w:left="851"/>
        <w:rPr>
          <w:sz w:val="24"/>
          <w:szCs w:val="24"/>
        </w:rPr>
      </w:pPr>
    </w:p>
    <w:p w14:paraId="351295EF" w14:textId="77777777" w:rsidR="00583679" w:rsidRPr="00057786" w:rsidRDefault="00583679" w:rsidP="00583679">
      <w:pPr>
        <w:tabs>
          <w:tab w:val="left" w:pos="851"/>
        </w:tabs>
        <w:ind w:left="851"/>
        <w:rPr>
          <w:sz w:val="24"/>
          <w:szCs w:val="24"/>
        </w:rPr>
      </w:pPr>
      <w:r w:rsidRPr="00057786">
        <w:rPr>
          <w:sz w:val="24"/>
          <w:szCs w:val="24"/>
        </w:rPr>
        <w:t xml:space="preserve">Hvis høje doser er påkrævet i en enkelt behandling, skal det overvejes at anvende lægemidler med </w:t>
      </w:r>
      <w:proofErr w:type="spellStart"/>
      <w:r w:rsidRPr="00057786">
        <w:rPr>
          <w:sz w:val="24"/>
          <w:szCs w:val="24"/>
        </w:rPr>
        <w:t>dexamethason</w:t>
      </w:r>
      <w:proofErr w:type="spellEnd"/>
      <w:r w:rsidRPr="00057786">
        <w:rPr>
          <w:sz w:val="24"/>
          <w:szCs w:val="24"/>
        </w:rPr>
        <w:t xml:space="preserve"> af en højere styrke/volumen.</w:t>
      </w:r>
    </w:p>
    <w:p w14:paraId="250EC4B2" w14:textId="77777777" w:rsidR="00583679" w:rsidRPr="00057786" w:rsidRDefault="00583679" w:rsidP="00583679">
      <w:pPr>
        <w:tabs>
          <w:tab w:val="left" w:pos="851"/>
        </w:tabs>
        <w:ind w:left="851"/>
        <w:rPr>
          <w:sz w:val="24"/>
          <w:szCs w:val="24"/>
        </w:rPr>
      </w:pPr>
    </w:p>
    <w:p w14:paraId="429CB675" w14:textId="77777777" w:rsidR="00583679" w:rsidRPr="00057786" w:rsidRDefault="00583679" w:rsidP="00583679">
      <w:pPr>
        <w:tabs>
          <w:tab w:val="left" w:pos="851"/>
        </w:tabs>
        <w:ind w:left="851"/>
        <w:rPr>
          <w:sz w:val="24"/>
          <w:szCs w:val="24"/>
          <w:u w:val="single"/>
        </w:rPr>
      </w:pPr>
      <w:r w:rsidRPr="00057786">
        <w:rPr>
          <w:sz w:val="24"/>
          <w:szCs w:val="24"/>
          <w:u w:val="single"/>
        </w:rPr>
        <w:t>Anvendelsesegnethed</w:t>
      </w:r>
    </w:p>
    <w:p w14:paraId="11107F86" w14:textId="77777777" w:rsidR="00583679" w:rsidRPr="00057786" w:rsidRDefault="00583679" w:rsidP="00583679">
      <w:pPr>
        <w:tabs>
          <w:tab w:val="left" w:pos="851"/>
        </w:tabs>
        <w:ind w:left="851"/>
        <w:rPr>
          <w:sz w:val="24"/>
          <w:szCs w:val="24"/>
          <w:u w:val="single"/>
        </w:rPr>
      </w:pPr>
    </w:p>
    <w:p w14:paraId="40F8E310" w14:textId="77777777" w:rsidR="00583679" w:rsidRPr="00057786" w:rsidRDefault="00583679" w:rsidP="00583679">
      <w:pPr>
        <w:tabs>
          <w:tab w:val="left" w:pos="851"/>
        </w:tabs>
        <w:ind w:left="851"/>
        <w:rPr>
          <w:sz w:val="24"/>
          <w:szCs w:val="24"/>
        </w:rPr>
      </w:pPr>
      <w:r w:rsidRPr="00057786">
        <w:rPr>
          <w:sz w:val="24"/>
          <w:szCs w:val="24"/>
        </w:rPr>
        <w:t>Kun klare opløsninger må anvendes. Indholdet af ampullen er beregnet til engangsbrug. Eventuel overskydende injektionsvæske skal bortskaffes.</w:t>
      </w:r>
    </w:p>
    <w:p w14:paraId="272BBD2C" w14:textId="77777777" w:rsidR="00583679" w:rsidRPr="00057786" w:rsidRDefault="00583679" w:rsidP="00583679">
      <w:pPr>
        <w:tabs>
          <w:tab w:val="left" w:pos="851"/>
        </w:tabs>
        <w:ind w:left="851"/>
        <w:rPr>
          <w:sz w:val="24"/>
          <w:szCs w:val="24"/>
        </w:rPr>
      </w:pPr>
    </w:p>
    <w:p w14:paraId="54050B16" w14:textId="77777777" w:rsidR="00583679" w:rsidRPr="00057786" w:rsidRDefault="00583679" w:rsidP="00583679">
      <w:pPr>
        <w:tabs>
          <w:tab w:val="left" w:pos="851"/>
        </w:tabs>
        <w:ind w:left="851"/>
        <w:rPr>
          <w:sz w:val="24"/>
          <w:szCs w:val="24"/>
        </w:rPr>
      </w:pPr>
      <w:r w:rsidRPr="00057786">
        <w:rPr>
          <w:sz w:val="24"/>
          <w:szCs w:val="24"/>
        </w:rPr>
        <w:t>Se pkt. 6.6. for oplysninger om forligelighed.</w:t>
      </w:r>
    </w:p>
    <w:p w14:paraId="4B6B89DA" w14:textId="77777777" w:rsidR="009260DE" w:rsidRPr="00057786" w:rsidRDefault="009260DE" w:rsidP="009260DE">
      <w:pPr>
        <w:tabs>
          <w:tab w:val="left" w:pos="851"/>
        </w:tabs>
        <w:ind w:left="851"/>
        <w:rPr>
          <w:sz w:val="24"/>
          <w:szCs w:val="24"/>
        </w:rPr>
      </w:pPr>
    </w:p>
    <w:p w14:paraId="77944B9B" w14:textId="77777777" w:rsidR="009260DE" w:rsidRPr="00057786" w:rsidRDefault="009260DE" w:rsidP="009260DE">
      <w:pPr>
        <w:tabs>
          <w:tab w:val="left" w:pos="851"/>
        </w:tabs>
        <w:ind w:left="851" w:hanging="851"/>
        <w:rPr>
          <w:b/>
          <w:sz w:val="24"/>
          <w:szCs w:val="24"/>
        </w:rPr>
      </w:pPr>
      <w:r w:rsidRPr="00057786">
        <w:rPr>
          <w:b/>
          <w:sz w:val="24"/>
          <w:szCs w:val="24"/>
        </w:rPr>
        <w:t>4.3</w:t>
      </w:r>
      <w:r w:rsidRPr="00057786">
        <w:rPr>
          <w:b/>
          <w:sz w:val="24"/>
          <w:szCs w:val="24"/>
        </w:rPr>
        <w:tab/>
        <w:t>Kontraindikationer</w:t>
      </w:r>
    </w:p>
    <w:p w14:paraId="3B89C1D8" w14:textId="77777777" w:rsidR="00583679" w:rsidRPr="00057786" w:rsidRDefault="00583679" w:rsidP="00583679">
      <w:pPr>
        <w:tabs>
          <w:tab w:val="left" w:pos="851"/>
        </w:tabs>
        <w:ind w:left="851"/>
        <w:rPr>
          <w:sz w:val="24"/>
          <w:szCs w:val="24"/>
          <w:lang w:eastAsia="da-DK"/>
        </w:rPr>
      </w:pPr>
      <w:r w:rsidRPr="00057786">
        <w:rPr>
          <w:sz w:val="24"/>
          <w:szCs w:val="24"/>
        </w:rPr>
        <w:t>Overfølsomhed over for det aktive stof eller over for et eller flere af hjælpestofferne anført i pkt. 6.1.</w:t>
      </w:r>
    </w:p>
    <w:p w14:paraId="2EDE5CF4" w14:textId="77777777" w:rsidR="00583679" w:rsidRPr="00057786" w:rsidRDefault="00583679" w:rsidP="00583679">
      <w:pPr>
        <w:tabs>
          <w:tab w:val="left" w:pos="851"/>
        </w:tabs>
        <w:ind w:left="851"/>
        <w:rPr>
          <w:sz w:val="24"/>
          <w:szCs w:val="24"/>
        </w:rPr>
      </w:pPr>
      <w:r w:rsidRPr="00057786">
        <w:rPr>
          <w:sz w:val="24"/>
          <w:szCs w:val="24"/>
        </w:rPr>
        <w:t>Systemisk svampeinfektion; systemisk infektion, medmindre der anvendes specifik infektionsbehandling.</w:t>
      </w:r>
    </w:p>
    <w:p w14:paraId="23A0BC2F" w14:textId="77777777" w:rsidR="00583679" w:rsidRPr="00057786" w:rsidRDefault="00583679" w:rsidP="00583679">
      <w:pPr>
        <w:tabs>
          <w:tab w:val="left" w:pos="851"/>
        </w:tabs>
        <w:ind w:left="851"/>
        <w:rPr>
          <w:sz w:val="24"/>
          <w:szCs w:val="24"/>
        </w:rPr>
      </w:pPr>
    </w:p>
    <w:p w14:paraId="68600BBF" w14:textId="77777777" w:rsidR="00583679" w:rsidRPr="00057786" w:rsidRDefault="00583679" w:rsidP="00583679">
      <w:pPr>
        <w:tabs>
          <w:tab w:val="left" w:pos="851"/>
        </w:tabs>
        <w:ind w:left="851"/>
        <w:rPr>
          <w:sz w:val="24"/>
          <w:szCs w:val="24"/>
        </w:rPr>
      </w:pPr>
      <w:proofErr w:type="spellStart"/>
      <w:r w:rsidRPr="00057786">
        <w:rPr>
          <w:sz w:val="24"/>
          <w:szCs w:val="24"/>
        </w:rPr>
        <w:t>Intraartikulær</w:t>
      </w:r>
      <w:proofErr w:type="spellEnd"/>
      <w:r w:rsidRPr="00057786">
        <w:rPr>
          <w:sz w:val="24"/>
          <w:szCs w:val="24"/>
        </w:rPr>
        <w:t xml:space="preserve"> injektion er kontraindiceret i følgende tilfælde</w:t>
      </w:r>
    </w:p>
    <w:p w14:paraId="47AF92D3" w14:textId="77777777" w:rsidR="00583679" w:rsidRPr="00057786" w:rsidRDefault="00583679" w:rsidP="00583679">
      <w:pPr>
        <w:tabs>
          <w:tab w:val="left" w:pos="851"/>
        </w:tabs>
        <w:ind w:left="851"/>
        <w:rPr>
          <w:sz w:val="24"/>
          <w:szCs w:val="24"/>
        </w:rPr>
      </w:pPr>
    </w:p>
    <w:p w14:paraId="35A08CD5"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hvis der er infektionen i eller meget tæt på det led, der skal behandles</w:t>
      </w:r>
    </w:p>
    <w:p w14:paraId="6B479B99"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ved bakteriel </w:t>
      </w:r>
      <w:proofErr w:type="spellStart"/>
      <w:r w:rsidRPr="00057786">
        <w:rPr>
          <w:sz w:val="24"/>
          <w:szCs w:val="24"/>
        </w:rPr>
        <w:t>artrit</w:t>
      </w:r>
      <w:proofErr w:type="spellEnd"/>
    </w:p>
    <w:p w14:paraId="35291CB7"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ved ustabilitet i det led, der skal behandles</w:t>
      </w:r>
    </w:p>
    <w:p w14:paraId="053F741F"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ved blødningstendens (spontan eller på grund af </w:t>
      </w:r>
      <w:proofErr w:type="spellStart"/>
      <w:r w:rsidRPr="00057786">
        <w:rPr>
          <w:sz w:val="24"/>
          <w:szCs w:val="24"/>
        </w:rPr>
        <w:t>antikoagulantia</w:t>
      </w:r>
      <w:proofErr w:type="spellEnd"/>
      <w:r w:rsidRPr="00057786">
        <w:rPr>
          <w:sz w:val="24"/>
          <w:szCs w:val="24"/>
        </w:rPr>
        <w:t>)</w:t>
      </w:r>
    </w:p>
    <w:p w14:paraId="6E56825B"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ved </w:t>
      </w:r>
      <w:proofErr w:type="spellStart"/>
      <w:r w:rsidRPr="00057786">
        <w:rPr>
          <w:sz w:val="24"/>
          <w:szCs w:val="24"/>
        </w:rPr>
        <w:t>periartikulær</w:t>
      </w:r>
      <w:proofErr w:type="spellEnd"/>
      <w:r w:rsidRPr="00057786">
        <w:rPr>
          <w:sz w:val="24"/>
          <w:szCs w:val="24"/>
        </w:rPr>
        <w:t xml:space="preserve"> forkalkning</w:t>
      </w:r>
    </w:p>
    <w:p w14:paraId="07D3C6A3"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ved </w:t>
      </w:r>
      <w:proofErr w:type="spellStart"/>
      <w:r w:rsidRPr="00057786">
        <w:rPr>
          <w:sz w:val="24"/>
          <w:szCs w:val="24"/>
        </w:rPr>
        <w:t>avaskulær</w:t>
      </w:r>
      <w:proofErr w:type="spellEnd"/>
      <w:r w:rsidRPr="00057786">
        <w:rPr>
          <w:sz w:val="24"/>
          <w:szCs w:val="24"/>
        </w:rPr>
        <w:t xml:space="preserve"> knoglenekrose</w:t>
      </w:r>
    </w:p>
    <w:p w14:paraId="62780C24"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ved </w:t>
      </w:r>
      <w:proofErr w:type="spellStart"/>
      <w:r w:rsidRPr="00057786">
        <w:rPr>
          <w:sz w:val="24"/>
          <w:szCs w:val="24"/>
        </w:rPr>
        <w:t>seneruptur</w:t>
      </w:r>
      <w:proofErr w:type="spellEnd"/>
    </w:p>
    <w:p w14:paraId="3276B25F" w14:textId="77777777" w:rsidR="00583679" w:rsidRPr="00057786" w:rsidRDefault="00583679" w:rsidP="00583679">
      <w:pPr>
        <w:numPr>
          <w:ilvl w:val="0"/>
          <w:numId w:val="6"/>
        </w:numPr>
        <w:tabs>
          <w:tab w:val="left" w:pos="851"/>
        </w:tabs>
        <w:ind w:left="1276" w:hanging="425"/>
        <w:rPr>
          <w:sz w:val="24"/>
          <w:szCs w:val="24"/>
        </w:rPr>
      </w:pPr>
      <w:r w:rsidRPr="00057786">
        <w:rPr>
          <w:sz w:val="24"/>
          <w:szCs w:val="24"/>
        </w:rPr>
        <w:t xml:space="preserve">ved </w:t>
      </w:r>
      <w:proofErr w:type="spellStart"/>
      <w:r w:rsidRPr="00057786">
        <w:rPr>
          <w:sz w:val="24"/>
          <w:szCs w:val="24"/>
        </w:rPr>
        <w:t>Charcots</w:t>
      </w:r>
      <w:proofErr w:type="spellEnd"/>
      <w:r w:rsidRPr="00057786">
        <w:rPr>
          <w:sz w:val="24"/>
          <w:szCs w:val="24"/>
        </w:rPr>
        <w:t xml:space="preserve"> led</w:t>
      </w:r>
    </w:p>
    <w:p w14:paraId="0EA5B291" w14:textId="77777777" w:rsidR="00583679" w:rsidRPr="00057786" w:rsidRDefault="00583679" w:rsidP="00583679">
      <w:pPr>
        <w:tabs>
          <w:tab w:val="left" w:pos="851"/>
        </w:tabs>
        <w:ind w:left="851"/>
        <w:rPr>
          <w:sz w:val="24"/>
          <w:szCs w:val="24"/>
        </w:rPr>
      </w:pPr>
    </w:p>
    <w:p w14:paraId="05C0262B" w14:textId="77777777" w:rsidR="00583679" w:rsidRPr="00057786" w:rsidRDefault="00583679" w:rsidP="00583679">
      <w:pPr>
        <w:tabs>
          <w:tab w:val="left" w:pos="851"/>
        </w:tabs>
        <w:ind w:left="851"/>
        <w:rPr>
          <w:sz w:val="24"/>
          <w:szCs w:val="24"/>
        </w:rPr>
      </w:pPr>
      <w:r w:rsidRPr="00057786">
        <w:rPr>
          <w:sz w:val="24"/>
          <w:szCs w:val="24"/>
        </w:rPr>
        <w:t xml:space="preserve">Infiltration uden kausal yderligere behandling er kontraindiceret, hvis der er infektionen i administrationsområdet, og det samme er </w:t>
      </w:r>
      <w:proofErr w:type="spellStart"/>
      <w:r w:rsidRPr="00057786">
        <w:rPr>
          <w:sz w:val="24"/>
          <w:szCs w:val="24"/>
        </w:rPr>
        <w:t>subkonjunktival</w:t>
      </w:r>
      <w:proofErr w:type="spellEnd"/>
      <w:r w:rsidRPr="00057786">
        <w:rPr>
          <w:sz w:val="24"/>
          <w:szCs w:val="24"/>
        </w:rPr>
        <w:t xml:space="preserve"> administration i forbindelse med virale, bakterielle og </w:t>
      </w:r>
      <w:proofErr w:type="spellStart"/>
      <w:r w:rsidRPr="00057786">
        <w:rPr>
          <w:sz w:val="24"/>
          <w:szCs w:val="24"/>
        </w:rPr>
        <w:t>mykotiske</w:t>
      </w:r>
      <w:proofErr w:type="spellEnd"/>
      <w:r w:rsidRPr="00057786">
        <w:rPr>
          <w:sz w:val="24"/>
          <w:szCs w:val="24"/>
        </w:rPr>
        <w:t xml:space="preserve"> øjensygdomme eller skader og sår på hornhinden.</w:t>
      </w:r>
    </w:p>
    <w:p w14:paraId="296902B9" w14:textId="77777777" w:rsidR="009260DE" w:rsidRPr="00057786" w:rsidRDefault="009260DE" w:rsidP="009260DE">
      <w:pPr>
        <w:tabs>
          <w:tab w:val="left" w:pos="851"/>
        </w:tabs>
        <w:ind w:left="851"/>
        <w:rPr>
          <w:sz w:val="24"/>
          <w:szCs w:val="24"/>
        </w:rPr>
      </w:pPr>
    </w:p>
    <w:p w14:paraId="3C9A29E8" w14:textId="77777777" w:rsidR="009260DE" w:rsidRPr="00057786" w:rsidRDefault="009260DE" w:rsidP="009260DE">
      <w:pPr>
        <w:tabs>
          <w:tab w:val="left" w:pos="851"/>
        </w:tabs>
        <w:ind w:left="851" w:hanging="851"/>
        <w:rPr>
          <w:b/>
          <w:sz w:val="24"/>
          <w:szCs w:val="24"/>
        </w:rPr>
      </w:pPr>
      <w:r w:rsidRPr="00057786">
        <w:rPr>
          <w:b/>
          <w:sz w:val="24"/>
          <w:szCs w:val="24"/>
        </w:rPr>
        <w:t>4.4</w:t>
      </w:r>
      <w:r w:rsidRPr="00057786">
        <w:rPr>
          <w:b/>
          <w:sz w:val="24"/>
          <w:szCs w:val="24"/>
        </w:rPr>
        <w:tab/>
        <w:t>Særlige advarsler og forsigtighedsregler vedrørende brugen</w:t>
      </w:r>
    </w:p>
    <w:p w14:paraId="0A131129" w14:textId="77777777" w:rsidR="00262BA8" w:rsidRPr="00057786" w:rsidRDefault="00262BA8" w:rsidP="00262BA8">
      <w:pPr>
        <w:tabs>
          <w:tab w:val="left" w:pos="851"/>
        </w:tabs>
        <w:ind w:left="851"/>
        <w:rPr>
          <w:sz w:val="24"/>
          <w:szCs w:val="24"/>
          <w:lang w:eastAsia="da-DK"/>
        </w:rPr>
      </w:pPr>
      <w:r w:rsidRPr="00057786">
        <w:rPr>
          <w:i/>
          <w:sz w:val="24"/>
          <w:szCs w:val="24"/>
        </w:rPr>
        <w:t xml:space="preserve">Enkelte tilfælde af alvorlige </w:t>
      </w:r>
      <w:proofErr w:type="spellStart"/>
      <w:r w:rsidRPr="00057786">
        <w:rPr>
          <w:i/>
          <w:sz w:val="24"/>
          <w:szCs w:val="24"/>
        </w:rPr>
        <w:t>anafylaktiske</w:t>
      </w:r>
      <w:proofErr w:type="spellEnd"/>
      <w:r w:rsidRPr="00057786">
        <w:rPr>
          <w:i/>
          <w:sz w:val="24"/>
          <w:szCs w:val="24"/>
        </w:rPr>
        <w:t xml:space="preserve"> reaktioner med kredsløbskollaps, hjertestop, </w:t>
      </w:r>
      <w:proofErr w:type="spellStart"/>
      <w:r w:rsidRPr="00057786">
        <w:rPr>
          <w:i/>
          <w:sz w:val="24"/>
          <w:szCs w:val="24"/>
        </w:rPr>
        <w:t>arytmi</w:t>
      </w:r>
      <w:proofErr w:type="spellEnd"/>
      <w:r w:rsidRPr="00057786">
        <w:rPr>
          <w:i/>
          <w:sz w:val="24"/>
          <w:szCs w:val="24"/>
        </w:rPr>
        <w:t xml:space="preserve">, </w:t>
      </w:r>
      <w:proofErr w:type="spellStart"/>
      <w:r w:rsidRPr="00057786">
        <w:rPr>
          <w:i/>
          <w:sz w:val="24"/>
          <w:szCs w:val="24"/>
        </w:rPr>
        <w:t>bronchospasme</w:t>
      </w:r>
      <w:proofErr w:type="spellEnd"/>
      <w:r w:rsidRPr="00057786">
        <w:rPr>
          <w:i/>
          <w:sz w:val="24"/>
          <w:szCs w:val="24"/>
        </w:rPr>
        <w:t xml:space="preserve"> og/eller hypotension eller hypertension er observeret i forbindelse med anvendelsen af </w:t>
      </w:r>
      <w:proofErr w:type="spellStart"/>
      <w:r w:rsidRPr="00057786">
        <w:rPr>
          <w:i/>
          <w:sz w:val="24"/>
          <w:szCs w:val="24"/>
        </w:rPr>
        <w:t>Dexamethason</w:t>
      </w:r>
      <w:proofErr w:type="spellEnd"/>
      <w:r w:rsidRPr="00057786">
        <w:rPr>
          <w:i/>
          <w:sz w:val="24"/>
          <w:szCs w:val="24"/>
        </w:rPr>
        <w:t xml:space="preserve"> "</w:t>
      </w:r>
      <w:proofErr w:type="spellStart"/>
      <w:r w:rsidRPr="00057786">
        <w:rPr>
          <w:i/>
          <w:sz w:val="24"/>
          <w:szCs w:val="24"/>
        </w:rPr>
        <w:t>Krka</w:t>
      </w:r>
      <w:proofErr w:type="spellEnd"/>
      <w:r w:rsidRPr="00057786">
        <w:rPr>
          <w:i/>
          <w:sz w:val="24"/>
          <w:szCs w:val="24"/>
        </w:rPr>
        <w:t>".</w:t>
      </w:r>
    </w:p>
    <w:p w14:paraId="1885F63D" w14:textId="77777777" w:rsidR="00262BA8" w:rsidRPr="00057786" w:rsidRDefault="00262BA8" w:rsidP="00262BA8">
      <w:pPr>
        <w:tabs>
          <w:tab w:val="left" w:pos="851"/>
        </w:tabs>
        <w:ind w:left="851"/>
        <w:rPr>
          <w:sz w:val="24"/>
          <w:szCs w:val="24"/>
        </w:rPr>
      </w:pPr>
    </w:p>
    <w:p w14:paraId="6644394E" w14:textId="77777777" w:rsidR="00262BA8" w:rsidRPr="00057786" w:rsidRDefault="00262BA8" w:rsidP="00262BA8">
      <w:pPr>
        <w:tabs>
          <w:tab w:val="left" w:pos="851"/>
        </w:tabs>
        <w:ind w:left="851"/>
        <w:rPr>
          <w:sz w:val="24"/>
          <w:szCs w:val="24"/>
        </w:rPr>
      </w:pPr>
      <w:r w:rsidRPr="00057786">
        <w:rPr>
          <w:sz w:val="24"/>
          <w:szCs w:val="24"/>
        </w:rPr>
        <w:t xml:space="preserve">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kan, på grund af immunsuppression, øge risikoen for infektioner med bakterier, vira, parasitter og svampe samt øge risikoen for opportunistiske infektioner. Symptomer på en eksisterende infektion eller en infektion, som er under udvikling, kan blive sløret og derved gøre det vanskeligere at stille en diagnose. Latente infektioner som tuberkulose eller hepatitis B kan genaktiveres.</w:t>
      </w:r>
    </w:p>
    <w:p w14:paraId="6257598C" w14:textId="77777777" w:rsidR="00262BA8" w:rsidRPr="00057786" w:rsidRDefault="00262BA8" w:rsidP="00262BA8">
      <w:pPr>
        <w:tabs>
          <w:tab w:val="left" w:pos="851"/>
        </w:tabs>
        <w:ind w:left="851"/>
        <w:rPr>
          <w:sz w:val="24"/>
          <w:szCs w:val="24"/>
        </w:rPr>
      </w:pPr>
    </w:p>
    <w:p w14:paraId="4C13457F" w14:textId="77777777" w:rsidR="00262BA8" w:rsidRPr="00057786" w:rsidRDefault="00262BA8" w:rsidP="00262BA8">
      <w:pPr>
        <w:tabs>
          <w:tab w:val="left" w:pos="851"/>
        </w:tabs>
        <w:ind w:left="851"/>
        <w:rPr>
          <w:sz w:val="24"/>
          <w:szCs w:val="24"/>
        </w:rPr>
      </w:pPr>
      <w:r w:rsidRPr="00057786">
        <w:rPr>
          <w:sz w:val="24"/>
          <w:szCs w:val="24"/>
        </w:rPr>
        <w:t xml:space="preserve">I situationer med særlig fysisk belastning (traume, operation, fødsel osv.) under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kan en midlertidig dosisstigning være nødvendig.</w:t>
      </w:r>
    </w:p>
    <w:p w14:paraId="1A5DF9B9" w14:textId="77777777" w:rsidR="00262BA8" w:rsidRPr="00057786" w:rsidRDefault="00262BA8" w:rsidP="00262BA8">
      <w:pPr>
        <w:tabs>
          <w:tab w:val="left" w:pos="851"/>
        </w:tabs>
        <w:ind w:left="851"/>
        <w:rPr>
          <w:sz w:val="24"/>
          <w:szCs w:val="24"/>
        </w:rPr>
      </w:pPr>
    </w:p>
    <w:p w14:paraId="2241E6DB" w14:textId="77777777" w:rsidR="00262BA8" w:rsidRPr="00057786" w:rsidRDefault="00262BA8" w:rsidP="00262BA8">
      <w:pPr>
        <w:tabs>
          <w:tab w:val="left" w:pos="851"/>
        </w:tabs>
        <w:ind w:left="851"/>
        <w:rPr>
          <w:sz w:val="24"/>
          <w:szCs w:val="24"/>
        </w:rPr>
      </w:pPr>
      <w:r w:rsidRPr="00057786">
        <w:rPr>
          <w:sz w:val="24"/>
          <w:szCs w:val="24"/>
        </w:rPr>
        <w:t xml:space="preserve">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bør kun administreres i tilfælde af de strengeste indikationer og, om nødvendigt, yderligere målrettet infektionsbehandling, hvis noget af følgende er til stede:</w:t>
      </w:r>
    </w:p>
    <w:p w14:paraId="55421F52" w14:textId="77777777" w:rsidR="00262BA8" w:rsidRPr="00057786" w:rsidRDefault="00262BA8" w:rsidP="00262BA8">
      <w:pPr>
        <w:tabs>
          <w:tab w:val="left" w:pos="851"/>
        </w:tabs>
        <w:ind w:left="851"/>
        <w:rPr>
          <w:sz w:val="24"/>
          <w:szCs w:val="24"/>
        </w:rPr>
      </w:pPr>
    </w:p>
    <w:p w14:paraId="64B87CBB"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 xml:space="preserve">akutte virusinfektioner (hepatitis B, herpes </w:t>
      </w:r>
      <w:proofErr w:type="spellStart"/>
      <w:r w:rsidRPr="00057786">
        <w:rPr>
          <w:sz w:val="24"/>
          <w:szCs w:val="24"/>
        </w:rPr>
        <w:t>zoster</w:t>
      </w:r>
      <w:proofErr w:type="spellEnd"/>
      <w:r w:rsidRPr="00057786">
        <w:rPr>
          <w:sz w:val="24"/>
          <w:szCs w:val="24"/>
        </w:rPr>
        <w:t xml:space="preserve">, herpes </w:t>
      </w:r>
      <w:proofErr w:type="spellStart"/>
      <w:r w:rsidRPr="00057786">
        <w:rPr>
          <w:sz w:val="24"/>
          <w:szCs w:val="24"/>
        </w:rPr>
        <w:t>simplex</w:t>
      </w:r>
      <w:proofErr w:type="spellEnd"/>
      <w:r w:rsidRPr="00057786">
        <w:rPr>
          <w:sz w:val="24"/>
          <w:szCs w:val="24"/>
        </w:rPr>
        <w:t xml:space="preserve">, </w:t>
      </w:r>
      <w:proofErr w:type="spellStart"/>
      <w:r w:rsidRPr="00057786">
        <w:rPr>
          <w:sz w:val="24"/>
          <w:szCs w:val="24"/>
        </w:rPr>
        <w:t>varicella</w:t>
      </w:r>
      <w:proofErr w:type="spellEnd"/>
      <w:r w:rsidRPr="00057786">
        <w:rPr>
          <w:sz w:val="24"/>
          <w:szCs w:val="24"/>
        </w:rPr>
        <w:t xml:space="preserve">, </w:t>
      </w:r>
      <w:proofErr w:type="spellStart"/>
      <w:r w:rsidRPr="00057786">
        <w:rPr>
          <w:sz w:val="24"/>
          <w:szCs w:val="24"/>
        </w:rPr>
        <w:t>herpetisk</w:t>
      </w:r>
      <w:proofErr w:type="spellEnd"/>
      <w:r w:rsidRPr="00057786">
        <w:rPr>
          <w:sz w:val="24"/>
          <w:szCs w:val="24"/>
        </w:rPr>
        <w:t xml:space="preserve"> </w:t>
      </w:r>
      <w:proofErr w:type="spellStart"/>
      <w:r w:rsidRPr="00057786">
        <w:rPr>
          <w:sz w:val="24"/>
          <w:szCs w:val="24"/>
        </w:rPr>
        <w:t>keratitis</w:t>
      </w:r>
      <w:proofErr w:type="spellEnd"/>
      <w:r w:rsidRPr="00057786">
        <w:rPr>
          <w:sz w:val="24"/>
          <w:szCs w:val="24"/>
        </w:rPr>
        <w:t>)</w:t>
      </w:r>
    </w:p>
    <w:p w14:paraId="1495FA03" w14:textId="77777777" w:rsidR="00262BA8" w:rsidRPr="00057786" w:rsidRDefault="00262BA8" w:rsidP="00262BA8">
      <w:pPr>
        <w:numPr>
          <w:ilvl w:val="0"/>
          <w:numId w:val="6"/>
        </w:numPr>
        <w:tabs>
          <w:tab w:val="left" w:pos="851"/>
        </w:tabs>
        <w:ind w:left="1276" w:hanging="425"/>
        <w:rPr>
          <w:sz w:val="24"/>
          <w:szCs w:val="24"/>
        </w:rPr>
      </w:pPr>
      <w:proofErr w:type="spellStart"/>
      <w:r w:rsidRPr="00057786">
        <w:rPr>
          <w:sz w:val="24"/>
          <w:szCs w:val="24"/>
        </w:rPr>
        <w:t>HBsAG</w:t>
      </w:r>
      <w:proofErr w:type="spellEnd"/>
      <w:r w:rsidRPr="00057786">
        <w:rPr>
          <w:sz w:val="24"/>
          <w:szCs w:val="24"/>
        </w:rPr>
        <w:t>-positiv kronisk aktiv hepatitis</w:t>
      </w:r>
    </w:p>
    <w:p w14:paraId="58A50407"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cirka 8 uger før til 2 uger efter vaccinationer med levende vacciner</w:t>
      </w:r>
    </w:p>
    <w:p w14:paraId="4D98708F"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 xml:space="preserve">systemiske </w:t>
      </w:r>
      <w:proofErr w:type="spellStart"/>
      <w:r w:rsidRPr="00057786">
        <w:rPr>
          <w:sz w:val="24"/>
          <w:szCs w:val="24"/>
        </w:rPr>
        <w:t>mykoser</w:t>
      </w:r>
      <w:proofErr w:type="spellEnd"/>
      <w:r w:rsidRPr="00057786">
        <w:rPr>
          <w:sz w:val="24"/>
          <w:szCs w:val="24"/>
        </w:rPr>
        <w:t xml:space="preserve"> og parasitsygdomme (f.eks. </w:t>
      </w:r>
      <w:proofErr w:type="spellStart"/>
      <w:r w:rsidRPr="00057786">
        <w:rPr>
          <w:sz w:val="24"/>
          <w:szCs w:val="24"/>
        </w:rPr>
        <w:t>nematoder</w:t>
      </w:r>
      <w:proofErr w:type="spellEnd"/>
      <w:r w:rsidRPr="00057786">
        <w:rPr>
          <w:sz w:val="24"/>
          <w:szCs w:val="24"/>
        </w:rPr>
        <w:t>)</w:t>
      </w:r>
    </w:p>
    <w:p w14:paraId="6C230CFE"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 xml:space="preserve">hos patienter med formodet eller bekræftet </w:t>
      </w:r>
      <w:proofErr w:type="spellStart"/>
      <w:r w:rsidRPr="00057786">
        <w:rPr>
          <w:sz w:val="24"/>
          <w:szCs w:val="24"/>
        </w:rPr>
        <w:t>strongyloidiasis</w:t>
      </w:r>
      <w:proofErr w:type="spellEnd"/>
      <w:r w:rsidRPr="00057786">
        <w:rPr>
          <w:sz w:val="24"/>
          <w:szCs w:val="24"/>
        </w:rPr>
        <w:t xml:space="preserve"> (infektion med trådorm) kan </w:t>
      </w:r>
      <w:proofErr w:type="spellStart"/>
      <w:r w:rsidRPr="00057786">
        <w:rPr>
          <w:sz w:val="24"/>
          <w:szCs w:val="24"/>
        </w:rPr>
        <w:t>glukokortikoider</w:t>
      </w:r>
      <w:proofErr w:type="spellEnd"/>
      <w:r w:rsidRPr="00057786">
        <w:rPr>
          <w:sz w:val="24"/>
          <w:szCs w:val="24"/>
        </w:rPr>
        <w:t xml:space="preserve"> medføre aktivering og masseformering af disse parasitter</w:t>
      </w:r>
    </w:p>
    <w:p w14:paraId="17B64D75"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poliomyelitis</w:t>
      </w:r>
    </w:p>
    <w:p w14:paraId="47C64B9C" w14:textId="77777777" w:rsidR="00262BA8" w:rsidRPr="00057786" w:rsidRDefault="00262BA8" w:rsidP="00262BA8">
      <w:pPr>
        <w:numPr>
          <w:ilvl w:val="0"/>
          <w:numId w:val="6"/>
        </w:numPr>
        <w:tabs>
          <w:tab w:val="left" w:pos="851"/>
        </w:tabs>
        <w:ind w:left="1276" w:hanging="425"/>
        <w:rPr>
          <w:sz w:val="24"/>
          <w:szCs w:val="24"/>
        </w:rPr>
      </w:pPr>
      <w:proofErr w:type="spellStart"/>
      <w:r w:rsidRPr="00057786">
        <w:rPr>
          <w:sz w:val="24"/>
          <w:szCs w:val="24"/>
        </w:rPr>
        <w:t>lymphadenitis</w:t>
      </w:r>
      <w:proofErr w:type="spellEnd"/>
      <w:r w:rsidRPr="00057786">
        <w:rPr>
          <w:sz w:val="24"/>
          <w:szCs w:val="24"/>
        </w:rPr>
        <w:t xml:space="preserve"> efter BCG-vaccination</w:t>
      </w:r>
    </w:p>
    <w:p w14:paraId="1D4F6BCD"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akutte og kroniske bakterieinfektioner</w:t>
      </w:r>
    </w:p>
    <w:p w14:paraId="0AE75FEF" w14:textId="77777777" w:rsidR="00262BA8" w:rsidRPr="00057786" w:rsidRDefault="00262BA8" w:rsidP="00262BA8">
      <w:pPr>
        <w:numPr>
          <w:ilvl w:val="0"/>
          <w:numId w:val="6"/>
        </w:numPr>
        <w:tabs>
          <w:tab w:val="left" w:pos="851"/>
        </w:tabs>
        <w:ind w:left="1276" w:hanging="425"/>
        <w:rPr>
          <w:sz w:val="24"/>
          <w:szCs w:val="24"/>
        </w:rPr>
      </w:pPr>
      <w:r w:rsidRPr="00057786">
        <w:rPr>
          <w:sz w:val="24"/>
          <w:szCs w:val="24"/>
        </w:rPr>
        <w:t xml:space="preserve">brug kun til patienter, der tidligere har haft tuberkulose, hvis de er under </w:t>
      </w:r>
      <w:proofErr w:type="spellStart"/>
      <w:r w:rsidRPr="00057786">
        <w:rPr>
          <w:sz w:val="24"/>
          <w:szCs w:val="24"/>
        </w:rPr>
        <w:t>tuberkulostatisk</w:t>
      </w:r>
      <w:proofErr w:type="spellEnd"/>
      <w:r w:rsidRPr="00057786">
        <w:rPr>
          <w:sz w:val="24"/>
          <w:szCs w:val="24"/>
        </w:rPr>
        <w:t xml:space="preserve"> beskyttelse.</w:t>
      </w:r>
    </w:p>
    <w:p w14:paraId="6957F9BC" w14:textId="77777777" w:rsidR="00262BA8" w:rsidRPr="00057786" w:rsidRDefault="00262BA8" w:rsidP="00262BA8">
      <w:pPr>
        <w:tabs>
          <w:tab w:val="left" w:pos="851"/>
        </w:tabs>
        <w:rPr>
          <w:sz w:val="24"/>
          <w:szCs w:val="24"/>
        </w:rPr>
      </w:pPr>
    </w:p>
    <w:p w14:paraId="6F149E0D" w14:textId="77777777" w:rsidR="00262BA8" w:rsidRPr="00057786" w:rsidRDefault="00262BA8" w:rsidP="00262BA8">
      <w:pPr>
        <w:tabs>
          <w:tab w:val="left" w:pos="851"/>
        </w:tabs>
        <w:ind w:left="851"/>
        <w:rPr>
          <w:sz w:val="24"/>
          <w:szCs w:val="24"/>
        </w:rPr>
      </w:pPr>
      <w:r w:rsidRPr="00057786">
        <w:rPr>
          <w:sz w:val="24"/>
          <w:szCs w:val="24"/>
        </w:rPr>
        <w:t xml:space="preserve">Derudover bør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kun administreres i tilfælde af de stærkeste indikationer, og om nødvendigt skal yderligere specifik behandling implementeres for:</w:t>
      </w:r>
    </w:p>
    <w:p w14:paraId="05004320" w14:textId="77777777" w:rsidR="00262BA8" w:rsidRPr="00057786" w:rsidRDefault="00262BA8" w:rsidP="00262BA8">
      <w:pPr>
        <w:tabs>
          <w:tab w:val="left" w:pos="851"/>
        </w:tabs>
        <w:ind w:left="851"/>
        <w:rPr>
          <w:sz w:val="24"/>
          <w:szCs w:val="24"/>
        </w:rPr>
      </w:pPr>
    </w:p>
    <w:p w14:paraId="761BD366" w14:textId="77777777" w:rsidR="00262BA8" w:rsidRPr="00057786" w:rsidRDefault="00262BA8" w:rsidP="00262BA8">
      <w:pPr>
        <w:widowControl w:val="0"/>
        <w:numPr>
          <w:ilvl w:val="0"/>
          <w:numId w:val="7"/>
        </w:numPr>
        <w:ind w:left="1276" w:hanging="425"/>
        <w:rPr>
          <w:iCs/>
          <w:sz w:val="24"/>
          <w:szCs w:val="24"/>
        </w:rPr>
      </w:pPr>
      <w:proofErr w:type="spellStart"/>
      <w:r w:rsidRPr="00057786">
        <w:rPr>
          <w:iCs/>
          <w:sz w:val="24"/>
          <w:szCs w:val="24"/>
        </w:rPr>
        <w:t>gastrointestinale</w:t>
      </w:r>
      <w:proofErr w:type="spellEnd"/>
      <w:r w:rsidRPr="00057786">
        <w:rPr>
          <w:iCs/>
          <w:sz w:val="24"/>
          <w:szCs w:val="24"/>
        </w:rPr>
        <w:t xml:space="preserve"> sår</w:t>
      </w:r>
    </w:p>
    <w:p w14:paraId="2489F9C6"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osteoporose</w:t>
      </w:r>
    </w:p>
    <w:p w14:paraId="5C3FF55F"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 xml:space="preserve">alvorlig hjerteinsufficiens </w:t>
      </w:r>
    </w:p>
    <w:p w14:paraId="1CB5328D"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forhøjet blodtryk, der er vanskeligt at kontrollere</w:t>
      </w:r>
    </w:p>
    <w:p w14:paraId="6E611A6B"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diabetes mellitus, der er vanskelig at kontrollere</w:t>
      </w:r>
    </w:p>
    <w:p w14:paraId="1E3F7ADA"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 xml:space="preserve">psykiatriske tilstande (også i sygdomshistorien), herunder </w:t>
      </w:r>
      <w:proofErr w:type="spellStart"/>
      <w:r w:rsidRPr="00057786">
        <w:rPr>
          <w:iCs/>
          <w:sz w:val="24"/>
          <w:szCs w:val="24"/>
        </w:rPr>
        <w:t>suicidalitet</w:t>
      </w:r>
      <w:proofErr w:type="spellEnd"/>
      <w:r w:rsidRPr="00057786">
        <w:rPr>
          <w:iCs/>
          <w:sz w:val="24"/>
          <w:szCs w:val="24"/>
        </w:rPr>
        <w:t>: neurologisk eller psykiatrisk monitorering anbefales</w:t>
      </w:r>
    </w:p>
    <w:p w14:paraId="0458B9F7"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 xml:space="preserve">snævervinklet og åbenvinklet </w:t>
      </w:r>
      <w:proofErr w:type="spellStart"/>
      <w:r w:rsidRPr="00057786">
        <w:rPr>
          <w:iCs/>
          <w:sz w:val="24"/>
          <w:szCs w:val="24"/>
        </w:rPr>
        <w:t>glaukom</w:t>
      </w:r>
      <w:proofErr w:type="spellEnd"/>
      <w:r w:rsidRPr="00057786">
        <w:rPr>
          <w:iCs/>
          <w:sz w:val="24"/>
          <w:szCs w:val="24"/>
        </w:rPr>
        <w:t>: oftalmologisk monitorering og tillægsbehandling anbefales</w:t>
      </w:r>
    </w:p>
    <w:p w14:paraId="5AE2F81E"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hornhindesår og hornhindeskader: oftalmologisk monitorering og tillægsbehandling anbefales.</w:t>
      </w:r>
    </w:p>
    <w:p w14:paraId="50558A5D" w14:textId="77777777" w:rsidR="00262BA8" w:rsidRPr="00057786" w:rsidRDefault="00262BA8" w:rsidP="00262BA8">
      <w:pPr>
        <w:tabs>
          <w:tab w:val="left" w:pos="851"/>
        </w:tabs>
        <w:ind w:left="851"/>
        <w:rPr>
          <w:sz w:val="24"/>
          <w:szCs w:val="24"/>
        </w:rPr>
      </w:pPr>
    </w:p>
    <w:p w14:paraId="7CA9E819" w14:textId="77777777" w:rsidR="00262BA8" w:rsidRPr="00057786" w:rsidRDefault="00262BA8" w:rsidP="00262BA8">
      <w:pPr>
        <w:tabs>
          <w:tab w:val="left" w:pos="851"/>
        </w:tabs>
        <w:ind w:left="851"/>
        <w:rPr>
          <w:sz w:val="24"/>
          <w:szCs w:val="24"/>
          <w:u w:val="single"/>
        </w:rPr>
      </w:pPr>
      <w:r w:rsidRPr="00057786">
        <w:rPr>
          <w:sz w:val="24"/>
          <w:szCs w:val="24"/>
          <w:u w:val="single"/>
        </w:rPr>
        <w:t>Synsforstyrrelse</w:t>
      </w:r>
    </w:p>
    <w:p w14:paraId="1D3A10E1" w14:textId="77777777" w:rsidR="00262BA8" w:rsidRPr="00057786" w:rsidRDefault="00262BA8" w:rsidP="00262BA8">
      <w:pPr>
        <w:tabs>
          <w:tab w:val="left" w:pos="851"/>
        </w:tabs>
        <w:ind w:left="851"/>
        <w:rPr>
          <w:sz w:val="24"/>
          <w:szCs w:val="24"/>
        </w:rPr>
      </w:pPr>
      <w:r w:rsidRPr="00057786">
        <w:rPr>
          <w:sz w:val="24"/>
          <w:szCs w:val="24"/>
        </w:rPr>
        <w:t xml:space="preserve">Synsforstyrrelse kan rapporteres ved systemisk og </w:t>
      </w:r>
      <w:proofErr w:type="spellStart"/>
      <w:r w:rsidRPr="00057786">
        <w:rPr>
          <w:sz w:val="24"/>
          <w:szCs w:val="24"/>
        </w:rPr>
        <w:t>topikal</w:t>
      </w:r>
      <w:proofErr w:type="spellEnd"/>
      <w:r w:rsidRPr="00057786">
        <w:rPr>
          <w:sz w:val="24"/>
          <w:szCs w:val="24"/>
        </w:rPr>
        <w:t xml:space="preserve"> brug af </w:t>
      </w:r>
      <w:proofErr w:type="spellStart"/>
      <w:r w:rsidRPr="00057786">
        <w:rPr>
          <w:sz w:val="24"/>
          <w:szCs w:val="24"/>
        </w:rPr>
        <w:t>kortikosteroider</w:t>
      </w:r>
      <w:proofErr w:type="spellEnd"/>
      <w:r w:rsidRPr="00057786">
        <w:rPr>
          <w:sz w:val="24"/>
          <w:szCs w:val="24"/>
        </w:rPr>
        <w:t xml:space="preserve">. Hvis en patient oplever symptomer såsom sløret syn eller andre synsforstyrrelser, skal det overvejes at henvise patienten til en øjenlæge for evaluering af mulige årsager, der kan inkludere katarakt, </w:t>
      </w:r>
      <w:proofErr w:type="spellStart"/>
      <w:r w:rsidRPr="00057786">
        <w:rPr>
          <w:sz w:val="24"/>
          <w:szCs w:val="24"/>
        </w:rPr>
        <w:t>glaukom</w:t>
      </w:r>
      <w:proofErr w:type="spellEnd"/>
      <w:r w:rsidRPr="00057786">
        <w:rPr>
          <w:sz w:val="24"/>
          <w:szCs w:val="24"/>
        </w:rPr>
        <w:t xml:space="preserve"> eller sjældne sygdomme såsom central serøs </w:t>
      </w:r>
      <w:proofErr w:type="spellStart"/>
      <w:r w:rsidRPr="00057786">
        <w:rPr>
          <w:sz w:val="24"/>
          <w:szCs w:val="24"/>
        </w:rPr>
        <w:t>korioretinopati</w:t>
      </w:r>
      <w:proofErr w:type="spellEnd"/>
      <w:r w:rsidRPr="00057786">
        <w:rPr>
          <w:sz w:val="24"/>
          <w:szCs w:val="24"/>
        </w:rPr>
        <w:t xml:space="preserve"> (CSCR), der er blevet rapporteret efter systemisk og </w:t>
      </w:r>
      <w:proofErr w:type="spellStart"/>
      <w:r w:rsidRPr="00057786">
        <w:rPr>
          <w:sz w:val="24"/>
          <w:szCs w:val="24"/>
        </w:rPr>
        <w:t>topikal</w:t>
      </w:r>
      <w:proofErr w:type="spellEnd"/>
      <w:r w:rsidRPr="00057786">
        <w:rPr>
          <w:sz w:val="24"/>
          <w:szCs w:val="24"/>
        </w:rPr>
        <w:t xml:space="preserve"> brug af </w:t>
      </w:r>
      <w:proofErr w:type="spellStart"/>
      <w:r w:rsidRPr="00057786">
        <w:rPr>
          <w:sz w:val="24"/>
          <w:szCs w:val="24"/>
        </w:rPr>
        <w:t>kortikosteroider</w:t>
      </w:r>
      <w:proofErr w:type="spellEnd"/>
      <w:r w:rsidRPr="00057786">
        <w:rPr>
          <w:sz w:val="24"/>
          <w:szCs w:val="24"/>
        </w:rPr>
        <w:t>.</w:t>
      </w:r>
    </w:p>
    <w:p w14:paraId="57A63CB6" w14:textId="77777777" w:rsidR="00262BA8" w:rsidRPr="00057786" w:rsidRDefault="00262BA8" w:rsidP="00262BA8">
      <w:pPr>
        <w:tabs>
          <w:tab w:val="left" w:pos="851"/>
        </w:tabs>
        <w:ind w:left="851"/>
        <w:rPr>
          <w:sz w:val="24"/>
          <w:szCs w:val="24"/>
        </w:rPr>
      </w:pPr>
    </w:p>
    <w:p w14:paraId="1F73FC11" w14:textId="77777777" w:rsidR="00262BA8" w:rsidRPr="00057786" w:rsidRDefault="00262BA8" w:rsidP="00262BA8">
      <w:pPr>
        <w:tabs>
          <w:tab w:val="left" w:pos="851"/>
        </w:tabs>
        <w:ind w:left="851"/>
        <w:rPr>
          <w:sz w:val="24"/>
          <w:szCs w:val="24"/>
        </w:rPr>
      </w:pPr>
      <w:r w:rsidRPr="00057786">
        <w:rPr>
          <w:sz w:val="24"/>
          <w:szCs w:val="24"/>
        </w:rPr>
        <w:t xml:space="preserve">På grund af risikoen for perforation af tarmen, må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kun bruges i akutte indikationer og under relevant overvågning for:</w:t>
      </w:r>
    </w:p>
    <w:p w14:paraId="3F99EBDF" w14:textId="77777777" w:rsidR="00262BA8" w:rsidRPr="00057786" w:rsidRDefault="00262BA8" w:rsidP="00262BA8">
      <w:pPr>
        <w:tabs>
          <w:tab w:val="left" w:pos="851"/>
        </w:tabs>
        <w:ind w:left="851"/>
        <w:rPr>
          <w:sz w:val="24"/>
          <w:szCs w:val="24"/>
        </w:rPr>
      </w:pPr>
    </w:p>
    <w:p w14:paraId="0EFA9FBC"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 xml:space="preserve">alvorlig </w:t>
      </w:r>
      <w:proofErr w:type="spellStart"/>
      <w:r w:rsidRPr="00057786">
        <w:rPr>
          <w:iCs/>
          <w:sz w:val="24"/>
          <w:szCs w:val="24"/>
        </w:rPr>
        <w:t>ulcerativ</w:t>
      </w:r>
      <w:proofErr w:type="spellEnd"/>
      <w:r w:rsidRPr="00057786">
        <w:rPr>
          <w:iCs/>
          <w:sz w:val="24"/>
          <w:szCs w:val="24"/>
        </w:rPr>
        <w:t xml:space="preserve"> colitis med risiko for perforation, muligvis uden </w:t>
      </w:r>
      <w:proofErr w:type="spellStart"/>
      <w:r w:rsidRPr="00057786">
        <w:rPr>
          <w:iCs/>
          <w:sz w:val="24"/>
          <w:szCs w:val="24"/>
        </w:rPr>
        <w:t>peritoneal</w:t>
      </w:r>
      <w:proofErr w:type="spellEnd"/>
      <w:r w:rsidRPr="00057786">
        <w:rPr>
          <w:iCs/>
          <w:sz w:val="24"/>
          <w:szCs w:val="24"/>
        </w:rPr>
        <w:t xml:space="preserve"> irritation</w:t>
      </w:r>
    </w:p>
    <w:p w14:paraId="3FCE9AFB" w14:textId="77777777" w:rsidR="00262BA8" w:rsidRPr="00057786" w:rsidRDefault="00262BA8" w:rsidP="00262BA8">
      <w:pPr>
        <w:widowControl w:val="0"/>
        <w:numPr>
          <w:ilvl w:val="0"/>
          <w:numId w:val="8"/>
        </w:numPr>
        <w:ind w:left="1276" w:hanging="425"/>
        <w:rPr>
          <w:iCs/>
          <w:sz w:val="24"/>
          <w:szCs w:val="24"/>
        </w:rPr>
      </w:pPr>
      <w:proofErr w:type="spellStart"/>
      <w:r w:rsidRPr="00057786">
        <w:rPr>
          <w:iCs/>
          <w:sz w:val="24"/>
          <w:szCs w:val="24"/>
        </w:rPr>
        <w:t>diverticulitis</w:t>
      </w:r>
      <w:proofErr w:type="spellEnd"/>
    </w:p>
    <w:p w14:paraId="741C650C" w14:textId="77777777" w:rsidR="00262BA8" w:rsidRPr="00057786" w:rsidRDefault="00262BA8" w:rsidP="00262BA8">
      <w:pPr>
        <w:widowControl w:val="0"/>
        <w:numPr>
          <w:ilvl w:val="0"/>
          <w:numId w:val="8"/>
        </w:numPr>
        <w:ind w:left="1276" w:hanging="425"/>
        <w:rPr>
          <w:iCs/>
          <w:sz w:val="24"/>
          <w:szCs w:val="24"/>
        </w:rPr>
      </w:pPr>
      <w:proofErr w:type="spellStart"/>
      <w:r w:rsidRPr="00057786">
        <w:rPr>
          <w:iCs/>
          <w:sz w:val="24"/>
          <w:szCs w:val="24"/>
        </w:rPr>
        <w:t>entero-anastomose</w:t>
      </w:r>
      <w:proofErr w:type="spellEnd"/>
      <w:r w:rsidRPr="00057786">
        <w:rPr>
          <w:iCs/>
          <w:sz w:val="24"/>
          <w:szCs w:val="24"/>
        </w:rPr>
        <w:t xml:space="preserve"> (umiddelbart postoperativt).</w:t>
      </w:r>
    </w:p>
    <w:p w14:paraId="005D83B6" w14:textId="77777777" w:rsidR="00262BA8" w:rsidRPr="00057786" w:rsidRDefault="00262BA8" w:rsidP="00262BA8">
      <w:pPr>
        <w:tabs>
          <w:tab w:val="left" w:pos="851"/>
        </w:tabs>
        <w:ind w:left="851"/>
        <w:rPr>
          <w:sz w:val="24"/>
          <w:szCs w:val="24"/>
          <w:lang w:eastAsia="da-DK"/>
        </w:rPr>
      </w:pPr>
    </w:p>
    <w:p w14:paraId="1E928475" w14:textId="77777777" w:rsidR="00262BA8" w:rsidRPr="00057786" w:rsidRDefault="00262BA8" w:rsidP="00262BA8">
      <w:pPr>
        <w:tabs>
          <w:tab w:val="left" w:pos="851"/>
        </w:tabs>
        <w:ind w:left="851"/>
        <w:rPr>
          <w:sz w:val="24"/>
          <w:szCs w:val="24"/>
        </w:rPr>
      </w:pPr>
      <w:r w:rsidRPr="00057786">
        <w:rPr>
          <w:sz w:val="24"/>
          <w:szCs w:val="24"/>
        </w:rPr>
        <w:t xml:space="preserve">Tegn på </w:t>
      </w:r>
      <w:proofErr w:type="spellStart"/>
      <w:r w:rsidRPr="00057786">
        <w:rPr>
          <w:sz w:val="24"/>
          <w:szCs w:val="24"/>
        </w:rPr>
        <w:t>peritoneal</w:t>
      </w:r>
      <w:proofErr w:type="spellEnd"/>
      <w:r w:rsidRPr="00057786">
        <w:rPr>
          <w:sz w:val="24"/>
          <w:szCs w:val="24"/>
        </w:rPr>
        <w:t xml:space="preserve"> irritation efter </w:t>
      </w:r>
      <w:proofErr w:type="spellStart"/>
      <w:r w:rsidRPr="00057786">
        <w:rPr>
          <w:sz w:val="24"/>
          <w:szCs w:val="24"/>
        </w:rPr>
        <w:t>gastrointestinal</w:t>
      </w:r>
      <w:proofErr w:type="spellEnd"/>
      <w:r w:rsidRPr="00057786">
        <w:rPr>
          <w:sz w:val="24"/>
          <w:szCs w:val="24"/>
        </w:rPr>
        <w:t xml:space="preserve"> perforation kan udeblive hos patienter, der får høje doser af </w:t>
      </w:r>
      <w:proofErr w:type="spellStart"/>
      <w:r w:rsidRPr="00057786">
        <w:rPr>
          <w:sz w:val="24"/>
          <w:szCs w:val="24"/>
        </w:rPr>
        <w:t>glukokortikoider</w:t>
      </w:r>
      <w:proofErr w:type="spellEnd"/>
      <w:r w:rsidRPr="00057786">
        <w:rPr>
          <w:sz w:val="24"/>
          <w:szCs w:val="24"/>
        </w:rPr>
        <w:t>.</w:t>
      </w:r>
    </w:p>
    <w:p w14:paraId="75F03DD7" w14:textId="77777777" w:rsidR="00262BA8" w:rsidRPr="00057786" w:rsidRDefault="00262BA8" w:rsidP="00262BA8">
      <w:pPr>
        <w:tabs>
          <w:tab w:val="left" w:pos="851"/>
        </w:tabs>
        <w:ind w:left="851"/>
        <w:rPr>
          <w:sz w:val="24"/>
          <w:szCs w:val="24"/>
        </w:rPr>
      </w:pPr>
    </w:p>
    <w:p w14:paraId="1C815852" w14:textId="77777777" w:rsidR="00262BA8" w:rsidRPr="00057786" w:rsidRDefault="00262BA8" w:rsidP="00262BA8">
      <w:pPr>
        <w:tabs>
          <w:tab w:val="left" w:pos="851"/>
        </w:tabs>
        <w:ind w:left="851"/>
        <w:rPr>
          <w:sz w:val="24"/>
          <w:szCs w:val="24"/>
        </w:rPr>
      </w:pPr>
      <w:r w:rsidRPr="00057786">
        <w:rPr>
          <w:sz w:val="24"/>
          <w:szCs w:val="24"/>
        </w:rPr>
        <w:t xml:space="preserve">Muligheden for et øget behov for insulin eller orale </w:t>
      </w:r>
      <w:proofErr w:type="spellStart"/>
      <w:r w:rsidRPr="00057786">
        <w:rPr>
          <w:sz w:val="24"/>
          <w:szCs w:val="24"/>
        </w:rPr>
        <w:t>antidiabetika</w:t>
      </w:r>
      <w:proofErr w:type="spellEnd"/>
      <w:r w:rsidRPr="00057786">
        <w:rPr>
          <w:sz w:val="24"/>
          <w:szCs w:val="24"/>
        </w:rPr>
        <w:t xml:space="preserve"> skal tages i betragtning, når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administreres til diabetikere.</w:t>
      </w:r>
    </w:p>
    <w:p w14:paraId="2925F4F8" w14:textId="77777777" w:rsidR="00262BA8" w:rsidRPr="00057786" w:rsidRDefault="00262BA8" w:rsidP="00262BA8">
      <w:pPr>
        <w:tabs>
          <w:tab w:val="left" w:pos="851"/>
        </w:tabs>
        <w:ind w:left="851"/>
        <w:rPr>
          <w:sz w:val="24"/>
          <w:szCs w:val="24"/>
        </w:rPr>
      </w:pPr>
    </w:p>
    <w:p w14:paraId="303383E5" w14:textId="77777777" w:rsidR="00262BA8" w:rsidRPr="00057786" w:rsidRDefault="00262BA8" w:rsidP="00262BA8">
      <w:pPr>
        <w:tabs>
          <w:tab w:val="left" w:pos="851"/>
        </w:tabs>
        <w:ind w:left="851"/>
        <w:rPr>
          <w:sz w:val="24"/>
          <w:szCs w:val="24"/>
        </w:rPr>
      </w:pPr>
      <w:r w:rsidRPr="00057786">
        <w:rPr>
          <w:sz w:val="24"/>
          <w:szCs w:val="24"/>
        </w:rPr>
        <w:t xml:space="preserve">Regelmæssig monitorering af blodtrykket er nødvendig under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særligt når der administreres højere doser og hos patienter med højt blodtryk, der er vanskeligt at kontrollere.</w:t>
      </w:r>
    </w:p>
    <w:p w14:paraId="4357ABB4" w14:textId="77777777" w:rsidR="00262BA8" w:rsidRPr="00057786" w:rsidRDefault="00262BA8" w:rsidP="00262BA8">
      <w:pPr>
        <w:tabs>
          <w:tab w:val="left" w:pos="851"/>
        </w:tabs>
        <w:ind w:left="851"/>
        <w:rPr>
          <w:sz w:val="24"/>
          <w:szCs w:val="24"/>
        </w:rPr>
      </w:pPr>
    </w:p>
    <w:p w14:paraId="1562E51F" w14:textId="77777777" w:rsidR="00262BA8" w:rsidRPr="00057786" w:rsidRDefault="00262BA8" w:rsidP="00262BA8">
      <w:pPr>
        <w:tabs>
          <w:tab w:val="left" w:pos="851"/>
        </w:tabs>
        <w:ind w:left="851"/>
        <w:rPr>
          <w:sz w:val="24"/>
          <w:szCs w:val="24"/>
        </w:rPr>
      </w:pPr>
      <w:r w:rsidRPr="00057786">
        <w:rPr>
          <w:sz w:val="24"/>
          <w:szCs w:val="24"/>
        </w:rPr>
        <w:t>På grund af risikoen for forværring af tilstanden bør patienter med alvorlig hjerteinsufficiens monitoreres nøje.</w:t>
      </w:r>
    </w:p>
    <w:p w14:paraId="0DFC89BE" w14:textId="77777777" w:rsidR="00262BA8" w:rsidRPr="00057786" w:rsidRDefault="00262BA8" w:rsidP="00262BA8">
      <w:pPr>
        <w:tabs>
          <w:tab w:val="left" w:pos="851"/>
        </w:tabs>
        <w:ind w:left="851"/>
        <w:rPr>
          <w:sz w:val="24"/>
          <w:szCs w:val="24"/>
        </w:rPr>
      </w:pPr>
    </w:p>
    <w:p w14:paraId="2C3CE955" w14:textId="77777777" w:rsidR="00262BA8" w:rsidRPr="00057786" w:rsidRDefault="00262BA8" w:rsidP="00262BA8">
      <w:pPr>
        <w:tabs>
          <w:tab w:val="left" w:pos="851"/>
        </w:tabs>
        <w:ind w:left="851"/>
        <w:rPr>
          <w:sz w:val="24"/>
          <w:szCs w:val="24"/>
        </w:rPr>
      </w:pPr>
      <w:r w:rsidRPr="00057786">
        <w:rPr>
          <w:sz w:val="24"/>
          <w:szCs w:val="24"/>
        </w:rPr>
        <w:t xml:space="preserve">I forbindelse med høje doser af </w:t>
      </w:r>
      <w:proofErr w:type="spellStart"/>
      <w:r w:rsidRPr="00057786">
        <w:rPr>
          <w:sz w:val="24"/>
          <w:szCs w:val="24"/>
        </w:rPr>
        <w:t>dexamethason</w:t>
      </w:r>
      <w:proofErr w:type="spellEnd"/>
      <w:r w:rsidRPr="00057786">
        <w:rPr>
          <w:sz w:val="24"/>
          <w:szCs w:val="24"/>
        </w:rPr>
        <w:t xml:space="preserve"> kan der forekomme bradykardi.</w:t>
      </w:r>
    </w:p>
    <w:p w14:paraId="37D03B45" w14:textId="77777777" w:rsidR="00262BA8" w:rsidRPr="00057786" w:rsidRDefault="00262BA8" w:rsidP="00262BA8">
      <w:pPr>
        <w:tabs>
          <w:tab w:val="left" w:pos="851"/>
        </w:tabs>
        <w:ind w:left="851"/>
        <w:rPr>
          <w:sz w:val="24"/>
          <w:szCs w:val="24"/>
        </w:rPr>
      </w:pPr>
    </w:p>
    <w:p w14:paraId="4A7E944B" w14:textId="77777777" w:rsidR="00262BA8" w:rsidRPr="00057786" w:rsidRDefault="00262BA8" w:rsidP="00262BA8">
      <w:pPr>
        <w:tabs>
          <w:tab w:val="left" w:pos="851"/>
        </w:tabs>
        <w:ind w:left="851"/>
        <w:rPr>
          <w:sz w:val="24"/>
          <w:szCs w:val="24"/>
        </w:rPr>
      </w:pPr>
      <w:r w:rsidRPr="00057786">
        <w:rPr>
          <w:sz w:val="24"/>
          <w:szCs w:val="24"/>
        </w:rPr>
        <w:t xml:space="preserve">Alvorlige </w:t>
      </w:r>
      <w:proofErr w:type="spellStart"/>
      <w:r w:rsidRPr="00057786">
        <w:rPr>
          <w:sz w:val="24"/>
          <w:szCs w:val="24"/>
        </w:rPr>
        <w:t>anafylaktiske</w:t>
      </w:r>
      <w:proofErr w:type="spellEnd"/>
      <w:r w:rsidRPr="00057786">
        <w:rPr>
          <w:sz w:val="24"/>
          <w:szCs w:val="24"/>
        </w:rPr>
        <w:t xml:space="preserve"> reaktioner kan forekomme.</w:t>
      </w:r>
    </w:p>
    <w:p w14:paraId="750BCCFF" w14:textId="77777777" w:rsidR="00262BA8" w:rsidRPr="00057786" w:rsidRDefault="00262BA8" w:rsidP="00262BA8">
      <w:pPr>
        <w:tabs>
          <w:tab w:val="left" w:pos="851"/>
        </w:tabs>
        <w:ind w:left="851"/>
        <w:rPr>
          <w:sz w:val="24"/>
          <w:szCs w:val="24"/>
        </w:rPr>
      </w:pPr>
    </w:p>
    <w:p w14:paraId="60C444FA" w14:textId="77777777" w:rsidR="00262BA8" w:rsidRPr="00057786" w:rsidRDefault="00262BA8" w:rsidP="00262BA8">
      <w:pPr>
        <w:tabs>
          <w:tab w:val="left" w:pos="851"/>
        </w:tabs>
        <w:ind w:left="851"/>
        <w:rPr>
          <w:sz w:val="24"/>
          <w:szCs w:val="24"/>
        </w:rPr>
      </w:pPr>
      <w:r w:rsidRPr="00057786">
        <w:rPr>
          <w:sz w:val="24"/>
          <w:szCs w:val="24"/>
        </w:rPr>
        <w:t xml:space="preserve">Risikoen for </w:t>
      </w:r>
      <w:proofErr w:type="spellStart"/>
      <w:r w:rsidRPr="00057786">
        <w:rPr>
          <w:sz w:val="24"/>
          <w:szCs w:val="24"/>
        </w:rPr>
        <w:t>senelidelser</w:t>
      </w:r>
      <w:proofErr w:type="spellEnd"/>
      <w:r w:rsidRPr="00057786">
        <w:rPr>
          <w:sz w:val="24"/>
          <w:szCs w:val="24"/>
        </w:rPr>
        <w:t xml:space="preserve">, </w:t>
      </w:r>
      <w:proofErr w:type="spellStart"/>
      <w:r w:rsidRPr="00057786">
        <w:rPr>
          <w:sz w:val="24"/>
          <w:szCs w:val="24"/>
        </w:rPr>
        <w:t>tendinitis</w:t>
      </w:r>
      <w:proofErr w:type="spellEnd"/>
      <w:r w:rsidRPr="00057786">
        <w:rPr>
          <w:sz w:val="24"/>
          <w:szCs w:val="24"/>
        </w:rPr>
        <w:t xml:space="preserve"> og </w:t>
      </w:r>
      <w:proofErr w:type="spellStart"/>
      <w:r w:rsidRPr="00057786">
        <w:rPr>
          <w:sz w:val="24"/>
          <w:szCs w:val="24"/>
        </w:rPr>
        <w:t>seneruptur</w:t>
      </w:r>
      <w:proofErr w:type="spellEnd"/>
      <w:r w:rsidRPr="00057786">
        <w:rPr>
          <w:sz w:val="24"/>
          <w:szCs w:val="24"/>
        </w:rPr>
        <w:t xml:space="preserve"> øges, når </w:t>
      </w:r>
      <w:proofErr w:type="spellStart"/>
      <w:r w:rsidRPr="00057786">
        <w:rPr>
          <w:sz w:val="24"/>
          <w:szCs w:val="24"/>
        </w:rPr>
        <w:t>fluoroquinoloner</w:t>
      </w:r>
      <w:proofErr w:type="spellEnd"/>
      <w:r w:rsidRPr="00057786">
        <w:rPr>
          <w:sz w:val="24"/>
          <w:szCs w:val="24"/>
        </w:rPr>
        <w:t xml:space="preserve"> og </w:t>
      </w:r>
      <w:proofErr w:type="spellStart"/>
      <w:r w:rsidRPr="00057786">
        <w:rPr>
          <w:sz w:val="24"/>
          <w:szCs w:val="24"/>
        </w:rPr>
        <w:t>glukokortikoider</w:t>
      </w:r>
      <w:proofErr w:type="spellEnd"/>
      <w:r w:rsidRPr="00057786">
        <w:rPr>
          <w:sz w:val="24"/>
          <w:szCs w:val="24"/>
        </w:rPr>
        <w:t xml:space="preserve"> administreres samtidigt.</w:t>
      </w:r>
    </w:p>
    <w:p w14:paraId="64970BDA" w14:textId="77777777" w:rsidR="00262BA8" w:rsidRPr="00057786" w:rsidRDefault="00262BA8" w:rsidP="00262BA8">
      <w:pPr>
        <w:tabs>
          <w:tab w:val="left" w:pos="851"/>
        </w:tabs>
        <w:ind w:left="851"/>
        <w:rPr>
          <w:sz w:val="24"/>
          <w:szCs w:val="24"/>
        </w:rPr>
      </w:pPr>
    </w:p>
    <w:p w14:paraId="11AE8CA7" w14:textId="77777777" w:rsidR="00262BA8" w:rsidRPr="00057786" w:rsidRDefault="00262BA8" w:rsidP="00262BA8">
      <w:pPr>
        <w:tabs>
          <w:tab w:val="left" w:pos="851"/>
        </w:tabs>
        <w:ind w:left="851"/>
        <w:rPr>
          <w:sz w:val="24"/>
          <w:szCs w:val="24"/>
        </w:rPr>
      </w:pPr>
      <w:r w:rsidRPr="00057786">
        <w:rPr>
          <w:sz w:val="24"/>
          <w:szCs w:val="24"/>
        </w:rPr>
        <w:t xml:space="preserve">Samtidig </w:t>
      </w:r>
      <w:proofErr w:type="spellStart"/>
      <w:r w:rsidRPr="00057786">
        <w:rPr>
          <w:sz w:val="24"/>
          <w:szCs w:val="24"/>
        </w:rPr>
        <w:t>myasthenia</w:t>
      </w:r>
      <w:proofErr w:type="spellEnd"/>
      <w:r w:rsidRPr="00057786">
        <w:rPr>
          <w:sz w:val="24"/>
          <w:szCs w:val="24"/>
        </w:rPr>
        <w:t xml:space="preserve"> </w:t>
      </w:r>
      <w:proofErr w:type="spellStart"/>
      <w:r w:rsidRPr="00057786">
        <w:rPr>
          <w:sz w:val="24"/>
          <w:szCs w:val="24"/>
        </w:rPr>
        <w:t>gravis</w:t>
      </w:r>
      <w:proofErr w:type="spellEnd"/>
      <w:r w:rsidRPr="00057786">
        <w:rPr>
          <w:sz w:val="24"/>
          <w:szCs w:val="24"/>
        </w:rPr>
        <w:t xml:space="preserve"> kan indledningsvist forværres under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w:t>
      </w:r>
    </w:p>
    <w:p w14:paraId="7056B011" w14:textId="77777777" w:rsidR="00262BA8" w:rsidRPr="00057786" w:rsidRDefault="00262BA8" w:rsidP="00262BA8">
      <w:pPr>
        <w:tabs>
          <w:tab w:val="left" w:pos="851"/>
        </w:tabs>
        <w:ind w:left="851"/>
        <w:rPr>
          <w:sz w:val="24"/>
          <w:szCs w:val="24"/>
        </w:rPr>
      </w:pPr>
    </w:p>
    <w:p w14:paraId="48AD6E5E" w14:textId="77777777" w:rsidR="00262BA8" w:rsidRPr="00057786" w:rsidRDefault="00262BA8" w:rsidP="00262BA8">
      <w:pPr>
        <w:tabs>
          <w:tab w:val="left" w:pos="851"/>
        </w:tabs>
        <w:ind w:left="851"/>
        <w:rPr>
          <w:sz w:val="24"/>
          <w:szCs w:val="24"/>
        </w:rPr>
      </w:pPr>
      <w:r w:rsidRPr="00057786">
        <w:rPr>
          <w:sz w:val="24"/>
          <w:szCs w:val="24"/>
        </w:rPr>
        <w:t xml:space="preserve">Vaccinationer med inaktiverede vacciner er generelt muligt. Det skal dog bemærkes, at immunresponset og dermed vaccinen kan kompromitteres ved højere doser af </w:t>
      </w:r>
      <w:proofErr w:type="spellStart"/>
      <w:r w:rsidRPr="00057786">
        <w:rPr>
          <w:sz w:val="24"/>
          <w:szCs w:val="24"/>
        </w:rPr>
        <w:t>kortikosteroider</w:t>
      </w:r>
      <w:proofErr w:type="spellEnd"/>
      <w:r w:rsidRPr="00057786">
        <w:rPr>
          <w:sz w:val="24"/>
          <w:szCs w:val="24"/>
        </w:rPr>
        <w:t>.</w:t>
      </w:r>
    </w:p>
    <w:p w14:paraId="406FDF18" w14:textId="77777777" w:rsidR="00262BA8" w:rsidRPr="00057786" w:rsidRDefault="00262BA8" w:rsidP="00262BA8">
      <w:pPr>
        <w:tabs>
          <w:tab w:val="left" w:pos="851"/>
        </w:tabs>
        <w:ind w:left="851"/>
        <w:rPr>
          <w:sz w:val="24"/>
          <w:szCs w:val="24"/>
        </w:rPr>
      </w:pPr>
    </w:p>
    <w:p w14:paraId="1ECE787B" w14:textId="77777777" w:rsidR="00262BA8" w:rsidRPr="00057786" w:rsidRDefault="00262BA8" w:rsidP="00262BA8">
      <w:pPr>
        <w:tabs>
          <w:tab w:val="left" w:pos="851"/>
        </w:tabs>
        <w:ind w:left="851"/>
        <w:rPr>
          <w:sz w:val="24"/>
          <w:szCs w:val="24"/>
        </w:rPr>
      </w:pPr>
      <w:r w:rsidRPr="00057786">
        <w:rPr>
          <w:sz w:val="24"/>
          <w:szCs w:val="24"/>
        </w:rPr>
        <w:t>Ved høje doser skal det sikres, at kaliumindtaget er tilstrækkeligt, og at natriumindtaget er begrænset. Niveauerne af kalium i serum skal monitoreres.</w:t>
      </w:r>
    </w:p>
    <w:p w14:paraId="71F0DB93" w14:textId="77777777" w:rsidR="00262BA8" w:rsidRPr="00057786" w:rsidRDefault="00262BA8" w:rsidP="00262BA8">
      <w:pPr>
        <w:tabs>
          <w:tab w:val="left" w:pos="851"/>
        </w:tabs>
        <w:ind w:left="851"/>
        <w:rPr>
          <w:sz w:val="24"/>
          <w:szCs w:val="24"/>
        </w:rPr>
      </w:pPr>
    </w:p>
    <w:p w14:paraId="40248EE3" w14:textId="77777777" w:rsidR="00262BA8" w:rsidRPr="00057786" w:rsidRDefault="00262BA8" w:rsidP="00262BA8">
      <w:pPr>
        <w:tabs>
          <w:tab w:val="left" w:pos="851"/>
        </w:tabs>
        <w:ind w:left="851"/>
        <w:rPr>
          <w:sz w:val="24"/>
          <w:szCs w:val="24"/>
        </w:rPr>
      </w:pPr>
      <w:r w:rsidRPr="00057786">
        <w:rPr>
          <w:sz w:val="24"/>
          <w:szCs w:val="24"/>
        </w:rPr>
        <w:t xml:space="preserve">Pludselig </w:t>
      </w:r>
      <w:proofErr w:type="spellStart"/>
      <w:r w:rsidRPr="00057786">
        <w:rPr>
          <w:sz w:val="24"/>
          <w:szCs w:val="24"/>
        </w:rPr>
        <w:t>seponering</w:t>
      </w:r>
      <w:proofErr w:type="spellEnd"/>
      <w:r w:rsidRPr="00057786">
        <w:rPr>
          <w:sz w:val="24"/>
          <w:szCs w:val="24"/>
        </w:rPr>
        <w:t xml:space="preserve"> af behandlingen efter cirka 10 dage kan medføre forværring eller tilbagefald af den underliggende sygdom og akut </w:t>
      </w:r>
      <w:proofErr w:type="spellStart"/>
      <w:r w:rsidRPr="00057786">
        <w:rPr>
          <w:bCs/>
          <w:sz w:val="24"/>
          <w:szCs w:val="24"/>
        </w:rPr>
        <w:t>adrenokortikal</w:t>
      </w:r>
      <w:proofErr w:type="spellEnd"/>
      <w:r w:rsidRPr="00057786">
        <w:rPr>
          <w:bCs/>
          <w:sz w:val="24"/>
          <w:szCs w:val="24"/>
        </w:rPr>
        <w:t xml:space="preserve"> insufficiens</w:t>
      </w:r>
      <w:r w:rsidRPr="00057786">
        <w:rPr>
          <w:sz w:val="24"/>
          <w:szCs w:val="24"/>
        </w:rPr>
        <w:t>/kortison-abstinenssymptom. Derfor skal dosis reduceres langsomt, hvis behandlingen skal seponeres.</w:t>
      </w:r>
    </w:p>
    <w:p w14:paraId="558A774D" w14:textId="77777777" w:rsidR="00262BA8" w:rsidRPr="00057786" w:rsidRDefault="00262BA8" w:rsidP="00262BA8">
      <w:pPr>
        <w:tabs>
          <w:tab w:val="left" w:pos="851"/>
        </w:tabs>
        <w:ind w:left="851"/>
        <w:rPr>
          <w:sz w:val="24"/>
          <w:szCs w:val="24"/>
        </w:rPr>
      </w:pPr>
    </w:p>
    <w:p w14:paraId="3C0FA0D6" w14:textId="192B5F0E" w:rsidR="00262BA8" w:rsidRDefault="00262BA8" w:rsidP="00262BA8">
      <w:pPr>
        <w:tabs>
          <w:tab w:val="left" w:pos="851"/>
        </w:tabs>
        <w:ind w:left="851"/>
        <w:rPr>
          <w:sz w:val="24"/>
          <w:szCs w:val="24"/>
        </w:rPr>
      </w:pPr>
      <w:r w:rsidRPr="00057786">
        <w:rPr>
          <w:sz w:val="24"/>
          <w:szCs w:val="24"/>
        </w:rPr>
        <w:t xml:space="preserve">Visse virussygdomme (skoldkopper, mæslinger) kan være alvorlige hos patienter, der behandles med </w:t>
      </w:r>
      <w:proofErr w:type="spellStart"/>
      <w:r w:rsidRPr="00057786">
        <w:rPr>
          <w:sz w:val="24"/>
          <w:szCs w:val="24"/>
        </w:rPr>
        <w:t>glukokortikoider</w:t>
      </w:r>
      <w:proofErr w:type="spellEnd"/>
      <w:r w:rsidRPr="00057786">
        <w:rPr>
          <w:sz w:val="24"/>
          <w:szCs w:val="24"/>
        </w:rPr>
        <w:t xml:space="preserve">. Immunkompromitterede patienter, der ikke tidligere har været udsat for infektion med skoldkopper eller mæslinger, har en særlig stor risiko. Hvis disse patienter kommer i kontakt med personer, der er smittet med mæslinger eller skoldkopper, mens de er i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skal en forebyggende behandling om nødvendigt iværksættes.</w:t>
      </w:r>
    </w:p>
    <w:p w14:paraId="75B9FBE0" w14:textId="77777777" w:rsidR="00016F69" w:rsidRDefault="00016F69" w:rsidP="00016F69">
      <w:pPr>
        <w:tabs>
          <w:tab w:val="left" w:pos="851"/>
        </w:tabs>
        <w:ind w:left="851"/>
        <w:rPr>
          <w:sz w:val="24"/>
          <w:szCs w:val="24"/>
        </w:rPr>
      </w:pPr>
    </w:p>
    <w:p w14:paraId="7B00C299" w14:textId="77777777" w:rsidR="00016F69" w:rsidRDefault="00016F69" w:rsidP="00016F69">
      <w:pPr>
        <w:tabs>
          <w:tab w:val="left" w:pos="851"/>
        </w:tabs>
        <w:ind w:left="851"/>
        <w:rPr>
          <w:sz w:val="24"/>
          <w:szCs w:val="24"/>
        </w:rPr>
      </w:pPr>
      <w:r>
        <w:rPr>
          <w:sz w:val="24"/>
          <w:szCs w:val="24"/>
        </w:rPr>
        <w:t>Hos COVID</w:t>
      </w:r>
      <w:r>
        <w:rPr>
          <w:sz w:val="24"/>
          <w:szCs w:val="24"/>
        </w:rPr>
        <w:noBreakHyphen/>
        <w:t xml:space="preserve">19-patienter bør behandling med systemiske </w:t>
      </w:r>
      <w:proofErr w:type="spellStart"/>
      <w:r>
        <w:rPr>
          <w:sz w:val="24"/>
          <w:szCs w:val="24"/>
        </w:rPr>
        <w:t>kortikosteroider</w:t>
      </w:r>
      <w:proofErr w:type="spellEnd"/>
      <w:r>
        <w:rPr>
          <w:sz w:val="24"/>
          <w:szCs w:val="24"/>
        </w:rPr>
        <w:t xml:space="preserve"> ikke stoppes hos patienter, der i forvejen er i behandling med systemiske (orale) </w:t>
      </w:r>
      <w:proofErr w:type="spellStart"/>
      <w:r>
        <w:rPr>
          <w:sz w:val="24"/>
          <w:szCs w:val="24"/>
        </w:rPr>
        <w:t>kortikosteroider</w:t>
      </w:r>
      <w:proofErr w:type="spellEnd"/>
      <w:r>
        <w:rPr>
          <w:sz w:val="24"/>
          <w:szCs w:val="24"/>
        </w:rPr>
        <w:t xml:space="preserve"> af andre årsager (f.eks. patienter med kronisk obstruktiv lungesygdom), men ikke har behov for supplerende iltbehandling.  </w:t>
      </w:r>
    </w:p>
    <w:p w14:paraId="3E99FFBE" w14:textId="77777777" w:rsidR="00262BA8" w:rsidRPr="00057786" w:rsidRDefault="00262BA8" w:rsidP="00262BA8">
      <w:pPr>
        <w:tabs>
          <w:tab w:val="left" w:pos="851"/>
        </w:tabs>
        <w:ind w:left="851"/>
        <w:rPr>
          <w:sz w:val="24"/>
          <w:szCs w:val="24"/>
        </w:rPr>
      </w:pPr>
    </w:p>
    <w:p w14:paraId="34F4F93C" w14:textId="77777777" w:rsidR="00262BA8" w:rsidRPr="00057786" w:rsidRDefault="00262BA8" w:rsidP="00262BA8">
      <w:pPr>
        <w:tabs>
          <w:tab w:val="left" w:pos="851"/>
        </w:tabs>
        <w:ind w:left="851"/>
        <w:rPr>
          <w:sz w:val="24"/>
          <w:szCs w:val="24"/>
        </w:rPr>
      </w:pPr>
      <w:r w:rsidRPr="00057786">
        <w:rPr>
          <w:sz w:val="24"/>
          <w:szCs w:val="24"/>
        </w:rPr>
        <w:t xml:space="preserve">Efter markedsføringen er der rapporteret om tumorlysesyndrom (TLS) hos patienter med hæmatologiske </w:t>
      </w:r>
      <w:proofErr w:type="spellStart"/>
      <w:r w:rsidRPr="00057786">
        <w:rPr>
          <w:sz w:val="24"/>
          <w:szCs w:val="24"/>
        </w:rPr>
        <w:t>maligniteter</w:t>
      </w:r>
      <w:proofErr w:type="spellEnd"/>
      <w:r w:rsidRPr="00057786">
        <w:rPr>
          <w:sz w:val="24"/>
          <w:szCs w:val="24"/>
        </w:rPr>
        <w:t xml:space="preserve"> efter brug af </w:t>
      </w:r>
      <w:proofErr w:type="spellStart"/>
      <w:r w:rsidRPr="00057786">
        <w:rPr>
          <w:sz w:val="24"/>
          <w:szCs w:val="24"/>
        </w:rPr>
        <w:t>dexamethason</w:t>
      </w:r>
      <w:proofErr w:type="spellEnd"/>
      <w:r w:rsidRPr="00057786">
        <w:rPr>
          <w:sz w:val="24"/>
          <w:szCs w:val="24"/>
        </w:rPr>
        <w:t xml:space="preserve"> alene eller i kombination med andre kemoterapeutiske midler. Patienter med høj risiko for TLS, såsom patienter med høj </w:t>
      </w:r>
      <w:proofErr w:type="spellStart"/>
      <w:r w:rsidRPr="00057786">
        <w:rPr>
          <w:sz w:val="24"/>
          <w:szCs w:val="24"/>
        </w:rPr>
        <w:t>proliferationsrate</w:t>
      </w:r>
      <w:proofErr w:type="spellEnd"/>
      <w:r w:rsidRPr="00057786">
        <w:rPr>
          <w:sz w:val="24"/>
          <w:szCs w:val="24"/>
        </w:rPr>
        <w:t xml:space="preserve">, høj tumorbyrde og høj følsomhed over for </w:t>
      </w:r>
      <w:proofErr w:type="spellStart"/>
      <w:r w:rsidRPr="00057786">
        <w:rPr>
          <w:sz w:val="24"/>
          <w:szCs w:val="24"/>
        </w:rPr>
        <w:t>cytotoksiske</w:t>
      </w:r>
      <w:proofErr w:type="spellEnd"/>
      <w:r w:rsidRPr="00057786">
        <w:rPr>
          <w:sz w:val="24"/>
          <w:szCs w:val="24"/>
        </w:rPr>
        <w:t xml:space="preserve"> midler, skal monitoreres tæt, og der bør tages passende forholdsregler.</w:t>
      </w:r>
    </w:p>
    <w:p w14:paraId="350A4B23" w14:textId="77777777" w:rsidR="00262BA8" w:rsidRPr="00057786" w:rsidRDefault="00262BA8" w:rsidP="00262BA8">
      <w:pPr>
        <w:tabs>
          <w:tab w:val="left" w:pos="851"/>
        </w:tabs>
        <w:ind w:left="851"/>
        <w:rPr>
          <w:sz w:val="24"/>
          <w:szCs w:val="24"/>
        </w:rPr>
      </w:pPr>
    </w:p>
    <w:p w14:paraId="66F15D79" w14:textId="77777777" w:rsidR="00262BA8" w:rsidRPr="00057786" w:rsidRDefault="00262BA8" w:rsidP="00262BA8">
      <w:pPr>
        <w:tabs>
          <w:tab w:val="left" w:pos="851"/>
        </w:tabs>
        <w:ind w:left="851"/>
        <w:rPr>
          <w:sz w:val="24"/>
          <w:szCs w:val="24"/>
        </w:rPr>
      </w:pPr>
      <w:r w:rsidRPr="00057786">
        <w:rPr>
          <w:sz w:val="24"/>
          <w:szCs w:val="24"/>
        </w:rPr>
        <w:t>Intravenøs administration skal være en langsom (over 2</w:t>
      </w:r>
      <w:r w:rsidRPr="00057786">
        <w:rPr>
          <w:sz w:val="24"/>
          <w:szCs w:val="24"/>
        </w:rPr>
        <w:noBreakHyphen/>
        <w:t xml:space="preserve">3 minutter) injektion, da der ved for hurtig injektion kan opstå bivirkninger såsom ubehagelig prikken eller </w:t>
      </w:r>
      <w:proofErr w:type="spellStart"/>
      <w:r w:rsidRPr="00057786">
        <w:rPr>
          <w:sz w:val="24"/>
          <w:szCs w:val="24"/>
        </w:rPr>
        <w:t>paræstesi</w:t>
      </w:r>
      <w:proofErr w:type="spellEnd"/>
      <w:r w:rsidRPr="00057786">
        <w:rPr>
          <w:sz w:val="24"/>
          <w:szCs w:val="24"/>
        </w:rPr>
        <w:t>.</w:t>
      </w:r>
    </w:p>
    <w:p w14:paraId="549BCA0A" w14:textId="77777777" w:rsidR="00262BA8" w:rsidRPr="00057786" w:rsidRDefault="00262BA8" w:rsidP="00262BA8">
      <w:pPr>
        <w:tabs>
          <w:tab w:val="left" w:pos="851"/>
        </w:tabs>
        <w:ind w:left="851"/>
        <w:rPr>
          <w:sz w:val="24"/>
          <w:szCs w:val="24"/>
        </w:rPr>
      </w:pPr>
    </w:p>
    <w:p w14:paraId="77A2CEBA" w14:textId="77777777" w:rsidR="00262BA8" w:rsidRPr="00057786" w:rsidRDefault="00262BA8" w:rsidP="00262BA8">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xml:space="preserve">" er beregnet til kortvarig anvendelse. Hvis den bruges forkert over en længere periode, skal yderligere advarsler og forsigtighedsregler, som beskrevet for langvarig administration af lægemidler, der indeholder </w:t>
      </w:r>
      <w:proofErr w:type="spellStart"/>
      <w:r w:rsidRPr="00057786">
        <w:rPr>
          <w:sz w:val="24"/>
          <w:szCs w:val="24"/>
        </w:rPr>
        <w:t>glukokortikoider</w:t>
      </w:r>
      <w:proofErr w:type="spellEnd"/>
      <w:r w:rsidRPr="00057786">
        <w:rPr>
          <w:sz w:val="24"/>
          <w:szCs w:val="24"/>
        </w:rPr>
        <w:t>, overvejes.</w:t>
      </w:r>
    </w:p>
    <w:p w14:paraId="3BE1A165" w14:textId="77777777" w:rsidR="00262BA8" w:rsidRPr="00057786" w:rsidRDefault="00262BA8" w:rsidP="00262BA8">
      <w:pPr>
        <w:tabs>
          <w:tab w:val="left" w:pos="851"/>
        </w:tabs>
        <w:ind w:left="851"/>
        <w:rPr>
          <w:sz w:val="24"/>
          <w:szCs w:val="24"/>
        </w:rPr>
      </w:pPr>
    </w:p>
    <w:p w14:paraId="59F961DA" w14:textId="77777777" w:rsidR="00262BA8" w:rsidRPr="00057786" w:rsidRDefault="00262BA8" w:rsidP="00262BA8">
      <w:pPr>
        <w:tabs>
          <w:tab w:val="left" w:pos="851"/>
        </w:tabs>
        <w:ind w:left="851"/>
        <w:rPr>
          <w:sz w:val="24"/>
          <w:szCs w:val="24"/>
        </w:rPr>
      </w:pPr>
      <w:r w:rsidRPr="00057786">
        <w:rPr>
          <w:sz w:val="24"/>
          <w:szCs w:val="24"/>
        </w:rPr>
        <w:t>Mulige systemiske bivirkninger og interaktioner skal tages i betragtning efter lokal administration.</w:t>
      </w:r>
    </w:p>
    <w:p w14:paraId="4F2BD0F2" w14:textId="77777777" w:rsidR="00262BA8" w:rsidRPr="00057786" w:rsidRDefault="00262BA8" w:rsidP="00262BA8">
      <w:pPr>
        <w:tabs>
          <w:tab w:val="left" w:pos="851"/>
        </w:tabs>
        <w:ind w:left="851"/>
        <w:rPr>
          <w:sz w:val="24"/>
          <w:szCs w:val="24"/>
        </w:rPr>
      </w:pPr>
    </w:p>
    <w:p w14:paraId="5EFBAB34" w14:textId="6DEEFCAF" w:rsidR="00262BA8" w:rsidRDefault="00262BA8" w:rsidP="00262BA8">
      <w:pPr>
        <w:tabs>
          <w:tab w:val="left" w:pos="851"/>
        </w:tabs>
        <w:ind w:left="851"/>
        <w:rPr>
          <w:sz w:val="24"/>
          <w:szCs w:val="24"/>
        </w:rPr>
      </w:pPr>
      <w:proofErr w:type="spellStart"/>
      <w:r w:rsidRPr="00057786">
        <w:rPr>
          <w:sz w:val="24"/>
          <w:szCs w:val="24"/>
        </w:rPr>
        <w:t>Intraartikulær</w:t>
      </w:r>
      <w:proofErr w:type="spellEnd"/>
      <w:r w:rsidRPr="00057786">
        <w:rPr>
          <w:sz w:val="24"/>
          <w:szCs w:val="24"/>
        </w:rPr>
        <w:t xml:space="preserve"> administration af </w:t>
      </w:r>
      <w:proofErr w:type="spellStart"/>
      <w:r w:rsidRPr="00057786">
        <w:rPr>
          <w:sz w:val="24"/>
          <w:szCs w:val="24"/>
        </w:rPr>
        <w:t>glukokortikoider</w:t>
      </w:r>
      <w:proofErr w:type="spellEnd"/>
      <w:r w:rsidRPr="00057786">
        <w:rPr>
          <w:sz w:val="24"/>
          <w:szCs w:val="24"/>
        </w:rPr>
        <w:t xml:space="preserve"> øger risikoen for infektioner i led. Langvarig administration og gentagne injektioner af </w:t>
      </w:r>
      <w:proofErr w:type="spellStart"/>
      <w:r w:rsidRPr="00057786">
        <w:rPr>
          <w:sz w:val="24"/>
          <w:szCs w:val="24"/>
        </w:rPr>
        <w:t>glukokortikoider</w:t>
      </w:r>
      <w:proofErr w:type="spellEnd"/>
      <w:r w:rsidRPr="00057786">
        <w:rPr>
          <w:sz w:val="24"/>
          <w:szCs w:val="24"/>
        </w:rPr>
        <w:t xml:space="preserve"> i vægtbærende led kan forværre slidrelaterede ændringer i leddene. Dette skyldes sandsynligvis overbelastning af de berørte led, efter at smerter eller andre symptomer er lindret.</w:t>
      </w:r>
    </w:p>
    <w:p w14:paraId="0460C328" w14:textId="0F2B997F" w:rsidR="001741A9" w:rsidRDefault="001741A9" w:rsidP="00262BA8">
      <w:pPr>
        <w:tabs>
          <w:tab w:val="left" w:pos="851"/>
        </w:tabs>
        <w:ind w:left="851"/>
        <w:rPr>
          <w:sz w:val="24"/>
          <w:szCs w:val="24"/>
        </w:rPr>
      </w:pPr>
    </w:p>
    <w:p w14:paraId="6A2A9963" w14:textId="77777777" w:rsidR="001741A9" w:rsidRPr="00D57C08" w:rsidRDefault="001741A9" w:rsidP="001741A9">
      <w:pPr>
        <w:tabs>
          <w:tab w:val="left" w:pos="851"/>
        </w:tabs>
        <w:ind w:left="851"/>
        <w:rPr>
          <w:i/>
          <w:sz w:val="24"/>
          <w:szCs w:val="24"/>
        </w:rPr>
      </w:pPr>
      <w:proofErr w:type="spellStart"/>
      <w:r w:rsidRPr="00D57C08">
        <w:rPr>
          <w:i/>
          <w:sz w:val="24"/>
          <w:szCs w:val="24"/>
        </w:rPr>
        <w:t>Fæokromocytom</w:t>
      </w:r>
      <w:proofErr w:type="spellEnd"/>
      <w:r w:rsidRPr="00D57C08">
        <w:rPr>
          <w:i/>
          <w:sz w:val="24"/>
          <w:szCs w:val="24"/>
        </w:rPr>
        <w:t>-krise</w:t>
      </w:r>
    </w:p>
    <w:p w14:paraId="7F4B653F" w14:textId="77777777" w:rsidR="001741A9" w:rsidRDefault="001741A9" w:rsidP="001741A9">
      <w:pPr>
        <w:tabs>
          <w:tab w:val="left" w:pos="851"/>
        </w:tabs>
        <w:ind w:left="851"/>
        <w:rPr>
          <w:sz w:val="24"/>
          <w:szCs w:val="24"/>
        </w:rPr>
      </w:pPr>
      <w:r w:rsidRPr="00110F2B">
        <w:rPr>
          <w:sz w:val="24"/>
          <w:szCs w:val="24"/>
        </w:rPr>
        <w:t xml:space="preserve">Der er indberettet </w:t>
      </w:r>
      <w:proofErr w:type="spellStart"/>
      <w:r w:rsidRPr="00110F2B">
        <w:rPr>
          <w:sz w:val="24"/>
          <w:szCs w:val="24"/>
        </w:rPr>
        <w:t>fæokromocytom</w:t>
      </w:r>
      <w:proofErr w:type="spellEnd"/>
      <w:r w:rsidRPr="00110F2B">
        <w:rPr>
          <w:sz w:val="24"/>
          <w:szCs w:val="24"/>
        </w:rPr>
        <w:t>-krise, som kan være dødelig, efter administration af systemiske</w:t>
      </w:r>
      <w:r>
        <w:rPr>
          <w:sz w:val="24"/>
          <w:szCs w:val="24"/>
        </w:rPr>
        <w:t xml:space="preserve"> </w:t>
      </w:r>
      <w:proofErr w:type="spellStart"/>
      <w:r w:rsidRPr="00110F2B">
        <w:rPr>
          <w:sz w:val="24"/>
          <w:szCs w:val="24"/>
        </w:rPr>
        <w:t>kortikosteroider</w:t>
      </w:r>
      <w:proofErr w:type="spellEnd"/>
      <w:r w:rsidRPr="00110F2B">
        <w:rPr>
          <w:sz w:val="24"/>
          <w:szCs w:val="24"/>
        </w:rPr>
        <w:t xml:space="preserve">. </w:t>
      </w:r>
      <w:proofErr w:type="spellStart"/>
      <w:r w:rsidRPr="00110F2B">
        <w:rPr>
          <w:sz w:val="24"/>
          <w:szCs w:val="24"/>
        </w:rPr>
        <w:t>Kortikosteroider</w:t>
      </w:r>
      <w:proofErr w:type="spellEnd"/>
      <w:r w:rsidRPr="00110F2B">
        <w:rPr>
          <w:sz w:val="24"/>
          <w:szCs w:val="24"/>
        </w:rPr>
        <w:t xml:space="preserve"> bør kun administreres til patienter med formodet eller identificeret</w:t>
      </w:r>
      <w:r>
        <w:rPr>
          <w:sz w:val="24"/>
          <w:szCs w:val="24"/>
        </w:rPr>
        <w:t xml:space="preserve"> </w:t>
      </w:r>
      <w:proofErr w:type="spellStart"/>
      <w:r w:rsidRPr="00110F2B">
        <w:rPr>
          <w:sz w:val="24"/>
          <w:szCs w:val="24"/>
        </w:rPr>
        <w:t>fæokromocytom</w:t>
      </w:r>
      <w:proofErr w:type="spellEnd"/>
      <w:r w:rsidRPr="00110F2B">
        <w:rPr>
          <w:sz w:val="24"/>
          <w:szCs w:val="24"/>
        </w:rPr>
        <w:t xml:space="preserve"> efter en passende </w:t>
      </w:r>
      <w:proofErr w:type="spellStart"/>
      <w:r w:rsidRPr="00110F2B">
        <w:rPr>
          <w:sz w:val="24"/>
          <w:szCs w:val="24"/>
        </w:rPr>
        <w:t>risk</w:t>
      </w:r>
      <w:proofErr w:type="spellEnd"/>
      <w:r w:rsidRPr="00110F2B">
        <w:rPr>
          <w:sz w:val="24"/>
          <w:szCs w:val="24"/>
        </w:rPr>
        <w:t>/benefit-vurdering.</w:t>
      </w:r>
    </w:p>
    <w:p w14:paraId="0A780C83" w14:textId="77777777" w:rsidR="001741A9" w:rsidRDefault="001741A9" w:rsidP="001741A9">
      <w:pPr>
        <w:tabs>
          <w:tab w:val="left" w:pos="851"/>
        </w:tabs>
        <w:ind w:left="851"/>
        <w:rPr>
          <w:sz w:val="24"/>
          <w:szCs w:val="24"/>
        </w:rPr>
      </w:pPr>
    </w:p>
    <w:p w14:paraId="3A84C359" w14:textId="77777777" w:rsidR="001741A9" w:rsidRPr="00D57C08" w:rsidRDefault="001741A9" w:rsidP="001741A9">
      <w:pPr>
        <w:tabs>
          <w:tab w:val="left" w:pos="851"/>
        </w:tabs>
        <w:ind w:left="851"/>
        <w:rPr>
          <w:i/>
          <w:sz w:val="24"/>
          <w:szCs w:val="24"/>
        </w:rPr>
      </w:pPr>
      <w:proofErr w:type="spellStart"/>
      <w:r w:rsidRPr="00D57C08">
        <w:rPr>
          <w:i/>
          <w:sz w:val="24"/>
          <w:szCs w:val="24"/>
        </w:rPr>
        <w:t>Hypertrofisk</w:t>
      </w:r>
      <w:proofErr w:type="spellEnd"/>
      <w:r w:rsidRPr="00D57C08">
        <w:rPr>
          <w:i/>
          <w:sz w:val="24"/>
          <w:szCs w:val="24"/>
        </w:rPr>
        <w:t xml:space="preserve"> </w:t>
      </w:r>
      <w:proofErr w:type="spellStart"/>
      <w:r w:rsidRPr="00D57C08">
        <w:rPr>
          <w:i/>
          <w:sz w:val="24"/>
          <w:szCs w:val="24"/>
        </w:rPr>
        <w:t>kardiomyopati</w:t>
      </w:r>
      <w:proofErr w:type="spellEnd"/>
    </w:p>
    <w:p w14:paraId="12470B4C" w14:textId="77777777" w:rsidR="001741A9" w:rsidRPr="00110F2B" w:rsidRDefault="001741A9" w:rsidP="001741A9">
      <w:pPr>
        <w:tabs>
          <w:tab w:val="left" w:pos="851"/>
        </w:tabs>
        <w:ind w:left="851"/>
        <w:rPr>
          <w:sz w:val="24"/>
          <w:szCs w:val="24"/>
        </w:rPr>
      </w:pPr>
      <w:r w:rsidRPr="00110F2B">
        <w:rPr>
          <w:sz w:val="24"/>
          <w:szCs w:val="24"/>
        </w:rPr>
        <w:t xml:space="preserve">Der blev rapporteret om </w:t>
      </w:r>
      <w:proofErr w:type="spellStart"/>
      <w:r w:rsidRPr="00110F2B">
        <w:rPr>
          <w:sz w:val="24"/>
          <w:szCs w:val="24"/>
        </w:rPr>
        <w:t>hypertrofisk</w:t>
      </w:r>
      <w:proofErr w:type="spellEnd"/>
      <w:r w:rsidRPr="00110F2B">
        <w:rPr>
          <w:sz w:val="24"/>
          <w:szCs w:val="24"/>
        </w:rPr>
        <w:t xml:space="preserve"> </w:t>
      </w:r>
      <w:proofErr w:type="spellStart"/>
      <w:r w:rsidRPr="00110F2B">
        <w:rPr>
          <w:sz w:val="24"/>
          <w:szCs w:val="24"/>
        </w:rPr>
        <w:t>kardiomyopati</w:t>
      </w:r>
      <w:proofErr w:type="spellEnd"/>
      <w:r w:rsidRPr="00110F2B">
        <w:rPr>
          <w:sz w:val="24"/>
          <w:szCs w:val="24"/>
        </w:rPr>
        <w:t xml:space="preserve"> efter systemisk administration af</w:t>
      </w:r>
    </w:p>
    <w:p w14:paraId="4A890D8B" w14:textId="77777777" w:rsidR="001741A9" w:rsidRPr="00110F2B" w:rsidRDefault="001741A9" w:rsidP="001741A9">
      <w:pPr>
        <w:tabs>
          <w:tab w:val="left" w:pos="851"/>
        </w:tabs>
        <w:ind w:left="851"/>
        <w:rPr>
          <w:sz w:val="24"/>
          <w:szCs w:val="24"/>
        </w:rPr>
      </w:pPr>
      <w:proofErr w:type="spellStart"/>
      <w:r w:rsidRPr="00110F2B">
        <w:rPr>
          <w:sz w:val="24"/>
          <w:szCs w:val="24"/>
        </w:rPr>
        <w:t>kortikosteroider</w:t>
      </w:r>
      <w:proofErr w:type="spellEnd"/>
      <w:r w:rsidRPr="00110F2B">
        <w:rPr>
          <w:sz w:val="24"/>
          <w:szCs w:val="24"/>
        </w:rPr>
        <w:t xml:space="preserve">, herunder </w:t>
      </w:r>
      <w:proofErr w:type="spellStart"/>
      <w:r w:rsidRPr="00110F2B">
        <w:rPr>
          <w:sz w:val="24"/>
          <w:szCs w:val="24"/>
        </w:rPr>
        <w:t>dexamethason</w:t>
      </w:r>
      <w:proofErr w:type="spellEnd"/>
      <w:r w:rsidRPr="00110F2B">
        <w:rPr>
          <w:sz w:val="24"/>
          <w:szCs w:val="24"/>
        </w:rPr>
        <w:t>, til for tidligt fødte børn. I de fleste indberettede</w:t>
      </w:r>
    </w:p>
    <w:p w14:paraId="06D96A69" w14:textId="77777777" w:rsidR="001741A9" w:rsidRPr="00110F2B" w:rsidRDefault="001741A9" w:rsidP="001741A9">
      <w:pPr>
        <w:tabs>
          <w:tab w:val="left" w:pos="851"/>
        </w:tabs>
        <w:ind w:left="851"/>
        <w:rPr>
          <w:sz w:val="24"/>
          <w:szCs w:val="24"/>
        </w:rPr>
      </w:pPr>
      <w:r w:rsidRPr="00110F2B">
        <w:rPr>
          <w:sz w:val="24"/>
          <w:szCs w:val="24"/>
        </w:rPr>
        <w:t xml:space="preserve">tilfælde var dette reversibelt ved </w:t>
      </w:r>
      <w:proofErr w:type="spellStart"/>
      <w:r w:rsidRPr="00110F2B">
        <w:rPr>
          <w:sz w:val="24"/>
          <w:szCs w:val="24"/>
        </w:rPr>
        <w:t>seponering</w:t>
      </w:r>
      <w:proofErr w:type="spellEnd"/>
      <w:r w:rsidRPr="00110F2B">
        <w:rPr>
          <w:sz w:val="24"/>
          <w:szCs w:val="24"/>
        </w:rPr>
        <w:t xml:space="preserve"> af behandlingen. Hos for tidligt fødte børn, der</w:t>
      </w:r>
    </w:p>
    <w:p w14:paraId="5DD3FA9C" w14:textId="77777777" w:rsidR="001741A9" w:rsidRPr="00110F2B" w:rsidRDefault="001741A9" w:rsidP="001741A9">
      <w:pPr>
        <w:tabs>
          <w:tab w:val="left" w:pos="851"/>
        </w:tabs>
        <w:ind w:left="851"/>
        <w:rPr>
          <w:sz w:val="24"/>
          <w:szCs w:val="24"/>
        </w:rPr>
      </w:pPr>
      <w:r w:rsidRPr="00110F2B">
        <w:rPr>
          <w:sz w:val="24"/>
          <w:szCs w:val="24"/>
        </w:rPr>
        <w:t xml:space="preserve">behandles med systemisk </w:t>
      </w:r>
      <w:proofErr w:type="spellStart"/>
      <w:r w:rsidRPr="00110F2B">
        <w:rPr>
          <w:sz w:val="24"/>
          <w:szCs w:val="24"/>
        </w:rPr>
        <w:t>dexamethason</w:t>
      </w:r>
      <w:proofErr w:type="spellEnd"/>
      <w:r w:rsidRPr="00110F2B">
        <w:rPr>
          <w:sz w:val="24"/>
          <w:szCs w:val="24"/>
        </w:rPr>
        <w:t>, skal der foretages en diagnostisk vurdering og</w:t>
      </w:r>
    </w:p>
    <w:p w14:paraId="284222EB" w14:textId="77777777" w:rsidR="001741A9" w:rsidRDefault="001741A9" w:rsidP="001741A9">
      <w:pPr>
        <w:tabs>
          <w:tab w:val="left" w:pos="851"/>
        </w:tabs>
        <w:ind w:left="851"/>
        <w:rPr>
          <w:sz w:val="24"/>
          <w:szCs w:val="24"/>
        </w:rPr>
      </w:pPr>
      <w:r w:rsidRPr="00110F2B">
        <w:rPr>
          <w:sz w:val="24"/>
          <w:szCs w:val="24"/>
        </w:rPr>
        <w:t>overvågning af hjertefunktionen og -strukturen (punkt 4.8).</w:t>
      </w:r>
    </w:p>
    <w:p w14:paraId="77E3DB2E" w14:textId="77777777" w:rsidR="00262BA8" w:rsidRPr="00057786" w:rsidRDefault="00262BA8" w:rsidP="00262BA8">
      <w:pPr>
        <w:tabs>
          <w:tab w:val="left" w:pos="851"/>
        </w:tabs>
        <w:ind w:left="851"/>
        <w:rPr>
          <w:sz w:val="24"/>
          <w:szCs w:val="24"/>
        </w:rPr>
      </w:pPr>
    </w:p>
    <w:p w14:paraId="7B5C6620" w14:textId="77777777" w:rsidR="00262BA8" w:rsidRPr="00057786" w:rsidRDefault="00262BA8" w:rsidP="00262BA8">
      <w:pPr>
        <w:tabs>
          <w:tab w:val="left" w:pos="851"/>
        </w:tabs>
        <w:ind w:left="851"/>
        <w:rPr>
          <w:i/>
          <w:sz w:val="24"/>
          <w:szCs w:val="24"/>
        </w:rPr>
      </w:pPr>
      <w:r w:rsidRPr="00057786">
        <w:rPr>
          <w:i/>
          <w:sz w:val="24"/>
          <w:szCs w:val="24"/>
        </w:rPr>
        <w:t>Lokal oftalmologisk brug:</w:t>
      </w:r>
    </w:p>
    <w:p w14:paraId="22C6C18D" w14:textId="77777777" w:rsidR="00262BA8" w:rsidRPr="00057786" w:rsidRDefault="00262BA8" w:rsidP="00262BA8">
      <w:pPr>
        <w:tabs>
          <w:tab w:val="left" w:pos="851"/>
        </w:tabs>
        <w:ind w:left="851"/>
        <w:rPr>
          <w:sz w:val="24"/>
          <w:szCs w:val="24"/>
        </w:rPr>
      </w:pPr>
    </w:p>
    <w:p w14:paraId="3DFC15AA" w14:textId="77777777" w:rsidR="00262BA8" w:rsidRPr="00057786" w:rsidRDefault="00262BA8" w:rsidP="00262BA8">
      <w:pPr>
        <w:tabs>
          <w:tab w:val="left" w:pos="851"/>
        </w:tabs>
        <w:ind w:left="851"/>
        <w:rPr>
          <w:sz w:val="24"/>
          <w:szCs w:val="24"/>
        </w:rPr>
      </w:pPr>
      <w:proofErr w:type="spellStart"/>
      <w:r w:rsidRPr="00057786">
        <w:rPr>
          <w:sz w:val="24"/>
          <w:szCs w:val="24"/>
        </w:rPr>
        <w:t>Cushings</w:t>
      </w:r>
      <w:proofErr w:type="spellEnd"/>
      <w:r w:rsidRPr="00057786">
        <w:rPr>
          <w:sz w:val="24"/>
          <w:szCs w:val="24"/>
        </w:rPr>
        <w:t xml:space="preserve"> syndrom og/eller </w:t>
      </w:r>
      <w:proofErr w:type="spellStart"/>
      <w:r w:rsidRPr="00057786">
        <w:rPr>
          <w:sz w:val="24"/>
          <w:szCs w:val="24"/>
        </w:rPr>
        <w:t>adrenal</w:t>
      </w:r>
      <w:proofErr w:type="spellEnd"/>
      <w:r w:rsidRPr="00057786">
        <w:rPr>
          <w:sz w:val="24"/>
          <w:szCs w:val="24"/>
        </w:rPr>
        <w:t xml:space="preserve"> suppression kan forekomme efter systemisk absorption af oftalmologisk </w:t>
      </w:r>
      <w:proofErr w:type="spellStart"/>
      <w:r w:rsidRPr="00057786">
        <w:rPr>
          <w:sz w:val="24"/>
          <w:szCs w:val="24"/>
        </w:rPr>
        <w:t>dexamethason</w:t>
      </w:r>
      <w:proofErr w:type="spellEnd"/>
      <w:r w:rsidRPr="00057786">
        <w:rPr>
          <w:sz w:val="24"/>
          <w:szCs w:val="24"/>
        </w:rPr>
        <w:t xml:space="preserve"> under intensiv eller langvarig behandling hos prædisponerede patienter, herunder børn og patienter behandlet med CYP3A4-hæmmere (herunder </w:t>
      </w:r>
      <w:proofErr w:type="spellStart"/>
      <w:r w:rsidRPr="00057786">
        <w:rPr>
          <w:sz w:val="24"/>
          <w:szCs w:val="24"/>
        </w:rPr>
        <w:t>ritonavir</w:t>
      </w:r>
      <w:proofErr w:type="spellEnd"/>
      <w:r w:rsidRPr="00057786">
        <w:rPr>
          <w:sz w:val="24"/>
          <w:szCs w:val="24"/>
        </w:rPr>
        <w:t xml:space="preserve"> og </w:t>
      </w:r>
      <w:proofErr w:type="spellStart"/>
      <w:r w:rsidRPr="00057786">
        <w:rPr>
          <w:sz w:val="24"/>
          <w:szCs w:val="24"/>
        </w:rPr>
        <w:t>cobicistat</w:t>
      </w:r>
      <w:proofErr w:type="spellEnd"/>
      <w:r w:rsidRPr="00057786">
        <w:rPr>
          <w:sz w:val="24"/>
          <w:szCs w:val="24"/>
        </w:rPr>
        <w:t>). I disse tilfælde skal behandlingen gradvist seponeres.</w:t>
      </w:r>
    </w:p>
    <w:p w14:paraId="0AD7F3A0" w14:textId="77777777" w:rsidR="00262BA8" w:rsidRPr="00057786" w:rsidRDefault="00262BA8" w:rsidP="00262BA8">
      <w:pPr>
        <w:tabs>
          <w:tab w:val="left" w:pos="851"/>
        </w:tabs>
        <w:ind w:left="851"/>
        <w:rPr>
          <w:sz w:val="24"/>
          <w:szCs w:val="24"/>
        </w:rPr>
      </w:pPr>
    </w:p>
    <w:p w14:paraId="19AA04F0" w14:textId="77777777" w:rsidR="00262BA8" w:rsidRPr="00057786" w:rsidRDefault="00262BA8" w:rsidP="00262BA8">
      <w:pPr>
        <w:tabs>
          <w:tab w:val="left" w:pos="851"/>
        </w:tabs>
        <w:ind w:left="851"/>
        <w:rPr>
          <w:sz w:val="24"/>
          <w:szCs w:val="24"/>
        </w:rPr>
      </w:pPr>
      <w:r w:rsidRPr="00057786">
        <w:rPr>
          <w:sz w:val="24"/>
          <w:szCs w:val="24"/>
        </w:rPr>
        <w:t xml:space="preserve">Der bør udvises forsigtighed ved </w:t>
      </w:r>
      <w:proofErr w:type="spellStart"/>
      <w:r w:rsidRPr="00057786">
        <w:rPr>
          <w:sz w:val="24"/>
          <w:szCs w:val="24"/>
        </w:rPr>
        <w:t>subkonjunktival</w:t>
      </w:r>
      <w:proofErr w:type="spellEnd"/>
      <w:r w:rsidRPr="00057786">
        <w:rPr>
          <w:sz w:val="24"/>
          <w:szCs w:val="24"/>
        </w:rPr>
        <w:t xml:space="preserve"> administration af steroider, da dette kan forbindes med en potentiel risiko for fortynding eller smeltning af </w:t>
      </w:r>
      <w:proofErr w:type="spellStart"/>
      <w:r w:rsidRPr="00057786">
        <w:rPr>
          <w:sz w:val="24"/>
          <w:szCs w:val="24"/>
        </w:rPr>
        <w:t>sclera</w:t>
      </w:r>
      <w:proofErr w:type="spellEnd"/>
      <w:r w:rsidRPr="00057786">
        <w:rPr>
          <w:sz w:val="24"/>
          <w:szCs w:val="24"/>
        </w:rPr>
        <w:t>.</w:t>
      </w:r>
    </w:p>
    <w:p w14:paraId="2A8C2D6D" w14:textId="77777777" w:rsidR="00262BA8" w:rsidRPr="00057786" w:rsidRDefault="00262BA8" w:rsidP="00262BA8">
      <w:pPr>
        <w:tabs>
          <w:tab w:val="left" w:pos="851"/>
        </w:tabs>
        <w:ind w:left="851"/>
        <w:rPr>
          <w:sz w:val="24"/>
          <w:szCs w:val="24"/>
        </w:rPr>
      </w:pPr>
    </w:p>
    <w:p w14:paraId="5EB777F3" w14:textId="77777777" w:rsidR="00262BA8" w:rsidRPr="00057786" w:rsidRDefault="00262BA8" w:rsidP="00262BA8">
      <w:pPr>
        <w:tabs>
          <w:tab w:val="left" w:pos="851"/>
        </w:tabs>
        <w:ind w:left="851"/>
        <w:rPr>
          <w:sz w:val="24"/>
          <w:szCs w:val="24"/>
          <w:u w:val="single"/>
        </w:rPr>
      </w:pPr>
      <w:r w:rsidRPr="00057786">
        <w:rPr>
          <w:sz w:val="24"/>
          <w:szCs w:val="24"/>
          <w:u w:val="single"/>
        </w:rPr>
        <w:t>Børn og unge</w:t>
      </w:r>
    </w:p>
    <w:p w14:paraId="3F819ED0" w14:textId="77777777" w:rsidR="00262BA8" w:rsidRPr="00057786" w:rsidRDefault="00262BA8" w:rsidP="00262BA8">
      <w:pPr>
        <w:tabs>
          <w:tab w:val="left" w:pos="851"/>
        </w:tabs>
        <w:ind w:left="851"/>
        <w:rPr>
          <w:i/>
          <w:sz w:val="24"/>
          <w:szCs w:val="24"/>
        </w:rPr>
      </w:pPr>
      <w:r w:rsidRPr="00057786">
        <w:rPr>
          <w:i/>
          <w:sz w:val="24"/>
          <w:szCs w:val="24"/>
        </w:rPr>
        <w:t>Præmature nyfødte:</w:t>
      </w:r>
    </w:p>
    <w:p w14:paraId="6AB65CDD" w14:textId="77777777" w:rsidR="00262BA8" w:rsidRPr="00057786" w:rsidRDefault="00262BA8" w:rsidP="00262BA8">
      <w:pPr>
        <w:tabs>
          <w:tab w:val="left" w:pos="851"/>
        </w:tabs>
        <w:ind w:left="851"/>
        <w:rPr>
          <w:sz w:val="24"/>
          <w:szCs w:val="24"/>
        </w:rPr>
      </w:pPr>
      <w:r w:rsidRPr="00057786">
        <w:rPr>
          <w:sz w:val="24"/>
          <w:szCs w:val="24"/>
        </w:rPr>
        <w:t xml:space="preserve">Tilgængelige data tyder på langvarige </w:t>
      </w:r>
      <w:proofErr w:type="spellStart"/>
      <w:r w:rsidRPr="00057786">
        <w:rPr>
          <w:sz w:val="24"/>
          <w:szCs w:val="24"/>
        </w:rPr>
        <w:t>neuroudviklingsmæssige</w:t>
      </w:r>
      <w:proofErr w:type="spellEnd"/>
      <w:r w:rsidRPr="00057786">
        <w:rPr>
          <w:sz w:val="24"/>
          <w:szCs w:val="24"/>
        </w:rPr>
        <w:t xml:space="preserve"> bivirkninger efter tidlig behandling (&lt; 96 timer efter fødslen) af præmature spædbørn med kronisk lungesygdom med en initialdosis på 0,25 mg/kg 2 gange dagligt.</w:t>
      </w:r>
    </w:p>
    <w:p w14:paraId="7115792D" w14:textId="77777777" w:rsidR="00262BA8" w:rsidRPr="00057786" w:rsidRDefault="00262BA8" w:rsidP="00262BA8">
      <w:pPr>
        <w:tabs>
          <w:tab w:val="left" w:pos="851"/>
        </w:tabs>
        <w:ind w:left="851"/>
        <w:rPr>
          <w:sz w:val="24"/>
          <w:szCs w:val="24"/>
        </w:rPr>
      </w:pPr>
    </w:p>
    <w:p w14:paraId="5FD6ACF4" w14:textId="77777777" w:rsidR="00262BA8" w:rsidRPr="00057786" w:rsidRDefault="00262BA8" w:rsidP="00262BA8">
      <w:pPr>
        <w:tabs>
          <w:tab w:val="left" w:pos="851"/>
        </w:tabs>
        <w:ind w:left="851"/>
        <w:rPr>
          <w:sz w:val="24"/>
          <w:szCs w:val="24"/>
        </w:rPr>
      </w:pPr>
      <w:r w:rsidRPr="00057786">
        <w:rPr>
          <w:sz w:val="24"/>
          <w:szCs w:val="24"/>
        </w:rPr>
        <w:t>I børns vækstfase skal benefit/</w:t>
      </w:r>
      <w:proofErr w:type="spellStart"/>
      <w:r w:rsidRPr="00057786">
        <w:rPr>
          <w:sz w:val="24"/>
          <w:szCs w:val="24"/>
        </w:rPr>
        <w:t>risk</w:t>
      </w:r>
      <w:proofErr w:type="spellEnd"/>
      <w:r w:rsidRPr="00057786">
        <w:rPr>
          <w:sz w:val="24"/>
          <w:szCs w:val="24"/>
        </w:rPr>
        <w:t xml:space="preserve">-balancen ved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vurderes nøje.</w:t>
      </w:r>
    </w:p>
    <w:p w14:paraId="49B6055A" w14:textId="77777777" w:rsidR="00262BA8" w:rsidRPr="00057786" w:rsidRDefault="00262BA8" w:rsidP="00262BA8">
      <w:pPr>
        <w:tabs>
          <w:tab w:val="left" w:pos="851"/>
        </w:tabs>
        <w:ind w:left="851"/>
        <w:rPr>
          <w:sz w:val="24"/>
          <w:szCs w:val="24"/>
        </w:rPr>
      </w:pPr>
    </w:p>
    <w:p w14:paraId="66F81912" w14:textId="77777777" w:rsidR="00262BA8" w:rsidRPr="00057786" w:rsidRDefault="00262BA8" w:rsidP="00262BA8">
      <w:pPr>
        <w:tabs>
          <w:tab w:val="left" w:pos="851"/>
        </w:tabs>
        <w:ind w:left="851"/>
        <w:rPr>
          <w:sz w:val="24"/>
          <w:szCs w:val="24"/>
          <w:u w:val="single"/>
        </w:rPr>
      </w:pPr>
      <w:r w:rsidRPr="00057786">
        <w:rPr>
          <w:sz w:val="24"/>
          <w:szCs w:val="24"/>
          <w:u w:val="single"/>
        </w:rPr>
        <w:t>Ældre patienter</w:t>
      </w:r>
    </w:p>
    <w:p w14:paraId="56E6BD66" w14:textId="77777777" w:rsidR="00262BA8" w:rsidRPr="00057786" w:rsidRDefault="00262BA8" w:rsidP="00262BA8">
      <w:pPr>
        <w:tabs>
          <w:tab w:val="left" w:pos="851"/>
        </w:tabs>
        <w:ind w:left="851"/>
        <w:rPr>
          <w:sz w:val="24"/>
          <w:szCs w:val="24"/>
          <w:u w:val="single"/>
        </w:rPr>
      </w:pPr>
    </w:p>
    <w:p w14:paraId="6CFCE78A" w14:textId="77777777" w:rsidR="00262BA8" w:rsidRPr="00057786" w:rsidRDefault="00262BA8" w:rsidP="00262BA8">
      <w:pPr>
        <w:tabs>
          <w:tab w:val="left" w:pos="851"/>
        </w:tabs>
        <w:ind w:left="851"/>
        <w:rPr>
          <w:sz w:val="24"/>
          <w:szCs w:val="24"/>
        </w:rPr>
      </w:pPr>
      <w:r w:rsidRPr="00057786">
        <w:rPr>
          <w:sz w:val="24"/>
          <w:szCs w:val="24"/>
        </w:rPr>
        <w:t>Da ældre patienter har øget risiko for at få osteoporose, skal benefit/</w:t>
      </w:r>
      <w:proofErr w:type="spellStart"/>
      <w:r w:rsidRPr="00057786">
        <w:rPr>
          <w:sz w:val="24"/>
          <w:szCs w:val="24"/>
        </w:rPr>
        <w:t>risk</w:t>
      </w:r>
      <w:proofErr w:type="spellEnd"/>
      <w:r w:rsidRPr="00057786">
        <w:rPr>
          <w:sz w:val="24"/>
          <w:szCs w:val="24"/>
        </w:rPr>
        <w:t xml:space="preserve">-balancen ved behandling med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vurderes nøje.</w:t>
      </w:r>
    </w:p>
    <w:p w14:paraId="3D4B9224" w14:textId="77777777" w:rsidR="00262BA8" w:rsidRPr="00057786" w:rsidRDefault="00262BA8" w:rsidP="00262BA8">
      <w:pPr>
        <w:tabs>
          <w:tab w:val="left" w:pos="851"/>
        </w:tabs>
        <w:ind w:left="851"/>
        <w:rPr>
          <w:sz w:val="24"/>
          <w:szCs w:val="24"/>
        </w:rPr>
      </w:pPr>
    </w:p>
    <w:p w14:paraId="17325668" w14:textId="77777777" w:rsidR="00262BA8" w:rsidRPr="00057786" w:rsidRDefault="00262BA8" w:rsidP="00262BA8">
      <w:pPr>
        <w:tabs>
          <w:tab w:val="left" w:pos="851"/>
        </w:tabs>
        <w:ind w:left="851"/>
        <w:rPr>
          <w:sz w:val="24"/>
          <w:szCs w:val="24"/>
        </w:rPr>
      </w:pPr>
      <w:r w:rsidRPr="00057786">
        <w:rPr>
          <w:sz w:val="24"/>
          <w:szCs w:val="24"/>
        </w:rPr>
        <w:t xml:space="preserve">Anvendelsen af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kan føre til positive resultater i dopingkontroller.</w:t>
      </w:r>
    </w:p>
    <w:p w14:paraId="012999C5" w14:textId="77777777" w:rsidR="00262BA8" w:rsidRPr="00057786" w:rsidRDefault="00262BA8" w:rsidP="00262BA8">
      <w:pPr>
        <w:tabs>
          <w:tab w:val="left" w:pos="851"/>
        </w:tabs>
        <w:ind w:left="851"/>
        <w:rPr>
          <w:sz w:val="24"/>
          <w:szCs w:val="24"/>
        </w:rPr>
      </w:pPr>
    </w:p>
    <w:p w14:paraId="33FCC0B5" w14:textId="77777777" w:rsidR="00262BA8" w:rsidRPr="00057786" w:rsidRDefault="00262BA8" w:rsidP="00262BA8">
      <w:pPr>
        <w:tabs>
          <w:tab w:val="left" w:pos="851"/>
        </w:tabs>
        <w:ind w:left="851"/>
        <w:rPr>
          <w:b/>
          <w:sz w:val="24"/>
          <w:szCs w:val="24"/>
        </w:rPr>
      </w:pPr>
      <w:r w:rsidRPr="00057786">
        <w:rPr>
          <w:b/>
          <w:sz w:val="24"/>
          <w:szCs w:val="24"/>
        </w:rPr>
        <w:t>Vigtige oplysninger om nogle af indholdsstofferne</w:t>
      </w:r>
    </w:p>
    <w:p w14:paraId="0279A4B1" w14:textId="77777777" w:rsidR="00262BA8" w:rsidRPr="00057786" w:rsidRDefault="00262BA8" w:rsidP="00262BA8">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4 mg/ml injektions-/infusionsvæske, opløsning</w:t>
      </w:r>
    </w:p>
    <w:p w14:paraId="0FAFDD7A" w14:textId="77777777" w:rsidR="00262BA8" w:rsidRPr="00057786" w:rsidRDefault="00262BA8" w:rsidP="00262BA8">
      <w:pPr>
        <w:tabs>
          <w:tab w:val="left" w:pos="851"/>
        </w:tabs>
        <w:ind w:left="851"/>
        <w:rPr>
          <w:sz w:val="24"/>
          <w:szCs w:val="24"/>
        </w:rPr>
      </w:pPr>
      <w:r w:rsidRPr="00057786">
        <w:rPr>
          <w:sz w:val="24"/>
          <w:szCs w:val="24"/>
        </w:rPr>
        <w:t>Dette lægemiddel indeholder 3 mg natrium pr. ampul, svarende til 0,15 % af den WHO-anbefalede maksimale daglige indtagelse af 2 g natrium for en voksen.</w:t>
      </w:r>
    </w:p>
    <w:p w14:paraId="68D051DF" w14:textId="77777777" w:rsidR="00262BA8" w:rsidRPr="00057786" w:rsidRDefault="00262BA8" w:rsidP="00262BA8">
      <w:pPr>
        <w:tabs>
          <w:tab w:val="left" w:pos="851"/>
        </w:tabs>
        <w:ind w:left="851"/>
        <w:rPr>
          <w:sz w:val="24"/>
          <w:szCs w:val="24"/>
        </w:rPr>
      </w:pPr>
    </w:p>
    <w:p w14:paraId="1AE1C838" w14:textId="77777777" w:rsidR="00262BA8" w:rsidRPr="00057786" w:rsidRDefault="00262BA8" w:rsidP="00262BA8">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8 mg/2 ml injektions-/infusionsvæske, opløsning</w:t>
      </w:r>
    </w:p>
    <w:p w14:paraId="62CAD339" w14:textId="77777777" w:rsidR="00262BA8" w:rsidRPr="00057786" w:rsidRDefault="00262BA8" w:rsidP="00262BA8">
      <w:pPr>
        <w:tabs>
          <w:tab w:val="left" w:pos="851"/>
        </w:tabs>
        <w:ind w:left="851"/>
        <w:rPr>
          <w:sz w:val="24"/>
          <w:szCs w:val="24"/>
        </w:rPr>
      </w:pPr>
      <w:r w:rsidRPr="00057786">
        <w:rPr>
          <w:sz w:val="24"/>
          <w:szCs w:val="24"/>
        </w:rPr>
        <w:t>Dette lægemiddel indeholder 6 mg natrium pr. ampul, svarende til 0,3 % af den WHO-anbefalede maksimale daglige indtagelse af 2 g natrium for en voksen.</w:t>
      </w:r>
    </w:p>
    <w:p w14:paraId="06D0E894" w14:textId="77777777" w:rsidR="009260DE" w:rsidRPr="00057786" w:rsidRDefault="009260DE" w:rsidP="009260DE">
      <w:pPr>
        <w:tabs>
          <w:tab w:val="left" w:pos="851"/>
        </w:tabs>
        <w:ind w:left="851"/>
        <w:rPr>
          <w:sz w:val="24"/>
          <w:szCs w:val="24"/>
        </w:rPr>
      </w:pPr>
    </w:p>
    <w:p w14:paraId="17772DBE" w14:textId="77777777" w:rsidR="009260DE" w:rsidRPr="00057786" w:rsidRDefault="009260DE" w:rsidP="009260DE">
      <w:pPr>
        <w:tabs>
          <w:tab w:val="left" w:pos="851"/>
        </w:tabs>
        <w:ind w:left="851" w:hanging="851"/>
        <w:rPr>
          <w:b/>
          <w:sz w:val="24"/>
          <w:szCs w:val="24"/>
        </w:rPr>
      </w:pPr>
      <w:r w:rsidRPr="00057786">
        <w:rPr>
          <w:b/>
          <w:sz w:val="24"/>
          <w:szCs w:val="24"/>
        </w:rPr>
        <w:t>4.5</w:t>
      </w:r>
      <w:r w:rsidRPr="00057786">
        <w:rPr>
          <w:b/>
          <w:sz w:val="24"/>
          <w:szCs w:val="24"/>
        </w:rPr>
        <w:tab/>
        <w:t>Interaktion med andre lægemidler og andre former for interaktion</w:t>
      </w:r>
    </w:p>
    <w:p w14:paraId="1F478741" w14:textId="77777777" w:rsidR="00262BA8" w:rsidRPr="00057786" w:rsidRDefault="00262BA8" w:rsidP="00262BA8">
      <w:pPr>
        <w:tabs>
          <w:tab w:val="left" w:pos="851"/>
        </w:tabs>
        <w:ind w:left="851"/>
        <w:rPr>
          <w:sz w:val="24"/>
          <w:szCs w:val="24"/>
          <w:lang w:eastAsia="da-DK"/>
        </w:rPr>
      </w:pPr>
      <w:r w:rsidRPr="00057786">
        <w:rPr>
          <w:sz w:val="24"/>
          <w:szCs w:val="24"/>
        </w:rPr>
        <w:t xml:space="preserve">Østrogener (f.eks. orale </w:t>
      </w:r>
      <w:proofErr w:type="spellStart"/>
      <w:r w:rsidRPr="00057786">
        <w:rPr>
          <w:sz w:val="24"/>
          <w:szCs w:val="24"/>
        </w:rPr>
        <w:t>kontraceptiva</w:t>
      </w:r>
      <w:proofErr w:type="spellEnd"/>
      <w:r w:rsidRPr="00057786">
        <w:rPr>
          <w:sz w:val="24"/>
          <w:szCs w:val="24"/>
        </w:rPr>
        <w:t xml:space="preserve">): Halveringstiden af </w:t>
      </w:r>
      <w:proofErr w:type="spellStart"/>
      <w:r w:rsidRPr="00057786">
        <w:rPr>
          <w:sz w:val="24"/>
          <w:szCs w:val="24"/>
        </w:rPr>
        <w:t>glukokortikoider</w:t>
      </w:r>
      <w:proofErr w:type="spellEnd"/>
      <w:r w:rsidRPr="00057786">
        <w:rPr>
          <w:sz w:val="24"/>
          <w:szCs w:val="24"/>
        </w:rPr>
        <w:t xml:space="preserve"> kan blive forlænget. Derfor kan virkningen af </w:t>
      </w:r>
      <w:proofErr w:type="spellStart"/>
      <w:r w:rsidRPr="00057786">
        <w:rPr>
          <w:sz w:val="24"/>
          <w:szCs w:val="24"/>
        </w:rPr>
        <w:t>kortikoider</w:t>
      </w:r>
      <w:proofErr w:type="spellEnd"/>
      <w:r w:rsidRPr="00057786">
        <w:rPr>
          <w:sz w:val="24"/>
          <w:szCs w:val="24"/>
        </w:rPr>
        <w:t xml:space="preserve"> være øget.</w:t>
      </w:r>
    </w:p>
    <w:p w14:paraId="161C8C0D" w14:textId="77777777" w:rsidR="00262BA8" w:rsidRPr="00057786" w:rsidRDefault="00262BA8" w:rsidP="00262BA8">
      <w:pPr>
        <w:tabs>
          <w:tab w:val="left" w:pos="851"/>
        </w:tabs>
        <w:ind w:left="851"/>
        <w:rPr>
          <w:sz w:val="24"/>
          <w:szCs w:val="24"/>
        </w:rPr>
      </w:pPr>
    </w:p>
    <w:p w14:paraId="6035947B" w14:textId="77777777" w:rsidR="00262BA8" w:rsidRPr="00057786" w:rsidRDefault="00262BA8" w:rsidP="00262BA8">
      <w:pPr>
        <w:tabs>
          <w:tab w:val="left" w:pos="851"/>
        </w:tabs>
        <w:ind w:left="851"/>
        <w:rPr>
          <w:sz w:val="24"/>
          <w:szCs w:val="24"/>
        </w:rPr>
      </w:pPr>
      <w:r w:rsidRPr="00057786">
        <w:rPr>
          <w:sz w:val="24"/>
          <w:szCs w:val="24"/>
        </w:rPr>
        <w:t xml:space="preserve">Lægemidler, der inducerer CYP3A4, f.eks. </w:t>
      </w:r>
      <w:proofErr w:type="spellStart"/>
      <w:r w:rsidRPr="00057786">
        <w:rPr>
          <w:sz w:val="24"/>
          <w:szCs w:val="24"/>
        </w:rPr>
        <w:t>rifampicin</w:t>
      </w:r>
      <w:proofErr w:type="spellEnd"/>
      <w:r w:rsidRPr="00057786">
        <w:rPr>
          <w:sz w:val="24"/>
          <w:szCs w:val="24"/>
        </w:rPr>
        <w:t xml:space="preserve">, </w:t>
      </w:r>
      <w:proofErr w:type="spellStart"/>
      <w:r w:rsidRPr="00057786">
        <w:rPr>
          <w:sz w:val="24"/>
          <w:szCs w:val="24"/>
        </w:rPr>
        <w:t>fenytoin</w:t>
      </w:r>
      <w:proofErr w:type="spellEnd"/>
      <w:r w:rsidRPr="00057786">
        <w:rPr>
          <w:sz w:val="24"/>
          <w:szCs w:val="24"/>
        </w:rPr>
        <w:t xml:space="preserve">, </w:t>
      </w:r>
      <w:proofErr w:type="spellStart"/>
      <w:r w:rsidRPr="00057786">
        <w:rPr>
          <w:sz w:val="24"/>
          <w:szCs w:val="24"/>
        </w:rPr>
        <w:t>carbamazepin</w:t>
      </w:r>
      <w:proofErr w:type="spellEnd"/>
      <w:r w:rsidRPr="00057786">
        <w:rPr>
          <w:sz w:val="24"/>
          <w:szCs w:val="24"/>
        </w:rPr>
        <w:t xml:space="preserve">, barbiturater og </w:t>
      </w:r>
      <w:proofErr w:type="spellStart"/>
      <w:r w:rsidRPr="00057786">
        <w:rPr>
          <w:sz w:val="24"/>
          <w:szCs w:val="24"/>
        </w:rPr>
        <w:t>primidon</w:t>
      </w:r>
      <w:proofErr w:type="spellEnd"/>
      <w:r w:rsidRPr="00057786">
        <w:rPr>
          <w:sz w:val="24"/>
          <w:szCs w:val="24"/>
        </w:rPr>
        <w:t xml:space="preserve">: Virkningen af </w:t>
      </w:r>
      <w:proofErr w:type="spellStart"/>
      <w:r w:rsidRPr="00057786">
        <w:rPr>
          <w:sz w:val="24"/>
          <w:szCs w:val="24"/>
        </w:rPr>
        <w:t>kortikoider</w:t>
      </w:r>
      <w:proofErr w:type="spellEnd"/>
      <w:r w:rsidRPr="00057786">
        <w:rPr>
          <w:sz w:val="24"/>
          <w:szCs w:val="24"/>
        </w:rPr>
        <w:t xml:space="preserve"> kan være reduceret.</w:t>
      </w:r>
    </w:p>
    <w:p w14:paraId="028E10A6" w14:textId="77777777" w:rsidR="00262BA8" w:rsidRPr="00057786" w:rsidRDefault="00262BA8" w:rsidP="00262BA8">
      <w:pPr>
        <w:tabs>
          <w:tab w:val="left" w:pos="851"/>
        </w:tabs>
        <w:ind w:left="851"/>
        <w:rPr>
          <w:sz w:val="24"/>
          <w:szCs w:val="24"/>
        </w:rPr>
      </w:pPr>
    </w:p>
    <w:p w14:paraId="1F215B3E" w14:textId="77777777" w:rsidR="00262BA8" w:rsidRPr="00057786" w:rsidRDefault="00262BA8" w:rsidP="00262BA8">
      <w:pPr>
        <w:tabs>
          <w:tab w:val="left" w:pos="851"/>
        </w:tabs>
        <w:ind w:left="851"/>
        <w:rPr>
          <w:sz w:val="24"/>
          <w:szCs w:val="24"/>
        </w:rPr>
      </w:pPr>
      <w:r w:rsidRPr="00057786">
        <w:rPr>
          <w:sz w:val="24"/>
          <w:szCs w:val="24"/>
        </w:rPr>
        <w:t xml:space="preserve">CYP3A4-hæmmere (herunder </w:t>
      </w:r>
      <w:proofErr w:type="spellStart"/>
      <w:r w:rsidRPr="00057786">
        <w:rPr>
          <w:sz w:val="24"/>
          <w:szCs w:val="24"/>
        </w:rPr>
        <w:t>ketoconazol</w:t>
      </w:r>
      <w:proofErr w:type="spellEnd"/>
      <w:r w:rsidRPr="00057786">
        <w:rPr>
          <w:sz w:val="24"/>
          <w:szCs w:val="24"/>
        </w:rPr>
        <w:t xml:space="preserve">, </w:t>
      </w:r>
      <w:proofErr w:type="spellStart"/>
      <w:r w:rsidRPr="00057786">
        <w:rPr>
          <w:sz w:val="24"/>
          <w:szCs w:val="24"/>
        </w:rPr>
        <w:t>itraconazol</w:t>
      </w:r>
      <w:proofErr w:type="spellEnd"/>
      <w:r w:rsidRPr="00057786">
        <w:rPr>
          <w:sz w:val="24"/>
          <w:szCs w:val="24"/>
        </w:rPr>
        <w:t xml:space="preserve">, </w:t>
      </w:r>
      <w:proofErr w:type="spellStart"/>
      <w:r w:rsidRPr="00057786">
        <w:rPr>
          <w:sz w:val="24"/>
          <w:szCs w:val="24"/>
        </w:rPr>
        <w:t>ritonavir</w:t>
      </w:r>
      <w:proofErr w:type="spellEnd"/>
      <w:r w:rsidRPr="00057786">
        <w:rPr>
          <w:sz w:val="24"/>
          <w:szCs w:val="24"/>
        </w:rPr>
        <w:t xml:space="preserve"> og </w:t>
      </w:r>
      <w:proofErr w:type="spellStart"/>
      <w:r w:rsidRPr="00057786">
        <w:rPr>
          <w:sz w:val="24"/>
          <w:szCs w:val="24"/>
        </w:rPr>
        <w:t>cobicistat</w:t>
      </w:r>
      <w:proofErr w:type="spellEnd"/>
      <w:r w:rsidRPr="00057786">
        <w:rPr>
          <w:sz w:val="24"/>
          <w:szCs w:val="24"/>
        </w:rPr>
        <w:t xml:space="preserve">) kan nedsætte </w:t>
      </w:r>
      <w:proofErr w:type="spellStart"/>
      <w:r w:rsidRPr="00057786">
        <w:rPr>
          <w:sz w:val="24"/>
          <w:szCs w:val="24"/>
        </w:rPr>
        <w:t>clearance</w:t>
      </w:r>
      <w:proofErr w:type="spellEnd"/>
      <w:r w:rsidRPr="00057786">
        <w:rPr>
          <w:sz w:val="24"/>
          <w:szCs w:val="24"/>
        </w:rPr>
        <w:t xml:space="preserve"> af </w:t>
      </w:r>
      <w:proofErr w:type="spellStart"/>
      <w:r w:rsidRPr="00057786">
        <w:rPr>
          <w:sz w:val="24"/>
          <w:szCs w:val="24"/>
        </w:rPr>
        <w:t>dexamethason</w:t>
      </w:r>
      <w:proofErr w:type="spellEnd"/>
      <w:r w:rsidRPr="00057786">
        <w:rPr>
          <w:sz w:val="24"/>
          <w:szCs w:val="24"/>
        </w:rPr>
        <w:t xml:space="preserve">, hvilket kan medføre en stigning i virkningen og </w:t>
      </w:r>
      <w:proofErr w:type="spellStart"/>
      <w:r w:rsidRPr="00057786">
        <w:rPr>
          <w:sz w:val="24"/>
          <w:szCs w:val="24"/>
        </w:rPr>
        <w:t>adrenal</w:t>
      </w:r>
      <w:proofErr w:type="spellEnd"/>
      <w:r w:rsidRPr="00057786">
        <w:rPr>
          <w:sz w:val="24"/>
          <w:szCs w:val="24"/>
        </w:rPr>
        <w:t xml:space="preserve"> suppression/</w:t>
      </w:r>
      <w:proofErr w:type="spellStart"/>
      <w:r w:rsidRPr="00057786">
        <w:rPr>
          <w:sz w:val="24"/>
          <w:szCs w:val="24"/>
        </w:rPr>
        <w:t>Cushings</w:t>
      </w:r>
      <w:proofErr w:type="spellEnd"/>
      <w:r w:rsidRPr="00057786">
        <w:rPr>
          <w:sz w:val="24"/>
          <w:szCs w:val="24"/>
        </w:rPr>
        <w:t xml:space="preserve"> syndrom. Denne kombination bør undgås, undtagen i tilfælde hvor fordelen ved behandlingen opvejer den øgede risiko for systemiske bivirkninger af </w:t>
      </w:r>
      <w:proofErr w:type="spellStart"/>
      <w:r w:rsidRPr="00057786">
        <w:rPr>
          <w:sz w:val="24"/>
          <w:szCs w:val="24"/>
        </w:rPr>
        <w:t>kortikosteroider</w:t>
      </w:r>
      <w:proofErr w:type="spellEnd"/>
      <w:r w:rsidRPr="00057786">
        <w:rPr>
          <w:sz w:val="24"/>
          <w:szCs w:val="24"/>
        </w:rPr>
        <w:t xml:space="preserve">. Hvis dette er tilfældet, skal patienter monitoreres for virkningerne af systemiske </w:t>
      </w:r>
      <w:proofErr w:type="spellStart"/>
      <w:r w:rsidRPr="00057786">
        <w:rPr>
          <w:sz w:val="24"/>
          <w:szCs w:val="24"/>
        </w:rPr>
        <w:t>kortikosteroider</w:t>
      </w:r>
      <w:proofErr w:type="spellEnd"/>
      <w:r w:rsidRPr="00057786">
        <w:rPr>
          <w:sz w:val="24"/>
          <w:szCs w:val="24"/>
        </w:rPr>
        <w:t>.</w:t>
      </w:r>
    </w:p>
    <w:p w14:paraId="5DB61012" w14:textId="77777777" w:rsidR="00262BA8" w:rsidRPr="00057786" w:rsidRDefault="00262BA8" w:rsidP="00262BA8">
      <w:pPr>
        <w:tabs>
          <w:tab w:val="left" w:pos="851"/>
        </w:tabs>
        <w:ind w:left="851"/>
        <w:rPr>
          <w:sz w:val="24"/>
          <w:szCs w:val="24"/>
        </w:rPr>
      </w:pPr>
    </w:p>
    <w:p w14:paraId="2C937C60" w14:textId="77777777" w:rsidR="00262BA8" w:rsidRPr="00057786" w:rsidRDefault="00262BA8" w:rsidP="00262BA8">
      <w:pPr>
        <w:tabs>
          <w:tab w:val="left" w:pos="851"/>
        </w:tabs>
        <w:ind w:left="851"/>
        <w:rPr>
          <w:sz w:val="24"/>
          <w:szCs w:val="24"/>
        </w:rPr>
      </w:pPr>
      <w:proofErr w:type="spellStart"/>
      <w:r w:rsidRPr="00057786">
        <w:rPr>
          <w:sz w:val="24"/>
          <w:szCs w:val="24"/>
        </w:rPr>
        <w:t>Efedrin</w:t>
      </w:r>
      <w:proofErr w:type="spellEnd"/>
      <w:r w:rsidRPr="00057786">
        <w:rPr>
          <w:sz w:val="24"/>
          <w:szCs w:val="24"/>
        </w:rPr>
        <w:t xml:space="preserve">: </w:t>
      </w:r>
      <w:proofErr w:type="spellStart"/>
      <w:r w:rsidRPr="00057786">
        <w:rPr>
          <w:sz w:val="24"/>
          <w:szCs w:val="24"/>
        </w:rPr>
        <w:t>Metablismen</w:t>
      </w:r>
      <w:proofErr w:type="spellEnd"/>
      <w:r w:rsidRPr="00057786">
        <w:rPr>
          <w:sz w:val="24"/>
          <w:szCs w:val="24"/>
        </w:rPr>
        <w:t xml:space="preserve"> af </w:t>
      </w:r>
      <w:proofErr w:type="spellStart"/>
      <w:r w:rsidRPr="00057786">
        <w:rPr>
          <w:sz w:val="24"/>
          <w:szCs w:val="24"/>
        </w:rPr>
        <w:t>glukokortikoider</w:t>
      </w:r>
      <w:proofErr w:type="spellEnd"/>
      <w:r w:rsidRPr="00057786">
        <w:rPr>
          <w:sz w:val="24"/>
          <w:szCs w:val="24"/>
        </w:rPr>
        <w:t xml:space="preserve"> kan være accelereret, og dermed kan deres effektivitet være nedsat.</w:t>
      </w:r>
    </w:p>
    <w:p w14:paraId="31172FB0" w14:textId="77777777" w:rsidR="00262BA8" w:rsidRPr="00057786" w:rsidRDefault="00262BA8" w:rsidP="00262BA8">
      <w:pPr>
        <w:tabs>
          <w:tab w:val="left" w:pos="851"/>
        </w:tabs>
        <w:ind w:left="851"/>
        <w:rPr>
          <w:sz w:val="24"/>
          <w:szCs w:val="24"/>
        </w:rPr>
      </w:pPr>
    </w:p>
    <w:p w14:paraId="618D5158" w14:textId="77777777" w:rsidR="00262BA8" w:rsidRPr="00057786" w:rsidRDefault="00262BA8" w:rsidP="00262BA8">
      <w:pPr>
        <w:tabs>
          <w:tab w:val="left" w:pos="851"/>
        </w:tabs>
        <w:ind w:left="851"/>
        <w:rPr>
          <w:sz w:val="24"/>
          <w:szCs w:val="24"/>
        </w:rPr>
      </w:pPr>
      <w:r w:rsidRPr="00057786">
        <w:rPr>
          <w:sz w:val="24"/>
          <w:szCs w:val="24"/>
        </w:rPr>
        <w:t>ACE-</w:t>
      </w:r>
      <w:proofErr w:type="spellStart"/>
      <w:r w:rsidRPr="00057786">
        <w:rPr>
          <w:sz w:val="24"/>
          <w:szCs w:val="24"/>
        </w:rPr>
        <w:t>hæmmere</w:t>
      </w:r>
      <w:proofErr w:type="spellEnd"/>
      <w:r w:rsidRPr="00057786">
        <w:rPr>
          <w:sz w:val="24"/>
          <w:szCs w:val="24"/>
        </w:rPr>
        <w:t>: Øget risiko for ændringer i antallet af blodlegemer.</w:t>
      </w:r>
    </w:p>
    <w:p w14:paraId="05769814" w14:textId="77777777" w:rsidR="00262BA8" w:rsidRPr="00057786" w:rsidRDefault="00262BA8" w:rsidP="00262BA8">
      <w:pPr>
        <w:tabs>
          <w:tab w:val="left" w:pos="851"/>
        </w:tabs>
        <w:ind w:left="851"/>
        <w:rPr>
          <w:sz w:val="24"/>
          <w:szCs w:val="24"/>
        </w:rPr>
      </w:pPr>
    </w:p>
    <w:p w14:paraId="31B4FB74" w14:textId="77777777" w:rsidR="00262BA8" w:rsidRPr="00057786" w:rsidRDefault="00262BA8" w:rsidP="00262BA8">
      <w:pPr>
        <w:tabs>
          <w:tab w:val="left" w:pos="851"/>
        </w:tabs>
        <w:ind w:left="851"/>
        <w:rPr>
          <w:sz w:val="24"/>
          <w:szCs w:val="24"/>
        </w:rPr>
      </w:pPr>
      <w:r w:rsidRPr="00057786">
        <w:rPr>
          <w:sz w:val="24"/>
          <w:szCs w:val="24"/>
        </w:rPr>
        <w:t>Hjerteglykosider: Virkningen af glykosider kan være øget ved kaliummangel.</w:t>
      </w:r>
    </w:p>
    <w:p w14:paraId="071F4FDC" w14:textId="77777777" w:rsidR="00262BA8" w:rsidRPr="00057786" w:rsidRDefault="00262BA8" w:rsidP="00262BA8">
      <w:pPr>
        <w:tabs>
          <w:tab w:val="left" w:pos="851"/>
        </w:tabs>
        <w:ind w:left="851"/>
        <w:rPr>
          <w:sz w:val="24"/>
          <w:szCs w:val="24"/>
        </w:rPr>
      </w:pPr>
    </w:p>
    <w:p w14:paraId="57475FAC" w14:textId="77777777" w:rsidR="00262BA8" w:rsidRPr="00057786" w:rsidRDefault="00262BA8" w:rsidP="00262BA8">
      <w:pPr>
        <w:tabs>
          <w:tab w:val="left" w:pos="851"/>
        </w:tabs>
        <w:ind w:left="851"/>
        <w:rPr>
          <w:sz w:val="24"/>
          <w:szCs w:val="24"/>
        </w:rPr>
      </w:pPr>
      <w:proofErr w:type="spellStart"/>
      <w:r w:rsidRPr="00057786">
        <w:rPr>
          <w:sz w:val="24"/>
          <w:szCs w:val="24"/>
        </w:rPr>
        <w:t>Saluretika</w:t>
      </w:r>
      <w:proofErr w:type="spellEnd"/>
      <w:r w:rsidRPr="00057786">
        <w:rPr>
          <w:sz w:val="24"/>
          <w:szCs w:val="24"/>
        </w:rPr>
        <w:t>/laksativer: Udskillelse af kalium kan være øget.</w:t>
      </w:r>
    </w:p>
    <w:p w14:paraId="682E1E87" w14:textId="77777777" w:rsidR="00262BA8" w:rsidRPr="00057786" w:rsidRDefault="00262BA8" w:rsidP="00262BA8">
      <w:pPr>
        <w:tabs>
          <w:tab w:val="left" w:pos="851"/>
        </w:tabs>
        <w:ind w:left="851"/>
        <w:rPr>
          <w:sz w:val="24"/>
          <w:szCs w:val="24"/>
        </w:rPr>
      </w:pPr>
    </w:p>
    <w:p w14:paraId="4C56011A" w14:textId="77777777" w:rsidR="00262BA8" w:rsidRPr="00057786" w:rsidRDefault="00262BA8" w:rsidP="00262BA8">
      <w:pPr>
        <w:tabs>
          <w:tab w:val="left" w:pos="851"/>
        </w:tabs>
        <w:ind w:left="851"/>
        <w:rPr>
          <w:sz w:val="24"/>
          <w:szCs w:val="24"/>
        </w:rPr>
      </w:pPr>
      <w:proofErr w:type="spellStart"/>
      <w:r w:rsidRPr="00057786">
        <w:rPr>
          <w:sz w:val="24"/>
          <w:szCs w:val="24"/>
        </w:rPr>
        <w:t>Antidiabetika</w:t>
      </w:r>
      <w:proofErr w:type="spellEnd"/>
      <w:r w:rsidRPr="00057786">
        <w:rPr>
          <w:sz w:val="24"/>
          <w:szCs w:val="24"/>
        </w:rPr>
        <w:t>: Den hypoglykæmiske virkning kan være reduceret.</w:t>
      </w:r>
    </w:p>
    <w:p w14:paraId="1A75170B" w14:textId="77777777" w:rsidR="00262BA8" w:rsidRPr="00057786" w:rsidRDefault="00262BA8" w:rsidP="00262BA8">
      <w:pPr>
        <w:tabs>
          <w:tab w:val="left" w:pos="851"/>
        </w:tabs>
        <w:ind w:left="851"/>
        <w:rPr>
          <w:sz w:val="24"/>
          <w:szCs w:val="24"/>
        </w:rPr>
      </w:pPr>
    </w:p>
    <w:p w14:paraId="1901B73F" w14:textId="77777777" w:rsidR="00262BA8" w:rsidRPr="00057786" w:rsidRDefault="00262BA8" w:rsidP="00262BA8">
      <w:pPr>
        <w:tabs>
          <w:tab w:val="left" w:pos="851"/>
        </w:tabs>
        <w:ind w:left="851"/>
        <w:rPr>
          <w:sz w:val="24"/>
          <w:szCs w:val="24"/>
        </w:rPr>
      </w:pPr>
      <w:proofErr w:type="spellStart"/>
      <w:r w:rsidRPr="00057786">
        <w:rPr>
          <w:sz w:val="24"/>
          <w:szCs w:val="24"/>
        </w:rPr>
        <w:t>Coumarinderivater</w:t>
      </w:r>
      <w:proofErr w:type="spellEnd"/>
      <w:r w:rsidRPr="00057786">
        <w:rPr>
          <w:sz w:val="24"/>
          <w:szCs w:val="24"/>
        </w:rPr>
        <w:t xml:space="preserve">: Den antikoagulerende effekt kan være reduceret eller øget. Dosisjustering af </w:t>
      </w:r>
      <w:proofErr w:type="spellStart"/>
      <w:r w:rsidRPr="00057786">
        <w:rPr>
          <w:sz w:val="24"/>
          <w:szCs w:val="24"/>
        </w:rPr>
        <w:t>antikoagulanten</w:t>
      </w:r>
      <w:proofErr w:type="spellEnd"/>
      <w:r w:rsidRPr="00057786">
        <w:rPr>
          <w:sz w:val="24"/>
          <w:szCs w:val="24"/>
        </w:rPr>
        <w:t xml:space="preserve"> kan blive nødvendig ved samtidig administration.</w:t>
      </w:r>
    </w:p>
    <w:p w14:paraId="71DFB2D7" w14:textId="77777777" w:rsidR="00262BA8" w:rsidRPr="00057786" w:rsidRDefault="00262BA8" w:rsidP="00262BA8">
      <w:pPr>
        <w:tabs>
          <w:tab w:val="left" w:pos="851"/>
        </w:tabs>
        <w:ind w:left="851"/>
        <w:rPr>
          <w:sz w:val="24"/>
          <w:szCs w:val="24"/>
        </w:rPr>
      </w:pPr>
    </w:p>
    <w:p w14:paraId="2DDCE2D5" w14:textId="77777777" w:rsidR="00262BA8" w:rsidRPr="00057786" w:rsidRDefault="00262BA8" w:rsidP="00262BA8">
      <w:pPr>
        <w:tabs>
          <w:tab w:val="left" w:pos="851"/>
        </w:tabs>
        <w:ind w:left="851"/>
        <w:rPr>
          <w:sz w:val="24"/>
          <w:szCs w:val="24"/>
        </w:rPr>
      </w:pPr>
      <w:r w:rsidRPr="00057786">
        <w:rPr>
          <w:sz w:val="24"/>
          <w:szCs w:val="24"/>
        </w:rPr>
        <w:t>Non-</w:t>
      </w:r>
      <w:proofErr w:type="spellStart"/>
      <w:r w:rsidRPr="00057786">
        <w:rPr>
          <w:sz w:val="24"/>
          <w:szCs w:val="24"/>
        </w:rPr>
        <w:t>steroide</w:t>
      </w:r>
      <w:proofErr w:type="spellEnd"/>
      <w:r w:rsidRPr="00057786">
        <w:rPr>
          <w:sz w:val="24"/>
          <w:szCs w:val="24"/>
        </w:rPr>
        <w:t xml:space="preserve"> anti-inflammatoriske midler (</w:t>
      </w:r>
      <w:proofErr w:type="spellStart"/>
      <w:r w:rsidRPr="00057786">
        <w:rPr>
          <w:sz w:val="24"/>
          <w:szCs w:val="24"/>
        </w:rPr>
        <w:t>NSAID’er</w:t>
      </w:r>
      <w:proofErr w:type="spellEnd"/>
      <w:r w:rsidRPr="00057786">
        <w:rPr>
          <w:sz w:val="24"/>
          <w:szCs w:val="24"/>
        </w:rPr>
        <w:t xml:space="preserve">), </w:t>
      </w:r>
      <w:proofErr w:type="spellStart"/>
      <w:r w:rsidRPr="00057786">
        <w:rPr>
          <w:sz w:val="24"/>
          <w:szCs w:val="24"/>
        </w:rPr>
        <w:t>salicylater</w:t>
      </w:r>
      <w:proofErr w:type="spellEnd"/>
      <w:r w:rsidRPr="00057786">
        <w:rPr>
          <w:sz w:val="24"/>
          <w:szCs w:val="24"/>
        </w:rPr>
        <w:t xml:space="preserve"> og </w:t>
      </w:r>
      <w:proofErr w:type="spellStart"/>
      <w:r w:rsidRPr="00057786">
        <w:rPr>
          <w:sz w:val="24"/>
          <w:szCs w:val="24"/>
        </w:rPr>
        <w:t>indometacin</w:t>
      </w:r>
      <w:proofErr w:type="spellEnd"/>
      <w:r w:rsidRPr="00057786">
        <w:rPr>
          <w:sz w:val="24"/>
          <w:szCs w:val="24"/>
        </w:rPr>
        <w:t xml:space="preserve">: Risikoen for </w:t>
      </w:r>
      <w:proofErr w:type="spellStart"/>
      <w:r w:rsidRPr="00057786">
        <w:rPr>
          <w:sz w:val="24"/>
          <w:szCs w:val="24"/>
        </w:rPr>
        <w:t>gastrointestinale</w:t>
      </w:r>
      <w:proofErr w:type="spellEnd"/>
      <w:r w:rsidRPr="00057786">
        <w:rPr>
          <w:sz w:val="24"/>
          <w:szCs w:val="24"/>
        </w:rPr>
        <w:t xml:space="preserve"> sår og </w:t>
      </w:r>
      <w:proofErr w:type="spellStart"/>
      <w:r w:rsidRPr="00057786">
        <w:rPr>
          <w:sz w:val="24"/>
          <w:szCs w:val="24"/>
        </w:rPr>
        <w:t>gastrointestinal</w:t>
      </w:r>
      <w:proofErr w:type="spellEnd"/>
      <w:r w:rsidRPr="00057786">
        <w:rPr>
          <w:sz w:val="24"/>
          <w:szCs w:val="24"/>
        </w:rPr>
        <w:t xml:space="preserve"> blødning er øget.</w:t>
      </w:r>
    </w:p>
    <w:p w14:paraId="0DF6E19E" w14:textId="77777777" w:rsidR="00262BA8" w:rsidRPr="00057786" w:rsidRDefault="00262BA8" w:rsidP="00262BA8">
      <w:pPr>
        <w:tabs>
          <w:tab w:val="left" w:pos="851"/>
        </w:tabs>
        <w:ind w:left="851"/>
        <w:rPr>
          <w:sz w:val="24"/>
          <w:szCs w:val="24"/>
        </w:rPr>
      </w:pPr>
    </w:p>
    <w:p w14:paraId="533A34E0" w14:textId="77777777" w:rsidR="00262BA8" w:rsidRPr="00057786" w:rsidRDefault="00262BA8" w:rsidP="00262BA8">
      <w:pPr>
        <w:tabs>
          <w:tab w:val="left" w:pos="851"/>
        </w:tabs>
        <w:ind w:left="851"/>
        <w:rPr>
          <w:sz w:val="24"/>
          <w:szCs w:val="24"/>
        </w:rPr>
      </w:pPr>
      <w:r w:rsidRPr="00057786">
        <w:rPr>
          <w:sz w:val="24"/>
          <w:szCs w:val="24"/>
        </w:rPr>
        <w:t>Ikke-</w:t>
      </w:r>
      <w:proofErr w:type="spellStart"/>
      <w:r w:rsidRPr="00057786">
        <w:rPr>
          <w:sz w:val="24"/>
          <w:szCs w:val="24"/>
        </w:rPr>
        <w:t>depolariserende</w:t>
      </w:r>
      <w:proofErr w:type="spellEnd"/>
      <w:r w:rsidRPr="00057786">
        <w:rPr>
          <w:sz w:val="24"/>
          <w:szCs w:val="24"/>
        </w:rPr>
        <w:t xml:space="preserve"> </w:t>
      </w:r>
      <w:proofErr w:type="spellStart"/>
      <w:r w:rsidRPr="00057786">
        <w:rPr>
          <w:sz w:val="24"/>
          <w:szCs w:val="24"/>
        </w:rPr>
        <w:t>muskelrelaksantia</w:t>
      </w:r>
      <w:proofErr w:type="spellEnd"/>
      <w:r w:rsidRPr="00057786">
        <w:rPr>
          <w:sz w:val="24"/>
          <w:szCs w:val="24"/>
        </w:rPr>
        <w:t>: Den muskelrelakserende virkning kan vare længere.</w:t>
      </w:r>
    </w:p>
    <w:p w14:paraId="7B0B6457" w14:textId="77777777" w:rsidR="00262BA8" w:rsidRPr="00057786" w:rsidRDefault="00262BA8" w:rsidP="00262BA8">
      <w:pPr>
        <w:tabs>
          <w:tab w:val="left" w:pos="851"/>
        </w:tabs>
        <w:ind w:left="851"/>
        <w:rPr>
          <w:sz w:val="24"/>
          <w:szCs w:val="24"/>
        </w:rPr>
      </w:pPr>
    </w:p>
    <w:p w14:paraId="7F155E2E" w14:textId="77777777" w:rsidR="00262BA8" w:rsidRPr="00057786" w:rsidRDefault="00262BA8" w:rsidP="00262BA8">
      <w:pPr>
        <w:tabs>
          <w:tab w:val="left" w:pos="851"/>
        </w:tabs>
        <w:ind w:left="851"/>
        <w:rPr>
          <w:sz w:val="24"/>
          <w:szCs w:val="24"/>
        </w:rPr>
      </w:pPr>
      <w:r w:rsidRPr="00057786">
        <w:rPr>
          <w:sz w:val="24"/>
          <w:szCs w:val="24"/>
        </w:rPr>
        <w:t xml:space="preserve">Atropin, andre </w:t>
      </w:r>
      <w:proofErr w:type="spellStart"/>
      <w:r w:rsidRPr="00057786">
        <w:rPr>
          <w:sz w:val="24"/>
          <w:szCs w:val="24"/>
        </w:rPr>
        <w:t>antikolinerge</w:t>
      </w:r>
      <w:proofErr w:type="spellEnd"/>
      <w:r w:rsidRPr="00057786">
        <w:rPr>
          <w:sz w:val="24"/>
          <w:szCs w:val="24"/>
        </w:rPr>
        <w:t xml:space="preserve"> midler: Yderligere stigninger i </w:t>
      </w:r>
      <w:proofErr w:type="spellStart"/>
      <w:r w:rsidRPr="00057786">
        <w:rPr>
          <w:sz w:val="24"/>
          <w:szCs w:val="24"/>
        </w:rPr>
        <w:t>intraokulært</w:t>
      </w:r>
      <w:proofErr w:type="spellEnd"/>
      <w:r w:rsidRPr="00057786">
        <w:rPr>
          <w:sz w:val="24"/>
          <w:szCs w:val="24"/>
        </w:rPr>
        <w:t xml:space="preserve"> tryk er mulige under samtidig brug.</w:t>
      </w:r>
    </w:p>
    <w:p w14:paraId="71CAFF39" w14:textId="77777777" w:rsidR="00262BA8" w:rsidRPr="00057786" w:rsidRDefault="00262BA8" w:rsidP="00262BA8">
      <w:pPr>
        <w:tabs>
          <w:tab w:val="left" w:pos="851"/>
        </w:tabs>
        <w:ind w:left="851"/>
        <w:rPr>
          <w:sz w:val="24"/>
          <w:szCs w:val="24"/>
        </w:rPr>
      </w:pPr>
    </w:p>
    <w:p w14:paraId="13AE18EF" w14:textId="77777777" w:rsidR="00262BA8" w:rsidRPr="00057786" w:rsidRDefault="00262BA8" w:rsidP="00262BA8">
      <w:pPr>
        <w:tabs>
          <w:tab w:val="left" w:pos="851"/>
        </w:tabs>
        <w:ind w:left="851"/>
        <w:rPr>
          <w:sz w:val="24"/>
          <w:szCs w:val="24"/>
        </w:rPr>
      </w:pPr>
      <w:proofErr w:type="spellStart"/>
      <w:r w:rsidRPr="00057786">
        <w:rPr>
          <w:sz w:val="24"/>
          <w:szCs w:val="24"/>
        </w:rPr>
        <w:t>Praziquantel</w:t>
      </w:r>
      <w:proofErr w:type="spellEnd"/>
      <w:r w:rsidRPr="00057786">
        <w:rPr>
          <w:sz w:val="24"/>
          <w:szCs w:val="24"/>
        </w:rPr>
        <w:t xml:space="preserve">: </w:t>
      </w:r>
      <w:proofErr w:type="spellStart"/>
      <w:r w:rsidRPr="00057786">
        <w:rPr>
          <w:sz w:val="24"/>
          <w:szCs w:val="24"/>
        </w:rPr>
        <w:t>Kortikosteroider</w:t>
      </w:r>
      <w:proofErr w:type="spellEnd"/>
      <w:r w:rsidRPr="00057786">
        <w:rPr>
          <w:sz w:val="24"/>
          <w:szCs w:val="24"/>
        </w:rPr>
        <w:t xml:space="preserve"> kan medføre et fald i koncentrationen af </w:t>
      </w:r>
      <w:proofErr w:type="spellStart"/>
      <w:r w:rsidRPr="00057786">
        <w:rPr>
          <w:sz w:val="24"/>
          <w:szCs w:val="24"/>
        </w:rPr>
        <w:t>praziquantel</w:t>
      </w:r>
      <w:proofErr w:type="spellEnd"/>
      <w:r w:rsidRPr="00057786">
        <w:rPr>
          <w:sz w:val="24"/>
          <w:szCs w:val="24"/>
        </w:rPr>
        <w:t xml:space="preserve"> i blodet.</w:t>
      </w:r>
    </w:p>
    <w:p w14:paraId="18FF399B" w14:textId="77777777" w:rsidR="00262BA8" w:rsidRPr="00057786" w:rsidRDefault="00262BA8" w:rsidP="00262BA8">
      <w:pPr>
        <w:tabs>
          <w:tab w:val="left" w:pos="851"/>
        </w:tabs>
        <w:ind w:left="851"/>
        <w:rPr>
          <w:sz w:val="24"/>
          <w:szCs w:val="24"/>
        </w:rPr>
      </w:pPr>
    </w:p>
    <w:p w14:paraId="1251AC4E" w14:textId="77777777" w:rsidR="00262BA8" w:rsidRPr="00057786" w:rsidRDefault="00262BA8" w:rsidP="00262BA8">
      <w:pPr>
        <w:tabs>
          <w:tab w:val="left" w:pos="851"/>
        </w:tabs>
        <w:ind w:left="851"/>
        <w:rPr>
          <w:sz w:val="24"/>
          <w:szCs w:val="24"/>
        </w:rPr>
      </w:pPr>
      <w:proofErr w:type="spellStart"/>
      <w:r w:rsidRPr="00057786">
        <w:rPr>
          <w:sz w:val="24"/>
          <w:szCs w:val="24"/>
        </w:rPr>
        <w:t>Chloroquin</w:t>
      </w:r>
      <w:proofErr w:type="spellEnd"/>
      <w:r w:rsidRPr="00057786">
        <w:rPr>
          <w:sz w:val="24"/>
          <w:szCs w:val="24"/>
        </w:rPr>
        <w:t xml:space="preserve">, </w:t>
      </w:r>
      <w:proofErr w:type="spellStart"/>
      <w:r w:rsidRPr="00057786">
        <w:rPr>
          <w:sz w:val="24"/>
          <w:szCs w:val="24"/>
        </w:rPr>
        <w:t>hydroxychloroquin</w:t>
      </w:r>
      <w:proofErr w:type="spellEnd"/>
      <w:r w:rsidRPr="00057786">
        <w:rPr>
          <w:sz w:val="24"/>
          <w:szCs w:val="24"/>
        </w:rPr>
        <w:t xml:space="preserve">, </w:t>
      </w:r>
      <w:proofErr w:type="spellStart"/>
      <w:r w:rsidRPr="00057786">
        <w:rPr>
          <w:sz w:val="24"/>
          <w:szCs w:val="24"/>
        </w:rPr>
        <w:t>mefloquin</w:t>
      </w:r>
      <w:proofErr w:type="spellEnd"/>
      <w:r w:rsidRPr="00057786">
        <w:rPr>
          <w:sz w:val="24"/>
          <w:szCs w:val="24"/>
        </w:rPr>
        <w:t xml:space="preserve">: Der er en øget risiko for </w:t>
      </w:r>
      <w:proofErr w:type="spellStart"/>
      <w:r w:rsidRPr="00057786">
        <w:rPr>
          <w:sz w:val="24"/>
          <w:szCs w:val="24"/>
        </w:rPr>
        <w:t>myopatier</w:t>
      </w:r>
      <w:proofErr w:type="spellEnd"/>
      <w:r w:rsidRPr="00057786">
        <w:rPr>
          <w:sz w:val="24"/>
          <w:szCs w:val="24"/>
        </w:rPr>
        <w:t xml:space="preserve">, </w:t>
      </w:r>
      <w:proofErr w:type="spellStart"/>
      <w:r w:rsidRPr="00057786">
        <w:rPr>
          <w:sz w:val="24"/>
          <w:szCs w:val="24"/>
        </w:rPr>
        <w:t>kardiomyopatier</w:t>
      </w:r>
      <w:proofErr w:type="spellEnd"/>
      <w:r w:rsidRPr="00057786">
        <w:rPr>
          <w:sz w:val="24"/>
          <w:szCs w:val="24"/>
        </w:rPr>
        <w:t>.</w:t>
      </w:r>
    </w:p>
    <w:p w14:paraId="624BDA44" w14:textId="77777777" w:rsidR="00262BA8" w:rsidRPr="00057786" w:rsidRDefault="00262BA8" w:rsidP="00262BA8">
      <w:pPr>
        <w:tabs>
          <w:tab w:val="left" w:pos="851"/>
        </w:tabs>
        <w:ind w:left="851"/>
        <w:rPr>
          <w:sz w:val="24"/>
          <w:szCs w:val="24"/>
        </w:rPr>
      </w:pPr>
    </w:p>
    <w:p w14:paraId="130149CF" w14:textId="77777777" w:rsidR="00262BA8" w:rsidRPr="00057786" w:rsidRDefault="00262BA8" w:rsidP="00262BA8">
      <w:pPr>
        <w:tabs>
          <w:tab w:val="left" w:pos="851"/>
        </w:tabs>
        <w:ind w:left="851"/>
        <w:rPr>
          <w:sz w:val="24"/>
          <w:szCs w:val="24"/>
        </w:rPr>
      </w:pPr>
      <w:proofErr w:type="spellStart"/>
      <w:r w:rsidRPr="00057786">
        <w:rPr>
          <w:sz w:val="24"/>
          <w:szCs w:val="24"/>
        </w:rPr>
        <w:t>Protirelin</w:t>
      </w:r>
      <w:proofErr w:type="spellEnd"/>
      <w:r w:rsidRPr="00057786">
        <w:rPr>
          <w:sz w:val="24"/>
          <w:szCs w:val="24"/>
        </w:rPr>
        <w:t xml:space="preserve">: Reduceret stigning i TSH kan bemærkes ved administration af </w:t>
      </w:r>
      <w:proofErr w:type="spellStart"/>
      <w:r w:rsidRPr="00057786">
        <w:rPr>
          <w:sz w:val="24"/>
          <w:szCs w:val="24"/>
        </w:rPr>
        <w:t>protirelin</w:t>
      </w:r>
      <w:proofErr w:type="spellEnd"/>
      <w:r w:rsidRPr="00057786">
        <w:rPr>
          <w:sz w:val="24"/>
          <w:szCs w:val="24"/>
        </w:rPr>
        <w:t>.</w:t>
      </w:r>
    </w:p>
    <w:p w14:paraId="33793B47" w14:textId="77777777" w:rsidR="00262BA8" w:rsidRPr="00057786" w:rsidRDefault="00262BA8" w:rsidP="00262BA8">
      <w:pPr>
        <w:tabs>
          <w:tab w:val="left" w:pos="851"/>
        </w:tabs>
        <w:ind w:left="851"/>
        <w:rPr>
          <w:sz w:val="24"/>
          <w:szCs w:val="24"/>
        </w:rPr>
      </w:pPr>
    </w:p>
    <w:p w14:paraId="4CE3EBA8" w14:textId="77777777" w:rsidR="00262BA8" w:rsidRPr="00057786" w:rsidRDefault="00262BA8" w:rsidP="00262BA8">
      <w:pPr>
        <w:tabs>
          <w:tab w:val="left" w:pos="851"/>
        </w:tabs>
        <w:ind w:left="851"/>
        <w:rPr>
          <w:sz w:val="24"/>
          <w:szCs w:val="24"/>
        </w:rPr>
      </w:pPr>
      <w:proofErr w:type="spellStart"/>
      <w:r w:rsidRPr="00057786">
        <w:rPr>
          <w:sz w:val="24"/>
          <w:szCs w:val="24"/>
        </w:rPr>
        <w:t>Immunsuppressiva</w:t>
      </w:r>
      <w:proofErr w:type="spellEnd"/>
      <w:r w:rsidRPr="00057786">
        <w:rPr>
          <w:sz w:val="24"/>
          <w:szCs w:val="24"/>
        </w:rPr>
        <w:t xml:space="preserve">: Øget modtagelighed over for infektioner og mulig forværring eller manifestation af latente infektioner. Derudover, for </w:t>
      </w:r>
      <w:proofErr w:type="spellStart"/>
      <w:r w:rsidRPr="00057786">
        <w:rPr>
          <w:sz w:val="24"/>
          <w:szCs w:val="24"/>
        </w:rPr>
        <w:t>cyclosporin</w:t>
      </w:r>
      <w:proofErr w:type="spellEnd"/>
      <w:r w:rsidRPr="00057786">
        <w:rPr>
          <w:sz w:val="24"/>
          <w:szCs w:val="24"/>
        </w:rPr>
        <w:t xml:space="preserve">: indholdet af </w:t>
      </w:r>
      <w:proofErr w:type="spellStart"/>
      <w:r w:rsidRPr="00057786">
        <w:rPr>
          <w:sz w:val="24"/>
          <w:szCs w:val="24"/>
        </w:rPr>
        <w:t>cyclosporin</w:t>
      </w:r>
      <w:proofErr w:type="spellEnd"/>
      <w:r w:rsidRPr="00057786">
        <w:rPr>
          <w:sz w:val="24"/>
          <w:szCs w:val="24"/>
        </w:rPr>
        <w:t xml:space="preserve"> i blodet er øget: Der er en forhøjet risiko for anfaldt.</w:t>
      </w:r>
    </w:p>
    <w:p w14:paraId="5ED47634" w14:textId="77777777" w:rsidR="00262BA8" w:rsidRPr="00057786" w:rsidRDefault="00262BA8" w:rsidP="00262BA8">
      <w:pPr>
        <w:tabs>
          <w:tab w:val="left" w:pos="851"/>
        </w:tabs>
        <w:ind w:left="851"/>
        <w:rPr>
          <w:sz w:val="24"/>
          <w:szCs w:val="24"/>
        </w:rPr>
      </w:pPr>
    </w:p>
    <w:p w14:paraId="17C7917E" w14:textId="77777777" w:rsidR="00262BA8" w:rsidRPr="00057786" w:rsidRDefault="00262BA8" w:rsidP="00262BA8">
      <w:pPr>
        <w:tabs>
          <w:tab w:val="left" w:pos="851"/>
        </w:tabs>
        <w:ind w:left="851"/>
        <w:rPr>
          <w:sz w:val="24"/>
          <w:szCs w:val="24"/>
        </w:rPr>
      </w:pPr>
      <w:proofErr w:type="spellStart"/>
      <w:r w:rsidRPr="00057786">
        <w:rPr>
          <w:sz w:val="24"/>
          <w:szCs w:val="24"/>
        </w:rPr>
        <w:t>Fluoroquinoloner</w:t>
      </w:r>
      <w:proofErr w:type="spellEnd"/>
      <w:r w:rsidRPr="00057786">
        <w:rPr>
          <w:sz w:val="24"/>
          <w:szCs w:val="24"/>
        </w:rPr>
        <w:t xml:space="preserve"> kan øge risikoen for </w:t>
      </w:r>
      <w:proofErr w:type="spellStart"/>
      <w:r w:rsidRPr="00057786">
        <w:rPr>
          <w:sz w:val="24"/>
          <w:szCs w:val="24"/>
        </w:rPr>
        <w:t>senelidelser</w:t>
      </w:r>
      <w:proofErr w:type="spellEnd"/>
      <w:r w:rsidRPr="00057786">
        <w:rPr>
          <w:sz w:val="24"/>
          <w:szCs w:val="24"/>
        </w:rPr>
        <w:t>.</w:t>
      </w:r>
    </w:p>
    <w:p w14:paraId="5E255820" w14:textId="77777777" w:rsidR="00262BA8" w:rsidRPr="00057786" w:rsidRDefault="00262BA8" w:rsidP="00262BA8">
      <w:pPr>
        <w:tabs>
          <w:tab w:val="left" w:pos="851"/>
        </w:tabs>
        <w:ind w:left="851"/>
        <w:rPr>
          <w:sz w:val="24"/>
          <w:szCs w:val="24"/>
        </w:rPr>
      </w:pPr>
    </w:p>
    <w:p w14:paraId="59B2BD28" w14:textId="77777777" w:rsidR="00262BA8" w:rsidRPr="00057786" w:rsidRDefault="00262BA8" w:rsidP="00262BA8">
      <w:pPr>
        <w:tabs>
          <w:tab w:val="left" w:pos="851"/>
        </w:tabs>
        <w:ind w:left="851"/>
        <w:rPr>
          <w:sz w:val="24"/>
          <w:szCs w:val="24"/>
        </w:rPr>
      </w:pPr>
      <w:r w:rsidRPr="00057786">
        <w:rPr>
          <w:sz w:val="24"/>
          <w:szCs w:val="24"/>
        </w:rPr>
        <w:t xml:space="preserve">Virkningen på undersøgelsesmetoder: </w:t>
      </w:r>
    </w:p>
    <w:p w14:paraId="390F9933" w14:textId="77777777" w:rsidR="00262BA8" w:rsidRPr="00057786" w:rsidRDefault="00262BA8" w:rsidP="00262BA8">
      <w:pPr>
        <w:tabs>
          <w:tab w:val="left" w:pos="851"/>
        </w:tabs>
        <w:ind w:left="851"/>
        <w:rPr>
          <w:sz w:val="24"/>
          <w:szCs w:val="24"/>
        </w:rPr>
      </w:pPr>
      <w:r w:rsidRPr="00057786">
        <w:rPr>
          <w:sz w:val="24"/>
          <w:szCs w:val="24"/>
        </w:rPr>
        <w:t>Hudreaktioner i allergitest kan blive undertrykt.</w:t>
      </w:r>
    </w:p>
    <w:p w14:paraId="4CFCE4A7" w14:textId="77777777" w:rsidR="009260DE" w:rsidRPr="00057786" w:rsidRDefault="009260DE" w:rsidP="009260DE">
      <w:pPr>
        <w:tabs>
          <w:tab w:val="left" w:pos="851"/>
        </w:tabs>
        <w:ind w:left="851"/>
        <w:rPr>
          <w:sz w:val="24"/>
          <w:szCs w:val="24"/>
        </w:rPr>
      </w:pPr>
    </w:p>
    <w:p w14:paraId="2EEEC43C" w14:textId="757DF5CB" w:rsidR="009260DE" w:rsidRPr="00057786" w:rsidRDefault="009260DE" w:rsidP="009260DE">
      <w:pPr>
        <w:tabs>
          <w:tab w:val="left" w:pos="851"/>
        </w:tabs>
        <w:ind w:left="851" w:hanging="851"/>
        <w:rPr>
          <w:b/>
          <w:sz w:val="24"/>
          <w:szCs w:val="24"/>
        </w:rPr>
      </w:pPr>
      <w:r w:rsidRPr="00057786">
        <w:rPr>
          <w:b/>
          <w:sz w:val="24"/>
          <w:szCs w:val="24"/>
        </w:rPr>
        <w:t>4.6</w:t>
      </w:r>
      <w:r w:rsidRPr="00057786">
        <w:rPr>
          <w:b/>
          <w:sz w:val="24"/>
          <w:szCs w:val="24"/>
        </w:rPr>
        <w:tab/>
      </w:r>
      <w:r w:rsidR="001741A9">
        <w:rPr>
          <w:b/>
          <w:sz w:val="24"/>
          <w:szCs w:val="24"/>
        </w:rPr>
        <w:t>Fertilitet, g</w:t>
      </w:r>
      <w:r w:rsidRPr="00057786">
        <w:rPr>
          <w:b/>
          <w:sz w:val="24"/>
          <w:szCs w:val="24"/>
        </w:rPr>
        <w:t>raviditet og amning</w:t>
      </w:r>
    </w:p>
    <w:p w14:paraId="5D978D62" w14:textId="77777777" w:rsidR="00D6268E" w:rsidRDefault="00D6268E" w:rsidP="00262BA8">
      <w:pPr>
        <w:tabs>
          <w:tab w:val="left" w:pos="851"/>
        </w:tabs>
        <w:ind w:left="851"/>
        <w:rPr>
          <w:sz w:val="24"/>
          <w:szCs w:val="24"/>
          <w:u w:val="single"/>
        </w:rPr>
      </w:pPr>
    </w:p>
    <w:p w14:paraId="3EFE7C69" w14:textId="4C57C118" w:rsidR="00262BA8" w:rsidRPr="00057786" w:rsidRDefault="00262BA8" w:rsidP="00262BA8">
      <w:pPr>
        <w:tabs>
          <w:tab w:val="left" w:pos="851"/>
        </w:tabs>
        <w:ind w:left="851"/>
        <w:rPr>
          <w:sz w:val="24"/>
          <w:szCs w:val="24"/>
          <w:u w:val="single"/>
          <w:lang w:eastAsia="da-DK"/>
        </w:rPr>
      </w:pPr>
      <w:r w:rsidRPr="00057786">
        <w:rPr>
          <w:sz w:val="24"/>
          <w:szCs w:val="24"/>
          <w:u w:val="single"/>
        </w:rPr>
        <w:t>Graviditet</w:t>
      </w:r>
    </w:p>
    <w:p w14:paraId="43F7AC8C" w14:textId="77777777" w:rsidR="00262BA8" w:rsidRPr="00057786" w:rsidRDefault="00262BA8" w:rsidP="00262BA8">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passerer placenta. Under graviditeten, specielt i første trimester, må medicinen kun administreres efter omhyggelig vurdering af benefit-</w:t>
      </w:r>
      <w:proofErr w:type="spellStart"/>
      <w:r w:rsidRPr="00057786">
        <w:rPr>
          <w:sz w:val="24"/>
          <w:szCs w:val="24"/>
        </w:rPr>
        <w:t>risk</w:t>
      </w:r>
      <w:proofErr w:type="spellEnd"/>
      <w:r w:rsidRPr="00057786">
        <w:rPr>
          <w:sz w:val="24"/>
          <w:szCs w:val="24"/>
        </w:rPr>
        <w:t>.</w:t>
      </w:r>
    </w:p>
    <w:p w14:paraId="0FA35FFD" w14:textId="77777777" w:rsidR="00262BA8" w:rsidRPr="00057786" w:rsidRDefault="00262BA8" w:rsidP="00262BA8">
      <w:pPr>
        <w:tabs>
          <w:tab w:val="left" w:pos="851"/>
        </w:tabs>
        <w:ind w:left="851"/>
        <w:rPr>
          <w:sz w:val="24"/>
          <w:szCs w:val="24"/>
        </w:rPr>
      </w:pPr>
    </w:p>
    <w:p w14:paraId="09A61A52" w14:textId="77777777" w:rsidR="00262BA8" w:rsidRPr="00057786" w:rsidRDefault="00262BA8" w:rsidP="00262BA8">
      <w:pPr>
        <w:tabs>
          <w:tab w:val="left" w:pos="851"/>
        </w:tabs>
        <w:ind w:left="851"/>
        <w:rPr>
          <w:sz w:val="24"/>
          <w:szCs w:val="24"/>
        </w:rPr>
      </w:pPr>
      <w:r w:rsidRPr="00057786">
        <w:rPr>
          <w:sz w:val="24"/>
          <w:szCs w:val="24"/>
        </w:rPr>
        <w:t xml:space="preserve">Ved langvarig behandling med </w:t>
      </w:r>
      <w:proofErr w:type="spellStart"/>
      <w:r w:rsidRPr="00057786">
        <w:rPr>
          <w:sz w:val="24"/>
          <w:szCs w:val="24"/>
        </w:rPr>
        <w:t>glukokortikoider</w:t>
      </w:r>
      <w:proofErr w:type="spellEnd"/>
      <w:r w:rsidRPr="00057786">
        <w:rPr>
          <w:sz w:val="24"/>
          <w:szCs w:val="24"/>
        </w:rPr>
        <w:t xml:space="preserve"> under graviditeten kan vækstforstyrrelser hos fostret ikke udelukkes.</w:t>
      </w:r>
    </w:p>
    <w:p w14:paraId="444C721D" w14:textId="77777777" w:rsidR="00262BA8" w:rsidRPr="00057786" w:rsidRDefault="00262BA8" w:rsidP="00262BA8">
      <w:pPr>
        <w:tabs>
          <w:tab w:val="left" w:pos="851"/>
        </w:tabs>
        <w:ind w:left="851"/>
        <w:rPr>
          <w:sz w:val="24"/>
          <w:szCs w:val="24"/>
        </w:rPr>
      </w:pPr>
    </w:p>
    <w:p w14:paraId="43C29076" w14:textId="77777777" w:rsidR="00262BA8" w:rsidRPr="00057786" w:rsidRDefault="00262BA8" w:rsidP="00262BA8">
      <w:pPr>
        <w:tabs>
          <w:tab w:val="left" w:pos="851"/>
        </w:tabs>
        <w:ind w:left="851"/>
        <w:rPr>
          <w:sz w:val="24"/>
          <w:szCs w:val="24"/>
        </w:rPr>
      </w:pPr>
      <w:r w:rsidRPr="00057786">
        <w:rPr>
          <w:sz w:val="24"/>
          <w:szCs w:val="24"/>
        </w:rPr>
        <w:t xml:space="preserve">Administration af </w:t>
      </w:r>
      <w:proofErr w:type="spellStart"/>
      <w:r w:rsidRPr="00057786">
        <w:rPr>
          <w:sz w:val="24"/>
          <w:szCs w:val="24"/>
        </w:rPr>
        <w:t>kortikosteroider</w:t>
      </w:r>
      <w:proofErr w:type="spellEnd"/>
      <w:r w:rsidRPr="00057786">
        <w:rPr>
          <w:sz w:val="24"/>
          <w:szCs w:val="24"/>
        </w:rPr>
        <w:t xml:space="preserve"> til drægtige dyr kan medføre abnormiteter i fostrets udvikling, herunder ganespalte, intrauterin væksthæmning og påvirkning af hjernens vækst og udvikling. Der er ikke bevis for, at </w:t>
      </w:r>
      <w:proofErr w:type="spellStart"/>
      <w:r w:rsidRPr="00057786">
        <w:rPr>
          <w:sz w:val="24"/>
          <w:szCs w:val="24"/>
        </w:rPr>
        <w:t>kortikosteroider</w:t>
      </w:r>
      <w:proofErr w:type="spellEnd"/>
      <w:r w:rsidRPr="00057786">
        <w:rPr>
          <w:sz w:val="24"/>
          <w:szCs w:val="24"/>
        </w:rPr>
        <w:t xml:space="preserve"> medfører en øget forekomst af medfødte abnormiteter, såsom læbe- og ganespalte, hos mennesker (se pkt. 5.3). </w:t>
      </w:r>
    </w:p>
    <w:p w14:paraId="1A2CD51D" w14:textId="77777777" w:rsidR="00262BA8" w:rsidRPr="00057786" w:rsidRDefault="00262BA8" w:rsidP="00262BA8">
      <w:pPr>
        <w:tabs>
          <w:tab w:val="left" w:pos="851"/>
        </w:tabs>
        <w:ind w:left="851"/>
        <w:rPr>
          <w:sz w:val="24"/>
          <w:szCs w:val="24"/>
        </w:rPr>
      </w:pPr>
    </w:p>
    <w:p w14:paraId="44F86FA2" w14:textId="65E7C409" w:rsidR="00262BA8" w:rsidRDefault="00262BA8" w:rsidP="00262BA8">
      <w:pPr>
        <w:tabs>
          <w:tab w:val="left" w:pos="851"/>
        </w:tabs>
        <w:ind w:left="851"/>
        <w:rPr>
          <w:sz w:val="24"/>
          <w:szCs w:val="24"/>
        </w:rPr>
      </w:pPr>
      <w:r w:rsidRPr="00057786">
        <w:rPr>
          <w:sz w:val="24"/>
          <w:szCs w:val="24"/>
        </w:rPr>
        <w:t xml:space="preserve">Hvis </w:t>
      </w:r>
      <w:proofErr w:type="spellStart"/>
      <w:r w:rsidRPr="00057786">
        <w:rPr>
          <w:sz w:val="24"/>
          <w:szCs w:val="24"/>
        </w:rPr>
        <w:t>glukokortikoider</w:t>
      </w:r>
      <w:proofErr w:type="spellEnd"/>
      <w:r w:rsidRPr="00057786">
        <w:rPr>
          <w:sz w:val="24"/>
          <w:szCs w:val="24"/>
        </w:rPr>
        <w:t xml:space="preserve"> administreres mod slutningen af graviditeten, er der en risiko for atrofi af fostrets binyrebark, hvilket kan nødvendiggøre, at den nyfødte skal have substitutionsbehandling, som langsomt skal reduceres.</w:t>
      </w:r>
    </w:p>
    <w:p w14:paraId="07587ECA" w14:textId="6904C5F9" w:rsidR="001741A9" w:rsidRDefault="001741A9" w:rsidP="00262BA8">
      <w:pPr>
        <w:tabs>
          <w:tab w:val="left" w:pos="851"/>
        </w:tabs>
        <w:ind w:left="851"/>
        <w:rPr>
          <w:sz w:val="24"/>
          <w:szCs w:val="24"/>
        </w:rPr>
      </w:pPr>
    </w:p>
    <w:p w14:paraId="69BC1F38" w14:textId="77777777" w:rsidR="001741A9" w:rsidRDefault="001741A9" w:rsidP="001741A9">
      <w:pPr>
        <w:tabs>
          <w:tab w:val="left" w:pos="851"/>
        </w:tabs>
        <w:ind w:left="851"/>
        <w:rPr>
          <w:sz w:val="24"/>
          <w:szCs w:val="24"/>
        </w:rPr>
      </w:pPr>
      <w:r w:rsidRPr="00110F2B">
        <w:rPr>
          <w:sz w:val="24"/>
          <w:szCs w:val="24"/>
        </w:rPr>
        <w:t>Studier har vist en øget risiko for hypoglykæmi hos nyfødte efter kortvarig administration af</w:t>
      </w:r>
      <w:r>
        <w:rPr>
          <w:sz w:val="24"/>
          <w:szCs w:val="24"/>
        </w:rPr>
        <w:t xml:space="preserve"> </w:t>
      </w:r>
      <w:proofErr w:type="spellStart"/>
      <w:r w:rsidRPr="00110F2B">
        <w:rPr>
          <w:sz w:val="24"/>
          <w:szCs w:val="24"/>
        </w:rPr>
        <w:t>kortikosteroider</w:t>
      </w:r>
      <w:proofErr w:type="spellEnd"/>
      <w:r w:rsidRPr="00110F2B">
        <w:rPr>
          <w:sz w:val="24"/>
          <w:szCs w:val="24"/>
        </w:rPr>
        <w:t xml:space="preserve">, herunder </w:t>
      </w:r>
      <w:proofErr w:type="spellStart"/>
      <w:r w:rsidRPr="00110F2B">
        <w:rPr>
          <w:sz w:val="24"/>
          <w:szCs w:val="24"/>
        </w:rPr>
        <w:t>dexamethason</w:t>
      </w:r>
      <w:proofErr w:type="spellEnd"/>
      <w:r w:rsidRPr="00110F2B">
        <w:rPr>
          <w:sz w:val="24"/>
          <w:szCs w:val="24"/>
        </w:rPr>
        <w:t>, hos kvinder, der er i risiko for sen præmatur</w:t>
      </w:r>
      <w:r>
        <w:rPr>
          <w:sz w:val="24"/>
          <w:szCs w:val="24"/>
        </w:rPr>
        <w:t xml:space="preserve"> </w:t>
      </w:r>
      <w:r w:rsidRPr="00110F2B">
        <w:rPr>
          <w:sz w:val="24"/>
          <w:szCs w:val="24"/>
        </w:rPr>
        <w:t>fødsel.</w:t>
      </w:r>
    </w:p>
    <w:p w14:paraId="09DF793D" w14:textId="77777777" w:rsidR="00262BA8" w:rsidRPr="00057786" w:rsidRDefault="00262BA8" w:rsidP="00262BA8">
      <w:pPr>
        <w:tabs>
          <w:tab w:val="left" w:pos="851"/>
        </w:tabs>
        <w:ind w:left="851"/>
        <w:rPr>
          <w:sz w:val="24"/>
          <w:szCs w:val="24"/>
        </w:rPr>
      </w:pPr>
    </w:p>
    <w:p w14:paraId="5D3AD567" w14:textId="77777777" w:rsidR="00262BA8" w:rsidRPr="00057786" w:rsidRDefault="00262BA8" w:rsidP="00262BA8">
      <w:pPr>
        <w:tabs>
          <w:tab w:val="left" w:pos="851"/>
        </w:tabs>
        <w:ind w:left="851"/>
        <w:rPr>
          <w:sz w:val="24"/>
          <w:szCs w:val="24"/>
          <w:u w:val="single"/>
        </w:rPr>
      </w:pPr>
      <w:r w:rsidRPr="00057786">
        <w:rPr>
          <w:sz w:val="24"/>
          <w:szCs w:val="24"/>
          <w:u w:val="single"/>
        </w:rPr>
        <w:t>Amning</w:t>
      </w:r>
    </w:p>
    <w:p w14:paraId="3519ABC2" w14:textId="77777777" w:rsidR="00262BA8" w:rsidRPr="00057786" w:rsidRDefault="00262BA8" w:rsidP="00262BA8">
      <w:pPr>
        <w:tabs>
          <w:tab w:val="left" w:pos="851"/>
        </w:tabs>
        <w:ind w:left="851"/>
        <w:rPr>
          <w:sz w:val="24"/>
          <w:szCs w:val="24"/>
        </w:rPr>
      </w:pPr>
      <w:proofErr w:type="spellStart"/>
      <w:r w:rsidRPr="00057786">
        <w:rPr>
          <w:sz w:val="24"/>
          <w:szCs w:val="24"/>
        </w:rPr>
        <w:t>Dexamethason</w:t>
      </w:r>
      <w:proofErr w:type="spellEnd"/>
      <w:r w:rsidRPr="00057786">
        <w:rPr>
          <w:sz w:val="24"/>
          <w:szCs w:val="24"/>
        </w:rPr>
        <w:t xml:space="preserve"> udskilles i brystmælk. Der har ikke været nogen kendte tilfælde af skade på barnet. Ikke desto mindre skal medicinen anvendes under de strengeste indikationer under amning. Hvis sygdommen kræver højere doser, bør amning ophøre.</w:t>
      </w:r>
    </w:p>
    <w:p w14:paraId="07A6B1E1" w14:textId="77777777" w:rsidR="009260DE" w:rsidRPr="00057786" w:rsidRDefault="009260DE" w:rsidP="009260DE">
      <w:pPr>
        <w:tabs>
          <w:tab w:val="left" w:pos="851"/>
        </w:tabs>
        <w:ind w:left="851"/>
        <w:rPr>
          <w:sz w:val="24"/>
          <w:szCs w:val="24"/>
        </w:rPr>
      </w:pPr>
    </w:p>
    <w:p w14:paraId="2102BECF" w14:textId="42457860" w:rsidR="009260DE" w:rsidRPr="00057786" w:rsidRDefault="009260DE" w:rsidP="009260DE">
      <w:pPr>
        <w:tabs>
          <w:tab w:val="left" w:pos="851"/>
        </w:tabs>
        <w:ind w:left="851" w:hanging="851"/>
        <w:rPr>
          <w:b/>
          <w:sz w:val="24"/>
          <w:szCs w:val="24"/>
        </w:rPr>
      </w:pPr>
      <w:r w:rsidRPr="00057786">
        <w:rPr>
          <w:b/>
          <w:sz w:val="24"/>
          <w:szCs w:val="24"/>
        </w:rPr>
        <w:t>4.7</w:t>
      </w:r>
      <w:r w:rsidRPr="00057786">
        <w:rPr>
          <w:b/>
          <w:sz w:val="24"/>
          <w:szCs w:val="24"/>
        </w:rPr>
        <w:tab/>
        <w:t xml:space="preserve">Virkning på evnen til at føre motorkøretøj </w:t>
      </w:r>
      <w:r w:rsidR="001741A9">
        <w:rPr>
          <w:b/>
          <w:sz w:val="24"/>
          <w:szCs w:val="24"/>
        </w:rPr>
        <w:t>og</w:t>
      </w:r>
      <w:r w:rsidRPr="00057786">
        <w:rPr>
          <w:b/>
          <w:sz w:val="24"/>
          <w:szCs w:val="24"/>
        </w:rPr>
        <w:t xml:space="preserve"> betjene maskiner</w:t>
      </w:r>
    </w:p>
    <w:p w14:paraId="644AB91C" w14:textId="77777777" w:rsidR="00262BA8" w:rsidRPr="00057786" w:rsidRDefault="00262BA8" w:rsidP="00262BA8">
      <w:pPr>
        <w:tabs>
          <w:tab w:val="left" w:pos="851"/>
        </w:tabs>
        <w:ind w:left="851"/>
        <w:rPr>
          <w:sz w:val="24"/>
          <w:szCs w:val="24"/>
          <w:lang w:eastAsia="da-DK"/>
        </w:rPr>
      </w:pPr>
      <w:r w:rsidRPr="00057786">
        <w:rPr>
          <w:sz w:val="24"/>
          <w:szCs w:val="24"/>
        </w:rPr>
        <w:t>Ikke mærkning.</w:t>
      </w:r>
    </w:p>
    <w:p w14:paraId="21AC6547" w14:textId="77777777" w:rsidR="00262BA8" w:rsidRPr="00057786" w:rsidRDefault="00262BA8" w:rsidP="00262BA8">
      <w:pPr>
        <w:tabs>
          <w:tab w:val="left" w:pos="851"/>
        </w:tabs>
        <w:ind w:left="851"/>
        <w:rPr>
          <w:sz w:val="24"/>
          <w:szCs w:val="24"/>
        </w:rPr>
      </w:pPr>
      <w:r w:rsidRPr="00057786">
        <w:rPr>
          <w:sz w:val="24"/>
          <w:szCs w:val="24"/>
        </w:rPr>
        <w:t xml:space="preserve">Der har ikke været tegn på, at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påvirker evnen til at føre motorkøretøj og betjene maskiner. Det samme gælder arbejde uden at have et sikkert greb.</w:t>
      </w:r>
    </w:p>
    <w:p w14:paraId="2F353170" w14:textId="77777777" w:rsidR="009260DE" w:rsidRPr="00057786" w:rsidRDefault="009260DE" w:rsidP="009260DE">
      <w:pPr>
        <w:tabs>
          <w:tab w:val="left" w:pos="851"/>
        </w:tabs>
        <w:ind w:left="851"/>
        <w:rPr>
          <w:sz w:val="24"/>
          <w:szCs w:val="24"/>
        </w:rPr>
      </w:pPr>
    </w:p>
    <w:p w14:paraId="26B65E85" w14:textId="77777777" w:rsidR="009260DE" w:rsidRPr="00057786" w:rsidRDefault="009260DE" w:rsidP="009260DE">
      <w:pPr>
        <w:tabs>
          <w:tab w:val="left" w:pos="851"/>
        </w:tabs>
        <w:ind w:left="851" w:hanging="851"/>
        <w:rPr>
          <w:b/>
          <w:sz w:val="24"/>
          <w:szCs w:val="24"/>
        </w:rPr>
      </w:pPr>
      <w:r w:rsidRPr="00057786">
        <w:rPr>
          <w:b/>
          <w:sz w:val="24"/>
          <w:szCs w:val="24"/>
        </w:rPr>
        <w:t>4.8</w:t>
      </w:r>
      <w:r w:rsidRPr="00057786">
        <w:rPr>
          <w:b/>
          <w:sz w:val="24"/>
          <w:szCs w:val="24"/>
        </w:rPr>
        <w:tab/>
        <w:t>Bivirkninger</w:t>
      </w:r>
    </w:p>
    <w:p w14:paraId="55115C46" w14:textId="77777777" w:rsidR="00262BA8" w:rsidRPr="00057786" w:rsidRDefault="00262BA8" w:rsidP="00262BA8">
      <w:pPr>
        <w:tabs>
          <w:tab w:val="left" w:pos="851"/>
        </w:tabs>
        <w:ind w:left="851"/>
        <w:rPr>
          <w:sz w:val="24"/>
          <w:szCs w:val="24"/>
          <w:lang w:eastAsia="da-DK"/>
        </w:rPr>
      </w:pPr>
      <w:r w:rsidRPr="00057786">
        <w:rPr>
          <w:sz w:val="24"/>
          <w:szCs w:val="24"/>
        </w:rPr>
        <w:t xml:space="preserve">Risikoen for bivirkninger er lav under kortvarig behandling med </w:t>
      </w:r>
      <w:proofErr w:type="spellStart"/>
      <w:r w:rsidRPr="00057786">
        <w:rPr>
          <w:sz w:val="24"/>
          <w:szCs w:val="24"/>
        </w:rPr>
        <w:t>dexamethason</w:t>
      </w:r>
      <w:proofErr w:type="spellEnd"/>
      <w:r w:rsidRPr="00057786">
        <w:rPr>
          <w:sz w:val="24"/>
          <w:szCs w:val="24"/>
        </w:rPr>
        <w:t xml:space="preserve"> med undtagelse af parenteral højdosis-behandling, hvor ændringer i elektrolytter, forekomst af ødem, mulig blodtryksstigning, hjertestop, hjerterytmeforstyrrelser eller krampeanfald kan forekomme, og kliniske manifestationer af infektioner kan også observeres under kortvarig behandling. Opmærksomheden bør rettes mod mulige sår i mave eller tarm (ofte </w:t>
      </w:r>
      <w:bookmarkStart w:id="1" w:name="_Hlk27666145"/>
      <w:r w:rsidRPr="00057786">
        <w:rPr>
          <w:sz w:val="24"/>
          <w:szCs w:val="24"/>
        </w:rPr>
        <w:t>stressbetingede</w:t>
      </w:r>
      <w:bookmarkEnd w:id="1"/>
      <w:r w:rsidRPr="00057786">
        <w:rPr>
          <w:sz w:val="24"/>
          <w:szCs w:val="24"/>
        </w:rPr>
        <w:t xml:space="preserve">), fordi </w:t>
      </w:r>
      <w:proofErr w:type="spellStart"/>
      <w:r w:rsidRPr="00057786">
        <w:rPr>
          <w:sz w:val="24"/>
          <w:szCs w:val="24"/>
        </w:rPr>
        <w:t>kortikoidbehandling</w:t>
      </w:r>
      <w:proofErr w:type="spellEnd"/>
      <w:r w:rsidRPr="00057786">
        <w:rPr>
          <w:sz w:val="24"/>
          <w:szCs w:val="24"/>
        </w:rPr>
        <w:t xml:space="preserve"> kan reducere deres symptomer, og mod nedsat af </w:t>
      </w:r>
      <w:proofErr w:type="spellStart"/>
      <w:r w:rsidRPr="00057786">
        <w:rPr>
          <w:sz w:val="24"/>
          <w:szCs w:val="24"/>
        </w:rPr>
        <w:t>glucosetolerance</w:t>
      </w:r>
      <w:proofErr w:type="spellEnd"/>
      <w:r w:rsidRPr="00057786">
        <w:rPr>
          <w:sz w:val="24"/>
          <w:szCs w:val="24"/>
        </w:rPr>
        <w:t>.</w:t>
      </w:r>
    </w:p>
    <w:p w14:paraId="160DC9A4" w14:textId="77777777" w:rsidR="00262BA8" w:rsidRPr="00057786" w:rsidRDefault="00262BA8" w:rsidP="00262BA8">
      <w:pPr>
        <w:tabs>
          <w:tab w:val="left" w:pos="851"/>
        </w:tabs>
        <w:ind w:left="851"/>
        <w:rPr>
          <w:sz w:val="24"/>
          <w:szCs w:val="24"/>
        </w:rPr>
      </w:pPr>
    </w:p>
    <w:p w14:paraId="29FD54BF" w14:textId="77777777" w:rsidR="00262BA8" w:rsidRPr="00057786" w:rsidRDefault="00262BA8" w:rsidP="00262BA8">
      <w:pPr>
        <w:tabs>
          <w:tab w:val="left" w:pos="851"/>
        </w:tabs>
        <w:ind w:left="851"/>
        <w:rPr>
          <w:sz w:val="24"/>
          <w:szCs w:val="24"/>
        </w:rPr>
      </w:pPr>
      <w:r w:rsidRPr="00057786">
        <w:rPr>
          <w:sz w:val="24"/>
          <w:szCs w:val="24"/>
        </w:rPr>
        <w:t>Følgende bivirkninger kan forekomme. De er i høj grad afhængige af dosis og varighed af behandlingen, så hyppigheden kan ikke angives:</w:t>
      </w:r>
    </w:p>
    <w:p w14:paraId="76A8F7C1" w14:textId="77777777" w:rsidR="00262BA8" w:rsidRPr="00057786" w:rsidRDefault="00262BA8" w:rsidP="00262BA8">
      <w:pPr>
        <w:tabs>
          <w:tab w:val="left" w:pos="851"/>
        </w:tabs>
        <w:ind w:left="851"/>
        <w:rPr>
          <w:sz w:val="24"/>
          <w:szCs w:val="24"/>
        </w:rPr>
      </w:pPr>
    </w:p>
    <w:p w14:paraId="4B35952F" w14:textId="77777777" w:rsidR="00262BA8" w:rsidRPr="00057786" w:rsidRDefault="00262BA8" w:rsidP="0021119B">
      <w:pPr>
        <w:keepNext/>
        <w:tabs>
          <w:tab w:val="left" w:pos="851"/>
        </w:tabs>
        <w:ind w:left="851"/>
        <w:rPr>
          <w:i/>
          <w:sz w:val="24"/>
          <w:szCs w:val="24"/>
        </w:rPr>
      </w:pPr>
      <w:r w:rsidRPr="00057786">
        <w:rPr>
          <w:i/>
          <w:sz w:val="24"/>
          <w:szCs w:val="24"/>
        </w:rPr>
        <w:t>Infektioner og parasitære sygdomme:</w:t>
      </w:r>
    </w:p>
    <w:p w14:paraId="61A8FF78" w14:textId="77777777" w:rsidR="00262BA8" w:rsidRPr="00057786" w:rsidRDefault="00262BA8" w:rsidP="00262BA8">
      <w:pPr>
        <w:tabs>
          <w:tab w:val="left" w:pos="851"/>
        </w:tabs>
        <w:ind w:left="851"/>
        <w:rPr>
          <w:sz w:val="24"/>
          <w:szCs w:val="24"/>
        </w:rPr>
      </w:pPr>
      <w:r w:rsidRPr="00057786">
        <w:rPr>
          <w:sz w:val="24"/>
          <w:szCs w:val="24"/>
        </w:rPr>
        <w:t xml:space="preserve">Maskering af infektioner, manifestation og forværring af virusinfektioner, svampeinfektioner, infektioner med bakterier og parasitter samt opportunistiske infektioner, aktivering af </w:t>
      </w:r>
      <w:proofErr w:type="spellStart"/>
      <w:r w:rsidRPr="00057786">
        <w:rPr>
          <w:sz w:val="24"/>
          <w:szCs w:val="24"/>
        </w:rPr>
        <w:t>strongyloidiasis</w:t>
      </w:r>
      <w:proofErr w:type="spellEnd"/>
      <w:r w:rsidRPr="00057786">
        <w:rPr>
          <w:sz w:val="24"/>
          <w:szCs w:val="24"/>
        </w:rPr>
        <w:t xml:space="preserve"> (se pkt. 4.4).</w:t>
      </w:r>
    </w:p>
    <w:p w14:paraId="2B5D7ECE" w14:textId="77777777" w:rsidR="00262BA8" w:rsidRPr="00057786" w:rsidRDefault="00262BA8" w:rsidP="00262BA8">
      <w:pPr>
        <w:tabs>
          <w:tab w:val="left" w:pos="851"/>
        </w:tabs>
        <w:ind w:left="851"/>
        <w:rPr>
          <w:sz w:val="24"/>
          <w:szCs w:val="24"/>
        </w:rPr>
      </w:pPr>
    </w:p>
    <w:p w14:paraId="3CD66101" w14:textId="77777777" w:rsidR="00262BA8" w:rsidRPr="00057786" w:rsidRDefault="00262BA8" w:rsidP="00262BA8">
      <w:pPr>
        <w:tabs>
          <w:tab w:val="left" w:pos="851"/>
        </w:tabs>
        <w:ind w:left="851"/>
        <w:rPr>
          <w:i/>
          <w:sz w:val="24"/>
          <w:szCs w:val="24"/>
        </w:rPr>
      </w:pPr>
      <w:r w:rsidRPr="00057786">
        <w:rPr>
          <w:i/>
          <w:sz w:val="24"/>
          <w:szCs w:val="24"/>
        </w:rPr>
        <w:t>Blod og lymfesystem:</w:t>
      </w:r>
    </w:p>
    <w:p w14:paraId="075437BC" w14:textId="77777777" w:rsidR="00262BA8" w:rsidRPr="00057786" w:rsidRDefault="00262BA8" w:rsidP="00262BA8">
      <w:pPr>
        <w:tabs>
          <w:tab w:val="left" w:pos="851"/>
        </w:tabs>
        <w:ind w:left="851"/>
        <w:rPr>
          <w:sz w:val="24"/>
          <w:szCs w:val="24"/>
        </w:rPr>
      </w:pPr>
      <w:r w:rsidRPr="00057786">
        <w:rPr>
          <w:sz w:val="24"/>
          <w:szCs w:val="24"/>
        </w:rPr>
        <w:t xml:space="preserve">Moderat leukocytose, </w:t>
      </w:r>
      <w:proofErr w:type="spellStart"/>
      <w:r w:rsidRPr="00057786">
        <w:rPr>
          <w:sz w:val="24"/>
          <w:szCs w:val="24"/>
        </w:rPr>
        <w:t>lymfocytopeni</w:t>
      </w:r>
      <w:proofErr w:type="spellEnd"/>
      <w:r w:rsidRPr="00057786">
        <w:rPr>
          <w:sz w:val="24"/>
          <w:szCs w:val="24"/>
        </w:rPr>
        <w:t xml:space="preserve">, </w:t>
      </w:r>
      <w:proofErr w:type="spellStart"/>
      <w:r w:rsidRPr="00057786">
        <w:rPr>
          <w:sz w:val="24"/>
          <w:szCs w:val="24"/>
        </w:rPr>
        <w:t>eosinofeni</w:t>
      </w:r>
      <w:proofErr w:type="spellEnd"/>
      <w:r w:rsidRPr="00057786">
        <w:rPr>
          <w:sz w:val="24"/>
          <w:szCs w:val="24"/>
        </w:rPr>
        <w:t xml:space="preserve">, </w:t>
      </w:r>
      <w:proofErr w:type="spellStart"/>
      <w:r w:rsidRPr="00057786">
        <w:rPr>
          <w:sz w:val="24"/>
          <w:szCs w:val="24"/>
        </w:rPr>
        <w:t>polycytæmi</w:t>
      </w:r>
      <w:proofErr w:type="spellEnd"/>
      <w:r w:rsidRPr="00057786">
        <w:rPr>
          <w:sz w:val="24"/>
          <w:szCs w:val="24"/>
        </w:rPr>
        <w:t>.</w:t>
      </w:r>
    </w:p>
    <w:p w14:paraId="41A925E8" w14:textId="77777777" w:rsidR="00262BA8" w:rsidRPr="00057786" w:rsidRDefault="00262BA8" w:rsidP="00262BA8">
      <w:pPr>
        <w:tabs>
          <w:tab w:val="left" w:pos="851"/>
        </w:tabs>
        <w:ind w:left="851"/>
        <w:rPr>
          <w:i/>
          <w:sz w:val="24"/>
          <w:szCs w:val="24"/>
        </w:rPr>
      </w:pPr>
    </w:p>
    <w:p w14:paraId="03DFCCB0" w14:textId="77777777" w:rsidR="00262BA8" w:rsidRPr="00057786" w:rsidRDefault="00262BA8" w:rsidP="00262BA8">
      <w:pPr>
        <w:tabs>
          <w:tab w:val="left" w:pos="851"/>
        </w:tabs>
        <w:ind w:left="851"/>
        <w:rPr>
          <w:i/>
          <w:sz w:val="24"/>
          <w:szCs w:val="24"/>
        </w:rPr>
      </w:pPr>
      <w:r w:rsidRPr="00057786">
        <w:rPr>
          <w:i/>
          <w:sz w:val="24"/>
          <w:szCs w:val="24"/>
        </w:rPr>
        <w:t>Immunsystemet:</w:t>
      </w:r>
    </w:p>
    <w:p w14:paraId="3BBC2ED0" w14:textId="77777777" w:rsidR="00262BA8" w:rsidRPr="00057786" w:rsidRDefault="00262BA8" w:rsidP="00262BA8">
      <w:pPr>
        <w:tabs>
          <w:tab w:val="left" w:pos="851"/>
        </w:tabs>
        <w:ind w:left="851"/>
        <w:rPr>
          <w:sz w:val="24"/>
          <w:szCs w:val="24"/>
        </w:rPr>
      </w:pPr>
      <w:r w:rsidRPr="00057786">
        <w:rPr>
          <w:sz w:val="24"/>
          <w:szCs w:val="24"/>
        </w:rPr>
        <w:t xml:space="preserve">Overfølsomhedsreaktion (f.eks. medicinsk induceret </w:t>
      </w:r>
      <w:proofErr w:type="spellStart"/>
      <w:r w:rsidRPr="00057786">
        <w:rPr>
          <w:sz w:val="24"/>
          <w:szCs w:val="24"/>
        </w:rPr>
        <w:t>exanthema</w:t>
      </w:r>
      <w:proofErr w:type="spellEnd"/>
      <w:r w:rsidRPr="00057786">
        <w:rPr>
          <w:sz w:val="24"/>
          <w:szCs w:val="24"/>
        </w:rPr>
        <w:t xml:space="preserve">), alvorlige </w:t>
      </w:r>
      <w:proofErr w:type="spellStart"/>
      <w:r w:rsidRPr="00057786">
        <w:rPr>
          <w:sz w:val="24"/>
          <w:szCs w:val="24"/>
        </w:rPr>
        <w:t>anafylaktiske</w:t>
      </w:r>
      <w:proofErr w:type="spellEnd"/>
      <w:r w:rsidRPr="00057786">
        <w:rPr>
          <w:sz w:val="24"/>
          <w:szCs w:val="24"/>
        </w:rPr>
        <w:t xml:space="preserve"> reaktioner, såsom </w:t>
      </w:r>
      <w:proofErr w:type="spellStart"/>
      <w:r w:rsidRPr="00057786">
        <w:rPr>
          <w:sz w:val="24"/>
          <w:szCs w:val="24"/>
        </w:rPr>
        <w:t>arytmier</w:t>
      </w:r>
      <w:proofErr w:type="spellEnd"/>
      <w:r w:rsidRPr="00057786">
        <w:rPr>
          <w:sz w:val="24"/>
          <w:szCs w:val="24"/>
        </w:rPr>
        <w:t xml:space="preserve">, </w:t>
      </w:r>
      <w:proofErr w:type="spellStart"/>
      <w:r w:rsidRPr="00057786">
        <w:rPr>
          <w:sz w:val="24"/>
          <w:szCs w:val="24"/>
        </w:rPr>
        <w:t>bronchospasme</w:t>
      </w:r>
      <w:proofErr w:type="spellEnd"/>
      <w:r w:rsidRPr="00057786">
        <w:rPr>
          <w:sz w:val="24"/>
          <w:szCs w:val="24"/>
        </w:rPr>
        <w:t xml:space="preserve">, </w:t>
      </w:r>
      <w:proofErr w:type="spellStart"/>
      <w:r w:rsidRPr="00057786">
        <w:rPr>
          <w:sz w:val="24"/>
          <w:szCs w:val="24"/>
        </w:rPr>
        <w:t>hypo</w:t>
      </w:r>
      <w:proofErr w:type="spellEnd"/>
      <w:r w:rsidRPr="00057786">
        <w:rPr>
          <w:sz w:val="24"/>
          <w:szCs w:val="24"/>
        </w:rPr>
        <w:t>- eller hypertension, kredsløbskollaps, hjertestop, svækkelse af immunsystemet.</w:t>
      </w:r>
    </w:p>
    <w:p w14:paraId="3D5CC837" w14:textId="77777777" w:rsidR="00262BA8" w:rsidRPr="00057786" w:rsidRDefault="00262BA8" w:rsidP="00262BA8">
      <w:pPr>
        <w:tabs>
          <w:tab w:val="left" w:pos="851"/>
        </w:tabs>
        <w:ind w:left="851"/>
        <w:rPr>
          <w:sz w:val="24"/>
          <w:szCs w:val="24"/>
        </w:rPr>
      </w:pPr>
    </w:p>
    <w:p w14:paraId="2B79B9FA" w14:textId="77777777" w:rsidR="00262BA8" w:rsidRPr="00057786" w:rsidRDefault="00262BA8" w:rsidP="00262BA8">
      <w:pPr>
        <w:tabs>
          <w:tab w:val="left" w:pos="851"/>
        </w:tabs>
        <w:ind w:left="851"/>
        <w:rPr>
          <w:i/>
          <w:sz w:val="24"/>
          <w:szCs w:val="24"/>
        </w:rPr>
      </w:pPr>
      <w:r w:rsidRPr="00057786">
        <w:rPr>
          <w:i/>
          <w:sz w:val="24"/>
          <w:szCs w:val="24"/>
        </w:rPr>
        <w:t>Det endokrine system:</w:t>
      </w:r>
    </w:p>
    <w:p w14:paraId="77E0770C" w14:textId="77777777" w:rsidR="00262BA8" w:rsidRPr="00057786" w:rsidRDefault="00262BA8" w:rsidP="00262BA8">
      <w:pPr>
        <w:tabs>
          <w:tab w:val="left" w:pos="851"/>
        </w:tabs>
        <w:ind w:left="851"/>
        <w:rPr>
          <w:sz w:val="24"/>
          <w:szCs w:val="24"/>
        </w:rPr>
      </w:pPr>
      <w:proofErr w:type="spellStart"/>
      <w:r w:rsidRPr="00057786">
        <w:rPr>
          <w:sz w:val="24"/>
          <w:szCs w:val="24"/>
        </w:rPr>
        <w:t>Cushings</w:t>
      </w:r>
      <w:proofErr w:type="spellEnd"/>
      <w:r w:rsidRPr="00057786">
        <w:rPr>
          <w:sz w:val="24"/>
          <w:szCs w:val="24"/>
        </w:rPr>
        <w:t xml:space="preserve"> syndrom (typiske symptomer: måneansigt, central fedme og </w:t>
      </w:r>
      <w:proofErr w:type="spellStart"/>
      <w:r w:rsidRPr="00057786">
        <w:rPr>
          <w:sz w:val="24"/>
          <w:szCs w:val="24"/>
        </w:rPr>
        <w:t>plethora</w:t>
      </w:r>
      <w:proofErr w:type="spellEnd"/>
      <w:r w:rsidRPr="00057786">
        <w:rPr>
          <w:sz w:val="24"/>
          <w:szCs w:val="24"/>
        </w:rPr>
        <w:t xml:space="preserve">), </w:t>
      </w:r>
      <w:proofErr w:type="spellStart"/>
      <w:r w:rsidRPr="00057786">
        <w:rPr>
          <w:sz w:val="24"/>
          <w:szCs w:val="24"/>
        </w:rPr>
        <w:t>adrenal</w:t>
      </w:r>
      <w:proofErr w:type="spellEnd"/>
      <w:r w:rsidRPr="00057786">
        <w:rPr>
          <w:sz w:val="24"/>
          <w:szCs w:val="24"/>
        </w:rPr>
        <w:t xml:space="preserve"> suppression (se pkt. 4.4).</w:t>
      </w:r>
    </w:p>
    <w:p w14:paraId="7943EF48" w14:textId="77777777" w:rsidR="00262BA8" w:rsidRPr="00057786" w:rsidRDefault="00262BA8" w:rsidP="00262BA8">
      <w:pPr>
        <w:tabs>
          <w:tab w:val="left" w:pos="851"/>
        </w:tabs>
        <w:ind w:left="851"/>
        <w:rPr>
          <w:sz w:val="24"/>
          <w:szCs w:val="24"/>
        </w:rPr>
      </w:pPr>
    </w:p>
    <w:p w14:paraId="3E3F9AF6" w14:textId="77777777" w:rsidR="00262BA8" w:rsidRPr="00057786" w:rsidRDefault="00262BA8" w:rsidP="00262BA8">
      <w:pPr>
        <w:tabs>
          <w:tab w:val="left" w:pos="851"/>
        </w:tabs>
        <w:ind w:left="851"/>
        <w:rPr>
          <w:i/>
          <w:sz w:val="24"/>
          <w:szCs w:val="24"/>
        </w:rPr>
      </w:pPr>
      <w:r w:rsidRPr="00057786">
        <w:rPr>
          <w:i/>
          <w:sz w:val="24"/>
          <w:szCs w:val="24"/>
        </w:rPr>
        <w:t>Metabolisme og ernæring:</w:t>
      </w:r>
    </w:p>
    <w:p w14:paraId="2928A84F" w14:textId="77777777" w:rsidR="00262BA8" w:rsidRPr="00057786" w:rsidRDefault="00262BA8" w:rsidP="00262BA8">
      <w:pPr>
        <w:tabs>
          <w:tab w:val="left" w:pos="851"/>
        </w:tabs>
        <w:ind w:left="851"/>
        <w:rPr>
          <w:sz w:val="24"/>
          <w:szCs w:val="24"/>
        </w:rPr>
      </w:pPr>
      <w:r w:rsidRPr="00057786">
        <w:rPr>
          <w:sz w:val="24"/>
          <w:szCs w:val="24"/>
        </w:rPr>
        <w:t xml:space="preserve">Natriumretention med ødem, øget udskillelse af kalium (risiko for </w:t>
      </w:r>
      <w:proofErr w:type="spellStart"/>
      <w:r w:rsidRPr="00057786">
        <w:rPr>
          <w:sz w:val="24"/>
          <w:szCs w:val="24"/>
        </w:rPr>
        <w:t>arytmier</w:t>
      </w:r>
      <w:proofErr w:type="spellEnd"/>
      <w:r w:rsidRPr="00057786">
        <w:rPr>
          <w:sz w:val="24"/>
          <w:szCs w:val="24"/>
        </w:rPr>
        <w:t xml:space="preserve">), vægtstigning, nedsat </w:t>
      </w:r>
      <w:proofErr w:type="spellStart"/>
      <w:r w:rsidRPr="00057786">
        <w:rPr>
          <w:sz w:val="24"/>
          <w:szCs w:val="24"/>
        </w:rPr>
        <w:t>glucosetolerance</w:t>
      </w:r>
      <w:proofErr w:type="spellEnd"/>
      <w:r w:rsidRPr="00057786">
        <w:rPr>
          <w:sz w:val="24"/>
          <w:szCs w:val="24"/>
        </w:rPr>
        <w:t xml:space="preserve">, diabetes mellitus, </w:t>
      </w:r>
      <w:proofErr w:type="spellStart"/>
      <w:r w:rsidRPr="00057786">
        <w:rPr>
          <w:sz w:val="24"/>
          <w:szCs w:val="24"/>
        </w:rPr>
        <w:t>hyperkolesterolæmi</w:t>
      </w:r>
      <w:proofErr w:type="spellEnd"/>
      <w:r w:rsidRPr="00057786">
        <w:rPr>
          <w:sz w:val="24"/>
          <w:szCs w:val="24"/>
        </w:rPr>
        <w:t xml:space="preserve"> og </w:t>
      </w:r>
      <w:proofErr w:type="spellStart"/>
      <w:r w:rsidRPr="00057786">
        <w:rPr>
          <w:sz w:val="24"/>
          <w:szCs w:val="24"/>
        </w:rPr>
        <w:t>hypertriglyceridæmi</w:t>
      </w:r>
      <w:proofErr w:type="spellEnd"/>
      <w:r w:rsidRPr="00057786">
        <w:rPr>
          <w:sz w:val="24"/>
          <w:szCs w:val="24"/>
        </w:rPr>
        <w:t>, øget appetit.</w:t>
      </w:r>
    </w:p>
    <w:p w14:paraId="17CDA97B" w14:textId="77777777" w:rsidR="00262BA8" w:rsidRPr="00057786" w:rsidRDefault="00262BA8" w:rsidP="00262BA8">
      <w:pPr>
        <w:tabs>
          <w:tab w:val="left" w:pos="851"/>
        </w:tabs>
        <w:ind w:left="851"/>
        <w:rPr>
          <w:sz w:val="24"/>
          <w:szCs w:val="24"/>
        </w:rPr>
      </w:pPr>
    </w:p>
    <w:p w14:paraId="47EB91CD" w14:textId="77777777" w:rsidR="00262BA8" w:rsidRPr="00057786" w:rsidRDefault="00262BA8" w:rsidP="00262BA8">
      <w:pPr>
        <w:pStyle w:val="Sidehoved"/>
        <w:tabs>
          <w:tab w:val="left" w:pos="851"/>
        </w:tabs>
        <w:ind w:left="851"/>
        <w:rPr>
          <w:i/>
          <w:szCs w:val="24"/>
        </w:rPr>
      </w:pPr>
      <w:r w:rsidRPr="00057786">
        <w:rPr>
          <w:i/>
          <w:szCs w:val="24"/>
        </w:rPr>
        <w:t>Psykiske forstyrrelser:</w:t>
      </w:r>
    </w:p>
    <w:p w14:paraId="33452F34" w14:textId="77777777" w:rsidR="00262BA8" w:rsidRPr="00057786" w:rsidRDefault="00262BA8" w:rsidP="00262BA8">
      <w:pPr>
        <w:pStyle w:val="Sidehoved"/>
        <w:tabs>
          <w:tab w:val="left" w:pos="851"/>
        </w:tabs>
        <w:ind w:left="851"/>
        <w:rPr>
          <w:szCs w:val="24"/>
        </w:rPr>
      </w:pPr>
      <w:r w:rsidRPr="00057786">
        <w:rPr>
          <w:szCs w:val="24"/>
        </w:rPr>
        <w:t xml:space="preserve">Depression, irritabilitet, eufori, øget energiniveau, psykoser, mani, hallucinationer, emotionel labilitet, angst, søvnforstyrrelser, </w:t>
      </w:r>
      <w:proofErr w:type="spellStart"/>
      <w:r w:rsidRPr="00057786">
        <w:rPr>
          <w:szCs w:val="24"/>
        </w:rPr>
        <w:t>suicidalitet</w:t>
      </w:r>
      <w:proofErr w:type="spellEnd"/>
      <w:r w:rsidRPr="00057786">
        <w:rPr>
          <w:szCs w:val="24"/>
        </w:rPr>
        <w:t>.</w:t>
      </w:r>
    </w:p>
    <w:p w14:paraId="0030AD8B" w14:textId="77777777" w:rsidR="00262BA8" w:rsidRPr="00057786" w:rsidRDefault="00262BA8" w:rsidP="00262BA8">
      <w:pPr>
        <w:pStyle w:val="Sidehoved"/>
        <w:tabs>
          <w:tab w:val="left" w:pos="851"/>
        </w:tabs>
        <w:ind w:left="851"/>
        <w:rPr>
          <w:i/>
          <w:szCs w:val="24"/>
        </w:rPr>
      </w:pPr>
    </w:p>
    <w:p w14:paraId="667E6431" w14:textId="77777777" w:rsidR="00262BA8" w:rsidRPr="00057786" w:rsidRDefault="00262BA8" w:rsidP="00262BA8">
      <w:pPr>
        <w:pStyle w:val="Sidehoved"/>
        <w:tabs>
          <w:tab w:val="left" w:pos="851"/>
        </w:tabs>
        <w:ind w:left="851"/>
        <w:rPr>
          <w:i/>
          <w:szCs w:val="24"/>
        </w:rPr>
      </w:pPr>
      <w:r w:rsidRPr="00057786">
        <w:rPr>
          <w:i/>
          <w:szCs w:val="24"/>
        </w:rPr>
        <w:t>Nervesystemet:</w:t>
      </w:r>
    </w:p>
    <w:p w14:paraId="19D69C92" w14:textId="77777777" w:rsidR="00262BA8" w:rsidRPr="00057786" w:rsidRDefault="00262BA8" w:rsidP="00262BA8">
      <w:pPr>
        <w:pStyle w:val="Sidehoved"/>
        <w:tabs>
          <w:tab w:val="left" w:pos="851"/>
        </w:tabs>
        <w:ind w:left="851"/>
        <w:rPr>
          <w:szCs w:val="24"/>
        </w:rPr>
      </w:pPr>
      <w:r w:rsidRPr="00057786">
        <w:rPr>
          <w:szCs w:val="24"/>
        </w:rPr>
        <w:t xml:space="preserve">Pseudotumor </w:t>
      </w:r>
      <w:proofErr w:type="spellStart"/>
      <w:r w:rsidRPr="00057786">
        <w:rPr>
          <w:szCs w:val="24"/>
        </w:rPr>
        <w:t>cerebri</w:t>
      </w:r>
      <w:proofErr w:type="spellEnd"/>
      <w:r w:rsidRPr="00057786">
        <w:rPr>
          <w:szCs w:val="24"/>
        </w:rPr>
        <w:t>, manifestation af latent epilepsi, stigning i følsomhed over for anfald i manifest epilepsi.</w:t>
      </w:r>
    </w:p>
    <w:p w14:paraId="59415D10" w14:textId="77777777" w:rsidR="00262BA8" w:rsidRPr="00057786" w:rsidRDefault="00262BA8" w:rsidP="00262BA8">
      <w:pPr>
        <w:pStyle w:val="Sidehoved"/>
        <w:tabs>
          <w:tab w:val="left" w:pos="851"/>
        </w:tabs>
        <w:ind w:left="851"/>
        <w:rPr>
          <w:i/>
          <w:szCs w:val="24"/>
        </w:rPr>
      </w:pPr>
    </w:p>
    <w:p w14:paraId="3B9C085A" w14:textId="77777777" w:rsidR="00262BA8" w:rsidRPr="00057786" w:rsidRDefault="00262BA8" w:rsidP="00262BA8">
      <w:pPr>
        <w:pStyle w:val="Sidehoved"/>
        <w:tabs>
          <w:tab w:val="left" w:pos="851"/>
        </w:tabs>
        <w:ind w:left="851"/>
        <w:rPr>
          <w:i/>
          <w:szCs w:val="24"/>
        </w:rPr>
      </w:pPr>
      <w:r w:rsidRPr="00057786">
        <w:rPr>
          <w:i/>
          <w:szCs w:val="24"/>
        </w:rPr>
        <w:t>Øjne:</w:t>
      </w:r>
    </w:p>
    <w:p w14:paraId="6BF940DB" w14:textId="06650AF1" w:rsidR="00262BA8" w:rsidRDefault="00262BA8" w:rsidP="00262BA8">
      <w:pPr>
        <w:pStyle w:val="Sidehoved"/>
        <w:tabs>
          <w:tab w:val="left" w:pos="851"/>
        </w:tabs>
        <w:ind w:left="851"/>
        <w:rPr>
          <w:szCs w:val="24"/>
        </w:rPr>
      </w:pPr>
      <w:r w:rsidRPr="00057786">
        <w:rPr>
          <w:szCs w:val="24"/>
        </w:rPr>
        <w:t xml:space="preserve">Katarakt, især med </w:t>
      </w:r>
      <w:proofErr w:type="spellStart"/>
      <w:r w:rsidRPr="00057786">
        <w:rPr>
          <w:szCs w:val="24"/>
        </w:rPr>
        <w:t>posterior</w:t>
      </w:r>
      <w:proofErr w:type="spellEnd"/>
      <w:r w:rsidRPr="00057786">
        <w:rPr>
          <w:szCs w:val="24"/>
        </w:rPr>
        <w:t xml:space="preserve"> </w:t>
      </w:r>
      <w:proofErr w:type="spellStart"/>
      <w:r w:rsidRPr="00057786">
        <w:rPr>
          <w:szCs w:val="24"/>
        </w:rPr>
        <w:t>subkapsulær</w:t>
      </w:r>
      <w:proofErr w:type="spellEnd"/>
      <w:r w:rsidRPr="00057786">
        <w:rPr>
          <w:szCs w:val="24"/>
        </w:rPr>
        <w:t xml:space="preserve"> opacitet, </w:t>
      </w:r>
      <w:proofErr w:type="spellStart"/>
      <w:r w:rsidRPr="00057786">
        <w:rPr>
          <w:szCs w:val="24"/>
        </w:rPr>
        <w:t>glaukom</w:t>
      </w:r>
      <w:proofErr w:type="spellEnd"/>
      <w:r w:rsidRPr="00057786">
        <w:rPr>
          <w:szCs w:val="24"/>
        </w:rPr>
        <w:t xml:space="preserve">, forværring af symptomer forbundet med hornhindesår, øget forekomst af virus-, svampe- og bakterieinfektioner i øjet, forværring af bakterieinfektioner i hornhinde, </w:t>
      </w:r>
      <w:proofErr w:type="spellStart"/>
      <w:r w:rsidRPr="00057786">
        <w:rPr>
          <w:szCs w:val="24"/>
        </w:rPr>
        <w:t>ptose</w:t>
      </w:r>
      <w:proofErr w:type="spellEnd"/>
      <w:r w:rsidRPr="00057786">
        <w:rPr>
          <w:szCs w:val="24"/>
        </w:rPr>
        <w:t xml:space="preserve">, </w:t>
      </w:r>
      <w:proofErr w:type="spellStart"/>
      <w:r w:rsidRPr="00057786">
        <w:rPr>
          <w:szCs w:val="24"/>
        </w:rPr>
        <w:t>mydriasis</w:t>
      </w:r>
      <w:proofErr w:type="spellEnd"/>
      <w:r w:rsidRPr="00057786">
        <w:rPr>
          <w:szCs w:val="24"/>
        </w:rPr>
        <w:t xml:space="preserve">, </w:t>
      </w:r>
      <w:proofErr w:type="spellStart"/>
      <w:r w:rsidRPr="00057786">
        <w:rPr>
          <w:szCs w:val="24"/>
        </w:rPr>
        <w:t>chemosis</w:t>
      </w:r>
      <w:proofErr w:type="spellEnd"/>
      <w:r w:rsidRPr="00057786">
        <w:rPr>
          <w:szCs w:val="24"/>
        </w:rPr>
        <w:t xml:space="preserve">, </w:t>
      </w:r>
      <w:proofErr w:type="spellStart"/>
      <w:r w:rsidRPr="00057786">
        <w:rPr>
          <w:szCs w:val="24"/>
        </w:rPr>
        <w:t>iatrogen</w:t>
      </w:r>
      <w:proofErr w:type="spellEnd"/>
      <w:r w:rsidRPr="00057786">
        <w:rPr>
          <w:szCs w:val="24"/>
        </w:rPr>
        <w:t xml:space="preserve"> </w:t>
      </w:r>
      <w:proofErr w:type="spellStart"/>
      <w:r w:rsidRPr="00057786">
        <w:rPr>
          <w:szCs w:val="24"/>
        </w:rPr>
        <w:t>scleral</w:t>
      </w:r>
      <w:proofErr w:type="spellEnd"/>
      <w:r w:rsidRPr="00057786">
        <w:rPr>
          <w:szCs w:val="24"/>
        </w:rPr>
        <w:t xml:space="preserve"> perforation, </w:t>
      </w:r>
      <w:proofErr w:type="spellStart"/>
      <w:r w:rsidRPr="00057786">
        <w:rPr>
          <w:szCs w:val="24"/>
        </w:rPr>
        <w:t>korioretinopati</w:t>
      </w:r>
      <w:proofErr w:type="spellEnd"/>
      <w:r w:rsidRPr="00057786">
        <w:rPr>
          <w:szCs w:val="24"/>
        </w:rPr>
        <w:t xml:space="preserve">. Sjældne tilfælde af reversibel </w:t>
      </w:r>
      <w:proofErr w:type="spellStart"/>
      <w:r w:rsidRPr="00057786">
        <w:rPr>
          <w:szCs w:val="24"/>
        </w:rPr>
        <w:t>exophthalmos</w:t>
      </w:r>
      <w:proofErr w:type="spellEnd"/>
      <w:r w:rsidRPr="00057786">
        <w:rPr>
          <w:szCs w:val="24"/>
        </w:rPr>
        <w:t xml:space="preserve">, og efter </w:t>
      </w:r>
      <w:proofErr w:type="spellStart"/>
      <w:r w:rsidRPr="00057786">
        <w:rPr>
          <w:szCs w:val="24"/>
        </w:rPr>
        <w:t>subkonjunktival</w:t>
      </w:r>
      <w:proofErr w:type="spellEnd"/>
      <w:r w:rsidRPr="00057786">
        <w:rPr>
          <w:szCs w:val="24"/>
        </w:rPr>
        <w:t xml:space="preserve"> administration også herpes </w:t>
      </w:r>
      <w:proofErr w:type="spellStart"/>
      <w:r w:rsidRPr="00057786">
        <w:rPr>
          <w:szCs w:val="24"/>
        </w:rPr>
        <w:t>simplex</w:t>
      </w:r>
      <w:proofErr w:type="spellEnd"/>
      <w:r w:rsidRPr="00057786">
        <w:rPr>
          <w:szCs w:val="24"/>
        </w:rPr>
        <w:t xml:space="preserve"> </w:t>
      </w:r>
      <w:proofErr w:type="spellStart"/>
      <w:r w:rsidRPr="00057786">
        <w:rPr>
          <w:szCs w:val="24"/>
        </w:rPr>
        <w:t>keratitis</w:t>
      </w:r>
      <w:proofErr w:type="spellEnd"/>
      <w:r w:rsidRPr="00057786">
        <w:rPr>
          <w:szCs w:val="24"/>
        </w:rPr>
        <w:t xml:space="preserve">, </w:t>
      </w:r>
      <w:proofErr w:type="spellStart"/>
      <w:r w:rsidRPr="00057786">
        <w:rPr>
          <w:szCs w:val="24"/>
        </w:rPr>
        <w:t>corneaperforation</w:t>
      </w:r>
      <w:proofErr w:type="spellEnd"/>
      <w:r w:rsidRPr="00057786">
        <w:rPr>
          <w:szCs w:val="24"/>
        </w:rPr>
        <w:t xml:space="preserve"> i tilfælde af eksisterende </w:t>
      </w:r>
      <w:proofErr w:type="spellStart"/>
      <w:r w:rsidRPr="00057786">
        <w:rPr>
          <w:szCs w:val="24"/>
        </w:rPr>
        <w:t>keratitis</w:t>
      </w:r>
      <w:proofErr w:type="spellEnd"/>
      <w:r w:rsidRPr="00057786">
        <w:rPr>
          <w:szCs w:val="24"/>
        </w:rPr>
        <w:t>, sløret syn (se også pkt. 4.4).</w:t>
      </w:r>
    </w:p>
    <w:p w14:paraId="6D617A24" w14:textId="4F97B8EE" w:rsidR="001741A9" w:rsidRDefault="001741A9" w:rsidP="00262BA8">
      <w:pPr>
        <w:pStyle w:val="Sidehoved"/>
        <w:tabs>
          <w:tab w:val="left" w:pos="851"/>
        </w:tabs>
        <w:ind w:left="851"/>
        <w:rPr>
          <w:szCs w:val="24"/>
        </w:rPr>
      </w:pPr>
    </w:p>
    <w:p w14:paraId="770B95DE" w14:textId="77777777" w:rsidR="001741A9" w:rsidRDefault="001741A9" w:rsidP="001741A9">
      <w:pPr>
        <w:pStyle w:val="Sidehoved"/>
        <w:tabs>
          <w:tab w:val="left" w:pos="851"/>
        </w:tabs>
        <w:ind w:left="851"/>
        <w:rPr>
          <w:i/>
          <w:szCs w:val="24"/>
        </w:rPr>
      </w:pPr>
      <w:r>
        <w:rPr>
          <w:i/>
          <w:szCs w:val="24"/>
        </w:rPr>
        <w:t>Hjerte:</w:t>
      </w:r>
    </w:p>
    <w:p w14:paraId="12815E5C" w14:textId="77777777" w:rsidR="001741A9" w:rsidRPr="00110F2B" w:rsidRDefault="001741A9" w:rsidP="001741A9">
      <w:pPr>
        <w:pStyle w:val="Sidehoved"/>
        <w:tabs>
          <w:tab w:val="left" w:pos="851"/>
        </w:tabs>
        <w:ind w:left="851"/>
        <w:rPr>
          <w:szCs w:val="24"/>
        </w:rPr>
      </w:pPr>
      <w:proofErr w:type="spellStart"/>
      <w:r w:rsidRPr="00110F2B">
        <w:rPr>
          <w:szCs w:val="24"/>
        </w:rPr>
        <w:t>H</w:t>
      </w:r>
      <w:r w:rsidRPr="00D57C08">
        <w:rPr>
          <w:szCs w:val="24"/>
        </w:rPr>
        <w:t>ypertrofisk</w:t>
      </w:r>
      <w:proofErr w:type="spellEnd"/>
      <w:r w:rsidRPr="00D57C08">
        <w:rPr>
          <w:szCs w:val="24"/>
        </w:rPr>
        <w:t xml:space="preserve"> </w:t>
      </w:r>
      <w:proofErr w:type="spellStart"/>
      <w:r w:rsidRPr="00D57C08">
        <w:rPr>
          <w:szCs w:val="24"/>
        </w:rPr>
        <w:t>kardiomyopati</w:t>
      </w:r>
      <w:proofErr w:type="spellEnd"/>
      <w:r w:rsidRPr="00D57C08">
        <w:rPr>
          <w:szCs w:val="24"/>
        </w:rPr>
        <w:t xml:space="preserve"> hos for tidligt fødte børn (se pkt. 4.4).</w:t>
      </w:r>
    </w:p>
    <w:p w14:paraId="5439FB6E" w14:textId="77777777" w:rsidR="00262BA8" w:rsidRPr="00057786" w:rsidRDefault="00262BA8" w:rsidP="00262BA8">
      <w:pPr>
        <w:pStyle w:val="Sidehoved"/>
        <w:tabs>
          <w:tab w:val="left" w:pos="851"/>
        </w:tabs>
        <w:ind w:left="851"/>
        <w:rPr>
          <w:szCs w:val="24"/>
        </w:rPr>
      </w:pPr>
    </w:p>
    <w:p w14:paraId="4F6F9E20" w14:textId="77777777" w:rsidR="00262BA8" w:rsidRPr="00057786" w:rsidRDefault="00262BA8" w:rsidP="00262BA8">
      <w:pPr>
        <w:pStyle w:val="Sidehoved"/>
        <w:tabs>
          <w:tab w:val="left" w:pos="851"/>
        </w:tabs>
        <w:ind w:left="851"/>
        <w:rPr>
          <w:i/>
          <w:szCs w:val="24"/>
        </w:rPr>
      </w:pPr>
      <w:proofErr w:type="spellStart"/>
      <w:r w:rsidRPr="00057786">
        <w:rPr>
          <w:i/>
          <w:szCs w:val="24"/>
        </w:rPr>
        <w:t>Vaskulære</w:t>
      </w:r>
      <w:proofErr w:type="spellEnd"/>
      <w:r w:rsidRPr="00057786">
        <w:rPr>
          <w:i/>
          <w:szCs w:val="24"/>
        </w:rPr>
        <w:t xml:space="preserve"> sygdomme:</w:t>
      </w:r>
    </w:p>
    <w:p w14:paraId="08121270" w14:textId="77777777" w:rsidR="00262BA8" w:rsidRPr="00057786" w:rsidRDefault="00262BA8" w:rsidP="00262BA8">
      <w:pPr>
        <w:pStyle w:val="Sidehoved"/>
        <w:tabs>
          <w:tab w:val="left" w:pos="851"/>
        </w:tabs>
        <w:ind w:left="851"/>
        <w:rPr>
          <w:szCs w:val="24"/>
        </w:rPr>
      </w:pPr>
      <w:r w:rsidRPr="00057786">
        <w:rPr>
          <w:szCs w:val="24"/>
        </w:rPr>
        <w:t xml:space="preserve">Hypertension, øget risiko for aterosklerose og trombose, </w:t>
      </w:r>
      <w:proofErr w:type="spellStart"/>
      <w:r w:rsidRPr="00057786">
        <w:rPr>
          <w:szCs w:val="24"/>
        </w:rPr>
        <w:t>vasculitis</w:t>
      </w:r>
      <w:proofErr w:type="spellEnd"/>
      <w:r w:rsidRPr="00057786">
        <w:rPr>
          <w:szCs w:val="24"/>
        </w:rPr>
        <w:t xml:space="preserve"> (også som abstinenssyndrom efter langvarig behandling), øget kapillærskørhed.</w:t>
      </w:r>
    </w:p>
    <w:p w14:paraId="3859F9E0" w14:textId="77777777" w:rsidR="00262BA8" w:rsidRPr="00057786" w:rsidRDefault="00262BA8" w:rsidP="00262BA8">
      <w:pPr>
        <w:pStyle w:val="Sidehoved"/>
        <w:tabs>
          <w:tab w:val="left" w:pos="851"/>
        </w:tabs>
        <w:ind w:left="851"/>
        <w:rPr>
          <w:szCs w:val="24"/>
        </w:rPr>
      </w:pPr>
    </w:p>
    <w:p w14:paraId="6ED3E023" w14:textId="77777777" w:rsidR="00262BA8" w:rsidRPr="00057786" w:rsidRDefault="00262BA8" w:rsidP="00262BA8">
      <w:pPr>
        <w:pStyle w:val="Sidehoved"/>
        <w:tabs>
          <w:tab w:val="left" w:pos="851"/>
        </w:tabs>
        <w:ind w:left="851"/>
        <w:rPr>
          <w:i/>
          <w:szCs w:val="24"/>
        </w:rPr>
      </w:pPr>
      <w:r w:rsidRPr="00057786">
        <w:rPr>
          <w:i/>
          <w:szCs w:val="24"/>
        </w:rPr>
        <w:t>Mave-tarm-kanalen:</w:t>
      </w:r>
    </w:p>
    <w:p w14:paraId="514A8FC8" w14:textId="77777777" w:rsidR="00262BA8" w:rsidRPr="00057786" w:rsidRDefault="00262BA8" w:rsidP="00262BA8">
      <w:pPr>
        <w:pStyle w:val="Sidehoved"/>
        <w:tabs>
          <w:tab w:val="left" w:pos="851"/>
        </w:tabs>
        <w:ind w:left="851"/>
        <w:rPr>
          <w:szCs w:val="24"/>
        </w:rPr>
      </w:pPr>
      <w:proofErr w:type="spellStart"/>
      <w:r w:rsidRPr="00057786">
        <w:rPr>
          <w:szCs w:val="24"/>
        </w:rPr>
        <w:t>Gastrointestinale</w:t>
      </w:r>
      <w:proofErr w:type="spellEnd"/>
      <w:r w:rsidRPr="00057786">
        <w:rPr>
          <w:szCs w:val="24"/>
        </w:rPr>
        <w:t xml:space="preserve"> sår, </w:t>
      </w:r>
      <w:proofErr w:type="spellStart"/>
      <w:r w:rsidRPr="00057786">
        <w:rPr>
          <w:szCs w:val="24"/>
        </w:rPr>
        <w:t>gastrointestinal</w:t>
      </w:r>
      <w:proofErr w:type="spellEnd"/>
      <w:r w:rsidRPr="00057786">
        <w:rPr>
          <w:szCs w:val="24"/>
        </w:rPr>
        <w:t xml:space="preserve"> blødning, </w:t>
      </w:r>
      <w:proofErr w:type="spellStart"/>
      <w:r w:rsidRPr="00057786">
        <w:rPr>
          <w:szCs w:val="24"/>
        </w:rPr>
        <w:t>pancreatitis</w:t>
      </w:r>
      <w:proofErr w:type="spellEnd"/>
      <w:r w:rsidRPr="00057786">
        <w:rPr>
          <w:szCs w:val="24"/>
        </w:rPr>
        <w:t>, mavegener, hikke.</w:t>
      </w:r>
    </w:p>
    <w:p w14:paraId="347AC93E" w14:textId="77777777" w:rsidR="00262BA8" w:rsidRPr="00057786" w:rsidRDefault="00262BA8" w:rsidP="00262BA8">
      <w:pPr>
        <w:pStyle w:val="Sidehoved"/>
        <w:tabs>
          <w:tab w:val="left" w:pos="851"/>
        </w:tabs>
        <w:ind w:left="851"/>
        <w:rPr>
          <w:szCs w:val="24"/>
        </w:rPr>
      </w:pPr>
    </w:p>
    <w:p w14:paraId="65872457" w14:textId="77777777" w:rsidR="00262BA8" w:rsidRPr="00057786" w:rsidRDefault="00262BA8" w:rsidP="00262BA8">
      <w:pPr>
        <w:pStyle w:val="Sidehoved"/>
        <w:tabs>
          <w:tab w:val="left" w:pos="851"/>
        </w:tabs>
        <w:ind w:left="851"/>
        <w:rPr>
          <w:i/>
          <w:szCs w:val="24"/>
        </w:rPr>
      </w:pPr>
      <w:r w:rsidRPr="00057786">
        <w:rPr>
          <w:i/>
          <w:szCs w:val="24"/>
        </w:rPr>
        <w:t>Hud og subkutane væv:</w:t>
      </w:r>
    </w:p>
    <w:p w14:paraId="0C8A0F20" w14:textId="77777777" w:rsidR="00262BA8" w:rsidRPr="00057786" w:rsidRDefault="00262BA8" w:rsidP="00262BA8">
      <w:pPr>
        <w:pStyle w:val="Sidehoved"/>
        <w:tabs>
          <w:tab w:val="left" w:pos="851"/>
        </w:tabs>
        <w:ind w:left="851"/>
        <w:rPr>
          <w:szCs w:val="24"/>
        </w:rPr>
      </w:pPr>
      <w:proofErr w:type="spellStart"/>
      <w:r w:rsidRPr="00057786">
        <w:rPr>
          <w:szCs w:val="24"/>
        </w:rPr>
        <w:t>Striae</w:t>
      </w:r>
      <w:proofErr w:type="spellEnd"/>
      <w:r w:rsidRPr="00057786">
        <w:rPr>
          <w:szCs w:val="24"/>
        </w:rPr>
        <w:t xml:space="preserve"> </w:t>
      </w:r>
      <w:proofErr w:type="spellStart"/>
      <w:r w:rsidRPr="00057786">
        <w:rPr>
          <w:szCs w:val="24"/>
        </w:rPr>
        <w:t>rubra</w:t>
      </w:r>
      <w:proofErr w:type="spellEnd"/>
      <w:r w:rsidRPr="00057786">
        <w:rPr>
          <w:szCs w:val="24"/>
        </w:rPr>
        <w:t xml:space="preserve">, atrofi, </w:t>
      </w:r>
      <w:proofErr w:type="spellStart"/>
      <w:r w:rsidRPr="00057786">
        <w:rPr>
          <w:szCs w:val="24"/>
        </w:rPr>
        <w:t>telangiektasi</w:t>
      </w:r>
      <w:proofErr w:type="spellEnd"/>
      <w:r w:rsidRPr="00057786">
        <w:rPr>
          <w:szCs w:val="24"/>
        </w:rPr>
        <w:t xml:space="preserve">, </w:t>
      </w:r>
      <w:proofErr w:type="spellStart"/>
      <w:r w:rsidRPr="00057786">
        <w:rPr>
          <w:szCs w:val="24"/>
        </w:rPr>
        <w:t>petekkier</w:t>
      </w:r>
      <w:proofErr w:type="spellEnd"/>
      <w:r w:rsidRPr="00057786">
        <w:rPr>
          <w:szCs w:val="24"/>
        </w:rPr>
        <w:t xml:space="preserve">, </w:t>
      </w:r>
      <w:proofErr w:type="spellStart"/>
      <w:r w:rsidRPr="00057786">
        <w:rPr>
          <w:szCs w:val="24"/>
        </w:rPr>
        <w:t>ekkymose</w:t>
      </w:r>
      <w:proofErr w:type="spellEnd"/>
      <w:r w:rsidRPr="00057786">
        <w:rPr>
          <w:szCs w:val="24"/>
        </w:rPr>
        <w:t xml:space="preserve">, </w:t>
      </w:r>
      <w:proofErr w:type="spellStart"/>
      <w:r w:rsidRPr="00057786">
        <w:rPr>
          <w:szCs w:val="24"/>
        </w:rPr>
        <w:t>hypertrichose</w:t>
      </w:r>
      <w:proofErr w:type="spellEnd"/>
      <w:r w:rsidRPr="00057786">
        <w:rPr>
          <w:szCs w:val="24"/>
        </w:rPr>
        <w:t xml:space="preserve">, steroidinduceret akne, </w:t>
      </w:r>
      <w:proofErr w:type="spellStart"/>
      <w:r w:rsidRPr="00057786">
        <w:rPr>
          <w:szCs w:val="24"/>
        </w:rPr>
        <w:t>rosacea</w:t>
      </w:r>
      <w:proofErr w:type="spellEnd"/>
      <w:r w:rsidRPr="00057786">
        <w:rPr>
          <w:szCs w:val="24"/>
        </w:rPr>
        <w:t xml:space="preserve">-lignende (perioral) </w:t>
      </w:r>
      <w:proofErr w:type="spellStart"/>
      <w:r w:rsidRPr="00057786">
        <w:rPr>
          <w:szCs w:val="24"/>
        </w:rPr>
        <w:t>dermatitis</w:t>
      </w:r>
      <w:proofErr w:type="spellEnd"/>
      <w:r w:rsidRPr="00057786">
        <w:rPr>
          <w:szCs w:val="24"/>
        </w:rPr>
        <w:t>, ændringer i hudpigmentering.</w:t>
      </w:r>
    </w:p>
    <w:p w14:paraId="2772F939" w14:textId="77777777" w:rsidR="00262BA8" w:rsidRPr="00057786" w:rsidRDefault="00262BA8" w:rsidP="00262BA8">
      <w:pPr>
        <w:pStyle w:val="Sidehoved"/>
        <w:tabs>
          <w:tab w:val="left" w:pos="851"/>
        </w:tabs>
        <w:ind w:left="851"/>
        <w:rPr>
          <w:szCs w:val="24"/>
        </w:rPr>
      </w:pPr>
    </w:p>
    <w:p w14:paraId="00CFB4D6" w14:textId="77777777" w:rsidR="00262BA8" w:rsidRPr="00057786" w:rsidRDefault="00262BA8" w:rsidP="0021119B">
      <w:pPr>
        <w:pStyle w:val="Sidehoved"/>
        <w:keepNext/>
        <w:tabs>
          <w:tab w:val="left" w:pos="851"/>
        </w:tabs>
        <w:ind w:left="851"/>
        <w:rPr>
          <w:i/>
          <w:szCs w:val="24"/>
        </w:rPr>
      </w:pPr>
      <w:r w:rsidRPr="00057786">
        <w:rPr>
          <w:i/>
          <w:szCs w:val="24"/>
        </w:rPr>
        <w:t>Knogler, led, muskler og bindevæv</w:t>
      </w:r>
    </w:p>
    <w:p w14:paraId="3B5920E7" w14:textId="77777777" w:rsidR="00262BA8" w:rsidRPr="00057786" w:rsidRDefault="00262BA8" w:rsidP="00262BA8">
      <w:pPr>
        <w:pStyle w:val="Sidehoved"/>
        <w:tabs>
          <w:tab w:val="left" w:pos="851"/>
        </w:tabs>
        <w:ind w:left="851"/>
        <w:rPr>
          <w:szCs w:val="24"/>
        </w:rPr>
      </w:pPr>
      <w:proofErr w:type="spellStart"/>
      <w:r w:rsidRPr="00057786">
        <w:rPr>
          <w:szCs w:val="24"/>
        </w:rPr>
        <w:t>Myopati</w:t>
      </w:r>
      <w:proofErr w:type="spellEnd"/>
      <w:r w:rsidRPr="00057786">
        <w:rPr>
          <w:szCs w:val="24"/>
        </w:rPr>
        <w:t xml:space="preserve">, muskelatrofi og -svaghed, osteoporose (dosisafhængig, muligvis også ved kortvarig administration), aseptisk knoglenekrose, </w:t>
      </w:r>
      <w:proofErr w:type="spellStart"/>
      <w:r w:rsidRPr="00057786">
        <w:rPr>
          <w:szCs w:val="24"/>
        </w:rPr>
        <w:t>senelidelser</w:t>
      </w:r>
      <w:proofErr w:type="spellEnd"/>
      <w:r w:rsidRPr="00057786">
        <w:rPr>
          <w:szCs w:val="24"/>
        </w:rPr>
        <w:t xml:space="preserve">, </w:t>
      </w:r>
      <w:proofErr w:type="spellStart"/>
      <w:r w:rsidRPr="00057786">
        <w:rPr>
          <w:szCs w:val="24"/>
        </w:rPr>
        <w:t>tendinitis</w:t>
      </w:r>
      <w:proofErr w:type="spellEnd"/>
      <w:r w:rsidRPr="00057786">
        <w:rPr>
          <w:szCs w:val="24"/>
        </w:rPr>
        <w:t xml:space="preserve">, </w:t>
      </w:r>
      <w:proofErr w:type="spellStart"/>
      <w:r w:rsidRPr="00057786">
        <w:rPr>
          <w:szCs w:val="24"/>
        </w:rPr>
        <w:t>seneruptur</w:t>
      </w:r>
      <w:proofErr w:type="spellEnd"/>
      <w:r w:rsidRPr="00057786">
        <w:rPr>
          <w:szCs w:val="24"/>
        </w:rPr>
        <w:t xml:space="preserve">, </w:t>
      </w:r>
      <w:proofErr w:type="spellStart"/>
      <w:r w:rsidRPr="00057786">
        <w:rPr>
          <w:szCs w:val="24"/>
        </w:rPr>
        <w:t>epidural</w:t>
      </w:r>
      <w:proofErr w:type="spellEnd"/>
      <w:r w:rsidRPr="00057786">
        <w:rPr>
          <w:szCs w:val="24"/>
        </w:rPr>
        <w:t xml:space="preserve"> </w:t>
      </w:r>
      <w:proofErr w:type="spellStart"/>
      <w:r w:rsidRPr="00057786">
        <w:rPr>
          <w:szCs w:val="24"/>
        </w:rPr>
        <w:t>lipomatose</w:t>
      </w:r>
      <w:proofErr w:type="spellEnd"/>
      <w:r w:rsidRPr="00057786">
        <w:rPr>
          <w:szCs w:val="24"/>
        </w:rPr>
        <w:t>, væksthæmning hos børn.</w:t>
      </w:r>
    </w:p>
    <w:p w14:paraId="6550095F" w14:textId="77777777" w:rsidR="00262BA8" w:rsidRPr="00057786" w:rsidRDefault="00262BA8" w:rsidP="00262BA8">
      <w:pPr>
        <w:pStyle w:val="Sidehoved"/>
        <w:tabs>
          <w:tab w:val="left" w:pos="851"/>
        </w:tabs>
        <w:ind w:left="851"/>
        <w:rPr>
          <w:szCs w:val="24"/>
        </w:rPr>
      </w:pPr>
    </w:p>
    <w:p w14:paraId="4A846371" w14:textId="77777777" w:rsidR="00262BA8" w:rsidRPr="00057786" w:rsidRDefault="00262BA8" w:rsidP="00262BA8">
      <w:pPr>
        <w:pStyle w:val="Sidehoved"/>
        <w:tabs>
          <w:tab w:val="left" w:pos="851"/>
        </w:tabs>
        <w:ind w:left="851"/>
        <w:rPr>
          <w:i/>
          <w:szCs w:val="24"/>
        </w:rPr>
      </w:pPr>
      <w:r w:rsidRPr="00057786">
        <w:rPr>
          <w:i/>
          <w:szCs w:val="24"/>
        </w:rPr>
        <w:t>Det reproduktive system og mammae:</w:t>
      </w:r>
    </w:p>
    <w:p w14:paraId="53E7CF66" w14:textId="77777777" w:rsidR="00262BA8" w:rsidRPr="00057786" w:rsidRDefault="00262BA8" w:rsidP="00262BA8">
      <w:pPr>
        <w:pStyle w:val="Sidehoved"/>
        <w:tabs>
          <w:tab w:val="left" w:pos="851"/>
        </w:tabs>
        <w:ind w:left="851"/>
        <w:rPr>
          <w:szCs w:val="24"/>
        </w:rPr>
      </w:pPr>
      <w:r w:rsidRPr="00057786">
        <w:rPr>
          <w:szCs w:val="24"/>
        </w:rPr>
        <w:t xml:space="preserve">Forstyrrelser i kønshormonudskillelsen (som en følge heraf: uregelmæssig menstruation op til </w:t>
      </w:r>
      <w:proofErr w:type="spellStart"/>
      <w:r w:rsidRPr="00057786">
        <w:rPr>
          <w:szCs w:val="24"/>
        </w:rPr>
        <w:t>amenorré</w:t>
      </w:r>
      <w:proofErr w:type="spellEnd"/>
      <w:r w:rsidRPr="00057786">
        <w:rPr>
          <w:szCs w:val="24"/>
        </w:rPr>
        <w:t xml:space="preserve">, </w:t>
      </w:r>
      <w:proofErr w:type="spellStart"/>
      <w:r w:rsidRPr="00057786">
        <w:rPr>
          <w:szCs w:val="24"/>
        </w:rPr>
        <w:t>hirsutisme</w:t>
      </w:r>
      <w:proofErr w:type="spellEnd"/>
      <w:r w:rsidRPr="00057786">
        <w:rPr>
          <w:szCs w:val="24"/>
        </w:rPr>
        <w:t>, impotens).</w:t>
      </w:r>
    </w:p>
    <w:p w14:paraId="7F0C64BA" w14:textId="77777777" w:rsidR="00262BA8" w:rsidRPr="00057786" w:rsidRDefault="00262BA8" w:rsidP="00262BA8">
      <w:pPr>
        <w:pStyle w:val="Sidehoved"/>
        <w:tabs>
          <w:tab w:val="left" w:pos="851"/>
        </w:tabs>
        <w:ind w:left="851"/>
        <w:rPr>
          <w:szCs w:val="24"/>
        </w:rPr>
      </w:pPr>
    </w:p>
    <w:p w14:paraId="19812A42" w14:textId="77777777" w:rsidR="00262BA8" w:rsidRPr="00057786" w:rsidRDefault="00262BA8" w:rsidP="00262BA8">
      <w:pPr>
        <w:pStyle w:val="Sidehoved"/>
        <w:tabs>
          <w:tab w:val="left" w:pos="851"/>
        </w:tabs>
        <w:ind w:left="851"/>
        <w:rPr>
          <w:i/>
          <w:szCs w:val="24"/>
        </w:rPr>
      </w:pPr>
      <w:r w:rsidRPr="00057786">
        <w:rPr>
          <w:i/>
          <w:szCs w:val="24"/>
        </w:rPr>
        <w:t>Almene symptomer og reaktioner på administrationsstedet:</w:t>
      </w:r>
    </w:p>
    <w:p w14:paraId="0B3EF508" w14:textId="77777777" w:rsidR="00262BA8" w:rsidRPr="00057786" w:rsidRDefault="00262BA8" w:rsidP="00262BA8">
      <w:pPr>
        <w:pStyle w:val="Sidehoved"/>
        <w:tabs>
          <w:tab w:val="left" w:pos="851"/>
        </w:tabs>
        <w:ind w:left="851"/>
        <w:rPr>
          <w:szCs w:val="24"/>
        </w:rPr>
      </w:pPr>
      <w:r w:rsidRPr="00057786">
        <w:rPr>
          <w:szCs w:val="24"/>
        </w:rPr>
        <w:t>Forsinket sårheling.</w:t>
      </w:r>
    </w:p>
    <w:p w14:paraId="094AD939" w14:textId="77777777" w:rsidR="00262BA8" w:rsidRPr="00057786" w:rsidRDefault="00262BA8" w:rsidP="00262BA8">
      <w:pPr>
        <w:pStyle w:val="Sidehoved"/>
        <w:tabs>
          <w:tab w:val="left" w:pos="851"/>
        </w:tabs>
        <w:ind w:left="851"/>
        <w:rPr>
          <w:szCs w:val="24"/>
        </w:rPr>
      </w:pPr>
    </w:p>
    <w:p w14:paraId="177C24B8" w14:textId="77777777" w:rsidR="00262BA8" w:rsidRPr="00057786" w:rsidRDefault="00262BA8" w:rsidP="00262BA8">
      <w:pPr>
        <w:pStyle w:val="Sidehoved"/>
        <w:tabs>
          <w:tab w:val="left" w:pos="851"/>
        </w:tabs>
        <w:ind w:left="851"/>
        <w:rPr>
          <w:i/>
          <w:szCs w:val="24"/>
        </w:rPr>
      </w:pPr>
      <w:r w:rsidRPr="00057786">
        <w:rPr>
          <w:i/>
          <w:szCs w:val="24"/>
        </w:rPr>
        <w:t>Lokal administration:</w:t>
      </w:r>
    </w:p>
    <w:p w14:paraId="1099657D" w14:textId="77777777" w:rsidR="00262BA8" w:rsidRPr="00057786" w:rsidRDefault="00262BA8" w:rsidP="00262BA8">
      <w:pPr>
        <w:pStyle w:val="Sidehoved"/>
        <w:tabs>
          <w:tab w:val="left" w:pos="851"/>
        </w:tabs>
        <w:ind w:left="851"/>
        <w:rPr>
          <w:szCs w:val="24"/>
        </w:rPr>
      </w:pPr>
      <w:r w:rsidRPr="00057786">
        <w:rPr>
          <w:szCs w:val="24"/>
        </w:rPr>
        <w:t xml:space="preserve">Lokal irritation og </w:t>
      </w:r>
      <w:proofErr w:type="spellStart"/>
      <w:r w:rsidRPr="00057786">
        <w:rPr>
          <w:szCs w:val="24"/>
        </w:rPr>
        <w:t>intolerabilitetsreaktioner</w:t>
      </w:r>
      <w:proofErr w:type="spellEnd"/>
      <w:r w:rsidRPr="00057786">
        <w:rPr>
          <w:szCs w:val="24"/>
        </w:rPr>
        <w:t xml:space="preserve"> er mulige (varmefølelse, langvarige smerter), især i forbindelse med oftalmologisk anvendelse. Hudatrofi og atrofi af subkutant væv ved injektionsstedet kan ikke udelukkes, hvis </w:t>
      </w:r>
      <w:proofErr w:type="spellStart"/>
      <w:r w:rsidRPr="00057786">
        <w:rPr>
          <w:szCs w:val="24"/>
        </w:rPr>
        <w:t>kortikoider</w:t>
      </w:r>
      <w:proofErr w:type="spellEnd"/>
      <w:r w:rsidRPr="00057786">
        <w:rPr>
          <w:szCs w:val="24"/>
        </w:rPr>
        <w:t xml:space="preserve"> ikke injiceres omhyggeligt i </w:t>
      </w:r>
      <w:proofErr w:type="spellStart"/>
      <w:r w:rsidRPr="00057786">
        <w:rPr>
          <w:szCs w:val="24"/>
        </w:rPr>
        <w:t>ledkaviteten</w:t>
      </w:r>
      <w:proofErr w:type="spellEnd"/>
      <w:r w:rsidRPr="00057786">
        <w:rPr>
          <w:szCs w:val="24"/>
        </w:rPr>
        <w:t>.</w:t>
      </w:r>
    </w:p>
    <w:p w14:paraId="67D71A30" w14:textId="77777777" w:rsidR="00262BA8" w:rsidRPr="00057786" w:rsidRDefault="00262BA8" w:rsidP="00262BA8">
      <w:pPr>
        <w:pStyle w:val="Sidehoved"/>
        <w:tabs>
          <w:tab w:val="left" w:pos="851"/>
        </w:tabs>
        <w:ind w:left="851"/>
        <w:rPr>
          <w:szCs w:val="24"/>
        </w:rPr>
      </w:pPr>
    </w:p>
    <w:p w14:paraId="4214A2F7" w14:textId="77777777" w:rsidR="00262BA8" w:rsidRPr="00057786" w:rsidRDefault="00262BA8" w:rsidP="00262BA8">
      <w:pPr>
        <w:pStyle w:val="Sidehoved"/>
        <w:tabs>
          <w:tab w:val="left" w:pos="851"/>
        </w:tabs>
        <w:ind w:left="851"/>
        <w:rPr>
          <w:szCs w:val="24"/>
          <w:u w:val="single"/>
        </w:rPr>
      </w:pPr>
      <w:r w:rsidRPr="00057786">
        <w:rPr>
          <w:szCs w:val="24"/>
          <w:u w:val="single"/>
        </w:rPr>
        <w:t>Indberetning af formodede bivirkninger</w:t>
      </w:r>
    </w:p>
    <w:p w14:paraId="2CBCBD6A" w14:textId="77777777" w:rsidR="00262BA8" w:rsidRPr="00057786" w:rsidRDefault="00262BA8" w:rsidP="00262BA8">
      <w:pPr>
        <w:pStyle w:val="Sidehoved"/>
        <w:tabs>
          <w:tab w:val="left" w:pos="851"/>
        </w:tabs>
        <w:ind w:left="851"/>
        <w:rPr>
          <w:szCs w:val="24"/>
        </w:rPr>
      </w:pPr>
      <w:r w:rsidRPr="00057786">
        <w:rPr>
          <w:szCs w:val="24"/>
        </w:rPr>
        <w:t>Når lægemidlet er godkendt, er indberetning af formodede bivirkninger vigtig. Det muliggør løbende overvågning af benefit/</w:t>
      </w:r>
      <w:proofErr w:type="spellStart"/>
      <w:r w:rsidRPr="00057786">
        <w:rPr>
          <w:szCs w:val="24"/>
        </w:rPr>
        <w:t>risk</w:t>
      </w:r>
      <w:proofErr w:type="spellEnd"/>
      <w:r w:rsidRPr="00057786">
        <w:rPr>
          <w:szCs w:val="24"/>
        </w:rPr>
        <w:t>-forholdet for lægemidlet. Sundhedspersoner anmodes om at indberette alle formodede bivirkninger via</w:t>
      </w:r>
    </w:p>
    <w:p w14:paraId="5FBB639F" w14:textId="77777777" w:rsidR="00262BA8" w:rsidRPr="00057786" w:rsidRDefault="00262BA8" w:rsidP="00262BA8">
      <w:pPr>
        <w:pStyle w:val="Sidehoved"/>
        <w:tabs>
          <w:tab w:val="left" w:pos="851"/>
        </w:tabs>
        <w:ind w:left="851"/>
        <w:rPr>
          <w:szCs w:val="24"/>
        </w:rPr>
      </w:pPr>
    </w:p>
    <w:p w14:paraId="32E9BBFB" w14:textId="77777777" w:rsidR="00262BA8" w:rsidRPr="00057786" w:rsidRDefault="00262BA8" w:rsidP="00262BA8">
      <w:pPr>
        <w:pStyle w:val="Sidehoved"/>
        <w:tabs>
          <w:tab w:val="left" w:pos="851"/>
        </w:tabs>
        <w:ind w:left="851"/>
        <w:rPr>
          <w:szCs w:val="24"/>
        </w:rPr>
      </w:pPr>
      <w:r w:rsidRPr="00057786">
        <w:rPr>
          <w:szCs w:val="24"/>
        </w:rPr>
        <w:t>Lægemiddelstyrelsen</w:t>
      </w:r>
    </w:p>
    <w:p w14:paraId="4BDD5144" w14:textId="77777777" w:rsidR="00262BA8" w:rsidRPr="00057786" w:rsidRDefault="00262BA8" w:rsidP="00262BA8">
      <w:pPr>
        <w:pStyle w:val="Sidehoved"/>
        <w:tabs>
          <w:tab w:val="left" w:pos="851"/>
        </w:tabs>
        <w:ind w:left="851"/>
        <w:rPr>
          <w:szCs w:val="24"/>
        </w:rPr>
      </w:pPr>
      <w:r w:rsidRPr="00057786">
        <w:rPr>
          <w:szCs w:val="24"/>
        </w:rPr>
        <w:t>Axel Heides Gade 1</w:t>
      </w:r>
    </w:p>
    <w:p w14:paraId="048389AE" w14:textId="77777777" w:rsidR="00262BA8" w:rsidRPr="00057786" w:rsidRDefault="00262BA8" w:rsidP="00262BA8">
      <w:pPr>
        <w:pStyle w:val="Sidehoved"/>
        <w:tabs>
          <w:tab w:val="left" w:pos="851"/>
        </w:tabs>
        <w:ind w:left="851"/>
        <w:rPr>
          <w:szCs w:val="24"/>
        </w:rPr>
      </w:pPr>
      <w:r w:rsidRPr="00057786">
        <w:rPr>
          <w:szCs w:val="24"/>
        </w:rPr>
        <w:t>DK-2300 København S</w:t>
      </w:r>
    </w:p>
    <w:p w14:paraId="454581DF" w14:textId="77777777" w:rsidR="00262BA8" w:rsidRPr="00057786" w:rsidRDefault="00262BA8" w:rsidP="00262BA8">
      <w:pPr>
        <w:pStyle w:val="Sidehoved"/>
        <w:tabs>
          <w:tab w:val="left" w:pos="851"/>
        </w:tabs>
        <w:ind w:left="851"/>
        <w:rPr>
          <w:szCs w:val="24"/>
        </w:rPr>
      </w:pPr>
      <w:r w:rsidRPr="00057786">
        <w:rPr>
          <w:szCs w:val="24"/>
        </w:rPr>
        <w:t xml:space="preserve">Websted: </w:t>
      </w:r>
      <w:hyperlink r:id="rId8" w:history="1">
        <w:r w:rsidRPr="00057786">
          <w:rPr>
            <w:rStyle w:val="Hyperlink"/>
            <w:szCs w:val="24"/>
          </w:rPr>
          <w:t>www.meldenbivirkning.dk</w:t>
        </w:r>
      </w:hyperlink>
    </w:p>
    <w:p w14:paraId="7D6B1FD6" w14:textId="77777777" w:rsidR="009260DE" w:rsidRPr="00057786" w:rsidRDefault="009260DE" w:rsidP="009260DE">
      <w:pPr>
        <w:pStyle w:val="Sidehoved"/>
        <w:tabs>
          <w:tab w:val="left" w:pos="851"/>
        </w:tabs>
        <w:ind w:left="851"/>
        <w:rPr>
          <w:szCs w:val="24"/>
        </w:rPr>
      </w:pPr>
    </w:p>
    <w:p w14:paraId="11B14164" w14:textId="77777777" w:rsidR="009260DE" w:rsidRPr="00057786" w:rsidRDefault="009260DE" w:rsidP="009260DE">
      <w:pPr>
        <w:tabs>
          <w:tab w:val="left" w:pos="851"/>
        </w:tabs>
        <w:ind w:left="851" w:hanging="851"/>
        <w:rPr>
          <w:b/>
          <w:sz w:val="24"/>
          <w:szCs w:val="24"/>
        </w:rPr>
      </w:pPr>
      <w:r w:rsidRPr="00057786">
        <w:rPr>
          <w:b/>
          <w:sz w:val="24"/>
          <w:szCs w:val="24"/>
        </w:rPr>
        <w:t>4.9</w:t>
      </w:r>
      <w:r w:rsidRPr="00057786">
        <w:rPr>
          <w:b/>
          <w:sz w:val="24"/>
          <w:szCs w:val="24"/>
        </w:rPr>
        <w:tab/>
        <w:t>Overdosering</w:t>
      </w:r>
    </w:p>
    <w:p w14:paraId="1F87D853" w14:textId="77777777" w:rsidR="00D6268E" w:rsidRDefault="00D6268E" w:rsidP="00262BA8">
      <w:pPr>
        <w:tabs>
          <w:tab w:val="left" w:pos="851"/>
        </w:tabs>
        <w:ind w:left="851"/>
        <w:rPr>
          <w:sz w:val="24"/>
          <w:szCs w:val="24"/>
          <w:u w:val="single"/>
        </w:rPr>
      </w:pPr>
    </w:p>
    <w:p w14:paraId="671A6755" w14:textId="1A17D660" w:rsidR="00262BA8" w:rsidRPr="00057786" w:rsidRDefault="00262BA8" w:rsidP="00262BA8">
      <w:pPr>
        <w:tabs>
          <w:tab w:val="left" w:pos="851"/>
        </w:tabs>
        <w:ind w:left="851"/>
        <w:rPr>
          <w:sz w:val="24"/>
          <w:szCs w:val="24"/>
          <w:u w:val="single"/>
          <w:lang w:eastAsia="da-DK"/>
        </w:rPr>
      </w:pPr>
      <w:r w:rsidRPr="00057786">
        <w:rPr>
          <w:sz w:val="24"/>
          <w:szCs w:val="24"/>
          <w:u w:val="single"/>
        </w:rPr>
        <w:t>Symptomer</w:t>
      </w:r>
    </w:p>
    <w:p w14:paraId="7AFB1A37" w14:textId="77777777" w:rsidR="00262BA8" w:rsidRPr="00057786" w:rsidRDefault="00262BA8" w:rsidP="00262BA8">
      <w:pPr>
        <w:tabs>
          <w:tab w:val="left" w:pos="851"/>
        </w:tabs>
        <w:ind w:left="851"/>
        <w:rPr>
          <w:sz w:val="24"/>
          <w:szCs w:val="24"/>
        </w:rPr>
      </w:pPr>
      <w:r w:rsidRPr="00057786">
        <w:rPr>
          <w:sz w:val="24"/>
          <w:szCs w:val="24"/>
        </w:rPr>
        <w:t xml:space="preserve">Akutte </w:t>
      </w:r>
      <w:proofErr w:type="spellStart"/>
      <w:r w:rsidRPr="00057786">
        <w:rPr>
          <w:sz w:val="24"/>
          <w:szCs w:val="24"/>
        </w:rPr>
        <w:t>intoksikationer</w:t>
      </w:r>
      <w:proofErr w:type="spellEnd"/>
      <w:r w:rsidRPr="00057786">
        <w:rPr>
          <w:sz w:val="24"/>
          <w:szCs w:val="24"/>
        </w:rPr>
        <w:t xml:space="preserve"> med </w:t>
      </w:r>
      <w:proofErr w:type="spellStart"/>
      <w:r w:rsidRPr="00057786">
        <w:rPr>
          <w:sz w:val="24"/>
          <w:szCs w:val="24"/>
        </w:rPr>
        <w:t>dexamethason</w:t>
      </w:r>
      <w:proofErr w:type="spellEnd"/>
      <w:r w:rsidRPr="00057786">
        <w:rPr>
          <w:sz w:val="24"/>
          <w:szCs w:val="24"/>
        </w:rPr>
        <w:t xml:space="preserve"> kendes ikke. I tilfælde af kronisk overdosering kan en stigning i bivirkninger (se pkt. 4.8), især endokrine, metaboliske og elektrolytrelaterede virkninger, forventes.</w:t>
      </w:r>
    </w:p>
    <w:p w14:paraId="5290B329" w14:textId="77777777" w:rsidR="009260DE" w:rsidRPr="00057786" w:rsidRDefault="009260DE" w:rsidP="009260DE">
      <w:pPr>
        <w:tabs>
          <w:tab w:val="left" w:pos="851"/>
        </w:tabs>
        <w:ind w:left="851"/>
        <w:rPr>
          <w:sz w:val="24"/>
          <w:szCs w:val="24"/>
        </w:rPr>
      </w:pPr>
    </w:p>
    <w:p w14:paraId="14360330" w14:textId="77777777" w:rsidR="009260DE" w:rsidRPr="00057786" w:rsidRDefault="009260DE" w:rsidP="009260DE">
      <w:pPr>
        <w:tabs>
          <w:tab w:val="left" w:pos="851"/>
        </w:tabs>
        <w:ind w:left="851" w:hanging="851"/>
        <w:rPr>
          <w:b/>
          <w:sz w:val="24"/>
          <w:szCs w:val="24"/>
        </w:rPr>
      </w:pPr>
      <w:r w:rsidRPr="00057786">
        <w:rPr>
          <w:b/>
          <w:sz w:val="24"/>
          <w:szCs w:val="24"/>
        </w:rPr>
        <w:t>4.10</w:t>
      </w:r>
      <w:r w:rsidRPr="00057786">
        <w:rPr>
          <w:b/>
          <w:sz w:val="24"/>
          <w:szCs w:val="24"/>
        </w:rPr>
        <w:tab/>
        <w:t>Udlevering</w:t>
      </w:r>
    </w:p>
    <w:p w14:paraId="7725135D" w14:textId="64FAA5BE" w:rsidR="009260DE" w:rsidRPr="00057786" w:rsidRDefault="00D6268E" w:rsidP="009260DE">
      <w:pPr>
        <w:tabs>
          <w:tab w:val="left" w:pos="851"/>
        </w:tabs>
        <w:ind w:left="851"/>
        <w:rPr>
          <w:sz w:val="24"/>
          <w:szCs w:val="24"/>
        </w:rPr>
      </w:pPr>
      <w:r>
        <w:rPr>
          <w:sz w:val="24"/>
          <w:szCs w:val="24"/>
        </w:rPr>
        <w:t>B</w:t>
      </w:r>
    </w:p>
    <w:p w14:paraId="6464C933" w14:textId="77777777" w:rsidR="009260DE" w:rsidRPr="00057786" w:rsidRDefault="009260DE" w:rsidP="009260DE">
      <w:pPr>
        <w:tabs>
          <w:tab w:val="left" w:pos="851"/>
        </w:tabs>
        <w:ind w:left="851"/>
        <w:rPr>
          <w:sz w:val="24"/>
          <w:szCs w:val="24"/>
        </w:rPr>
      </w:pPr>
    </w:p>
    <w:p w14:paraId="09879175" w14:textId="77777777" w:rsidR="009260DE" w:rsidRPr="00057786" w:rsidRDefault="009260DE" w:rsidP="009260DE">
      <w:pPr>
        <w:tabs>
          <w:tab w:val="left" w:pos="851"/>
        </w:tabs>
        <w:ind w:left="851"/>
        <w:rPr>
          <w:sz w:val="24"/>
          <w:szCs w:val="24"/>
        </w:rPr>
      </w:pPr>
    </w:p>
    <w:p w14:paraId="30E3E682" w14:textId="77777777" w:rsidR="009260DE" w:rsidRPr="00057786" w:rsidRDefault="009260DE" w:rsidP="009260DE">
      <w:pPr>
        <w:tabs>
          <w:tab w:val="left" w:pos="851"/>
        </w:tabs>
        <w:ind w:left="851" w:hanging="851"/>
        <w:rPr>
          <w:b/>
          <w:sz w:val="24"/>
          <w:szCs w:val="24"/>
        </w:rPr>
      </w:pPr>
      <w:r w:rsidRPr="00057786">
        <w:rPr>
          <w:b/>
          <w:sz w:val="24"/>
          <w:szCs w:val="24"/>
        </w:rPr>
        <w:t>5.</w:t>
      </w:r>
      <w:r w:rsidRPr="00057786">
        <w:rPr>
          <w:b/>
          <w:sz w:val="24"/>
          <w:szCs w:val="24"/>
        </w:rPr>
        <w:tab/>
        <w:t>FARMAKOLOGISKE EGENSKABER</w:t>
      </w:r>
    </w:p>
    <w:p w14:paraId="0746BD85" w14:textId="77777777" w:rsidR="009260DE" w:rsidRPr="00057786" w:rsidRDefault="009260DE" w:rsidP="009260DE">
      <w:pPr>
        <w:tabs>
          <w:tab w:val="left" w:pos="851"/>
        </w:tabs>
        <w:ind w:left="851"/>
        <w:rPr>
          <w:sz w:val="24"/>
          <w:szCs w:val="24"/>
        </w:rPr>
      </w:pPr>
    </w:p>
    <w:p w14:paraId="3FE13956" w14:textId="77777777" w:rsidR="009260DE" w:rsidRPr="00057786" w:rsidRDefault="009260DE" w:rsidP="009260DE">
      <w:pPr>
        <w:tabs>
          <w:tab w:val="num" w:pos="851"/>
        </w:tabs>
        <w:ind w:left="851" w:hanging="851"/>
        <w:rPr>
          <w:b/>
          <w:sz w:val="24"/>
          <w:szCs w:val="24"/>
        </w:rPr>
      </w:pPr>
      <w:r w:rsidRPr="00057786">
        <w:rPr>
          <w:b/>
          <w:sz w:val="24"/>
          <w:szCs w:val="24"/>
        </w:rPr>
        <w:t>5.1</w:t>
      </w:r>
      <w:r w:rsidRPr="00057786">
        <w:rPr>
          <w:b/>
          <w:sz w:val="24"/>
          <w:szCs w:val="24"/>
        </w:rPr>
        <w:tab/>
      </w:r>
      <w:proofErr w:type="spellStart"/>
      <w:r w:rsidRPr="00057786">
        <w:rPr>
          <w:b/>
          <w:sz w:val="24"/>
          <w:szCs w:val="24"/>
        </w:rPr>
        <w:t>Farmakodynamiske</w:t>
      </w:r>
      <w:proofErr w:type="spellEnd"/>
      <w:r w:rsidRPr="00057786">
        <w:rPr>
          <w:b/>
          <w:sz w:val="24"/>
          <w:szCs w:val="24"/>
        </w:rPr>
        <w:t xml:space="preserve"> egenskaber</w:t>
      </w:r>
    </w:p>
    <w:p w14:paraId="19E00274" w14:textId="77777777" w:rsidR="001741A9" w:rsidRPr="00057786" w:rsidRDefault="001741A9" w:rsidP="001741A9">
      <w:pPr>
        <w:tabs>
          <w:tab w:val="left" w:pos="851"/>
        </w:tabs>
        <w:ind w:left="851"/>
        <w:rPr>
          <w:sz w:val="24"/>
          <w:szCs w:val="24"/>
          <w:lang w:eastAsia="da-DK"/>
        </w:rPr>
      </w:pPr>
      <w:proofErr w:type="spellStart"/>
      <w:r>
        <w:rPr>
          <w:sz w:val="24"/>
          <w:szCs w:val="24"/>
        </w:rPr>
        <w:t>Farmakoterapeutisk</w:t>
      </w:r>
      <w:proofErr w:type="spellEnd"/>
      <w:r>
        <w:rPr>
          <w:sz w:val="24"/>
          <w:szCs w:val="24"/>
        </w:rPr>
        <w:t xml:space="preserve"> klassifikation: </w:t>
      </w:r>
      <w:proofErr w:type="spellStart"/>
      <w:r w:rsidRPr="00057786">
        <w:rPr>
          <w:sz w:val="24"/>
          <w:szCs w:val="24"/>
        </w:rPr>
        <w:t>Corticosteroider</w:t>
      </w:r>
      <w:proofErr w:type="spellEnd"/>
      <w:r w:rsidRPr="00057786">
        <w:rPr>
          <w:sz w:val="24"/>
          <w:szCs w:val="24"/>
        </w:rPr>
        <w:t xml:space="preserve"> til systemisk brug, </w:t>
      </w:r>
      <w:proofErr w:type="spellStart"/>
      <w:r w:rsidRPr="00057786">
        <w:rPr>
          <w:sz w:val="24"/>
          <w:szCs w:val="24"/>
        </w:rPr>
        <w:t>glucocorticoider</w:t>
      </w:r>
      <w:proofErr w:type="spellEnd"/>
      <w:r w:rsidRPr="00057786">
        <w:rPr>
          <w:sz w:val="24"/>
          <w:szCs w:val="24"/>
        </w:rPr>
        <w:t>.</w:t>
      </w:r>
    </w:p>
    <w:p w14:paraId="2198F555" w14:textId="1FB64D9A" w:rsidR="001741A9" w:rsidRDefault="001741A9" w:rsidP="00016F69">
      <w:pPr>
        <w:tabs>
          <w:tab w:val="left" w:pos="851"/>
        </w:tabs>
        <w:ind w:left="851"/>
        <w:rPr>
          <w:sz w:val="24"/>
          <w:szCs w:val="24"/>
        </w:rPr>
      </w:pPr>
      <w:r w:rsidRPr="00057786">
        <w:rPr>
          <w:sz w:val="24"/>
          <w:szCs w:val="24"/>
        </w:rPr>
        <w:t>ATC-kode: H</w:t>
      </w:r>
      <w:r>
        <w:rPr>
          <w:sz w:val="24"/>
          <w:szCs w:val="24"/>
        </w:rPr>
        <w:t xml:space="preserve"> </w:t>
      </w:r>
      <w:r w:rsidRPr="00057786">
        <w:rPr>
          <w:sz w:val="24"/>
          <w:szCs w:val="24"/>
        </w:rPr>
        <w:t>02</w:t>
      </w:r>
      <w:r>
        <w:rPr>
          <w:sz w:val="24"/>
          <w:szCs w:val="24"/>
        </w:rPr>
        <w:t xml:space="preserve"> </w:t>
      </w:r>
      <w:r w:rsidRPr="00057786">
        <w:rPr>
          <w:sz w:val="24"/>
          <w:szCs w:val="24"/>
        </w:rPr>
        <w:t>AB</w:t>
      </w:r>
      <w:r>
        <w:rPr>
          <w:sz w:val="24"/>
          <w:szCs w:val="24"/>
        </w:rPr>
        <w:t xml:space="preserve"> </w:t>
      </w:r>
      <w:r w:rsidRPr="00057786">
        <w:rPr>
          <w:sz w:val="24"/>
          <w:szCs w:val="24"/>
        </w:rPr>
        <w:t>02.</w:t>
      </w:r>
    </w:p>
    <w:p w14:paraId="56753940" w14:textId="77777777" w:rsidR="001741A9" w:rsidRDefault="001741A9" w:rsidP="00016F69">
      <w:pPr>
        <w:tabs>
          <w:tab w:val="left" w:pos="851"/>
        </w:tabs>
        <w:ind w:left="851"/>
        <w:rPr>
          <w:sz w:val="24"/>
          <w:szCs w:val="24"/>
        </w:rPr>
      </w:pPr>
    </w:p>
    <w:p w14:paraId="1701A2B3" w14:textId="040888D0" w:rsidR="00016F69" w:rsidRDefault="00016F69" w:rsidP="00016F69">
      <w:pPr>
        <w:tabs>
          <w:tab w:val="left" w:pos="851"/>
        </w:tabs>
        <w:ind w:left="851"/>
        <w:rPr>
          <w:sz w:val="24"/>
          <w:szCs w:val="24"/>
          <w:lang w:eastAsia="da-DK"/>
        </w:rPr>
      </w:pPr>
      <w:proofErr w:type="spellStart"/>
      <w:r>
        <w:rPr>
          <w:sz w:val="24"/>
          <w:szCs w:val="24"/>
        </w:rPr>
        <w:t>Dexamethason</w:t>
      </w:r>
      <w:proofErr w:type="spellEnd"/>
      <w:r>
        <w:rPr>
          <w:sz w:val="24"/>
          <w:szCs w:val="24"/>
        </w:rPr>
        <w:t xml:space="preserve"> er et </w:t>
      </w:r>
      <w:proofErr w:type="spellStart"/>
      <w:r>
        <w:rPr>
          <w:sz w:val="24"/>
          <w:szCs w:val="24"/>
        </w:rPr>
        <w:t>monofluorineret</w:t>
      </w:r>
      <w:proofErr w:type="spellEnd"/>
      <w:r>
        <w:rPr>
          <w:sz w:val="24"/>
          <w:szCs w:val="24"/>
        </w:rPr>
        <w:t xml:space="preserve"> </w:t>
      </w:r>
      <w:proofErr w:type="spellStart"/>
      <w:r>
        <w:rPr>
          <w:sz w:val="24"/>
          <w:szCs w:val="24"/>
        </w:rPr>
        <w:t>glukokortikoid</w:t>
      </w:r>
      <w:proofErr w:type="spellEnd"/>
      <w:r>
        <w:rPr>
          <w:sz w:val="24"/>
          <w:szCs w:val="24"/>
        </w:rPr>
        <w:t xml:space="preserve"> med udtalte antiallergiske, antiinflammatoriske og membranstabiliserende egenskaber og virkninger på kulhydrat-, protein- og fedtmetabolisme. </w:t>
      </w:r>
      <w:proofErr w:type="spellStart"/>
      <w:r>
        <w:rPr>
          <w:sz w:val="24"/>
          <w:szCs w:val="24"/>
        </w:rPr>
        <w:t>Dexamethason</w:t>
      </w:r>
      <w:proofErr w:type="spellEnd"/>
      <w:r>
        <w:rPr>
          <w:sz w:val="24"/>
          <w:szCs w:val="24"/>
        </w:rPr>
        <w:t xml:space="preserve"> har cirka 7,5 gange større </w:t>
      </w:r>
      <w:proofErr w:type="spellStart"/>
      <w:r>
        <w:rPr>
          <w:sz w:val="24"/>
          <w:szCs w:val="24"/>
        </w:rPr>
        <w:t>glukokortikoid</w:t>
      </w:r>
      <w:r>
        <w:rPr>
          <w:sz w:val="24"/>
          <w:szCs w:val="24"/>
        </w:rPr>
        <w:softHyphen/>
        <w:t>virkning</w:t>
      </w:r>
      <w:proofErr w:type="spellEnd"/>
      <w:r>
        <w:rPr>
          <w:sz w:val="24"/>
          <w:szCs w:val="24"/>
        </w:rPr>
        <w:t xml:space="preserve"> end </w:t>
      </w:r>
      <w:proofErr w:type="spellStart"/>
      <w:r>
        <w:rPr>
          <w:sz w:val="24"/>
          <w:szCs w:val="24"/>
        </w:rPr>
        <w:t>prednisolon</w:t>
      </w:r>
      <w:proofErr w:type="spellEnd"/>
      <w:r>
        <w:rPr>
          <w:sz w:val="24"/>
          <w:szCs w:val="24"/>
        </w:rPr>
        <w:t xml:space="preserve"> og </w:t>
      </w:r>
      <w:proofErr w:type="spellStart"/>
      <w:r>
        <w:rPr>
          <w:sz w:val="24"/>
          <w:szCs w:val="24"/>
        </w:rPr>
        <w:t>prednison</w:t>
      </w:r>
      <w:proofErr w:type="spellEnd"/>
      <w:r>
        <w:rPr>
          <w:sz w:val="24"/>
          <w:szCs w:val="24"/>
        </w:rPr>
        <w:t xml:space="preserve">, og sammenlignet med </w:t>
      </w:r>
      <w:proofErr w:type="spellStart"/>
      <w:r>
        <w:rPr>
          <w:sz w:val="24"/>
          <w:szCs w:val="24"/>
        </w:rPr>
        <w:t>hydrokortison</w:t>
      </w:r>
      <w:proofErr w:type="spellEnd"/>
      <w:r>
        <w:rPr>
          <w:sz w:val="24"/>
          <w:szCs w:val="24"/>
        </w:rPr>
        <w:t xml:space="preserve"> har det en 30 gange større virkning, og mangler </w:t>
      </w:r>
      <w:proofErr w:type="spellStart"/>
      <w:r>
        <w:rPr>
          <w:sz w:val="24"/>
          <w:szCs w:val="24"/>
        </w:rPr>
        <w:t>mineralokortikoide</w:t>
      </w:r>
      <w:proofErr w:type="spellEnd"/>
      <w:r>
        <w:rPr>
          <w:sz w:val="24"/>
          <w:szCs w:val="24"/>
        </w:rPr>
        <w:t xml:space="preserve"> virkninger.</w:t>
      </w:r>
    </w:p>
    <w:p w14:paraId="34CB73D6" w14:textId="77777777" w:rsidR="00016F69" w:rsidRDefault="00016F69" w:rsidP="00016F69">
      <w:pPr>
        <w:tabs>
          <w:tab w:val="left" w:pos="851"/>
        </w:tabs>
        <w:ind w:left="851"/>
        <w:rPr>
          <w:sz w:val="24"/>
          <w:szCs w:val="24"/>
        </w:rPr>
      </w:pPr>
      <w:proofErr w:type="spellStart"/>
      <w:r>
        <w:rPr>
          <w:sz w:val="24"/>
          <w:szCs w:val="24"/>
        </w:rPr>
        <w:t>Glukokortikoider</w:t>
      </w:r>
      <w:proofErr w:type="spellEnd"/>
      <w:r>
        <w:rPr>
          <w:sz w:val="24"/>
          <w:szCs w:val="24"/>
        </w:rPr>
        <w:t xml:space="preserve">, f.eks. </w:t>
      </w:r>
      <w:proofErr w:type="spellStart"/>
      <w:r>
        <w:rPr>
          <w:sz w:val="24"/>
          <w:szCs w:val="24"/>
        </w:rPr>
        <w:t>dexamethason</w:t>
      </w:r>
      <w:proofErr w:type="spellEnd"/>
      <w:r>
        <w:rPr>
          <w:sz w:val="24"/>
          <w:szCs w:val="24"/>
        </w:rPr>
        <w:t xml:space="preserve">, udøver deres biologiske virkninger ved at aktivere transskriptionen af </w:t>
      </w:r>
      <w:proofErr w:type="spellStart"/>
      <w:r>
        <w:rPr>
          <w:sz w:val="24"/>
          <w:szCs w:val="24"/>
        </w:rPr>
        <w:t>kortikosteroidfølsomme</w:t>
      </w:r>
      <w:proofErr w:type="spellEnd"/>
      <w:r>
        <w:rPr>
          <w:sz w:val="24"/>
          <w:szCs w:val="24"/>
        </w:rPr>
        <w:t xml:space="preserve"> gener. De antiinflammatoriske, immunsuppressive og </w:t>
      </w:r>
      <w:proofErr w:type="spellStart"/>
      <w:r>
        <w:rPr>
          <w:sz w:val="24"/>
          <w:szCs w:val="24"/>
        </w:rPr>
        <w:t>antiproliferative</w:t>
      </w:r>
      <w:proofErr w:type="spellEnd"/>
      <w:r>
        <w:rPr>
          <w:sz w:val="24"/>
          <w:szCs w:val="24"/>
        </w:rPr>
        <w:t xml:space="preserve"> virkninger er forårsaget af reduceret dannelse, frigørelse og aktivitet af inflammatoriske </w:t>
      </w:r>
      <w:proofErr w:type="spellStart"/>
      <w:r>
        <w:rPr>
          <w:sz w:val="24"/>
          <w:szCs w:val="24"/>
        </w:rPr>
        <w:t>mediatorer</w:t>
      </w:r>
      <w:proofErr w:type="spellEnd"/>
      <w:r>
        <w:rPr>
          <w:sz w:val="24"/>
          <w:szCs w:val="24"/>
        </w:rPr>
        <w:t xml:space="preserve">, ved hæmningen af specifikke funktioner og migrationen af inflammatoriske celler. Desuden kan virkningen af sensibiliserede T-lymfocytter og makrofager på målceller blive forhindret af </w:t>
      </w:r>
      <w:proofErr w:type="spellStart"/>
      <w:r>
        <w:rPr>
          <w:sz w:val="24"/>
          <w:szCs w:val="24"/>
        </w:rPr>
        <w:t>kortikosteroider</w:t>
      </w:r>
      <w:proofErr w:type="spellEnd"/>
      <w:r>
        <w:rPr>
          <w:sz w:val="24"/>
          <w:szCs w:val="24"/>
        </w:rPr>
        <w:t>.</w:t>
      </w:r>
    </w:p>
    <w:p w14:paraId="7C27A52A" w14:textId="77777777" w:rsidR="00016F69" w:rsidRDefault="00016F69" w:rsidP="00016F69">
      <w:pPr>
        <w:tabs>
          <w:tab w:val="left" w:pos="851"/>
        </w:tabs>
        <w:ind w:left="851"/>
        <w:rPr>
          <w:sz w:val="24"/>
          <w:szCs w:val="24"/>
        </w:rPr>
      </w:pPr>
    </w:p>
    <w:p w14:paraId="17F846F4" w14:textId="77777777" w:rsidR="00016F69" w:rsidRDefault="00016F69" w:rsidP="00016F69">
      <w:pPr>
        <w:tabs>
          <w:tab w:val="left" w:pos="851"/>
        </w:tabs>
        <w:ind w:left="851"/>
        <w:rPr>
          <w:sz w:val="24"/>
          <w:szCs w:val="24"/>
        </w:rPr>
      </w:pPr>
      <w:r>
        <w:rPr>
          <w:sz w:val="24"/>
          <w:szCs w:val="24"/>
        </w:rPr>
        <w:t xml:space="preserve">Når det er nødvendigt med langvarig </w:t>
      </w:r>
      <w:proofErr w:type="spellStart"/>
      <w:r>
        <w:rPr>
          <w:sz w:val="24"/>
          <w:szCs w:val="24"/>
        </w:rPr>
        <w:t>kortikoidbehandling</w:t>
      </w:r>
      <w:proofErr w:type="spellEnd"/>
      <w:r>
        <w:rPr>
          <w:sz w:val="24"/>
          <w:szCs w:val="24"/>
        </w:rPr>
        <w:t xml:space="preserve">, skal muligheden for induktion af forbigående </w:t>
      </w:r>
      <w:proofErr w:type="spellStart"/>
      <w:r>
        <w:rPr>
          <w:sz w:val="24"/>
          <w:szCs w:val="24"/>
        </w:rPr>
        <w:t>adrenal</w:t>
      </w:r>
      <w:proofErr w:type="spellEnd"/>
      <w:r>
        <w:rPr>
          <w:sz w:val="24"/>
          <w:szCs w:val="24"/>
        </w:rPr>
        <w:t xml:space="preserve"> insufficiens overvejes. Undertrykkelsen af </w:t>
      </w:r>
      <w:proofErr w:type="spellStart"/>
      <w:r>
        <w:rPr>
          <w:sz w:val="24"/>
          <w:szCs w:val="24"/>
        </w:rPr>
        <w:t>hypothalamus</w:t>
      </w:r>
      <w:proofErr w:type="spellEnd"/>
      <w:r>
        <w:rPr>
          <w:sz w:val="24"/>
          <w:szCs w:val="24"/>
        </w:rPr>
        <w:t>-hypofyse-binyrebark-aksen afhænger også af individuelle faktorer.</w:t>
      </w:r>
    </w:p>
    <w:p w14:paraId="2AC6BA83" w14:textId="77777777" w:rsidR="00016F69" w:rsidRDefault="00016F69" w:rsidP="00016F69">
      <w:pPr>
        <w:tabs>
          <w:tab w:val="left" w:pos="851"/>
        </w:tabs>
        <w:ind w:left="851"/>
        <w:rPr>
          <w:sz w:val="24"/>
          <w:szCs w:val="24"/>
        </w:rPr>
      </w:pPr>
    </w:p>
    <w:p w14:paraId="24EDEC16" w14:textId="77777777" w:rsidR="00016F69" w:rsidRDefault="00016F69" w:rsidP="00016F69">
      <w:pPr>
        <w:tabs>
          <w:tab w:val="left" w:pos="851"/>
        </w:tabs>
        <w:ind w:left="851"/>
        <w:rPr>
          <w:sz w:val="24"/>
          <w:szCs w:val="24"/>
        </w:rPr>
      </w:pPr>
      <w:r>
        <w:rPr>
          <w:sz w:val="24"/>
          <w:szCs w:val="24"/>
        </w:rPr>
        <w:t>RECOVERY-studiet (</w:t>
      </w:r>
      <w:proofErr w:type="spellStart"/>
      <w:r>
        <w:rPr>
          <w:sz w:val="24"/>
          <w:szCs w:val="24"/>
        </w:rPr>
        <w:t>Randomized</w:t>
      </w:r>
      <w:proofErr w:type="spellEnd"/>
      <w:r>
        <w:rPr>
          <w:sz w:val="24"/>
          <w:szCs w:val="24"/>
        </w:rPr>
        <w:t xml:space="preserve"> Evaluation of COVid-19 </w:t>
      </w:r>
      <w:proofErr w:type="spellStart"/>
      <w:r>
        <w:rPr>
          <w:sz w:val="24"/>
          <w:szCs w:val="24"/>
        </w:rPr>
        <w:t>thERapY</w:t>
      </w:r>
      <w:proofErr w:type="spellEnd"/>
      <w:r>
        <w:rPr>
          <w:sz w:val="24"/>
          <w:szCs w:val="24"/>
        </w:rPr>
        <w:t>)</w:t>
      </w:r>
      <w:r>
        <w:rPr>
          <w:rStyle w:val="Fodnotehenvisning"/>
          <w:sz w:val="24"/>
          <w:szCs w:val="24"/>
        </w:rPr>
        <w:footnoteReference w:id="1"/>
      </w:r>
      <w:r>
        <w:rPr>
          <w:sz w:val="24"/>
          <w:szCs w:val="24"/>
        </w:rPr>
        <w:t xml:space="preserve"> er et </w:t>
      </w:r>
      <w:proofErr w:type="spellStart"/>
      <w:r>
        <w:rPr>
          <w:sz w:val="24"/>
          <w:szCs w:val="24"/>
        </w:rPr>
        <w:t>investigator</w:t>
      </w:r>
      <w:proofErr w:type="spellEnd"/>
      <w:r>
        <w:rPr>
          <w:sz w:val="24"/>
          <w:szCs w:val="24"/>
        </w:rPr>
        <w:t>-initieret, individuelt randomiseret, kontrolleret, åbent, adaptivt platformstudie til evaluering af effekten af potentielle behandlinger hos patienter, der er indlagt med COVID</w:t>
      </w:r>
      <w:r>
        <w:rPr>
          <w:sz w:val="24"/>
          <w:szCs w:val="24"/>
        </w:rPr>
        <w:noBreakHyphen/>
        <w:t>19.</w:t>
      </w:r>
    </w:p>
    <w:p w14:paraId="5686E02F" w14:textId="77777777" w:rsidR="00016F69" w:rsidRDefault="00016F69" w:rsidP="00016F69">
      <w:pPr>
        <w:tabs>
          <w:tab w:val="left" w:pos="851"/>
        </w:tabs>
        <w:ind w:left="851"/>
        <w:rPr>
          <w:sz w:val="24"/>
          <w:szCs w:val="24"/>
        </w:rPr>
      </w:pPr>
      <w:r>
        <w:rPr>
          <w:sz w:val="24"/>
          <w:szCs w:val="24"/>
        </w:rPr>
        <w:t>Studiet blev udført på 176 hospitalsafdelinger i Storbritannien.</w:t>
      </w:r>
    </w:p>
    <w:p w14:paraId="0F533CE6" w14:textId="77777777" w:rsidR="00016F69" w:rsidRDefault="00016F69" w:rsidP="00016F69">
      <w:pPr>
        <w:tabs>
          <w:tab w:val="left" w:pos="851"/>
        </w:tabs>
        <w:ind w:left="851"/>
        <w:rPr>
          <w:sz w:val="24"/>
          <w:szCs w:val="24"/>
        </w:rPr>
      </w:pPr>
      <w:r>
        <w:rPr>
          <w:sz w:val="24"/>
          <w:szCs w:val="24"/>
        </w:rPr>
        <w:t xml:space="preserve">6.425 patienter blev randomiserede til enten at få </w:t>
      </w:r>
      <w:proofErr w:type="spellStart"/>
      <w:r>
        <w:rPr>
          <w:sz w:val="24"/>
          <w:szCs w:val="24"/>
        </w:rPr>
        <w:t>dexamethason</w:t>
      </w:r>
      <w:proofErr w:type="spellEnd"/>
      <w:r>
        <w:rPr>
          <w:sz w:val="24"/>
          <w:szCs w:val="24"/>
        </w:rPr>
        <w:t xml:space="preserve"> (2.104 patienter) eller almindelig pleje alene (4.321 patienter). 89 % af patienterne havde laboratoriebekræftet SARS</w:t>
      </w:r>
      <w:r>
        <w:rPr>
          <w:sz w:val="24"/>
          <w:szCs w:val="24"/>
        </w:rPr>
        <w:noBreakHyphen/>
        <w:t>CoV</w:t>
      </w:r>
      <w:r>
        <w:rPr>
          <w:sz w:val="24"/>
          <w:szCs w:val="24"/>
        </w:rPr>
        <w:noBreakHyphen/>
        <w:t>2-infektion.</w:t>
      </w:r>
    </w:p>
    <w:p w14:paraId="07540485" w14:textId="77777777" w:rsidR="00016F69" w:rsidRDefault="00016F69" w:rsidP="00016F69">
      <w:pPr>
        <w:tabs>
          <w:tab w:val="left" w:pos="851"/>
        </w:tabs>
        <w:ind w:left="851"/>
        <w:rPr>
          <w:sz w:val="24"/>
          <w:szCs w:val="24"/>
        </w:rPr>
      </w:pPr>
      <w:r>
        <w:rPr>
          <w:sz w:val="24"/>
          <w:szCs w:val="24"/>
        </w:rPr>
        <w:t xml:space="preserve">Ved </w:t>
      </w:r>
      <w:proofErr w:type="spellStart"/>
      <w:r>
        <w:rPr>
          <w:sz w:val="24"/>
          <w:szCs w:val="24"/>
        </w:rPr>
        <w:t>randomisering</w:t>
      </w:r>
      <w:proofErr w:type="spellEnd"/>
      <w:r>
        <w:rPr>
          <w:sz w:val="24"/>
          <w:szCs w:val="24"/>
        </w:rPr>
        <w:t xml:space="preserve"> fik 16 % af patienterne invasiv mekanisk ventilation eller ekstrakorporal </w:t>
      </w:r>
      <w:proofErr w:type="spellStart"/>
      <w:r>
        <w:rPr>
          <w:sz w:val="24"/>
          <w:szCs w:val="24"/>
        </w:rPr>
        <w:t>membranoxygenering</w:t>
      </w:r>
      <w:proofErr w:type="spellEnd"/>
      <w:r>
        <w:rPr>
          <w:sz w:val="24"/>
          <w:szCs w:val="24"/>
        </w:rPr>
        <w:t>, 60 % fik kun ilt (med eller uden non</w:t>
      </w:r>
      <w:r>
        <w:rPr>
          <w:sz w:val="24"/>
          <w:szCs w:val="24"/>
        </w:rPr>
        <w:noBreakHyphen/>
        <w:t>invasiv ventilation) og 24 % fik ingen af delene.</w:t>
      </w:r>
    </w:p>
    <w:p w14:paraId="3D3E284D" w14:textId="77777777" w:rsidR="00016F69" w:rsidRDefault="00016F69" w:rsidP="00016F69">
      <w:pPr>
        <w:tabs>
          <w:tab w:val="left" w:pos="851"/>
        </w:tabs>
        <w:ind w:left="851"/>
        <w:rPr>
          <w:sz w:val="24"/>
          <w:szCs w:val="24"/>
        </w:rPr>
      </w:pPr>
      <w:r>
        <w:rPr>
          <w:sz w:val="24"/>
          <w:szCs w:val="24"/>
        </w:rPr>
        <w:t>Patienternes gennemsnitsalder var 66,1+/-15,7 år. 36 % af patienterne var kvinder. 24 % af patienterne havde diabetes, 27 % havde hjertesygdom og 21 % havde kronisk lungesygdom.</w:t>
      </w:r>
    </w:p>
    <w:p w14:paraId="149CDE7A" w14:textId="77777777" w:rsidR="00016F69" w:rsidRDefault="00016F69" w:rsidP="00016F69">
      <w:pPr>
        <w:tabs>
          <w:tab w:val="left" w:pos="851"/>
        </w:tabs>
        <w:ind w:left="851"/>
        <w:rPr>
          <w:sz w:val="24"/>
          <w:szCs w:val="24"/>
        </w:rPr>
      </w:pPr>
    </w:p>
    <w:p w14:paraId="610FB341" w14:textId="77777777" w:rsidR="00016F69" w:rsidRDefault="00016F69" w:rsidP="00016F69">
      <w:pPr>
        <w:tabs>
          <w:tab w:val="left" w:pos="851"/>
        </w:tabs>
        <w:ind w:left="851"/>
        <w:rPr>
          <w:b/>
          <w:bCs/>
          <w:sz w:val="24"/>
          <w:szCs w:val="24"/>
        </w:rPr>
      </w:pPr>
      <w:r>
        <w:rPr>
          <w:b/>
          <w:bCs/>
          <w:sz w:val="24"/>
          <w:szCs w:val="24"/>
        </w:rPr>
        <w:t>Primært endepunkt</w:t>
      </w:r>
    </w:p>
    <w:p w14:paraId="325CA2A6" w14:textId="77777777" w:rsidR="00016F69" w:rsidRDefault="00016F69" w:rsidP="00016F69">
      <w:pPr>
        <w:tabs>
          <w:tab w:val="left" w:pos="851"/>
        </w:tabs>
        <w:ind w:left="851"/>
        <w:rPr>
          <w:sz w:val="24"/>
          <w:szCs w:val="24"/>
        </w:rPr>
      </w:pPr>
      <w:r>
        <w:rPr>
          <w:sz w:val="24"/>
          <w:szCs w:val="24"/>
        </w:rPr>
        <w:t xml:space="preserve">Dødeligheden efter 28 dage var signifikant lavere i </w:t>
      </w:r>
      <w:proofErr w:type="spellStart"/>
      <w:r>
        <w:rPr>
          <w:sz w:val="24"/>
          <w:szCs w:val="24"/>
        </w:rPr>
        <w:t>dexamethasongruppen</w:t>
      </w:r>
      <w:proofErr w:type="spellEnd"/>
      <w:r>
        <w:rPr>
          <w:sz w:val="24"/>
          <w:szCs w:val="24"/>
        </w:rPr>
        <w:t xml:space="preserve"> end i gruppen, der fik almindelig pleje, med rapporterede dødsfald hos henholdsvis 482 ud af 2.104 patienter (22,9 %) og hos 1.110 ud af 4.321 patienter (25,7 %) (rate ratio, 0,83; 95 % konfidensinterval [CI], 0,75</w:t>
      </w:r>
      <w:r>
        <w:rPr>
          <w:sz w:val="24"/>
          <w:szCs w:val="24"/>
        </w:rPr>
        <w:noBreakHyphen/>
        <w:t>0,93; p &lt;0,001).</w:t>
      </w:r>
    </w:p>
    <w:p w14:paraId="26D89292" w14:textId="77777777" w:rsidR="00016F69" w:rsidRDefault="00016F69" w:rsidP="00016F69">
      <w:pPr>
        <w:tabs>
          <w:tab w:val="left" w:pos="851"/>
        </w:tabs>
        <w:ind w:left="851"/>
        <w:rPr>
          <w:sz w:val="24"/>
          <w:szCs w:val="24"/>
        </w:rPr>
      </w:pPr>
      <w:r>
        <w:rPr>
          <w:sz w:val="24"/>
          <w:szCs w:val="24"/>
        </w:rPr>
        <w:t xml:space="preserve">I </w:t>
      </w:r>
      <w:proofErr w:type="spellStart"/>
      <w:r>
        <w:rPr>
          <w:sz w:val="24"/>
          <w:szCs w:val="24"/>
        </w:rPr>
        <w:t>dexamethasongruppen</w:t>
      </w:r>
      <w:proofErr w:type="spellEnd"/>
      <w:r>
        <w:rPr>
          <w:sz w:val="24"/>
          <w:szCs w:val="24"/>
        </w:rPr>
        <w:t xml:space="preserve"> var </w:t>
      </w:r>
      <w:proofErr w:type="spellStart"/>
      <w:r>
        <w:rPr>
          <w:sz w:val="24"/>
          <w:szCs w:val="24"/>
        </w:rPr>
        <w:t>incidensen</w:t>
      </w:r>
      <w:proofErr w:type="spellEnd"/>
      <w:r>
        <w:rPr>
          <w:sz w:val="24"/>
          <w:szCs w:val="24"/>
        </w:rPr>
        <w:t xml:space="preserve"> af dødsfald lavere end i gruppen, der fik almindelig pleje, blandt patienter, der fik invasiv mekanisk ventilation (29,3 % </w:t>
      </w:r>
      <w:r>
        <w:rPr>
          <w:i/>
          <w:iCs/>
          <w:sz w:val="24"/>
          <w:szCs w:val="24"/>
        </w:rPr>
        <w:t>vs.</w:t>
      </w:r>
      <w:r>
        <w:rPr>
          <w:sz w:val="24"/>
          <w:szCs w:val="24"/>
        </w:rPr>
        <w:t xml:space="preserve"> 41,4 %; rate ratio, 0,64; 95 % CI, 0,51</w:t>
      </w:r>
      <w:r>
        <w:rPr>
          <w:sz w:val="24"/>
          <w:szCs w:val="24"/>
        </w:rPr>
        <w:noBreakHyphen/>
        <w:t xml:space="preserve">0.81), og hos patienter, der fik supplerende iltbehandling uden invasiv mekanisk ventilation (23,3 % </w:t>
      </w:r>
      <w:r>
        <w:rPr>
          <w:i/>
          <w:iCs/>
          <w:sz w:val="24"/>
          <w:szCs w:val="24"/>
        </w:rPr>
        <w:t>vs.</w:t>
      </w:r>
      <w:r>
        <w:rPr>
          <w:sz w:val="24"/>
          <w:szCs w:val="24"/>
        </w:rPr>
        <w:t xml:space="preserve"> 26,2 %; rate ratio, 0,82; 95 % CI, 0,72</w:t>
      </w:r>
      <w:r>
        <w:rPr>
          <w:sz w:val="24"/>
          <w:szCs w:val="24"/>
        </w:rPr>
        <w:noBreakHyphen/>
        <w:t>0,94).</w:t>
      </w:r>
    </w:p>
    <w:p w14:paraId="5D7BC3D4" w14:textId="77777777" w:rsidR="00016F69" w:rsidRDefault="00016F69" w:rsidP="00016F69">
      <w:pPr>
        <w:tabs>
          <w:tab w:val="left" w:pos="851"/>
        </w:tabs>
        <w:ind w:left="851"/>
        <w:rPr>
          <w:sz w:val="24"/>
          <w:szCs w:val="24"/>
        </w:rPr>
      </w:pPr>
      <w:r>
        <w:rPr>
          <w:sz w:val="24"/>
          <w:szCs w:val="24"/>
        </w:rPr>
        <w:t xml:space="preserve">Der var ingen klar effekt af </w:t>
      </w:r>
      <w:proofErr w:type="spellStart"/>
      <w:r>
        <w:rPr>
          <w:sz w:val="24"/>
          <w:szCs w:val="24"/>
        </w:rPr>
        <w:t>dexamethason</w:t>
      </w:r>
      <w:proofErr w:type="spellEnd"/>
      <w:r>
        <w:rPr>
          <w:sz w:val="24"/>
          <w:szCs w:val="24"/>
        </w:rPr>
        <w:t xml:space="preserve"> blandt patienter, der ikke fik respiratorisk støtte ved </w:t>
      </w:r>
      <w:proofErr w:type="spellStart"/>
      <w:r>
        <w:rPr>
          <w:sz w:val="24"/>
          <w:szCs w:val="24"/>
        </w:rPr>
        <w:t>randomisering</w:t>
      </w:r>
      <w:proofErr w:type="spellEnd"/>
      <w:r>
        <w:rPr>
          <w:sz w:val="24"/>
          <w:szCs w:val="24"/>
        </w:rPr>
        <w:t xml:space="preserve"> (17,8 % </w:t>
      </w:r>
      <w:r>
        <w:rPr>
          <w:i/>
          <w:iCs/>
          <w:sz w:val="24"/>
          <w:szCs w:val="24"/>
        </w:rPr>
        <w:t>vs.</w:t>
      </w:r>
      <w:r>
        <w:rPr>
          <w:sz w:val="24"/>
          <w:szCs w:val="24"/>
        </w:rPr>
        <w:t xml:space="preserve"> 14,0 %; rate ratio, 1,19; 95 % CI, 0,91</w:t>
      </w:r>
      <w:r>
        <w:rPr>
          <w:sz w:val="24"/>
          <w:szCs w:val="24"/>
        </w:rPr>
        <w:noBreakHyphen/>
        <w:t>1,55).</w:t>
      </w:r>
    </w:p>
    <w:p w14:paraId="70147F38" w14:textId="77777777" w:rsidR="00016F69" w:rsidRDefault="00016F69" w:rsidP="00016F69">
      <w:pPr>
        <w:tabs>
          <w:tab w:val="left" w:pos="851"/>
        </w:tabs>
        <w:ind w:left="851"/>
        <w:rPr>
          <w:sz w:val="24"/>
          <w:szCs w:val="24"/>
        </w:rPr>
      </w:pPr>
    </w:p>
    <w:p w14:paraId="5D617410" w14:textId="77777777" w:rsidR="00016F69" w:rsidRDefault="00016F69" w:rsidP="00016F69">
      <w:pPr>
        <w:tabs>
          <w:tab w:val="left" w:pos="851"/>
        </w:tabs>
        <w:ind w:left="851"/>
        <w:rPr>
          <w:b/>
          <w:bCs/>
          <w:sz w:val="24"/>
          <w:szCs w:val="24"/>
        </w:rPr>
      </w:pPr>
      <w:r>
        <w:rPr>
          <w:b/>
          <w:bCs/>
          <w:sz w:val="24"/>
          <w:szCs w:val="24"/>
        </w:rPr>
        <w:t>Sekundære endepunkter</w:t>
      </w:r>
    </w:p>
    <w:p w14:paraId="7EAE793A" w14:textId="77777777" w:rsidR="00016F69" w:rsidRDefault="00016F69" w:rsidP="00016F69">
      <w:pPr>
        <w:tabs>
          <w:tab w:val="left" w:pos="851"/>
        </w:tabs>
        <w:ind w:left="851"/>
        <w:rPr>
          <w:sz w:val="24"/>
          <w:szCs w:val="24"/>
        </w:rPr>
      </w:pPr>
      <w:r>
        <w:rPr>
          <w:sz w:val="24"/>
          <w:szCs w:val="24"/>
        </w:rPr>
        <w:t xml:space="preserve">Patienterne i </w:t>
      </w:r>
      <w:proofErr w:type="spellStart"/>
      <w:r>
        <w:rPr>
          <w:sz w:val="24"/>
          <w:szCs w:val="24"/>
        </w:rPr>
        <w:t>dexamethasongruppen</w:t>
      </w:r>
      <w:proofErr w:type="spellEnd"/>
      <w:r>
        <w:rPr>
          <w:sz w:val="24"/>
          <w:szCs w:val="24"/>
        </w:rPr>
        <w:t xml:space="preserve"> havde en kortere indlæggelsestid end patienterne i gruppen, der fik almindelig pleje (gennemsnit, 12 dage </w:t>
      </w:r>
      <w:r>
        <w:rPr>
          <w:i/>
          <w:iCs/>
          <w:sz w:val="24"/>
          <w:szCs w:val="24"/>
        </w:rPr>
        <w:t xml:space="preserve">vs. </w:t>
      </w:r>
      <w:r>
        <w:rPr>
          <w:sz w:val="24"/>
          <w:szCs w:val="24"/>
        </w:rPr>
        <w:t>13 dage), og en større sandsynlighed for at blive udskrevet i live inden for 28 dage (rate ratio, 1,10; 95 % CI, 1,03</w:t>
      </w:r>
      <w:r>
        <w:rPr>
          <w:sz w:val="24"/>
          <w:szCs w:val="24"/>
        </w:rPr>
        <w:noBreakHyphen/>
        <w:t>1,17).</w:t>
      </w:r>
    </w:p>
    <w:p w14:paraId="066DAA19" w14:textId="77777777" w:rsidR="00016F69" w:rsidRDefault="00016F69" w:rsidP="00016F69">
      <w:pPr>
        <w:tabs>
          <w:tab w:val="left" w:pos="851"/>
        </w:tabs>
        <w:ind w:left="851"/>
        <w:rPr>
          <w:sz w:val="24"/>
          <w:szCs w:val="24"/>
        </w:rPr>
      </w:pPr>
      <w:r>
        <w:rPr>
          <w:sz w:val="24"/>
          <w:szCs w:val="24"/>
        </w:rPr>
        <w:t xml:space="preserve">I overensstemmelse med det primære endepunkt sås den største effekt med hensyn til udskrivelse inden for 28 dage blandt patienter, der fik invasiv mekanisk ventilation ved </w:t>
      </w:r>
      <w:proofErr w:type="spellStart"/>
      <w:r>
        <w:rPr>
          <w:sz w:val="24"/>
          <w:szCs w:val="24"/>
        </w:rPr>
        <w:t>randomisering</w:t>
      </w:r>
      <w:proofErr w:type="spellEnd"/>
      <w:r>
        <w:rPr>
          <w:sz w:val="24"/>
          <w:szCs w:val="24"/>
        </w:rPr>
        <w:t xml:space="preserve"> (rate ratio 1,48; 95 % CI 1,16</w:t>
      </w:r>
      <w:r>
        <w:rPr>
          <w:sz w:val="24"/>
          <w:szCs w:val="24"/>
        </w:rPr>
        <w:noBreakHyphen/>
        <w:t>1,90), efterfulgt af ilt alene (rate ratio, 1,15; 95 % CI, 1,06</w:t>
      </w:r>
      <w:r>
        <w:rPr>
          <w:sz w:val="24"/>
          <w:szCs w:val="24"/>
        </w:rPr>
        <w:noBreakHyphen/>
        <w:t>1,24) og ingen gavnlig effekt hos patienter, der ikke fik ilt (rate ratio, 0,96; 95 % CI, 0,85</w:t>
      </w:r>
      <w:r>
        <w:rPr>
          <w:sz w:val="24"/>
          <w:szCs w:val="24"/>
        </w:rPr>
        <w:noBreakHyphen/>
        <w:t>1,08).</w:t>
      </w:r>
    </w:p>
    <w:p w14:paraId="382336A8" w14:textId="77777777" w:rsidR="00016F69" w:rsidRDefault="00016F69" w:rsidP="00016F69">
      <w:pPr>
        <w:tabs>
          <w:tab w:val="left" w:pos="851"/>
        </w:tabs>
        <w:rPr>
          <w:sz w:val="24"/>
          <w:szCs w:val="24"/>
        </w:rPr>
      </w:pPr>
    </w:p>
    <w:tbl>
      <w:tblPr>
        <w:tblStyle w:val="Tabel-Gitter"/>
        <w:tblW w:w="0" w:type="auto"/>
        <w:tblInd w:w="421" w:type="dxa"/>
        <w:tblBorders>
          <w:insideH w:val="none" w:sz="0" w:space="0" w:color="auto"/>
          <w:insideV w:val="none" w:sz="0" w:space="0" w:color="auto"/>
        </w:tblBorders>
        <w:tblLook w:val="04A0" w:firstRow="1" w:lastRow="0" w:firstColumn="1" w:lastColumn="0" w:noHBand="0" w:noVBand="1"/>
      </w:tblPr>
      <w:tblGrid>
        <w:gridCol w:w="3685"/>
        <w:gridCol w:w="2126"/>
        <w:gridCol w:w="1843"/>
        <w:gridCol w:w="1553"/>
      </w:tblGrid>
      <w:tr w:rsidR="00016F69" w:rsidRPr="008D3060" w14:paraId="057D52AA" w14:textId="77777777" w:rsidTr="00016F69">
        <w:tc>
          <w:tcPr>
            <w:tcW w:w="3685" w:type="dxa"/>
            <w:tcBorders>
              <w:top w:val="single" w:sz="4" w:space="0" w:color="auto"/>
              <w:left w:val="single" w:sz="4" w:space="0" w:color="auto"/>
              <w:bottom w:val="nil"/>
              <w:right w:val="nil"/>
            </w:tcBorders>
          </w:tcPr>
          <w:p w14:paraId="39F4A000" w14:textId="77777777" w:rsidR="00016F69" w:rsidRDefault="00016F69">
            <w:pPr>
              <w:pStyle w:val="Ingenafstand"/>
              <w:rPr>
                <w:b/>
                <w:sz w:val="20"/>
                <w:szCs w:val="20"/>
              </w:rPr>
            </w:pPr>
          </w:p>
          <w:p w14:paraId="78AAF916" w14:textId="77777777" w:rsidR="00016F69" w:rsidRDefault="00016F69">
            <w:pPr>
              <w:pStyle w:val="Ingenafstand"/>
              <w:rPr>
                <w:rFonts w:ascii="Times New Roman" w:hAnsi="Times New Roman" w:cs="Times New Roman"/>
                <w:b/>
                <w:sz w:val="20"/>
                <w:szCs w:val="20"/>
              </w:rPr>
            </w:pPr>
            <w:r>
              <w:rPr>
                <w:rFonts w:ascii="Times New Roman" w:hAnsi="Times New Roman" w:cs="Times New Roman"/>
                <w:b/>
                <w:sz w:val="20"/>
                <w:szCs w:val="20"/>
              </w:rPr>
              <w:t>Resultat</w:t>
            </w:r>
          </w:p>
        </w:tc>
        <w:tc>
          <w:tcPr>
            <w:tcW w:w="2126" w:type="dxa"/>
            <w:tcBorders>
              <w:top w:val="single" w:sz="4" w:space="0" w:color="auto"/>
              <w:left w:val="nil"/>
              <w:bottom w:val="nil"/>
              <w:right w:val="nil"/>
            </w:tcBorders>
            <w:hideMark/>
          </w:tcPr>
          <w:p w14:paraId="5222C012" w14:textId="77777777" w:rsidR="00016F69" w:rsidRDefault="00016F69">
            <w:pPr>
              <w:pStyle w:val="Ingenafstand"/>
              <w:jc w:val="center"/>
              <w:rPr>
                <w:rFonts w:ascii="Times New Roman" w:hAnsi="Times New Roman" w:cs="Times New Roman"/>
                <w:b/>
                <w:sz w:val="20"/>
                <w:szCs w:val="20"/>
              </w:rPr>
            </w:pPr>
            <w:r>
              <w:rPr>
                <w:rFonts w:ascii="Times New Roman" w:hAnsi="Times New Roman" w:cs="Times New Roman"/>
                <w:b/>
                <w:sz w:val="20"/>
                <w:szCs w:val="20"/>
              </w:rPr>
              <w:t>Dexamethason</w:t>
            </w:r>
          </w:p>
          <w:p w14:paraId="1A2F4EC7" w14:textId="77777777" w:rsidR="00016F69" w:rsidRDefault="00016F69">
            <w:pPr>
              <w:pStyle w:val="Ingenafstand"/>
              <w:jc w:val="center"/>
              <w:rPr>
                <w:rFonts w:ascii="Times New Roman" w:hAnsi="Times New Roman" w:cs="Times New Roman"/>
                <w:b/>
                <w:sz w:val="20"/>
                <w:szCs w:val="20"/>
              </w:rPr>
            </w:pPr>
            <w:r>
              <w:rPr>
                <w:rFonts w:ascii="Times New Roman" w:hAnsi="Times New Roman" w:cs="Times New Roman"/>
                <w:b/>
                <w:sz w:val="20"/>
                <w:szCs w:val="20"/>
              </w:rPr>
              <w:t>(N = 2104)</w:t>
            </w:r>
          </w:p>
        </w:tc>
        <w:tc>
          <w:tcPr>
            <w:tcW w:w="1843" w:type="dxa"/>
            <w:tcBorders>
              <w:top w:val="single" w:sz="4" w:space="0" w:color="auto"/>
              <w:left w:val="nil"/>
              <w:bottom w:val="nil"/>
              <w:right w:val="nil"/>
            </w:tcBorders>
          </w:tcPr>
          <w:p w14:paraId="23EDF2C6" w14:textId="77777777" w:rsidR="00016F69" w:rsidRDefault="00016F69">
            <w:pPr>
              <w:pStyle w:val="Ingenafstand"/>
              <w:jc w:val="center"/>
              <w:rPr>
                <w:rFonts w:ascii="Times New Roman" w:hAnsi="Times New Roman" w:cs="Times New Roman"/>
                <w:b/>
                <w:sz w:val="20"/>
                <w:szCs w:val="20"/>
              </w:rPr>
            </w:pPr>
            <w:r>
              <w:rPr>
                <w:rFonts w:ascii="Times New Roman" w:hAnsi="Times New Roman" w:cs="Times New Roman"/>
                <w:b/>
                <w:sz w:val="20"/>
                <w:szCs w:val="20"/>
              </w:rPr>
              <w:t>Almindelig pleje</w:t>
            </w:r>
          </w:p>
          <w:p w14:paraId="7A875E88" w14:textId="77777777" w:rsidR="00016F69" w:rsidRDefault="00016F69">
            <w:pPr>
              <w:pStyle w:val="Ingenafstand"/>
              <w:jc w:val="center"/>
              <w:rPr>
                <w:rFonts w:ascii="Times New Roman" w:hAnsi="Times New Roman" w:cs="Times New Roman"/>
                <w:b/>
                <w:sz w:val="20"/>
                <w:szCs w:val="20"/>
              </w:rPr>
            </w:pPr>
            <w:r>
              <w:rPr>
                <w:rFonts w:ascii="Times New Roman" w:hAnsi="Times New Roman" w:cs="Times New Roman"/>
                <w:b/>
                <w:sz w:val="20"/>
                <w:szCs w:val="20"/>
              </w:rPr>
              <w:t>(N = 4321)</w:t>
            </w:r>
          </w:p>
          <w:p w14:paraId="364287FC" w14:textId="77777777" w:rsidR="00016F69" w:rsidRDefault="00016F69">
            <w:pPr>
              <w:pStyle w:val="Ingenafstand"/>
              <w:jc w:val="center"/>
              <w:rPr>
                <w:rFonts w:ascii="Times New Roman" w:hAnsi="Times New Roman" w:cs="Times New Roman"/>
                <w:b/>
                <w:sz w:val="20"/>
                <w:szCs w:val="20"/>
              </w:rPr>
            </w:pPr>
          </w:p>
        </w:tc>
        <w:tc>
          <w:tcPr>
            <w:tcW w:w="1553" w:type="dxa"/>
            <w:tcBorders>
              <w:top w:val="single" w:sz="4" w:space="0" w:color="auto"/>
              <w:left w:val="nil"/>
              <w:bottom w:val="nil"/>
              <w:right w:val="single" w:sz="4" w:space="0" w:color="auto"/>
            </w:tcBorders>
            <w:hideMark/>
          </w:tcPr>
          <w:p w14:paraId="31679CB3" w14:textId="77777777" w:rsidR="00016F69" w:rsidRDefault="00016F69">
            <w:pPr>
              <w:pStyle w:val="Ingenafstand"/>
              <w:jc w:val="center"/>
              <w:rPr>
                <w:rFonts w:ascii="Times New Roman" w:hAnsi="Times New Roman" w:cs="Times New Roman"/>
                <w:b/>
                <w:sz w:val="20"/>
                <w:szCs w:val="20"/>
              </w:rPr>
            </w:pPr>
            <w:r>
              <w:rPr>
                <w:rFonts w:ascii="Times New Roman" w:hAnsi="Times New Roman" w:cs="Times New Roman"/>
                <w:b/>
                <w:sz w:val="20"/>
                <w:szCs w:val="20"/>
              </w:rPr>
              <w:t>Rate eller risk ratio</w:t>
            </w:r>
          </w:p>
          <w:p w14:paraId="6EF343CF" w14:textId="77777777" w:rsidR="00016F69" w:rsidRDefault="00016F69">
            <w:pPr>
              <w:pStyle w:val="Ingenafstand"/>
              <w:jc w:val="center"/>
              <w:rPr>
                <w:rFonts w:ascii="Times New Roman" w:hAnsi="Times New Roman" w:cs="Times New Roman"/>
                <w:b/>
                <w:sz w:val="20"/>
                <w:szCs w:val="20"/>
              </w:rPr>
            </w:pPr>
            <w:r>
              <w:rPr>
                <w:rFonts w:ascii="Times New Roman" w:hAnsi="Times New Roman" w:cs="Times New Roman"/>
                <w:b/>
                <w:sz w:val="20"/>
                <w:szCs w:val="20"/>
              </w:rPr>
              <w:t>(95% CI)</w:t>
            </w:r>
            <w:r>
              <w:rPr>
                <w:sz w:val="20"/>
                <w:szCs w:val="20"/>
              </w:rPr>
              <w:t xml:space="preserve"> </w:t>
            </w:r>
            <w:r>
              <w:rPr>
                <w:rFonts w:ascii="Times New Roman" w:hAnsi="Times New Roman" w:cs="Times New Roman"/>
                <w:b/>
                <w:sz w:val="20"/>
                <w:szCs w:val="20"/>
              </w:rPr>
              <w:t>*</w:t>
            </w:r>
          </w:p>
        </w:tc>
      </w:tr>
      <w:tr w:rsidR="00016F69" w14:paraId="19D92206" w14:textId="77777777" w:rsidTr="00016F69">
        <w:tc>
          <w:tcPr>
            <w:tcW w:w="3685" w:type="dxa"/>
            <w:tcBorders>
              <w:top w:val="nil"/>
              <w:left w:val="single" w:sz="4" w:space="0" w:color="auto"/>
              <w:bottom w:val="nil"/>
              <w:right w:val="nil"/>
            </w:tcBorders>
          </w:tcPr>
          <w:p w14:paraId="33D8FDFA" w14:textId="77777777" w:rsidR="00016F69" w:rsidRDefault="00016F69">
            <w:pPr>
              <w:pStyle w:val="Ingenafstand"/>
              <w:rPr>
                <w:b/>
                <w:sz w:val="20"/>
              </w:rPr>
            </w:pPr>
          </w:p>
        </w:tc>
        <w:tc>
          <w:tcPr>
            <w:tcW w:w="5522" w:type="dxa"/>
            <w:gridSpan w:val="3"/>
            <w:tcBorders>
              <w:top w:val="nil"/>
              <w:left w:val="nil"/>
              <w:bottom w:val="nil"/>
              <w:right w:val="single" w:sz="4" w:space="0" w:color="auto"/>
            </w:tcBorders>
          </w:tcPr>
          <w:p w14:paraId="26943ED5" w14:textId="77777777" w:rsidR="00016F69" w:rsidRDefault="00016F69">
            <w:pPr>
              <w:pStyle w:val="Ingenafstand"/>
              <w:jc w:val="center"/>
              <w:rPr>
                <w:rFonts w:ascii="Times New Roman" w:hAnsi="Times New Roman" w:cs="Times New Roman"/>
                <w:i/>
                <w:iCs/>
                <w:sz w:val="20"/>
                <w:szCs w:val="20"/>
              </w:rPr>
            </w:pPr>
            <w:r>
              <w:rPr>
                <w:rFonts w:ascii="Times New Roman" w:hAnsi="Times New Roman" w:cs="Times New Roman"/>
                <w:i/>
                <w:iCs/>
                <w:sz w:val="20"/>
                <w:szCs w:val="20"/>
              </w:rPr>
              <w:t>antal/samlet antal patienter (%)</w:t>
            </w:r>
          </w:p>
          <w:p w14:paraId="203B3125" w14:textId="77777777" w:rsidR="00016F69" w:rsidRDefault="00016F69">
            <w:pPr>
              <w:pStyle w:val="Ingenafstand"/>
              <w:jc w:val="center"/>
              <w:rPr>
                <w:b/>
                <w:sz w:val="20"/>
              </w:rPr>
            </w:pPr>
          </w:p>
        </w:tc>
      </w:tr>
      <w:tr w:rsidR="00016F69" w14:paraId="62A08AD5" w14:textId="77777777" w:rsidTr="00016F69">
        <w:tc>
          <w:tcPr>
            <w:tcW w:w="3685" w:type="dxa"/>
            <w:tcBorders>
              <w:top w:val="nil"/>
              <w:left w:val="single" w:sz="4" w:space="0" w:color="auto"/>
              <w:bottom w:val="nil"/>
              <w:right w:val="nil"/>
            </w:tcBorders>
            <w:shd w:val="clear" w:color="auto" w:fill="E7E6E6" w:themeFill="background2"/>
            <w:hideMark/>
          </w:tcPr>
          <w:p w14:paraId="39FB01E4" w14:textId="77777777" w:rsidR="00016F69" w:rsidRDefault="00016F69">
            <w:pPr>
              <w:pStyle w:val="Ingenafstand"/>
              <w:rPr>
                <w:rFonts w:ascii="Times New Roman" w:hAnsi="Times New Roman" w:cs="Times New Roman"/>
                <w:b/>
                <w:sz w:val="20"/>
                <w:szCs w:val="20"/>
              </w:rPr>
            </w:pPr>
            <w:r>
              <w:rPr>
                <w:rFonts w:ascii="Times New Roman" w:hAnsi="Times New Roman" w:cs="Times New Roman"/>
                <w:b/>
                <w:sz w:val="20"/>
                <w:szCs w:val="20"/>
              </w:rPr>
              <w:t>Primært resultat</w:t>
            </w:r>
          </w:p>
        </w:tc>
        <w:tc>
          <w:tcPr>
            <w:tcW w:w="2126" w:type="dxa"/>
            <w:tcBorders>
              <w:top w:val="nil"/>
              <w:left w:val="nil"/>
              <w:bottom w:val="nil"/>
              <w:right w:val="nil"/>
            </w:tcBorders>
            <w:shd w:val="clear" w:color="auto" w:fill="E7E6E6" w:themeFill="background2"/>
          </w:tcPr>
          <w:p w14:paraId="6D846D21" w14:textId="77777777" w:rsidR="00016F69" w:rsidRDefault="00016F69">
            <w:pPr>
              <w:pStyle w:val="Ingenafstand"/>
              <w:rPr>
                <w:rFonts w:ascii="Times New Roman" w:hAnsi="Times New Roman" w:cs="Times New Roman"/>
                <w:sz w:val="20"/>
                <w:szCs w:val="20"/>
              </w:rPr>
            </w:pPr>
          </w:p>
        </w:tc>
        <w:tc>
          <w:tcPr>
            <w:tcW w:w="1843" w:type="dxa"/>
            <w:tcBorders>
              <w:top w:val="nil"/>
              <w:left w:val="nil"/>
              <w:bottom w:val="nil"/>
              <w:right w:val="nil"/>
            </w:tcBorders>
            <w:shd w:val="clear" w:color="auto" w:fill="E7E6E6" w:themeFill="background2"/>
          </w:tcPr>
          <w:p w14:paraId="0C5B7B02" w14:textId="77777777" w:rsidR="00016F69" w:rsidRDefault="00016F69">
            <w:pPr>
              <w:pStyle w:val="Ingenafstand"/>
              <w:rPr>
                <w:rFonts w:ascii="Times New Roman" w:hAnsi="Times New Roman" w:cs="Times New Roman"/>
                <w:sz w:val="20"/>
                <w:szCs w:val="20"/>
              </w:rPr>
            </w:pPr>
          </w:p>
        </w:tc>
        <w:tc>
          <w:tcPr>
            <w:tcW w:w="1553" w:type="dxa"/>
            <w:tcBorders>
              <w:top w:val="nil"/>
              <w:left w:val="nil"/>
              <w:bottom w:val="nil"/>
              <w:right w:val="single" w:sz="4" w:space="0" w:color="auto"/>
            </w:tcBorders>
            <w:shd w:val="clear" w:color="auto" w:fill="E7E6E6" w:themeFill="background2"/>
          </w:tcPr>
          <w:p w14:paraId="2C8AC47C" w14:textId="77777777" w:rsidR="00016F69" w:rsidRDefault="00016F69">
            <w:pPr>
              <w:pStyle w:val="Ingenafstand"/>
              <w:rPr>
                <w:rFonts w:ascii="Times New Roman" w:hAnsi="Times New Roman" w:cs="Times New Roman"/>
                <w:sz w:val="20"/>
                <w:szCs w:val="20"/>
              </w:rPr>
            </w:pPr>
          </w:p>
        </w:tc>
      </w:tr>
      <w:tr w:rsidR="00016F69" w14:paraId="34C19031" w14:textId="77777777" w:rsidTr="00016F69">
        <w:tc>
          <w:tcPr>
            <w:tcW w:w="3685" w:type="dxa"/>
            <w:tcBorders>
              <w:top w:val="nil"/>
              <w:left w:val="single" w:sz="4" w:space="0" w:color="auto"/>
              <w:bottom w:val="nil"/>
              <w:right w:val="nil"/>
            </w:tcBorders>
            <w:hideMark/>
          </w:tcPr>
          <w:p w14:paraId="43FAF9A6"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Dødelighed efter 28 dage</w:t>
            </w:r>
          </w:p>
        </w:tc>
        <w:tc>
          <w:tcPr>
            <w:tcW w:w="2126" w:type="dxa"/>
            <w:tcBorders>
              <w:top w:val="nil"/>
              <w:left w:val="nil"/>
              <w:bottom w:val="nil"/>
              <w:right w:val="nil"/>
            </w:tcBorders>
            <w:hideMark/>
          </w:tcPr>
          <w:p w14:paraId="0E484134"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482/2.104 (22,9)</w:t>
            </w:r>
          </w:p>
        </w:tc>
        <w:tc>
          <w:tcPr>
            <w:tcW w:w="1843" w:type="dxa"/>
            <w:tcBorders>
              <w:top w:val="nil"/>
              <w:left w:val="nil"/>
              <w:bottom w:val="nil"/>
              <w:right w:val="nil"/>
            </w:tcBorders>
            <w:hideMark/>
          </w:tcPr>
          <w:p w14:paraId="04FA30F3"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1.110/4.321 (25,7)</w:t>
            </w:r>
          </w:p>
        </w:tc>
        <w:tc>
          <w:tcPr>
            <w:tcW w:w="1553" w:type="dxa"/>
            <w:tcBorders>
              <w:top w:val="nil"/>
              <w:left w:val="nil"/>
              <w:bottom w:val="nil"/>
              <w:right w:val="single" w:sz="4" w:space="0" w:color="auto"/>
            </w:tcBorders>
            <w:hideMark/>
          </w:tcPr>
          <w:p w14:paraId="0D349194"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0,83 (0,75-0,93)</w:t>
            </w:r>
          </w:p>
        </w:tc>
      </w:tr>
      <w:tr w:rsidR="00016F69" w14:paraId="2142341F" w14:textId="77777777" w:rsidTr="00016F69">
        <w:tc>
          <w:tcPr>
            <w:tcW w:w="3685" w:type="dxa"/>
            <w:tcBorders>
              <w:top w:val="nil"/>
              <w:left w:val="single" w:sz="4" w:space="0" w:color="auto"/>
              <w:bottom w:val="nil"/>
              <w:right w:val="nil"/>
            </w:tcBorders>
            <w:shd w:val="clear" w:color="auto" w:fill="E7E6E6" w:themeFill="background2"/>
            <w:hideMark/>
          </w:tcPr>
          <w:p w14:paraId="00C56ED6" w14:textId="77777777" w:rsidR="00016F69" w:rsidRDefault="00016F69">
            <w:pPr>
              <w:pStyle w:val="Ingenafstand"/>
              <w:rPr>
                <w:rFonts w:ascii="Times New Roman" w:hAnsi="Times New Roman" w:cs="Times New Roman"/>
                <w:b/>
                <w:sz w:val="20"/>
                <w:szCs w:val="20"/>
              </w:rPr>
            </w:pPr>
            <w:r>
              <w:rPr>
                <w:rFonts w:ascii="Times New Roman" w:hAnsi="Times New Roman" w:cs="Times New Roman"/>
                <w:b/>
                <w:sz w:val="20"/>
                <w:szCs w:val="20"/>
              </w:rPr>
              <w:t>Sekundære resultater</w:t>
            </w:r>
          </w:p>
        </w:tc>
        <w:tc>
          <w:tcPr>
            <w:tcW w:w="2126" w:type="dxa"/>
            <w:tcBorders>
              <w:top w:val="nil"/>
              <w:left w:val="nil"/>
              <w:bottom w:val="nil"/>
              <w:right w:val="nil"/>
            </w:tcBorders>
            <w:shd w:val="clear" w:color="auto" w:fill="E7E6E6" w:themeFill="background2"/>
          </w:tcPr>
          <w:p w14:paraId="3139C2B6" w14:textId="77777777" w:rsidR="00016F69" w:rsidRDefault="00016F69">
            <w:pPr>
              <w:pStyle w:val="Ingenafstand"/>
              <w:rPr>
                <w:rFonts w:ascii="Times New Roman" w:hAnsi="Times New Roman" w:cs="Times New Roman"/>
                <w:sz w:val="20"/>
                <w:szCs w:val="20"/>
              </w:rPr>
            </w:pPr>
          </w:p>
        </w:tc>
        <w:tc>
          <w:tcPr>
            <w:tcW w:w="1843" w:type="dxa"/>
            <w:tcBorders>
              <w:top w:val="nil"/>
              <w:left w:val="nil"/>
              <w:bottom w:val="nil"/>
              <w:right w:val="nil"/>
            </w:tcBorders>
            <w:shd w:val="clear" w:color="auto" w:fill="E7E6E6" w:themeFill="background2"/>
          </w:tcPr>
          <w:p w14:paraId="0FEF9816" w14:textId="77777777" w:rsidR="00016F69" w:rsidRDefault="00016F69">
            <w:pPr>
              <w:pStyle w:val="Ingenafstand"/>
              <w:rPr>
                <w:rFonts w:ascii="Times New Roman" w:hAnsi="Times New Roman" w:cs="Times New Roman"/>
                <w:sz w:val="20"/>
                <w:szCs w:val="20"/>
              </w:rPr>
            </w:pPr>
          </w:p>
        </w:tc>
        <w:tc>
          <w:tcPr>
            <w:tcW w:w="1553" w:type="dxa"/>
            <w:tcBorders>
              <w:top w:val="nil"/>
              <w:left w:val="nil"/>
              <w:bottom w:val="nil"/>
              <w:right w:val="single" w:sz="4" w:space="0" w:color="auto"/>
            </w:tcBorders>
            <w:shd w:val="clear" w:color="auto" w:fill="E7E6E6" w:themeFill="background2"/>
          </w:tcPr>
          <w:p w14:paraId="75AA4C68" w14:textId="77777777" w:rsidR="00016F69" w:rsidRDefault="00016F69">
            <w:pPr>
              <w:pStyle w:val="Ingenafstand"/>
              <w:rPr>
                <w:rFonts w:ascii="Times New Roman" w:hAnsi="Times New Roman" w:cs="Times New Roman"/>
                <w:sz w:val="20"/>
                <w:szCs w:val="20"/>
              </w:rPr>
            </w:pPr>
          </w:p>
        </w:tc>
      </w:tr>
      <w:tr w:rsidR="00016F69" w14:paraId="4C5429D2" w14:textId="77777777" w:rsidTr="00016F69">
        <w:tc>
          <w:tcPr>
            <w:tcW w:w="3685" w:type="dxa"/>
            <w:tcBorders>
              <w:top w:val="nil"/>
              <w:left w:val="single" w:sz="4" w:space="0" w:color="auto"/>
              <w:bottom w:val="nil"/>
              <w:right w:val="nil"/>
            </w:tcBorders>
            <w:hideMark/>
          </w:tcPr>
          <w:p w14:paraId="03D64E93"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Udskrevet fra hospitalet inden for 28 dage</w:t>
            </w:r>
          </w:p>
        </w:tc>
        <w:tc>
          <w:tcPr>
            <w:tcW w:w="2126" w:type="dxa"/>
            <w:tcBorders>
              <w:top w:val="nil"/>
              <w:left w:val="nil"/>
              <w:bottom w:val="nil"/>
              <w:right w:val="nil"/>
            </w:tcBorders>
            <w:hideMark/>
          </w:tcPr>
          <w:p w14:paraId="4F91118D"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1.413/2.104 (67,2)</w:t>
            </w:r>
          </w:p>
        </w:tc>
        <w:tc>
          <w:tcPr>
            <w:tcW w:w="1843" w:type="dxa"/>
            <w:tcBorders>
              <w:top w:val="nil"/>
              <w:left w:val="nil"/>
              <w:bottom w:val="nil"/>
              <w:right w:val="nil"/>
            </w:tcBorders>
            <w:hideMark/>
          </w:tcPr>
          <w:p w14:paraId="0B5B3840"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2.745/4.321 (63,5)</w:t>
            </w:r>
          </w:p>
        </w:tc>
        <w:tc>
          <w:tcPr>
            <w:tcW w:w="1553" w:type="dxa"/>
            <w:tcBorders>
              <w:top w:val="nil"/>
              <w:left w:val="nil"/>
              <w:bottom w:val="nil"/>
              <w:right w:val="single" w:sz="4" w:space="0" w:color="auto"/>
            </w:tcBorders>
            <w:hideMark/>
          </w:tcPr>
          <w:p w14:paraId="4589A38D"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1,10 (1,03-1,17)</w:t>
            </w:r>
          </w:p>
        </w:tc>
      </w:tr>
      <w:tr w:rsidR="00016F69" w14:paraId="57014E1C" w14:textId="77777777" w:rsidTr="00016F69">
        <w:tc>
          <w:tcPr>
            <w:tcW w:w="3685" w:type="dxa"/>
            <w:tcBorders>
              <w:top w:val="nil"/>
              <w:left w:val="single" w:sz="4" w:space="0" w:color="auto"/>
              <w:bottom w:val="nil"/>
              <w:right w:val="nil"/>
            </w:tcBorders>
            <w:shd w:val="clear" w:color="auto" w:fill="E7E6E6" w:themeFill="background2"/>
            <w:hideMark/>
          </w:tcPr>
          <w:p w14:paraId="53D52FB6"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Invasiv mekanisk ventilation eller død †</w:t>
            </w:r>
          </w:p>
        </w:tc>
        <w:tc>
          <w:tcPr>
            <w:tcW w:w="2126" w:type="dxa"/>
            <w:tcBorders>
              <w:top w:val="nil"/>
              <w:left w:val="nil"/>
              <w:bottom w:val="nil"/>
              <w:right w:val="nil"/>
            </w:tcBorders>
            <w:shd w:val="clear" w:color="auto" w:fill="E7E6E6" w:themeFill="background2"/>
            <w:hideMark/>
          </w:tcPr>
          <w:p w14:paraId="34942B77"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456/1.780 (25,6)</w:t>
            </w:r>
          </w:p>
        </w:tc>
        <w:tc>
          <w:tcPr>
            <w:tcW w:w="1843" w:type="dxa"/>
            <w:tcBorders>
              <w:top w:val="nil"/>
              <w:left w:val="nil"/>
              <w:bottom w:val="nil"/>
              <w:right w:val="nil"/>
            </w:tcBorders>
            <w:shd w:val="clear" w:color="auto" w:fill="E7E6E6" w:themeFill="background2"/>
            <w:hideMark/>
          </w:tcPr>
          <w:p w14:paraId="33543F9C"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994/3.638 (27,3)</w:t>
            </w:r>
          </w:p>
        </w:tc>
        <w:tc>
          <w:tcPr>
            <w:tcW w:w="1553" w:type="dxa"/>
            <w:tcBorders>
              <w:top w:val="nil"/>
              <w:left w:val="nil"/>
              <w:bottom w:val="nil"/>
              <w:right w:val="single" w:sz="4" w:space="0" w:color="auto"/>
            </w:tcBorders>
            <w:shd w:val="clear" w:color="auto" w:fill="E7E6E6" w:themeFill="background2"/>
            <w:hideMark/>
          </w:tcPr>
          <w:p w14:paraId="4219132C"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0,92 (0,84-1,01)</w:t>
            </w:r>
          </w:p>
        </w:tc>
      </w:tr>
      <w:tr w:rsidR="00016F69" w14:paraId="6823A498" w14:textId="77777777" w:rsidTr="00016F69">
        <w:tc>
          <w:tcPr>
            <w:tcW w:w="3685" w:type="dxa"/>
            <w:tcBorders>
              <w:top w:val="nil"/>
              <w:left w:val="single" w:sz="4" w:space="0" w:color="auto"/>
              <w:bottom w:val="nil"/>
              <w:right w:val="nil"/>
            </w:tcBorders>
            <w:hideMark/>
          </w:tcPr>
          <w:p w14:paraId="681E5AD1" w14:textId="77777777" w:rsidR="00016F69" w:rsidRDefault="00016F69">
            <w:pPr>
              <w:pStyle w:val="Ingenafstand"/>
              <w:ind w:left="170"/>
              <w:rPr>
                <w:rFonts w:ascii="Times New Roman" w:hAnsi="Times New Roman" w:cs="Times New Roman"/>
                <w:sz w:val="20"/>
                <w:szCs w:val="20"/>
              </w:rPr>
            </w:pPr>
            <w:r>
              <w:rPr>
                <w:rFonts w:ascii="Times New Roman" w:hAnsi="Times New Roman" w:cs="Times New Roman"/>
                <w:sz w:val="20"/>
                <w:szCs w:val="20"/>
              </w:rPr>
              <w:t>Invasiv mekanisk ventilation</w:t>
            </w:r>
          </w:p>
        </w:tc>
        <w:tc>
          <w:tcPr>
            <w:tcW w:w="2126" w:type="dxa"/>
            <w:tcBorders>
              <w:top w:val="nil"/>
              <w:left w:val="nil"/>
              <w:bottom w:val="nil"/>
              <w:right w:val="nil"/>
            </w:tcBorders>
            <w:hideMark/>
          </w:tcPr>
          <w:p w14:paraId="6F8EEB2D"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102/1.780 (5,7)</w:t>
            </w:r>
          </w:p>
        </w:tc>
        <w:tc>
          <w:tcPr>
            <w:tcW w:w="1843" w:type="dxa"/>
            <w:tcBorders>
              <w:top w:val="nil"/>
              <w:left w:val="nil"/>
              <w:bottom w:val="nil"/>
              <w:right w:val="nil"/>
            </w:tcBorders>
            <w:hideMark/>
          </w:tcPr>
          <w:p w14:paraId="58E102B9"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285/3.638 (7,8)</w:t>
            </w:r>
          </w:p>
        </w:tc>
        <w:tc>
          <w:tcPr>
            <w:tcW w:w="1553" w:type="dxa"/>
            <w:tcBorders>
              <w:top w:val="nil"/>
              <w:left w:val="nil"/>
              <w:bottom w:val="nil"/>
              <w:right w:val="single" w:sz="4" w:space="0" w:color="auto"/>
            </w:tcBorders>
            <w:hideMark/>
          </w:tcPr>
          <w:p w14:paraId="4B326A45"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0,77 (0,62-0,95)</w:t>
            </w:r>
          </w:p>
        </w:tc>
      </w:tr>
      <w:tr w:rsidR="00016F69" w14:paraId="7B2F0AA7" w14:textId="77777777" w:rsidTr="00016F69">
        <w:tc>
          <w:tcPr>
            <w:tcW w:w="3685" w:type="dxa"/>
            <w:tcBorders>
              <w:top w:val="nil"/>
              <w:left w:val="single" w:sz="4" w:space="0" w:color="auto"/>
              <w:bottom w:val="single" w:sz="4" w:space="0" w:color="auto"/>
              <w:right w:val="nil"/>
            </w:tcBorders>
            <w:shd w:val="clear" w:color="auto" w:fill="E7E6E6" w:themeFill="background2"/>
            <w:hideMark/>
          </w:tcPr>
          <w:p w14:paraId="3A6E38A8" w14:textId="77777777" w:rsidR="00016F69" w:rsidRDefault="00016F69">
            <w:pPr>
              <w:pStyle w:val="Ingenafstand"/>
              <w:ind w:left="170"/>
              <w:rPr>
                <w:rFonts w:ascii="Times New Roman" w:hAnsi="Times New Roman" w:cs="Times New Roman"/>
                <w:sz w:val="20"/>
                <w:szCs w:val="20"/>
              </w:rPr>
            </w:pPr>
            <w:r>
              <w:rPr>
                <w:rFonts w:ascii="Times New Roman" w:hAnsi="Times New Roman" w:cs="Times New Roman"/>
                <w:sz w:val="20"/>
                <w:szCs w:val="20"/>
              </w:rPr>
              <w:t>Død</w:t>
            </w:r>
          </w:p>
        </w:tc>
        <w:tc>
          <w:tcPr>
            <w:tcW w:w="2126" w:type="dxa"/>
            <w:tcBorders>
              <w:top w:val="nil"/>
              <w:left w:val="nil"/>
              <w:bottom w:val="single" w:sz="4" w:space="0" w:color="auto"/>
              <w:right w:val="nil"/>
            </w:tcBorders>
            <w:shd w:val="clear" w:color="auto" w:fill="E7E6E6" w:themeFill="background2"/>
            <w:hideMark/>
          </w:tcPr>
          <w:p w14:paraId="31804BEA"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387/1.780 (21,7)</w:t>
            </w:r>
          </w:p>
        </w:tc>
        <w:tc>
          <w:tcPr>
            <w:tcW w:w="1843" w:type="dxa"/>
            <w:tcBorders>
              <w:top w:val="nil"/>
              <w:left w:val="nil"/>
              <w:bottom w:val="single" w:sz="4" w:space="0" w:color="auto"/>
              <w:right w:val="nil"/>
            </w:tcBorders>
            <w:shd w:val="clear" w:color="auto" w:fill="E7E6E6" w:themeFill="background2"/>
            <w:hideMark/>
          </w:tcPr>
          <w:p w14:paraId="21ED2368"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827/3.638 (22,7)</w:t>
            </w:r>
          </w:p>
        </w:tc>
        <w:tc>
          <w:tcPr>
            <w:tcW w:w="1553" w:type="dxa"/>
            <w:tcBorders>
              <w:top w:val="nil"/>
              <w:left w:val="nil"/>
              <w:bottom w:val="single" w:sz="4" w:space="0" w:color="auto"/>
              <w:right w:val="single" w:sz="4" w:space="0" w:color="auto"/>
            </w:tcBorders>
            <w:shd w:val="clear" w:color="auto" w:fill="E7E6E6" w:themeFill="background2"/>
            <w:hideMark/>
          </w:tcPr>
          <w:p w14:paraId="217406A1" w14:textId="77777777" w:rsidR="00016F69" w:rsidRDefault="00016F69">
            <w:pPr>
              <w:pStyle w:val="Ingenafstand"/>
              <w:rPr>
                <w:rFonts w:ascii="Times New Roman" w:hAnsi="Times New Roman" w:cs="Times New Roman"/>
                <w:sz w:val="20"/>
                <w:szCs w:val="20"/>
              </w:rPr>
            </w:pPr>
            <w:r>
              <w:rPr>
                <w:rFonts w:ascii="Times New Roman" w:hAnsi="Times New Roman" w:cs="Times New Roman"/>
                <w:sz w:val="20"/>
                <w:szCs w:val="20"/>
              </w:rPr>
              <w:t>0,93 (0,84-1,03)</w:t>
            </w:r>
          </w:p>
        </w:tc>
      </w:tr>
    </w:tbl>
    <w:p w14:paraId="56B8A366" w14:textId="77777777" w:rsidR="00016F69" w:rsidRDefault="00016F69" w:rsidP="00016F69">
      <w:pPr>
        <w:tabs>
          <w:tab w:val="left" w:pos="851"/>
        </w:tabs>
        <w:ind w:left="851"/>
        <w:rPr>
          <w:sz w:val="24"/>
          <w:szCs w:val="24"/>
        </w:rPr>
      </w:pPr>
      <w:r>
        <w:rPr>
          <w:sz w:val="24"/>
          <w:szCs w:val="24"/>
        </w:rPr>
        <w:t>* Rate ratio er blevet justeret for alder med hensyn til resultaterne ved dag 28 dødelighed og hospitalsudskrivelse. Risk ratio er blevet justeret for alder med hensyn til resultaterne invasiv mekanisk ventilation eller død og dets underkomponenter.</w:t>
      </w:r>
    </w:p>
    <w:p w14:paraId="04616E47" w14:textId="77777777" w:rsidR="00016F69" w:rsidRDefault="00016F69" w:rsidP="00016F69">
      <w:pPr>
        <w:tabs>
          <w:tab w:val="left" w:pos="851"/>
        </w:tabs>
        <w:ind w:left="851"/>
        <w:rPr>
          <w:sz w:val="24"/>
          <w:szCs w:val="24"/>
        </w:rPr>
      </w:pPr>
      <w:r>
        <w:rPr>
          <w:sz w:val="22"/>
          <w:szCs w:val="22"/>
        </w:rPr>
        <w:t>†</w:t>
      </w:r>
      <w:r>
        <w:rPr>
          <w:sz w:val="24"/>
          <w:szCs w:val="24"/>
        </w:rPr>
        <w:t xml:space="preserve"> Patienter, der fik invasiv mekanisk ventilation ved </w:t>
      </w:r>
      <w:proofErr w:type="spellStart"/>
      <w:r>
        <w:rPr>
          <w:sz w:val="24"/>
          <w:szCs w:val="24"/>
        </w:rPr>
        <w:t>randomisering</w:t>
      </w:r>
      <w:proofErr w:type="spellEnd"/>
      <w:r>
        <w:rPr>
          <w:sz w:val="24"/>
          <w:szCs w:val="24"/>
        </w:rPr>
        <w:t>, er ekskluderet fra denne kategori.</w:t>
      </w:r>
    </w:p>
    <w:p w14:paraId="28D054B0" w14:textId="77777777" w:rsidR="00016F69" w:rsidRDefault="00016F69" w:rsidP="00016F69">
      <w:pPr>
        <w:pBdr>
          <w:bottom w:val="single" w:sz="4" w:space="1" w:color="auto"/>
        </w:pBdr>
        <w:tabs>
          <w:tab w:val="left" w:pos="851"/>
        </w:tabs>
        <w:ind w:left="851"/>
        <w:rPr>
          <w:sz w:val="24"/>
          <w:szCs w:val="24"/>
        </w:rPr>
      </w:pPr>
    </w:p>
    <w:p w14:paraId="5B4DB4EF" w14:textId="77777777" w:rsidR="00016F69" w:rsidRDefault="00016F69" w:rsidP="00016F69">
      <w:pPr>
        <w:tabs>
          <w:tab w:val="left" w:pos="851"/>
        </w:tabs>
        <w:rPr>
          <w:sz w:val="24"/>
          <w:szCs w:val="24"/>
        </w:rPr>
      </w:pPr>
    </w:p>
    <w:p w14:paraId="4F231C3A" w14:textId="77777777" w:rsidR="00016F69" w:rsidRDefault="00016F69" w:rsidP="00016F69">
      <w:pPr>
        <w:tabs>
          <w:tab w:val="left" w:pos="851"/>
        </w:tabs>
        <w:ind w:left="851"/>
        <w:rPr>
          <w:b/>
          <w:bCs/>
          <w:sz w:val="24"/>
          <w:szCs w:val="24"/>
        </w:rPr>
      </w:pPr>
      <w:r>
        <w:rPr>
          <w:b/>
          <w:bCs/>
          <w:sz w:val="24"/>
          <w:szCs w:val="24"/>
        </w:rPr>
        <w:t>Sikkerhed</w:t>
      </w:r>
    </w:p>
    <w:p w14:paraId="10FEAA06" w14:textId="77777777" w:rsidR="00016F69" w:rsidRDefault="00016F69" w:rsidP="00016F69">
      <w:pPr>
        <w:tabs>
          <w:tab w:val="left" w:pos="851"/>
          <w:tab w:val="left" w:pos="1350"/>
        </w:tabs>
        <w:ind w:left="851"/>
        <w:rPr>
          <w:sz w:val="24"/>
          <w:szCs w:val="24"/>
        </w:rPr>
      </w:pPr>
      <w:r>
        <w:rPr>
          <w:sz w:val="24"/>
          <w:szCs w:val="24"/>
        </w:rPr>
        <w:t xml:space="preserve">Der var fire alvorlige bivirkningstilfælde relateret til studiebehandlingen: To alvorlige bivirkningstilfælde med </w:t>
      </w:r>
      <w:proofErr w:type="spellStart"/>
      <w:r>
        <w:rPr>
          <w:sz w:val="24"/>
          <w:szCs w:val="24"/>
        </w:rPr>
        <w:t>hyperglykæmi</w:t>
      </w:r>
      <w:proofErr w:type="spellEnd"/>
      <w:r>
        <w:rPr>
          <w:sz w:val="24"/>
          <w:szCs w:val="24"/>
        </w:rPr>
        <w:t xml:space="preserve">, et alvorligt bivirkningstilfælde med steroidinduceret psykose og et alvorligt bivirkningstilfælde med øvre </w:t>
      </w:r>
      <w:proofErr w:type="spellStart"/>
      <w:r>
        <w:rPr>
          <w:sz w:val="24"/>
          <w:szCs w:val="24"/>
        </w:rPr>
        <w:t>gastrointestinal</w:t>
      </w:r>
      <w:proofErr w:type="spellEnd"/>
      <w:r>
        <w:rPr>
          <w:sz w:val="24"/>
          <w:szCs w:val="24"/>
        </w:rPr>
        <w:t xml:space="preserve"> blødning. Alle bivirkninger forsvandt.</w:t>
      </w:r>
    </w:p>
    <w:p w14:paraId="14CD7090" w14:textId="77777777" w:rsidR="00016F69" w:rsidRDefault="00016F69" w:rsidP="00016F69">
      <w:pPr>
        <w:tabs>
          <w:tab w:val="left" w:pos="851"/>
          <w:tab w:val="left" w:pos="1350"/>
        </w:tabs>
        <w:ind w:left="851"/>
        <w:rPr>
          <w:sz w:val="24"/>
          <w:szCs w:val="24"/>
        </w:rPr>
      </w:pPr>
    </w:p>
    <w:p w14:paraId="2864099F" w14:textId="77777777" w:rsidR="00016F69" w:rsidRDefault="00016F69" w:rsidP="00016F69">
      <w:pPr>
        <w:tabs>
          <w:tab w:val="left" w:pos="851"/>
          <w:tab w:val="left" w:pos="1350"/>
        </w:tabs>
        <w:ind w:left="851"/>
        <w:rPr>
          <w:b/>
          <w:bCs/>
          <w:sz w:val="24"/>
          <w:szCs w:val="24"/>
        </w:rPr>
      </w:pPr>
      <w:r>
        <w:rPr>
          <w:b/>
          <w:bCs/>
          <w:sz w:val="24"/>
          <w:szCs w:val="24"/>
        </w:rPr>
        <w:t>Undergruppeanalyser</w:t>
      </w:r>
    </w:p>
    <w:p w14:paraId="20D1F347" w14:textId="77777777" w:rsidR="00016F69" w:rsidRDefault="00016F69" w:rsidP="00016F69">
      <w:pPr>
        <w:tabs>
          <w:tab w:val="left" w:pos="851"/>
          <w:tab w:val="left" w:pos="1350"/>
        </w:tabs>
        <w:ind w:left="851"/>
        <w:rPr>
          <w:b/>
          <w:bCs/>
          <w:sz w:val="24"/>
          <w:szCs w:val="24"/>
        </w:rPr>
      </w:pPr>
    </w:p>
    <w:p w14:paraId="316EAE74" w14:textId="77777777" w:rsidR="00016F69" w:rsidRDefault="00016F69" w:rsidP="00016F69">
      <w:pPr>
        <w:tabs>
          <w:tab w:val="left" w:pos="851"/>
          <w:tab w:val="left" w:pos="1350"/>
        </w:tabs>
        <w:ind w:left="851"/>
        <w:rPr>
          <w:b/>
          <w:bCs/>
          <w:i/>
          <w:iCs/>
          <w:sz w:val="24"/>
          <w:szCs w:val="24"/>
        </w:rPr>
      </w:pPr>
      <w:r>
        <w:rPr>
          <w:b/>
          <w:bCs/>
          <w:i/>
          <w:iCs/>
          <w:sz w:val="24"/>
          <w:szCs w:val="24"/>
        </w:rPr>
        <w:t xml:space="preserve">Effekt af tildeling af </w:t>
      </w:r>
      <w:proofErr w:type="spellStart"/>
      <w:r>
        <w:rPr>
          <w:b/>
          <w:bCs/>
          <w:i/>
          <w:iCs/>
          <w:sz w:val="24"/>
          <w:szCs w:val="24"/>
        </w:rPr>
        <w:t>dexamethason</w:t>
      </w:r>
      <w:proofErr w:type="spellEnd"/>
      <w:r>
        <w:rPr>
          <w:b/>
          <w:bCs/>
          <w:i/>
          <w:iCs/>
          <w:sz w:val="24"/>
          <w:szCs w:val="24"/>
        </w:rPr>
        <w:t xml:space="preserve"> på dødeligheden efter 28 dage, efter alder og respiratorisk støtte modtaget ved </w:t>
      </w:r>
      <w:proofErr w:type="spellStart"/>
      <w:r>
        <w:rPr>
          <w:b/>
          <w:bCs/>
          <w:i/>
          <w:iCs/>
          <w:sz w:val="24"/>
          <w:szCs w:val="24"/>
        </w:rPr>
        <w:t>randomisering</w:t>
      </w:r>
      <w:proofErr w:type="spellEnd"/>
      <w:r>
        <w:rPr>
          <w:rStyle w:val="Fodnotehenvisning"/>
          <w:b/>
          <w:bCs/>
          <w:i/>
          <w:iCs/>
          <w:sz w:val="24"/>
          <w:szCs w:val="24"/>
        </w:rPr>
        <w:footnoteReference w:id="2"/>
      </w:r>
    </w:p>
    <w:p w14:paraId="7E2772CD" w14:textId="77777777" w:rsidR="00016F69" w:rsidRDefault="00016F69" w:rsidP="00016F69">
      <w:pPr>
        <w:tabs>
          <w:tab w:val="left" w:pos="851"/>
        </w:tabs>
        <w:ind w:left="851"/>
        <w:rPr>
          <w:sz w:val="24"/>
          <w:szCs w:val="24"/>
        </w:rPr>
      </w:pPr>
    </w:p>
    <w:tbl>
      <w:tblPr>
        <w:tblStyle w:val="Tabel-Gitter"/>
        <w:tblW w:w="5200" w:type="pct"/>
        <w:tblInd w:w="279" w:type="dxa"/>
        <w:tblLook w:val="04A0" w:firstRow="1" w:lastRow="0" w:firstColumn="1" w:lastColumn="0" w:noHBand="0" w:noVBand="1"/>
      </w:tblPr>
      <w:tblGrid>
        <w:gridCol w:w="1448"/>
        <w:gridCol w:w="1756"/>
        <w:gridCol w:w="1895"/>
        <w:gridCol w:w="1788"/>
        <w:gridCol w:w="1174"/>
        <w:gridCol w:w="1952"/>
      </w:tblGrid>
      <w:tr w:rsidR="00016F69" w14:paraId="163812C6" w14:textId="77777777" w:rsidTr="00016F69">
        <w:trPr>
          <w:cantSplit/>
        </w:trPr>
        <w:tc>
          <w:tcPr>
            <w:tcW w:w="743" w:type="pct"/>
            <w:tcBorders>
              <w:top w:val="single" w:sz="4" w:space="0" w:color="auto"/>
              <w:left w:val="single" w:sz="4" w:space="0" w:color="auto"/>
              <w:bottom w:val="single" w:sz="4" w:space="0" w:color="auto"/>
              <w:right w:val="single" w:sz="4" w:space="0" w:color="auto"/>
            </w:tcBorders>
          </w:tcPr>
          <w:p w14:paraId="4A6C1A6F" w14:textId="77777777" w:rsidR="00016F69" w:rsidRDefault="00016F69">
            <w:pPr>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14:paraId="303EE6D2"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Dexamethason</w:t>
            </w:r>
          </w:p>
        </w:tc>
        <w:tc>
          <w:tcPr>
            <w:tcW w:w="966" w:type="pct"/>
            <w:tcBorders>
              <w:top w:val="single" w:sz="4" w:space="0" w:color="auto"/>
              <w:left w:val="single" w:sz="4" w:space="0" w:color="auto"/>
              <w:bottom w:val="single" w:sz="4" w:space="0" w:color="auto"/>
              <w:right w:val="single" w:sz="4" w:space="0" w:color="auto"/>
            </w:tcBorders>
            <w:hideMark/>
          </w:tcPr>
          <w:p w14:paraId="7829DF9A"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Almindelig pleje</w:t>
            </w:r>
          </w:p>
        </w:tc>
        <w:tc>
          <w:tcPr>
            <w:tcW w:w="1400" w:type="pct"/>
            <w:gridSpan w:val="2"/>
            <w:vMerge w:val="restart"/>
            <w:tcBorders>
              <w:top w:val="single" w:sz="4" w:space="0" w:color="auto"/>
              <w:left w:val="single" w:sz="4" w:space="0" w:color="auto"/>
              <w:bottom w:val="single" w:sz="4" w:space="0" w:color="auto"/>
              <w:right w:val="single" w:sz="4" w:space="0" w:color="auto"/>
            </w:tcBorders>
            <w:hideMark/>
          </w:tcPr>
          <w:p w14:paraId="79740490" w14:textId="77777777" w:rsidR="00016F69" w:rsidRDefault="00016F69">
            <w:pPr>
              <w:rPr>
                <w:rFonts w:ascii="Times New Roman" w:hAnsi="Times New Roman" w:cs="Times New Roman"/>
                <w:sz w:val="24"/>
                <w:szCs w:val="24"/>
              </w:rPr>
            </w:pPr>
            <w:r>
              <w:rPr>
                <w:noProof/>
                <w:sz w:val="24"/>
                <w:szCs w:val="24"/>
                <w:lang w:eastAsia="sl-SI"/>
              </w:rPr>
              <w:t xml:space="preserve">          </w:t>
            </w:r>
            <w:r>
              <w:rPr>
                <w:rFonts w:ascii="Times New Roman" w:eastAsia="Times New Roman" w:hAnsi="Times New Roman" w:cs="Times New Roman"/>
                <w:sz w:val="24"/>
                <w:szCs w:val="24"/>
                <w:lang w:val="da-DK"/>
              </w:rPr>
              <w:object w:dxaOrig="2748" w:dyaOrig="4668" w14:anchorId="2C5C2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pt;height:233pt" o:ole="">
                  <v:imagedata r:id="rId9" o:title=""/>
                </v:shape>
                <o:OLEObject Type="Embed" ProgID="PBrush" ShapeID="_x0000_i1025" DrawAspect="Content" ObjectID="_1761984765" r:id="rId10"/>
              </w:object>
            </w:r>
          </w:p>
        </w:tc>
        <w:tc>
          <w:tcPr>
            <w:tcW w:w="994" w:type="pct"/>
            <w:tcBorders>
              <w:top w:val="single" w:sz="4" w:space="0" w:color="auto"/>
              <w:left w:val="single" w:sz="4" w:space="0" w:color="auto"/>
              <w:bottom w:val="single" w:sz="4" w:space="0" w:color="auto"/>
              <w:right w:val="single" w:sz="4" w:space="0" w:color="auto"/>
            </w:tcBorders>
            <w:hideMark/>
          </w:tcPr>
          <w:p w14:paraId="72DFFE9F"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RR (95 % Cl)</w:t>
            </w:r>
          </w:p>
        </w:tc>
      </w:tr>
      <w:tr w:rsidR="00016F69" w14:paraId="3FEF7D82" w14:textId="77777777" w:rsidTr="00016F69">
        <w:trPr>
          <w:cantSplit/>
        </w:trPr>
        <w:tc>
          <w:tcPr>
            <w:tcW w:w="2606" w:type="pct"/>
            <w:gridSpan w:val="3"/>
            <w:tcBorders>
              <w:top w:val="single" w:sz="4" w:space="0" w:color="auto"/>
              <w:left w:val="single" w:sz="4" w:space="0" w:color="auto"/>
              <w:bottom w:val="single" w:sz="4" w:space="0" w:color="auto"/>
              <w:right w:val="single" w:sz="4" w:space="0" w:color="auto"/>
            </w:tcBorders>
            <w:hideMark/>
          </w:tcPr>
          <w:p w14:paraId="0034F6E6"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Ingen ilt (x</w:t>
            </w:r>
            <w:r>
              <w:rPr>
                <w:b/>
                <w:sz w:val="20"/>
                <w:vertAlign w:val="subscript"/>
              </w:rPr>
              <w:t>1</w:t>
            </w:r>
            <w:r>
              <w:rPr>
                <w:b/>
                <w:sz w:val="20"/>
                <w:vertAlign w:val="superscript"/>
              </w:rPr>
              <w:t>2</w:t>
            </w:r>
            <w:r>
              <w:rPr>
                <w:rFonts w:ascii="Times New Roman" w:hAnsi="Times New Roman" w:cs="Times New Roman"/>
                <w:b/>
                <w:sz w:val="20"/>
                <w:szCs w:val="20"/>
              </w:rPr>
              <w:t>= 0,70; p=0,40)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F0752E"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tcPr>
          <w:p w14:paraId="45CC0BDA" w14:textId="77777777" w:rsidR="00016F69" w:rsidRDefault="00016F69">
            <w:pPr>
              <w:rPr>
                <w:rFonts w:ascii="Times New Roman" w:hAnsi="Times New Roman" w:cs="Times New Roman"/>
                <w:sz w:val="20"/>
                <w:szCs w:val="20"/>
              </w:rPr>
            </w:pPr>
          </w:p>
        </w:tc>
      </w:tr>
      <w:tr w:rsidR="00016F69" w14:paraId="05B263AC" w14:textId="77777777" w:rsidTr="00016F69">
        <w:trPr>
          <w:cantSplit/>
          <w:trHeight w:val="925"/>
        </w:trPr>
        <w:tc>
          <w:tcPr>
            <w:tcW w:w="743" w:type="pct"/>
            <w:tcBorders>
              <w:top w:val="single" w:sz="4" w:space="0" w:color="auto"/>
              <w:left w:val="single" w:sz="4" w:space="0" w:color="auto"/>
              <w:bottom w:val="single" w:sz="4" w:space="0" w:color="auto"/>
              <w:right w:val="single" w:sz="4" w:space="0" w:color="auto"/>
            </w:tcBorders>
            <w:hideMark/>
          </w:tcPr>
          <w:p w14:paraId="61AEAE2E"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&lt;70 </w:t>
            </w:r>
          </w:p>
          <w:p w14:paraId="055CFF45"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≥70 &lt;80 </w:t>
            </w:r>
          </w:p>
          <w:p w14:paraId="5BB9A466"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≥80 </w:t>
            </w:r>
          </w:p>
          <w:p w14:paraId="7BE4CEF1"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 xml:space="preserve">Subtotal </w:t>
            </w:r>
          </w:p>
        </w:tc>
        <w:tc>
          <w:tcPr>
            <w:tcW w:w="897" w:type="pct"/>
            <w:tcBorders>
              <w:top w:val="single" w:sz="4" w:space="0" w:color="auto"/>
              <w:left w:val="single" w:sz="4" w:space="0" w:color="auto"/>
              <w:bottom w:val="single" w:sz="4" w:space="0" w:color="auto"/>
              <w:right w:val="single" w:sz="4" w:space="0" w:color="auto"/>
            </w:tcBorders>
            <w:hideMark/>
          </w:tcPr>
          <w:p w14:paraId="13E3F75A"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10/197 (5,1 %)</w:t>
            </w:r>
          </w:p>
          <w:p w14:paraId="2B94FEA7"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25/114 (21,9 %)</w:t>
            </w:r>
          </w:p>
          <w:p w14:paraId="0DFA2709"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54/190 (28,4 %)</w:t>
            </w:r>
          </w:p>
          <w:p w14:paraId="50B839FE"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89/501 (17,8 %)</w:t>
            </w:r>
          </w:p>
        </w:tc>
        <w:tc>
          <w:tcPr>
            <w:tcW w:w="966" w:type="pct"/>
            <w:tcBorders>
              <w:top w:val="single" w:sz="4" w:space="0" w:color="auto"/>
              <w:left w:val="single" w:sz="4" w:space="0" w:color="auto"/>
              <w:bottom w:val="single" w:sz="4" w:space="0" w:color="auto"/>
              <w:right w:val="single" w:sz="4" w:space="0" w:color="auto"/>
            </w:tcBorders>
            <w:hideMark/>
          </w:tcPr>
          <w:p w14:paraId="4695A82E"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18/462 (3,9 %)</w:t>
            </w:r>
          </w:p>
          <w:p w14:paraId="7661BD8E"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35/224 (15,6 %)</w:t>
            </w:r>
          </w:p>
          <w:p w14:paraId="1EB1F06A"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92/348 (26,4 %)</w:t>
            </w:r>
          </w:p>
          <w:p w14:paraId="2B60E7DA"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145/1.034 (14,0 %)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AB6BC4"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hideMark/>
          </w:tcPr>
          <w:p w14:paraId="2E520250"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1,31 (0,60</w:t>
            </w:r>
            <w:r>
              <w:rPr>
                <w:rFonts w:ascii="Times New Roman" w:hAnsi="Times New Roman" w:cs="Times New Roman"/>
                <w:sz w:val="20"/>
                <w:szCs w:val="20"/>
              </w:rPr>
              <w:noBreakHyphen/>
              <w:t>2,83)</w:t>
            </w:r>
          </w:p>
          <w:p w14:paraId="1B2F952D"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1,46 (0,88</w:t>
            </w:r>
            <w:r>
              <w:rPr>
                <w:rFonts w:ascii="Times New Roman" w:hAnsi="Times New Roman" w:cs="Times New Roman"/>
                <w:sz w:val="20"/>
                <w:szCs w:val="20"/>
              </w:rPr>
              <w:noBreakHyphen/>
              <w:t>2,45)</w:t>
            </w:r>
          </w:p>
          <w:p w14:paraId="0B7A9839"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1,06 (0,76</w:t>
            </w:r>
            <w:r>
              <w:rPr>
                <w:rFonts w:ascii="Times New Roman" w:hAnsi="Times New Roman" w:cs="Times New Roman"/>
                <w:sz w:val="20"/>
                <w:szCs w:val="20"/>
              </w:rPr>
              <w:noBreakHyphen/>
              <w:t>1,49)</w:t>
            </w:r>
          </w:p>
          <w:p w14:paraId="792E7102"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1,19 (0,91</w:t>
            </w:r>
            <w:r>
              <w:rPr>
                <w:rFonts w:ascii="Times New Roman" w:hAnsi="Times New Roman" w:cs="Times New Roman"/>
                <w:b/>
                <w:sz w:val="20"/>
                <w:szCs w:val="20"/>
              </w:rPr>
              <w:noBreakHyphen/>
              <w:t>1,55)</w:t>
            </w:r>
          </w:p>
        </w:tc>
      </w:tr>
      <w:tr w:rsidR="00016F69" w14:paraId="6ED82A2C" w14:textId="77777777" w:rsidTr="00016F69">
        <w:trPr>
          <w:cantSplit/>
          <w:trHeight w:val="275"/>
        </w:trPr>
        <w:tc>
          <w:tcPr>
            <w:tcW w:w="2606" w:type="pct"/>
            <w:gridSpan w:val="3"/>
            <w:tcBorders>
              <w:top w:val="single" w:sz="4" w:space="0" w:color="auto"/>
              <w:left w:val="single" w:sz="4" w:space="0" w:color="auto"/>
              <w:bottom w:val="single" w:sz="4" w:space="0" w:color="auto"/>
              <w:right w:val="single" w:sz="4" w:space="0" w:color="auto"/>
            </w:tcBorders>
            <w:hideMark/>
          </w:tcPr>
          <w:p w14:paraId="27A68066"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Kun ilt (x</w:t>
            </w:r>
            <w:r>
              <w:rPr>
                <w:b/>
                <w:sz w:val="20"/>
                <w:vertAlign w:val="subscript"/>
              </w:rPr>
              <w:t>1</w:t>
            </w:r>
            <w:r>
              <w:rPr>
                <w:b/>
                <w:sz w:val="20"/>
                <w:vertAlign w:val="superscript"/>
              </w:rPr>
              <w:t>2</w:t>
            </w:r>
            <w:r>
              <w:rPr>
                <w:rFonts w:ascii="Times New Roman" w:hAnsi="Times New Roman" w:cs="Times New Roman"/>
                <w:b/>
                <w:sz w:val="20"/>
                <w:szCs w:val="20"/>
              </w:rPr>
              <w:t>= 2,54; p=0,11)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988466"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tcPr>
          <w:p w14:paraId="2B1C1180" w14:textId="77777777" w:rsidR="00016F69" w:rsidRDefault="00016F69">
            <w:pPr>
              <w:rPr>
                <w:rFonts w:ascii="Times New Roman" w:hAnsi="Times New Roman" w:cs="Times New Roman"/>
                <w:sz w:val="20"/>
                <w:szCs w:val="20"/>
              </w:rPr>
            </w:pPr>
          </w:p>
        </w:tc>
      </w:tr>
      <w:tr w:rsidR="00016F69" w14:paraId="53A2D98D" w14:textId="77777777" w:rsidTr="00016F69">
        <w:trPr>
          <w:cantSplit/>
          <w:trHeight w:val="842"/>
        </w:trPr>
        <w:tc>
          <w:tcPr>
            <w:tcW w:w="743" w:type="pct"/>
            <w:tcBorders>
              <w:top w:val="single" w:sz="4" w:space="0" w:color="auto"/>
              <w:left w:val="single" w:sz="4" w:space="0" w:color="auto"/>
              <w:bottom w:val="single" w:sz="4" w:space="0" w:color="auto"/>
              <w:right w:val="single" w:sz="4" w:space="0" w:color="auto"/>
            </w:tcBorders>
          </w:tcPr>
          <w:p w14:paraId="75D6CF8B"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&lt;70 </w:t>
            </w:r>
          </w:p>
          <w:p w14:paraId="4CE5078C"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≥70 &lt;80 </w:t>
            </w:r>
          </w:p>
          <w:p w14:paraId="095F7009"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≥80 </w:t>
            </w:r>
          </w:p>
          <w:p w14:paraId="2D59CB82"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Subtotal</w:t>
            </w:r>
          </w:p>
          <w:p w14:paraId="68E10394" w14:textId="77777777" w:rsidR="00016F69" w:rsidRDefault="00016F69">
            <w:pPr>
              <w:rPr>
                <w:rFonts w:ascii="Times New Roman" w:hAnsi="Times New Roman" w:cs="Times New Roman"/>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14:paraId="1B533E4D"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53/675 (7,9 %)</w:t>
            </w:r>
          </w:p>
          <w:p w14:paraId="6389DB46"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104/306 (34,0 %)</w:t>
            </w:r>
          </w:p>
          <w:p w14:paraId="3AADFB53"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141/298 (47,3 %)</w:t>
            </w:r>
          </w:p>
          <w:p w14:paraId="3F8F7266" w14:textId="77777777" w:rsidR="00016F69" w:rsidRDefault="00016F69">
            <w:pPr>
              <w:jc w:val="right"/>
              <w:rPr>
                <w:rFonts w:ascii="Times New Roman" w:hAnsi="Times New Roman" w:cs="Times New Roman"/>
                <w:b/>
                <w:bCs/>
                <w:sz w:val="20"/>
                <w:szCs w:val="20"/>
              </w:rPr>
            </w:pPr>
            <w:r>
              <w:rPr>
                <w:rFonts w:ascii="Times New Roman" w:hAnsi="Times New Roman" w:cs="Times New Roman"/>
                <w:b/>
                <w:bCs/>
                <w:sz w:val="20"/>
                <w:szCs w:val="20"/>
              </w:rPr>
              <w:t>2</w:t>
            </w:r>
            <w:r>
              <w:rPr>
                <w:b/>
                <w:bCs/>
                <w:sz w:val="20"/>
              </w:rPr>
              <w:t>98/1.</w:t>
            </w:r>
            <w:r>
              <w:rPr>
                <w:rFonts w:ascii="Times New Roman" w:hAnsi="Times New Roman" w:cs="Times New Roman"/>
                <w:b/>
                <w:bCs/>
                <w:sz w:val="20"/>
                <w:szCs w:val="20"/>
              </w:rPr>
              <w:t>279 (23.3</w:t>
            </w:r>
            <w:r>
              <w:rPr>
                <w:b/>
                <w:bCs/>
                <w:sz w:val="20"/>
              </w:rPr>
              <w:t xml:space="preserve"> </w:t>
            </w:r>
            <w:r>
              <w:rPr>
                <w:rFonts w:ascii="Times New Roman" w:hAnsi="Times New Roman" w:cs="Times New Roman"/>
                <w:b/>
                <w:bCs/>
                <w:sz w:val="20"/>
                <w:szCs w:val="20"/>
              </w:rPr>
              <w:t>%)</w:t>
            </w:r>
          </w:p>
        </w:tc>
        <w:tc>
          <w:tcPr>
            <w:tcW w:w="966" w:type="pct"/>
            <w:tcBorders>
              <w:top w:val="single" w:sz="4" w:space="0" w:color="auto"/>
              <w:left w:val="single" w:sz="4" w:space="0" w:color="auto"/>
              <w:bottom w:val="single" w:sz="4" w:space="0" w:color="auto"/>
              <w:right w:val="single" w:sz="4" w:space="0" w:color="auto"/>
            </w:tcBorders>
            <w:hideMark/>
          </w:tcPr>
          <w:p w14:paraId="7D248553"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193/1.473 (13,1 %)</w:t>
            </w:r>
          </w:p>
          <w:p w14:paraId="7D1BABEC"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178/531 (33,5 %)</w:t>
            </w:r>
          </w:p>
          <w:p w14:paraId="299F76CB"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311/600 (51,8 %)</w:t>
            </w:r>
          </w:p>
          <w:p w14:paraId="659D1F89"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682/2.604 (26,2 %)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CFCA26"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hideMark/>
          </w:tcPr>
          <w:p w14:paraId="598AE58D"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0,58 (0,43</w:t>
            </w:r>
            <w:r>
              <w:rPr>
                <w:rFonts w:ascii="Times New Roman" w:hAnsi="Times New Roman" w:cs="Times New Roman"/>
                <w:sz w:val="20"/>
                <w:szCs w:val="20"/>
              </w:rPr>
              <w:noBreakHyphen/>
              <w:t>0,78)</w:t>
            </w:r>
          </w:p>
          <w:p w14:paraId="40953295"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0,98 (0,77</w:t>
            </w:r>
            <w:r>
              <w:rPr>
                <w:rFonts w:ascii="Times New Roman" w:hAnsi="Times New Roman" w:cs="Times New Roman"/>
                <w:sz w:val="20"/>
                <w:szCs w:val="20"/>
              </w:rPr>
              <w:noBreakHyphen/>
              <w:t>1,25)</w:t>
            </w:r>
          </w:p>
          <w:p w14:paraId="36C2483C"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0,85 (0,70</w:t>
            </w:r>
            <w:r>
              <w:rPr>
                <w:rFonts w:ascii="Times New Roman" w:hAnsi="Times New Roman" w:cs="Times New Roman"/>
                <w:sz w:val="20"/>
                <w:szCs w:val="20"/>
              </w:rPr>
              <w:noBreakHyphen/>
              <w:t>1,04)</w:t>
            </w:r>
          </w:p>
          <w:p w14:paraId="5659F1EC"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0,82 (0,72</w:t>
            </w:r>
            <w:r>
              <w:rPr>
                <w:rFonts w:ascii="Times New Roman" w:hAnsi="Times New Roman" w:cs="Times New Roman"/>
                <w:b/>
                <w:sz w:val="20"/>
                <w:szCs w:val="20"/>
              </w:rPr>
              <w:noBreakHyphen/>
              <w:t>0,94)</w:t>
            </w:r>
          </w:p>
        </w:tc>
      </w:tr>
      <w:tr w:rsidR="00016F69" w14:paraId="49197F07" w14:textId="77777777" w:rsidTr="00016F69">
        <w:trPr>
          <w:cantSplit/>
        </w:trPr>
        <w:tc>
          <w:tcPr>
            <w:tcW w:w="2606" w:type="pct"/>
            <w:gridSpan w:val="3"/>
            <w:tcBorders>
              <w:top w:val="single" w:sz="4" w:space="0" w:color="auto"/>
              <w:left w:val="single" w:sz="4" w:space="0" w:color="auto"/>
              <w:bottom w:val="single" w:sz="4" w:space="0" w:color="auto"/>
              <w:right w:val="single" w:sz="4" w:space="0" w:color="auto"/>
            </w:tcBorders>
            <w:hideMark/>
          </w:tcPr>
          <w:p w14:paraId="2980E8DD"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Mekanisk ventilation (x</w:t>
            </w:r>
            <w:r>
              <w:rPr>
                <w:b/>
                <w:sz w:val="20"/>
                <w:vertAlign w:val="subscript"/>
              </w:rPr>
              <w:t>1</w:t>
            </w:r>
            <w:r>
              <w:rPr>
                <w:b/>
                <w:sz w:val="20"/>
                <w:vertAlign w:val="superscript"/>
              </w:rPr>
              <w:t>2</w:t>
            </w:r>
            <w:r>
              <w:rPr>
                <w:rFonts w:ascii="Times New Roman" w:hAnsi="Times New Roman" w:cs="Times New Roman"/>
                <w:b/>
                <w:sz w:val="20"/>
                <w:szCs w:val="20"/>
              </w:rPr>
              <w:t>= 0,28; p=0,60)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723CAD"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tcPr>
          <w:p w14:paraId="268EA33F" w14:textId="77777777" w:rsidR="00016F69" w:rsidRDefault="00016F69">
            <w:pPr>
              <w:rPr>
                <w:rFonts w:ascii="Times New Roman" w:hAnsi="Times New Roman" w:cs="Times New Roman"/>
                <w:sz w:val="20"/>
                <w:szCs w:val="20"/>
              </w:rPr>
            </w:pPr>
          </w:p>
        </w:tc>
      </w:tr>
      <w:tr w:rsidR="00016F69" w14:paraId="0F7128AB" w14:textId="77777777" w:rsidTr="00016F69">
        <w:trPr>
          <w:cantSplit/>
        </w:trPr>
        <w:tc>
          <w:tcPr>
            <w:tcW w:w="743" w:type="pct"/>
            <w:tcBorders>
              <w:top w:val="single" w:sz="4" w:space="0" w:color="auto"/>
              <w:left w:val="single" w:sz="4" w:space="0" w:color="auto"/>
              <w:bottom w:val="single" w:sz="4" w:space="0" w:color="auto"/>
              <w:right w:val="single" w:sz="4" w:space="0" w:color="auto"/>
            </w:tcBorders>
          </w:tcPr>
          <w:p w14:paraId="722B12E5"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&lt;70 </w:t>
            </w:r>
          </w:p>
          <w:p w14:paraId="7980D5D9"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≥70 &lt;80 </w:t>
            </w:r>
          </w:p>
          <w:p w14:paraId="5E98CD02"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 xml:space="preserve">≥80 </w:t>
            </w:r>
          </w:p>
          <w:p w14:paraId="26FDA437"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Subtotal</w:t>
            </w:r>
          </w:p>
          <w:p w14:paraId="6B918754" w14:textId="77777777" w:rsidR="00016F69" w:rsidRDefault="00016F69">
            <w:pPr>
              <w:rPr>
                <w:rFonts w:ascii="Times New Roman" w:hAnsi="Times New Roman" w:cs="Times New Roman"/>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14:paraId="490187F1"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66/269 (24,5 %)</w:t>
            </w:r>
          </w:p>
          <w:p w14:paraId="5AC90E14"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26/49 (53,1 %)</w:t>
            </w:r>
          </w:p>
          <w:p w14:paraId="6E2DF3D3"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3/6 (50,0 %)</w:t>
            </w:r>
          </w:p>
          <w:p w14:paraId="73EFC854" w14:textId="77777777" w:rsidR="00016F69" w:rsidRDefault="00016F69">
            <w:pPr>
              <w:jc w:val="right"/>
              <w:rPr>
                <w:rFonts w:ascii="Times New Roman" w:hAnsi="Times New Roman" w:cs="Times New Roman"/>
                <w:b/>
                <w:bCs/>
                <w:sz w:val="20"/>
                <w:szCs w:val="20"/>
              </w:rPr>
            </w:pPr>
            <w:r>
              <w:rPr>
                <w:rFonts w:ascii="Times New Roman" w:hAnsi="Times New Roman" w:cs="Times New Roman"/>
                <w:b/>
                <w:bCs/>
                <w:sz w:val="20"/>
                <w:szCs w:val="20"/>
              </w:rPr>
              <w:t>95/324 (29,3 %)</w:t>
            </w:r>
          </w:p>
        </w:tc>
        <w:tc>
          <w:tcPr>
            <w:tcW w:w="966" w:type="pct"/>
            <w:tcBorders>
              <w:top w:val="single" w:sz="4" w:space="0" w:color="auto"/>
              <w:left w:val="single" w:sz="4" w:space="0" w:color="auto"/>
              <w:bottom w:val="single" w:sz="4" w:space="0" w:color="auto"/>
              <w:right w:val="single" w:sz="4" w:space="0" w:color="auto"/>
            </w:tcBorders>
            <w:hideMark/>
          </w:tcPr>
          <w:p w14:paraId="50E54742"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217/569 (38,1 %)</w:t>
            </w:r>
          </w:p>
          <w:p w14:paraId="06EB9BDA"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58/104 (55,8 %)</w:t>
            </w:r>
          </w:p>
          <w:p w14:paraId="17C6AAC0" w14:textId="77777777" w:rsidR="00016F69" w:rsidRDefault="00016F69">
            <w:pPr>
              <w:jc w:val="right"/>
              <w:rPr>
                <w:rFonts w:ascii="Times New Roman" w:hAnsi="Times New Roman" w:cs="Times New Roman"/>
                <w:sz w:val="20"/>
                <w:szCs w:val="20"/>
              </w:rPr>
            </w:pPr>
            <w:r>
              <w:rPr>
                <w:rFonts w:ascii="Times New Roman" w:hAnsi="Times New Roman" w:cs="Times New Roman"/>
                <w:sz w:val="20"/>
                <w:szCs w:val="20"/>
              </w:rPr>
              <w:t>8/10 (80,0 %)</w:t>
            </w:r>
          </w:p>
          <w:p w14:paraId="3B915633"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283/683 (41,4 %)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A4C32F"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hideMark/>
          </w:tcPr>
          <w:p w14:paraId="38E0C80D"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0,61 (0,46-0,81)</w:t>
            </w:r>
          </w:p>
          <w:p w14:paraId="22677CBB"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0,85 (0,53-1,34)</w:t>
            </w:r>
          </w:p>
          <w:p w14:paraId="7728DBE3" w14:textId="77777777" w:rsidR="00016F69" w:rsidRDefault="00016F69">
            <w:pPr>
              <w:rPr>
                <w:rFonts w:ascii="Times New Roman" w:hAnsi="Times New Roman" w:cs="Times New Roman"/>
                <w:sz w:val="20"/>
                <w:szCs w:val="20"/>
              </w:rPr>
            </w:pPr>
            <w:r>
              <w:rPr>
                <w:rFonts w:ascii="Times New Roman" w:hAnsi="Times New Roman" w:cs="Times New Roman"/>
                <w:sz w:val="20"/>
                <w:szCs w:val="20"/>
              </w:rPr>
              <w:t>0,39 (0,10-1,47)</w:t>
            </w:r>
          </w:p>
          <w:p w14:paraId="75887804"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0,64 (0,51-0,81)</w:t>
            </w:r>
          </w:p>
        </w:tc>
      </w:tr>
      <w:tr w:rsidR="00016F69" w14:paraId="58A73D23" w14:textId="77777777" w:rsidTr="00016F69">
        <w:trPr>
          <w:cantSplit/>
        </w:trPr>
        <w:tc>
          <w:tcPr>
            <w:tcW w:w="743" w:type="pct"/>
            <w:tcBorders>
              <w:top w:val="single" w:sz="4" w:space="0" w:color="auto"/>
              <w:left w:val="single" w:sz="4" w:space="0" w:color="auto"/>
              <w:bottom w:val="single" w:sz="4" w:space="0" w:color="auto"/>
              <w:right w:val="single" w:sz="4" w:space="0" w:color="auto"/>
            </w:tcBorders>
          </w:tcPr>
          <w:p w14:paraId="0331DB4D"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Alle deltagere</w:t>
            </w:r>
          </w:p>
          <w:p w14:paraId="2AB6CEC6" w14:textId="77777777" w:rsidR="00016F69" w:rsidRDefault="00016F69">
            <w:pPr>
              <w:rPr>
                <w:rFonts w:ascii="Times New Roman" w:hAnsi="Times New Roman" w:cs="Times New Roman"/>
                <w:b/>
                <w:sz w:val="20"/>
                <w:szCs w:val="20"/>
              </w:rPr>
            </w:pPr>
          </w:p>
          <w:p w14:paraId="42274571" w14:textId="77777777" w:rsidR="00016F69" w:rsidRDefault="00016F69">
            <w:pPr>
              <w:rPr>
                <w:rFonts w:ascii="Times New Roman" w:hAnsi="Times New Roman" w:cs="Times New Roman"/>
                <w:b/>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14:paraId="779FE3C7"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482/2.104 (22,9 %)</w:t>
            </w:r>
          </w:p>
        </w:tc>
        <w:tc>
          <w:tcPr>
            <w:tcW w:w="966" w:type="pct"/>
            <w:tcBorders>
              <w:top w:val="single" w:sz="4" w:space="0" w:color="auto"/>
              <w:left w:val="single" w:sz="4" w:space="0" w:color="auto"/>
              <w:bottom w:val="single" w:sz="4" w:space="0" w:color="auto"/>
              <w:right w:val="single" w:sz="4" w:space="0" w:color="auto"/>
            </w:tcBorders>
            <w:hideMark/>
          </w:tcPr>
          <w:p w14:paraId="4BF2406E"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1.110/4321 (25,7 %)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E8E9C" w14:textId="77777777" w:rsidR="00016F69" w:rsidRDefault="00016F69">
            <w:pPr>
              <w:rPr>
                <w:rFonts w:ascii="Times New Roman" w:hAnsi="Times New Roman" w:cs="Times New Roman"/>
                <w:sz w:val="24"/>
                <w:szCs w:val="24"/>
              </w:rPr>
            </w:pPr>
          </w:p>
        </w:tc>
        <w:tc>
          <w:tcPr>
            <w:tcW w:w="994" w:type="pct"/>
            <w:tcBorders>
              <w:top w:val="single" w:sz="4" w:space="0" w:color="auto"/>
              <w:left w:val="single" w:sz="4" w:space="0" w:color="auto"/>
              <w:bottom w:val="single" w:sz="4" w:space="0" w:color="auto"/>
              <w:right w:val="single" w:sz="4" w:space="0" w:color="auto"/>
            </w:tcBorders>
            <w:hideMark/>
          </w:tcPr>
          <w:p w14:paraId="08D1B790"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0,83 (0,75-0,93)</w:t>
            </w:r>
          </w:p>
          <w:p w14:paraId="707BCE53" w14:textId="77777777" w:rsidR="00016F69" w:rsidRDefault="00016F69">
            <w:pPr>
              <w:rPr>
                <w:rFonts w:ascii="Times New Roman" w:hAnsi="Times New Roman" w:cs="Times New Roman"/>
                <w:sz w:val="20"/>
                <w:szCs w:val="20"/>
              </w:rPr>
            </w:pPr>
            <w:r>
              <w:rPr>
                <w:rFonts w:ascii="Times New Roman" w:hAnsi="Times New Roman" w:cs="Times New Roman"/>
                <w:b/>
                <w:sz w:val="20"/>
                <w:szCs w:val="20"/>
              </w:rPr>
              <w:t>p &lt;0,001</w:t>
            </w:r>
          </w:p>
        </w:tc>
      </w:tr>
      <w:tr w:rsidR="00016F69" w14:paraId="6E56F27A" w14:textId="77777777" w:rsidTr="00016F69">
        <w:trPr>
          <w:cantSplit/>
        </w:trPr>
        <w:tc>
          <w:tcPr>
            <w:tcW w:w="3451" w:type="pct"/>
            <w:gridSpan w:val="4"/>
            <w:tcBorders>
              <w:top w:val="single" w:sz="4" w:space="0" w:color="auto"/>
              <w:left w:val="single" w:sz="4" w:space="0" w:color="auto"/>
              <w:bottom w:val="single" w:sz="4" w:space="0" w:color="auto"/>
              <w:right w:val="single" w:sz="4" w:space="0" w:color="auto"/>
            </w:tcBorders>
            <w:hideMark/>
          </w:tcPr>
          <w:p w14:paraId="22E152A4"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 xml:space="preserve">Dexamethason </w:t>
            </w:r>
          </w:p>
          <w:p w14:paraId="392C18C6" w14:textId="77777777" w:rsidR="00016F69" w:rsidRDefault="00016F69">
            <w:pPr>
              <w:jc w:val="right"/>
              <w:rPr>
                <w:rFonts w:ascii="Times New Roman" w:hAnsi="Times New Roman" w:cs="Times New Roman"/>
                <w:b/>
                <w:sz w:val="20"/>
                <w:szCs w:val="20"/>
              </w:rPr>
            </w:pPr>
            <w:r>
              <w:rPr>
                <w:rFonts w:ascii="Times New Roman" w:hAnsi="Times New Roman" w:cs="Times New Roman"/>
                <w:b/>
                <w:sz w:val="20"/>
                <w:szCs w:val="20"/>
              </w:rPr>
              <w:t>bedre</w:t>
            </w:r>
          </w:p>
          <w:p w14:paraId="6BBF2A6F" w14:textId="77777777" w:rsidR="00016F69" w:rsidRDefault="00016F69">
            <w:pPr>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1549" w:type="pct"/>
            <w:gridSpan w:val="2"/>
            <w:tcBorders>
              <w:top w:val="single" w:sz="4" w:space="0" w:color="auto"/>
              <w:left w:val="single" w:sz="4" w:space="0" w:color="auto"/>
              <w:bottom w:val="single" w:sz="4" w:space="0" w:color="auto"/>
              <w:right w:val="single" w:sz="4" w:space="0" w:color="auto"/>
            </w:tcBorders>
          </w:tcPr>
          <w:p w14:paraId="1FCBE19B"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 xml:space="preserve">Almindelig pleje </w:t>
            </w:r>
          </w:p>
          <w:p w14:paraId="6B9AC5C2" w14:textId="77777777" w:rsidR="00016F69" w:rsidRDefault="00016F69">
            <w:pPr>
              <w:rPr>
                <w:rFonts w:ascii="Times New Roman" w:hAnsi="Times New Roman" w:cs="Times New Roman"/>
                <w:b/>
                <w:sz w:val="20"/>
                <w:szCs w:val="20"/>
              </w:rPr>
            </w:pPr>
            <w:r>
              <w:rPr>
                <w:rFonts w:ascii="Times New Roman" w:hAnsi="Times New Roman" w:cs="Times New Roman"/>
                <w:b/>
                <w:sz w:val="20"/>
                <w:szCs w:val="20"/>
              </w:rPr>
              <w:t>bedre</w:t>
            </w:r>
          </w:p>
          <w:p w14:paraId="2BA18423" w14:textId="77777777" w:rsidR="00016F69" w:rsidRDefault="00016F69">
            <w:pPr>
              <w:rPr>
                <w:rFonts w:ascii="Times New Roman" w:hAnsi="Times New Roman" w:cs="Times New Roman"/>
                <w:b/>
                <w:sz w:val="20"/>
                <w:szCs w:val="20"/>
              </w:rPr>
            </w:pPr>
          </w:p>
        </w:tc>
      </w:tr>
    </w:tbl>
    <w:p w14:paraId="18A12244" w14:textId="77777777" w:rsidR="00016F69" w:rsidRDefault="00016F69" w:rsidP="00016F69">
      <w:pPr>
        <w:tabs>
          <w:tab w:val="left" w:pos="851"/>
        </w:tabs>
        <w:ind w:left="851"/>
        <w:rPr>
          <w:sz w:val="24"/>
          <w:szCs w:val="24"/>
        </w:rPr>
      </w:pPr>
    </w:p>
    <w:p w14:paraId="78AC4C90" w14:textId="77777777" w:rsidR="00016F69" w:rsidRDefault="00016F69" w:rsidP="00016F69">
      <w:pPr>
        <w:tabs>
          <w:tab w:val="left" w:pos="851"/>
        </w:tabs>
        <w:ind w:left="851"/>
        <w:rPr>
          <w:b/>
          <w:bCs/>
          <w:i/>
          <w:iCs/>
          <w:sz w:val="24"/>
          <w:szCs w:val="24"/>
          <w:vertAlign w:val="superscript"/>
        </w:rPr>
      </w:pPr>
      <w:r>
        <w:rPr>
          <w:b/>
          <w:bCs/>
          <w:i/>
          <w:iCs/>
          <w:sz w:val="24"/>
          <w:szCs w:val="24"/>
        </w:rPr>
        <w:t xml:space="preserve">Effekt af tildeling af </w:t>
      </w:r>
      <w:proofErr w:type="spellStart"/>
      <w:r>
        <w:rPr>
          <w:b/>
          <w:bCs/>
          <w:i/>
          <w:iCs/>
          <w:sz w:val="24"/>
          <w:szCs w:val="24"/>
        </w:rPr>
        <w:t>dexamethason</w:t>
      </w:r>
      <w:proofErr w:type="spellEnd"/>
      <w:r>
        <w:rPr>
          <w:b/>
          <w:bCs/>
          <w:i/>
          <w:iCs/>
          <w:sz w:val="24"/>
          <w:szCs w:val="24"/>
        </w:rPr>
        <w:t xml:space="preserve"> på dødeligheden efter 28 dage, efter respiratorisk støtte modtaget ved </w:t>
      </w:r>
      <w:proofErr w:type="spellStart"/>
      <w:r>
        <w:rPr>
          <w:b/>
          <w:bCs/>
          <w:i/>
          <w:iCs/>
          <w:sz w:val="24"/>
          <w:szCs w:val="24"/>
        </w:rPr>
        <w:t>randomisering</w:t>
      </w:r>
      <w:proofErr w:type="spellEnd"/>
      <w:r>
        <w:rPr>
          <w:b/>
          <w:bCs/>
          <w:i/>
          <w:iCs/>
          <w:sz w:val="24"/>
          <w:szCs w:val="24"/>
        </w:rPr>
        <w:t xml:space="preserve"> og anamnese med kronisk sygdom.</w:t>
      </w:r>
      <w:r>
        <w:rPr>
          <w:b/>
          <w:bCs/>
          <w:i/>
          <w:iCs/>
          <w:sz w:val="24"/>
          <w:szCs w:val="24"/>
          <w:vertAlign w:val="superscript"/>
        </w:rPr>
        <w:t>2</w:t>
      </w:r>
    </w:p>
    <w:p w14:paraId="0502238E" w14:textId="77777777" w:rsidR="00016F69" w:rsidRDefault="00016F69" w:rsidP="00016F69">
      <w:pPr>
        <w:tabs>
          <w:tab w:val="left" w:pos="851"/>
        </w:tabs>
        <w:ind w:left="851"/>
        <w:rPr>
          <w:sz w:val="24"/>
          <w:szCs w:val="24"/>
        </w:rPr>
      </w:pPr>
    </w:p>
    <w:tbl>
      <w:tblPr>
        <w:tblStyle w:val="Tabel-Gitter"/>
        <w:tblW w:w="5200" w:type="pct"/>
        <w:tblInd w:w="279" w:type="dxa"/>
        <w:tblLook w:val="04A0" w:firstRow="1" w:lastRow="0" w:firstColumn="1" w:lastColumn="0" w:noHBand="0" w:noVBand="1"/>
      </w:tblPr>
      <w:tblGrid>
        <w:gridCol w:w="2087"/>
        <w:gridCol w:w="1672"/>
        <w:gridCol w:w="1817"/>
        <w:gridCol w:w="1744"/>
        <w:gridCol w:w="1172"/>
        <w:gridCol w:w="1521"/>
      </w:tblGrid>
      <w:tr w:rsidR="00016F69" w14:paraId="38CFB03B" w14:textId="77777777" w:rsidTr="00016F69">
        <w:tc>
          <w:tcPr>
            <w:tcW w:w="1053" w:type="pct"/>
            <w:tcBorders>
              <w:top w:val="single" w:sz="4" w:space="0" w:color="auto"/>
              <w:left w:val="single" w:sz="4" w:space="0" w:color="auto"/>
              <w:bottom w:val="single" w:sz="4" w:space="0" w:color="auto"/>
              <w:right w:val="single" w:sz="4" w:space="0" w:color="auto"/>
            </w:tcBorders>
          </w:tcPr>
          <w:p w14:paraId="3E1AC026" w14:textId="77777777" w:rsidR="00016F69" w:rsidRDefault="00016F69">
            <w:pPr>
              <w:rPr>
                <w:rFonts w:eastAsia="Calibri"/>
                <w:sz w:val="18"/>
                <w:szCs w:val="18"/>
              </w:rPr>
            </w:pPr>
          </w:p>
        </w:tc>
        <w:tc>
          <w:tcPr>
            <w:tcW w:w="846" w:type="pct"/>
            <w:tcBorders>
              <w:top w:val="single" w:sz="4" w:space="0" w:color="auto"/>
              <w:left w:val="single" w:sz="4" w:space="0" w:color="auto"/>
              <w:bottom w:val="single" w:sz="4" w:space="0" w:color="auto"/>
              <w:right w:val="single" w:sz="4" w:space="0" w:color="auto"/>
            </w:tcBorders>
            <w:hideMark/>
          </w:tcPr>
          <w:p w14:paraId="234A492C"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Dexamethason</w:t>
            </w:r>
          </w:p>
        </w:tc>
        <w:tc>
          <w:tcPr>
            <w:tcW w:w="917" w:type="pct"/>
            <w:tcBorders>
              <w:top w:val="single" w:sz="4" w:space="0" w:color="auto"/>
              <w:left w:val="single" w:sz="4" w:space="0" w:color="auto"/>
              <w:bottom w:val="single" w:sz="4" w:space="0" w:color="auto"/>
              <w:right w:val="single" w:sz="4" w:space="0" w:color="auto"/>
            </w:tcBorders>
            <w:hideMark/>
          </w:tcPr>
          <w:p w14:paraId="73E5EEE1"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Almindelig pleje</w:t>
            </w:r>
          </w:p>
        </w:tc>
        <w:tc>
          <w:tcPr>
            <w:tcW w:w="1413" w:type="pct"/>
            <w:gridSpan w:val="2"/>
            <w:vMerge w:val="restart"/>
            <w:tcBorders>
              <w:top w:val="single" w:sz="4" w:space="0" w:color="auto"/>
              <w:left w:val="single" w:sz="4" w:space="0" w:color="auto"/>
              <w:bottom w:val="single" w:sz="4" w:space="0" w:color="auto"/>
              <w:right w:val="single" w:sz="4" w:space="0" w:color="auto"/>
            </w:tcBorders>
            <w:hideMark/>
          </w:tcPr>
          <w:p w14:paraId="570A1C08"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noProof/>
                <w:sz w:val="18"/>
                <w:szCs w:val="18"/>
                <w:lang w:eastAsia="sl-SI"/>
              </w:rPr>
              <w:t xml:space="preserve">          </w:t>
            </w:r>
            <w:r>
              <w:rPr>
                <w:rFonts w:ascii="Times New Roman" w:eastAsia="Times New Roman" w:hAnsi="Times New Roman" w:cs="Times New Roman"/>
                <w:sz w:val="16"/>
                <w:szCs w:val="16"/>
                <w:lang w:val="da-DK"/>
              </w:rPr>
              <w:object w:dxaOrig="2700" w:dyaOrig="4320" w14:anchorId="6544AF30">
                <v:shape id="_x0000_i1026" type="#_x0000_t75" style="width:135.15pt;height:3in" o:ole="">
                  <v:imagedata r:id="rId11" o:title=""/>
                </v:shape>
                <o:OLEObject Type="Embed" ProgID="PBrush" ShapeID="_x0000_i1026" DrawAspect="Content" ObjectID="_1761984766" r:id="rId12"/>
              </w:object>
            </w:r>
          </w:p>
        </w:tc>
        <w:tc>
          <w:tcPr>
            <w:tcW w:w="770" w:type="pct"/>
            <w:tcBorders>
              <w:top w:val="single" w:sz="4" w:space="0" w:color="auto"/>
              <w:left w:val="single" w:sz="4" w:space="0" w:color="auto"/>
              <w:bottom w:val="single" w:sz="4" w:space="0" w:color="auto"/>
              <w:right w:val="single" w:sz="4" w:space="0" w:color="auto"/>
            </w:tcBorders>
            <w:hideMark/>
          </w:tcPr>
          <w:p w14:paraId="39E24722"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RR (95 % Cl)</w:t>
            </w:r>
          </w:p>
        </w:tc>
      </w:tr>
      <w:tr w:rsidR="00016F69" w14:paraId="72FAEFDD" w14:textId="77777777" w:rsidTr="00016F69">
        <w:tc>
          <w:tcPr>
            <w:tcW w:w="2817" w:type="pct"/>
            <w:gridSpan w:val="3"/>
            <w:tcBorders>
              <w:top w:val="single" w:sz="4" w:space="0" w:color="auto"/>
              <w:left w:val="single" w:sz="4" w:space="0" w:color="auto"/>
              <w:bottom w:val="single" w:sz="4" w:space="0" w:color="auto"/>
              <w:right w:val="single" w:sz="4" w:space="0" w:color="auto"/>
            </w:tcBorders>
            <w:hideMark/>
          </w:tcPr>
          <w:p w14:paraId="12A888D9"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Ingen ilt (x</w:t>
            </w:r>
            <w:r>
              <w:rPr>
                <w:rFonts w:eastAsia="Calibri"/>
                <w:b/>
                <w:sz w:val="18"/>
                <w:szCs w:val="18"/>
                <w:vertAlign w:val="subscript"/>
              </w:rPr>
              <w:t>1</w:t>
            </w:r>
            <w:r>
              <w:rPr>
                <w:rFonts w:eastAsia="Calibri"/>
                <w:b/>
                <w:sz w:val="18"/>
                <w:szCs w:val="18"/>
                <w:vertAlign w:val="superscript"/>
              </w:rPr>
              <w:t>2</w:t>
            </w:r>
            <w:r>
              <w:rPr>
                <w:rFonts w:ascii="Times New Roman" w:eastAsia="Calibri" w:hAnsi="Times New Roman" w:cs="Times New Roman"/>
                <w:b/>
                <w:sz w:val="18"/>
                <w:szCs w:val="18"/>
              </w:rPr>
              <w:t>= 0,08; p=0,78)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96B642"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tcPr>
          <w:p w14:paraId="3EDB027B" w14:textId="77777777" w:rsidR="00016F69" w:rsidRDefault="00016F69">
            <w:pPr>
              <w:rPr>
                <w:rFonts w:ascii="Times New Roman" w:eastAsia="Calibri" w:hAnsi="Times New Roman" w:cs="Times New Roman"/>
                <w:sz w:val="18"/>
                <w:szCs w:val="18"/>
              </w:rPr>
            </w:pPr>
          </w:p>
        </w:tc>
      </w:tr>
      <w:tr w:rsidR="00016F69" w14:paraId="4F9D0CA1" w14:textId="77777777" w:rsidTr="00016F69">
        <w:trPr>
          <w:trHeight w:val="925"/>
        </w:trPr>
        <w:tc>
          <w:tcPr>
            <w:tcW w:w="1053" w:type="pct"/>
            <w:tcBorders>
              <w:top w:val="single" w:sz="4" w:space="0" w:color="auto"/>
              <w:left w:val="single" w:sz="4" w:space="0" w:color="auto"/>
              <w:bottom w:val="single" w:sz="4" w:space="0" w:color="auto"/>
              <w:right w:val="single" w:sz="4" w:space="0" w:color="auto"/>
            </w:tcBorders>
            <w:hideMark/>
          </w:tcPr>
          <w:p w14:paraId="1FD0E08E"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Tidligere sygdom</w:t>
            </w:r>
          </w:p>
          <w:p w14:paraId="2B437763"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Ingen tidligere sygdom</w:t>
            </w:r>
          </w:p>
          <w:p w14:paraId="5647D599"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 xml:space="preserve">Subtotal </w:t>
            </w:r>
          </w:p>
        </w:tc>
        <w:tc>
          <w:tcPr>
            <w:tcW w:w="846" w:type="pct"/>
            <w:tcBorders>
              <w:top w:val="single" w:sz="4" w:space="0" w:color="auto"/>
              <w:left w:val="single" w:sz="4" w:space="0" w:color="auto"/>
              <w:bottom w:val="single" w:sz="4" w:space="0" w:color="auto"/>
              <w:right w:val="single" w:sz="4" w:space="0" w:color="auto"/>
            </w:tcBorders>
            <w:hideMark/>
          </w:tcPr>
          <w:p w14:paraId="1CDA371C"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65/313 (20,8 %)</w:t>
            </w:r>
          </w:p>
          <w:p w14:paraId="7A80EF8E"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24/188 (12,8 %)</w:t>
            </w:r>
          </w:p>
          <w:p w14:paraId="3F73183E"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89/501 (17,8 %)</w:t>
            </w:r>
          </w:p>
        </w:tc>
        <w:tc>
          <w:tcPr>
            <w:tcW w:w="917" w:type="pct"/>
            <w:tcBorders>
              <w:top w:val="single" w:sz="4" w:space="0" w:color="auto"/>
              <w:left w:val="single" w:sz="4" w:space="0" w:color="auto"/>
              <w:bottom w:val="single" w:sz="4" w:space="0" w:color="auto"/>
              <w:right w:val="single" w:sz="4" w:space="0" w:color="auto"/>
            </w:tcBorders>
            <w:hideMark/>
          </w:tcPr>
          <w:p w14:paraId="3D75CD87"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100/598 (16,7 %)</w:t>
            </w:r>
          </w:p>
          <w:p w14:paraId="6B5A8710"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45/436 (10,3 %)</w:t>
            </w:r>
          </w:p>
          <w:p w14:paraId="0AFC548C"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145/1.034 (14,0 %)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442959"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hideMark/>
          </w:tcPr>
          <w:p w14:paraId="0AF2EE70"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1,22 (0,89–1,66)</w:t>
            </w:r>
          </w:p>
          <w:p w14:paraId="24B1ED85"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1,12 (0,68–1,83)</w:t>
            </w:r>
          </w:p>
          <w:p w14:paraId="58F1CEF2"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1,19 (0,91</w:t>
            </w:r>
            <w:r>
              <w:rPr>
                <w:rFonts w:ascii="Times New Roman" w:eastAsia="Calibri" w:hAnsi="Times New Roman" w:cs="Times New Roman"/>
                <w:b/>
                <w:sz w:val="18"/>
                <w:szCs w:val="18"/>
              </w:rPr>
              <w:noBreakHyphen/>
              <w:t>1,55)</w:t>
            </w:r>
          </w:p>
        </w:tc>
      </w:tr>
      <w:tr w:rsidR="00016F69" w14:paraId="4EC144C5" w14:textId="77777777" w:rsidTr="00016F69">
        <w:trPr>
          <w:trHeight w:val="275"/>
        </w:trPr>
        <w:tc>
          <w:tcPr>
            <w:tcW w:w="2817" w:type="pct"/>
            <w:gridSpan w:val="3"/>
            <w:tcBorders>
              <w:top w:val="single" w:sz="4" w:space="0" w:color="auto"/>
              <w:left w:val="single" w:sz="4" w:space="0" w:color="auto"/>
              <w:bottom w:val="single" w:sz="4" w:space="0" w:color="auto"/>
              <w:right w:val="single" w:sz="4" w:space="0" w:color="auto"/>
            </w:tcBorders>
            <w:hideMark/>
          </w:tcPr>
          <w:p w14:paraId="56FA59D9"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Kun ilt (x</w:t>
            </w:r>
            <w:r>
              <w:rPr>
                <w:rFonts w:eastAsia="Calibri"/>
                <w:b/>
                <w:sz w:val="18"/>
                <w:szCs w:val="18"/>
                <w:vertAlign w:val="subscript"/>
              </w:rPr>
              <w:t>1</w:t>
            </w:r>
            <w:r>
              <w:rPr>
                <w:rFonts w:eastAsia="Calibri"/>
                <w:b/>
                <w:sz w:val="18"/>
                <w:szCs w:val="18"/>
                <w:vertAlign w:val="superscript"/>
              </w:rPr>
              <w:t>2</w:t>
            </w:r>
            <w:r>
              <w:rPr>
                <w:rFonts w:ascii="Times New Roman" w:eastAsia="Calibri" w:hAnsi="Times New Roman" w:cs="Times New Roman"/>
                <w:b/>
                <w:sz w:val="18"/>
                <w:szCs w:val="18"/>
              </w:rPr>
              <w:t>= 2,05; p=0,15)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55C01C"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tcPr>
          <w:p w14:paraId="3DB7C9B0" w14:textId="77777777" w:rsidR="00016F69" w:rsidRDefault="00016F69">
            <w:pPr>
              <w:rPr>
                <w:rFonts w:ascii="Times New Roman" w:eastAsia="Calibri" w:hAnsi="Times New Roman" w:cs="Times New Roman"/>
                <w:sz w:val="18"/>
                <w:szCs w:val="18"/>
              </w:rPr>
            </w:pPr>
          </w:p>
        </w:tc>
      </w:tr>
      <w:tr w:rsidR="00016F69" w14:paraId="5F569945" w14:textId="77777777" w:rsidTr="00016F69">
        <w:trPr>
          <w:trHeight w:val="842"/>
        </w:trPr>
        <w:tc>
          <w:tcPr>
            <w:tcW w:w="1053" w:type="pct"/>
            <w:tcBorders>
              <w:top w:val="single" w:sz="4" w:space="0" w:color="auto"/>
              <w:left w:val="single" w:sz="4" w:space="0" w:color="auto"/>
              <w:bottom w:val="single" w:sz="4" w:space="0" w:color="auto"/>
              <w:right w:val="single" w:sz="4" w:space="0" w:color="auto"/>
            </w:tcBorders>
          </w:tcPr>
          <w:p w14:paraId="67781F9E"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Tidligere sygdom</w:t>
            </w:r>
          </w:p>
          <w:p w14:paraId="0661D960"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Ingen tidligere sygdom</w:t>
            </w:r>
          </w:p>
          <w:p w14:paraId="72DCFDB5"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Subtotal</w:t>
            </w:r>
          </w:p>
          <w:p w14:paraId="22FDEDAF" w14:textId="77777777" w:rsidR="00016F69" w:rsidRDefault="00016F69">
            <w:pPr>
              <w:rPr>
                <w:rFonts w:ascii="Times New Roman" w:eastAsia="Calibri" w:hAnsi="Times New Roman" w:cs="Times New Roman"/>
                <w:sz w:val="18"/>
                <w:szCs w:val="18"/>
              </w:rPr>
            </w:pPr>
          </w:p>
        </w:tc>
        <w:tc>
          <w:tcPr>
            <w:tcW w:w="846" w:type="pct"/>
            <w:tcBorders>
              <w:top w:val="single" w:sz="4" w:space="0" w:color="auto"/>
              <w:left w:val="single" w:sz="4" w:space="0" w:color="auto"/>
              <w:bottom w:val="single" w:sz="4" w:space="0" w:color="auto"/>
              <w:right w:val="single" w:sz="4" w:space="0" w:color="auto"/>
            </w:tcBorders>
            <w:hideMark/>
          </w:tcPr>
          <w:p w14:paraId="02941FD4"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221/702 (31,5 %)</w:t>
            </w:r>
          </w:p>
          <w:p w14:paraId="0795C5E9"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sz w:val="18"/>
                <w:szCs w:val="18"/>
              </w:rPr>
              <w:t xml:space="preserve">77/577 (13,3 %) </w:t>
            </w:r>
            <w:r>
              <w:rPr>
                <w:rFonts w:ascii="Times New Roman" w:eastAsia="Calibri" w:hAnsi="Times New Roman" w:cs="Times New Roman"/>
                <w:b/>
                <w:sz w:val="18"/>
                <w:szCs w:val="18"/>
              </w:rPr>
              <w:t>298/1.279 (23,3 %)</w:t>
            </w:r>
          </w:p>
        </w:tc>
        <w:tc>
          <w:tcPr>
            <w:tcW w:w="917" w:type="pct"/>
            <w:tcBorders>
              <w:top w:val="single" w:sz="4" w:space="0" w:color="auto"/>
              <w:left w:val="single" w:sz="4" w:space="0" w:color="auto"/>
              <w:bottom w:val="single" w:sz="4" w:space="0" w:color="auto"/>
              <w:right w:val="single" w:sz="4" w:space="0" w:color="auto"/>
            </w:tcBorders>
            <w:hideMark/>
          </w:tcPr>
          <w:p w14:paraId="17D63079"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481/1.473 (32,7 %)</w:t>
            </w:r>
          </w:p>
          <w:p w14:paraId="0F0E5E9A"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201/1.131 (17,8 %)</w:t>
            </w:r>
          </w:p>
          <w:p w14:paraId="354FFD92"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682/2.604 (26,2 %)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BF8E09"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hideMark/>
          </w:tcPr>
          <w:p w14:paraId="47B8D61C"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0,88 (0,75–1,03)</w:t>
            </w:r>
          </w:p>
          <w:p w14:paraId="18FAC272"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0,70 (0,54–0,91)</w:t>
            </w:r>
          </w:p>
          <w:p w14:paraId="670253D2"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0,82 (0,72</w:t>
            </w:r>
            <w:r>
              <w:rPr>
                <w:rFonts w:ascii="Times New Roman" w:eastAsia="Calibri" w:hAnsi="Times New Roman" w:cs="Times New Roman"/>
                <w:b/>
                <w:sz w:val="18"/>
                <w:szCs w:val="18"/>
              </w:rPr>
              <w:noBreakHyphen/>
              <w:t>0,94)</w:t>
            </w:r>
          </w:p>
        </w:tc>
      </w:tr>
      <w:tr w:rsidR="00016F69" w14:paraId="28D262F1" w14:textId="77777777" w:rsidTr="00016F69">
        <w:tc>
          <w:tcPr>
            <w:tcW w:w="2817" w:type="pct"/>
            <w:gridSpan w:val="3"/>
            <w:tcBorders>
              <w:top w:val="single" w:sz="4" w:space="0" w:color="auto"/>
              <w:left w:val="single" w:sz="4" w:space="0" w:color="auto"/>
              <w:bottom w:val="single" w:sz="4" w:space="0" w:color="auto"/>
              <w:right w:val="single" w:sz="4" w:space="0" w:color="auto"/>
            </w:tcBorders>
            <w:hideMark/>
          </w:tcPr>
          <w:p w14:paraId="1842E12F"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Mekanisk ventilation (x</w:t>
            </w:r>
            <w:r>
              <w:rPr>
                <w:rFonts w:eastAsia="Calibri"/>
                <w:b/>
                <w:sz w:val="18"/>
                <w:szCs w:val="18"/>
                <w:vertAlign w:val="subscript"/>
              </w:rPr>
              <w:t>1</w:t>
            </w:r>
            <w:r>
              <w:rPr>
                <w:rFonts w:eastAsia="Calibri"/>
                <w:b/>
                <w:sz w:val="18"/>
                <w:szCs w:val="18"/>
                <w:vertAlign w:val="superscript"/>
              </w:rPr>
              <w:t>2</w:t>
            </w:r>
            <w:r>
              <w:rPr>
                <w:rFonts w:ascii="Times New Roman" w:eastAsia="Calibri" w:hAnsi="Times New Roman" w:cs="Times New Roman"/>
                <w:b/>
                <w:sz w:val="18"/>
                <w:szCs w:val="18"/>
              </w:rPr>
              <w:t>= 1,52; p=0,22)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C577E1"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tcPr>
          <w:p w14:paraId="2A94C83C" w14:textId="77777777" w:rsidR="00016F69" w:rsidRDefault="00016F69">
            <w:pPr>
              <w:rPr>
                <w:rFonts w:ascii="Times New Roman" w:eastAsia="Calibri" w:hAnsi="Times New Roman" w:cs="Times New Roman"/>
                <w:sz w:val="18"/>
                <w:szCs w:val="18"/>
              </w:rPr>
            </w:pPr>
          </w:p>
        </w:tc>
      </w:tr>
      <w:tr w:rsidR="00016F69" w14:paraId="545DC836" w14:textId="77777777" w:rsidTr="00016F69">
        <w:tc>
          <w:tcPr>
            <w:tcW w:w="1053" w:type="pct"/>
            <w:tcBorders>
              <w:top w:val="single" w:sz="4" w:space="0" w:color="auto"/>
              <w:left w:val="single" w:sz="4" w:space="0" w:color="auto"/>
              <w:bottom w:val="single" w:sz="4" w:space="0" w:color="auto"/>
              <w:right w:val="single" w:sz="4" w:space="0" w:color="auto"/>
            </w:tcBorders>
          </w:tcPr>
          <w:p w14:paraId="2A2A736C"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Tidligere sygdom</w:t>
            </w:r>
          </w:p>
          <w:p w14:paraId="399AAEBB"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Ingen tidligere sygdom</w:t>
            </w:r>
          </w:p>
          <w:p w14:paraId="7E2E141F"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Subtotal</w:t>
            </w:r>
          </w:p>
          <w:p w14:paraId="48C6E172" w14:textId="77777777" w:rsidR="00016F69" w:rsidRDefault="00016F69">
            <w:pPr>
              <w:rPr>
                <w:rFonts w:ascii="Times New Roman" w:eastAsia="Calibri" w:hAnsi="Times New Roman" w:cs="Times New Roman"/>
                <w:sz w:val="18"/>
                <w:szCs w:val="18"/>
              </w:rPr>
            </w:pPr>
          </w:p>
        </w:tc>
        <w:tc>
          <w:tcPr>
            <w:tcW w:w="846" w:type="pct"/>
            <w:tcBorders>
              <w:top w:val="single" w:sz="4" w:space="0" w:color="auto"/>
              <w:left w:val="single" w:sz="4" w:space="0" w:color="auto"/>
              <w:bottom w:val="single" w:sz="4" w:space="0" w:color="auto"/>
              <w:right w:val="single" w:sz="4" w:space="0" w:color="auto"/>
            </w:tcBorders>
            <w:hideMark/>
          </w:tcPr>
          <w:p w14:paraId="10C3B9BE"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51/159 (32,1 %)</w:t>
            </w:r>
          </w:p>
          <w:p w14:paraId="3FB97402"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44/165 (26,7 %)</w:t>
            </w:r>
          </w:p>
          <w:p w14:paraId="48A43D3A"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95/324 (29,3 %)</w:t>
            </w:r>
          </w:p>
        </w:tc>
        <w:tc>
          <w:tcPr>
            <w:tcW w:w="917" w:type="pct"/>
            <w:tcBorders>
              <w:top w:val="single" w:sz="4" w:space="0" w:color="auto"/>
              <w:left w:val="single" w:sz="4" w:space="0" w:color="auto"/>
              <w:bottom w:val="single" w:sz="4" w:space="0" w:color="auto"/>
              <w:right w:val="single" w:sz="4" w:space="0" w:color="auto"/>
            </w:tcBorders>
            <w:hideMark/>
          </w:tcPr>
          <w:p w14:paraId="5FCDC55E"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150/346 (43,4 %)</w:t>
            </w:r>
          </w:p>
          <w:p w14:paraId="7419852E" w14:textId="77777777" w:rsidR="00016F69" w:rsidRDefault="00016F69">
            <w:pPr>
              <w:jc w:val="right"/>
              <w:rPr>
                <w:rFonts w:ascii="Times New Roman" w:eastAsia="Calibri" w:hAnsi="Times New Roman" w:cs="Times New Roman"/>
                <w:sz w:val="18"/>
                <w:szCs w:val="18"/>
              </w:rPr>
            </w:pPr>
            <w:r>
              <w:rPr>
                <w:rFonts w:ascii="Times New Roman" w:eastAsia="Calibri" w:hAnsi="Times New Roman" w:cs="Times New Roman"/>
                <w:sz w:val="18"/>
                <w:szCs w:val="18"/>
              </w:rPr>
              <w:t>133/337 (39,5 %)</w:t>
            </w:r>
          </w:p>
          <w:p w14:paraId="12173458"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283/683 (41,4 %)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3FC68C"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hideMark/>
          </w:tcPr>
          <w:p w14:paraId="6CB0B3A3"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0,75 (0,54–1,02)</w:t>
            </w:r>
          </w:p>
          <w:p w14:paraId="51E858B1"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sz w:val="18"/>
                <w:szCs w:val="18"/>
              </w:rPr>
              <w:t>0,56 (0,40–0,78)</w:t>
            </w:r>
          </w:p>
          <w:p w14:paraId="599F6E78"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0,64 (0,51-0,81)</w:t>
            </w:r>
          </w:p>
        </w:tc>
      </w:tr>
      <w:tr w:rsidR="00016F69" w14:paraId="5E621EC0" w14:textId="77777777" w:rsidTr="00016F69">
        <w:tc>
          <w:tcPr>
            <w:tcW w:w="1053" w:type="pct"/>
            <w:tcBorders>
              <w:top w:val="single" w:sz="4" w:space="0" w:color="auto"/>
              <w:left w:val="single" w:sz="4" w:space="0" w:color="auto"/>
              <w:bottom w:val="single" w:sz="4" w:space="0" w:color="auto"/>
              <w:right w:val="single" w:sz="4" w:space="0" w:color="auto"/>
            </w:tcBorders>
          </w:tcPr>
          <w:p w14:paraId="2CD6988F"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Alle deltagere</w:t>
            </w:r>
          </w:p>
          <w:p w14:paraId="3FA770BA" w14:textId="77777777" w:rsidR="00016F69" w:rsidRDefault="00016F69">
            <w:pPr>
              <w:rPr>
                <w:rFonts w:ascii="Times New Roman" w:eastAsia="Calibri" w:hAnsi="Times New Roman" w:cs="Times New Roman"/>
                <w:b/>
                <w:sz w:val="18"/>
                <w:szCs w:val="18"/>
              </w:rPr>
            </w:pPr>
          </w:p>
          <w:p w14:paraId="159C740D" w14:textId="77777777" w:rsidR="00016F69" w:rsidRDefault="00016F69">
            <w:pPr>
              <w:rPr>
                <w:rFonts w:ascii="Times New Roman" w:eastAsia="Calibri" w:hAnsi="Times New Roman" w:cs="Times New Roman"/>
                <w:b/>
                <w:sz w:val="18"/>
                <w:szCs w:val="18"/>
              </w:rPr>
            </w:pPr>
          </w:p>
          <w:p w14:paraId="2E1CE074" w14:textId="77777777" w:rsidR="00016F69" w:rsidRDefault="00016F69">
            <w:pPr>
              <w:rPr>
                <w:rFonts w:ascii="Times New Roman" w:eastAsia="Calibri" w:hAnsi="Times New Roman" w:cs="Times New Roman"/>
                <w:b/>
                <w:sz w:val="18"/>
                <w:szCs w:val="18"/>
              </w:rPr>
            </w:pPr>
          </w:p>
          <w:p w14:paraId="24DB91CB" w14:textId="77777777" w:rsidR="00016F69" w:rsidRDefault="00016F69">
            <w:pPr>
              <w:rPr>
                <w:rFonts w:ascii="Times New Roman" w:eastAsia="Calibri" w:hAnsi="Times New Roman" w:cs="Times New Roman"/>
                <w:b/>
                <w:sz w:val="18"/>
                <w:szCs w:val="18"/>
              </w:rPr>
            </w:pPr>
          </w:p>
        </w:tc>
        <w:tc>
          <w:tcPr>
            <w:tcW w:w="846" w:type="pct"/>
            <w:tcBorders>
              <w:top w:val="single" w:sz="4" w:space="0" w:color="auto"/>
              <w:left w:val="single" w:sz="4" w:space="0" w:color="auto"/>
              <w:bottom w:val="single" w:sz="4" w:space="0" w:color="auto"/>
              <w:right w:val="single" w:sz="4" w:space="0" w:color="auto"/>
            </w:tcBorders>
            <w:hideMark/>
          </w:tcPr>
          <w:p w14:paraId="1674CF72"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482/2.104 (22,9 %)</w:t>
            </w:r>
          </w:p>
        </w:tc>
        <w:tc>
          <w:tcPr>
            <w:tcW w:w="917" w:type="pct"/>
            <w:tcBorders>
              <w:top w:val="single" w:sz="4" w:space="0" w:color="auto"/>
              <w:left w:val="single" w:sz="4" w:space="0" w:color="auto"/>
              <w:bottom w:val="single" w:sz="4" w:space="0" w:color="auto"/>
              <w:right w:val="single" w:sz="4" w:space="0" w:color="auto"/>
            </w:tcBorders>
            <w:hideMark/>
          </w:tcPr>
          <w:p w14:paraId="1A4712D2"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1.110/4.321 (25,7 %)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A9C3ED" w14:textId="77777777" w:rsidR="00016F69" w:rsidRDefault="00016F69">
            <w:pPr>
              <w:rPr>
                <w:rFonts w:ascii="Times New Roman" w:eastAsia="Calibri" w:hAnsi="Times New Roman" w:cs="Times New Roman"/>
                <w:sz w:val="18"/>
                <w:szCs w:val="18"/>
              </w:rPr>
            </w:pPr>
          </w:p>
        </w:tc>
        <w:tc>
          <w:tcPr>
            <w:tcW w:w="770" w:type="pct"/>
            <w:tcBorders>
              <w:top w:val="single" w:sz="4" w:space="0" w:color="auto"/>
              <w:left w:val="single" w:sz="4" w:space="0" w:color="auto"/>
              <w:bottom w:val="single" w:sz="4" w:space="0" w:color="auto"/>
              <w:right w:val="single" w:sz="4" w:space="0" w:color="auto"/>
            </w:tcBorders>
            <w:hideMark/>
          </w:tcPr>
          <w:p w14:paraId="12CE396F"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0,83 (0,75-0,93)</w:t>
            </w:r>
          </w:p>
          <w:p w14:paraId="0C7E251A" w14:textId="77777777" w:rsidR="00016F69" w:rsidRDefault="00016F69">
            <w:pPr>
              <w:rPr>
                <w:rFonts w:ascii="Times New Roman" w:eastAsia="Calibri" w:hAnsi="Times New Roman" w:cs="Times New Roman"/>
                <w:sz w:val="18"/>
                <w:szCs w:val="18"/>
              </w:rPr>
            </w:pPr>
            <w:r>
              <w:rPr>
                <w:rFonts w:ascii="Times New Roman" w:eastAsia="Calibri" w:hAnsi="Times New Roman" w:cs="Times New Roman"/>
                <w:b/>
                <w:sz w:val="18"/>
                <w:szCs w:val="18"/>
              </w:rPr>
              <w:t>p &lt;0.001</w:t>
            </w:r>
          </w:p>
        </w:tc>
      </w:tr>
      <w:tr w:rsidR="00016F69" w14:paraId="24B171C2" w14:textId="77777777" w:rsidTr="00016F69">
        <w:tc>
          <w:tcPr>
            <w:tcW w:w="3662" w:type="pct"/>
            <w:gridSpan w:val="4"/>
            <w:tcBorders>
              <w:top w:val="single" w:sz="4" w:space="0" w:color="auto"/>
              <w:left w:val="single" w:sz="4" w:space="0" w:color="auto"/>
              <w:bottom w:val="single" w:sz="4" w:space="0" w:color="auto"/>
              <w:right w:val="single" w:sz="4" w:space="0" w:color="auto"/>
            </w:tcBorders>
            <w:hideMark/>
          </w:tcPr>
          <w:p w14:paraId="75429073"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Dexamethason</w:t>
            </w:r>
          </w:p>
          <w:p w14:paraId="15AC90C7" w14:textId="77777777" w:rsidR="00016F69" w:rsidRDefault="00016F69">
            <w:pPr>
              <w:jc w:val="right"/>
              <w:rPr>
                <w:rFonts w:ascii="Times New Roman" w:eastAsia="Calibri" w:hAnsi="Times New Roman" w:cs="Times New Roman"/>
                <w:b/>
                <w:sz w:val="18"/>
                <w:szCs w:val="18"/>
              </w:rPr>
            </w:pPr>
            <w:r>
              <w:rPr>
                <w:rFonts w:ascii="Times New Roman" w:eastAsia="Calibri" w:hAnsi="Times New Roman" w:cs="Times New Roman"/>
                <w:b/>
                <w:sz w:val="18"/>
                <w:szCs w:val="18"/>
              </w:rPr>
              <w:t>bedre</w:t>
            </w:r>
          </w:p>
          <w:p w14:paraId="183AE5A8" w14:textId="77777777" w:rsidR="00016F69" w:rsidRDefault="00016F69">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p>
        </w:tc>
        <w:tc>
          <w:tcPr>
            <w:tcW w:w="1338" w:type="pct"/>
            <w:gridSpan w:val="2"/>
            <w:tcBorders>
              <w:top w:val="single" w:sz="4" w:space="0" w:color="auto"/>
              <w:left w:val="single" w:sz="4" w:space="0" w:color="auto"/>
              <w:bottom w:val="single" w:sz="4" w:space="0" w:color="auto"/>
              <w:right w:val="single" w:sz="4" w:space="0" w:color="auto"/>
            </w:tcBorders>
          </w:tcPr>
          <w:p w14:paraId="26891CD3"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Almindelig pleje</w:t>
            </w:r>
          </w:p>
          <w:p w14:paraId="7523865E" w14:textId="77777777" w:rsidR="00016F69" w:rsidRDefault="00016F69">
            <w:pPr>
              <w:rPr>
                <w:rFonts w:ascii="Times New Roman" w:eastAsia="Calibri" w:hAnsi="Times New Roman" w:cs="Times New Roman"/>
                <w:b/>
                <w:sz w:val="18"/>
                <w:szCs w:val="18"/>
              </w:rPr>
            </w:pPr>
            <w:r>
              <w:rPr>
                <w:rFonts w:ascii="Times New Roman" w:eastAsia="Calibri" w:hAnsi="Times New Roman" w:cs="Times New Roman"/>
                <w:b/>
                <w:sz w:val="18"/>
                <w:szCs w:val="18"/>
              </w:rPr>
              <w:t>bedre</w:t>
            </w:r>
          </w:p>
          <w:p w14:paraId="6EE6BB6F" w14:textId="77777777" w:rsidR="00016F69" w:rsidRDefault="00016F69">
            <w:pPr>
              <w:rPr>
                <w:rFonts w:ascii="Times New Roman" w:eastAsia="Calibri" w:hAnsi="Times New Roman" w:cs="Times New Roman"/>
                <w:b/>
                <w:sz w:val="18"/>
                <w:szCs w:val="18"/>
              </w:rPr>
            </w:pPr>
          </w:p>
        </w:tc>
      </w:tr>
    </w:tbl>
    <w:p w14:paraId="384EC4BD" w14:textId="77777777" w:rsidR="009260DE" w:rsidRPr="00057786" w:rsidRDefault="009260DE" w:rsidP="009260DE">
      <w:pPr>
        <w:tabs>
          <w:tab w:val="left" w:pos="851"/>
        </w:tabs>
        <w:ind w:left="851"/>
        <w:rPr>
          <w:sz w:val="24"/>
          <w:szCs w:val="24"/>
        </w:rPr>
      </w:pPr>
    </w:p>
    <w:p w14:paraId="40DE4A52" w14:textId="77777777" w:rsidR="009260DE" w:rsidRPr="00057786" w:rsidRDefault="009260DE" w:rsidP="009260DE">
      <w:pPr>
        <w:tabs>
          <w:tab w:val="left" w:pos="851"/>
        </w:tabs>
        <w:ind w:left="851" w:hanging="851"/>
        <w:rPr>
          <w:b/>
          <w:sz w:val="24"/>
          <w:szCs w:val="24"/>
        </w:rPr>
      </w:pPr>
      <w:r w:rsidRPr="00057786">
        <w:rPr>
          <w:b/>
          <w:sz w:val="24"/>
          <w:szCs w:val="24"/>
        </w:rPr>
        <w:t>5.2</w:t>
      </w:r>
      <w:r w:rsidRPr="00057786">
        <w:rPr>
          <w:b/>
          <w:sz w:val="24"/>
          <w:szCs w:val="24"/>
        </w:rPr>
        <w:tab/>
      </w:r>
      <w:proofErr w:type="spellStart"/>
      <w:r w:rsidRPr="00057786">
        <w:rPr>
          <w:b/>
          <w:sz w:val="24"/>
          <w:szCs w:val="24"/>
        </w:rPr>
        <w:t>Farmakokinetiske</w:t>
      </w:r>
      <w:proofErr w:type="spellEnd"/>
      <w:r w:rsidRPr="00057786">
        <w:rPr>
          <w:b/>
          <w:sz w:val="24"/>
          <w:szCs w:val="24"/>
        </w:rPr>
        <w:t xml:space="preserve"> egenskaber</w:t>
      </w:r>
    </w:p>
    <w:p w14:paraId="0111D90A" w14:textId="77777777" w:rsidR="00262BA8" w:rsidRPr="00057786" w:rsidRDefault="00262BA8" w:rsidP="00262BA8">
      <w:pPr>
        <w:tabs>
          <w:tab w:val="left" w:pos="851"/>
        </w:tabs>
        <w:ind w:left="851"/>
        <w:rPr>
          <w:sz w:val="24"/>
          <w:szCs w:val="24"/>
          <w:lang w:eastAsia="da-DK"/>
        </w:rPr>
      </w:pPr>
      <w:proofErr w:type="spellStart"/>
      <w:r w:rsidRPr="00057786">
        <w:rPr>
          <w:sz w:val="24"/>
          <w:szCs w:val="24"/>
        </w:rPr>
        <w:t>Dexamethason</w:t>
      </w:r>
      <w:proofErr w:type="spellEnd"/>
      <w:r w:rsidRPr="00057786">
        <w:rPr>
          <w:sz w:val="24"/>
          <w:szCs w:val="24"/>
        </w:rPr>
        <w:t xml:space="preserve"> binder dosisafhængigt til plasmaalbuminer. Ved meget høje doser cirkulerer størstedelen frit i blodet. I tilfælde af hypoalbuminæmi stiger andelen af det ubundne (aktive) </w:t>
      </w:r>
      <w:proofErr w:type="spellStart"/>
      <w:r w:rsidRPr="00057786">
        <w:rPr>
          <w:sz w:val="24"/>
          <w:szCs w:val="24"/>
        </w:rPr>
        <w:t>kortikosteroid</w:t>
      </w:r>
      <w:proofErr w:type="spellEnd"/>
      <w:r w:rsidRPr="00057786">
        <w:rPr>
          <w:sz w:val="24"/>
          <w:szCs w:val="24"/>
        </w:rPr>
        <w:t xml:space="preserve">. Fire timer efter intravenøs administration af radioaktivt mærket </w:t>
      </w:r>
      <w:proofErr w:type="spellStart"/>
      <w:r w:rsidRPr="00057786">
        <w:rPr>
          <w:sz w:val="24"/>
          <w:szCs w:val="24"/>
        </w:rPr>
        <w:t>dexamethason</w:t>
      </w:r>
      <w:proofErr w:type="spellEnd"/>
      <w:r w:rsidRPr="00057786">
        <w:rPr>
          <w:sz w:val="24"/>
          <w:szCs w:val="24"/>
        </w:rPr>
        <w:t xml:space="preserve"> til mennesker er den maksimale koncentration af </w:t>
      </w:r>
      <w:proofErr w:type="spellStart"/>
      <w:r w:rsidRPr="00057786">
        <w:rPr>
          <w:sz w:val="24"/>
          <w:szCs w:val="24"/>
        </w:rPr>
        <w:t>dexamethason</w:t>
      </w:r>
      <w:proofErr w:type="spellEnd"/>
      <w:r w:rsidRPr="00057786">
        <w:rPr>
          <w:sz w:val="24"/>
          <w:szCs w:val="24"/>
        </w:rPr>
        <w:t xml:space="preserve"> i </w:t>
      </w:r>
      <w:proofErr w:type="spellStart"/>
      <w:r w:rsidRPr="00057786">
        <w:rPr>
          <w:i/>
          <w:sz w:val="24"/>
          <w:szCs w:val="24"/>
        </w:rPr>
        <w:t>liquor</w:t>
      </w:r>
      <w:proofErr w:type="spellEnd"/>
      <w:r w:rsidRPr="00057786">
        <w:rPr>
          <w:sz w:val="24"/>
          <w:szCs w:val="24"/>
        </w:rPr>
        <w:t xml:space="preserve"> er cirka 1/6 af dets plasmakoncentration.</w:t>
      </w:r>
    </w:p>
    <w:p w14:paraId="24BFF694" w14:textId="77777777" w:rsidR="00262BA8" w:rsidRPr="00057786" w:rsidRDefault="00262BA8" w:rsidP="00262BA8">
      <w:pPr>
        <w:tabs>
          <w:tab w:val="left" w:pos="851"/>
        </w:tabs>
        <w:ind w:left="851"/>
        <w:rPr>
          <w:sz w:val="24"/>
          <w:szCs w:val="24"/>
        </w:rPr>
      </w:pPr>
      <w:r w:rsidRPr="00057786">
        <w:rPr>
          <w:sz w:val="24"/>
          <w:szCs w:val="24"/>
        </w:rPr>
        <w:t xml:space="preserve">Med en biologisk halveringstid på mere end 36 timer tilhører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glukokortikoiderne</w:t>
      </w:r>
      <w:proofErr w:type="spellEnd"/>
      <w:r w:rsidRPr="00057786">
        <w:rPr>
          <w:sz w:val="24"/>
          <w:szCs w:val="24"/>
        </w:rPr>
        <w:t xml:space="preserve"> med en meget langvarig virkning. På grund af dets langvarige virkning kan akkumulering og overdosering forekomme ved daglig, kontinuerlig administration af </w:t>
      </w:r>
      <w:proofErr w:type="spellStart"/>
      <w:r w:rsidRPr="00057786">
        <w:rPr>
          <w:sz w:val="24"/>
          <w:szCs w:val="24"/>
        </w:rPr>
        <w:t>dexamethason</w:t>
      </w:r>
      <w:proofErr w:type="spellEnd"/>
      <w:r w:rsidRPr="00057786">
        <w:rPr>
          <w:sz w:val="24"/>
          <w:szCs w:val="24"/>
        </w:rPr>
        <w:t>.</w:t>
      </w:r>
    </w:p>
    <w:p w14:paraId="73634A1B" w14:textId="77777777" w:rsidR="00262BA8" w:rsidRPr="00057786" w:rsidRDefault="00262BA8" w:rsidP="00262BA8">
      <w:pPr>
        <w:tabs>
          <w:tab w:val="left" w:pos="851"/>
        </w:tabs>
        <w:ind w:left="851"/>
        <w:rPr>
          <w:sz w:val="24"/>
          <w:szCs w:val="24"/>
        </w:rPr>
      </w:pPr>
      <w:r w:rsidRPr="00057786">
        <w:rPr>
          <w:sz w:val="24"/>
          <w:szCs w:val="24"/>
        </w:rPr>
        <w:t xml:space="preserve">Den gennemsnitlige eliminationshalveringstid af </w:t>
      </w:r>
      <w:proofErr w:type="spellStart"/>
      <w:r w:rsidRPr="00057786">
        <w:rPr>
          <w:sz w:val="24"/>
          <w:szCs w:val="24"/>
        </w:rPr>
        <w:t>dexamethason</w:t>
      </w:r>
      <w:proofErr w:type="spellEnd"/>
      <w:r w:rsidRPr="00057786">
        <w:rPr>
          <w:sz w:val="24"/>
          <w:szCs w:val="24"/>
        </w:rPr>
        <w:t xml:space="preserve"> i serum hos voksne er cirka 250 minutter (+80 minutter). Det udskilles hovedsageligt via nyrerne i form af </w:t>
      </w:r>
      <w:proofErr w:type="gramStart"/>
      <w:r w:rsidRPr="00057786">
        <w:rPr>
          <w:sz w:val="24"/>
          <w:szCs w:val="24"/>
        </w:rPr>
        <w:t>frit alkohol</w:t>
      </w:r>
      <w:proofErr w:type="gramEnd"/>
      <w:r w:rsidRPr="00057786">
        <w:rPr>
          <w:sz w:val="24"/>
          <w:szCs w:val="24"/>
        </w:rPr>
        <w:t xml:space="preserve"> fra </w:t>
      </w:r>
      <w:proofErr w:type="spellStart"/>
      <w:r w:rsidRPr="00057786">
        <w:rPr>
          <w:sz w:val="24"/>
          <w:szCs w:val="24"/>
        </w:rPr>
        <w:t>dexamethason</w:t>
      </w:r>
      <w:proofErr w:type="spellEnd"/>
      <w:r w:rsidRPr="00057786">
        <w:rPr>
          <w:sz w:val="24"/>
          <w:szCs w:val="24"/>
        </w:rPr>
        <w:t xml:space="preserve">. Det </w:t>
      </w:r>
      <w:proofErr w:type="spellStart"/>
      <w:r w:rsidRPr="00057786">
        <w:rPr>
          <w:sz w:val="24"/>
          <w:szCs w:val="24"/>
        </w:rPr>
        <w:t>metaboliseres</w:t>
      </w:r>
      <w:proofErr w:type="spellEnd"/>
      <w:r w:rsidRPr="00057786">
        <w:rPr>
          <w:sz w:val="24"/>
          <w:szCs w:val="24"/>
        </w:rPr>
        <w:t xml:space="preserve"> delvist. Ligesom </w:t>
      </w:r>
      <w:proofErr w:type="spellStart"/>
      <w:r w:rsidRPr="00057786">
        <w:rPr>
          <w:sz w:val="24"/>
          <w:szCs w:val="24"/>
        </w:rPr>
        <w:t>glucoronater</w:t>
      </w:r>
      <w:proofErr w:type="spellEnd"/>
      <w:r w:rsidRPr="00057786">
        <w:rPr>
          <w:sz w:val="24"/>
          <w:szCs w:val="24"/>
        </w:rPr>
        <w:t xml:space="preserve"> eller sulfat udskilles metabolitterne også primært via nyrerne. Nedsat nyrefunktion påvirker ikke i væsentlig grad eliminationen af </w:t>
      </w:r>
      <w:proofErr w:type="spellStart"/>
      <w:r w:rsidRPr="00057786">
        <w:rPr>
          <w:sz w:val="24"/>
          <w:szCs w:val="24"/>
        </w:rPr>
        <w:t>dexamethason</w:t>
      </w:r>
      <w:proofErr w:type="spellEnd"/>
      <w:r w:rsidRPr="00057786">
        <w:rPr>
          <w:sz w:val="24"/>
          <w:szCs w:val="24"/>
        </w:rPr>
        <w:t>. Eliminationshalveringstiden er forlænget ved alvorlig leversygdom.</w:t>
      </w:r>
    </w:p>
    <w:p w14:paraId="6FC261BC" w14:textId="77777777" w:rsidR="009260DE" w:rsidRPr="00057786" w:rsidRDefault="009260DE" w:rsidP="009260DE">
      <w:pPr>
        <w:tabs>
          <w:tab w:val="left" w:pos="851"/>
        </w:tabs>
        <w:ind w:left="851"/>
        <w:rPr>
          <w:sz w:val="24"/>
          <w:szCs w:val="24"/>
        </w:rPr>
      </w:pPr>
    </w:p>
    <w:p w14:paraId="0F2C6216" w14:textId="3DE6EAFB" w:rsidR="009260DE" w:rsidRPr="00057786" w:rsidRDefault="009260DE" w:rsidP="009260DE">
      <w:pPr>
        <w:tabs>
          <w:tab w:val="left" w:pos="851"/>
        </w:tabs>
        <w:ind w:left="851" w:hanging="851"/>
        <w:rPr>
          <w:b/>
          <w:sz w:val="24"/>
          <w:szCs w:val="24"/>
        </w:rPr>
      </w:pPr>
      <w:r w:rsidRPr="00057786">
        <w:rPr>
          <w:b/>
          <w:sz w:val="24"/>
          <w:szCs w:val="24"/>
        </w:rPr>
        <w:t>5.3</w:t>
      </w:r>
      <w:r w:rsidRPr="00057786">
        <w:rPr>
          <w:b/>
          <w:sz w:val="24"/>
          <w:szCs w:val="24"/>
        </w:rPr>
        <w:tab/>
      </w:r>
      <w:r w:rsidR="001741A9">
        <w:rPr>
          <w:b/>
          <w:sz w:val="24"/>
          <w:szCs w:val="24"/>
        </w:rPr>
        <w:t>Non-</w:t>
      </w:r>
      <w:r w:rsidRPr="00057786">
        <w:rPr>
          <w:b/>
          <w:sz w:val="24"/>
          <w:szCs w:val="24"/>
        </w:rPr>
        <w:t>kliniske sikkerhedsdata</w:t>
      </w:r>
    </w:p>
    <w:p w14:paraId="02835309" w14:textId="77777777" w:rsidR="00262BA8" w:rsidRPr="00057786" w:rsidRDefault="00262BA8" w:rsidP="00262BA8">
      <w:pPr>
        <w:tabs>
          <w:tab w:val="left" w:pos="851"/>
        </w:tabs>
        <w:ind w:left="851"/>
        <w:rPr>
          <w:sz w:val="24"/>
          <w:szCs w:val="24"/>
          <w:lang w:eastAsia="da-DK"/>
        </w:rPr>
      </w:pPr>
      <w:r w:rsidRPr="00057786">
        <w:rPr>
          <w:sz w:val="24"/>
          <w:szCs w:val="24"/>
        </w:rPr>
        <w:t>I dyreforsøg blev ganespalte observeret hos rotter, mus, hamstere, kaniner, hunde og primater; ikke hos heste og får. I nogle tilfælde var disse afvigelser kombineret med defekter i centralnervesystemet og hjertet. Hos primater blev der observeret hjernepåvirkning efter eksponering. Desuden kan intrauterin vækst blive forsinket. Alle disse virkninger er observeret ved høje doser.</w:t>
      </w:r>
    </w:p>
    <w:p w14:paraId="1ADBEF33" w14:textId="77777777" w:rsidR="009260DE" w:rsidRPr="00057786" w:rsidRDefault="009260DE" w:rsidP="009260DE">
      <w:pPr>
        <w:tabs>
          <w:tab w:val="left" w:pos="851"/>
        </w:tabs>
        <w:ind w:left="851"/>
        <w:rPr>
          <w:sz w:val="24"/>
          <w:szCs w:val="24"/>
        </w:rPr>
      </w:pPr>
    </w:p>
    <w:p w14:paraId="02744708" w14:textId="77777777" w:rsidR="009260DE" w:rsidRPr="00057786" w:rsidRDefault="009260DE" w:rsidP="009260DE">
      <w:pPr>
        <w:tabs>
          <w:tab w:val="left" w:pos="851"/>
        </w:tabs>
        <w:ind w:left="851"/>
        <w:rPr>
          <w:sz w:val="24"/>
          <w:szCs w:val="24"/>
        </w:rPr>
      </w:pPr>
    </w:p>
    <w:p w14:paraId="41D5A6AB" w14:textId="77777777" w:rsidR="009260DE" w:rsidRPr="00057786" w:rsidRDefault="009260DE" w:rsidP="005D4665">
      <w:pPr>
        <w:keepNext/>
        <w:tabs>
          <w:tab w:val="left" w:pos="851"/>
        </w:tabs>
        <w:ind w:left="851" w:hanging="851"/>
        <w:rPr>
          <w:b/>
          <w:sz w:val="24"/>
          <w:szCs w:val="24"/>
        </w:rPr>
      </w:pPr>
      <w:r w:rsidRPr="00057786">
        <w:rPr>
          <w:b/>
          <w:sz w:val="24"/>
          <w:szCs w:val="24"/>
        </w:rPr>
        <w:t>6.</w:t>
      </w:r>
      <w:r w:rsidRPr="00057786">
        <w:rPr>
          <w:b/>
          <w:sz w:val="24"/>
          <w:szCs w:val="24"/>
        </w:rPr>
        <w:tab/>
        <w:t>FARMACEUTISKE OPLYSNINGER</w:t>
      </w:r>
    </w:p>
    <w:p w14:paraId="3C67C0C5" w14:textId="77777777" w:rsidR="009260DE" w:rsidRPr="00057786" w:rsidRDefault="009260DE" w:rsidP="005D4665">
      <w:pPr>
        <w:keepNext/>
        <w:tabs>
          <w:tab w:val="left" w:pos="851"/>
        </w:tabs>
        <w:ind w:left="851"/>
        <w:rPr>
          <w:sz w:val="24"/>
          <w:szCs w:val="24"/>
        </w:rPr>
      </w:pPr>
    </w:p>
    <w:p w14:paraId="735B1D74" w14:textId="77777777" w:rsidR="009260DE" w:rsidRPr="00057786" w:rsidRDefault="009260DE" w:rsidP="009260DE">
      <w:pPr>
        <w:tabs>
          <w:tab w:val="left" w:pos="851"/>
        </w:tabs>
        <w:ind w:left="851" w:hanging="851"/>
        <w:rPr>
          <w:b/>
          <w:sz w:val="24"/>
          <w:szCs w:val="24"/>
        </w:rPr>
      </w:pPr>
      <w:r w:rsidRPr="00057786">
        <w:rPr>
          <w:b/>
          <w:sz w:val="24"/>
          <w:szCs w:val="24"/>
        </w:rPr>
        <w:t>6.1</w:t>
      </w:r>
      <w:r w:rsidRPr="00057786">
        <w:rPr>
          <w:b/>
          <w:sz w:val="24"/>
          <w:szCs w:val="24"/>
        </w:rPr>
        <w:tab/>
        <w:t>Hjælpestoffer</w:t>
      </w:r>
    </w:p>
    <w:p w14:paraId="68EAA025" w14:textId="77777777" w:rsidR="00262BA8" w:rsidRPr="00057786" w:rsidRDefault="00262BA8" w:rsidP="00262BA8">
      <w:pPr>
        <w:tabs>
          <w:tab w:val="left" w:pos="851"/>
        </w:tabs>
        <w:ind w:left="851"/>
        <w:rPr>
          <w:sz w:val="24"/>
          <w:szCs w:val="24"/>
          <w:lang w:eastAsia="da-DK"/>
        </w:rPr>
      </w:pPr>
      <w:proofErr w:type="spellStart"/>
      <w:r w:rsidRPr="00057786">
        <w:rPr>
          <w:sz w:val="24"/>
          <w:szCs w:val="24"/>
        </w:rPr>
        <w:t>Dinatriumedetat</w:t>
      </w:r>
      <w:proofErr w:type="spellEnd"/>
    </w:p>
    <w:p w14:paraId="0C0E9ED6" w14:textId="77777777" w:rsidR="00262BA8" w:rsidRPr="00057786" w:rsidRDefault="00262BA8" w:rsidP="00262BA8">
      <w:pPr>
        <w:tabs>
          <w:tab w:val="left" w:pos="851"/>
        </w:tabs>
        <w:ind w:left="851"/>
        <w:rPr>
          <w:sz w:val="24"/>
          <w:szCs w:val="24"/>
        </w:rPr>
      </w:pPr>
      <w:proofErr w:type="spellStart"/>
      <w:r w:rsidRPr="00057786">
        <w:rPr>
          <w:sz w:val="24"/>
          <w:szCs w:val="24"/>
        </w:rPr>
        <w:t>Kreatinin</w:t>
      </w:r>
      <w:proofErr w:type="spellEnd"/>
    </w:p>
    <w:p w14:paraId="27F020BB" w14:textId="77777777" w:rsidR="00262BA8" w:rsidRPr="00057786" w:rsidRDefault="00262BA8" w:rsidP="00262BA8">
      <w:pPr>
        <w:tabs>
          <w:tab w:val="left" w:pos="851"/>
        </w:tabs>
        <w:ind w:left="851"/>
        <w:rPr>
          <w:sz w:val="24"/>
          <w:szCs w:val="24"/>
        </w:rPr>
      </w:pPr>
      <w:r w:rsidRPr="00057786">
        <w:rPr>
          <w:sz w:val="24"/>
          <w:szCs w:val="24"/>
        </w:rPr>
        <w:t>Natriumcitrat, vandfri</w:t>
      </w:r>
    </w:p>
    <w:p w14:paraId="4224671F" w14:textId="77777777" w:rsidR="00262BA8" w:rsidRPr="00057786" w:rsidRDefault="00262BA8" w:rsidP="00262BA8">
      <w:pPr>
        <w:tabs>
          <w:tab w:val="left" w:pos="851"/>
        </w:tabs>
        <w:ind w:left="851"/>
        <w:rPr>
          <w:sz w:val="24"/>
          <w:szCs w:val="24"/>
        </w:rPr>
      </w:pPr>
      <w:r w:rsidRPr="00057786">
        <w:rPr>
          <w:sz w:val="24"/>
          <w:szCs w:val="24"/>
        </w:rPr>
        <w:t>Natriumhydroxid (til pH-justering)</w:t>
      </w:r>
    </w:p>
    <w:p w14:paraId="0994EB27" w14:textId="77777777" w:rsidR="00262BA8" w:rsidRPr="00057786" w:rsidRDefault="00262BA8" w:rsidP="00262BA8">
      <w:pPr>
        <w:tabs>
          <w:tab w:val="left" w:pos="851"/>
        </w:tabs>
        <w:ind w:left="851"/>
        <w:rPr>
          <w:sz w:val="24"/>
          <w:szCs w:val="24"/>
        </w:rPr>
      </w:pPr>
      <w:r w:rsidRPr="00057786">
        <w:rPr>
          <w:sz w:val="24"/>
          <w:szCs w:val="24"/>
        </w:rPr>
        <w:t>Vand til injektionsvæsker</w:t>
      </w:r>
    </w:p>
    <w:p w14:paraId="72013C5F" w14:textId="77777777" w:rsidR="009260DE" w:rsidRPr="00057786" w:rsidRDefault="009260DE" w:rsidP="009260DE">
      <w:pPr>
        <w:tabs>
          <w:tab w:val="left" w:pos="851"/>
        </w:tabs>
        <w:ind w:left="851"/>
        <w:rPr>
          <w:sz w:val="24"/>
          <w:szCs w:val="24"/>
        </w:rPr>
      </w:pPr>
    </w:p>
    <w:p w14:paraId="3475F35C" w14:textId="77777777" w:rsidR="009260DE" w:rsidRPr="00057786" w:rsidRDefault="009260DE" w:rsidP="009260DE">
      <w:pPr>
        <w:tabs>
          <w:tab w:val="left" w:pos="851"/>
        </w:tabs>
        <w:ind w:left="851" w:hanging="851"/>
        <w:rPr>
          <w:b/>
          <w:sz w:val="24"/>
          <w:szCs w:val="24"/>
        </w:rPr>
      </w:pPr>
      <w:r w:rsidRPr="00057786">
        <w:rPr>
          <w:b/>
          <w:sz w:val="24"/>
          <w:szCs w:val="24"/>
        </w:rPr>
        <w:t>6.2</w:t>
      </w:r>
      <w:r w:rsidRPr="00057786">
        <w:rPr>
          <w:b/>
          <w:sz w:val="24"/>
          <w:szCs w:val="24"/>
        </w:rPr>
        <w:tab/>
        <w:t>Uforligeligheder</w:t>
      </w:r>
    </w:p>
    <w:p w14:paraId="6FDF3C9B" w14:textId="77777777" w:rsidR="00262BA8" w:rsidRPr="00057786" w:rsidRDefault="00262BA8" w:rsidP="00262BA8">
      <w:pPr>
        <w:tabs>
          <w:tab w:val="left" w:pos="851"/>
        </w:tabs>
        <w:ind w:left="851"/>
        <w:rPr>
          <w:sz w:val="24"/>
          <w:szCs w:val="24"/>
          <w:lang w:eastAsia="da-DK"/>
        </w:rPr>
      </w:pPr>
      <w:r w:rsidRPr="00057786">
        <w:rPr>
          <w:sz w:val="24"/>
          <w:szCs w:val="24"/>
        </w:rPr>
        <w:t>Dette lægemiddel må ikke blandes med andre lægemidler end dem, der er anført under pkt. 6.6.</w:t>
      </w:r>
    </w:p>
    <w:p w14:paraId="7A1B5C75" w14:textId="77777777" w:rsidR="009260DE" w:rsidRPr="00057786" w:rsidRDefault="009260DE" w:rsidP="009260DE">
      <w:pPr>
        <w:tabs>
          <w:tab w:val="left" w:pos="851"/>
        </w:tabs>
        <w:ind w:left="851"/>
        <w:rPr>
          <w:sz w:val="24"/>
          <w:szCs w:val="24"/>
        </w:rPr>
      </w:pPr>
    </w:p>
    <w:p w14:paraId="06B6E92C" w14:textId="77777777" w:rsidR="009260DE" w:rsidRPr="00057786" w:rsidRDefault="009260DE" w:rsidP="009260DE">
      <w:pPr>
        <w:tabs>
          <w:tab w:val="left" w:pos="851"/>
        </w:tabs>
        <w:ind w:left="851" w:hanging="851"/>
        <w:rPr>
          <w:b/>
          <w:sz w:val="24"/>
          <w:szCs w:val="24"/>
        </w:rPr>
      </w:pPr>
      <w:r w:rsidRPr="00057786">
        <w:rPr>
          <w:b/>
          <w:sz w:val="24"/>
          <w:szCs w:val="24"/>
        </w:rPr>
        <w:t>6.3</w:t>
      </w:r>
      <w:r w:rsidRPr="00057786">
        <w:rPr>
          <w:b/>
          <w:sz w:val="24"/>
          <w:szCs w:val="24"/>
        </w:rPr>
        <w:tab/>
        <w:t>Opbevaringstid</w:t>
      </w:r>
    </w:p>
    <w:p w14:paraId="60EACFAB" w14:textId="6BF79B61" w:rsidR="00262BA8" w:rsidRPr="00057786" w:rsidRDefault="0084038C" w:rsidP="00262BA8">
      <w:pPr>
        <w:tabs>
          <w:tab w:val="left" w:pos="851"/>
        </w:tabs>
        <w:ind w:left="851"/>
        <w:rPr>
          <w:sz w:val="24"/>
          <w:szCs w:val="24"/>
          <w:lang w:eastAsia="da-DK"/>
        </w:rPr>
      </w:pPr>
      <w:r>
        <w:rPr>
          <w:sz w:val="24"/>
          <w:szCs w:val="24"/>
        </w:rPr>
        <w:t>2 år.</w:t>
      </w:r>
    </w:p>
    <w:p w14:paraId="2B2DCB62" w14:textId="77777777" w:rsidR="00262BA8" w:rsidRPr="00057786" w:rsidRDefault="00262BA8" w:rsidP="00262BA8">
      <w:pPr>
        <w:tabs>
          <w:tab w:val="left" w:pos="851"/>
        </w:tabs>
        <w:ind w:left="851"/>
        <w:rPr>
          <w:sz w:val="24"/>
          <w:szCs w:val="24"/>
        </w:rPr>
      </w:pPr>
    </w:p>
    <w:p w14:paraId="63B6746A" w14:textId="77777777" w:rsidR="00016F69" w:rsidRDefault="00016F69" w:rsidP="00016F69">
      <w:pPr>
        <w:tabs>
          <w:tab w:val="left" w:pos="851"/>
        </w:tabs>
        <w:ind w:left="851"/>
        <w:rPr>
          <w:sz w:val="24"/>
          <w:szCs w:val="24"/>
        </w:rPr>
      </w:pPr>
      <w:r>
        <w:rPr>
          <w:sz w:val="24"/>
          <w:szCs w:val="24"/>
        </w:rPr>
        <w:t>Efter fortynding:</w:t>
      </w:r>
    </w:p>
    <w:p w14:paraId="699CE91C" w14:textId="77777777" w:rsidR="00016F69" w:rsidRDefault="00016F69" w:rsidP="00016F69">
      <w:pPr>
        <w:tabs>
          <w:tab w:val="left" w:pos="851"/>
        </w:tabs>
        <w:ind w:left="851"/>
        <w:rPr>
          <w:rFonts w:eastAsia="Calibri"/>
          <w:iCs/>
          <w:sz w:val="24"/>
          <w:szCs w:val="24"/>
        </w:rPr>
      </w:pPr>
      <w:r>
        <w:rPr>
          <w:rFonts w:eastAsia="Calibri"/>
          <w:iCs/>
          <w:sz w:val="24"/>
          <w:szCs w:val="24"/>
        </w:rPr>
        <w:t>Kemisk og fysisk stabilitet ved brug er påvist i 48 timer ved 15</w:t>
      </w:r>
      <w:r>
        <w:rPr>
          <w:rFonts w:eastAsia="Calibri"/>
          <w:iCs/>
          <w:sz w:val="24"/>
          <w:szCs w:val="24"/>
        </w:rPr>
        <w:noBreakHyphen/>
        <w:t>25 °C.</w:t>
      </w:r>
    </w:p>
    <w:p w14:paraId="43A7D8DF" w14:textId="77777777" w:rsidR="00016F69" w:rsidRDefault="00016F69" w:rsidP="00016F69">
      <w:pPr>
        <w:tabs>
          <w:tab w:val="left" w:pos="851"/>
        </w:tabs>
        <w:ind w:left="851"/>
        <w:rPr>
          <w:sz w:val="24"/>
          <w:szCs w:val="24"/>
        </w:rPr>
      </w:pPr>
      <w:r>
        <w:rPr>
          <w:sz w:val="24"/>
          <w:szCs w:val="24"/>
        </w:rPr>
        <w:t>Ud fra et mikrobiologisk synspunkt skal præparatet anvendes straks, medmindre fortyndingsmetoden udelukker risikoen for mikrobiel kontaminering.</w:t>
      </w:r>
    </w:p>
    <w:p w14:paraId="6E0B0D58" w14:textId="1937CCF7" w:rsidR="00262BA8" w:rsidRPr="00057786" w:rsidRDefault="00016F69" w:rsidP="00016F69">
      <w:pPr>
        <w:tabs>
          <w:tab w:val="left" w:pos="851"/>
        </w:tabs>
        <w:ind w:left="851"/>
        <w:rPr>
          <w:sz w:val="24"/>
          <w:szCs w:val="24"/>
        </w:rPr>
      </w:pPr>
      <w:r>
        <w:rPr>
          <w:sz w:val="24"/>
          <w:szCs w:val="24"/>
        </w:rPr>
        <w:t>Hvis lægemidlet ikke anvendes straks, er opbevaringstid og -forhold efter åbning brugerens eget ansvar.</w:t>
      </w:r>
    </w:p>
    <w:p w14:paraId="73D67CB1" w14:textId="77777777" w:rsidR="009260DE" w:rsidRPr="00057786" w:rsidRDefault="009260DE" w:rsidP="009260DE">
      <w:pPr>
        <w:tabs>
          <w:tab w:val="left" w:pos="851"/>
        </w:tabs>
        <w:ind w:left="851"/>
        <w:rPr>
          <w:sz w:val="24"/>
          <w:szCs w:val="24"/>
        </w:rPr>
      </w:pPr>
    </w:p>
    <w:p w14:paraId="067A95CE" w14:textId="77777777" w:rsidR="009260DE" w:rsidRPr="00057786" w:rsidRDefault="009260DE" w:rsidP="009260DE">
      <w:pPr>
        <w:tabs>
          <w:tab w:val="left" w:pos="851"/>
        </w:tabs>
        <w:ind w:left="851" w:hanging="851"/>
        <w:rPr>
          <w:b/>
          <w:sz w:val="24"/>
          <w:szCs w:val="24"/>
        </w:rPr>
      </w:pPr>
      <w:r w:rsidRPr="00057786">
        <w:rPr>
          <w:b/>
          <w:sz w:val="24"/>
          <w:szCs w:val="24"/>
        </w:rPr>
        <w:t>6.4</w:t>
      </w:r>
      <w:r w:rsidRPr="00057786">
        <w:rPr>
          <w:b/>
          <w:sz w:val="24"/>
          <w:szCs w:val="24"/>
        </w:rPr>
        <w:tab/>
        <w:t>Særlige opbevaringsforhold</w:t>
      </w:r>
    </w:p>
    <w:p w14:paraId="203D630C" w14:textId="77777777" w:rsidR="00262BA8" w:rsidRPr="00057786" w:rsidRDefault="00262BA8" w:rsidP="00262BA8">
      <w:pPr>
        <w:tabs>
          <w:tab w:val="left" w:pos="851"/>
        </w:tabs>
        <w:ind w:left="851"/>
        <w:rPr>
          <w:sz w:val="24"/>
          <w:szCs w:val="24"/>
          <w:lang w:eastAsia="da-DK"/>
        </w:rPr>
      </w:pPr>
      <w:r w:rsidRPr="00057786">
        <w:rPr>
          <w:sz w:val="24"/>
          <w:szCs w:val="24"/>
        </w:rPr>
        <w:t>Må ikke opbevares ved temperaturer over 30 °C.</w:t>
      </w:r>
    </w:p>
    <w:p w14:paraId="6E0D8D89" w14:textId="77777777" w:rsidR="00262BA8" w:rsidRPr="00057786" w:rsidRDefault="00262BA8" w:rsidP="00262BA8">
      <w:pPr>
        <w:tabs>
          <w:tab w:val="left" w:pos="851"/>
        </w:tabs>
        <w:ind w:left="851"/>
        <w:rPr>
          <w:sz w:val="24"/>
          <w:szCs w:val="24"/>
        </w:rPr>
      </w:pPr>
      <w:r w:rsidRPr="00057786">
        <w:rPr>
          <w:sz w:val="24"/>
          <w:szCs w:val="24"/>
        </w:rPr>
        <w:t>Opbevares i den originale yderpakning for at beskytte mod lys.</w:t>
      </w:r>
    </w:p>
    <w:p w14:paraId="18FBBA3B" w14:textId="77777777" w:rsidR="00262BA8" w:rsidRPr="00057786" w:rsidRDefault="00262BA8" w:rsidP="00262BA8">
      <w:pPr>
        <w:tabs>
          <w:tab w:val="left" w:pos="851"/>
        </w:tabs>
        <w:ind w:left="851"/>
        <w:rPr>
          <w:sz w:val="24"/>
          <w:szCs w:val="24"/>
        </w:rPr>
      </w:pPr>
    </w:p>
    <w:p w14:paraId="0C242DD9" w14:textId="553F780F" w:rsidR="00262BA8" w:rsidRPr="00057786" w:rsidRDefault="00016F69" w:rsidP="00262BA8">
      <w:pPr>
        <w:tabs>
          <w:tab w:val="left" w:pos="851"/>
        </w:tabs>
        <w:ind w:left="851"/>
        <w:rPr>
          <w:sz w:val="24"/>
          <w:szCs w:val="24"/>
        </w:rPr>
      </w:pPr>
      <w:r>
        <w:rPr>
          <w:sz w:val="24"/>
          <w:szCs w:val="24"/>
        </w:rPr>
        <w:t>Opbevaringsforhold efter fortynding af lægemidlet, se pkt. 6.3.</w:t>
      </w:r>
    </w:p>
    <w:p w14:paraId="3196E438" w14:textId="77777777" w:rsidR="009260DE" w:rsidRPr="00057786" w:rsidRDefault="009260DE" w:rsidP="009260DE">
      <w:pPr>
        <w:tabs>
          <w:tab w:val="left" w:pos="851"/>
        </w:tabs>
        <w:ind w:left="851"/>
        <w:rPr>
          <w:sz w:val="24"/>
          <w:szCs w:val="24"/>
        </w:rPr>
      </w:pPr>
    </w:p>
    <w:p w14:paraId="04BE12F0" w14:textId="0B3C5EA5" w:rsidR="009260DE" w:rsidRPr="00057786" w:rsidRDefault="009260DE" w:rsidP="009260DE">
      <w:pPr>
        <w:tabs>
          <w:tab w:val="left" w:pos="851"/>
        </w:tabs>
        <w:ind w:left="851" w:hanging="851"/>
        <w:rPr>
          <w:b/>
          <w:sz w:val="24"/>
          <w:szCs w:val="24"/>
        </w:rPr>
      </w:pPr>
      <w:r w:rsidRPr="00057786">
        <w:rPr>
          <w:b/>
          <w:sz w:val="24"/>
          <w:szCs w:val="24"/>
        </w:rPr>
        <w:t>6.5</w:t>
      </w:r>
      <w:r w:rsidRPr="00057786">
        <w:rPr>
          <w:b/>
          <w:sz w:val="24"/>
          <w:szCs w:val="24"/>
        </w:rPr>
        <w:tab/>
        <w:t>Emballagetype og pakningsstørrelser</w:t>
      </w:r>
    </w:p>
    <w:p w14:paraId="222E940E" w14:textId="77777777" w:rsidR="00D6268E" w:rsidRDefault="00D6268E" w:rsidP="00262BA8">
      <w:pPr>
        <w:tabs>
          <w:tab w:val="left" w:pos="851"/>
        </w:tabs>
        <w:ind w:left="851"/>
        <w:rPr>
          <w:sz w:val="24"/>
          <w:szCs w:val="24"/>
          <w:u w:val="single"/>
        </w:rPr>
      </w:pPr>
    </w:p>
    <w:p w14:paraId="6F67E748" w14:textId="7BDB2BDC" w:rsidR="00262BA8" w:rsidRPr="00057786" w:rsidRDefault="00262BA8" w:rsidP="00262BA8">
      <w:pPr>
        <w:tabs>
          <w:tab w:val="left" w:pos="851"/>
        </w:tabs>
        <w:ind w:left="851"/>
        <w:rPr>
          <w:sz w:val="24"/>
          <w:szCs w:val="24"/>
          <w:u w:val="single"/>
          <w:lang w:eastAsia="da-DK"/>
        </w:rPr>
      </w:pPr>
      <w:proofErr w:type="spellStart"/>
      <w:r w:rsidRPr="00057786">
        <w:rPr>
          <w:sz w:val="24"/>
          <w:szCs w:val="24"/>
          <w:u w:val="single"/>
        </w:rPr>
        <w:t>Dexamethason</w:t>
      </w:r>
      <w:proofErr w:type="spellEnd"/>
      <w:r w:rsidRPr="00057786">
        <w:rPr>
          <w:sz w:val="24"/>
          <w:szCs w:val="24"/>
          <w:u w:val="single"/>
        </w:rPr>
        <w:t xml:space="preserve"> "</w:t>
      </w:r>
      <w:proofErr w:type="spellStart"/>
      <w:r w:rsidRPr="00057786">
        <w:rPr>
          <w:sz w:val="24"/>
          <w:szCs w:val="24"/>
          <w:u w:val="single"/>
        </w:rPr>
        <w:t>Krka</w:t>
      </w:r>
      <w:proofErr w:type="spellEnd"/>
      <w:r w:rsidRPr="00057786">
        <w:rPr>
          <w:sz w:val="24"/>
          <w:szCs w:val="24"/>
          <w:u w:val="single"/>
        </w:rPr>
        <w:t>" 4 mg/ml injektions-/infusionsvæske, opløsning</w:t>
      </w:r>
    </w:p>
    <w:p w14:paraId="42D352CB" w14:textId="77777777" w:rsidR="0084038C" w:rsidRDefault="00262BA8" w:rsidP="00262BA8">
      <w:pPr>
        <w:tabs>
          <w:tab w:val="left" w:pos="851"/>
        </w:tabs>
        <w:ind w:left="851"/>
        <w:rPr>
          <w:sz w:val="24"/>
          <w:szCs w:val="24"/>
        </w:rPr>
      </w:pPr>
      <w:r w:rsidRPr="00057786">
        <w:rPr>
          <w:sz w:val="24"/>
          <w:szCs w:val="24"/>
        </w:rPr>
        <w:t xml:space="preserve">Ampul mærket med hvid plet og gul ring (glastype I, ravfarvet glas): </w:t>
      </w:r>
    </w:p>
    <w:p w14:paraId="0020B37D" w14:textId="4325C3C9" w:rsidR="00262BA8" w:rsidRPr="00057786" w:rsidRDefault="0084038C" w:rsidP="00262BA8">
      <w:pPr>
        <w:tabs>
          <w:tab w:val="left" w:pos="851"/>
        </w:tabs>
        <w:ind w:left="851"/>
        <w:rPr>
          <w:sz w:val="24"/>
          <w:szCs w:val="24"/>
        </w:rPr>
      </w:pPr>
      <w:r>
        <w:rPr>
          <w:sz w:val="24"/>
          <w:szCs w:val="24"/>
        </w:rPr>
        <w:t xml:space="preserve">Pakningsstørrelser: </w:t>
      </w:r>
      <w:r w:rsidR="00262BA8" w:rsidRPr="00057786">
        <w:rPr>
          <w:sz w:val="24"/>
          <w:szCs w:val="24"/>
        </w:rPr>
        <w:t>1, 3, 5, 10, 20, 25, 50 og 100 ampuller a 1 ml injektions-/infusions</w:t>
      </w:r>
      <w:r>
        <w:rPr>
          <w:sz w:val="24"/>
          <w:szCs w:val="24"/>
        </w:rPr>
        <w:softHyphen/>
      </w:r>
      <w:r w:rsidR="00262BA8" w:rsidRPr="00057786">
        <w:rPr>
          <w:sz w:val="24"/>
          <w:szCs w:val="24"/>
        </w:rPr>
        <w:t>væske, opløsning, pakket i PVC-aluminiumblisterpakninger, i en æske.</w:t>
      </w:r>
    </w:p>
    <w:p w14:paraId="01927F7B" w14:textId="77777777" w:rsidR="00262BA8" w:rsidRPr="00057786" w:rsidRDefault="00262BA8" w:rsidP="00262BA8">
      <w:pPr>
        <w:tabs>
          <w:tab w:val="left" w:pos="851"/>
        </w:tabs>
        <w:ind w:left="851"/>
        <w:rPr>
          <w:sz w:val="24"/>
          <w:szCs w:val="24"/>
        </w:rPr>
      </w:pPr>
    </w:p>
    <w:p w14:paraId="6C314695" w14:textId="77777777" w:rsidR="00262BA8" w:rsidRPr="00057786" w:rsidRDefault="00262BA8" w:rsidP="00262BA8">
      <w:pPr>
        <w:tabs>
          <w:tab w:val="left" w:pos="851"/>
        </w:tabs>
        <w:ind w:left="851"/>
        <w:rPr>
          <w:sz w:val="24"/>
          <w:szCs w:val="24"/>
          <w:u w:val="single"/>
        </w:rPr>
      </w:pPr>
      <w:proofErr w:type="spellStart"/>
      <w:r w:rsidRPr="00057786">
        <w:rPr>
          <w:sz w:val="24"/>
          <w:szCs w:val="24"/>
          <w:u w:val="single"/>
        </w:rPr>
        <w:t>Dexamethason</w:t>
      </w:r>
      <w:proofErr w:type="spellEnd"/>
      <w:r w:rsidRPr="00057786">
        <w:rPr>
          <w:sz w:val="24"/>
          <w:szCs w:val="24"/>
          <w:u w:val="single"/>
        </w:rPr>
        <w:t xml:space="preserve"> "</w:t>
      </w:r>
      <w:proofErr w:type="spellStart"/>
      <w:r w:rsidRPr="00057786">
        <w:rPr>
          <w:sz w:val="24"/>
          <w:szCs w:val="24"/>
          <w:u w:val="single"/>
        </w:rPr>
        <w:t>Krka</w:t>
      </w:r>
      <w:proofErr w:type="spellEnd"/>
      <w:r w:rsidRPr="00057786">
        <w:rPr>
          <w:sz w:val="24"/>
          <w:szCs w:val="24"/>
          <w:u w:val="single"/>
        </w:rPr>
        <w:t>" 8 mg/ml injektions-/infusionsvæske, opløsning</w:t>
      </w:r>
    </w:p>
    <w:p w14:paraId="19511DE5" w14:textId="77777777" w:rsidR="003A1A05" w:rsidRDefault="00262BA8" w:rsidP="00262BA8">
      <w:pPr>
        <w:tabs>
          <w:tab w:val="left" w:pos="851"/>
        </w:tabs>
        <w:ind w:left="851"/>
        <w:rPr>
          <w:sz w:val="24"/>
          <w:szCs w:val="24"/>
        </w:rPr>
      </w:pPr>
      <w:r w:rsidRPr="00057786">
        <w:rPr>
          <w:sz w:val="24"/>
          <w:szCs w:val="24"/>
        </w:rPr>
        <w:t xml:space="preserve">Ampul mærket med hvid plet og to røde ringe (glastype I, ravfarvet glas): </w:t>
      </w:r>
    </w:p>
    <w:p w14:paraId="396DB37C" w14:textId="58B0E656" w:rsidR="00262BA8" w:rsidRPr="00057786" w:rsidRDefault="003A1A05" w:rsidP="00262BA8">
      <w:pPr>
        <w:tabs>
          <w:tab w:val="left" w:pos="851"/>
        </w:tabs>
        <w:ind w:left="851"/>
        <w:rPr>
          <w:sz w:val="24"/>
          <w:szCs w:val="24"/>
        </w:rPr>
      </w:pPr>
      <w:r>
        <w:rPr>
          <w:sz w:val="24"/>
          <w:szCs w:val="24"/>
        </w:rPr>
        <w:t xml:space="preserve">Pakningsstørrelser: </w:t>
      </w:r>
      <w:r w:rsidR="00262BA8" w:rsidRPr="00057786">
        <w:rPr>
          <w:sz w:val="24"/>
          <w:szCs w:val="24"/>
        </w:rPr>
        <w:t>1, 3, 5, 10, 20, 25, 50 og 100 ampuller a 2 ml injektions-/infusions</w:t>
      </w:r>
      <w:r>
        <w:rPr>
          <w:sz w:val="24"/>
          <w:szCs w:val="24"/>
        </w:rPr>
        <w:softHyphen/>
      </w:r>
      <w:r w:rsidR="00262BA8" w:rsidRPr="00057786">
        <w:rPr>
          <w:sz w:val="24"/>
          <w:szCs w:val="24"/>
        </w:rPr>
        <w:t>væske, opløsning, pakket i PVC-aluminiumblisterpakninger, i en æske.</w:t>
      </w:r>
    </w:p>
    <w:p w14:paraId="408B63C1" w14:textId="77777777" w:rsidR="00262BA8" w:rsidRPr="00057786" w:rsidRDefault="00262BA8" w:rsidP="00262BA8">
      <w:pPr>
        <w:tabs>
          <w:tab w:val="left" w:pos="851"/>
        </w:tabs>
        <w:ind w:left="851"/>
        <w:rPr>
          <w:sz w:val="24"/>
          <w:szCs w:val="24"/>
        </w:rPr>
      </w:pPr>
    </w:p>
    <w:p w14:paraId="3E7EB66F" w14:textId="77777777" w:rsidR="00262BA8" w:rsidRPr="00057786" w:rsidRDefault="00262BA8" w:rsidP="00262BA8">
      <w:pPr>
        <w:tabs>
          <w:tab w:val="left" w:pos="851"/>
        </w:tabs>
        <w:ind w:left="851"/>
        <w:rPr>
          <w:sz w:val="24"/>
          <w:szCs w:val="24"/>
        </w:rPr>
      </w:pPr>
      <w:r w:rsidRPr="00057786">
        <w:rPr>
          <w:sz w:val="24"/>
          <w:szCs w:val="24"/>
        </w:rPr>
        <w:t>Ikke alle pakningsstørrelser er nødvendigvis markedsført.</w:t>
      </w:r>
    </w:p>
    <w:p w14:paraId="2D4EA9AF" w14:textId="77777777" w:rsidR="009260DE" w:rsidRPr="00057786" w:rsidRDefault="009260DE" w:rsidP="009260DE">
      <w:pPr>
        <w:tabs>
          <w:tab w:val="left" w:pos="851"/>
        </w:tabs>
        <w:ind w:left="851"/>
        <w:rPr>
          <w:sz w:val="24"/>
          <w:szCs w:val="24"/>
        </w:rPr>
      </w:pPr>
    </w:p>
    <w:p w14:paraId="3DD0708C" w14:textId="5B3E9739" w:rsidR="009260DE" w:rsidRPr="00057786" w:rsidRDefault="009260DE" w:rsidP="009260DE">
      <w:pPr>
        <w:tabs>
          <w:tab w:val="left" w:pos="851"/>
        </w:tabs>
        <w:ind w:left="851" w:hanging="851"/>
        <w:rPr>
          <w:b/>
          <w:sz w:val="24"/>
          <w:szCs w:val="24"/>
        </w:rPr>
      </w:pPr>
      <w:r w:rsidRPr="00057786">
        <w:rPr>
          <w:b/>
          <w:sz w:val="24"/>
          <w:szCs w:val="24"/>
        </w:rPr>
        <w:t>6.6</w:t>
      </w:r>
      <w:r w:rsidRPr="00057786">
        <w:rPr>
          <w:b/>
          <w:sz w:val="24"/>
          <w:szCs w:val="24"/>
        </w:rPr>
        <w:tab/>
        <w:t xml:space="preserve">Regler for </w:t>
      </w:r>
      <w:r w:rsidR="001741A9">
        <w:rPr>
          <w:b/>
          <w:sz w:val="24"/>
          <w:szCs w:val="24"/>
        </w:rPr>
        <w:t>bortskaffelse</w:t>
      </w:r>
      <w:r w:rsidRPr="00057786">
        <w:rPr>
          <w:b/>
          <w:sz w:val="24"/>
          <w:szCs w:val="24"/>
        </w:rPr>
        <w:t xml:space="preserve"> og anden håndtering</w:t>
      </w:r>
    </w:p>
    <w:p w14:paraId="5ACC08B8" w14:textId="49D5D33F" w:rsidR="00262BA8" w:rsidRPr="00057786" w:rsidRDefault="00262BA8" w:rsidP="00262BA8">
      <w:pPr>
        <w:tabs>
          <w:tab w:val="left" w:pos="851"/>
        </w:tabs>
        <w:ind w:left="851"/>
        <w:rPr>
          <w:sz w:val="24"/>
          <w:szCs w:val="24"/>
          <w:lang w:eastAsia="da-DK"/>
        </w:rPr>
      </w:pP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xml:space="preserve">" 4 mg/ml injektions-/infusionsvæske, opløsning, og </w:t>
      </w:r>
      <w:proofErr w:type="spellStart"/>
      <w:r w:rsidRPr="00057786">
        <w:rPr>
          <w:sz w:val="24"/>
          <w:szCs w:val="24"/>
        </w:rPr>
        <w:t>Dexamethason</w:t>
      </w:r>
      <w:proofErr w:type="spellEnd"/>
      <w:r w:rsidRPr="00057786">
        <w:rPr>
          <w:sz w:val="24"/>
          <w:szCs w:val="24"/>
        </w:rPr>
        <w:t xml:space="preserve"> "</w:t>
      </w:r>
      <w:proofErr w:type="spellStart"/>
      <w:r w:rsidRPr="00057786">
        <w:rPr>
          <w:sz w:val="24"/>
          <w:szCs w:val="24"/>
        </w:rPr>
        <w:t>Krka</w:t>
      </w:r>
      <w:proofErr w:type="spellEnd"/>
      <w:r w:rsidRPr="00057786">
        <w:rPr>
          <w:sz w:val="24"/>
          <w:szCs w:val="24"/>
        </w:rPr>
        <w:t>" 8 mg/2 ml injektions-/infusionsvæske, opløsning, administreres fortrinsvis via direkte intravenøs injektion eller injektion ind i infusionsslangen. Injektions-/infusions</w:t>
      </w:r>
      <w:r w:rsidR="001034AB">
        <w:rPr>
          <w:sz w:val="24"/>
          <w:szCs w:val="24"/>
        </w:rPr>
        <w:softHyphen/>
      </w:r>
      <w:r w:rsidRPr="00057786">
        <w:rPr>
          <w:sz w:val="24"/>
          <w:szCs w:val="24"/>
        </w:rPr>
        <w:t>væske, opløsning, er kompatibel med de følgende infusionsopløsninger (hver gang 250 og 500 ml) og er bestemt til anvendelse inden for 48 timer:</w:t>
      </w:r>
    </w:p>
    <w:p w14:paraId="60776205" w14:textId="77777777" w:rsidR="00262BA8" w:rsidRPr="00057786" w:rsidRDefault="00262BA8" w:rsidP="00262BA8">
      <w:pPr>
        <w:tabs>
          <w:tab w:val="left" w:pos="851"/>
        </w:tabs>
        <w:ind w:left="851"/>
        <w:rPr>
          <w:sz w:val="24"/>
          <w:szCs w:val="24"/>
        </w:rPr>
      </w:pPr>
    </w:p>
    <w:p w14:paraId="5EF83839" w14:textId="77777777" w:rsidR="00262BA8" w:rsidRPr="00057786" w:rsidRDefault="00262BA8" w:rsidP="005D4665">
      <w:pPr>
        <w:keepNext/>
        <w:widowControl w:val="0"/>
        <w:numPr>
          <w:ilvl w:val="0"/>
          <w:numId w:val="7"/>
        </w:numPr>
        <w:ind w:left="1276" w:hanging="425"/>
        <w:rPr>
          <w:iCs/>
          <w:sz w:val="24"/>
          <w:szCs w:val="24"/>
        </w:rPr>
      </w:pPr>
      <w:r w:rsidRPr="00057786">
        <w:rPr>
          <w:iCs/>
          <w:sz w:val="24"/>
          <w:szCs w:val="24"/>
        </w:rPr>
        <w:t>isotonisk saltvandsopløsning</w:t>
      </w:r>
    </w:p>
    <w:p w14:paraId="7391DDD0" w14:textId="77777777" w:rsidR="00262BA8" w:rsidRPr="00057786" w:rsidRDefault="00262BA8" w:rsidP="00262BA8">
      <w:pPr>
        <w:widowControl w:val="0"/>
        <w:numPr>
          <w:ilvl w:val="0"/>
          <w:numId w:val="7"/>
        </w:numPr>
        <w:ind w:left="1276" w:hanging="425"/>
        <w:rPr>
          <w:iCs/>
          <w:sz w:val="24"/>
          <w:szCs w:val="24"/>
        </w:rPr>
      </w:pPr>
      <w:r w:rsidRPr="00057786">
        <w:rPr>
          <w:iCs/>
          <w:sz w:val="24"/>
          <w:szCs w:val="24"/>
        </w:rPr>
        <w:t>Ringers opløsning</w:t>
      </w:r>
    </w:p>
    <w:p w14:paraId="3DF75F1C" w14:textId="77777777" w:rsidR="00262BA8" w:rsidRPr="00057786" w:rsidRDefault="00262BA8" w:rsidP="00262BA8">
      <w:pPr>
        <w:widowControl w:val="0"/>
        <w:numPr>
          <w:ilvl w:val="0"/>
          <w:numId w:val="7"/>
        </w:numPr>
        <w:ind w:left="1276" w:hanging="425"/>
        <w:rPr>
          <w:iCs/>
          <w:sz w:val="24"/>
          <w:szCs w:val="24"/>
        </w:rPr>
      </w:pPr>
      <w:proofErr w:type="spellStart"/>
      <w:r w:rsidRPr="00057786">
        <w:rPr>
          <w:iCs/>
          <w:sz w:val="24"/>
          <w:szCs w:val="24"/>
        </w:rPr>
        <w:t>glucoseopløsning</w:t>
      </w:r>
      <w:proofErr w:type="spellEnd"/>
      <w:r w:rsidRPr="00057786">
        <w:rPr>
          <w:iCs/>
          <w:sz w:val="24"/>
          <w:szCs w:val="24"/>
        </w:rPr>
        <w:t>, 5 %</w:t>
      </w:r>
    </w:p>
    <w:p w14:paraId="56089A66" w14:textId="77777777" w:rsidR="00262BA8" w:rsidRPr="00057786" w:rsidRDefault="00262BA8" w:rsidP="00262BA8">
      <w:pPr>
        <w:widowControl w:val="0"/>
        <w:numPr>
          <w:ilvl w:val="0"/>
          <w:numId w:val="7"/>
        </w:numPr>
        <w:ind w:left="1276" w:hanging="425"/>
        <w:rPr>
          <w:iCs/>
          <w:sz w:val="24"/>
          <w:szCs w:val="24"/>
        </w:rPr>
      </w:pPr>
      <w:proofErr w:type="spellStart"/>
      <w:r w:rsidRPr="00057786">
        <w:rPr>
          <w:iCs/>
          <w:sz w:val="24"/>
          <w:szCs w:val="24"/>
        </w:rPr>
        <w:t>glucoseopløsning</w:t>
      </w:r>
      <w:proofErr w:type="spellEnd"/>
      <w:r w:rsidRPr="00057786">
        <w:rPr>
          <w:iCs/>
          <w:sz w:val="24"/>
          <w:szCs w:val="24"/>
        </w:rPr>
        <w:t>, 10 %</w:t>
      </w:r>
    </w:p>
    <w:p w14:paraId="2318241B" w14:textId="77777777" w:rsidR="00262BA8" w:rsidRPr="00057786" w:rsidRDefault="00262BA8" w:rsidP="00262BA8">
      <w:pPr>
        <w:tabs>
          <w:tab w:val="left" w:pos="851"/>
        </w:tabs>
        <w:ind w:left="851"/>
        <w:rPr>
          <w:sz w:val="24"/>
          <w:szCs w:val="24"/>
        </w:rPr>
      </w:pPr>
    </w:p>
    <w:p w14:paraId="702DEC9C" w14:textId="77777777" w:rsidR="00262BA8" w:rsidRPr="00057786" w:rsidRDefault="00262BA8" w:rsidP="00262BA8">
      <w:pPr>
        <w:tabs>
          <w:tab w:val="left" w:pos="851"/>
        </w:tabs>
        <w:ind w:left="851"/>
        <w:rPr>
          <w:sz w:val="24"/>
          <w:szCs w:val="24"/>
        </w:rPr>
      </w:pPr>
      <w:r w:rsidRPr="00057786">
        <w:rPr>
          <w:sz w:val="24"/>
          <w:szCs w:val="24"/>
        </w:rPr>
        <w:t>Ved anvendelse i kombination med infusionsvæsker, opløsning, bør hver leverandørs oplysninger på deres infusionsvæsker, opløsning, herunder oplysninger vedrørende kompatibilitet, kontraindikationer, bivirkninger og interaktioner overvejes.</w:t>
      </w:r>
    </w:p>
    <w:p w14:paraId="2CDAFD7B" w14:textId="77777777" w:rsidR="00262BA8" w:rsidRPr="00057786" w:rsidRDefault="00262BA8" w:rsidP="00262BA8">
      <w:pPr>
        <w:tabs>
          <w:tab w:val="left" w:pos="851"/>
        </w:tabs>
        <w:ind w:left="851"/>
        <w:rPr>
          <w:sz w:val="24"/>
          <w:szCs w:val="24"/>
        </w:rPr>
      </w:pPr>
    </w:p>
    <w:p w14:paraId="683B253B" w14:textId="77777777" w:rsidR="00262BA8" w:rsidRPr="00057786" w:rsidRDefault="00262BA8" w:rsidP="00262BA8">
      <w:pPr>
        <w:tabs>
          <w:tab w:val="left" w:pos="851"/>
        </w:tabs>
        <w:ind w:left="851"/>
        <w:rPr>
          <w:sz w:val="24"/>
          <w:szCs w:val="24"/>
        </w:rPr>
      </w:pPr>
      <w:r w:rsidRPr="00057786">
        <w:rPr>
          <w:sz w:val="24"/>
          <w:szCs w:val="24"/>
        </w:rPr>
        <w:t>Ikke anvendt lægemiddel samt affald heraf skal bortskaffes i henhold til lokale retningslinjer.</w:t>
      </w:r>
    </w:p>
    <w:p w14:paraId="759DEB94" w14:textId="77777777" w:rsidR="009260DE" w:rsidRPr="00057786" w:rsidRDefault="009260DE" w:rsidP="009260DE">
      <w:pPr>
        <w:tabs>
          <w:tab w:val="left" w:pos="851"/>
        </w:tabs>
        <w:ind w:left="851"/>
        <w:jc w:val="both"/>
        <w:rPr>
          <w:sz w:val="24"/>
          <w:szCs w:val="24"/>
        </w:rPr>
      </w:pPr>
    </w:p>
    <w:p w14:paraId="46638062" w14:textId="77777777" w:rsidR="009260DE" w:rsidRPr="00057786" w:rsidRDefault="009260DE" w:rsidP="009260DE">
      <w:pPr>
        <w:tabs>
          <w:tab w:val="left" w:pos="851"/>
        </w:tabs>
        <w:ind w:left="851" w:hanging="851"/>
        <w:rPr>
          <w:b/>
          <w:sz w:val="24"/>
          <w:szCs w:val="24"/>
        </w:rPr>
      </w:pPr>
      <w:r w:rsidRPr="00057786">
        <w:rPr>
          <w:b/>
          <w:sz w:val="24"/>
          <w:szCs w:val="24"/>
        </w:rPr>
        <w:t>7.</w:t>
      </w:r>
      <w:r w:rsidRPr="00057786">
        <w:rPr>
          <w:b/>
          <w:sz w:val="24"/>
          <w:szCs w:val="24"/>
        </w:rPr>
        <w:tab/>
        <w:t>INDEHAVER AF MARKEDSFØRINGSTILLADELSEN</w:t>
      </w:r>
    </w:p>
    <w:p w14:paraId="68478F71" w14:textId="77777777" w:rsidR="00262BA8" w:rsidRPr="00057786" w:rsidRDefault="00262BA8" w:rsidP="00262BA8">
      <w:pPr>
        <w:tabs>
          <w:tab w:val="left" w:pos="851"/>
        </w:tabs>
        <w:ind w:left="851"/>
        <w:rPr>
          <w:sz w:val="24"/>
          <w:szCs w:val="24"/>
          <w:lang w:eastAsia="da-DK"/>
        </w:rPr>
      </w:pPr>
      <w:r w:rsidRPr="00057786">
        <w:rPr>
          <w:sz w:val="24"/>
          <w:szCs w:val="24"/>
        </w:rPr>
        <w:t xml:space="preserve">KRKA, d.d., Novo </w:t>
      </w:r>
      <w:proofErr w:type="spellStart"/>
      <w:r w:rsidRPr="00057786">
        <w:rPr>
          <w:sz w:val="24"/>
          <w:szCs w:val="24"/>
        </w:rPr>
        <w:t>mesto</w:t>
      </w:r>
      <w:proofErr w:type="spellEnd"/>
    </w:p>
    <w:p w14:paraId="1C56D452" w14:textId="77777777" w:rsidR="00262BA8" w:rsidRPr="00A651D7" w:rsidRDefault="00262BA8" w:rsidP="00262BA8">
      <w:pPr>
        <w:tabs>
          <w:tab w:val="left" w:pos="851"/>
        </w:tabs>
        <w:ind w:left="851"/>
        <w:rPr>
          <w:sz w:val="24"/>
          <w:szCs w:val="24"/>
          <w:lang w:val="sv-SE"/>
        </w:rPr>
      </w:pPr>
      <w:proofErr w:type="spellStart"/>
      <w:r w:rsidRPr="00A651D7">
        <w:rPr>
          <w:sz w:val="24"/>
          <w:szCs w:val="24"/>
          <w:lang w:val="sv-SE"/>
        </w:rPr>
        <w:t>Šmarješka</w:t>
      </w:r>
      <w:proofErr w:type="spellEnd"/>
      <w:r w:rsidRPr="00A651D7">
        <w:rPr>
          <w:sz w:val="24"/>
          <w:szCs w:val="24"/>
          <w:lang w:val="sv-SE"/>
        </w:rPr>
        <w:t xml:space="preserve"> </w:t>
      </w:r>
      <w:proofErr w:type="spellStart"/>
      <w:r w:rsidRPr="00A651D7">
        <w:rPr>
          <w:sz w:val="24"/>
          <w:szCs w:val="24"/>
          <w:lang w:val="sv-SE"/>
        </w:rPr>
        <w:t>cesta</w:t>
      </w:r>
      <w:proofErr w:type="spellEnd"/>
      <w:r w:rsidRPr="00A651D7">
        <w:rPr>
          <w:sz w:val="24"/>
          <w:szCs w:val="24"/>
          <w:lang w:val="sv-SE"/>
        </w:rPr>
        <w:t xml:space="preserve"> 6</w:t>
      </w:r>
    </w:p>
    <w:p w14:paraId="4A1C0157" w14:textId="77777777" w:rsidR="00262BA8" w:rsidRPr="00A651D7" w:rsidRDefault="00262BA8" w:rsidP="00262BA8">
      <w:pPr>
        <w:tabs>
          <w:tab w:val="left" w:pos="851"/>
        </w:tabs>
        <w:ind w:left="851"/>
        <w:rPr>
          <w:sz w:val="24"/>
          <w:szCs w:val="24"/>
          <w:lang w:val="sv-SE"/>
        </w:rPr>
      </w:pPr>
      <w:r w:rsidRPr="00A651D7">
        <w:rPr>
          <w:sz w:val="24"/>
          <w:szCs w:val="24"/>
          <w:lang w:val="sv-SE"/>
        </w:rPr>
        <w:t xml:space="preserve">8501 Novo </w:t>
      </w:r>
      <w:proofErr w:type="spellStart"/>
      <w:r w:rsidRPr="00A651D7">
        <w:rPr>
          <w:sz w:val="24"/>
          <w:szCs w:val="24"/>
          <w:lang w:val="sv-SE"/>
        </w:rPr>
        <w:t>mesto</w:t>
      </w:r>
      <w:proofErr w:type="spellEnd"/>
    </w:p>
    <w:p w14:paraId="2F6C3F3F" w14:textId="77777777" w:rsidR="00262BA8" w:rsidRPr="00A651D7" w:rsidRDefault="00262BA8" w:rsidP="00262BA8">
      <w:pPr>
        <w:tabs>
          <w:tab w:val="left" w:pos="851"/>
        </w:tabs>
        <w:ind w:left="851"/>
        <w:rPr>
          <w:sz w:val="24"/>
          <w:szCs w:val="24"/>
          <w:lang w:val="sv-SE"/>
        </w:rPr>
      </w:pPr>
      <w:r w:rsidRPr="00A651D7">
        <w:rPr>
          <w:sz w:val="24"/>
          <w:szCs w:val="24"/>
          <w:lang w:val="sv-SE"/>
        </w:rPr>
        <w:t>Slovenien</w:t>
      </w:r>
    </w:p>
    <w:p w14:paraId="66C32927" w14:textId="77777777" w:rsidR="00262BA8" w:rsidRPr="00A651D7" w:rsidRDefault="00262BA8" w:rsidP="00262BA8">
      <w:pPr>
        <w:tabs>
          <w:tab w:val="left" w:pos="851"/>
        </w:tabs>
        <w:ind w:left="851"/>
        <w:rPr>
          <w:sz w:val="24"/>
          <w:szCs w:val="24"/>
          <w:lang w:val="sv-SE"/>
        </w:rPr>
      </w:pPr>
    </w:p>
    <w:p w14:paraId="680EB221" w14:textId="77777777" w:rsidR="00262BA8" w:rsidRPr="00A651D7" w:rsidRDefault="00262BA8" w:rsidP="00262BA8">
      <w:pPr>
        <w:ind w:left="851"/>
        <w:rPr>
          <w:b/>
          <w:sz w:val="24"/>
          <w:szCs w:val="24"/>
          <w:lang w:val="sv-SE"/>
        </w:rPr>
      </w:pPr>
      <w:proofErr w:type="spellStart"/>
      <w:r w:rsidRPr="00A651D7">
        <w:rPr>
          <w:b/>
          <w:sz w:val="24"/>
          <w:szCs w:val="24"/>
          <w:lang w:val="sv-SE"/>
        </w:rPr>
        <w:t>Repræsentant</w:t>
      </w:r>
      <w:proofErr w:type="spellEnd"/>
    </w:p>
    <w:p w14:paraId="16D48A96" w14:textId="77777777" w:rsidR="00262BA8" w:rsidRPr="00A651D7" w:rsidRDefault="00262BA8" w:rsidP="00262BA8">
      <w:pPr>
        <w:ind w:left="851"/>
        <w:rPr>
          <w:sz w:val="24"/>
          <w:szCs w:val="24"/>
          <w:lang w:val="sv-SE"/>
        </w:rPr>
      </w:pPr>
      <w:r w:rsidRPr="00A651D7">
        <w:rPr>
          <w:sz w:val="24"/>
          <w:szCs w:val="24"/>
          <w:lang w:val="sv-SE"/>
        </w:rPr>
        <w:t>KRKA Sverige AB</w:t>
      </w:r>
    </w:p>
    <w:p w14:paraId="72D553DD" w14:textId="77777777" w:rsidR="00262BA8" w:rsidRPr="00A651D7" w:rsidRDefault="00262BA8" w:rsidP="00262BA8">
      <w:pPr>
        <w:ind w:left="851"/>
        <w:rPr>
          <w:sz w:val="24"/>
          <w:szCs w:val="24"/>
          <w:lang w:val="sv-SE"/>
        </w:rPr>
      </w:pPr>
      <w:r w:rsidRPr="00A651D7">
        <w:rPr>
          <w:sz w:val="24"/>
          <w:szCs w:val="24"/>
          <w:lang w:val="sv-SE"/>
        </w:rPr>
        <w:t>Göta Ark 175</w:t>
      </w:r>
    </w:p>
    <w:p w14:paraId="7CFF280A" w14:textId="77777777" w:rsidR="00262BA8" w:rsidRPr="00057786" w:rsidRDefault="00262BA8" w:rsidP="00262BA8">
      <w:pPr>
        <w:ind w:left="851"/>
        <w:rPr>
          <w:sz w:val="24"/>
          <w:szCs w:val="24"/>
        </w:rPr>
      </w:pPr>
      <w:r w:rsidRPr="00057786">
        <w:rPr>
          <w:sz w:val="24"/>
          <w:szCs w:val="24"/>
        </w:rPr>
        <w:t>118 72 Stockholm</w:t>
      </w:r>
    </w:p>
    <w:p w14:paraId="63AFF10E" w14:textId="77777777" w:rsidR="00262BA8" w:rsidRPr="00057786" w:rsidRDefault="00262BA8" w:rsidP="00262BA8">
      <w:pPr>
        <w:tabs>
          <w:tab w:val="left" w:pos="851"/>
        </w:tabs>
        <w:ind w:left="851"/>
        <w:rPr>
          <w:sz w:val="24"/>
          <w:szCs w:val="24"/>
        </w:rPr>
      </w:pPr>
      <w:r w:rsidRPr="00057786">
        <w:rPr>
          <w:sz w:val="24"/>
          <w:szCs w:val="24"/>
        </w:rPr>
        <w:t>Sverige</w:t>
      </w:r>
    </w:p>
    <w:p w14:paraId="41A161EA" w14:textId="77777777" w:rsidR="009260DE" w:rsidRPr="00057786" w:rsidRDefault="009260DE" w:rsidP="009260DE">
      <w:pPr>
        <w:tabs>
          <w:tab w:val="left" w:pos="851"/>
        </w:tabs>
        <w:ind w:left="851"/>
        <w:rPr>
          <w:sz w:val="24"/>
          <w:szCs w:val="24"/>
        </w:rPr>
      </w:pPr>
    </w:p>
    <w:p w14:paraId="6736376E" w14:textId="61EEE57D" w:rsidR="009260DE" w:rsidRPr="00057786" w:rsidRDefault="009260DE" w:rsidP="009260DE">
      <w:pPr>
        <w:tabs>
          <w:tab w:val="left" w:pos="851"/>
        </w:tabs>
        <w:ind w:left="851" w:hanging="851"/>
        <w:rPr>
          <w:b/>
          <w:sz w:val="24"/>
          <w:szCs w:val="24"/>
        </w:rPr>
      </w:pPr>
      <w:r w:rsidRPr="00057786">
        <w:rPr>
          <w:b/>
          <w:sz w:val="24"/>
          <w:szCs w:val="24"/>
        </w:rPr>
        <w:t>8.</w:t>
      </w:r>
      <w:r w:rsidRPr="00057786">
        <w:rPr>
          <w:b/>
          <w:sz w:val="24"/>
          <w:szCs w:val="24"/>
        </w:rPr>
        <w:tab/>
        <w:t>MARKEDSFØRINGSTILLADELSESNUMMER (</w:t>
      </w:r>
      <w:r w:rsidR="001741A9">
        <w:rPr>
          <w:b/>
          <w:sz w:val="24"/>
          <w:szCs w:val="24"/>
        </w:rPr>
        <w:t>-</w:t>
      </w:r>
      <w:r w:rsidRPr="00057786">
        <w:rPr>
          <w:b/>
          <w:sz w:val="24"/>
          <w:szCs w:val="24"/>
        </w:rPr>
        <w:t>NUMRE)</w:t>
      </w:r>
    </w:p>
    <w:p w14:paraId="25F9669B" w14:textId="1BF8E482" w:rsidR="009260DE" w:rsidRPr="00057786" w:rsidRDefault="007F6432" w:rsidP="001034AB">
      <w:pPr>
        <w:tabs>
          <w:tab w:val="left" w:pos="851"/>
          <w:tab w:val="left" w:pos="2127"/>
        </w:tabs>
        <w:ind w:left="851"/>
        <w:rPr>
          <w:sz w:val="24"/>
          <w:szCs w:val="24"/>
        </w:rPr>
      </w:pPr>
      <w:r w:rsidRPr="00057786">
        <w:rPr>
          <w:sz w:val="24"/>
          <w:szCs w:val="24"/>
        </w:rPr>
        <w:t xml:space="preserve">4 mg/ml: </w:t>
      </w:r>
      <w:r w:rsidR="001034AB">
        <w:rPr>
          <w:sz w:val="24"/>
          <w:szCs w:val="24"/>
        </w:rPr>
        <w:tab/>
      </w:r>
      <w:r w:rsidRPr="00057786">
        <w:rPr>
          <w:sz w:val="24"/>
          <w:szCs w:val="24"/>
        </w:rPr>
        <w:t>61379</w:t>
      </w:r>
    </w:p>
    <w:p w14:paraId="333CB34B" w14:textId="36631283" w:rsidR="007F6432" w:rsidRPr="00057786" w:rsidRDefault="007F6432" w:rsidP="001034AB">
      <w:pPr>
        <w:tabs>
          <w:tab w:val="left" w:pos="851"/>
          <w:tab w:val="left" w:pos="2127"/>
        </w:tabs>
        <w:ind w:left="851"/>
        <w:rPr>
          <w:sz w:val="24"/>
          <w:szCs w:val="24"/>
        </w:rPr>
      </w:pPr>
      <w:r w:rsidRPr="00057786">
        <w:rPr>
          <w:sz w:val="24"/>
          <w:szCs w:val="24"/>
        </w:rPr>
        <w:t xml:space="preserve">8 mg/2 ml: </w:t>
      </w:r>
      <w:r w:rsidR="001034AB">
        <w:rPr>
          <w:sz w:val="24"/>
          <w:szCs w:val="24"/>
        </w:rPr>
        <w:tab/>
      </w:r>
      <w:r w:rsidRPr="00057786">
        <w:rPr>
          <w:sz w:val="24"/>
          <w:szCs w:val="24"/>
        </w:rPr>
        <w:t>61380</w:t>
      </w:r>
    </w:p>
    <w:p w14:paraId="6BE21482" w14:textId="77777777" w:rsidR="009260DE" w:rsidRPr="00057786" w:rsidRDefault="009260DE" w:rsidP="009260DE">
      <w:pPr>
        <w:tabs>
          <w:tab w:val="left" w:pos="851"/>
        </w:tabs>
        <w:ind w:left="851"/>
        <w:jc w:val="both"/>
        <w:rPr>
          <w:sz w:val="24"/>
          <w:szCs w:val="24"/>
        </w:rPr>
      </w:pPr>
    </w:p>
    <w:p w14:paraId="5B39B503" w14:textId="77777777" w:rsidR="009260DE" w:rsidRPr="00057786" w:rsidRDefault="009260DE" w:rsidP="009260DE">
      <w:pPr>
        <w:tabs>
          <w:tab w:val="left" w:pos="851"/>
        </w:tabs>
        <w:ind w:left="851" w:hanging="851"/>
        <w:rPr>
          <w:b/>
          <w:sz w:val="24"/>
          <w:szCs w:val="24"/>
        </w:rPr>
      </w:pPr>
      <w:r w:rsidRPr="00057786">
        <w:rPr>
          <w:b/>
          <w:sz w:val="24"/>
          <w:szCs w:val="24"/>
        </w:rPr>
        <w:t>9.</w:t>
      </w:r>
      <w:r w:rsidRPr="00057786">
        <w:rPr>
          <w:b/>
          <w:sz w:val="24"/>
          <w:szCs w:val="24"/>
        </w:rPr>
        <w:tab/>
        <w:t>DATO FOR FØRSTE MARKEDSFØRINGSTILLADELSE</w:t>
      </w:r>
    </w:p>
    <w:p w14:paraId="4FE2229C" w14:textId="7B269BF0" w:rsidR="009260DE" w:rsidRPr="00057786" w:rsidRDefault="00406666" w:rsidP="009260DE">
      <w:pPr>
        <w:tabs>
          <w:tab w:val="left" w:pos="851"/>
        </w:tabs>
        <w:ind w:left="851"/>
        <w:rPr>
          <w:sz w:val="24"/>
          <w:szCs w:val="24"/>
        </w:rPr>
      </w:pPr>
      <w:r>
        <w:rPr>
          <w:sz w:val="24"/>
          <w:szCs w:val="24"/>
        </w:rPr>
        <w:t>12. marts 2020</w:t>
      </w:r>
    </w:p>
    <w:p w14:paraId="31569171" w14:textId="77777777" w:rsidR="009260DE" w:rsidRPr="00057786" w:rsidRDefault="009260DE" w:rsidP="009260DE">
      <w:pPr>
        <w:tabs>
          <w:tab w:val="left" w:pos="851"/>
        </w:tabs>
        <w:ind w:left="851"/>
        <w:rPr>
          <w:sz w:val="24"/>
          <w:szCs w:val="24"/>
        </w:rPr>
      </w:pPr>
    </w:p>
    <w:p w14:paraId="61165C90" w14:textId="77777777" w:rsidR="009260DE" w:rsidRPr="00057786" w:rsidRDefault="009260DE" w:rsidP="009260DE">
      <w:pPr>
        <w:tabs>
          <w:tab w:val="left" w:pos="851"/>
        </w:tabs>
        <w:ind w:left="851" w:hanging="851"/>
        <w:rPr>
          <w:b/>
          <w:sz w:val="24"/>
          <w:szCs w:val="24"/>
        </w:rPr>
      </w:pPr>
      <w:r w:rsidRPr="00057786">
        <w:rPr>
          <w:b/>
          <w:sz w:val="24"/>
          <w:szCs w:val="24"/>
        </w:rPr>
        <w:t>10.</w:t>
      </w:r>
      <w:r w:rsidRPr="00057786">
        <w:rPr>
          <w:b/>
          <w:sz w:val="24"/>
          <w:szCs w:val="24"/>
        </w:rPr>
        <w:tab/>
        <w:t>DATO FOR ÆNDRING AF TEKSTEN</w:t>
      </w:r>
    </w:p>
    <w:p w14:paraId="31E9E937" w14:textId="0BE8180A" w:rsidR="009260DE" w:rsidRPr="00057786" w:rsidRDefault="001741A9" w:rsidP="009260DE">
      <w:pPr>
        <w:tabs>
          <w:tab w:val="left" w:pos="851"/>
        </w:tabs>
        <w:ind w:left="851"/>
        <w:rPr>
          <w:sz w:val="24"/>
          <w:szCs w:val="24"/>
        </w:rPr>
      </w:pPr>
      <w:r>
        <w:rPr>
          <w:sz w:val="24"/>
          <w:szCs w:val="24"/>
        </w:rPr>
        <w:t>20</w:t>
      </w:r>
      <w:r w:rsidR="00016F69" w:rsidRPr="00016F69">
        <w:rPr>
          <w:sz w:val="24"/>
          <w:szCs w:val="24"/>
        </w:rPr>
        <w:t xml:space="preserve">. </w:t>
      </w:r>
      <w:r>
        <w:rPr>
          <w:sz w:val="24"/>
          <w:szCs w:val="24"/>
        </w:rPr>
        <w:t>november</w:t>
      </w:r>
      <w:r w:rsidR="00016F69" w:rsidRPr="00016F69">
        <w:rPr>
          <w:sz w:val="24"/>
          <w:szCs w:val="24"/>
        </w:rPr>
        <w:t xml:space="preserve"> 202</w:t>
      </w:r>
      <w:r>
        <w:rPr>
          <w:sz w:val="24"/>
          <w:szCs w:val="24"/>
        </w:rPr>
        <w:t>3</w:t>
      </w:r>
    </w:p>
    <w:sectPr w:rsidR="009260DE" w:rsidRPr="00057786"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072D8" w14:textId="77777777" w:rsidR="0021119B" w:rsidRDefault="0021119B">
      <w:r>
        <w:separator/>
      </w:r>
    </w:p>
  </w:endnote>
  <w:endnote w:type="continuationSeparator" w:id="0">
    <w:p w14:paraId="35FEA060" w14:textId="77777777" w:rsidR="0021119B" w:rsidRDefault="0021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701A" w14:textId="77777777" w:rsidR="0021119B" w:rsidRDefault="0021119B">
    <w:pPr>
      <w:pStyle w:val="Sidefod"/>
      <w:pBdr>
        <w:bottom w:val="single" w:sz="6" w:space="1" w:color="auto"/>
      </w:pBdr>
    </w:pPr>
  </w:p>
  <w:p w14:paraId="23E56C97" w14:textId="77777777" w:rsidR="0021119B" w:rsidRDefault="0021119B" w:rsidP="00C42586">
    <w:pPr>
      <w:pStyle w:val="Sidefod"/>
      <w:tabs>
        <w:tab w:val="clear" w:pos="4819"/>
        <w:tab w:val="left" w:pos="8505"/>
      </w:tabs>
      <w:rPr>
        <w:i/>
        <w:sz w:val="18"/>
        <w:szCs w:val="18"/>
      </w:rPr>
    </w:pPr>
  </w:p>
  <w:p w14:paraId="338399D9" w14:textId="0D3B47B7" w:rsidR="0021119B" w:rsidRPr="00B373D7" w:rsidRDefault="0021119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Dexamethason Krka, injektions--infusionsvæske, opløsning 4 mg-ml og 8 mg-2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9D220" w14:textId="77777777" w:rsidR="0021119B" w:rsidRDefault="0021119B">
      <w:r>
        <w:separator/>
      </w:r>
    </w:p>
  </w:footnote>
  <w:footnote w:type="continuationSeparator" w:id="0">
    <w:p w14:paraId="153EC5A8" w14:textId="77777777" w:rsidR="0021119B" w:rsidRDefault="0021119B">
      <w:r>
        <w:continuationSeparator/>
      </w:r>
    </w:p>
  </w:footnote>
  <w:footnote w:id="1">
    <w:p w14:paraId="4FCCF919" w14:textId="77777777" w:rsidR="0021119B" w:rsidRDefault="0021119B" w:rsidP="00016F69">
      <w:pPr>
        <w:pStyle w:val="Fodnotetekst"/>
        <w:rPr>
          <w:lang w:val="sv-SE"/>
        </w:rPr>
      </w:pPr>
      <w:r>
        <w:rPr>
          <w:rStyle w:val="Fodnotehenvisning"/>
        </w:rPr>
        <w:footnoteRef/>
      </w:r>
      <w:r>
        <w:t xml:space="preserve"> </w:t>
      </w:r>
      <w:hyperlink r:id="rId1" w:history="1">
        <w:r>
          <w:rPr>
            <w:rStyle w:val="Hyperlink"/>
            <w:lang w:eastAsia="en-GB"/>
          </w:rPr>
          <w:t>www.recoverytrial.net</w:t>
        </w:r>
      </w:hyperlink>
    </w:p>
  </w:footnote>
  <w:footnote w:id="2">
    <w:p w14:paraId="057D1F29" w14:textId="77777777" w:rsidR="0021119B" w:rsidRDefault="0021119B" w:rsidP="00016F69">
      <w:pPr>
        <w:pStyle w:val="Fodnotetekst"/>
        <w:rPr>
          <w:lang w:val="sv-SE"/>
        </w:rPr>
      </w:pPr>
      <w:r>
        <w:rPr>
          <w:rStyle w:val="Fodnotehenvisning"/>
        </w:rPr>
        <w:footnoteRef/>
      </w:r>
      <w:r>
        <w:t xml:space="preserve"> (source: </w:t>
      </w:r>
      <w:r>
        <w:t xml:space="preserve">Horby P. et al., 2020; </w:t>
      </w:r>
      <w:r>
        <w:t>https://www.medrxiv.org/content/10.1101/2020.06.22.20137273v1 ; doi: https://doi.org/10.1101/2020.06.22.20137273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877FE0"/>
    <w:multiLevelType w:val="hybridMultilevel"/>
    <w:tmpl w:val="04CEA826"/>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1CFD3D6E"/>
    <w:multiLevelType w:val="hybridMultilevel"/>
    <w:tmpl w:val="C49046D4"/>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0A84A6E"/>
    <w:multiLevelType w:val="hybridMultilevel"/>
    <w:tmpl w:val="2A84770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D3"/>
    <w:rsid w:val="00016F69"/>
    <w:rsid w:val="0002308C"/>
    <w:rsid w:val="000259B9"/>
    <w:rsid w:val="00041491"/>
    <w:rsid w:val="000502D3"/>
    <w:rsid w:val="00050D16"/>
    <w:rsid w:val="00057786"/>
    <w:rsid w:val="00074F2A"/>
    <w:rsid w:val="000A1CA8"/>
    <w:rsid w:val="000A466B"/>
    <w:rsid w:val="000B058C"/>
    <w:rsid w:val="000E4EE6"/>
    <w:rsid w:val="001034AB"/>
    <w:rsid w:val="001454E2"/>
    <w:rsid w:val="001741A9"/>
    <w:rsid w:val="00206CE8"/>
    <w:rsid w:val="0021119B"/>
    <w:rsid w:val="0021526C"/>
    <w:rsid w:val="00262BA8"/>
    <w:rsid w:val="00283A2B"/>
    <w:rsid w:val="002B30AD"/>
    <w:rsid w:val="002C2C01"/>
    <w:rsid w:val="002D32FD"/>
    <w:rsid w:val="00394E4E"/>
    <w:rsid w:val="003A1A05"/>
    <w:rsid w:val="003A29AE"/>
    <w:rsid w:val="003A32D7"/>
    <w:rsid w:val="003B4074"/>
    <w:rsid w:val="003C769A"/>
    <w:rsid w:val="003E5DF5"/>
    <w:rsid w:val="003F1838"/>
    <w:rsid w:val="00406666"/>
    <w:rsid w:val="0045746C"/>
    <w:rsid w:val="0049104B"/>
    <w:rsid w:val="004E3B12"/>
    <w:rsid w:val="00532310"/>
    <w:rsid w:val="00565F0F"/>
    <w:rsid w:val="00583679"/>
    <w:rsid w:val="00594A86"/>
    <w:rsid w:val="00596D86"/>
    <w:rsid w:val="005D4665"/>
    <w:rsid w:val="00637F5A"/>
    <w:rsid w:val="006560B1"/>
    <w:rsid w:val="006756DD"/>
    <w:rsid w:val="006F03B1"/>
    <w:rsid w:val="00737275"/>
    <w:rsid w:val="00740EEC"/>
    <w:rsid w:val="0078011A"/>
    <w:rsid w:val="00782AF4"/>
    <w:rsid w:val="00790EE7"/>
    <w:rsid w:val="007B6649"/>
    <w:rsid w:val="007F6432"/>
    <w:rsid w:val="0082576E"/>
    <w:rsid w:val="0084038C"/>
    <w:rsid w:val="00845C4F"/>
    <w:rsid w:val="00895FFF"/>
    <w:rsid w:val="008D3060"/>
    <w:rsid w:val="008D407E"/>
    <w:rsid w:val="00907F75"/>
    <w:rsid w:val="009260DE"/>
    <w:rsid w:val="0093258A"/>
    <w:rsid w:val="009C7BA3"/>
    <w:rsid w:val="009D1F5A"/>
    <w:rsid w:val="009D3539"/>
    <w:rsid w:val="00A651D7"/>
    <w:rsid w:val="00AC58B0"/>
    <w:rsid w:val="00B003BF"/>
    <w:rsid w:val="00B373D7"/>
    <w:rsid w:val="00C36276"/>
    <w:rsid w:val="00C42586"/>
    <w:rsid w:val="00C60CCD"/>
    <w:rsid w:val="00C7467B"/>
    <w:rsid w:val="00C84483"/>
    <w:rsid w:val="00C95551"/>
    <w:rsid w:val="00CB20D7"/>
    <w:rsid w:val="00D020B0"/>
    <w:rsid w:val="00D0293B"/>
    <w:rsid w:val="00D11748"/>
    <w:rsid w:val="00D365E5"/>
    <w:rsid w:val="00D366CF"/>
    <w:rsid w:val="00D6268E"/>
    <w:rsid w:val="00E07EA5"/>
    <w:rsid w:val="00E108AA"/>
    <w:rsid w:val="00E3749A"/>
    <w:rsid w:val="00E7437F"/>
    <w:rsid w:val="00E865B8"/>
    <w:rsid w:val="00EA4DE4"/>
    <w:rsid w:val="00EC0B9B"/>
    <w:rsid w:val="00ED5E9F"/>
    <w:rsid w:val="00F4540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4BA2F08"/>
  <w15:chartTrackingRefBased/>
  <w15:docId w15:val="{DC4AF1BE-64C9-41D9-BF35-ADB3222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1A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83679"/>
    <w:pPr>
      <w:ind w:left="1304"/>
    </w:pPr>
    <w:rPr>
      <w:sz w:val="24"/>
      <w:lang w:eastAsia="da-DK"/>
    </w:rPr>
  </w:style>
  <w:style w:type="character" w:styleId="Hyperlink">
    <w:name w:val="Hyperlink"/>
    <w:uiPriority w:val="99"/>
    <w:semiHidden/>
    <w:unhideWhenUsed/>
    <w:rsid w:val="00262BA8"/>
    <w:rPr>
      <w:color w:val="0563C1"/>
      <w:u w:val="single"/>
    </w:rPr>
  </w:style>
  <w:style w:type="paragraph" w:styleId="Fodnotetekst">
    <w:name w:val="footnote text"/>
    <w:basedOn w:val="Normal"/>
    <w:link w:val="FodnotetekstTegn"/>
    <w:uiPriority w:val="99"/>
    <w:semiHidden/>
    <w:unhideWhenUsed/>
    <w:rsid w:val="00016F69"/>
    <w:rPr>
      <w:sz w:val="20"/>
    </w:rPr>
  </w:style>
  <w:style w:type="character" w:customStyle="1" w:styleId="FodnotetekstTegn">
    <w:name w:val="Fodnotetekst Tegn"/>
    <w:basedOn w:val="Standardskrifttypeiafsnit"/>
    <w:link w:val="Fodnotetekst"/>
    <w:uiPriority w:val="99"/>
    <w:semiHidden/>
    <w:rsid w:val="00016F69"/>
    <w:rPr>
      <w:lang w:eastAsia="en-US"/>
    </w:rPr>
  </w:style>
  <w:style w:type="paragraph" w:styleId="Ingenafstand">
    <w:name w:val="No Spacing"/>
    <w:uiPriority w:val="1"/>
    <w:qFormat/>
    <w:rsid w:val="00016F69"/>
    <w:rPr>
      <w:sz w:val="23"/>
      <w:lang w:eastAsia="en-US"/>
    </w:rPr>
  </w:style>
  <w:style w:type="character" w:styleId="Fodnotehenvisning">
    <w:name w:val="footnote reference"/>
    <w:basedOn w:val="Standardskrifttypeiafsnit"/>
    <w:uiPriority w:val="99"/>
    <w:semiHidden/>
    <w:unhideWhenUsed/>
    <w:rsid w:val="00016F69"/>
    <w:rPr>
      <w:vertAlign w:val="superscript"/>
    </w:rPr>
  </w:style>
  <w:style w:type="table" w:styleId="Tabel-Gitter">
    <w:name w:val="Table Grid"/>
    <w:basedOn w:val="Tabel-Normal"/>
    <w:uiPriority w:val="39"/>
    <w:rsid w:val="00016F69"/>
    <w:rPr>
      <w:rFonts w:asciiTheme="minorHAnsi" w:eastAsiaTheme="minorHAnsi" w:hAnsiTheme="minorHAnsi" w:cstheme="minorBidi"/>
      <w:sz w:val="22"/>
      <w:szCs w:val="22"/>
      <w:lang w:val="sl-SI"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82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776991">
      <w:bodyDiv w:val="1"/>
      <w:marLeft w:val="0"/>
      <w:marRight w:val="0"/>
      <w:marTop w:val="0"/>
      <w:marBottom w:val="0"/>
      <w:divBdr>
        <w:top w:val="none" w:sz="0" w:space="0" w:color="auto"/>
        <w:left w:val="none" w:sz="0" w:space="0" w:color="auto"/>
        <w:bottom w:val="none" w:sz="0" w:space="0" w:color="auto"/>
        <w:right w:val="none" w:sz="0" w:space="0" w:color="auto"/>
      </w:divBdr>
    </w:div>
    <w:div w:id="395394475">
      <w:bodyDiv w:val="1"/>
      <w:marLeft w:val="0"/>
      <w:marRight w:val="0"/>
      <w:marTop w:val="0"/>
      <w:marBottom w:val="0"/>
      <w:divBdr>
        <w:top w:val="none" w:sz="0" w:space="0" w:color="auto"/>
        <w:left w:val="none" w:sz="0" w:space="0" w:color="auto"/>
        <w:bottom w:val="none" w:sz="0" w:space="0" w:color="auto"/>
        <w:right w:val="none" w:sz="0" w:space="0" w:color="auto"/>
      </w:divBdr>
    </w:div>
    <w:div w:id="445926987">
      <w:bodyDiv w:val="1"/>
      <w:marLeft w:val="0"/>
      <w:marRight w:val="0"/>
      <w:marTop w:val="0"/>
      <w:marBottom w:val="0"/>
      <w:divBdr>
        <w:top w:val="none" w:sz="0" w:space="0" w:color="auto"/>
        <w:left w:val="none" w:sz="0" w:space="0" w:color="auto"/>
        <w:bottom w:val="none" w:sz="0" w:space="0" w:color="auto"/>
        <w:right w:val="none" w:sz="0" w:space="0" w:color="auto"/>
      </w:divBdr>
    </w:div>
    <w:div w:id="453864345">
      <w:bodyDiv w:val="1"/>
      <w:marLeft w:val="0"/>
      <w:marRight w:val="0"/>
      <w:marTop w:val="0"/>
      <w:marBottom w:val="0"/>
      <w:divBdr>
        <w:top w:val="none" w:sz="0" w:space="0" w:color="auto"/>
        <w:left w:val="none" w:sz="0" w:space="0" w:color="auto"/>
        <w:bottom w:val="none" w:sz="0" w:space="0" w:color="auto"/>
        <w:right w:val="none" w:sz="0" w:space="0" w:color="auto"/>
      </w:divBdr>
    </w:div>
    <w:div w:id="553465465">
      <w:bodyDiv w:val="1"/>
      <w:marLeft w:val="0"/>
      <w:marRight w:val="0"/>
      <w:marTop w:val="0"/>
      <w:marBottom w:val="0"/>
      <w:divBdr>
        <w:top w:val="none" w:sz="0" w:space="0" w:color="auto"/>
        <w:left w:val="none" w:sz="0" w:space="0" w:color="auto"/>
        <w:bottom w:val="none" w:sz="0" w:space="0" w:color="auto"/>
        <w:right w:val="none" w:sz="0" w:space="0" w:color="auto"/>
      </w:divBdr>
    </w:div>
    <w:div w:id="587344416">
      <w:bodyDiv w:val="1"/>
      <w:marLeft w:val="0"/>
      <w:marRight w:val="0"/>
      <w:marTop w:val="0"/>
      <w:marBottom w:val="0"/>
      <w:divBdr>
        <w:top w:val="none" w:sz="0" w:space="0" w:color="auto"/>
        <w:left w:val="none" w:sz="0" w:space="0" w:color="auto"/>
        <w:bottom w:val="none" w:sz="0" w:space="0" w:color="auto"/>
        <w:right w:val="none" w:sz="0" w:space="0" w:color="auto"/>
      </w:divBdr>
    </w:div>
    <w:div w:id="715857320">
      <w:bodyDiv w:val="1"/>
      <w:marLeft w:val="0"/>
      <w:marRight w:val="0"/>
      <w:marTop w:val="0"/>
      <w:marBottom w:val="0"/>
      <w:divBdr>
        <w:top w:val="none" w:sz="0" w:space="0" w:color="auto"/>
        <w:left w:val="none" w:sz="0" w:space="0" w:color="auto"/>
        <w:bottom w:val="none" w:sz="0" w:space="0" w:color="auto"/>
        <w:right w:val="none" w:sz="0" w:space="0" w:color="auto"/>
      </w:divBdr>
    </w:div>
    <w:div w:id="858466543">
      <w:bodyDiv w:val="1"/>
      <w:marLeft w:val="0"/>
      <w:marRight w:val="0"/>
      <w:marTop w:val="0"/>
      <w:marBottom w:val="0"/>
      <w:divBdr>
        <w:top w:val="none" w:sz="0" w:space="0" w:color="auto"/>
        <w:left w:val="none" w:sz="0" w:space="0" w:color="auto"/>
        <w:bottom w:val="none" w:sz="0" w:space="0" w:color="auto"/>
        <w:right w:val="none" w:sz="0" w:space="0" w:color="auto"/>
      </w:divBdr>
    </w:div>
    <w:div w:id="871840982">
      <w:bodyDiv w:val="1"/>
      <w:marLeft w:val="0"/>
      <w:marRight w:val="0"/>
      <w:marTop w:val="0"/>
      <w:marBottom w:val="0"/>
      <w:divBdr>
        <w:top w:val="none" w:sz="0" w:space="0" w:color="auto"/>
        <w:left w:val="none" w:sz="0" w:space="0" w:color="auto"/>
        <w:bottom w:val="none" w:sz="0" w:space="0" w:color="auto"/>
        <w:right w:val="none" w:sz="0" w:space="0" w:color="auto"/>
      </w:divBdr>
    </w:div>
    <w:div w:id="915700259">
      <w:bodyDiv w:val="1"/>
      <w:marLeft w:val="0"/>
      <w:marRight w:val="0"/>
      <w:marTop w:val="0"/>
      <w:marBottom w:val="0"/>
      <w:divBdr>
        <w:top w:val="none" w:sz="0" w:space="0" w:color="auto"/>
        <w:left w:val="none" w:sz="0" w:space="0" w:color="auto"/>
        <w:bottom w:val="none" w:sz="0" w:space="0" w:color="auto"/>
        <w:right w:val="none" w:sz="0" w:space="0" w:color="auto"/>
      </w:divBdr>
    </w:div>
    <w:div w:id="978455843">
      <w:bodyDiv w:val="1"/>
      <w:marLeft w:val="0"/>
      <w:marRight w:val="0"/>
      <w:marTop w:val="0"/>
      <w:marBottom w:val="0"/>
      <w:divBdr>
        <w:top w:val="none" w:sz="0" w:space="0" w:color="auto"/>
        <w:left w:val="none" w:sz="0" w:space="0" w:color="auto"/>
        <w:bottom w:val="none" w:sz="0" w:space="0" w:color="auto"/>
        <w:right w:val="none" w:sz="0" w:space="0" w:color="auto"/>
      </w:divBdr>
    </w:div>
    <w:div w:id="1222331267">
      <w:bodyDiv w:val="1"/>
      <w:marLeft w:val="0"/>
      <w:marRight w:val="0"/>
      <w:marTop w:val="0"/>
      <w:marBottom w:val="0"/>
      <w:divBdr>
        <w:top w:val="none" w:sz="0" w:space="0" w:color="auto"/>
        <w:left w:val="none" w:sz="0" w:space="0" w:color="auto"/>
        <w:bottom w:val="none" w:sz="0" w:space="0" w:color="auto"/>
        <w:right w:val="none" w:sz="0" w:space="0" w:color="auto"/>
      </w:divBdr>
    </w:div>
    <w:div w:id="1270284857">
      <w:bodyDiv w:val="1"/>
      <w:marLeft w:val="0"/>
      <w:marRight w:val="0"/>
      <w:marTop w:val="0"/>
      <w:marBottom w:val="0"/>
      <w:divBdr>
        <w:top w:val="none" w:sz="0" w:space="0" w:color="auto"/>
        <w:left w:val="none" w:sz="0" w:space="0" w:color="auto"/>
        <w:bottom w:val="none" w:sz="0" w:space="0" w:color="auto"/>
        <w:right w:val="none" w:sz="0" w:space="0" w:color="auto"/>
      </w:divBdr>
    </w:div>
    <w:div w:id="1352301478">
      <w:bodyDiv w:val="1"/>
      <w:marLeft w:val="0"/>
      <w:marRight w:val="0"/>
      <w:marTop w:val="0"/>
      <w:marBottom w:val="0"/>
      <w:divBdr>
        <w:top w:val="none" w:sz="0" w:space="0" w:color="auto"/>
        <w:left w:val="none" w:sz="0" w:space="0" w:color="auto"/>
        <w:bottom w:val="none" w:sz="0" w:space="0" w:color="auto"/>
        <w:right w:val="none" w:sz="0" w:space="0" w:color="auto"/>
      </w:divBdr>
    </w:div>
    <w:div w:id="1481311598">
      <w:bodyDiv w:val="1"/>
      <w:marLeft w:val="0"/>
      <w:marRight w:val="0"/>
      <w:marTop w:val="0"/>
      <w:marBottom w:val="0"/>
      <w:divBdr>
        <w:top w:val="none" w:sz="0" w:space="0" w:color="auto"/>
        <w:left w:val="none" w:sz="0" w:space="0" w:color="auto"/>
        <w:bottom w:val="none" w:sz="0" w:space="0" w:color="auto"/>
        <w:right w:val="none" w:sz="0" w:space="0" w:color="auto"/>
      </w:divBdr>
    </w:div>
    <w:div w:id="1518929263">
      <w:bodyDiv w:val="1"/>
      <w:marLeft w:val="0"/>
      <w:marRight w:val="0"/>
      <w:marTop w:val="0"/>
      <w:marBottom w:val="0"/>
      <w:divBdr>
        <w:top w:val="none" w:sz="0" w:space="0" w:color="auto"/>
        <w:left w:val="none" w:sz="0" w:space="0" w:color="auto"/>
        <w:bottom w:val="none" w:sz="0" w:space="0" w:color="auto"/>
        <w:right w:val="none" w:sz="0" w:space="0" w:color="auto"/>
      </w:divBdr>
    </w:div>
    <w:div w:id="1578519612">
      <w:bodyDiv w:val="1"/>
      <w:marLeft w:val="0"/>
      <w:marRight w:val="0"/>
      <w:marTop w:val="0"/>
      <w:marBottom w:val="0"/>
      <w:divBdr>
        <w:top w:val="none" w:sz="0" w:space="0" w:color="auto"/>
        <w:left w:val="none" w:sz="0" w:space="0" w:color="auto"/>
        <w:bottom w:val="none" w:sz="0" w:space="0" w:color="auto"/>
        <w:right w:val="none" w:sz="0" w:space="0" w:color="auto"/>
      </w:divBdr>
    </w:div>
    <w:div w:id="1632437845">
      <w:bodyDiv w:val="1"/>
      <w:marLeft w:val="0"/>
      <w:marRight w:val="0"/>
      <w:marTop w:val="0"/>
      <w:marBottom w:val="0"/>
      <w:divBdr>
        <w:top w:val="none" w:sz="0" w:space="0" w:color="auto"/>
        <w:left w:val="none" w:sz="0" w:space="0" w:color="auto"/>
        <w:bottom w:val="none" w:sz="0" w:space="0" w:color="auto"/>
        <w:right w:val="none" w:sz="0" w:space="0" w:color="auto"/>
      </w:divBdr>
    </w:div>
    <w:div w:id="1654287395">
      <w:bodyDiv w:val="1"/>
      <w:marLeft w:val="0"/>
      <w:marRight w:val="0"/>
      <w:marTop w:val="0"/>
      <w:marBottom w:val="0"/>
      <w:divBdr>
        <w:top w:val="none" w:sz="0" w:space="0" w:color="auto"/>
        <w:left w:val="none" w:sz="0" w:space="0" w:color="auto"/>
        <w:bottom w:val="none" w:sz="0" w:space="0" w:color="auto"/>
        <w:right w:val="none" w:sz="0" w:space="0" w:color="auto"/>
      </w:divBdr>
    </w:div>
    <w:div w:id="1660501631">
      <w:bodyDiv w:val="1"/>
      <w:marLeft w:val="0"/>
      <w:marRight w:val="0"/>
      <w:marTop w:val="0"/>
      <w:marBottom w:val="0"/>
      <w:divBdr>
        <w:top w:val="none" w:sz="0" w:space="0" w:color="auto"/>
        <w:left w:val="none" w:sz="0" w:space="0" w:color="auto"/>
        <w:bottom w:val="none" w:sz="0" w:space="0" w:color="auto"/>
        <w:right w:val="none" w:sz="0" w:space="0" w:color="auto"/>
      </w:divBdr>
    </w:div>
    <w:div w:id="1760177807">
      <w:bodyDiv w:val="1"/>
      <w:marLeft w:val="0"/>
      <w:marRight w:val="0"/>
      <w:marTop w:val="0"/>
      <w:marBottom w:val="0"/>
      <w:divBdr>
        <w:top w:val="none" w:sz="0" w:space="0" w:color="auto"/>
        <w:left w:val="none" w:sz="0" w:space="0" w:color="auto"/>
        <w:bottom w:val="none" w:sz="0" w:space="0" w:color="auto"/>
        <w:right w:val="none" w:sz="0" w:space="0" w:color="auto"/>
      </w:divBdr>
    </w:div>
    <w:div w:id="1896620017">
      <w:bodyDiv w:val="1"/>
      <w:marLeft w:val="0"/>
      <w:marRight w:val="0"/>
      <w:marTop w:val="0"/>
      <w:marBottom w:val="0"/>
      <w:divBdr>
        <w:top w:val="none" w:sz="0" w:space="0" w:color="auto"/>
        <w:left w:val="none" w:sz="0" w:space="0" w:color="auto"/>
        <w:bottom w:val="none" w:sz="0" w:space="0" w:color="auto"/>
        <w:right w:val="none" w:sz="0" w:space="0" w:color="auto"/>
      </w:divBdr>
    </w:div>
    <w:div w:id="1916014680">
      <w:bodyDiv w:val="1"/>
      <w:marLeft w:val="0"/>
      <w:marRight w:val="0"/>
      <w:marTop w:val="0"/>
      <w:marBottom w:val="0"/>
      <w:divBdr>
        <w:top w:val="none" w:sz="0" w:space="0" w:color="auto"/>
        <w:left w:val="none" w:sz="0" w:space="0" w:color="auto"/>
        <w:bottom w:val="none" w:sz="0" w:space="0" w:color="auto"/>
        <w:right w:val="none" w:sz="0" w:space="0" w:color="auto"/>
      </w:divBdr>
    </w:div>
    <w:div w:id="1927304464">
      <w:bodyDiv w:val="1"/>
      <w:marLeft w:val="0"/>
      <w:marRight w:val="0"/>
      <w:marTop w:val="0"/>
      <w:marBottom w:val="0"/>
      <w:divBdr>
        <w:top w:val="none" w:sz="0" w:space="0" w:color="auto"/>
        <w:left w:val="none" w:sz="0" w:space="0" w:color="auto"/>
        <w:bottom w:val="none" w:sz="0" w:space="0" w:color="auto"/>
        <w:right w:val="none" w:sz="0" w:space="0" w:color="auto"/>
      </w:divBdr>
    </w:div>
    <w:div w:id="1963880869">
      <w:bodyDiv w:val="1"/>
      <w:marLeft w:val="0"/>
      <w:marRight w:val="0"/>
      <w:marTop w:val="0"/>
      <w:marBottom w:val="0"/>
      <w:divBdr>
        <w:top w:val="none" w:sz="0" w:space="0" w:color="auto"/>
        <w:left w:val="none" w:sz="0" w:space="0" w:color="auto"/>
        <w:bottom w:val="none" w:sz="0" w:space="0" w:color="auto"/>
        <w:right w:val="none" w:sz="0" w:space="0" w:color="auto"/>
      </w:divBdr>
    </w:div>
    <w:div w:id="2085839307">
      <w:bodyDiv w:val="1"/>
      <w:marLeft w:val="0"/>
      <w:marRight w:val="0"/>
      <w:marTop w:val="0"/>
      <w:marBottom w:val="0"/>
      <w:divBdr>
        <w:top w:val="none" w:sz="0" w:space="0" w:color="auto"/>
        <w:left w:val="none" w:sz="0" w:space="0" w:color="auto"/>
        <w:bottom w:val="none" w:sz="0" w:space="0" w:color="auto"/>
        <w:right w:val="none" w:sz="0" w:space="0" w:color="auto"/>
      </w:divBdr>
    </w:div>
    <w:div w:id="21449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coverytrial.ne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4764</Words>
  <Characters>32642</Characters>
  <Application>Microsoft Office Word</Application>
  <DocSecurity>0</DocSecurity>
  <Lines>272</Lines>
  <Paragraphs>74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2022015311 pkt. 4.4, 4.6, 4.8 samt QRD</dc:description>
  <cp:lastModifiedBy>Marianne Ott Jensen</cp:lastModifiedBy>
  <cp:revision>4</cp:revision>
  <cp:lastPrinted>2020-03-12T12:09:00Z</cp:lastPrinted>
  <dcterms:created xsi:type="dcterms:W3CDTF">2023-11-16T09:45:00Z</dcterms:created>
  <dcterms:modified xsi:type="dcterms:W3CDTF">2023-11-20T10:26:00Z</dcterms:modified>
</cp:coreProperties>
</file>