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AA0F5"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D3F36C6" wp14:editId="2D25487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E6DB929" w14:textId="77777777" w:rsidR="009260DE" w:rsidRPr="00C84483" w:rsidRDefault="009260DE" w:rsidP="009260DE">
      <w:pPr>
        <w:pStyle w:val="Titel"/>
        <w:tabs>
          <w:tab w:val="right" w:pos="9356"/>
        </w:tabs>
        <w:jc w:val="left"/>
        <w:rPr>
          <w:b w:val="0"/>
          <w:szCs w:val="24"/>
          <w:lang w:eastAsia="en-US"/>
        </w:rPr>
      </w:pPr>
    </w:p>
    <w:p w14:paraId="126531CA" w14:textId="13EDAB96" w:rsidR="009260DE" w:rsidRPr="00C52DCD" w:rsidRDefault="009260DE" w:rsidP="009260DE">
      <w:pPr>
        <w:pStyle w:val="Titel"/>
        <w:tabs>
          <w:tab w:val="right" w:pos="9356"/>
        </w:tabs>
        <w:jc w:val="left"/>
        <w:rPr>
          <w:b w:val="0"/>
          <w:szCs w:val="24"/>
          <w:lang w:val="en-US" w:eastAsia="en-US"/>
        </w:rPr>
      </w:pPr>
      <w:r w:rsidRPr="00C84483">
        <w:rPr>
          <w:b w:val="0"/>
          <w:szCs w:val="24"/>
          <w:lang w:eastAsia="en-US"/>
        </w:rPr>
        <w:tab/>
      </w:r>
      <w:r w:rsidR="00FF28F7">
        <w:rPr>
          <w:szCs w:val="24"/>
          <w:lang w:val="en-US"/>
        </w:rPr>
        <w:t>24. august 2023</w:t>
      </w:r>
    </w:p>
    <w:p w14:paraId="4F33C855" w14:textId="77777777" w:rsidR="009260DE" w:rsidRPr="00C52DCD" w:rsidRDefault="009260DE" w:rsidP="009260DE">
      <w:pPr>
        <w:pStyle w:val="Titel"/>
        <w:tabs>
          <w:tab w:val="left" w:pos="8222"/>
        </w:tabs>
        <w:jc w:val="left"/>
        <w:rPr>
          <w:b w:val="0"/>
          <w:szCs w:val="24"/>
          <w:lang w:val="en-US"/>
        </w:rPr>
      </w:pPr>
    </w:p>
    <w:p w14:paraId="10993654" w14:textId="77777777" w:rsidR="009260DE" w:rsidRPr="00C52DCD" w:rsidRDefault="009260DE" w:rsidP="009260DE">
      <w:pPr>
        <w:pStyle w:val="Titel"/>
        <w:jc w:val="left"/>
        <w:rPr>
          <w:b w:val="0"/>
          <w:szCs w:val="24"/>
          <w:lang w:val="en-US"/>
        </w:rPr>
      </w:pPr>
    </w:p>
    <w:p w14:paraId="60C5F900" w14:textId="77777777" w:rsidR="009260DE" w:rsidRPr="00C52DCD" w:rsidRDefault="009260DE" w:rsidP="009260DE">
      <w:pPr>
        <w:pStyle w:val="Titel"/>
        <w:jc w:val="left"/>
        <w:rPr>
          <w:b w:val="0"/>
          <w:szCs w:val="24"/>
          <w:lang w:val="en-US"/>
        </w:rPr>
      </w:pPr>
    </w:p>
    <w:p w14:paraId="25EE4F97" w14:textId="77777777" w:rsidR="009260DE" w:rsidRPr="00FF28F7" w:rsidRDefault="009260DE" w:rsidP="009260DE">
      <w:pPr>
        <w:jc w:val="center"/>
        <w:rPr>
          <w:b/>
          <w:sz w:val="24"/>
          <w:szCs w:val="24"/>
        </w:rPr>
      </w:pPr>
      <w:r w:rsidRPr="00FF28F7">
        <w:rPr>
          <w:b/>
          <w:sz w:val="24"/>
          <w:szCs w:val="24"/>
        </w:rPr>
        <w:t>PRODUKTRESUMÉ</w:t>
      </w:r>
    </w:p>
    <w:p w14:paraId="42701E7C" w14:textId="77777777" w:rsidR="009260DE" w:rsidRPr="00FF28F7" w:rsidRDefault="009260DE" w:rsidP="009260DE">
      <w:pPr>
        <w:jc w:val="center"/>
        <w:rPr>
          <w:b/>
          <w:sz w:val="24"/>
          <w:szCs w:val="24"/>
        </w:rPr>
      </w:pPr>
    </w:p>
    <w:p w14:paraId="624E5196" w14:textId="77777777" w:rsidR="009260DE" w:rsidRPr="00FF28F7" w:rsidRDefault="009260DE" w:rsidP="009260DE">
      <w:pPr>
        <w:jc w:val="center"/>
        <w:rPr>
          <w:b/>
          <w:sz w:val="24"/>
          <w:szCs w:val="24"/>
        </w:rPr>
      </w:pPr>
      <w:r w:rsidRPr="00FF28F7">
        <w:rPr>
          <w:b/>
          <w:sz w:val="24"/>
          <w:szCs w:val="24"/>
        </w:rPr>
        <w:t>for</w:t>
      </w:r>
    </w:p>
    <w:p w14:paraId="719CDFD3" w14:textId="77777777" w:rsidR="000B058C" w:rsidRPr="00FF28F7" w:rsidRDefault="000B058C" w:rsidP="009260DE">
      <w:pPr>
        <w:jc w:val="center"/>
        <w:rPr>
          <w:b/>
          <w:sz w:val="24"/>
          <w:szCs w:val="24"/>
        </w:rPr>
      </w:pPr>
    </w:p>
    <w:p w14:paraId="2A4396EB" w14:textId="77777777" w:rsidR="009260DE" w:rsidRPr="00FF28F7" w:rsidRDefault="00E02C10" w:rsidP="009260DE">
      <w:pPr>
        <w:jc w:val="center"/>
        <w:rPr>
          <w:b/>
          <w:sz w:val="24"/>
          <w:szCs w:val="24"/>
        </w:rPr>
      </w:pPr>
      <w:r w:rsidRPr="00FF28F7">
        <w:rPr>
          <w:b/>
          <w:sz w:val="24"/>
          <w:szCs w:val="24"/>
        </w:rPr>
        <w:t>Dexamet</w:t>
      </w:r>
      <w:r w:rsidR="00C52DCD" w:rsidRPr="00FF28F7">
        <w:rPr>
          <w:b/>
          <w:sz w:val="24"/>
          <w:szCs w:val="24"/>
        </w:rPr>
        <w:t>h</w:t>
      </w:r>
      <w:r w:rsidRPr="00FF28F7">
        <w:rPr>
          <w:b/>
          <w:sz w:val="24"/>
          <w:szCs w:val="24"/>
        </w:rPr>
        <w:t xml:space="preserve">asone </w:t>
      </w:r>
      <w:r w:rsidR="00C52DCD" w:rsidRPr="00FF28F7">
        <w:rPr>
          <w:b/>
          <w:sz w:val="24"/>
          <w:szCs w:val="24"/>
        </w:rPr>
        <w:t>"Zentiva", tabletter</w:t>
      </w:r>
    </w:p>
    <w:p w14:paraId="7E01732F" w14:textId="77777777" w:rsidR="009260DE" w:rsidRPr="00FF28F7" w:rsidRDefault="009260DE" w:rsidP="009260DE">
      <w:pPr>
        <w:jc w:val="both"/>
        <w:rPr>
          <w:sz w:val="24"/>
          <w:szCs w:val="24"/>
        </w:rPr>
      </w:pPr>
    </w:p>
    <w:p w14:paraId="18ACCCA9" w14:textId="77777777" w:rsidR="009260DE" w:rsidRPr="00FF28F7" w:rsidRDefault="009260DE" w:rsidP="009260DE">
      <w:pPr>
        <w:jc w:val="both"/>
        <w:rPr>
          <w:sz w:val="24"/>
          <w:szCs w:val="24"/>
        </w:rPr>
      </w:pPr>
    </w:p>
    <w:p w14:paraId="3834292A" w14:textId="77777777" w:rsidR="009260DE" w:rsidRPr="00FF28F7" w:rsidRDefault="009260DE" w:rsidP="009260DE">
      <w:pPr>
        <w:tabs>
          <w:tab w:val="left" w:pos="851"/>
        </w:tabs>
        <w:ind w:left="851" w:hanging="851"/>
        <w:rPr>
          <w:b/>
          <w:sz w:val="24"/>
          <w:szCs w:val="24"/>
        </w:rPr>
      </w:pPr>
      <w:r w:rsidRPr="00FF28F7">
        <w:rPr>
          <w:b/>
          <w:sz w:val="24"/>
          <w:szCs w:val="24"/>
        </w:rPr>
        <w:t>0.</w:t>
      </w:r>
      <w:r w:rsidRPr="00FF28F7">
        <w:rPr>
          <w:b/>
          <w:sz w:val="24"/>
          <w:szCs w:val="24"/>
        </w:rPr>
        <w:tab/>
        <w:t>D.SP.NR.</w:t>
      </w:r>
    </w:p>
    <w:p w14:paraId="441C0BD2" w14:textId="0CFCE2DF" w:rsidR="009260DE" w:rsidRPr="00C84483" w:rsidRDefault="00831FAC" w:rsidP="009260DE">
      <w:pPr>
        <w:tabs>
          <w:tab w:val="left" w:pos="851"/>
        </w:tabs>
        <w:ind w:left="851"/>
        <w:rPr>
          <w:sz w:val="24"/>
          <w:szCs w:val="24"/>
        </w:rPr>
      </w:pPr>
      <w:r>
        <w:rPr>
          <w:sz w:val="24"/>
          <w:szCs w:val="24"/>
        </w:rPr>
        <w:t>32692</w:t>
      </w:r>
    </w:p>
    <w:p w14:paraId="02FE4FC9" w14:textId="77777777" w:rsidR="009260DE" w:rsidRPr="00C84483" w:rsidRDefault="009260DE" w:rsidP="009260DE">
      <w:pPr>
        <w:tabs>
          <w:tab w:val="left" w:pos="851"/>
        </w:tabs>
        <w:ind w:left="851"/>
        <w:rPr>
          <w:sz w:val="24"/>
          <w:szCs w:val="24"/>
        </w:rPr>
      </w:pPr>
    </w:p>
    <w:p w14:paraId="714772FC"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8613625" w14:textId="77777777" w:rsidR="008D470E" w:rsidRPr="008D470E" w:rsidRDefault="008D470E" w:rsidP="008D470E">
      <w:pPr>
        <w:tabs>
          <w:tab w:val="left" w:pos="851"/>
        </w:tabs>
        <w:ind w:left="851"/>
        <w:rPr>
          <w:bCs/>
          <w:sz w:val="24"/>
          <w:szCs w:val="24"/>
        </w:rPr>
      </w:pPr>
      <w:r w:rsidRPr="008D470E">
        <w:rPr>
          <w:bCs/>
          <w:sz w:val="24"/>
          <w:szCs w:val="24"/>
        </w:rPr>
        <w:t>Dexamethasone "Zentiva"</w:t>
      </w:r>
    </w:p>
    <w:p w14:paraId="435C0C99" w14:textId="77777777" w:rsidR="009260DE" w:rsidRPr="00C84483" w:rsidRDefault="009260DE" w:rsidP="009260DE">
      <w:pPr>
        <w:tabs>
          <w:tab w:val="left" w:pos="851"/>
        </w:tabs>
        <w:ind w:left="851"/>
        <w:rPr>
          <w:sz w:val="24"/>
          <w:szCs w:val="24"/>
        </w:rPr>
      </w:pPr>
    </w:p>
    <w:p w14:paraId="3D5C254B"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5712591" w14:textId="77777777" w:rsidR="008D470E" w:rsidRPr="008D470E" w:rsidRDefault="008D470E" w:rsidP="008D470E">
      <w:pPr>
        <w:tabs>
          <w:tab w:val="left" w:pos="851"/>
        </w:tabs>
        <w:ind w:left="851"/>
        <w:rPr>
          <w:bCs/>
          <w:sz w:val="24"/>
          <w:szCs w:val="24"/>
        </w:rPr>
      </w:pPr>
      <w:r w:rsidRPr="008D470E">
        <w:rPr>
          <w:bCs/>
          <w:sz w:val="24"/>
          <w:szCs w:val="24"/>
        </w:rPr>
        <w:t>Hver Dexamethasone "Zentiva" 0,5 mg tablet indeholder 0,5 mg dexamethason.</w:t>
      </w:r>
    </w:p>
    <w:p w14:paraId="60BAE778" w14:textId="77777777" w:rsidR="008D470E" w:rsidRPr="008D470E" w:rsidRDefault="008D470E" w:rsidP="008D470E">
      <w:pPr>
        <w:tabs>
          <w:tab w:val="left" w:pos="851"/>
        </w:tabs>
        <w:ind w:left="851"/>
        <w:rPr>
          <w:bCs/>
          <w:sz w:val="24"/>
          <w:szCs w:val="24"/>
        </w:rPr>
      </w:pPr>
      <w:r w:rsidRPr="008D470E">
        <w:rPr>
          <w:bCs/>
          <w:sz w:val="24"/>
          <w:szCs w:val="24"/>
        </w:rPr>
        <w:t>Hver Dexamethasone "Zentiva" 1 mg tablet indeholder 1 mg dexamethason.</w:t>
      </w:r>
    </w:p>
    <w:p w14:paraId="7D4EBE7B" w14:textId="77777777" w:rsidR="008D470E" w:rsidRPr="008D470E" w:rsidRDefault="008D470E" w:rsidP="008D470E">
      <w:pPr>
        <w:tabs>
          <w:tab w:val="left" w:pos="851"/>
        </w:tabs>
        <w:ind w:left="851"/>
        <w:rPr>
          <w:bCs/>
          <w:sz w:val="24"/>
          <w:szCs w:val="24"/>
        </w:rPr>
      </w:pPr>
      <w:r w:rsidRPr="008D470E">
        <w:rPr>
          <w:bCs/>
          <w:sz w:val="24"/>
          <w:szCs w:val="24"/>
        </w:rPr>
        <w:t>Hver Dexamethasone "Zentiva" 4 mg tablet indeholder 4 mg dexamethason.</w:t>
      </w:r>
    </w:p>
    <w:p w14:paraId="50EE775C" w14:textId="77777777" w:rsidR="008D470E" w:rsidRPr="008D470E" w:rsidRDefault="008D470E" w:rsidP="008D470E">
      <w:pPr>
        <w:tabs>
          <w:tab w:val="left" w:pos="851"/>
        </w:tabs>
        <w:ind w:left="851"/>
        <w:rPr>
          <w:b/>
          <w:sz w:val="24"/>
          <w:szCs w:val="24"/>
        </w:rPr>
      </w:pPr>
    </w:p>
    <w:p w14:paraId="6765D5DE" w14:textId="77777777" w:rsidR="008D470E" w:rsidRPr="008D470E" w:rsidRDefault="008D470E" w:rsidP="008D470E">
      <w:pPr>
        <w:tabs>
          <w:tab w:val="left" w:pos="851"/>
        </w:tabs>
        <w:ind w:left="851"/>
        <w:rPr>
          <w:sz w:val="24"/>
          <w:szCs w:val="24"/>
        </w:rPr>
      </w:pPr>
      <w:r w:rsidRPr="008D470E">
        <w:rPr>
          <w:sz w:val="24"/>
          <w:szCs w:val="24"/>
          <w:u w:val="single"/>
        </w:rPr>
        <w:t>Hjælpestof, som behandleren skal være opmærksom på</w:t>
      </w:r>
    </w:p>
    <w:p w14:paraId="48CA907F" w14:textId="7A4D17D6" w:rsidR="008D470E" w:rsidRPr="008D470E" w:rsidRDefault="00246B6A" w:rsidP="008D470E">
      <w:pPr>
        <w:tabs>
          <w:tab w:val="left" w:pos="851"/>
        </w:tabs>
        <w:ind w:left="851"/>
        <w:rPr>
          <w:sz w:val="24"/>
          <w:szCs w:val="24"/>
        </w:rPr>
      </w:pPr>
      <w:r>
        <w:rPr>
          <w:bCs/>
          <w:sz w:val="24"/>
          <w:szCs w:val="24"/>
        </w:rPr>
        <w:t xml:space="preserve">Hver </w:t>
      </w:r>
      <w:r w:rsidR="008D470E" w:rsidRPr="008D470E">
        <w:rPr>
          <w:bCs/>
          <w:sz w:val="24"/>
          <w:szCs w:val="24"/>
        </w:rPr>
        <w:t xml:space="preserve">0,5 mg tablet </w:t>
      </w:r>
      <w:r w:rsidR="008D470E" w:rsidRPr="008D470E">
        <w:rPr>
          <w:sz w:val="24"/>
          <w:szCs w:val="24"/>
        </w:rPr>
        <w:t>indeholder 137 mg lactose (som monohydrat).</w:t>
      </w:r>
    </w:p>
    <w:p w14:paraId="1E1632BA" w14:textId="4BA33754" w:rsidR="008D470E" w:rsidRPr="008D470E" w:rsidRDefault="00246B6A" w:rsidP="008D470E">
      <w:pPr>
        <w:tabs>
          <w:tab w:val="left" w:pos="851"/>
        </w:tabs>
        <w:ind w:left="851"/>
        <w:rPr>
          <w:sz w:val="24"/>
          <w:szCs w:val="24"/>
        </w:rPr>
      </w:pPr>
      <w:r>
        <w:rPr>
          <w:bCs/>
          <w:sz w:val="24"/>
          <w:szCs w:val="24"/>
        </w:rPr>
        <w:t xml:space="preserve">Hver </w:t>
      </w:r>
      <w:r w:rsidR="008D470E" w:rsidRPr="008D470E">
        <w:rPr>
          <w:bCs/>
          <w:sz w:val="24"/>
          <w:szCs w:val="24"/>
        </w:rPr>
        <w:t xml:space="preserve">1 mg tablet </w:t>
      </w:r>
      <w:r w:rsidR="008D470E" w:rsidRPr="008D470E">
        <w:rPr>
          <w:sz w:val="24"/>
          <w:szCs w:val="24"/>
        </w:rPr>
        <w:t>indeholder 137 mg lactose (som monohydrat).</w:t>
      </w:r>
    </w:p>
    <w:p w14:paraId="54A4D433" w14:textId="0E437889" w:rsidR="008D470E" w:rsidRPr="008D470E" w:rsidRDefault="008D470E" w:rsidP="008D470E">
      <w:pPr>
        <w:tabs>
          <w:tab w:val="left" w:pos="851"/>
        </w:tabs>
        <w:ind w:left="851"/>
        <w:rPr>
          <w:sz w:val="24"/>
          <w:szCs w:val="24"/>
        </w:rPr>
      </w:pPr>
      <w:r w:rsidRPr="008D470E">
        <w:rPr>
          <w:bCs/>
          <w:sz w:val="24"/>
          <w:szCs w:val="24"/>
        </w:rPr>
        <w:t xml:space="preserve">Hver 4 mg tablet </w:t>
      </w:r>
      <w:r w:rsidRPr="008D470E">
        <w:rPr>
          <w:sz w:val="24"/>
          <w:szCs w:val="24"/>
        </w:rPr>
        <w:t>indeholder 134 mg lactose (som monohydrat).</w:t>
      </w:r>
    </w:p>
    <w:p w14:paraId="526D7F12" w14:textId="77777777" w:rsidR="008D470E" w:rsidRPr="008D470E" w:rsidRDefault="008D470E" w:rsidP="008D470E">
      <w:pPr>
        <w:tabs>
          <w:tab w:val="left" w:pos="851"/>
        </w:tabs>
        <w:ind w:left="851"/>
        <w:rPr>
          <w:sz w:val="24"/>
          <w:szCs w:val="24"/>
        </w:rPr>
      </w:pPr>
    </w:p>
    <w:p w14:paraId="4DB0A783" w14:textId="77777777" w:rsidR="008D470E" w:rsidRPr="008D470E" w:rsidRDefault="008D470E" w:rsidP="008D470E">
      <w:pPr>
        <w:tabs>
          <w:tab w:val="left" w:pos="851"/>
        </w:tabs>
        <w:ind w:left="851"/>
        <w:rPr>
          <w:sz w:val="24"/>
          <w:szCs w:val="24"/>
        </w:rPr>
      </w:pPr>
      <w:r w:rsidRPr="008D470E">
        <w:rPr>
          <w:sz w:val="24"/>
          <w:szCs w:val="24"/>
        </w:rPr>
        <w:t>Alle hjælpestoffer er anført under pkt. 6.1.</w:t>
      </w:r>
    </w:p>
    <w:p w14:paraId="57C76FF0" w14:textId="77777777" w:rsidR="009260DE" w:rsidRPr="00C84483" w:rsidRDefault="009260DE" w:rsidP="009260DE">
      <w:pPr>
        <w:tabs>
          <w:tab w:val="left" w:pos="851"/>
        </w:tabs>
        <w:ind w:left="851"/>
        <w:rPr>
          <w:sz w:val="24"/>
          <w:szCs w:val="24"/>
        </w:rPr>
      </w:pPr>
    </w:p>
    <w:p w14:paraId="191E21C8"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17F2743F" w14:textId="57E3E9AC" w:rsidR="008D470E" w:rsidRPr="008D470E" w:rsidRDefault="008D470E" w:rsidP="008D470E">
      <w:pPr>
        <w:tabs>
          <w:tab w:val="left" w:pos="851"/>
        </w:tabs>
        <w:ind w:left="851"/>
        <w:rPr>
          <w:sz w:val="24"/>
          <w:szCs w:val="24"/>
        </w:rPr>
      </w:pPr>
      <w:r w:rsidRPr="008D470E">
        <w:rPr>
          <w:sz w:val="24"/>
          <w:szCs w:val="24"/>
        </w:rPr>
        <w:t>Tablet</w:t>
      </w:r>
      <w:r>
        <w:rPr>
          <w:sz w:val="24"/>
          <w:szCs w:val="24"/>
        </w:rPr>
        <w:t>ter</w:t>
      </w:r>
    </w:p>
    <w:p w14:paraId="4B6257A6" w14:textId="77777777" w:rsidR="008D470E" w:rsidRPr="008D470E" w:rsidRDefault="008D470E" w:rsidP="008D470E">
      <w:pPr>
        <w:tabs>
          <w:tab w:val="left" w:pos="851"/>
        </w:tabs>
        <w:ind w:left="851"/>
        <w:rPr>
          <w:sz w:val="24"/>
          <w:szCs w:val="24"/>
        </w:rPr>
      </w:pPr>
    </w:p>
    <w:p w14:paraId="20678D5A" w14:textId="53282564" w:rsidR="00246B6A" w:rsidRPr="00584EF5" w:rsidRDefault="008D470E" w:rsidP="008D470E">
      <w:pPr>
        <w:tabs>
          <w:tab w:val="left" w:pos="851"/>
        </w:tabs>
        <w:ind w:left="851"/>
        <w:rPr>
          <w:sz w:val="24"/>
          <w:szCs w:val="24"/>
          <w:u w:val="single"/>
        </w:rPr>
      </w:pPr>
      <w:r w:rsidRPr="00584EF5">
        <w:rPr>
          <w:sz w:val="24"/>
          <w:szCs w:val="24"/>
          <w:u w:val="single"/>
        </w:rPr>
        <w:t>0,5 mg</w:t>
      </w:r>
    </w:p>
    <w:p w14:paraId="16C94F14" w14:textId="3FA68292" w:rsidR="008D470E" w:rsidRDefault="00246B6A" w:rsidP="008D470E">
      <w:pPr>
        <w:tabs>
          <w:tab w:val="left" w:pos="851"/>
        </w:tabs>
        <w:ind w:left="851"/>
        <w:rPr>
          <w:sz w:val="24"/>
          <w:szCs w:val="24"/>
        </w:rPr>
      </w:pPr>
      <w:r>
        <w:rPr>
          <w:sz w:val="24"/>
          <w:szCs w:val="24"/>
        </w:rPr>
        <w:t>H</w:t>
      </w:r>
      <w:r w:rsidR="008D470E" w:rsidRPr="008D470E">
        <w:rPr>
          <w:sz w:val="24"/>
          <w:szCs w:val="24"/>
        </w:rPr>
        <w:t>vid til råhvid, rund, flad tablet med skrå kant med diameter ca. 8 mm, præget med DX på den ene side og 500 på den anden side.</w:t>
      </w:r>
    </w:p>
    <w:p w14:paraId="71EC02D0" w14:textId="0634D55C" w:rsidR="00246B6A" w:rsidRDefault="00246B6A" w:rsidP="008D470E">
      <w:pPr>
        <w:tabs>
          <w:tab w:val="left" w:pos="851"/>
        </w:tabs>
        <w:ind w:left="851"/>
        <w:rPr>
          <w:sz w:val="24"/>
          <w:szCs w:val="24"/>
        </w:rPr>
      </w:pPr>
    </w:p>
    <w:p w14:paraId="33E9DE33" w14:textId="74CD5EF2" w:rsidR="00246B6A" w:rsidRPr="00584EF5" w:rsidRDefault="00246B6A" w:rsidP="008D470E">
      <w:pPr>
        <w:tabs>
          <w:tab w:val="left" w:pos="851"/>
        </w:tabs>
        <w:ind w:left="851"/>
        <w:rPr>
          <w:sz w:val="24"/>
          <w:szCs w:val="24"/>
          <w:u w:val="single"/>
        </w:rPr>
      </w:pPr>
      <w:r w:rsidRPr="00584EF5">
        <w:rPr>
          <w:sz w:val="24"/>
          <w:szCs w:val="24"/>
          <w:u w:val="single"/>
        </w:rPr>
        <w:t>1 mg</w:t>
      </w:r>
    </w:p>
    <w:p w14:paraId="43EB6897" w14:textId="462F4359" w:rsidR="008D470E" w:rsidRDefault="00246B6A" w:rsidP="008D470E">
      <w:pPr>
        <w:tabs>
          <w:tab w:val="left" w:pos="851"/>
        </w:tabs>
        <w:ind w:left="851"/>
        <w:rPr>
          <w:sz w:val="24"/>
          <w:szCs w:val="24"/>
        </w:rPr>
      </w:pPr>
      <w:r>
        <w:rPr>
          <w:sz w:val="24"/>
          <w:szCs w:val="24"/>
        </w:rPr>
        <w:t>H</w:t>
      </w:r>
      <w:r w:rsidR="008D470E" w:rsidRPr="008D470E">
        <w:rPr>
          <w:sz w:val="24"/>
          <w:szCs w:val="24"/>
        </w:rPr>
        <w:t>vid til råhvid, rund, flad tablet med skrå kant med diameter ca. 8 mm, præget med DX på den ene side og 1 på den anden side.</w:t>
      </w:r>
    </w:p>
    <w:p w14:paraId="1E3774E4" w14:textId="508C1436" w:rsidR="00584EF5" w:rsidRDefault="00584EF5" w:rsidP="008D470E">
      <w:pPr>
        <w:tabs>
          <w:tab w:val="left" w:pos="851"/>
        </w:tabs>
        <w:ind w:left="851"/>
        <w:rPr>
          <w:sz w:val="24"/>
          <w:szCs w:val="24"/>
        </w:rPr>
      </w:pPr>
    </w:p>
    <w:p w14:paraId="072AAD43" w14:textId="77777777" w:rsidR="00584EF5" w:rsidRPr="00584EF5" w:rsidRDefault="008D470E" w:rsidP="008D470E">
      <w:pPr>
        <w:tabs>
          <w:tab w:val="left" w:pos="851"/>
        </w:tabs>
        <w:ind w:left="851"/>
        <w:rPr>
          <w:sz w:val="24"/>
          <w:szCs w:val="24"/>
          <w:u w:val="single"/>
        </w:rPr>
      </w:pPr>
      <w:r w:rsidRPr="00584EF5">
        <w:rPr>
          <w:sz w:val="24"/>
          <w:szCs w:val="24"/>
          <w:u w:val="single"/>
        </w:rPr>
        <w:t>4 mg</w:t>
      </w:r>
    </w:p>
    <w:p w14:paraId="391836C8" w14:textId="0A60E2F3" w:rsidR="008D470E" w:rsidRPr="008D470E" w:rsidRDefault="00584EF5" w:rsidP="008D470E">
      <w:pPr>
        <w:tabs>
          <w:tab w:val="left" w:pos="851"/>
        </w:tabs>
        <w:ind w:left="851"/>
        <w:rPr>
          <w:sz w:val="24"/>
          <w:szCs w:val="24"/>
        </w:rPr>
      </w:pPr>
      <w:r>
        <w:rPr>
          <w:sz w:val="24"/>
          <w:szCs w:val="24"/>
        </w:rPr>
        <w:t>H</w:t>
      </w:r>
      <w:r w:rsidR="008D470E" w:rsidRPr="008D470E">
        <w:rPr>
          <w:sz w:val="24"/>
          <w:szCs w:val="24"/>
        </w:rPr>
        <w:t>vid til råhvid, rund, flad tablet med skrå kant med diameter ca. 8 mm, præget med DX på den ene side og 4 på den anden side.</w:t>
      </w:r>
    </w:p>
    <w:p w14:paraId="70FA6CE5" w14:textId="41EF4C0F" w:rsidR="008D470E" w:rsidRDefault="008D470E" w:rsidP="008D470E">
      <w:pPr>
        <w:tabs>
          <w:tab w:val="left" w:pos="851"/>
        </w:tabs>
        <w:ind w:left="851"/>
        <w:rPr>
          <w:sz w:val="24"/>
          <w:szCs w:val="24"/>
        </w:rPr>
      </w:pPr>
    </w:p>
    <w:p w14:paraId="1445B5BE" w14:textId="77777777" w:rsidR="00584EF5" w:rsidRPr="008D470E" w:rsidRDefault="00584EF5" w:rsidP="008D470E">
      <w:pPr>
        <w:tabs>
          <w:tab w:val="left" w:pos="851"/>
        </w:tabs>
        <w:ind w:left="851"/>
        <w:rPr>
          <w:sz w:val="24"/>
          <w:szCs w:val="24"/>
        </w:rPr>
      </w:pPr>
    </w:p>
    <w:p w14:paraId="27F54C58" w14:textId="77777777" w:rsidR="009260DE" w:rsidRPr="00C84483" w:rsidRDefault="009260DE" w:rsidP="009260DE">
      <w:pPr>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14:paraId="087E9C4C" w14:textId="77777777" w:rsidR="009260DE" w:rsidRPr="00C84483" w:rsidRDefault="009260DE" w:rsidP="009260DE">
      <w:pPr>
        <w:tabs>
          <w:tab w:val="left" w:pos="851"/>
        </w:tabs>
        <w:ind w:left="851"/>
        <w:rPr>
          <w:b/>
          <w:sz w:val="24"/>
          <w:szCs w:val="24"/>
        </w:rPr>
      </w:pPr>
    </w:p>
    <w:p w14:paraId="7C3ECF4C"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1241247" w14:textId="77777777" w:rsidR="00EC7274" w:rsidRDefault="00EC7274" w:rsidP="00584EF5">
      <w:pPr>
        <w:tabs>
          <w:tab w:val="left" w:pos="851"/>
        </w:tabs>
        <w:ind w:left="851"/>
        <w:rPr>
          <w:b/>
          <w:bCs/>
          <w:sz w:val="24"/>
          <w:szCs w:val="24"/>
          <w:lang w:val="nb-NO"/>
        </w:rPr>
      </w:pPr>
    </w:p>
    <w:p w14:paraId="19EE8C0E" w14:textId="496E0170" w:rsidR="00584EF5" w:rsidRPr="00584EF5" w:rsidRDefault="00584EF5" w:rsidP="00EC7274">
      <w:pPr>
        <w:tabs>
          <w:tab w:val="left" w:pos="851"/>
        </w:tabs>
        <w:ind w:left="851"/>
        <w:rPr>
          <w:sz w:val="24"/>
          <w:szCs w:val="24"/>
          <w:lang w:val="nb-NO"/>
        </w:rPr>
      </w:pPr>
      <w:r w:rsidRPr="00EC7274">
        <w:rPr>
          <w:bCs/>
          <w:sz w:val="24"/>
          <w:szCs w:val="24"/>
          <w:u w:val="single"/>
          <w:lang w:val="nb-NO"/>
        </w:rPr>
        <w:t xml:space="preserve">Dexamethasone "Zentiva" tabletter </w:t>
      </w:r>
      <w:r w:rsidR="00356966">
        <w:rPr>
          <w:bCs/>
          <w:sz w:val="24"/>
          <w:szCs w:val="24"/>
          <w:u w:val="single"/>
          <w:lang w:val="nb-NO"/>
        </w:rPr>
        <w:t xml:space="preserve">0,5 mg, 1 mg og 4 mg </w:t>
      </w:r>
      <w:r w:rsidRPr="00EC7274">
        <w:rPr>
          <w:bCs/>
          <w:sz w:val="24"/>
          <w:szCs w:val="24"/>
          <w:u w:val="single"/>
          <w:lang w:val="nb-NO"/>
        </w:rPr>
        <w:t>er indiceret til</w:t>
      </w:r>
    </w:p>
    <w:p w14:paraId="6F7FBCA4" w14:textId="77777777" w:rsidR="00584EF5" w:rsidRPr="00584EF5" w:rsidRDefault="00584EF5" w:rsidP="00EC7274">
      <w:pPr>
        <w:numPr>
          <w:ilvl w:val="0"/>
          <w:numId w:val="6"/>
        </w:numPr>
        <w:tabs>
          <w:tab w:val="left" w:pos="1134"/>
        </w:tabs>
        <w:ind w:left="1134" w:hanging="283"/>
        <w:rPr>
          <w:sz w:val="24"/>
          <w:szCs w:val="24"/>
        </w:rPr>
      </w:pPr>
      <w:r w:rsidRPr="00584EF5">
        <w:rPr>
          <w:sz w:val="24"/>
          <w:szCs w:val="24"/>
        </w:rPr>
        <w:t>cerebralt ødem forårsaget af hjernetumor, neurokirurgiske indgreb, bakteriel meningitis, hjerneabsces.</w:t>
      </w:r>
    </w:p>
    <w:p w14:paraId="1274CB54" w14:textId="77777777" w:rsidR="00584EF5" w:rsidRPr="00584EF5" w:rsidRDefault="00584EF5" w:rsidP="00EC7274">
      <w:pPr>
        <w:numPr>
          <w:ilvl w:val="0"/>
          <w:numId w:val="6"/>
        </w:numPr>
        <w:tabs>
          <w:tab w:val="left" w:pos="1134"/>
        </w:tabs>
        <w:ind w:left="1134" w:hanging="283"/>
        <w:rPr>
          <w:sz w:val="24"/>
          <w:szCs w:val="24"/>
        </w:rPr>
      </w:pPr>
      <w:r w:rsidRPr="00584EF5">
        <w:rPr>
          <w:sz w:val="24"/>
          <w:szCs w:val="24"/>
        </w:rPr>
        <w:t>alvorligt, akut astmaanfald</w:t>
      </w:r>
    </w:p>
    <w:p w14:paraId="25A910C9" w14:textId="77777777" w:rsidR="00584EF5" w:rsidRPr="00584EF5" w:rsidRDefault="00584EF5" w:rsidP="00EC7274">
      <w:pPr>
        <w:numPr>
          <w:ilvl w:val="0"/>
          <w:numId w:val="6"/>
        </w:numPr>
        <w:tabs>
          <w:tab w:val="left" w:pos="1134"/>
        </w:tabs>
        <w:ind w:left="1134" w:hanging="283"/>
        <w:rPr>
          <w:sz w:val="24"/>
          <w:szCs w:val="24"/>
        </w:rPr>
      </w:pPr>
      <w:r w:rsidRPr="00584EF5">
        <w:rPr>
          <w:sz w:val="24"/>
          <w:szCs w:val="24"/>
        </w:rPr>
        <w:t xml:space="preserve">indledende oral behandling af omfattende, akutte, alvorlige </w:t>
      </w:r>
      <w:r w:rsidRPr="00584EF5">
        <w:rPr>
          <w:sz w:val="24"/>
          <w:szCs w:val="24"/>
          <w:lang w:val="fr-LU"/>
        </w:rPr>
        <w:t xml:space="preserve">glukokortikoid-responsiv </w:t>
      </w:r>
      <w:r w:rsidRPr="00584EF5">
        <w:rPr>
          <w:sz w:val="24"/>
          <w:szCs w:val="24"/>
        </w:rPr>
        <w:t>hudsygdomme såsom erytrodermi, pemphigus vulgaris eller akut eksem.</w:t>
      </w:r>
    </w:p>
    <w:p w14:paraId="61F5BC7E" w14:textId="77777777" w:rsidR="00584EF5" w:rsidRPr="00584EF5" w:rsidRDefault="00584EF5" w:rsidP="00EC7274">
      <w:pPr>
        <w:numPr>
          <w:ilvl w:val="0"/>
          <w:numId w:val="6"/>
        </w:numPr>
        <w:tabs>
          <w:tab w:val="left" w:pos="1134"/>
        </w:tabs>
        <w:ind w:left="1134" w:hanging="283"/>
        <w:rPr>
          <w:sz w:val="24"/>
          <w:szCs w:val="24"/>
        </w:rPr>
      </w:pPr>
      <w:r w:rsidRPr="00584EF5">
        <w:rPr>
          <w:sz w:val="24"/>
          <w:szCs w:val="24"/>
        </w:rPr>
        <w:t>indledende oral behandling af autoimmune sygdomme såsom systemisk lupus erythematosus (især viscerale former).</w:t>
      </w:r>
    </w:p>
    <w:p w14:paraId="2B4D26EF" w14:textId="77777777" w:rsidR="00584EF5" w:rsidRPr="00584EF5" w:rsidRDefault="00584EF5" w:rsidP="00EC7274">
      <w:pPr>
        <w:numPr>
          <w:ilvl w:val="0"/>
          <w:numId w:val="6"/>
        </w:numPr>
        <w:tabs>
          <w:tab w:val="left" w:pos="1134"/>
        </w:tabs>
        <w:ind w:left="1134" w:hanging="283"/>
        <w:rPr>
          <w:sz w:val="24"/>
          <w:szCs w:val="24"/>
        </w:rPr>
      </w:pPr>
      <w:r w:rsidRPr="00584EF5">
        <w:rPr>
          <w:sz w:val="24"/>
          <w:szCs w:val="24"/>
        </w:rPr>
        <w:t>aktiv reumatoid artrit med et alvorligt, progressivt forløb, f.eks. hurtigt forløbende destruktive former og/eller med ekstraartikulære manifestationer.</w:t>
      </w:r>
    </w:p>
    <w:p w14:paraId="49DB6DA6" w14:textId="77777777" w:rsidR="00584EF5" w:rsidRPr="00584EF5" w:rsidRDefault="00584EF5" w:rsidP="00EC7274">
      <w:pPr>
        <w:numPr>
          <w:ilvl w:val="0"/>
          <w:numId w:val="6"/>
        </w:numPr>
        <w:tabs>
          <w:tab w:val="left" w:pos="1134"/>
        </w:tabs>
        <w:ind w:left="1134" w:hanging="283"/>
        <w:rPr>
          <w:sz w:val="24"/>
          <w:szCs w:val="24"/>
        </w:rPr>
      </w:pPr>
      <w:r w:rsidRPr="00584EF5">
        <w:rPr>
          <w:sz w:val="24"/>
          <w:szCs w:val="24"/>
        </w:rPr>
        <w:t>alvorlige infektionssygdomme med toksiske tilstande (f.eks. tuberkulose, tyfus), kun med passende anti-infektionsbehandling.</w:t>
      </w:r>
    </w:p>
    <w:p w14:paraId="020A5672" w14:textId="77777777" w:rsidR="00584EF5" w:rsidRPr="00584EF5" w:rsidRDefault="00584EF5" w:rsidP="00EC7274">
      <w:pPr>
        <w:numPr>
          <w:ilvl w:val="0"/>
          <w:numId w:val="6"/>
        </w:numPr>
        <w:tabs>
          <w:tab w:val="left" w:pos="1134"/>
        </w:tabs>
        <w:ind w:left="1134" w:hanging="283"/>
        <w:rPr>
          <w:sz w:val="24"/>
          <w:szCs w:val="24"/>
        </w:rPr>
      </w:pPr>
      <w:r w:rsidRPr="00584EF5">
        <w:rPr>
          <w:sz w:val="24"/>
          <w:szCs w:val="24"/>
        </w:rPr>
        <w:t>palliativ behandling af maligne tumorer.</w:t>
      </w:r>
    </w:p>
    <w:p w14:paraId="61A2FE6C" w14:textId="77777777" w:rsidR="00584EF5" w:rsidRPr="00584EF5" w:rsidRDefault="00584EF5" w:rsidP="00EC7274">
      <w:pPr>
        <w:numPr>
          <w:ilvl w:val="0"/>
          <w:numId w:val="6"/>
        </w:numPr>
        <w:tabs>
          <w:tab w:val="left" w:pos="1134"/>
        </w:tabs>
        <w:ind w:left="1134" w:hanging="283"/>
        <w:rPr>
          <w:sz w:val="24"/>
          <w:szCs w:val="24"/>
        </w:rPr>
      </w:pPr>
      <w:r w:rsidRPr="00584EF5">
        <w:rPr>
          <w:sz w:val="24"/>
          <w:szCs w:val="24"/>
        </w:rPr>
        <w:t>behandling af coronavirussygdom 2019 (COVID 19) hos voksne og unge patienter (12 år og ældre med en legemsvægt på mindst 40 kg), der har behov for supplerende iltbehandling.</w:t>
      </w:r>
    </w:p>
    <w:p w14:paraId="4507591E" w14:textId="77777777" w:rsidR="00584EF5" w:rsidRPr="00584EF5" w:rsidRDefault="00584EF5" w:rsidP="00EC7274">
      <w:pPr>
        <w:tabs>
          <w:tab w:val="left" w:pos="1134"/>
        </w:tabs>
        <w:ind w:left="1134" w:hanging="283"/>
        <w:rPr>
          <w:sz w:val="24"/>
          <w:szCs w:val="24"/>
        </w:rPr>
      </w:pPr>
    </w:p>
    <w:p w14:paraId="45F2A33F" w14:textId="7E842F97" w:rsidR="00584EF5" w:rsidRPr="00356966" w:rsidRDefault="00584EF5" w:rsidP="00EC7274">
      <w:pPr>
        <w:tabs>
          <w:tab w:val="left" w:pos="1134"/>
        </w:tabs>
        <w:ind w:left="1134" w:hanging="283"/>
        <w:rPr>
          <w:bCs/>
          <w:sz w:val="24"/>
          <w:szCs w:val="24"/>
          <w:u w:val="single"/>
        </w:rPr>
      </w:pPr>
      <w:r w:rsidRPr="00356966">
        <w:rPr>
          <w:bCs/>
          <w:sz w:val="24"/>
          <w:szCs w:val="24"/>
          <w:u w:val="single"/>
        </w:rPr>
        <w:t xml:space="preserve">Desuden er Dexamethasone "Zentiva" </w:t>
      </w:r>
      <w:r w:rsidR="00356966" w:rsidRPr="00356966">
        <w:rPr>
          <w:bCs/>
          <w:sz w:val="24"/>
          <w:szCs w:val="24"/>
          <w:u w:val="single"/>
        </w:rPr>
        <w:t xml:space="preserve">tabletter </w:t>
      </w:r>
      <w:r w:rsidRPr="00356966">
        <w:rPr>
          <w:bCs/>
          <w:sz w:val="24"/>
          <w:szCs w:val="24"/>
          <w:u w:val="single"/>
        </w:rPr>
        <w:t>0,5 mg og 1 mg indiceret til</w:t>
      </w:r>
    </w:p>
    <w:p w14:paraId="6E249693" w14:textId="77777777" w:rsidR="00584EF5" w:rsidRPr="00584EF5" w:rsidRDefault="00584EF5" w:rsidP="00EC7274">
      <w:pPr>
        <w:numPr>
          <w:ilvl w:val="0"/>
          <w:numId w:val="7"/>
        </w:numPr>
        <w:tabs>
          <w:tab w:val="left" w:pos="1134"/>
        </w:tabs>
        <w:ind w:left="1134" w:hanging="283"/>
        <w:rPr>
          <w:sz w:val="24"/>
          <w:szCs w:val="24"/>
        </w:rPr>
      </w:pPr>
      <w:r w:rsidRPr="00584EF5">
        <w:rPr>
          <w:sz w:val="24"/>
          <w:szCs w:val="24"/>
        </w:rPr>
        <w:t>medfødt adrenogenital syndrom i voksenalderen.</w:t>
      </w:r>
    </w:p>
    <w:p w14:paraId="0CB16BE8" w14:textId="77777777" w:rsidR="00584EF5" w:rsidRPr="00584EF5" w:rsidRDefault="00584EF5" w:rsidP="00EC7274">
      <w:pPr>
        <w:tabs>
          <w:tab w:val="left" w:pos="1134"/>
        </w:tabs>
        <w:ind w:left="1134" w:hanging="283"/>
        <w:rPr>
          <w:sz w:val="24"/>
          <w:szCs w:val="24"/>
        </w:rPr>
      </w:pPr>
    </w:p>
    <w:p w14:paraId="0D856958" w14:textId="77D59538" w:rsidR="00584EF5" w:rsidRPr="00E71614" w:rsidRDefault="00584EF5" w:rsidP="00EC7274">
      <w:pPr>
        <w:tabs>
          <w:tab w:val="left" w:pos="1134"/>
        </w:tabs>
        <w:ind w:left="1134" w:hanging="283"/>
        <w:rPr>
          <w:bCs/>
          <w:sz w:val="24"/>
          <w:szCs w:val="24"/>
          <w:u w:val="single"/>
        </w:rPr>
      </w:pPr>
      <w:r w:rsidRPr="00E71614">
        <w:rPr>
          <w:bCs/>
          <w:sz w:val="24"/>
          <w:szCs w:val="24"/>
          <w:u w:val="single"/>
        </w:rPr>
        <w:t xml:space="preserve">Desuden er Dexamethasone "Zentiva" </w:t>
      </w:r>
      <w:r w:rsidR="00356966" w:rsidRPr="00E71614">
        <w:rPr>
          <w:bCs/>
          <w:sz w:val="24"/>
          <w:szCs w:val="24"/>
          <w:u w:val="single"/>
        </w:rPr>
        <w:t xml:space="preserve">tabletter </w:t>
      </w:r>
      <w:r w:rsidRPr="00E71614">
        <w:rPr>
          <w:bCs/>
          <w:sz w:val="24"/>
          <w:szCs w:val="24"/>
          <w:u w:val="single"/>
        </w:rPr>
        <w:t>1 mg</w:t>
      </w:r>
      <w:r w:rsidR="00356966" w:rsidRPr="00E71614">
        <w:rPr>
          <w:bCs/>
          <w:sz w:val="24"/>
          <w:szCs w:val="24"/>
          <w:u w:val="single"/>
        </w:rPr>
        <w:t xml:space="preserve"> og </w:t>
      </w:r>
      <w:r w:rsidRPr="00E71614">
        <w:rPr>
          <w:bCs/>
          <w:sz w:val="24"/>
          <w:szCs w:val="24"/>
          <w:u w:val="single"/>
        </w:rPr>
        <w:t>4 mg indiceret til</w:t>
      </w:r>
    </w:p>
    <w:p w14:paraId="3D877A14" w14:textId="77777777" w:rsidR="00584EF5" w:rsidRPr="00584EF5" w:rsidRDefault="00584EF5" w:rsidP="00EC7274">
      <w:pPr>
        <w:numPr>
          <w:ilvl w:val="0"/>
          <w:numId w:val="7"/>
        </w:numPr>
        <w:tabs>
          <w:tab w:val="left" w:pos="1134"/>
        </w:tabs>
        <w:ind w:left="1134" w:hanging="283"/>
        <w:rPr>
          <w:sz w:val="24"/>
          <w:szCs w:val="24"/>
        </w:rPr>
      </w:pPr>
      <w:r w:rsidRPr="00584EF5">
        <w:rPr>
          <w:sz w:val="24"/>
          <w:szCs w:val="24"/>
        </w:rPr>
        <w:t>forebyggelse og behandling af post-operativ eller cytostatikainduceret opkastning som del af antiemetiske behandlinger.</w:t>
      </w:r>
    </w:p>
    <w:p w14:paraId="6B626366" w14:textId="77777777" w:rsidR="009260DE" w:rsidRPr="00C84483" w:rsidRDefault="009260DE" w:rsidP="009260DE">
      <w:pPr>
        <w:tabs>
          <w:tab w:val="left" w:pos="851"/>
        </w:tabs>
        <w:ind w:left="851"/>
        <w:rPr>
          <w:sz w:val="24"/>
          <w:szCs w:val="24"/>
        </w:rPr>
      </w:pPr>
    </w:p>
    <w:p w14:paraId="388C2BF4"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C400280" w14:textId="77777777" w:rsidR="00981DDB" w:rsidRPr="00981DDB" w:rsidRDefault="00981DDB" w:rsidP="00981DDB">
      <w:pPr>
        <w:ind w:left="851"/>
        <w:rPr>
          <w:sz w:val="24"/>
          <w:szCs w:val="24"/>
        </w:rPr>
      </w:pPr>
      <w:r w:rsidRPr="00981DDB">
        <w:rPr>
          <w:sz w:val="24"/>
          <w:szCs w:val="24"/>
        </w:rPr>
        <w:t>Afhængigt af den underliggende sygdom, kliniske symptomer og respons på behandling, kan doseringen reduceres med forskellige hastigheder, og behandlingen kan afsluttes, eller patienten kan justeres til den lavest mulige vedligeholdelsesdosis, hvis det er nødvendigt under kontrol af binyrekontrolkredsløbet. I princippet bør dosis og behandlingsvarighed holdes så høje eller lange som nødvendigt, men samtidig også så lave eller korte som muligt. Enhver reduktion i dosis af dette lægemiddel vil blive foretaget gradvist.</w:t>
      </w:r>
    </w:p>
    <w:p w14:paraId="6EACE39B" w14:textId="77777777" w:rsidR="00981DDB" w:rsidRPr="00981DDB" w:rsidRDefault="00981DDB" w:rsidP="00981DDB">
      <w:pPr>
        <w:ind w:left="851"/>
        <w:rPr>
          <w:sz w:val="24"/>
          <w:szCs w:val="24"/>
        </w:rPr>
      </w:pPr>
    </w:p>
    <w:p w14:paraId="79A49BEE" w14:textId="6B1758AE" w:rsidR="00981DDB" w:rsidRPr="00981DDB" w:rsidRDefault="00981DDB" w:rsidP="00981DDB">
      <w:pPr>
        <w:ind w:left="851"/>
        <w:rPr>
          <w:sz w:val="24"/>
          <w:szCs w:val="24"/>
        </w:rPr>
      </w:pPr>
      <w:r w:rsidRPr="00981DDB">
        <w:rPr>
          <w:sz w:val="24"/>
          <w:szCs w:val="24"/>
        </w:rPr>
        <w:t xml:space="preserve">Hvis langvarig behandling anses for nødvendig efter den indledende behandling, skal man skifte til prednison/prednisolon, da dette resulterer i mindre binyrebarksuppression (se </w:t>
      </w:r>
      <w:r w:rsidR="00241070">
        <w:rPr>
          <w:sz w:val="24"/>
          <w:szCs w:val="24"/>
        </w:rPr>
        <w:t xml:space="preserve">pkt. </w:t>
      </w:r>
      <w:r w:rsidRPr="00981DDB">
        <w:rPr>
          <w:sz w:val="24"/>
          <w:szCs w:val="24"/>
        </w:rPr>
        <w:t xml:space="preserve"> 4.4).</w:t>
      </w:r>
    </w:p>
    <w:p w14:paraId="3AFEE595" w14:textId="77777777" w:rsidR="00981DDB" w:rsidRPr="00981DDB" w:rsidRDefault="00981DDB" w:rsidP="00981DDB">
      <w:pPr>
        <w:ind w:left="851"/>
        <w:rPr>
          <w:sz w:val="24"/>
          <w:szCs w:val="24"/>
          <w:u w:val="single"/>
        </w:rPr>
      </w:pPr>
    </w:p>
    <w:p w14:paraId="5FBA632A" w14:textId="77777777" w:rsidR="00981DDB" w:rsidRPr="00241070" w:rsidRDefault="00981DDB" w:rsidP="00981DDB">
      <w:pPr>
        <w:tabs>
          <w:tab w:val="left" w:pos="1134"/>
        </w:tabs>
        <w:ind w:left="1134" w:hanging="283"/>
        <w:rPr>
          <w:b/>
          <w:sz w:val="24"/>
          <w:szCs w:val="24"/>
        </w:rPr>
      </w:pPr>
      <w:r w:rsidRPr="00241070">
        <w:rPr>
          <w:b/>
          <w:sz w:val="24"/>
          <w:szCs w:val="24"/>
        </w:rPr>
        <w:t>Dosering</w:t>
      </w:r>
    </w:p>
    <w:p w14:paraId="0C7B1A87" w14:textId="77777777" w:rsidR="00981DDB" w:rsidRPr="00981DDB" w:rsidRDefault="00981DDB" w:rsidP="00981DDB">
      <w:pPr>
        <w:tabs>
          <w:tab w:val="left" w:pos="1134"/>
        </w:tabs>
        <w:ind w:left="1134" w:hanging="283"/>
        <w:rPr>
          <w:sz w:val="24"/>
          <w:szCs w:val="24"/>
        </w:rPr>
      </w:pPr>
    </w:p>
    <w:p w14:paraId="69B55F78" w14:textId="1F23E0E5" w:rsidR="00981DDB" w:rsidRPr="00241070" w:rsidRDefault="00981DDB" w:rsidP="00981DDB">
      <w:pPr>
        <w:tabs>
          <w:tab w:val="left" w:pos="1134"/>
        </w:tabs>
        <w:ind w:left="1134" w:hanging="283"/>
        <w:rPr>
          <w:sz w:val="24"/>
          <w:szCs w:val="24"/>
          <w:u w:val="single"/>
        </w:rPr>
      </w:pPr>
      <w:r w:rsidRPr="00241070">
        <w:rPr>
          <w:sz w:val="24"/>
          <w:szCs w:val="24"/>
          <w:u w:val="single"/>
        </w:rPr>
        <w:t xml:space="preserve">Dexamethasone "Zentiva" </w:t>
      </w:r>
      <w:r w:rsidR="00241070">
        <w:rPr>
          <w:sz w:val="24"/>
          <w:szCs w:val="24"/>
          <w:u w:val="single"/>
        </w:rPr>
        <w:t xml:space="preserve">tabletter </w:t>
      </w:r>
      <w:r w:rsidRPr="00241070">
        <w:rPr>
          <w:sz w:val="24"/>
          <w:szCs w:val="24"/>
          <w:u w:val="single"/>
        </w:rPr>
        <w:t>0,5 mg, 1 mg</w:t>
      </w:r>
      <w:r w:rsidR="00241070">
        <w:rPr>
          <w:sz w:val="24"/>
          <w:szCs w:val="24"/>
          <w:u w:val="single"/>
        </w:rPr>
        <w:t xml:space="preserve"> og</w:t>
      </w:r>
      <w:r w:rsidRPr="00241070">
        <w:rPr>
          <w:sz w:val="24"/>
          <w:szCs w:val="24"/>
          <w:u w:val="single"/>
        </w:rPr>
        <w:t xml:space="preserve"> 4 mg</w:t>
      </w:r>
    </w:p>
    <w:p w14:paraId="51E0BBD4" w14:textId="77777777" w:rsidR="00981DDB" w:rsidRPr="00981DDB" w:rsidRDefault="00981DDB" w:rsidP="00241070">
      <w:pPr>
        <w:ind w:left="851"/>
        <w:rPr>
          <w:sz w:val="24"/>
          <w:szCs w:val="24"/>
        </w:rPr>
      </w:pPr>
      <w:r w:rsidRPr="00981DDB">
        <w:rPr>
          <w:sz w:val="24"/>
          <w:szCs w:val="24"/>
        </w:rPr>
        <w:t>Dosering afhænger af sygdommens art og sværhedsgrad og den enkelte patients respons på behandlingen. Generelt set administreres relativt høje indledende doser, og de bør være signifikant højere ved akutte alvorlige former end ved kroniske sygdomme.</w:t>
      </w:r>
    </w:p>
    <w:p w14:paraId="3592A36F" w14:textId="77777777" w:rsidR="00981DDB" w:rsidRPr="00981DDB" w:rsidRDefault="00981DDB" w:rsidP="00241070">
      <w:pPr>
        <w:ind w:left="851"/>
        <w:rPr>
          <w:sz w:val="24"/>
          <w:szCs w:val="24"/>
        </w:rPr>
      </w:pPr>
      <w:r w:rsidRPr="00981DDB">
        <w:rPr>
          <w:sz w:val="24"/>
          <w:szCs w:val="24"/>
        </w:rPr>
        <w:t>Valget af den passende dosisstyrke afhænger af mængden af den indledende dosis og antallet af doser, der skal fordeles i løbet af dagen.</w:t>
      </w:r>
    </w:p>
    <w:p w14:paraId="5594B6FC" w14:textId="1271031A" w:rsidR="009D307E" w:rsidRDefault="009D307E">
      <w:pPr>
        <w:rPr>
          <w:sz w:val="24"/>
          <w:szCs w:val="24"/>
        </w:rPr>
      </w:pPr>
      <w:r>
        <w:rPr>
          <w:sz w:val="24"/>
          <w:szCs w:val="24"/>
        </w:rPr>
        <w:br w:type="page"/>
      </w:r>
    </w:p>
    <w:p w14:paraId="1490C1D5" w14:textId="77777777" w:rsidR="00981DDB" w:rsidRPr="00981DDB" w:rsidRDefault="00981DDB" w:rsidP="00981DDB">
      <w:pPr>
        <w:tabs>
          <w:tab w:val="left" w:pos="1134"/>
        </w:tabs>
        <w:ind w:left="1134" w:hanging="283"/>
        <w:rPr>
          <w:sz w:val="24"/>
          <w:szCs w:val="24"/>
        </w:rPr>
      </w:pPr>
    </w:p>
    <w:p w14:paraId="453CBD56" w14:textId="77777777" w:rsidR="00981DDB" w:rsidRPr="00981DDB" w:rsidRDefault="00981DDB" w:rsidP="00981DDB">
      <w:pPr>
        <w:tabs>
          <w:tab w:val="left" w:pos="1134"/>
        </w:tabs>
        <w:ind w:left="1134" w:hanging="283"/>
        <w:rPr>
          <w:sz w:val="24"/>
          <w:szCs w:val="24"/>
        </w:rPr>
      </w:pPr>
      <w:r w:rsidRPr="00981DDB">
        <w:rPr>
          <w:sz w:val="24"/>
          <w:szCs w:val="24"/>
        </w:rPr>
        <w:t>Medmindre andet er ordineret, gælder følgende doseringsanbefalinger:</w:t>
      </w:r>
    </w:p>
    <w:p w14:paraId="46385346" w14:textId="77777777" w:rsidR="00981DDB" w:rsidRPr="00981DDB" w:rsidRDefault="00981DDB" w:rsidP="00981DDB">
      <w:pPr>
        <w:tabs>
          <w:tab w:val="left" w:pos="1134"/>
        </w:tabs>
        <w:ind w:left="1134" w:hanging="283"/>
        <w:rPr>
          <w:sz w:val="24"/>
          <w:szCs w:val="24"/>
        </w:rPr>
      </w:pPr>
    </w:p>
    <w:p w14:paraId="79DF85C2" w14:textId="77777777" w:rsidR="00981DDB" w:rsidRPr="00981DDB" w:rsidRDefault="00981DDB" w:rsidP="00981DDB">
      <w:pPr>
        <w:numPr>
          <w:ilvl w:val="0"/>
          <w:numId w:val="8"/>
        </w:numPr>
        <w:tabs>
          <w:tab w:val="left" w:pos="1134"/>
        </w:tabs>
        <w:ind w:left="1134" w:hanging="283"/>
        <w:rPr>
          <w:sz w:val="24"/>
          <w:szCs w:val="24"/>
        </w:rPr>
      </w:pPr>
      <w:r w:rsidRPr="00981DDB">
        <w:rPr>
          <w:sz w:val="24"/>
          <w:szCs w:val="24"/>
        </w:rPr>
        <w:t>Cerebralt ødem</w:t>
      </w:r>
    </w:p>
    <w:p w14:paraId="0F1B61CF" w14:textId="77777777" w:rsidR="00981DDB" w:rsidRPr="00981DDB" w:rsidRDefault="00981DDB" w:rsidP="00241070">
      <w:pPr>
        <w:tabs>
          <w:tab w:val="left" w:pos="851"/>
        </w:tabs>
        <w:ind w:left="851"/>
        <w:rPr>
          <w:sz w:val="24"/>
          <w:szCs w:val="24"/>
        </w:rPr>
      </w:pPr>
      <w:r w:rsidRPr="00981DDB">
        <w:rPr>
          <w:sz w:val="24"/>
          <w:szCs w:val="24"/>
        </w:rPr>
        <w:t>Indledende dosis afhængigt af årsag og sværhedsgrad er 8-10 mg (op til 80 mg) i.v., efterfulgt af 16</w:t>
      </w:r>
      <w:r w:rsidRPr="00981DDB">
        <w:rPr>
          <w:sz w:val="24"/>
          <w:szCs w:val="24"/>
        </w:rPr>
        <w:noBreakHyphen/>
        <w:t xml:space="preserve">24 mg (op til 48 mg)/dag oralt, opdelt i 3-4 (op til 6) individuelle doser i 4-8 dage. En længerevarende lavere dosisadministration af </w:t>
      </w:r>
      <w:r w:rsidRPr="00981DDB">
        <w:rPr>
          <w:bCs/>
          <w:sz w:val="24"/>
          <w:szCs w:val="24"/>
        </w:rPr>
        <w:t>Dexamethasone "Zentiva"</w:t>
      </w:r>
      <w:r w:rsidRPr="00981DDB">
        <w:rPr>
          <w:b/>
          <w:sz w:val="24"/>
          <w:szCs w:val="24"/>
        </w:rPr>
        <w:t xml:space="preserve"> </w:t>
      </w:r>
      <w:r w:rsidRPr="00981DDB">
        <w:rPr>
          <w:sz w:val="24"/>
          <w:szCs w:val="24"/>
        </w:rPr>
        <w:t>kan blive nødvendig under strålebehandling og ved konservativ behandling af inoperable hjernetumorer.</w:t>
      </w:r>
    </w:p>
    <w:p w14:paraId="2883FF44" w14:textId="77777777" w:rsidR="00981DDB" w:rsidRPr="00981DDB" w:rsidRDefault="00981DDB" w:rsidP="00981DDB">
      <w:pPr>
        <w:tabs>
          <w:tab w:val="left" w:pos="1134"/>
        </w:tabs>
        <w:ind w:left="1134" w:hanging="283"/>
        <w:rPr>
          <w:sz w:val="24"/>
          <w:szCs w:val="24"/>
        </w:rPr>
      </w:pPr>
    </w:p>
    <w:p w14:paraId="6AE4AEF7" w14:textId="77777777" w:rsidR="00981DDB" w:rsidRPr="00981DDB" w:rsidRDefault="00981DDB" w:rsidP="00981DDB">
      <w:pPr>
        <w:numPr>
          <w:ilvl w:val="0"/>
          <w:numId w:val="8"/>
        </w:numPr>
        <w:tabs>
          <w:tab w:val="left" w:pos="1134"/>
        </w:tabs>
        <w:ind w:left="1134" w:hanging="283"/>
        <w:rPr>
          <w:sz w:val="24"/>
          <w:szCs w:val="24"/>
        </w:rPr>
      </w:pPr>
      <w:r w:rsidRPr="00981DDB">
        <w:rPr>
          <w:sz w:val="24"/>
          <w:szCs w:val="24"/>
        </w:rPr>
        <w:t xml:space="preserve">Cerebralt ødem på grund af bakteriel meningitis </w:t>
      </w:r>
    </w:p>
    <w:p w14:paraId="62191CB6" w14:textId="77777777" w:rsidR="00981DDB" w:rsidRPr="00981DDB" w:rsidRDefault="00981DDB" w:rsidP="001058BF">
      <w:pPr>
        <w:ind w:left="851"/>
        <w:rPr>
          <w:sz w:val="24"/>
          <w:szCs w:val="24"/>
        </w:rPr>
      </w:pPr>
      <w:r w:rsidRPr="00981DDB">
        <w:rPr>
          <w:sz w:val="24"/>
          <w:szCs w:val="24"/>
        </w:rPr>
        <w:t>0,15 mg/kg legemsvægt hver 6. time i 4 dage.</w:t>
      </w:r>
    </w:p>
    <w:p w14:paraId="786F4A01" w14:textId="77777777" w:rsidR="00981DDB" w:rsidRPr="00981DDB" w:rsidRDefault="00981DDB" w:rsidP="001058BF">
      <w:pPr>
        <w:ind w:left="851"/>
        <w:rPr>
          <w:sz w:val="24"/>
          <w:szCs w:val="24"/>
        </w:rPr>
      </w:pPr>
      <w:r w:rsidRPr="00981DDB">
        <w:rPr>
          <w:sz w:val="24"/>
          <w:szCs w:val="24"/>
        </w:rPr>
        <w:t>Børn: 0,4 mg/kg legemsvægt hos børn hver 12. time i 2 dage; begyndende før første administration af antibiotika.</w:t>
      </w:r>
    </w:p>
    <w:p w14:paraId="60770B09" w14:textId="77777777" w:rsidR="00981DDB" w:rsidRPr="00981DDB" w:rsidRDefault="00981DDB" w:rsidP="00981DDB">
      <w:pPr>
        <w:tabs>
          <w:tab w:val="left" w:pos="1134"/>
        </w:tabs>
        <w:ind w:left="1134" w:hanging="283"/>
        <w:rPr>
          <w:sz w:val="24"/>
          <w:szCs w:val="24"/>
        </w:rPr>
      </w:pPr>
    </w:p>
    <w:p w14:paraId="51EF5014" w14:textId="77777777" w:rsidR="00981DDB" w:rsidRPr="00981DDB" w:rsidRDefault="00981DDB" w:rsidP="00981DDB">
      <w:pPr>
        <w:numPr>
          <w:ilvl w:val="0"/>
          <w:numId w:val="8"/>
        </w:numPr>
        <w:tabs>
          <w:tab w:val="left" w:pos="1134"/>
        </w:tabs>
        <w:ind w:left="1134" w:hanging="283"/>
        <w:rPr>
          <w:sz w:val="24"/>
          <w:szCs w:val="24"/>
        </w:rPr>
      </w:pPr>
      <w:r w:rsidRPr="00981DDB">
        <w:rPr>
          <w:sz w:val="24"/>
          <w:szCs w:val="24"/>
        </w:rPr>
        <w:t>Alvorligt, akut astmaanfald</w:t>
      </w:r>
    </w:p>
    <w:p w14:paraId="64DFFA1D" w14:textId="77777777" w:rsidR="00981DDB" w:rsidRPr="00981DDB" w:rsidRDefault="00981DDB" w:rsidP="00981DDB">
      <w:pPr>
        <w:tabs>
          <w:tab w:val="left" w:pos="1134"/>
        </w:tabs>
        <w:ind w:left="1134" w:hanging="283"/>
        <w:rPr>
          <w:sz w:val="24"/>
          <w:szCs w:val="24"/>
        </w:rPr>
      </w:pPr>
      <w:r w:rsidRPr="00981DDB">
        <w:rPr>
          <w:sz w:val="24"/>
          <w:szCs w:val="24"/>
        </w:rPr>
        <w:t xml:space="preserve">Voksne: 8-20 mg, derefter efter behov, 8 mg hver 4. time. </w:t>
      </w:r>
    </w:p>
    <w:p w14:paraId="7F8B051F" w14:textId="77777777" w:rsidR="00981DDB" w:rsidRPr="00981DDB" w:rsidRDefault="00981DDB" w:rsidP="00981DDB">
      <w:pPr>
        <w:tabs>
          <w:tab w:val="left" w:pos="1134"/>
        </w:tabs>
        <w:ind w:left="1134" w:hanging="283"/>
        <w:rPr>
          <w:sz w:val="24"/>
          <w:szCs w:val="24"/>
        </w:rPr>
      </w:pPr>
      <w:r w:rsidRPr="00981DDB">
        <w:rPr>
          <w:sz w:val="24"/>
          <w:szCs w:val="24"/>
        </w:rPr>
        <w:t>Børn: 0,15-0,3 mg/kg legemsvægt.</w:t>
      </w:r>
    </w:p>
    <w:p w14:paraId="13506742" w14:textId="77777777" w:rsidR="00981DDB" w:rsidRPr="00981DDB" w:rsidRDefault="00981DDB" w:rsidP="00981DDB">
      <w:pPr>
        <w:tabs>
          <w:tab w:val="left" w:pos="1134"/>
        </w:tabs>
        <w:ind w:left="1134" w:hanging="283"/>
        <w:rPr>
          <w:sz w:val="24"/>
          <w:szCs w:val="24"/>
        </w:rPr>
      </w:pPr>
    </w:p>
    <w:p w14:paraId="0E95FF29" w14:textId="77777777" w:rsidR="00981DDB" w:rsidRPr="00981DDB" w:rsidRDefault="00981DDB" w:rsidP="00981DDB">
      <w:pPr>
        <w:numPr>
          <w:ilvl w:val="0"/>
          <w:numId w:val="8"/>
        </w:numPr>
        <w:tabs>
          <w:tab w:val="left" w:pos="1134"/>
        </w:tabs>
        <w:ind w:left="1134" w:hanging="283"/>
        <w:rPr>
          <w:sz w:val="24"/>
          <w:szCs w:val="24"/>
        </w:rPr>
      </w:pPr>
      <w:r w:rsidRPr="00981DDB">
        <w:rPr>
          <w:sz w:val="24"/>
          <w:szCs w:val="24"/>
        </w:rPr>
        <w:t>Akutte hudsygdomme</w:t>
      </w:r>
    </w:p>
    <w:p w14:paraId="2B6A7381" w14:textId="77777777" w:rsidR="00981DDB" w:rsidRPr="00981DDB" w:rsidRDefault="00981DDB" w:rsidP="001058BF">
      <w:pPr>
        <w:ind w:left="851"/>
        <w:rPr>
          <w:sz w:val="24"/>
          <w:szCs w:val="24"/>
        </w:rPr>
      </w:pPr>
      <w:r w:rsidRPr="00981DDB">
        <w:rPr>
          <w:sz w:val="24"/>
          <w:szCs w:val="24"/>
        </w:rPr>
        <w:t>8-40 mg om dagen afhængigt af sygdommens type og varighed, i individuelle tilfælde op til 100 mg. Fortsæt derefter behandling med faldende doser.</w:t>
      </w:r>
    </w:p>
    <w:p w14:paraId="2DDDEAC4" w14:textId="77777777" w:rsidR="00981DDB" w:rsidRPr="00981DDB" w:rsidRDefault="00981DDB" w:rsidP="00981DDB">
      <w:pPr>
        <w:tabs>
          <w:tab w:val="left" w:pos="1134"/>
        </w:tabs>
        <w:ind w:left="1134" w:hanging="283"/>
        <w:rPr>
          <w:sz w:val="24"/>
          <w:szCs w:val="24"/>
        </w:rPr>
      </w:pPr>
    </w:p>
    <w:p w14:paraId="35841EF2" w14:textId="77777777" w:rsidR="00981DDB" w:rsidRPr="00981DDB" w:rsidRDefault="00981DDB" w:rsidP="00981DDB">
      <w:pPr>
        <w:numPr>
          <w:ilvl w:val="0"/>
          <w:numId w:val="8"/>
        </w:numPr>
        <w:tabs>
          <w:tab w:val="left" w:pos="1134"/>
        </w:tabs>
        <w:ind w:left="1134" w:hanging="283"/>
        <w:rPr>
          <w:sz w:val="24"/>
          <w:szCs w:val="24"/>
        </w:rPr>
      </w:pPr>
      <w:r w:rsidRPr="00981DDB">
        <w:rPr>
          <w:sz w:val="24"/>
          <w:szCs w:val="24"/>
        </w:rPr>
        <w:t xml:space="preserve">Aktive faser af systemiske reumatiske sygdomme </w:t>
      </w:r>
    </w:p>
    <w:p w14:paraId="28A3F72B" w14:textId="77777777" w:rsidR="00981DDB" w:rsidRPr="00981DDB" w:rsidRDefault="00981DDB" w:rsidP="00981DDB">
      <w:pPr>
        <w:tabs>
          <w:tab w:val="left" w:pos="1134"/>
        </w:tabs>
        <w:ind w:left="1134" w:hanging="283"/>
        <w:rPr>
          <w:sz w:val="24"/>
          <w:szCs w:val="24"/>
        </w:rPr>
      </w:pPr>
      <w:r w:rsidRPr="00981DDB">
        <w:rPr>
          <w:sz w:val="24"/>
          <w:szCs w:val="24"/>
        </w:rPr>
        <w:t>Systemisk lupus erythematosus: Daglige doser på 6-16 mg.</w:t>
      </w:r>
    </w:p>
    <w:p w14:paraId="354DEA83" w14:textId="77777777" w:rsidR="00981DDB" w:rsidRPr="00981DDB" w:rsidRDefault="00981DDB" w:rsidP="00981DDB">
      <w:pPr>
        <w:tabs>
          <w:tab w:val="left" w:pos="1134"/>
        </w:tabs>
        <w:ind w:left="1134" w:hanging="283"/>
        <w:rPr>
          <w:sz w:val="24"/>
          <w:szCs w:val="24"/>
        </w:rPr>
      </w:pPr>
    </w:p>
    <w:p w14:paraId="092A7EC8" w14:textId="77777777" w:rsidR="00981DDB" w:rsidRPr="00981DDB" w:rsidRDefault="00981DDB" w:rsidP="00981DDB">
      <w:pPr>
        <w:numPr>
          <w:ilvl w:val="0"/>
          <w:numId w:val="8"/>
        </w:numPr>
        <w:tabs>
          <w:tab w:val="left" w:pos="1134"/>
        </w:tabs>
        <w:ind w:left="1134" w:hanging="283"/>
        <w:rPr>
          <w:sz w:val="24"/>
          <w:szCs w:val="24"/>
        </w:rPr>
      </w:pPr>
      <w:r w:rsidRPr="00981DDB">
        <w:rPr>
          <w:sz w:val="24"/>
          <w:szCs w:val="24"/>
        </w:rPr>
        <w:t>Aktiv reumatoid artrit med et alvorligt, progressivt forløb</w:t>
      </w:r>
    </w:p>
    <w:p w14:paraId="3E4E744E" w14:textId="77777777" w:rsidR="00981DDB" w:rsidRPr="00981DDB" w:rsidRDefault="00981DDB" w:rsidP="001058BF">
      <w:pPr>
        <w:ind w:left="851"/>
        <w:rPr>
          <w:sz w:val="24"/>
          <w:szCs w:val="24"/>
        </w:rPr>
      </w:pPr>
      <w:r w:rsidRPr="00981DDB">
        <w:rPr>
          <w:sz w:val="24"/>
          <w:szCs w:val="24"/>
        </w:rPr>
        <w:t>f.eks. hurtigt forløbende destruktive former og/eller med ekstraartikulære manifestationer: 6-12 mg/dag.</w:t>
      </w:r>
    </w:p>
    <w:p w14:paraId="62D0B045" w14:textId="77777777" w:rsidR="00981DDB" w:rsidRPr="00981DDB" w:rsidRDefault="00981DDB" w:rsidP="00981DDB">
      <w:pPr>
        <w:tabs>
          <w:tab w:val="left" w:pos="1134"/>
        </w:tabs>
        <w:ind w:left="1134" w:hanging="283"/>
        <w:rPr>
          <w:sz w:val="24"/>
          <w:szCs w:val="24"/>
        </w:rPr>
      </w:pPr>
    </w:p>
    <w:p w14:paraId="7B074265" w14:textId="77777777" w:rsidR="00981DDB" w:rsidRPr="00981DDB" w:rsidRDefault="00981DDB" w:rsidP="00981DDB">
      <w:pPr>
        <w:numPr>
          <w:ilvl w:val="0"/>
          <w:numId w:val="8"/>
        </w:numPr>
        <w:tabs>
          <w:tab w:val="left" w:pos="1134"/>
        </w:tabs>
        <w:ind w:left="1134" w:hanging="283"/>
        <w:rPr>
          <w:sz w:val="24"/>
          <w:szCs w:val="24"/>
        </w:rPr>
      </w:pPr>
      <w:r w:rsidRPr="00981DDB">
        <w:rPr>
          <w:sz w:val="24"/>
          <w:szCs w:val="24"/>
        </w:rPr>
        <w:t>Alvorlig infektionssygdom med toksiske tilstande (f.eks. tuberkulose, tyfus)</w:t>
      </w:r>
    </w:p>
    <w:p w14:paraId="608B1C25" w14:textId="2ACD3078" w:rsidR="00981DDB" w:rsidRPr="00981DDB" w:rsidRDefault="00981DDB" w:rsidP="00981DDB">
      <w:pPr>
        <w:tabs>
          <w:tab w:val="left" w:pos="1134"/>
        </w:tabs>
        <w:ind w:left="1134" w:hanging="283"/>
        <w:rPr>
          <w:sz w:val="24"/>
          <w:szCs w:val="24"/>
        </w:rPr>
      </w:pPr>
      <w:r w:rsidRPr="00981DDB">
        <w:rPr>
          <w:sz w:val="24"/>
          <w:szCs w:val="24"/>
        </w:rPr>
        <w:t xml:space="preserve">4-20 mg </w:t>
      </w:r>
      <w:r w:rsidR="005C4B99">
        <w:rPr>
          <w:sz w:val="24"/>
          <w:szCs w:val="24"/>
        </w:rPr>
        <w:t>daglig</w:t>
      </w:r>
      <w:r w:rsidRPr="00981DDB">
        <w:rPr>
          <w:sz w:val="24"/>
          <w:szCs w:val="24"/>
        </w:rPr>
        <w:t xml:space="preserve"> i et par dage, kun samtidig med infektionsbehandling.</w:t>
      </w:r>
    </w:p>
    <w:p w14:paraId="53C3903B" w14:textId="77777777" w:rsidR="00981DDB" w:rsidRPr="00981DDB" w:rsidRDefault="00981DDB" w:rsidP="00981DDB">
      <w:pPr>
        <w:tabs>
          <w:tab w:val="left" w:pos="1134"/>
        </w:tabs>
        <w:ind w:left="1134" w:hanging="283"/>
        <w:rPr>
          <w:sz w:val="24"/>
          <w:szCs w:val="24"/>
        </w:rPr>
      </w:pPr>
    </w:p>
    <w:p w14:paraId="10810AA4" w14:textId="77777777" w:rsidR="00981DDB" w:rsidRPr="00981DDB" w:rsidRDefault="00981DDB" w:rsidP="00981DDB">
      <w:pPr>
        <w:numPr>
          <w:ilvl w:val="0"/>
          <w:numId w:val="8"/>
        </w:numPr>
        <w:tabs>
          <w:tab w:val="left" w:pos="1134"/>
        </w:tabs>
        <w:ind w:left="1134" w:hanging="283"/>
        <w:rPr>
          <w:sz w:val="24"/>
          <w:szCs w:val="24"/>
        </w:rPr>
      </w:pPr>
      <w:r w:rsidRPr="00981DDB">
        <w:rPr>
          <w:sz w:val="24"/>
          <w:szCs w:val="24"/>
        </w:rPr>
        <w:t>Palliativ behandling af maligne tumorer</w:t>
      </w:r>
    </w:p>
    <w:p w14:paraId="4181FBF0" w14:textId="77777777" w:rsidR="00981DDB" w:rsidRPr="00981DDB" w:rsidRDefault="00981DDB" w:rsidP="00981DDB">
      <w:pPr>
        <w:tabs>
          <w:tab w:val="left" w:pos="1134"/>
        </w:tabs>
        <w:ind w:left="1134" w:hanging="283"/>
        <w:rPr>
          <w:sz w:val="24"/>
          <w:szCs w:val="24"/>
        </w:rPr>
      </w:pPr>
      <w:r w:rsidRPr="00981DDB">
        <w:rPr>
          <w:sz w:val="24"/>
          <w:szCs w:val="24"/>
        </w:rPr>
        <w:t>Indledningsvist 8-16 mg/dag, og ved længerevarende behandling 4-12 mg/dag.</w:t>
      </w:r>
    </w:p>
    <w:p w14:paraId="32AAEF2B" w14:textId="77777777" w:rsidR="00981DDB" w:rsidRPr="00981DDB" w:rsidRDefault="00981DDB" w:rsidP="00981DDB">
      <w:pPr>
        <w:tabs>
          <w:tab w:val="left" w:pos="1134"/>
        </w:tabs>
        <w:ind w:left="1134" w:hanging="283"/>
        <w:rPr>
          <w:sz w:val="24"/>
          <w:szCs w:val="24"/>
        </w:rPr>
      </w:pPr>
    </w:p>
    <w:p w14:paraId="62A61B50" w14:textId="77777777" w:rsidR="00981DDB" w:rsidRPr="00981DDB" w:rsidRDefault="00981DDB" w:rsidP="00981DDB">
      <w:pPr>
        <w:numPr>
          <w:ilvl w:val="0"/>
          <w:numId w:val="8"/>
        </w:numPr>
        <w:tabs>
          <w:tab w:val="left" w:pos="1134"/>
        </w:tabs>
        <w:ind w:left="1134" w:hanging="283"/>
        <w:rPr>
          <w:sz w:val="24"/>
          <w:szCs w:val="24"/>
        </w:rPr>
      </w:pPr>
      <w:r w:rsidRPr="00981DDB">
        <w:rPr>
          <w:sz w:val="24"/>
          <w:szCs w:val="24"/>
          <w:lang w:val="fr-LU"/>
        </w:rPr>
        <w:t>Behandling af COVID</w:t>
      </w:r>
      <w:r w:rsidRPr="00981DDB">
        <w:rPr>
          <w:sz w:val="24"/>
          <w:szCs w:val="24"/>
          <w:lang w:val="fr-LU"/>
        </w:rPr>
        <w:noBreakHyphen/>
        <w:t>19:</w:t>
      </w:r>
    </w:p>
    <w:p w14:paraId="1972ABF9" w14:textId="7085047A" w:rsidR="00981DDB" w:rsidRPr="00981DDB" w:rsidRDefault="00981DDB" w:rsidP="00981DDB">
      <w:pPr>
        <w:tabs>
          <w:tab w:val="left" w:pos="1134"/>
        </w:tabs>
        <w:ind w:left="1134" w:hanging="283"/>
        <w:rPr>
          <w:sz w:val="24"/>
          <w:szCs w:val="24"/>
        </w:rPr>
      </w:pPr>
      <w:r w:rsidRPr="00981DDB">
        <w:rPr>
          <w:sz w:val="24"/>
          <w:szCs w:val="24"/>
        </w:rPr>
        <w:t xml:space="preserve">Voksne patienter: 6 mg, intravenøst eller oralt, én gang </w:t>
      </w:r>
      <w:r w:rsidR="005C4B99">
        <w:rPr>
          <w:sz w:val="24"/>
          <w:szCs w:val="24"/>
        </w:rPr>
        <w:t>daglig</w:t>
      </w:r>
      <w:r w:rsidRPr="00981DDB">
        <w:rPr>
          <w:sz w:val="24"/>
          <w:szCs w:val="24"/>
        </w:rPr>
        <w:t xml:space="preserve"> i op til 10 dage.</w:t>
      </w:r>
    </w:p>
    <w:p w14:paraId="5F3C361D" w14:textId="20088FA8" w:rsidR="00981DDB" w:rsidRPr="00981DDB" w:rsidRDefault="00981DDB" w:rsidP="001058BF">
      <w:pPr>
        <w:ind w:left="851"/>
        <w:rPr>
          <w:sz w:val="24"/>
          <w:szCs w:val="24"/>
        </w:rPr>
      </w:pPr>
      <w:r w:rsidRPr="00981DDB">
        <w:rPr>
          <w:sz w:val="24"/>
          <w:szCs w:val="24"/>
        </w:rPr>
        <w:t>Pædiatrisk population:</w:t>
      </w:r>
      <w:r w:rsidRPr="00981DDB">
        <w:rPr>
          <w:i/>
          <w:iCs/>
          <w:sz w:val="24"/>
          <w:szCs w:val="24"/>
        </w:rPr>
        <w:t xml:space="preserve"> </w:t>
      </w:r>
      <w:r w:rsidRPr="00981DDB">
        <w:rPr>
          <w:sz w:val="24"/>
          <w:szCs w:val="24"/>
        </w:rPr>
        <w:t xml:space="preserve">Pædiatriske patienter (unge på 12 år og ældre) anbefales at tage 6 mg pr. dosis, intravenøst eller oralt, én gang </w:t>
      </w:r>
      <w:r w:rsidR="005C4B99">
        <w:rPr>
          <w:sz w:val="24"/>
          <w:szCs w:val="24"/>
        </w:rPr>
        <w:t>daglig</w:t>
      </w:r>
      <w:r w:rsidRPr="00981DDB">
        <w:rPr>
          <w:sz w:val="24"/>
          <w:szCs w:val="24"/>
        </w:rPr>
        <w:t xml:space="preserve"> i op til 10 dage.</w:t>
      </w:r>
    </w:p>
    <w:p w14:paraId="23F4DB64" w14:textId="77777777" w:rsidR="00981DDB" w:rsidRPr="00981DDB" w:rsidRDefault="00981DDB" w:rsidP="00981DDB">
      <w:pPr>
        <w:tabs>
          <w:tab w:val="left" w:pos="1134"/>
        </w:tabs>
        <w:ind w:left="1134" w:hanging="283"/>
        <w:rPr>
          <w:sz w:val="24"/>
          <w:szCs w:val="24"/>
        </w:rPr>
      </w:pPr>
      <w:r w:rsidRPr="00981DDB">
        <w:rPr>
          <w:sz w:val="24"/>
          <w:szCs w:val="24"/>
        </w:rPr>
        <w:t>Behandlingsvarigheden skal styres af klinisk respons og individuelle patientbehov.</w:t>
      </w:r>
    </w:p>
    <w:p w14:paraId="0391518A" w14:textId="77777777" w:rsidR="00981DDB" w:rsidRPr="00981DDB" w:rsidRDefault="00981DDB" w:rsidP="00981DDB">
      <w:pPr>
        <w:tabs>
          <w:tab w:val="left" w:pos="1134"/>
        </w:tabs>
        <w:ind w:left="1134" w:hanging="283"/>
        <w:rPr>
          <w:sz w:val="24"/>
          <w:szCs w:val="24"/>
        </w:rPr>
      </w:pPr>
      <w:r w:rsidRPr="00981DDB">
        <w:rPr>
          <w:sz w:val="24"/>
          <w:szCs w:val="24"/>
        </w:rPr>
        <w:t>Ældre, nedsat nyrefunktion, nedsat leverfunktion: Dosisjustering er ikke nødvendig.</w:t>
      </w:r>
    </w:p>
    <w:p w14:paraId="78F1D62C" w14:textId="77777777" w:rsidR="00981DDB" w:rsidRPr="00981DDB" w:rsidRDefault="00981DDB" w:rsidP="00981DDB">
      <w:pPr>
        <w:tabs>
          <w:tab w:val="left" w:pos="1134"/>
        </w:tabs>
        <w:ind w:left="1134" w:hanging="283"/>
        <w:rPr>
          <w:sz w:val="24"/>
          <w:szCs w:val="24"/>
        </w:rPr>
      </w:pPr>
    </w:p>
    <w:p w14:paraId="70B25B47" w14:textId="4050B7D1" w:rsidR="00981DDB" w:rsidRPr="000F6F7E" w:rsidRDefault="00981DDB" w:rsidP="00981DDB">
      <w:pPr>
        <w:tabs>
          <w:tab w:val="left" w:pos="1134"/>
        </w:tabs>
        <w:ind w:left="1134" w:hanging="283"/>
        <w:rPr>
          <w:sz w:val="24"/>
          <w:szCs w:val="24"/>
          <w:u w:val="single"/>
        </w:rPr>
      </w:pPr>
      <w:r w:rsidRPr="000F6F7E">
        <w:rPr>
          <w:sz w:val="24"/>
          <w:szCs w:val="24"/>
          <w:u w:val="single"/>
        </w:rPr>
        <w:t xml:space="preserve">Derudover, for Dexamethasone "Zentiva" </w:t>
      </w:r>
      <w:r w:rsidR="001058BF" w:rsidRPr="000F6F7E">
        <w:rPr>
          <w:sz w:val="24"/>
          <w:szCs w:val="24"/>
          <w:u w:val="single"/>
        </w:rPr>
        <w:t xml:space="preserve">tabletter </w:t>
      </w:r>
      <w:r w:rsidRPr="000F6F7E">
        <w:rPr>
          <w:sz w:val="24"/>
          <w:szCs w:val="24"/>
          <w:u w:val="single"/>
        </w:rPr>
        <w:t>0,5 mg</w:t>
      </w:r>
      <w:r w:rsidR="000F6F7E" w:rsidRPr="000F6F7E">
        <w:rPr>
          <w:sz w:val="24"/>
          <w:szCs w:val="24"/>
          <w:u w:val="single"/>
        </w:rPr>
        <w:t xml:space="preserve"> og</w:t>
      </w:r>
      <w:r w:rsidRPr="000F6F7E">
        <w:rPr>
          <w:sz w:val="24"/>
          <w:szCs w:val="24"/>
          <w:u w:val="single"/>
        </w:rPr>
        <w:t xml:space="preserve"> 1 mg</w:t>
      </w:r>
    </w:p>
    <w:p w14:paraId="0564B865" w14:textId="77777777" w:rsidR="00981DDB" w:rsidRPr="00981DDB" w:rsidRDefault="00981DDB" w:rsidP="00981DDB">
      <w:pPr>
        <w:tabs>
          <w:tab w:val="left" w:pos="1134"/>
        </w:tabs>
        <w:ind w:left="1134" w:hanging="283"/>
        <w:rPr>
          <w:b/>
          <w:sz w:val="24"/>
          <w:szCs w:val="24"/>
        </w:rPr>
      </w:pPr>
    </w:p>
    <w:p w14:paraId="0402A913" w14:textId="77777777" w:rsidR="00981DDB" w:rsidRPr="00981DDB" w:rsidRDefault="00981DDB" w:rsidP="00981DDB">
      <w:pPr>
        <w:numPr>
          <w:ilvl w:val="0"/>
          <w:numId w:val="8"/>
        </w:numPr>
        <w:tabs>
          <w:tab w:val="left" w:pos="1134"/>
        </w:tabs>
        <w:ind w:left="1134" w:hanging="283"/>
        <w:rPr>
          <w:bCs/>
          <w:sz w:val="24"/>
          <w:szCs w:val="24"/>
        </w:rPr>
      </w:pPr>
      <w:r w:rsidRPr="00981DDB">
        <w:rPr>
          <w:bCs/>
          <w:sz w:val="24"/>
          <w:szCs w:val="24"/>
        </w:rPr>
        <w:t>Medfødt adrenogenital syndrom i voksenalderen</w:t>
      </w:r>
    </w:p>
    <w:p w14:paraId="751D0216" w14:textId="43003648" w:rsidR="00981DDB" w:rsidRPr="00981DDB" w:rsidRDefault="00981DDB" w:rsidP="001058BF">
      <w:pPr>
        <w:ind w:left="851"/>
        <w:rPr>
          <w:bCs/>
          <w:sz w:val="24"/>
          <w:szCs w:val="24"/>
        </w:rPr>
      </w:pPr>
      <w:r w:rsidRPr="00981DDB">
        <w:rPr>
          <w:bCs/>
          <w:sz w:val="24"/>
          <w:szCs w:val="24"/>
        </w:rPr>
        <w:t xml:space="preserve">0,25 - 0,75 mg </w:t>
      </w:r>
      <w:r w:rsidR="005C4B99">
        <w:rPr>
          <w:bCs/>
          <w:sz w:val="24"/>
          <w:szCs w:val="24"/>
        </w:rPr>
        <w:t>daglig</w:t>
      </w:r>
      <w:r w:rsidRPr="00981DDB">
        <w:rPr>
          <w:bCs/>
          <w:sz w:val="24"/>
          <w:szCs w:val="24"/>
        </w:rPr>
        <w:t xml:space="preserve">, taget som en enkelt dosis. Hvis det er nødvendigt, kan der yderligere gives et mineralokortikoid (fludrocortison). Hvis det ikke er muligt at dosere med </w:t>
      </w:r>
      <w:r w:rsidRPr="00981DDB">
        <w:rPr>
          <w:sz w:val="24"/>
          <w:szCs w:val="24"/>
        </w:rPr>
        <w:t>Dexamethasone "Zentiva"</w:t>
      </w:r>
      <w:r w:rsidRPr="00981DDB">
        <w:rPr>
          <w:bCs/>
          <w:sz w:val="24"/>
          <w:szCs w:val="24"/>
        </w:rPr>
        <w:t xml:space="preserve">, kan der anvendes et andet lægemiddel med dexamethason, som er tilgængeligt på markedet. Ved særlig fysisk belastning (f.eks. traumer, kirurgi), </w:t>
      </w:r>
      <w:r w:rsidRPr="00981DDB">
        <w:rPr>
          <w:bCs/>
          <w:sz w:val="24"/>
          <w:szCs w:val="24"/>
        </w:rPr>
        <w:lastRenderedPageBreak/>
        <w:t>interkurrente infektioner osv., kan en dosisøgning på 2 til 3 gange, og ved ekstrem belastning (f.eks. fødsel) op til 10 gange være nødvendig.</w:t>
      </w:r>
    </w:p>
    <w:p w14:paraId="2A0C681E" w14:textId="77777777" w:rsidR="00981DDB" w:rsidRPr="00981DDB" w:rsidRDefault="00981DDB" w:rsidP="00981DDB">
      <w:pPr>
        <w:tabs>
          <w:tab w:val="left" w:pos="1134"/>
        </w:tabs>
        <w:ind w:left="1134" w:hanging="283"/>
        <w:rPr>
          <w:b/>
          <w:sz w:val="24"/>
          <w:szCs w:val="24"/>
        </w:rPr>
      </w:pPr>
    </w:p>
    <w:p w14:paraId="3377ECBA" w14:textId="1E20C50B" w:rsidR="00981DDB" w:rsidRPr="0021560B" w:rsidRDefault="00981DDB" w:rsidP="00981DDB">
      <w:pPr>
        <w:tabs>
          <w:tab w:val="left" w:pos="1134"/>
        </w:tabs>
        <w:ind w:left="1134" w:hanging="283"/>
        <w:rPr>
          <w:sz w:val="24"/>
          <w:szCs w:val="24"/>
          <w:u w:val="single"/>
        </w:rPr>
      </w:pPr>
      <w:r w:rsidRPr="0021560B">
        <w:rPr>
          <w:sz w:val="24"/>
          <w:szCs w:val="24"/>
          <w:u w:val="single"/>
        </w:rPr>
        <w:t xml:space="preserve">Derudover, for Dexamethasone "Zentiva" </w:t>
      </w:r>
      <w:r w:rsidR="000F6F7E" w:rsidRPr="0021560B">
        <w:rPr>
          <w:sz w:val="24"/>
          <w:szCs w:val="24"/>
          <w:u w:val="single"/>
        </w:rPr>
        <w:t>tablett</w:t>
      </w:r>
      <w:r w:rsidR="009D307E">
        <w:rPr>
          <w:sz w:val="24"/>
          <w:szCs w:val="24"/>
          <w:u w:val="single"/>
        </w:rPr>
        <w:t>e</w:t>
      </w:r>
      <w:r w:rsidR="000F6F7E" w:rsidRPr="0021560B">
        <w:rPr>
          <w:sz w:val="24"/>
          <w:szCs w:val="24"/>
          <w:u w:val="single"/>
        </w:rPr>
        <w:t xml:space="preserve">r </w:t>
      </w:r>
      <w:r w:rsidRPr="0021560B">
        <w:rPr>
          <w:sz w:val="24"/>
          <w:szCs w:val="24"/>
          <w:u w:val="single"/>
        </w:rPr>
        <w:t>1 mg</w:t>
      </w:r>
      <w:r w:rsidR="000F6F7E" w:rsidRPr="0021560B">
        <w:rPr>
          <w:sz w:val="24"/>
          <w:szCs w:val="24"/>
          <w:u w:val="single"/>
        </w:rPr>
        <w:t xml:space="preserve"> og</w:t>
      </w:r>
      <w:r w:rsidRPr="0021560B">
        <w:rPr>
          <w:sz w:val="24"/>
          <w:szCs w:val="24"/>
          <w:u w:val="single"/>
        </w:rPr>
        <w:t xml:space="preserve"> 4 mg</w:t>
      </w:r>
    </w:p>
    <w:p w14:paraId="1AC177A9" w14:textId="77777777" w:rsidR="00981DDB" w:rsidRPr="00981DDB" w:rsidRDefault="00981DDB" w:rsidP="00981DDB">
      <w:pPr>
        <w:tabs>
          <w:tab w:val="left" w:pos="1134"/>
        </w:tabs>
        <w:ind w:left="1134" w:hanging="283"/>
        <w:rPr>
          <w:sz w:val="24"/>
          <w:szCs w:val="24"/>
        </w:rPr>
      </w:pPr>
    </w:p>
    <w:p w14:paraId="0B184AF1" w14:textId="043FAB94" w:rsidR="00981DDB" w:rsidRPr="00981DDB" w:rsidRDefault="00981DDB" w:rsidP="00981DDB">
      <w:pPr>
        <w:numPr>
          <w:ilvl w:val="0"/>
          <w:numId w:val="8"/>
        </w:numPr>
        <w:tabs>
          <w:tab w:val="left" w:pos="1134"/>
        </w:tabs>
        <w:ind w:left="1134" w:hanging="283"/>
        <w:rPr>
          <w:sz w:val="24"/>
          <w:szCs w:val="24"/>
        </w:rPr>
      </w:pPr>
      <w:r w:rsidRPr="00981DDB">
        <w:rPr>
          <w:sz w:val="24"/>
          <w:szCs w:val="24"/>
        </w:rPr>
        <w:t xml:space="preserve">Forebyggelse og behandling af cytostatikainduceret opkastning i forbindelse med antiemetisk behandling 10-20 mg før påbegyndelse af kemoterapi, derefter 4-8 mg to til tre gange </w:t>
      </w:r>
      <w:r w:rsidR="005C4B99">
        <w:rPr>
          <w:sz w:val="24"/>
          <w:szCs w:val="24"/>
        </w:rPr>
        <w:t>daglig</w:t>
      </w:r>
      <w:r w:rsidRPr="00981DDB">
        <w:rPr>
          <w:sz w:val="24"/>
          <w:szCs w:val="24"/>
        </w:rPr>
        <w:t xml:space="preserve"> i 1-3 dage efter behov (moderat emetogen kemoterapi) eller op til 6 dage (højemetogen kemoterapi).</w:t>
      </w:r>
    </w:p>
    <w:p w14:paraId="3DFFAA09" w14:textId="77777777" w:rsidR="00981DDB" w:rsidRPr="00981DDB" w:rsidRDefault="00981DDB" w:rsidP="00981DDB">
      <w:pPr>
        <w:tabs>
          <w:tab w:val="left" w:pos="1134"/>
        </w:tabs>
        <w:ind w:left="1134" w:hanging="283"/>
        <w:rPr>
          <w:sz w:val="24"/>
          <w:szCs w:val="24"/>
        </w:rPr>
      </w:pPr>
    </w:p>
    <w:p w14:paraId="142AF4BD" w14:textId="77777777" w:rsidR="00981DDB" w:rsidRPr="00981DDB" w:rsidRDefault="00981DDB" w:rsidP="00981DDB">
      <w:pPr>
        <w:numPr>
          <w:ilvl w:val="0"/>
          <w:numId w:val="8"/>
        </w:numPr>
        <w:tabs>
          <w:tab w:val="left" w:pos="1134"/>
        </w:tabs>
        <w:ind w:left="1134" w:hanging="283"/>
        <w:rPr>
          <w:sz w:val="24"/>
          <w:szCs w:val="24"/>
        </w:rPr>
      </w:pPr>
      <w:r w:rsidRPr="00981DDB">
        <w:rPr>
          <w:sz w:val="24"/>
          <w:szCs w:val="24"/>
        </w:rPr>
        <w:t>Forebyggelse og behandling af post-operativ opkastning</w:t>
      </w:r>
    </w:p>
    <w:p w14:paraId="4EFBA57D" w14:textId="77777777" w:rsidR="00981DDB" w:rsidRPr="00981DDB" w:rsidRDefault="00981DDB" w:rsidP="000F6F7E">
      <w:pPr>
        <w:tabs>
          <w:tab w:val="left" w:pos="1134"/>
        </w:tabs>
        <w:ind w:left="1134"/>
        <w:rPr>
          <w:sz w:val="24"/>
          <w:szCs w:val="24"/>
        </w:rPr>
      </w:pPr>
      <w:r w:rsidRPr="00981DDB">
        <w:rPr>
          <w:sz w:val="24"/>
          <w:szCs w:val="24"/>
        </w:rPr>
        <w:t>Individuel dosis på 8-20 mg før start på operationen.</w:t>
      </w:r>
    </w:p>
    <w:p w14:paraId="27089A68" w14:textId="77777777" w:rsidR="00981DDB" w:rsidRPr="00981DDB" w:rsidRDefault="00981DDB" w:rsidP="000F6F7E">
      <w:pPr>
        <w:tabs>
          <w:tab w:val="left" w:pos="1134"/>
        </w:tabs>
        <w:ind w:left="1134"/>
        <w:rPr>
          <w:sz w:val="24"/>
          <w:szCs w:val="24"/>
        </w:rPr>
      </w:pPr>
      <w:r w:rsidRPr="00981DDB">
        <w:rPr>
          <w:sz w:val="24"/>
          <w:szCs w:val="24"/>
        </w:rPr>
        <w:t>Børn fra 2 år og ældre: 0,15-0,5 mg/kg legemsvægt (maks. 16 mg).</w:t>
      </w:r>
    </w:p>
    <w:p w14:paraId="10185423" w14:textId="77777777" w:rsidR="00981DDB" w:rsidRPr="00981DDB" w:rsidRDefault="00981DDB" w:rsidP="00981DDB">
      <w:pPr>
        <w:tabs>
          <w:tab w:val="left" w:pos="1134"/>
        </w:tabs>
        <w:ind w:left="1134" w:hanging="283"/>
        <w:rPr>
          <w:sz w:val="24"/>
          <w:szCs w:val="24"/>
        </w:rPr>
      </w:pPr>
    </w:p>
    <w:p w14:paraId="106079B7" w14:textId="77777777" w:rsidR="00981DDB" w:rsidRPr="0021560B" w:rsidRDefault="00981DDB" w:rsidP="00981DDB">
      <w:pPr>
        <w:tabs>
          <w:tab w:val="left" w:pos="1134"/>
        </w:tabs>
        <w:ind w:left="1134" w:hanging="283"/>
        <w:rPr>
          <w:b/>
          <w:sz w:val="24"/>
          <w:szCs w:val="24"/>
        </w:rPr>
      </w:pPr>
      <w:r w:rsidRPr="0021560B">
        <w:rPr>
          <w:b/>
          <w:sz w:val="24"/>
          <w:szCs w:val="24"/>
        </w:rPr>
        <w:t>Administration</w:t>
      </w:r>
    </w:p>
    <w:p w14:paraId="602A2165" w14:textId="77777777" w:rsidR="00981DDB" w:rsidRPr="00981DDB" w:rsidRDefault="00981DDB" w:rsidP="001058BF">
      <w:pPr>
        <w:ind w:left="851"/>
        <w:rPr>
          <w:iCs/>
          <w:sz w:val="24"/>
          <w:szCs w:val="24"/>
        </w:rPr>
      </w:pPr>
      <w:r w:rsidRPr="00981DDB">
        <w:rPr>
          <w:iCs/>
          <w:sz w:val="24"/>
          <w:szCs w:val="24"/>
        </w:rPr>
        <w:t xml:space="preserve">Tabletterne skal sluges hele i forbindelse med eller efter et måltid og skal indtages med rigelige mængder væske. Under behandlingen skal den daglige dosis om muligt administreres som en enkelt dosis om morgenen (døgnrytmebehandling). For at opnå den maksimale effekt vil det imidlertid ofte være nødvendigt med flere daglige doser for patienter, som kræver en behandling med høj dosis pga. deres sygdom. </w:t>
      </w:r>
    </w:p>
    <w:p w14:paraId="4B4FF735" w14:textId="77777777" w:rsidR="00981DDB" w:rsidRPr="00981DDB" w:rsidRDefault="00981DDB" w:rsidP="00981DDB">
      <w:pPr>
        <w:tabs>
          <w:tab w:val="left" w:pos="1134"/>
        </w:tabs>
        <w:ind w:left="1134" w:hanging="283"/>
        <w:rPr>
          <w:iCs/>
          <w:sz w:val="24"/>
          <w:szCs w:val="24"/>
        </w:rPr>
      </w:pPr>
    </w:p>
    <w:p w14:paraId="55CB8C16" w14:textId="77777777" w:rsidR="00981DDB" w:rsidRPr="00981DDB" w:rsidRDefault="00981DDB" w:rsidP="00981DDB">
      <w:pPr>
        <w:tabs>
          <w:tab w:val="left" w:pos="1134"/>
        </w:tabs>
        <w:ind w:left="1134" w:hanging="283"/>
        <w:rPr>
          <w:iCs/>
          <w:sz w:val="24"/>
          <w:szCs w:val="24"/>
          <w:u w:val="single"/>
        </w:rPr>
      </w:pPr>
      <w:r w:rsidRPr="00981DDB">
        <w:rPr>
          <w:iCs/>
          <w:sz w:val="24"/>
          <w:szCs w:val="24"/>
          <w:u w:val="single"/>
        </w:rPr>
        <w:t>Særlige populationer</w:t>
      </w:r>
    </w:p>
    <w:p w14:paraId="7CCA0E0B" w14:textId="77777777" w:rsidR="00981DDB" w:rsidRPr="00981DDB" w:rsidRDefault="00981DDB" w:rsidP="001058BF">
      <w:pPr>
        <w:ind w:left="851"/>
        <w:rPr>
          <w:iCs/>
          <w:sz w:val="24"/>
          <w:szCs w:val="24"/>
        </w:rPr>
      </w:pPr>
      <w:r w:rsidRPr="00981DDB">
        <w:rPr>
          <w:iCs/>
          <w:sz w:val="24"/>
          <w:szCs w:val="24"/>
        </w:rPr>
        <w:t>I forbindelse med hypotyroidisme eller levercirrhose, kan lave doser være tilstrækkeligt, eller en dosisreduktion kan være nødvendig.</w:t>
      </w:r>
    </w:p>
    <w:p w14:paraId="4617A253" w14:textId="77777777" w:rsidR="009260DE" w:rsidRPr="00C84483" w:rsidRDefault="009260DE" w:rsidP="009260DE">
      <w:pPr>
        <w:tabs>
          <w:tab w:val="left" w:pos="851"/>
        </w:tabs>
        <w:ind w:left="851"/>
        <w:rPr>
          <w:sz w:val="24"/>
          <w:szCs w:val="24"/>
        </w:rPr>
      </w:pPr>
    </w:p>
    <w:p w14:paraId="13BB2618"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1146C7D6" w14:textId="77777777" w:rsidR="005C4B99" w:rsidRPr="005C4B99" w:rsidRDefault="005C4B99" w:rsidP="005C4B99">
      <w:pPr>
        <w:tabs>
          <w:tab w:val="left" w:pos="851"/>
        </w:tabs>
        <w:ind w:left="851"/>
        <w:rPr>
          <w:sz w:val="24"/>
          <w:szCs w:val="24"/>
        </w:rPr>
      </w:pPr>
      <w:r w:rsidRPr="005C4B99">
        <w:rPr>
          <w:sz w:val="24"/>
          <w:szCs w:val="24"/>
        </w:rPr>
        <w:t>Overfølsomhed over for det aktive stof eller over for et eller flere af hjælpestofferne anført i pkt. 6.1.</w:t>
      </w:r>
    </w:p>
    <w:p w14:paraId="5D8BEA3E" w14:textId="77777777" w:rsidR="009260DE" w:rsidRPr="00C84483" w:rsidRDefault="009260DE" w:rsidP="009260DE">
      <w:pPr>
        <w:tabs>
          <w:tab w:val="left" w:pos="851"/>
        </w:tabs>
        <w:ind w:left="851"/>
        <w:rPr>
          <w:sz w:val="24"/>
          <w:szCs w:val="24"/>
        </w:rPr>
      </w:pPr>
    </w:p>
    <w:p w14:paraId="5BA6253D"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DC3507B" w14:textId="77777777" w:rsidR="005C4B99" w:rsidRPr="005C4B99" w:rsidRDefault="005C4B99" w:rsidP="005C4B99">
      <w:pPr>
        <w:tabs>
          <w:tab w:val="left" w:pos="851"/>
        </w:tabs>
        <w:ind w:left="851"/>
        <w:rPr>
          <w:iCs/>
          <w:sz w:val="24"/>
          <w:szCs w:val="24"/>
        </w:rPr>
      </w:pPr>
      <w:r w:rsidRPr="005C4B99">
        <w:rPr>
          <w:iCs/>
          <w:sz w:val="24"/>
          <w:szCs w:val="24"/>
        </w:rPr>
        <w:t>Adrenokortikal insufficiens forårsaget af glukokortikoidbehandling kan, afhængigt af dosis og varighed af behandlingen, forblive til stede i mange måneder, og i nogle tilfælde over et år, efter behandlingens ophør. Under behandling med dexamethason for specifikke fysiske stresstilstande (traume, kirurgi, fødsel) kan en midlertidig øgning af dosen være nødvendig. Pga. den mulige risiko i stressfyldte situationer, bør en kortikosteroid-ID laves for patienter, der er i langvarig behandling. Selv i tilfælde af længerevarende adrenokortikal insufficiens efter seponering af behandling, kan administrationen af glukokortikoider være nødvendigt i tilfælde af fysiske stresstilstande (</w:t>
      </w:r>
      <w:r w:rsidRPr="005C4B99">
        <w:rPr>
          <w:sz w:val="24"/>
          <w:szCs w:val="24"/>
        </w:rPr>
        <w:t>f.eks. tuberkulose, tyfus</w:t>
      </w:r>
      <w:r w:rsidRPr="005C4B99">
        <w:rPr>
          <w:iCs/>
          <w:sz w:val="24"/>
          <w:szCs w:val="24"/>
        </w:rPr>
        <w:t>). Akut adrenokortikal insufficiens induceret af behandlingen kan mindskes vha. langsom dosisreduktion indtil et planlagt seponeringstidspunkt.</w:t>
      </w:r>
    </w:p>
    <w:p w14:paraId="58F35706" w14:textId="77777777" w:rsidR="005C4B99" w:rsidRPr="005C4B99" w:rsidRDefault="005C4B99" w:rsidP="005C4B99">
      <w:pPr>
        <w:tabs>
          <w:tab w:val="left" w:pos="851"/>
        </w:tabs>
        <w:ind w:left="851"/>
        <w:rPr>
          <w:sz w:val="24"/>
          <w:szCs w:val="24"/>
        </w:rPr>
      </w:pPr>
    </w:p>
    <w:p w14:paraId="0A5E60F1" w14:textId="77777777" w:rsidR="005C4B99" w:rsidRPr="005C4B99" w:rsidRDefault="005C4B99" w:rsidP="005C4B99">
      <w:pPr>
        <w:tabs>
          <w:tab w:val="left" w:pos="851"/>
        </w:tabs>
        <w:ind w:left="851"/>
        <w:rPr>
          <w:sz w:val="24"/>
          <w:szCs w:val="24"/>
          <w:u w:val="single"/>
        </w:rPr>
      </w:pPr>
      <w:r w:rsidRPr="005C4B99">
        <w:rPr>
          <w:sz w:val="24"/>
          <w:szCs w:val="24"/>
          <w:u w:val="single"/>
        </w:rPr>
        <w:t>Infektioner og vaccinationer</w:t>
      </w:r>
    </w:p>
    <w:p w14:paraId="61B9B645" w14:textId="77777777" w:rsidR="005C4B99" w:rsidRPr="005C4B99" w:rsidRDefault="005C4B99" w:rsidP="005C4B99">
      <w:pPr>
        <w:tabs>
          <w:tab w:val="left" w:pos="851"/>
        </w:tabs>
        <w:ind w:left="851"/>
        <w:rPr>
          <w:sz w:val="24"/>
          <w:szCs w:val="24"/>
        </w:rPr>
      </w:pPr>
      <w:r w:rsidRPr="005C4B99">
        <w:rPr>
          <w:sz w:val="24"/>
          <w:szCs w:val="24"/>
        </w:rPr>
        <w:t>Behandling med Dexamethasone "Zentiva" kan, på grund af immunsuppression, øge risikoen for infektioner med bakterier, vira, parasitter og svampe samt øge risikoen for opportunistiske infektioner. Symptomer på en eksisterende infektion eller en infektion, som er under udvikling, kan blive sløret og derved gøre det vanskeligere at stille en diagnose. Latente infektioner som tuberkulose eller hepatitis B kan genaktiveres.</w:t>
      </w:r>
    </w:p>
    <w:p w14:paraId="2C92622A" w14:textId="77777777" w:rsidR="005C4B99" w:rsidRPr="005C4B99" w:rsidRDefault="005C4B99" w:rsidP="005C4B99">
      <w:pPr>
        <w:tabs>
          <w:tab w:val="left" w:pos="851"/>
        </w:tabs>
        <w:ind w:left="851"/>
        <w:rPr>
          <w:sz w:val="24"/>
          <w:szCs w:val="24"/>
        </w:rPr>
      </w:pPr>
    </w:p>
    <w:p w14:paraId="06CCAAB8" w14:textId="77777777" w:rsidR="005C4B99" w:rsidRPr="005C4B99" w:rsidRDefault="005C4B99" w:rsidP="005C4B99">
      <w:pPr>
        <w:tabs>
          <w:tab w:val="left" w:pos="851"/>
        </w:tabs>
        <w:ind w:left="851"/>
        <w:rPr>
          <w:sz w:val="24"/>
          <w:szCs w:val="24"/>
        </w:rPr>
      </w:pPr>
      <w:r w:rsidRPr="005C4B99">
        <w:rPr>
          <w:sz w:val="24"/>
          <w:szCs w:val="24"/>
        </w:rPr>
        <w:t xml:space="preserve">Visse virussygdomme (skoldkopper, mæslinger) kan være alvorlige hos patienter, der behandles med glukokortikoider. Immunkompromitterede patienter og patienter, der ikke tidligere har været udsat for infektion med skoldkopper eller mæslinger, har en særlig stor </w:t>
      </w:r>
      <w:r w:rsidRPr="005C4B99">
        <w:rPr>
          <w:sz w:val="24"/>
          <w:szCs w:val="24"/>
        </w:rPr>
        <w:lastRenderedPageBreak/>
        <w:t>risiko. Hvis disse patienter kommer i kontakt med personer, der er smittet med mæslinger eller skoldkopper, mens de er i behandling med Dexamethasone "Zentiva", skal en forebyggende behandling om nødvendigt iværksættes.</w:t>
      </w:r>
    </w:p>
    <w:p w14:paraId="74BE16ED" w14:textId="77777777" w:rsidR="005C4B99" w:rsidRPr="005C4B99" w:rsidRDefault="005C4B99" w:rsidP="005C4B99">
      <w:pPr>
        <w:tabs>
          <w:tab w:val="left" w:pos="851"/>
        </w:tabs>
        <w:ind w:left="851"/>
        <w:rPr>
          <w:sz w:val="24"/>
          <w:szCs w:val="24"/>
        </w:rPr>
      </w:pPr>
    </w:p>
    <w:p w14:paraId="3B828A3E" w14:textId="77777777" w:rsidR="005C4B99" w:rsidRPr="005C4B99" w:rsidRDefault="005C4B99" w:rsidP="005C4B99">
      <w:pPr>
        <w:tabs>
          <w:tab w:val="left" w:pos="851"/>
        </w:tabs>
        <w:ind w:left="851"/>
        <w:rPr>
          <w:sz w:val="24"/>
          <w:szCs w:val="24"/>
        </w:rPr>
      </w:pPr>
      <w:r w:rsidRPr="005C4B99">
        <w:rPr>
          <w:sz w:val="24"/>
          <w:szCs w:val="24"/>
        </w:rPr>
        <w:t xml:space="preserve">Vaccinationer med inaktiverede vacciner er generelt muligt. Det skal dog bemærkes, at immunresponset og dermed vaccinen kan blive forringet, hvis der anvendes højere doser af kortikosteroider. </w:t>
      </w:r>
    </w:p>
    <w:p w14:paraId="19FE4803" w14:textId="77777777" w:rsidR="005C4B99" w:rsidRPr="005C4B99" w:rsidRDefault="005C4B99" w:rsidP="005C4B99">
      <w:pPr>
        <w:tabs>
          <w:tab w:val="left" w:pos="851"/>
        </w:tabs>
        <w:ind w:left="851"/>
        <w:rPr>
          <w:sz w:val="24"/>
          <w:szCs w:val="24"/>
        </w:rPr>
      </w:pPr>
    </w:p>
    <w:p w14:paraId="4B1D6C9D" w14:textId="77777777" w:rsidR="005C4B99" w:rsidRPr="005C4B99" w:rsidRDefault="005C4B99" w:rsidP="005C4B99">
      <w:pPr>
        <w:tabs>
          <w:tab w:val="left" w:pos="851"/>
        </w:tabs>
        <w:ind w:left="851"/>
        <w:rPr>
          <w:sz w:val="24"/>
          <w:szCs w:val="24"/>
        </w:rPr>
      </w:pPr>
      <w:r w:rsidRPr="005C4B99">
        <w:rPr>
          <w:sz w:val="24"/>
          <w:szCs w:val="24"/>
        </w:rPr>
        <w:t xml:space="preserve">Behandling med systemiske kortikosteroider bør ikke stoppes hos patienter, der i forvejen er i behandling med systemiske (orale) kortikosteroider af andre årsager (f.eks. patienter med kronisk obstruktiv lungesygdom), men ikke har behov for supplerende iltbehandling.  </w:t>
      </w:r>
    </w:p>
    <w:p w14:paraId="42DC8E7D" w14:textId="77777777" w:rsidR="005C4B99" w:rsidRPr="005C4B99" w:rsidRDefault="005C4B99" w:rsidP="005C4B99">
      <w:pPr>
        <w:tabs>
          <w:tab w:val="left" w:pos="851"/>
        </w:tabs>
        <w:ind w:left="851"/>
        <w:rPr>
          <w:sz w:val="24"/>
          <w:szCs w:val="24"/>
        </w:rPr>
      </w:pPr>
    </w:p>
    <w:p w14:paraId="225327E1" w14:textId="77777777" w:rsidR="005C4B99" w:rsidRPr="005C4B99" w:rsidRDefault="005C4B99" w:rsidP="005C4B99">
      <w:pPr>
        <w:tabs>
          <w:tab w:val="left" w:pos="851"/>
        </w:tabs>
        <w:ind w:left="851"/>
        <w:rPr>
          <w:sz w:val="24"/>
          <w:szCs w:val="24"/>
        </w:rPr>
      </w:pPr>
      <w:r w:rsidRPr="005C4B99">
        <w:rPr>
          <w:sz w:val="24"/>
          <w:szCs w:val="24"/>
        </w:rPr>
        <w:t>Behandling med Dexamethasone "Zentiva" bør kun administreres i tilfælde af de strengeste indikationer og, om nødvendigt, yderligere målrettet infektionsbehandling for følgende tilstande:</w:t>
      </w:r>
    </w:p>
    <w:p w14:paraId="526F250B" w14:textId="77777777" w:rsidR="005C4B99" w:rsidRPr="005C4B99" w:rsidRDefault="005C4B99" w:rsidP="0045684E">
      <w:pPr>
        <w:numPr>
          <w:ilvl w:val="0"/>
          <w:numId w:val="9"/>
        </w:numPr>
        <w:tabs>
          <w:tab w:val="left" w:pos="851"/>
        </w:tabs>
        <w:ind w:left="1134" w:hanging="283"/>
        <w:rPr>
          <w:sz w:val="24"/>
          <w:szCs w:val="24"/>
        </w:rPr>
      </w:pPr>
      <w:r w:rsidRPr="005C4B99">
        <w:rPr>
          <w:sz w:val="24"/>
          <w:szCs w:val="24"/>
        </w:rPr>
        <w:t>akutte virusinfektioner (hepatitis B, herpes zoster, herpes simplex, varicella, herpetisk keratitis)</w:t>
      </w:r>
    </w:p>
    <w:p w14:paraId="0CECFABB" w14:textId="77777777" w:rsidR="005C4B99" w:rsidRPr="005C4B99" w:rsidRDefault="005C4B99" w:rsidP="0045684E">
      <w:pPr>
        <w:numPr>
          <w:ilvl w:val="0"/>
          <w:numId w:val="9"/>
        </w:numPr>
        <w:tabs>
          <w:tab w:val="left" w:pos="851"/>
        </w:tabs>
        <w:ind w:left="1134" w:hanging="283"/>
        <w:rPr>
          <w:sz w:val="24"/>
          <w:szCs w:val="24"/>
        </w:rPr>
      </w:pPr>
      <w:r w:rsidRPr="005C4B99">
        <w:rPr>
          <w:sz w:val="24"/>
          <w:szCs w:val="24"/>
        </w:rPr>
        <w:t>HBsAG-positiv kronisk aktiv hepatitis</w:t>
      </w:r>
    </w:p>
    <w:p w14:paraId="7A5B8257" w14:textId="77777777" w:rsidR="005C4B99" w:rsidRPr="005C4B99" w:rsidRDefault="005C4B99" w:rsidP="0045684E">
      <w:pPr>
        <w:numPr>
          <w:ilvl w:val="0"/>
          <w:numId w:val="9"/>
        </w:numPr>
        <w:tabs>
          <w:tab w:val="left" w:pos="851"/>
        </w:tabs>
        <w:ind w:left="1134" w:hanging="283"/>
        <w:rPr>
          <w:sz w:val="24"/>
          <w:szCs w:val="24"/>
        </w:rPr>
      </w:pPr>
      <w:r w:rsidRPr="005C4B99">
        <w:rPr>
          <w:sz w:val="24"/>
          <w:szCs w:val="24"/>
        </w:rPr>
        <w:t>cirka 8 uger før til 2 uger efter vaccinationer med levende vacciner</w:t>
      </w:r>
    </w:p>
    <w:p w14:paraId="23A43C78" w14:textId="77777777" w:rsidR="005C4B99" w:rsidRPr="005C4B99" w:rsidRDefault="005C4B99" w:rsidP="0045684E">
      <w:pPr>
        <w:numPr>
          <w:ilvl w:val="0"/>
          <w:numId w:val="9"/>
        </w:numPr>
        <w:tabs>
          <w:tab w:val="left" w:pos="851"/>
        </w:tabs>
        <w:ind w:left="1134" w:hanging="283"/>
        <w:rPr>
          <w:iCs/>
          <w:sz w:val="24"/>
          <w:szCs w:val="24"/>
        </w:rPr>
      </w:pPr>
      <w:r w:rsidRPr="005C4B99">
        <w:rPr>
          <w:iCs/>
          <w:sz w:val="24"/>
          <w:szCs w:val="24"/>
        </w:rPr>
        <w:t>systemisk mykoser og parasitosis (f.eks. nematoder)</w:t>
      </w:r>
    </w:p>
    <w:p w14:paraId="6EB07A9E" w14:textId="77777777" w:rsidR="005C4B99" w:rsidRPr="005C4B99" w:rsidRDefault="005C4B99" w:rsidP="0045684E">
      <w:pPr>
        <w:numPr>
          <w:ilvl w:val="0"/>
          <w:numId w:val="9"/>
        </w:numPr>
        <w:tabs>
          <w:tab w:val="left" w:pos="851"/>
        </w:tabs>
        <w:ind w:left="1134" w:hanging="283"/>
        <w:rPr>
          <w:sz w:val="24"/>
          <w:szCs w:val="24"/>
        </w:rPr>
      </w:pPr>
      <w:r w:rsidRPr="005C4B99">
        <w:rPr>
          <w:sz w:val="24"/>
          <w:szCs w:val="24"/>
        </w:rPr>
        <w:t>hos patienter med formodet eller bekræftet infektion med trådorm (strongyloidiasis) kan glukokortikoider medføre aktivering og masseformering af disse parasitter</w:t>
      </w:r>
    </w:p>
    <w:p w14:paraId="035CF3FE" w14:textId="77777777" w:rsidR="005C4B99" w:rsidRPr="005C4B99" w:rsidRDefault="005C4B99" w:rsidP="0045684E">
      <w:pPr>
        <w:numPr>
          <w:ilvl w:val="0"/>
          <w:numId w:val="9"/>
        </w:numPr>
        <w:tabs>
          <w:tab w:val="left" w:pos="851"/>
        </w:tabs>
        <w:ind w:left="1134" w:hanging="283"/>
        <w:rPr>
          <w:sz w:val="24"/>
          <w:szCs w:val="24"/>
        </w:rPr>
      </w:pPr>
      <w:r w:rsidRPr="005C4B99">
        <w:rPr>
          <w:sz w:val="24"/>
          <w:szCs w:val="24"/>
        </w:rPr>
        <w:t>poliomyelitis</w:t>
      </w:r>
    </w:p>
    <w:p w14:paraId="2008FCAA" w14:textId="77777777" w:rsidR="005C4B99" w:rsidRPr="005C4B99" w:rsidRDefault="005C4B99" w:rsidP="0045684E">
      <w:pPr>
        <w:numPr>
          <w:ilvl w:val="0"/>
          <w:numId w:val="9"/>
        </w:numPr>
        <w:tabs>
          <w:tab w:val="left" w:pos="851"/>
        </w:tabs>
        <w:ind w:left="1134" w:hanging="283"/>
        <w:rPr>
          <w:sz w:val="24"/>
          <w:szCs w:val="24"/>
        </w:rPr>
      </w:pPr>
      <w:r w:rsidRPr="005C4B99">
        <w:rPr>
          <w:sz w:val="24"/>
          <w:szCs w:val="24"/>
        </w:rPr>
        <w:t>lymphadenitis efter BCG-vaccination</w:t>
      </w:r>
    </w:p>
    <w:p w14:paraId="13D1D1BD" w14:textId="77777777" w:rsidR="005C4B99" w:rsidRPr="005C4B99" w:rsidRDefault="005C4B99" w:rsidP="0045684E">
      <w:pPr>
        <w:numPr>
          <w:ilvl w:val="0"/>
          <w:numId w:val="9"/>
        </w:numPr>
        <w:tabs>
          <w:tab w:val="left" w:pos="851"/>
        </w:tabs>
        <w:ind w:left="1134" w:hanging="283"/>
        <w:rPr>
          <w:sz w:val="24"/>
          <w:szCs w:val="24"/>
        </w:rPr>
      </w:pPr>
      <w:r w:rsidRPr="005C4B99">
        <w:rPr>
          <w:sz w:val="24"/>
          <w:szCs w:val="24"/>
        </w:rPr>
        <w:t>akutte og kroniske bakterieinfektioner</w:t>
      </w:r>
    </w:p>
    <w:p w14:paraId="7367FA2D" w14:textId="77777777" w:rsidR="005C4B99" w:rsidRPr="005C4B99" w:rsidRDefault="005C4B99" w:rsidP="0045684E">
      <w:pPr>
        <w:numPr>
          <w:ilvl w:val="0"/>
          <w:numId w:val="9"/>
        </w:numPr>
        <w:tabs>
          <w:tab w:val="left" w:pos="851"/>
        </w:tabs>
        <w:ind w:left="1134" w:hanging="283"/>
        <w:rPr>
          <w:sz w:val="24"/>
          <w:szCs w:val="24"/>
        </w:rPr>
      </w:pPr>
      <w:r w:rsidRPr="005C4B99">
        <w:rPr>
          <w:sz w:val="24"/>
          <w:szCs w:val="24"/>
        </w:rPr>
        <w:t>brug kun til patienter, der tidligere har haft tuberkulose, hvis de er under tuberkulostatisk beskyttelse.</w:t>
      </w:r>
    </w:p>
    <w:p w14:paraId="76F58B3A" w14:textId="77777777" w:rsidR="005C4B99" w:rsidRPr="005C4B99" w:rsidRDefault="005C4B99" w:rsidP="005C4B99">
      <w:pPr>
        <w:tabs>
          <w:tab w:val="left" w:pos="851"/>
        </w:tabs>
        <w:ind w:left="851"/>
        <w:rPr>
          <w:sz w:val="24"/>
          <w:szCs w:val="24"/>
        </w:rPr>
      </w:pPr>
    </w:p>
    <w:p w14:paraId="44EB2C14" w14:textId="77777777" w:rsidR="005C4B99" w:rsidRPr="005C4B99" w:rsidRDefault="005C4B99" w:rsidP="005C4B99">
      <w:pPr>
        <w:tabs>
          <w:tab w:val="left" w:pos="851"/>
        </w:tabs>
        <w:ind w:left="851"/>
        <w:rPr>
          <w:sz w:val="24"/>
          <w:szCs w:val="24"/>
        </w:rPr>
      </w:pPr>
      <w:r w:rsidRPr="005C4B99">
        <w:rPr>
          <w:sz w:val="24"/>
          <w:szCs w:val="24"/>
        </w:rPr>
        <w:t>Behandling med Dexamethasone "Zentiva" bør kun overvejes, når det er strengt nødvendigt, og med yderligere specifik behandling i tilfælde af følgende tilstande:</w:t>
      </w:r>
    </w:p>
    <w:p w14:paraId="57F6D7D4" w14:textId="77777777" w:rsidR="005C4B99" w:rsidRPr="005C4B99" w:rsidRDefault="005C4B99" w:rsidP="0045684E">
      <w:pPr>
        <w:numPr>
          <w:ilvl w:val="0"/>
          <w:numId w:val="7"/>
        </w:numPr>
        <w:tabs>
          <w:tab w:val="left" w:pos="851"/>
        </w:tabs>
        <w:ind w:left="1134" w:hanging="283"/>
        <w:rPr>
          <w:sz w:val="24"/>
          <w:szCs w:val="24"/>
        </w:rPr>
      </w:pPr>
      <w:r w:rsidRPr="005C4B99">
        <w:rPr>
          <w:sz w:val="24"/>
          <w:szCs w:val="24"/>
        </w:rPr>
        <w:t>gastrointestinale sår</w:t>
      </w:r>
    </w:p>
    <w:p w14:paraId="33C2BB81" w14:textId="77777777" w:rsidR="005C4B99" w:rsidRPr="005C4B99" w:rsidRDefault="005C4B99" w:rsidP="0045684E">
      <w:pPr>
        <w:numPr>
          <w:ilvl w:val="0"/>
          <w:numId w:val="7"/>
        </w:numPr>
        <w:tabs>
          <w:tab w:val="left" w:pos="851"/>
        </w:tabs>
        <w:ind w:left="1134" w:hanging="283"/>
        <w:rPr>
          <w:sz w:val="24"/>
          <w:szCs w:val="24"/>
        </w:rPr>
      </w:pPr>
      <w:r w:rsidRPr="005C4B99">
        <w:rPr>
          <w:sz w:val="24"/>
          <w:szCs w:val="24"/>
        </w:rPr>
        <w:t>osteoporose</w:t>
      </w:r>
    </w:p>
    <w:p w14:paraId="50A01562" w14:textId="77777777" w:rsidR="005C4B99" w:rsidRPr="005C4B99" w:rsidRDefault="005C4B99" w:rsidP="0045684E">
      <w:pPr>
        <w:numPr>
          <w:ilvl w:val="0"/>
          <w:numId w:val="7"/>
        </w:numPr>
        <w:tabs>
          <w:tab w:val="left" w:pos="851"/>
        </w:tabs>
        <w:ind w:left="1134" w:hanging="283"/>
        <w:rPr>
          <w:sz w:val="24"/>
          <w:szCs w:val="24"/>
        </w:rPr>
      </w:pPr>
      <w:r w:rsidRPr="005C4B99">
        <w:rPr>
          <w:sz w:val="24"/>
          <w:szCs w:val="24"/>
        </w:rPr>
        <w:t xml:space="preserve">alvorlig hjerteinsufficiens </w:t>
      </w:r>
    </w:p>
    <w:p w14:paraId="2861426B" w14:textId="77777777" w:rsidR="005C4B99" w:rsidRPr="005C4B99" w:rsidRDefault="005C4B99" w:rsidP="0045684E">
      <w:pPr>
        <w:numPr>
          <w:ilvl w:val="0"/>
          <w:numId w:val="7"/>
        </w:numPr>
        <w:tabs>
          <w:tab w:val="left" w:pos="851"/>
        </w:tabs>
        <w:ind w:left="1134" w:hanging="283"/>
        <w:rPr>
          <w:sz w:val="24"/>
          <w:szCs w:val="24"/>
        </w:rPr>
      </w:pPr>
      <w:r w:rsidRPr="005C4B99">
        <w:rPr>
          <w:sz w:val="24"/>
          <w:szCs w:val="24"/>
        </w:rPr>
        <w:t>svært regulerbart forhøjet blodtryk</w:t>
      </w:r>
    </w:p>
    <w:p w14:paraId="363DD957" w14:textId="77777777" w:rsidR="005C4B99" w:rsidRPr="005C4B99" w:rsidRDefault="005C4B99" w:rsidP="0045684E">
      <w:pPr>
        <w:numPr>
          <w:ilvl w:val="0"/>
          <w:numId w:val="7"/>
        </w:numPr>
        <w:tabs>
          <w:tab w:val="left" w:pos="851"/>
        </w:tabs>
        <w:ind w:left="1134" w:hanging="283"/>
        <w:rPr>
          <w:sz w:val="24"/>
          <w:szCs w:val="24"/>
        </w:rPr>
      </w:pPr>
      <w:r w:rsidRPr="005C4B99">
        <w:rPr>
          <w:sz w:val="24"/>
          <w:szCs w:val="24"/>
        </w:rPr>
        <w:t>svær regulerbar diabetes mellitus</w:t>
      </w:r>
    </w:p>
    <w:p w14:paraId="7DC7A99B" w14:textId="77777777" w:rsidR="005C4B99" w:rsidRPr="005C4B99" w:rsidRDefault="005C4B99" w:rsidP="0045684E">
      <w:pPr>
        <w:numPr>
          <w:ilvl w:val="0"/>
          <w:numId w:val="7"/>
        </w:numPr>
        <w:tabs>
          <w:tab w:val="left" w:pos="851"/>
        </w:tabs>
        <w:ind w:left="1134" w:hanging="283"/>
        <w:rPr>
          <w:sz w:val="24"/>
          <w:szCs w:val="24"/>
        </w:rPr>
      </w:pPr>
      <w:r w:rsidRPr="005C4B99">
        <w:rPr>
          <w:sz w:val="24"/>
          <w:szCs w:val="24"/>
        </w:rPr>
        <w:t>psykiatriske tilstande (også i sygdomshistorien), herunder suicidalitet. Neurologisk eller psykiatrisk monitorering anbefales.</w:t>
      </w:r>
    </w:p>
    <w:p w14:paraId="6FC298B1" w14:textId="77777777" w:rsidR="005C4B99" w:rsidRPr="005C4B99" w:rsidRDefault="005C4B99" w:rsidP="0045684E">
      <w:pPr>
        <w:numPr>
          <w:ilvl w:val="0"/>
          <w:numId w:val="7"/>
        </w:numPr>
        <w:tabs>
          <w:tab w:val="left" w:pos="851"/>
        </w:tabs>
        <w:ind w:left="1134" w:hanging="283"/>
        <w:rPr>
          <w:sz w:val="24"/>
          <w:szCs w:val="24"/>
        </w:rPr>
      </w:pPr>
      <w:r w:rsidRPr="005C4B99">
        <w:rPr>
          <w:sz w:val="24"/>
          <w:szCs w:val="24"/>
        </w:rPr>
        <w:t>snævervinklet og åbenvinklet glaukom. Oftalmologisk monitorering og tillægsbehandling anbefales.</w:t>
      </w:r>
    </w:p>
    <w:p w14:paraId="1768A208" w14:textId="77777777" w:rsidR="005C4B99" w:rsidRPr="005C4B99" w:rsidRDefault="005C4B99" w:rsidP="0045684E">
      <w:pPr>
        <w:numPr>
          <w:ilvl w:val="0"/>
          <w:numId w:val="7"/>
        </w:numPr>
        <w:tabs>
          <w:tab w:val="left" w:pos="851"/>
        </w:tabs>
        <w:ind w:left="1134" w:hanging="283"/>
        <w:rPr>
          <w:sz w:val="24"/>
          <w:szCs w:val="24"/>
        </w:rPr>
      </w:pPr>
      <w:r w:rsidRPr="005C4B99">
        <w:rPr>
          <w:sz w:val="24"/>
          <w:szCs w:val="24"/>
        </w:rPr>
        <w:t>hornhindesår og hornhindeskader. Oftalmologisk monitorering og tillægsbehandling anbefales.</w:t>
      </w:r>
    </w:p>
    <w:p w14:paraId="241CDDC2" w14:textId="77777777" w:rsidR="005C4B99" w:rsidRPr="005C4B99" w:rsidRDefault="005C4B99" w:rsidP="005C4B99">
      <w:pPr>
        <w:tabs>
          <w:tab w:val="left" w:pos="851"/>
        </w:tabs>
        <w:ind w:left="851"/>
        <w:rPr>
          <w:sz w:val="24"/>
          <w:szCs w:val="24"/>
        </w:rPr>
      </w:pPr>
    </w:p>
    <w:p w14:paraId="02740E95" w14:textId="77777777" w:rsidR="005C4B99" w:rsidRPr="005C4B99" w:rsidRDefault="005C4B99" w:rsidP="005C4B99">
      <w:pPr>
        <w:tabs>
          <w:tab w:val="left" w:pos="851"/>
        </w:tabs>
        <w:ind w:left="851"/>
        <w:rPr>
          <w:sz w:val="24"/>
          <w:szCs w:val="24"/>
          <w:u w:val="single"/>
        </w:rPr>
      </w:pPr>
      <w:r w:rsidRPr="005C4B99">
        <w:rPr>
          <w:sz w:val="24"/>
          <w:szCs w:val="24"/>
          <w:u w:val="single"/>
        </w:rPr>
        <w:t>Fæokromocytom-krise</w:t>
      </w:r>
    </w:p>
    <w:p w14:paraId="396018F6" w14:textId="77777777" w:rsidR="005C4B99" w:rsidRPr="005C4B99" w:rsidRDefault="005C4B99" w:rsidP="005C4B99">
      <w:pPr>
        <w:tabs>
          <w:tab w:val="left" w:pos="851"/>
        </w:tabs>
        <w:ind w:left="851"/>
        <w:rPr>
          <w:sz w:val="24"/>
          <w:szCs w:val="24"/>
        </w:rPr>
      </w:pPr>
      <w:r w:rsidRPr="005C4B99">
        <w:rPr>
          <w:sz w:val="24"/>
          <w:szCs w:val="24"/>
        </w:rPr>
        <w:t>Fæokromocytom-krisen, som kan være dødelig, er blevet rapporteret efter administration af systemiske kortikosteroider. Kortikosteroider bør kun gives til patienter med formodning om eller identificeret fæokromocytom efter en passende risk-/benefit vur</w:t>
      </w:r>
      <w:r w:rsidRPr="005C4B99">
        <w:rPr>
          <w:sz w:val="24"/>
          <w:szCs w:val="24"/>
        </w:rPr>
        <w:softHyphen/>
        <w:t>dering.</w:t>
      </w:r>
    </w:p>
    <w:p w14:paraId="36AA5D00" w14:textId="77777777" w:rsidR="005C4B99" w:rsidRPr="005C4B99" w:rsidRDefault="005C4B99" w:rsidP="005C4B99">
      <w:pPr>
        <w:tabs>
          <w:tab w:val="left" w:pos="851"/>
        </w:tabs>
        <w:ind w:left="851"/>
        <w:rPr>
          <w:sz w:val="24"/>
          <w:szCs w:val="24"/>
        </w:rPr>
      </w:pPr>
    </w:p>
    <w:p w14:paraId="40BEAC5B" w14:textId="77777777" w:rsidR="005C4B99" w:rsidRPr="005C4B99" w:rsidRDefault="005C4B99" w:rsidP="005C4B99">
      <w:pPr>
        <w:tabs>
          <w:tab w:val="left" w:pos="851"/>
        </w:tabs>
        <w:ind w:left="851"/>
        <w:rPr>
          <w:sz w:val="24"/>
          <w:szCs w:val="24"/>
          <w:u w:val="single"/>
        </w:rPr>
      </w:pPr>
      <w:r w:rsidRPr="005C4B99">
        <w:rPr>
          <w:sz w:val="24"/>
          <w:szCs w:val="24"/>
          <w:u w:val="single"/>
        </w:rPr>
        <w:t>Synsforstyrrelser</w:t>
      </w:r>
    </w:p>
    <w:p w14:paraId="6DE6F35A" w14:textId="77777777" w:rsidR="005C4B99" w:rsidRPr="005C4B99" w:rsidRDefault="005C4B99" w:rsidP="005C4B99">
      <w:pPr>
        <w:tabs>
          <w:tab w:val="left" w:pos="851"/>
        </w:tabs>
        <w:ind w:left="851"/>
        <w:rPr>
          <w:sz w:val="24"/>
          <w:szCs w:val="24"/>
        </w:rPr>
      </w:pPr>
      <w:r w:rsidRPr="005C4B99">
        <w:rPr>
          <w:sz w:val="24"/>
          <w:szCs w:val="24"/>
        </w:rPr>
        <w:t xml:space="preserve">Der er rapporteret om synsforstyrrelser efter systemisk og topisk anvendelse af kortikosteroider. Hvis en patient har symptomer såsom sløret syn eller andre </w:t>
      </w:r>
      <w:r w:rsidRPr="005C4B99">
        <w:rPr>
          <w:sz w:val="24"/>
          <w:szCs w:val="24"/>
        </w:rPr>
        <w:lastRenderedPageBreak/>
        <w:t>synsforstyrrelser, bør det overvejes at henvise patienten til øjenlæge for at få klarlagt de mulige årsager. Årsagerne kan være katarakt, glaukom eller sjældne sygdomme, for eksempel central serøs korioretinopati (CSCR), der er indberettet efter anvendelse af systemiske og topiske kortikosteroider.</w:t>
      </w:r>
    </w:p>
    <w:p w14:paraId="5012AACC" w14:textId="77777777" w:rsidR="005C4B99" w:rsidRPr="005C4B99" w:rsidRDefault="005C4B99" w:rsidP="005C4B99">
      <w:pPr>
        <w:tabs>
          <w:tab w:val="left" w:pos="851"/>
        </w:tabs>
        <w:ind w:left="851"/>
        <w:rPr>
          <w:sz w:val="24"/>
          <w:szCs w:val="24"/>
        </w:rPr>
      </w:pPr>
    </w:p>
    <w:p w14:paraId="772F2B8C" w14:textId="77777777" w:rsidR="005C4B99" w:rsidRPr="005C4B99" w:rsidRDefault="005C4B99" w:rsidP="005C4B99">
      <w:pPr>
        <w:tabs>
          <w:tab w:val="left" w:pos="851"/>
        </w:tabs>
        <w:ind w:left="851"/>
        <w:rPr>
          <w:iCs/>
          <w:sz w:val="24"/>
          <w:szCs w:val="24"/>
          <w:u w:val="single"/>
        </w:rPr>
      </w:pPr>
      <w:r w:rsidRPr="005C4B99">
        <w:rPr>
          <w:iCs/>
          <w:sz w:val="24"/>
          <w:szCs w:val="24"/>
          <w:u w:val="single"/>
        </w:rPr>
        <w:t>Mave-tarm-kanalen</w:t>
      </w:r>
    </w:p>
    <w:p w14:paraId="67A69916" w14:textId="77777777" w:rsidR="005C4B99" w:rsidRPr="005C4B99" w:rsidRDefault="005C4B99" w:rsidP="005C4B99">
      <w:pPr>
        <w:tabs>
          <w:tab w:val="left" w:pos="851"/>
        </w:tabs>
        <w:ind w:left="851"/>
        <w:rPr>
          <w:sz w:val="24"/>
          <w:szCs w:val="24"/>
        </w:rPr>
      </w:pPr>
      <w:r w:rsidRPr="005C4B99">
        <w:rPr>
          <w:sz w:val="24"/>
          <w:szCs w:val="24"/>
        </w:rPr>
        <w:t>På grund af risikoen for tarmperforation må Dexamethasone "Zentiva" kun anvendes, når der er tydeligt indikation sammen med passende monitorering af patienter med:</w:t>
      </w:r>
    </w:p>
    <w:p w14:paraId="5FC3B299" w14:textId="77777777" w:rsidR="005C4B99" w:rsidRPr="005C4B99" w:rsidRDefault="005C4B99" w:rsidP="0045684E">
      <w:pPr>
        <w:numPr>
          <w:ilvl w:val="0"/>
          <w:numId w:val="10"/>
        </w:numPr>
        <w:tabs>
          <w:tab w:val="left" w:pos="851"/>
        </w:tabs>
        <w:ind w:left="1134" w:hanging="283"/>
        <w:rPr>
          <w:sz w:val="24"/>
          <w:szCs w:val="24"/>
        </w:rPr>
      </w:pPr>
      <w:r w:rsidRPr="005C4B99">
        <w:rPr>
          <w:sz w:val="24"/>
          <w:szCs w:val="24"/>
        </w:rPr>
        <w:t>svær ulcerøs colitis med risiko for perforation, som kan opstå uden peritoneal irritation.</w:t>
      </w:r>
    </w:p>
    <w:p w14:paraId="71A77F35" w14:textId="77777777" w:rsidR="005C4B99" w:rsidRPr="005C4B99" w:rsidRDefault="005C4B99" w:rsidP="0045684E">
      <w:pPr>
        <w:numPr>
          <w:ilvl w:val="0"/>
          <w:numId w:val="10"/>
        </w:numPr>
        <w:tabs>
          <w:tab w:val="left" w:pos="851"/>
        </w:tabs>
        <w:ind w:left="1134" w:hanging="283"/>
        <w:rPr>
          <w:sz w:val="24"/>
          <w:szCs w:val="24"/>
        </w:rPr>
      </w:pPr>
      <w:r w:rsidRPr="005C4B99">
        <w:rPr>
          <w:sz w:val="24"/>
          <w:szCs w:val="24"/>
        </w:rPr>
        <w:t>divertikulit;</w:t>
      </w:r>
    </w:p>
    <w:p w14:paraId="41C7F61C" w14:textId="77777777" w:rsidR="005C4B99" w:rsidRPr="005C4B99" w:rsidRDefault="005C4B99" w:rsidP="0045684E">
      <w:pPr>
        <w:numPr>
          <w:ilvl w:val="0"/>
          <w:numId w:val="10"/>
        </w:numPr>
        <w:tabs>
          <w:tab w:val="left" w:pos="851"/>
        </w:tabs>
        <w:ind w:left="1134" w:hanging="283"/>
        <w:rPr>
          <w:sz w:val="24"/>
          <w:szCs w:val="24"/>
        </w:rPr>
      </w:pPr>
      <w:r w:rsidRPr="005C4B99">
        <w:rPr>
          <w:sz w:val="24"/>
          <w:szCs w:val="24"/>
        </w:rPr>
        <w:t>entero-anastomose (umiddelbart postoperativt).</w:t>
      </w:r>
    </w:p>
    <w:p w14:paraId="2F3972B4" w14:textId="77777777" w:rsidR="005C4B99" w:rsidRPr="005C4B99" w:rsidRDefault="005C4B99" w:rsidP="005C4B99">
      <w:pPr>
        <w:tabs>
          <w:tab w:val="left" w:pos="851"/>
        </w:tabs>
        <w:ind w:left="851"/>
        <w:rPr>
          <w:sz w:val="24"/>
          <w:szCs w:val="24"/>
        </w:rPr>
      </w:pPr>
    </w:p>
    <w:p w14:paraId="49F237C2" w14:textId="77777777" w:rsidR="005C4B99" w:rsidRPr="005C4B99" w:rsidRDefault="005C4B99" w:rsidP="005C4B99">
      <w:pPr>
        <w:tabs>
          <w:tab w:val="left" w:pos="851"/>
        </w:tabs>
        <w:ind w:left="851"/>
        <w:rPr>
          <w:sz w:val="24"/>
          <w:szCs w:val="24"/>
        </w:rPr>
      </w:pPr>
      <w:r w:rsidRPr="005C4B99">
        <w:rPr>
          <w:sz w:val="24"/>
          <w:szCs w:val="24"/>
        </w:rPr>
        <w:t>Tegn på peritoneal irritation efter tarmperforation kan udeblive hos patienter, der får høje doser af glukokortikoider.</w:t>
      </w:r>
    </w:p>
    <w:p w14:paraId="6C51FB8B" w14:textId="77777777" w:rsidR="005C4B99" w:rsidRPr="005C4B99" w:rsidRDefault="005C4B99" w:rsidP="005C4B99">
      <w:pPr>
        <w:tabs>
          <w:tab w:val="left" w:pos="851"/>
        </w:tabs>
        <w:ind w:left="851"/>
        <w:rPr>
          <w:sz w:val="24"/>
          <w:szCs w:val="24"/>
        </w:rPr>
      </w:pPr>
    </w:p>
    <w:p w14:paraId="202BFD2F" w14:textId="77777777" w:rsidR="005C4B99" w:rsidRPr="005C4B99" w:rsidRDefault="005C4B99" w:rsidP="005C4B99">
      <w:pPr>
        <w:tabs>
          <w:tab w:val="left" w:pos="851"/>
        </w:tabs>
        <w:ind w:left="851"/>
        <w:rPr>
          <w:sz w:val="24"/>
          <w:szCs w:val="24"/>
          <w:u w:val="single"/>
        </w:rPr>
      </w:pPr>
      <w:r w:rsidRPr="005C4B99">
        <w:rPr>
          <w:sz w:val="24"/>
          <w:szCs w:val="24"/>
          <w:u w:val="single"/>
        </w:rPr>
        <w:t>Diabetes</w:t>
      </w:r>
    </w:p>
    <w:p w14:paraId="529CA6F3" w14:textId="77777777" w:rsidR="005C4B99" w:rsidRPr="005C4B99" w:rsidRDefault="005C4B99" w:rsidP="005C4B99">
      <w:pPr>
        <w:tabs>
          <w:tab w:val="left" w:pos="851"/>
        </w:tabs>
        <w:ind w:left="851"/>
        <w:rPr>
          <w:iCs/>
          <w:sz w:val="24"/>
          <w:szCs w:val="24"/>
        </w:rPr>
      </w:pPr>
      <w:r w:rsidRPr="005C4B99">
        <w:rPr>
          <w:iCs/>
          <w:sz w:val="24"/>
          <w:szCs w:val="24"/>
        </w:rPr>
        <w:t xml:space="preserve">Et øget behov for insulin eller orale antidiabetiske midler skal tages i betragtning når </w:t>
      </w:r>
      <w:r w:rsidRPr="005C4B99">
        <w:rPr>
          <w:sz w:val="24"/>
          <w:szCs w:val="24"/>
        </w:rPr>
        <w:t xml:space="preserve">Dexamethasone "Zentiva" </w:t>
      </w:r>
      <w:r w:rsidRPr="005C4B99">
        <w:rPr>
          <w:iCs/>
          <w:sz w:val="24"/>
          <w:szCs w:val="24"/>
        </w:rPr>
        <w:t>gives til diabetikere.</w:t>
      </w:r>
    </w:p>
    <w:p w14:paraId="5EBD9EED" w14:textId="77777777" w:rsidR="005C4B99" w:rsidRPr="005C4B99" w:rsidRDefault="005C4B99" w:rsidP="005C4B99">
      <w:pPr>
        <w:tabs>
          <w:tab w:val="left" w:pos="851"/>
        </w:tabs>
        <w:ind w:left="851"/>
        <w:rPr>
          <w:sz w:val="24"/>
          <w:szCs w:val="24"/>
        </w:rPr>
      </w:pPr>
    </w:p>
    <w:p w14:paraId="2B86E475" w14:textId="03FCAE5D" w:rsidR="005C4B99" w:rsidRPr="005C4B99" w:rsidRDefault="005C4B99" w:rsidP="005C4B99">
      <w:pPr>
        <w:tabs>
          <w:tab w:val="left" w:pos="851"/>
        </w:tabs>
        <w:ind w:left="851"/>
        <w:rPr>
          <w:sz w:val="24"/>
          <w:szCs w:val="24"/>
          <w:u w:val="single"/>
        </w:rPr>
      </w:pPr>
      <w:r w:rsidRPr="005C4B99">
        <w:rPr>
          <w:sz w:val="24"/>
          <w:szCs w:val="24"/>
          <w:u w:val="single"/>
        </w:rPr>
        <w:t>Andre tilstande</w:t>
      </w:r>
    </w:p>
    <w:p w14:paraId="70F727BB" w14:textId="77777777" w:rsidR="005C4B99" w:rsidRPr="005C4B99" w:rsidRDefault="005C4B99" w:rsidP="005C4B99">
      <w:pPr>
        <w:tabs>
          <w:tab w:val="left" w:pos="851"/>
        </w:tabs>
        <w:ind w:left="851"/>
        <w:rPr>
          <w:sz w:val="24"/>
          <w:szCs w:val="24"/>
        </w:rPr>
      </w:pPr>
      <w:r w:rsidRPr="005C4B99">
        <w:rPr>
          <w:sz w:val="24"/>
          <w:szCs w:val="24"/>
        </w:rPr>
        <w:t>Regelmæssig monitorering af blodtrykket er nødvendig under behandling med Dexamethasone "Zentiva", særligt når der administreres højere doser og hos patienter med højt blodtryk, der er vanskeligt at kontrollere.</w:t>
      </w:r>
    </w:p>
    <w:p w14:paraId="54BC18DC" w14:textId="77777777" w:rsidR="005C4B99" w:rsidRPr="005C4B99" w:rsidRDefault="005C4B99" w:rsidP="005C4B99">
      <w:pPr>
        <w:tabs>
          <w:tab w:val="left" w:pos="851"/>
        </w:tabs>
        <w:ind w:left="851"/>
        <w:rPr>
          <w:sz w:val="24"/>
          <w:szCs w:val="24"/>
        </w:rPr>
      </w:pPr>
    </w:p>
    <w:p w14:paraId="4F12875D" w14:textId="77777777" w:rsidR="005C4B99" w:rsidRPr="005C4B99" w:rsidRDefault="005C4B99" w:rsidP="005C4B99">
      <w:pPr>
        <w:tabs>
          <w:tab w:val="left" w:pos="851"/>
        </w:tabs>
        <w:ind w:left="851"/>
        <w:rPr>
          <w:sz w:val="24"/>
          <w:szCs w:val="24"/>
        </w:rPr>
      </w:pPr>
      <w:r w:rsidRPr="005C4B99">
        <w:rPr>
          <w:sz w:val="24"/>
          <w:szCs w:val="24"/>
        </w:rPr>
        <w:t>På grund af risikoen for forværring af tilstanden bør patienter med alvorlig hjerteinsufficiens monitoreres nøje.</w:t>
      </w:r>
    </w:p>
    <w:p w14:paraId="14DFD3A7" w14:textId="77777777" w:rsidR="005C4B99" w:rsidRPr="005C4B99" w:rsidRDefault="005C4B99" w:rsidP="005C4B99">
      <w:pPr>
        <w:tabs>
          <w:tab w:val="left" w:pos="851"/>
        </w:tabs>
        <w:ind w:left="851"/>
        <w:rPr>
          <w:sz w:val="24"/>
          <w:szCs w:val="24"/>
        </w:rPr>
      </w:pPr>
    </w:p>
    <w:p w14:paraId="69C7717A" w14:textId="77777777" w:rsidR="005C4B99" w:rsidRPr="005C4B99" w:rsidRDefault="005C4B99" w:rsidP="005C4B99">
      <w:pPr>
        <w:tabs>
          <w:tab w:val="left" w:pos="851"/>
        </w:tabs>
        <w:ind w:left="851"/>
        <w:rPr>
          <w:sz w:val="24"/>
          <w:szCs w:val="24"/>
        </w:rPr>
      </w:pPr>
      <w:r w:rsidRPr="005C4B99">
        <w:rPr>
          <w:sz w:val="24"/>
          <w:szCs w:val="24"/>
        </w:rPr>
        <w:t>I forbindelse med høje doser af dexamethason kan der forekomme bradykardi.</w:t>
      </w:r>
    </w:p>
    <w:p w14:paraId="23593DEC" w14:textId="77777777" w:rsidR="005C4B99" w:rsidRPr="005C4B99" w:rsidRDefault="005C4B99" w:rsidP="005C4B99">
      <w:pPr>
        <w:tabs>
          <w:tab w:val="left" w:pos="851"/>
        </w:tabs>
        <w:ind w:left="851"/>
        <w:rPr>
          <w:sz w:val="24"/>
          <w:szCs w:val="24"/>
        </w:rPr>
      </w:pPr>
    </w:p>
    <w:p w14:paraId="31A95017" w14:textId="77777777" w:rsidR="005C4B99" w:rsidRPr="005C4B99" w:rsidRDefault="005C4B99" w:rsidP="005C4B99">
      <w:pPr>
        <w:tabs>
          <w:tab w:val="left" w:pos="851"/>
        </w:tabs>
        <w:ind w:left="851"/>
        <w:rPr>
          <w:sz w:val="24"/>
          <w:szCs w:val="24"/>
        </w:rPr>
      </w:pPr>
      <w:r w:rsidRPr="005C4B99">
        <w:rPr>
          <w:sz w:val="24"/>
          <w:szCs w:val="24"/>
        </w:rPr>
        <w:t>Alvorlige anafylaktiske reaktioner kan  forekomme.</w:t>
      </w:r>
    </w:p>
    <w:p w14:paraId="47725587" w14:textId="77777777" w:rsidR="005C4B99" w:rsidRPr="005C4B99" w:rsidRDefault="005C4B99" w:rsidP="005C4B99">
      <w:pPr>
        <w:tabs>
          <w:tab w:val="left" w:pos="851"/>
        </w:tabs>
        <w:ind w:left="851"/>
        <w:rPr>
          <w:sz w:val="24"/>
          <w:szCs w:val="24"/>
        </w:rPr>
      </w:pPr>
    </w:p>
    <w:p w14:paraId="0847E75A" w14:textId="77777777" w:rsidR="005C4B99" w:rsidRPr="005C4B99" w:rsidRDefault="005C4B99" w:rsidP="005C4B99">
      <w:pPr>
        <w:tabs>
          <w:tab w:val="left" w:pos="851"/>
        </w:tabs>
        <w:ind w:left="851"/>
        <w:rPr>
          <w:sz w:val="24"/>
          <w:szCs w:val="24"/>
        </w:rPr>
      </w:pPr>
      <w:r w:rsidRPr="005C4B99">
        <w:rPr>
          <w:sz w:val="24"/>
          <w:szCs w:val="24"/>
        </w:rPr>
        <w:t>Risikoen for senelidelser, tendinitis og seneruptur øges, når fluoroquinoloner og glukokortikoider administreres samtidigt.</w:t>
      </w:r>
    </w:p>
    <w:p w14:paraId="498309DD" w14:textId="77777777" w:rsidR="005C4B99" w:rsidRPr="005C4B99" w:rsidRDefault="005C4B99" w:rsidP="005C4B99">
      <w:pPr>
        <w:tabs>
          <w:tab w:val="left" w:pos="851"/>
        </w:tabs>
        <w:ind w:left="851"/>
        <w:rPr>
          <w:sz w:val="24"/>
          <w:szCs w:val="24"/>
        </w:rPr>
      </w:pPr>
    </w:p>
    <w:p w14:paraId="431E3688" w14:textId="77777777" w:rsidR="005C4B99" w:rsidRPr="005C4B99" w:rsidRDefault="005C4B99" w:rsidP="005C4B99">
      <w:pPr>
        <w:tabs>
          <w:tab w:val="left" w:pos="851"/>
        </w:tabs>
        <w:ind w:left="851"/>
        <w:rPr>
          <w:sz w:val="24"/>
          <w:szCs w:val="24"/>
        </w:rPr>
      </w:pPr>
      <w:r w:rsidRPr="005C4B99">
        <w:rPr>
          <w:sz w:val="24"/>
          <w:szCs w:val="24"/>
        </w:rPr>
        <w:t>Eksisterende myasthenia gravis kan forværres under behandling med Dexamethasone "Zentiva".</w:t>
      </w:r>
    </w:p>
    <w:p w14:paraId="791ED1AD" w14:textId="77777777" w:rsidR="005C4B99" w:rsidRPr="005C4B99" w:rsidRDefault="005C4B99" w:rsidP="005C4B99">
      <w:pPr>
        <w:tabs>
          <w:tab w:val="left" w:pos="851"/>
        </w:tabs>
        <w:ind w:left="851"/>
        <w:rPr>
          <w:sz w:val="24"/>
          <w:szCs w:val="24"/>
        </w:rPr>
      </w:pPr>
    </w:p>
    <w:p w14:paraId="2E5EC49F" w14:textId="77777777" w:rsidR="005C4B99" w:rsidRPr="005C4B99" w:rsidRDefault="005C4B99" w:rsidP="005C4B99">
      <w:pPr>
        <w:tabs>
          <w:tab w:val="left" w:pos="851"/>
        </w:tabs>
        <w:ind w:left="851"/>
        <w:rPr>
          <w:sz w:val="24"/>
          <w:szCs w:val="24"/>
        </w:rPr>
      </w:pPr>
      <w:r w:rsidRPr="005C4B99">
        <w:rPr>
          <w:sz w:val="24"/>
          <w:szCs w:val="24"/>
        </w:rPr>
        <w:t>Under langvarig behandling er regelmæssige lægeundersøgelser (herunder oftalmologisk kontrol med tre måneders mellemrum) nødvendigt.</w:t>
      </w:r>
    </w:p>
    <w:p w14:paraId="04A9DB76" w14:textId="77777777" w:rsidR="005C4B99" w:rsidRPr="005C4B99" w:rsidRDefault="005C4B99" w:rsidP="005C4B99">
      <w:pPr>
        <w:tabs>
          <w:tab w:val="left" w:pos="851"/>
        </w:tabs>
        <w:ind w:left="851"/>
        <w:rPr>
          <w:iCs/>
          <w:sz w:val="24"/>
          <w:szCs w:val="24"/>
        </w:rPr>
      </w:pPr>
    </w:p>
    <w:p w14:paraId="0354ED3A" w14:textId="77777777" w:rsidR="005C4B99" w:rsidRPr="005C4B99" w:rsidRDefault="005C4B99" w:rsidP="005C4B99">
      <w:pPr>
        <w:tabs>
          <w:tab w:val="left" w:pos="851"/>
        </w:tabs>
        <w:ind w:left="851"/>
        <w:rPr>
          <w:sz w:val="24"/>
          <w:szCs w:val="24"/>
        </w:rPr>
      </w:pPr>
      <w:r w:rsidRPr="005C4B99">
        <w:rPr>
          <w:iCs/>
          <w:sz w:val="24"/>
          <w:szCs w:val="24"/>
        </w:rPr>
        <w:t xml:space="preserve">Ved høje doser bør </w:t>
      </w:r>
      <w:r w:rsidRPr="005C4B99">
        <w:rPr>
          <w:sz w:val="24"/>
          <w:szCs w:val="24"/>
        </w:rPr>
        <w:t>patienterne overvåges</w:t>
      </w:r>
      <w:r w:rsidRPr="005C4B99">
        <w:rPr>
          <w:iCs/>
          <w:sz w:val="24"/>
          <w:szCs w:val="24"/>
        </w:rPr>
        <w:t>, for at sikre kaliumndtaget er tilstrækkeligt og at natrium</w:t>
      </w:r>
      <w:r w:rsidRPr="005C4B99">
        <w:rPr>
          <w:iCs/>
          <w:sz w:val="24"/>
          <w:szCs w:val="24"/>
        </w:rPr>
        <w:softHyphen/>
        <w:t>indtaget indskrænkes. Niveauer af kalium bør også overvåges.</w:t>
      </w:r>
    </w:p>
    <w:p w14:paraId="6C1D75C0" w14:textId="77777777" w:rsidR="005C4B99" w:rsidRPr="005C4B99" w:rsidRDefault="005C4B99" w:rsidP="005C4B99">
      <w:pPr>
        <w:tabs>
          <w:tab w:val="left" w:pos="851"/>
        </w:tabs>
        <w:ind w:left="851"/>
        <w:rPr>
          <w:sz w:val="24"/>
          <w:szCs w:val="24"/>
        </w:rPr>
      </w:pPr>
    </w:p>
    <w:p w14:paraId="413B42FC" w14:textId="77777777" w:rsidR="005C4B99" w:rsidRPr="005C4B99" w:rsidRDefault="005C4B99" w:rsidP="005C4B99">
      <w:pPr>
        <w:tabs>
          <w:tab w:val="left" w:pos="851"/>
        </w:tabs>
        <w:ind w:left="851"/>
        <w:rPr>
          <w:iCs/>
          <w:sz w:val="24"/>
          <w:szCs w:val="24"/>
        </w:rPr>
      </w:pPr>
      <w:r w:rsidRPr="005C4B99">
        <w:rPr>
          <w:iCs/>
          <w:sz w:val="24"/>
          <w:szCs w:val="24"/>
        </w:rPr>
        <w:t>En negativ indflydelse på calciummetabolismen er forventelig, så afhængigt af dosis og behandlingens varighed anbefales osteoporoseprofylakse. Dette gælder særligt for individer med samtidigt forekommende risikofaktorer, som familiær disposition, fremskreden alder, utilstrækkeligt indtag af protein og calcium, efter overgangsalder, storrygning, overdrevet alkoholindtag så vel om utilstrækkelig motion. Forebyggelse består af tilstrækkeligt indtag af calcium og D-vitamin, samt fysisk aktivitet. Yderligere medicinsk behandling bør overvejes i tilfælde af allerede eksisterende osteoporose.</w:t>
      </w:r>
    </w:p>
    <w:p w14:paraId="19858E3F" w14:textId="77777777" w:rsidR="005C4B99" w:rsidRPr="005C4B99" w:rsidRDefault="005C4B99" w:rsidP="005C4B99">
      <w:pPr>
        <w:tabs>
          <w:tab w:val="left" w:pos="851"/>
        </w:tabs>
        <w:ind w:left="851"/>
        <w:rPr>
          <w:iCs/>
          <w:sz w:val="24"/>
          <w:szCs w:val="24"/>
        </w:rPr>
      </w:pPr>
    </w:p>
    <w:p w14:paraId="33AED26A" w14:textId="77777777" w:rsidR="005C4B99" w:rsidRPr="005C4B99" w:rsidRDefault="005C4B99" w:rsidP="005C4B99">
      <w:pPr>
        <w:tabs>
          <w:tab w:val="left" w:pos="851"/>
        </w:tabs>
        <w:ind w:left="851"/>
        <w:rPr>
          <w:iCs/>
          <w:sz w:val="24"/>
          <w:szCs w:val="24"/>
        </w:rPr>
      </w:pPr>
      <w:r w:rsidRPr="005C4B99">
        <w:rPr>
          <w:iCs/>
          <w:sz w:val="24"/>
          <w:szCs w:val="24"/>
        </w:rPr>
        <w:lastRenderedPageBreak/>
        <w:t>Ved ophør eller seponering af langvarig administration af glukokortikoider, skal følgende risici overvejes: Forværring eller tilbagefald af den underliggende sygdom, akut binyrebarkinsufficiens, kortison abstinenssyndrom.</w:t>
      </w:r>
    </w:p>
    <w:p w14:paraId="54CB09F1" w14:textId="77777777" w:rsidR="005C4B99" w:rsidRPr="005C4B99" w:rsidRDefault="005C4B99" w:rsidP="005C4B99">
      <w:pPr>
        <w:tabs>
          <w:tab w:val="left" w:pos="851"/>
        </w:tabs>
        <w:ind w:left="851"/>
        <w:rPr>
          <w:sz w:val="24"/>
          <w:szCs w:val="24"/>
        </w:rPr>
      </w:pPr>
    </w:p>
    <w:p w14:paraId="0C494FCD" w14:textId="77777777" w:rsidR="005C4B99" w:rsidRPr="005C4B99" w:rsidRDefault="005C4B99" w:rsidP="005C4B99">
      <w:pPr>
        <w:tabs>
          <w:tab w:val="left" w:pos="851"/>
        </w:tabs>
        <w:ind w:left="851"/>
        <w:rPr>
          <w:sz w:val="24"/>
          <w:szCs w:val="24"/>
        </w:rPr>
      </w:pPr>
      <w:r w:rsidRPr="005C4B99">
        <w:rPr>
          <w:sz w:val="24"/>
          <w:szCs w:val="24"/>
        </w:rPr>
        <w:t>Efter markedsføringen er der rapporteret om tumorlysesyndrom (TLS) hos patienter med hæmatologiske maligniteter efter brug af dexamethason alene eller i kombination med andre kemoterapeutiske midler. Patienter med høj risiko for TLS, såsom patienter med høj proliferationsrate, høj tumorbyrde og høj følsomhed over for cytotoksiske midler, skal monitoreres tæt, og der bør tages passende forholdsregler.</w:t>
      </w:r>
    </w:p>
    <w:p w14:paraId="73871880" w14:textId="77777777" w:rsidR="005C4B99" w:rsidRPr="005C4B99" w:rsidRDefault="005C4B99" w:rsidP="005C4B99">
      <w:pPr>
        <w:tabs>
          <w:tab w:val="left" w:pos="851"/>
        </w:tabs>
        <w:ind w:left="851"/>
        <w:rPr>
          <w:sz w:val="24"/>
          <w:szCs w:val="24"/>
        </w:rPr>
      </w:pPr>
    </w:p>
    <w:p w14:paraId="20C3ED13" w14:textId="77777777" w:rsidR="005C4B99" w:rsidRPr="005C4B99" w:rsidRDefault="005C4B99" w:rsidP="005C4B99">
      <w:pPr>
        <w:tabs>
          <w:tab w:val="left" w:pos="851"/>
        </w:tabs>
        <w:ind w:left="851"/>
        <w:rPr>
          <w:sz w:val="24"/>
          <w:szCs w:val="24"/>
          <w:u w:val="single"/>
        </w:rPr>
      </w:pPr>
      <w:r w:rsidRPr="005C4B99">
        <w:rPr>
          <w:sz w:val="24"/>
          <w:szCs w:val="24"/>
          <w:u w:val="single"/>
        </w:rPr>
        <w:t>Pædiatrisk population</w:t>
      </w:r>
    </w:p>
    <w:p w14:paraId="176AAE13" w14:textId="77777777" w:rsidR="005C4B99" w:rsidRPr="005C4B99" w:rsidRDefault="005C4B99" w:rsidP="005C4B99">
      <w:pPr>
        <w:tabs>
          <w:tab w:val="left" w:pos="851"/>
        </w:tabs>
        <w:ind w:left="851"/>
        <w:rPr>
          <w:sz w:val="24"/>
          <w:szCs w:val="24"/>
          <w:u w:val="single"/>
        </w:rPr>
      </w:pPr>
    </w:p>
    <w:p w14:paraId="72A4BCE8" w14:textId="77777777" w:rsidR="005C4B99" w:rsidRPr="005C4B99" w:rsidRDefault="005C4B99" w:rsidP="005C4B99">
      <w:pPr>
        <w:tabs>
          <w:tab w:val="left" w:pos="851"/>
        </w:tabs>
        <w:ind w:left="851"/>
        <w:rPr>
          <w:i/>
          <w:iCs/>
          <w:sz w:val="24"/>
          <w:szCs w:val="24"/>
        </w:rPr>
      </w:pPr>
      <w:r w:rsidRPr="005C4B99">
        <w:rPr>
          <w:i/>
          <w:iCs/>
          <w:sz w:val="24"/>
          <w:szCs w:val="24"/>
        </w:rPr>
        <w:t>Præmature nyfødte</w:t>
      </w:r>
    </w:p>
    <w:p w14:paraId="34EFFE5A" w14:textId="120902F7" w:rsidR="005C4B99" w:rsidRPr="005C4B99" w:rsidRDefault="005C4B99" w:rsidP="005C4B99">
      <w:pPr>
        <w:tabs>
          <w:tab w:val="left" w:pos="851"/>
        </w:tabs>
        <w:ind w:left="851"/>
        <w:rPr>
          <w:sz w:val="24"/>
          <w:szCs w:val="24"/>
        </w:rPr>
      </w:pPr>
      <w:r w:rsidRPr="005C4B99">
        <w:rPr>
          <w:sz w:val="24"/>
          <w:szCs w:val="24"/>
        </w:rPr>
        <w:t xml:space="preserve">Tilgængelige data tyder på langvarige neuroudviklingsmæssige bivirkninger efter tidlig behandling (&lt; 96 timer efter fødslen) af præmature spædbørn med kronisk lungesygdom med en initialdosis på 0,25 mg/kg 2 gange </w:t>
      </w:r>
      <w:r w:rsidR="009E3637">
        <w:rPr>
          <w:sz w:val="24"/>
          <w:szCs w:val="24"/>
        </w:rPr>
        <w:t>daglig</w:t>
      </w:r>
      <w:r w:rsidRPr="005C4B99">
        <w:rPr>
          <w:sz w:val="24"/>
          <w:szCs w:val="24"/>
        </w:rPr>
        <w:t>.</w:t>
      </w:r>
    </w:p>
    <w:p w14:paraId="75FD9616" w14:textId="77777777" w:rsidR="005C4B99" w:rsidRPr="005C4B99" w:rsidRDefault="005C4B99" w:rsidP="005C4B99">
      <w:pPr>
        <w:tabs>
          <w:tab w:val="left" w:pos="851"/>
        </w:tabs>
        <w:ind w:left="851"/>
        <w:rPr>
          <w:sz w:val="24"/>
          <w:szCs w:val="24"/>
        </w:rPr>
      </w:pPr>
    </w:p>
    <w:p w14:paraId="1C73D091" w14:textId="77777777" w:rsidR="005C4B99" w:rsidRPr="005C4B99" w:rsidRDefault="005C4B99" w:rsidP="005C4B99">
      <w:pPr>
        <w:tabs>
          <w:tab w:val="left" w:pos="851"/>
        </w:tabs>
        <w:ind w:left="851"/>
        <w:rPr>
          <w:sz w:val="24"/>
          <w:szCs w:val="24"/>
        </w:rPr>
      </w:pPr>
      <w:r w:rsidRPr="005C4B99">
        <w:rPr>
          <w:sz w:val="24"/>
          <w:szCs w:val="24"/>
        </w:rPr>
        <w:t>I børns vækstfase skal benefit/risk forholdet ved behandling med Dexamethasone "Zentiva" vurderes nøje.</w:t>
      </w:r>
    </w:p>
    <w:p w14:paraId="221506D8" w14:textId="77777777" w:rsidR="005C4B99" w:rsidRPr="005C4B99" w:rsidRDefault="005C4B99" w:rsidP="005C4B99">
      <w:pPr>
        <w:tabs>
          <w:tab w:val="left" w:pos="851"/>
        </w:tabs>
        <w:ind w:left="851"/>
        <w:rPr>
          <w:sz w:val="24"/>
          <w:szCs w:val="24"/>
        </w:rPr>
      </w:pPr>
      <w:r w:rsidRPr="005C4B99">
        <w:rPr>
          <w:sz w:val="24"/>
          <w:szCs w:val="24"/>
        </w:rPr>
        <w:t>Behandlingen bør være tidsbegrænset eller skiftes til anden behandling ved langtidsbehandling.</w:t>
      </w:r>
    </w:p>
    <w:p w14:paraId="1BB460D7" w14:textId="77777777" w:rsidR="005C4B99" w:rsidRPr="005C4B99" w:rsidRDefault="005C4B99" w:rsidP="005C4B99">
      <w:pPr>
        <w:tabs>
          <w:tab w:val="left" w:pos="851"/>
        </w:tabs>
        <w:ind w:left="851"/>
        <w:rPr>
          <w:sz w:val="24"/>
          <w:szCs w:val="24"/>
        </w:rPr>
      </w:pPr>
    </w:p>
    <w:p w14:paraId="71F3DFCF" w14:textId="77777777" w:rsidR="005C4B99" w:rsidRPr="005C4B99" w:rsidRDefault="005C4B99" w:rsidP="005C4B99">
      <w:pPr>
        <w:tabs>
          <w:tab w:val="left" w:pos="851"/>
        </w:tabs>
        <w:ind w:left="851"/>
        <w:rPr>
          <w:sz w:val="24"/>
          <w:szCs w:val="24"/>
          <w:u w:val="single"/>
        </w:rPr>
      </w:pPr>
      <w:r w:rsidRPr="005C4B99">
        <w:rPr>
          <w:sz w:val="24"/>
          <w:szCs w:val="24"/>
          <w:u w:val="single"/>
        </w:rPr>
        <w:t>Ældre</w:t>
      </w:r>
    </w:p>
    <w:p w14:paraId="33DE01E2" w14:textId="77777777" w:rsidR="005C4B99" w:rsidRPr="005C4B99" w:rsidRDefault="005C4B99" w:rsidP="005C4B99">
      <w:pPr>
        <w:tabs>
          <w:tab w:val="left" w:pos="851"/>
        </w:tabs>
        <w:ind w:left="851"/>
        <w:rPr>
          <w:sz w:val="24"/>
          <w:szCs w:val="24"/>
        </w:rPr>
      </w:pPr>
      <w:r w:rsidRPr="005C4B99">
        <w:rPr>
          <w:sz w:val="24"/>
          <w:szCs w:val="24"/>
        </w:rPr>
        <w:t>Da ældre patienter har øget risiko for at få osteoporose, skal benefit/risk forholdet ved behandling med Dexamethasone "Zentiva" vurderes nøje.</w:t>
      </w:r>
    </w:p>
    <w:p w14:paraId="66FB1457" w14:textId="77777777" w:rsidR="005C4B99" w:rsidRPr="005C4B99" w:rsidRDefault="005C4B99" w:rsidP="005C4B99">
      <w:pPr>
        <w:tabs>
          <w:tab w:val="left" w:pos="851"/>
        </w:tabs>
        <w:ind w:left="851"/>
        <w:rPr>
          <w:sz w:val="24"/>
          <w:szCs w:val="24"/>
        </w:rPr>
      </w:pPr>
    </w:p>
    <w:p w14:paraId="49483442" w14:textId="77777777" w:rsidR="005C4B99" w:rsidRPr="005C4B99" w:rsidRDefault="005C4B99" w:rsidP="005C4B99">
      <w:pPr>
        <w:tabs>
          <w:tab w:val="left" w:pos="851"/>
        </w:tabs>
        <w:ind w:left="851"/>
        <w:rPr>
          <w:sz w:val="24"/>
          <w:szCs w:val="24"/>
          <w:u w:val="single"/>
        </w:rPr>
      </w:pPr>
      <w:r w:rsidRPr="005C4B99">
        <w:rPr>
          <w:sz w:val="24"/>
          <w:szCs w:val="24"/>
          <w:u w:val="single"/>
        </w:rPr>
        <w:t>Hjælpestoffer med kendt effekt</w:t>
      </w:r>
    </w:p>
    <w:p w14:paraId="72099BF8" w14:textId="77777777" w:rsidR="005C4B99" w:rsidRPr="005C4B99" w:rsidRDefault="005C4B99" w:rsidP="005C4B99">
      <w:pPr>
        <w:tabs>
          <w:tab w:val="left" w:pos="851"/>
        </w:tabs>
        <w:ind w:left="851"/>
        <w:rPr>
          <w:sz w:val="24"/>
          <w:szCs w:val="24"/>
        </w:rPr>
      </w:pPr>
      <w:r w:rsidRPr="005C4B99">
        <w:rPr>
          <w:sz w:val="24"/>
          <w:szCs w:val="24"/>
        </w:rPr>
        <w:t>Dette lægemiddel indeholder lactose. Bør ikke anvendes af patienter med hereditær galactoseintolerance, total lactasemangel eller glucose-galactosemalabsorption.</w:t>
      </w:r>
    </w:p>
    <w:p w14:paraId="75B16AAF" w14:textId="3E609921" w:rsidR="005C4B99" w:rsidRPr="005C4B99" w:rsidRDefault="005C4B99" w:rsidP="005C4B99">
      <w:pPr>
        <w:tabs>
          <w:tab w:val="left" w:pos="851"/>
        </w:tabs>
        <w:ind w:left="851"/>
        <w:rPr>
          <w:sz w:val="24"/>
          <w:szCs w:val="24"/>
        </w:rPr>
      </w:pPr>
      <w:r w:rsidRPr="005C4B99">
        <w:rPr>
          <w:sz w:val="24"/>
          <w:szCs w:val="24"/>
        </w:rPr>
        <w:t>Dette lægemiddel indeholder natrium. Dette lægemiddel indeholder mindre end 1 mmol (23 mg) natrium pr. tablet, dvs. de</w:t>
      </w:r>
      <w:r w:rsidR="009D307E">
        <w:rPr>
          <w:sz w:val="24"/>
          <w:szCs w:val="24"/>
        </w:rPr>
        <w:t>t</w:t>
      </w:r>
      <w:r w:rsidRPr="005C4B99">
        <w:rPr>
          <w:sz w:val="24"/>
          <w:szCs w:val="24"/>
        </w:rPr>
        <w:t xml:space="preserve"> er i det væsentlige natriumfri</w:t>
      </w:r>
      <w:r w:rsidR="009D307E">
        <w:rPr>
          <w:sz w:val="24"/>
          <w:szCs w:val="24"/>
        </w:rPr>
        <w:t>t</w:t>
      </w:r>
      <w:r w:rsidRPr="005C4B99">
        <w:rPr>
          <w:sz w:val="24"/>
          <w:szCs w:val="24"/>
        </w:rPr>
        <w:t>.</w:t>
      </w:r>
    </w:p>
    <w:p w14:paraId="6FDE2088" w14:textId="77777777" w:rsidR="009260DE" w:rsidRPr="00C84483" w:rsidRDefault="009260DE" w:rsidP="009260DE">
      <w:pPr>
        <w:tabs>
          <w:tab w:val="left" w:pos="851"/>
        </w:tabs>
        <w:ind w:left="851"/>
        <w:rPr>
          <w:sz w:val="24"/>
          <w:szCs w:val="24"/>
        </w:rPr>
      </w:pPr>
    </w:p>
    <w:p w14:paraId="3792F060"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A4A1B68" w14:textId="77777777" w:rsidR="009E3637" w:rsidRDefault="009E3637" w:rsidP="009E3637">
      <w:pPr>
        <w:tabs>
          <w:tab w:val="left" w:pos="851"/>
        </w:tabs>
        <w:ind w:left="851"/>
        <w:rPr>
          <w:sz w:val="24"/>
          <w:szCs w:val="24"/>
          <w:u w:val="single"/>
        </w:rPr>
      </w:pPr>
    </w:p>
    <w:p w14:paraId="6F9457D8" w14:textId="4A1FA001" w:rsidR="009E3637" w:rsidRPr="009E3637" w:rsidRDefault="009E3637" w:rsidP="009E3637">
      <w:pPr>
        <w:tabs>
          <w:tab w:val="left" w:pos="851"/>
        </w:tabs>
        <w:ind w:left="851"/>
        <w:rPr>
          <w:sz w:val="24"/>
          <w:szCs w:val="24"/>
        </w:rPr>
      </w:pPr>
      <w:r w:rsidRPr="009E3637">
        <w:rPr>
          <w:sz w:val="24"/>
          <w:szCs w:val="24"/>
          <w:u w:val="single"/>
        </w:rPr>
        <w:t>Østrogener (f.eks. præventionsmidler)</w:t>
      </w:r>
    </w:p>
    <w:p w14:paraId="28FAE717" w14:textId="77777777" w:rsidR="009E3637" w:rsidRPr="009E3637" w:rsidRDefault="009E3637" w:rsidP="009E3637">
      <w:pPr>
        <w:tabs>
          <w:tab w:val="left" w:pos="851"/>
        </w:tabs>
        <w:ind w:left="851"/>
        <w:rPr>
          <w:sz w:val="24"/>
          <w:szCs w:val="24"/>
        </w:rPr>
      </w:pPr>
      <w:r w:rsidRPr="009E3637">
        <w:rPr>
          <w:sz w:val="24"/>
          <w:szCs w:val="24"/>
        </w:rPr>
        <w:t>Østrogener kan forlænge glukokortikoiders halveringstid. Den kliniske virkning af glukokortikoider er derfor forstærket.</w:t>
      </w:r>
    </w:p>
    <w:p w14:paraId="3C802D4E" w14:textId="77777777" w:rsidR="009E3637" w:rsidRPr="009E3637" w:rsidRDefault="009E3637" w:rsidP="009E3637">
      <w:pPr>
        <w:tabs>
          <w:tab w:val="left" w:pos="851"/>
        </w:tabs>
        <w:ind w:left="851"/>
        <w:rPr>
          <w:sz w:val="24"/>
          <w:szCs w:val="24"/>
        </w:rPr>
      </w:pPr>
    </w:p>
    <w:p w14:paraId="1C56DBE9" w14:textId="77777777" w:rsidR="009E3637" w:rsidRPr="009E3637" w:rsidRDefault="009E3637" w:rsidP="009E3637">
      <w:pPr>
        <w:tabs>
          <w:tab w:val="left" w:pos="851"/>
        </w:tabs>
        <w:ind w:left="851"/>
        <w:rPr>
          <w:sz w:val="24"/>
          <w:szCs w:val="24"/>
          <w:u w:val="single"/>
        </w:rPr>
      </w:pPr>
      <w:r w:rsidRPr="009E3637">
        <w:rPr>
          <w:sz w:val="24"/>
          <w:szCs w:val="24"/>
          <w:u w:val="single"/>
        </w:rPr>
        <w:t>Antacida</w:t>
      </w:r>
    </w:p>
    <w:p w14:paraId="4B3F3390" w14:textId="77777777" w:rsidR="009E3637" w:rsidRPr="009E3637" w:rsidRDefault="009E3637" w:rsidP="009E3637">
      <w:pPr>
        <w:tabs>
          <w:tab w:val="left" w:pos="851"/>
        </w:tabs>
        <w:ind w:left="851"/>
        <w:rPr>
          <w:sz w:val="24"/>
          <w:szCs w:val="24"/>
        </w:rPr>
      </w:pPr>
      <w:r w:rsidRPr="009E3637">
        <w:rPr>
          <w:sz w:val="24"/>
          <w:szCs w:val="24"/>
        </w:rPr>
        <w:t>Samtidig anvendelse af magnesiumhydroxid og aluminiumhydroxid kan mindske absorptionen af glukokortikoider og medføre nedsat virkning af Dexamethasone "Zentiva". De to lægemidler skal derfor tages med mindst 2 timers mellemrum.</w:t>
      </w:r>
    </w:p>
    <w:p w14:paraId="52AA04D0" w14:textId="77777777" w:rsidR="009E3637" w:rsidRPr="009E3637" w:rsidRDefault="009E3637" w:rsidP="009E3637">
      <w:pPr>
        <w:tabs>
          <w:tab w:val="left" w:pos="851"/>
        </w:tabs>
        <w:ind w:left="851"/>
        <w:rPr>
          <w:sz w:val="24"/>
          <w:szCs w:val="24"/>
        </w:rPr>
      </w:pPr>
    </w:p>
    <w:p w14:paraId="5F876FCF" w14:textId="77777777" w:rsidR="009E3637" w:rsidRPr="009E3637" w:rsidRDefault="009E3637" w:rsidP="009E3637">
      <w:pPr>
        <w:tabs>
          <w:tab w:val="left" w:pos="851"/>
        </w:tabs>
        <w:ind w:left="851"/>
        <w:rPr>
          <w:sz w:val="24"/>
          <w:szCs w:val="24"/>
          <w:u w:val="single"/>
        </w:rPr>
      </w:pPr>
      <w:r w:rsidRPr="009E3637">
        <w:rPr>
          <w:sz w:val="24"/>
          <w:szCs w:val="24"/>
          <w:u w:val="single"/>
        </w:rPr>
        <w:t>CYP3A4-inducerende lægemidler (rifampicin, phenytoin, carbamazepin, barbiturater og primidon)</w:t>
      </w:r>
    </w:p>
    <w:p w14:paraId="69D946A4" w14:textId="77777777" w:rsidR="009E3637" w:rsidRPr="009E3637" w:rsidRDefault="009E3637" w:rsidP="009E3637">
      <w:pPr>
        <w:tabs>
          <w:tab w:val="left" w:pos="851"/>
        </w:tabs>
        <w:ind w:left="851"/>
        <w:rPr>
          <w:sz w:val="24"/>
          <w:szCs w:val="24"/>
        </w:rPr>
      </w:pPr>
      <w:r w:rsidRPr="009E3637">
        <w:rPr>
          <w:sz w:val="24"/>
          <w:szCs w:val="24"/>
        </w:rPr>
        <w:t>Effekten af kortikosteroider kan blive reduceret.</w:t>
      </w:r>
    </w:p>
    <w:p w14:paraId="4F77F7BD" w14:textId="77777777" w:rsidR="009E3637" w:rsidRPr="009E3637" w:rsidRDefault="009E3637" w:rsidP="009E3637">
      <w:pPr>
        <w:tabs>
          <w:tab w:val="left" w:pos="851"/>
        </w:tabs>
        <w:ind w:left="851"/>
        <w:rPr>
          <w:sz w:val="24"/>
          <w:szCs w:val="24"/>
        </w:rPr>
      </w:pPr>
    </w:p>
    <w:p w14:paraId="4867F8A8" w14:textId="77777777" w:rsidR="009E3637" w:rsidRPr="009E3637" w:rsidRDefault="009E3637" w:rsidP="009E3637">
      <w:pPr>
        <w:tabs>
          <w:tab w:val="left" w:pos="851"/>
        </w:tabs>
        <w:ind w:left="851"/>
        <w:rPr>
          <w:sz w:val="24"/>
          <w:szCs w:val="24"/>
          <w:u w:val="single"/>
          <w:lang w:val="it-IT"/>
        </w:rPr>
      </w:pPr>
      <w:r w:rsidRPr="009E3637">
        <w:rPr>
          <w:sz w:val="24"/>
          <w:szCs w:val="24"/>
          <w:u w:val="single"/>
          <w:lang w:val="it-IT"/>
        </w:rPr>
        <w:t>CYP3A-hæmmere</w:t>
      </w:r>
      <w:r w:rsidRPr="009E3637">
        <w:rPr>
          <w:sz w:val="24"/>
          <w:szCs w:val="24"/>
          <w:lang w:val="it-IT"/>
        </w:rPr>
        <w:t xml:space="preserve"> </w:t>
      </w:r>
      <w:r w:rsidRPr="009E3637">
        <w:rPr>
          <w:sz w:val="24"/>
          <w:szCs w:val="24"/>
          <w:u w:val="single"/>
          <w:lang w:val="it-IT"/>
        </w:rPr>
        <w:t>(inklusive ketoconazol, itraconazol, ritonavir og cobicistat)</w:t>
      </w:r>
    </w:p>
    <w:p w14:paraId="57BB2D8E" w14:textId="77777777" w:rsidR="009E3637" w:rsidRPr="009E3637" w:rsidRDefault="009E3637" w:rsidP="009E3637">
      <w:pPr>
        <w:tabs>
          <w:tab w:val="left" w:pos="851"/>
        </w:tabs>
        <w:ind w:left="851"/>
        <w:rPr>
          <w:sz w:val="24"/>
          <w:szCs w:val="24"/>
        </w:rPr>
      </w:pPr>
      <w:r w:rsidRPr="009E3637">
        <w:rPr>
          <w:sz w:val="24"/>
          <w:szCs w:val="24"/>
        </w:rPr>
        <w:t xml:space="preserve">Under samtidig behandling med CYP3A-hæmmere, herunder præparater med cobicistat, kan der forventes en øget risiko for systemiske bivirkninger. Sådanne kombinationer bør undgås, undtagen i tilfælde hvor fordelen ved behandlingen opvejer den øgede risiko for </w:t>
      </w:r>
      <w:r w:rsidRPr="009E3637">
        <w:rPr>
          <w:sz w:val="24"/>
          <w:szCs w:val="24"/>
        </w:rPr>
        <w:lastRenderedPageBreak/>
        <w:t>systemiske bivirkninger af kortikosteroider. Hvis dette er tilfældet, skal patienter monitoreres for virkningerne af systemiske kortikosteroider.</w:t>
      </w:r>
    </w:p>
    <w:p w14:paraId="42CF8956" w14:textId="77777777" w:rsidR="009E3637" w:rsidRPr="009E3637" w:rsidRDefault="009E3637" w:rsidP="009E3637">
      <w:pPr>
        <w:tabs>
          <w:tab w:val="left" w:pos="851"/>
        </w:tabs>
        <w:ind w:left="851"/>
        <w:rPr>
          <w:sz w:val="24"/>
          <w:szCs w:val="24"/>
        </w:rPr>
      </w:pPr>
    </w:p>
    <w:p w14:paraId="2ED47F89" w14:textId="77777777" w:rsidR="009E3637" w:rsidRPr="009E3637" w:rsidRDefault="009E3637" w:rsidP="009E3637">
      <w:pPr>
        <w:tabs>
          <w:tab w:val="left" w:pos="851"/>
        </w:tabs>
        <w:ind w:left="851"/>
        <w:rPr>
          <w:sz w:val="24"/>
          <w:szCs w:val="24"/>
          <w:u w:val="single"/>
        </w:rPr>
      </w:pPr>
      <w:r w:rsidRPr="009E3637">
        <w:rPr>
          <w:sz w:val="24"/>
          <w:szCs w:val="24"/>
          <w:u w:val="single"/>
        </w:rPr>
        <w:t>Efedrin</w:t>
      </w:r>
    </w:p>
    <w:p w14:paraId="292D75B3" w14:textId="77777777" w:rsidR="009E3637" w:rsidRPr="009E3637" w:rsidRDefault="009E3637" w:rsidP="009E3637">
      <w:pPr>
        <w:tabs>
          <w:tab w:val="left" w:pos="851"/>
        </w:tabs>
        <w:ind w:left="851"/>
        <w:rPr>
          <w:sz w:val="24"/>
          <w:szCs w:val="24"/>
        </w:rPr>
      </w:pPr>
      <w:r w:rsidRPr="009E3637">
        <w:rPr>
          <w:sz w:val="24"/>
          <w:szCs w:val="24"/>
        </w:rPr>
        <w:t>Efedrin kan fremskynde glukokortikoidernes metabolisme og dermed mindske deres virkning.</w:t>
      </w:r>
    </w:p>
    <w:p w14:paraId="50092014" w14:textId="77777777" w:rsidR="009E3637" w:rsidRPr="009E3637" w:rsidRDefault="009E3637" w:rsidP="009E3637">
      <w:pPr>
        <w:tabs>
          <w:tab w:val="left" w:pos="851"/>
        </w:tabs>
        <w:ind w:left="851"/>
        <w:rPr>
          <w:sz w:val="24"/>
          <w:szCs w:val="24"/>
        </w:rPr>
      </w:pPr>
    </w:p>
    <w:p w14:paraId="0920871F" w14:textId="77777777" w:rsidR="009E3637" w:rsidRPr="009E3637" w:rsidRDefault="009E3637" w:rsidP="009E3637">
      <w:pPr>
        <w:tabs>
          <w:tab w:val="left" w:pos="851"/>
        </w:tabs>
        <w:ind w:left="851"/>
        <w:rPr>
          <w:sz w:val="24"/>
          <w:szCs w:val="24"/>
          <w:u w:val="single"/>
        </w:rPr>
      </w:pPr>
      <w:r w:rsidRPr="009E3637">
        <w:rPr>
          <w:sz w:val="24"/>
          <w:szCs w:val="24"/>
          <w:u w:val="single"/>
        </w:rPr>
        <w:t>Hjerteglykosider</w:t>
      </w:r>
    </w:p>
    <w:p w14:paraId="3FEC5A4C" w14:textId="77777777" w:rsidR="009E3637" w:rsidRPr="009E3637" w:rsidRDefault="009E3637" w:rsidP="009E3637">
      <w:pPr>
        <w:tabs>
          <w:tab w:val="left" w:pos="851"/>
        </w:tabs>
        <w:ind w:left="851"/>
        <w:rPr>
          <w:sz w:val="24"/>
          <w:szCs w:val="24"/>
        </w:rPr>
      </w:pPr>
      <w:r w:rsidRPr="009E3637">
        <w:rPr>
          <w:sz w:val="24"/>
          <w:szCs w:val="24"/>
        </w:rPr>
        <w:t>Glykosid-effekten kan blive forstærket på grund af den kaliummangel.</w:t>
      </w:r>
    </w:p>
    <w:p w14:paraId="6950EBA0" w14:textId="77777777" w:rsidR="009E3637" w:rsidRPr="009E3637" w:rsidRDefault="009E3637" w:rsidP="009E3637">
      <w:pPr>
        <w:tabs>
          <w:tab w:val="left" w:pos="851"/>
        </w:tabs>
        <w:ind w:left="851"/>
        <w:rPr>
          <w:sz w:val="24"/>
          <w:szCs w:val="24"/>
        </w:rPr>
      </w:pPr>
    </w:p>
    <w:p w14:paraId="606C470B" w14:textId="77777777" w:rsidR="009E3637" w:rsidRPr="009E3637" w:rsidRDefault="009E3637" w:rsidP="009E3637">
      <w:pPr>
        <w:tabs>
          <w:tab w:val="left" w:pos="851"/>
        </w:tabs>
        <w:ind w:left="851"/>
        <w:rPr>
          <w:sz w:val="24"/>
          <w:szCs w:val="24"/>
          <w:u w:val="single"/>
        </w:rPr>
      </w:pPr>
      <w:r w:rsidRPr="009E3637">
        <w:rPr>
          <w:sz w:val="24"/>
          <w:szCs w:val="24"/>
          <w:u w:val="single"/>
        </w:rPr>
        <w:t>Saluretika/laksativer</w:t>
      </w:r>
    </w:p>
    <w:p w14:paraId="34EE5CBE" w14:textId="77777777" w:rsidR="009E3637" w:rsidRPr="009E3637" w:rsidRDefault="009E3637" w:rsidP="009E3637">
      <w:pPr>
        <w:tabs>
          <w:tab w:val="left" w:pos="851"/>
        </w:tabs>
        <w:ind w:left="851"/>
        <w:rPr>
          <w:sz w:val="24"/>
          <w:szCs w:val="24"/>
        </w:rPr>
      </w:pPr>
      <w:r w:rsidRPr="009E3637">
        <w:rPr>
          <w:sz w:val="24"/>
          <w:szCs w:val="24"/>
        </w:rPr>
        <w:t>Udskillelsen af kalium kan øges.</w:t>
      </w:r>
    </w:p>
    <w:p w14:paraId="3768C682" w14:textId="77777777" w:rsidR="009E3637" w:rsidRPr="009E3637" w:rsidRDefault="009E3637" w:rsidP="009E3637">
      <w:pPr>
        <w:tabs>
          <w:tab w:val="left" w:pos="851"/>
        </w:tabs>
        <w:ind w:left="851"/>
        <w:rPr>
          <w:sz w:val="24"/>
          <w:szCs w:val="24"/>
        </w:rPr>
      </w:pPr>
    </w:p>
    <w:p w14:paraId="499428C4" w14:textId="77777777" w:rsidR="009E3637" w:rsidRPr="009E3637" w:rsidRDefault="009E3637" w:rsidP="009E3637">
      <w:pPr>
        <w:tabs>
          <w:tab w:val="left" w:pos="851"/>
        </w:tabs>
        <w:ind w:left="851"/>
        <w:rPr>
          <w:sz w:val="24"/>
          <w:szCs w:val="24"/>
          <w:u w:val="single"/>
        </w:rPr>
      </w:pPr>
      <w:r w:rsidRPr="009E3637">
        <w:rPr>
          <w:sz w:val="24"/>
          <w:szCs w:val="24"/>
          <w:u w:val="single"/>
        </w:rPr>
        <w:t>Antidiabetika</w:t>
      </w:r>
    </w:p>
    <w:p w14:paraId="53ECC23D" w14:textId="77777777" w:rsidR="009E3637" w:rsidRPr="009E3637" w:rsidRDefault="009E3637" w:rsidP="009E3637">
      <w:pPr>
        <w:tabs>
          <w:tab w:val="left" w:pos="851"/>
        </w:tabs>
        <w:ind w:left="851"/>
        <w:rPr>
          <w:sz w:val="24"/>
          <w:szCs w:val="24"/>
        </w:rPr>
      </w:pPr>
      <w:r w:rsidRPr="009E3637">
        <w:rPr>
          <w:sz w:val="24"/>
          <w:szCs w:val="24"/>
        </w:rPr>
        <w:t>Blodsukkersænkende effekt kan nedsættes.</w:t>
      </w:r>
    </w:p>
    <w:p w14:paraId="3CE49299" w14:textId="77777777" w:rsidR="009E3637" w:rsidRPr="009E3637" w:rsidRDefault="009E3637" w:rsidP="009E3637">
      <w:pPr>
        <w:tabs>
          <w:tab w:val="left" w:pos="851"/>
        </w:tabs>
        <w:ind w:left="851"/>
        <w:rPr>
          <w:sz w:val="24"/>
          <w:szCs w:val="24"/>
          <w:u w:val="single"/>
        </w:rPr>
      </w:pPr>
    </w:p>
    <w:p w14:paraId="27D8DBC3" w14:textId="77777777" w:rsidR="009E3637" w:rsidRPr="009E3637" w:rsidRDefault="009E3637" w:rsidP="009E3637">
      <w:pPr>
        <w:tabs>
          <w:tab w:val="left" w:pos="851"/>
        </w:tabs>
        <w:ind w:left="851"/>
        <w:rPr>
          <w:sz w:val="24"/>
          <w:szCs w:val="24"/>
          <w:u w:val="single"/>
        </w:rPr>
      </w:pPr>
      <w:r w:rsidRPr="009E3637">
        <w:rPr>
          <w:sz w:val="24"/>
          <w:szCs w:val="24"/>
          <w:u w:val="single"/>
        </w:rPr>
        <w:t>Coumarinderivater</w:t>
      </w:r>
    </w:p>
    <w:p w14:paraId="45739C0F" w14:textId="77777777" w:rsidR="009E3637" w:rsidRPr="009E3637" w:rsidRDefault="009E3637" w:rsidP="009E3637">
      <w:pPr>
        <w:tabs>
          <w:tab w:val="left" w:pos="851"/>
        </w:tabs>
        <w:ind w:left="851"/>
        <w:rPr>
          <w:sz w:val="24"/>
          <w:szCs w:val="24"/>
        </w:rPr>
      </w:pPr>
      <w:r w:rsidRPr="009E3637">
        <w:rPr>
          <w:sz w:val="24"/>
          <w:szCs w:val="24"/>
        </w:rPr>
        <w:t>Virkningen af coumarin-antikoagulantia kan være svækket eller øget. Dosisjustering er nødvendig ved samtidig administration.</w:t>
      </w:r>
    </w:p>
    <w:p w14:paraId="7F36CB94" w14:textId="77777777" w:rsidR="009E3637" w:rsidRPr="009E3637" w:rsidRDefault="009E3637" w:rsidP="009E3637">
      <w:pPr>
        <w:tabs>
          <w:tab w:val="left" w:pos="851"/>
        </w:tabs>
        <w:ind w:left="851"/>
        <w:rPr>
          <w:sz w:val="24"/>
          <w:szCs w:val="24"/>
        </w:rPr>
      </w:pPr>
    </w:p>
    <w:p w14:paraId="742CEEB0" w14:textId="77777777" w:rsidR="009E3637" w:rsidRPr="009E3637" w:rsidRDefault="009E3637" w:rsidP="009E3637">
      <w:pPr>
        <w:tabs>
          <w:tab w:val="left" w:pos="851"/>
        </w:tabs>
        <w:ind w:left="851"/>
        <w:rPr>
          <w:sz w:val="24"/>
          <w:szCs w:val="24"/>
          <w:u w:val="single"/>
        </w:rPr>
      </w:pPr>
      <w:r w:rsidRPr="009E3637">
        <w:rPr>
          <w:sz w:val="24"/>
          <w:szCs w:val="24"/>
          <w:u w:val="single"/>
        </w:rPr>
        <w:t>Non-steroide anti-inflammatoriske midler (NSAID’er)/antireumatika (f.eks. salicylater og indometacin)</w:t>
      </w:r>
    </w:p>
    <w:p w14:paraId="7ACDD4F0" w14:textId="77777777" w:rsidR="009E3637" w:rsidRPr="009E3637" w:rsidRDefault="009E3637" w:rsidP="009E3637">
      <w:pPr>
        <w:tabs>
          <w:tab w:val="left" w:pos="851"/>
        </w:tabs>
        <w:ind w:left="851"/>
        <w:rPr>
          <w:sz w:val="24"/>
          <w:szCs w:val="24"/>
        </w:rPr>
      </w:pPr>
      <w:r w:rsidRPr="009E3637">
        <w:rPr>
          <w:sz w:val="24"/>
          <w:szCs w:val="24"/>
        </w:rPr>
        <w:t>Øget risiko for mave-tarm-ulceration og blødning.</w:t>
      </w:r>
    </w:p>
    <w:p w14:paraId="456EF6E5" w14:textId="77777777" w:rsidR="009E3637" w:rsidRPr="009E3637" w:rsidRDefault="009E3637" w:rsidP="009E3637">
      <w:pPr>
        <w:tabs>
          <w:tab w:val="left" w:pos="851"/>
        </w:tabs>
        <w:ind w:left="851"/>
        <w:rPr>
          <w:sz w:val="24"/>
          <w:szCs w:val="24"/>
        </w:rPr>
      </w:pPr>
    </w:p>
    <w:p w14:paraId="4D0284D5" w14:textId="77777777" w:rsidR="009E3637" w:rsidRPr="009E3637" w:rsidRDefault="009E3637" w:rsidP="009E3637">
      <w:pPr>
        <w:tabs>
          <w:tab w:val="left" w:pos="851"/>
        </w:tabs>
        <w:ind w:left="851"/>
        <w:rPr>
          <w:sz w:val="24"/>
          <w:szCs w:val="24"/>
          <w:u w:val="single"/>
        </w:rPr>
      </w:pPr>
      <w:r w:rsidRPr="009E3637">
        <w:rPr>
          <w:sz w:val="24"/>
          <w:szCs w:val="24"/>
          <w:u w:val="single"/>
        </w:rPr>
        <w:t>Ikke-depolariserende muskelrelaksantia (rocuronium, vecuronium)</w:t>
      </w:r>
    </w:p>
    <w:p w14:paraId="74AED0D1" w14:textId="77777777" w:rsidR="009E3637" w:rsidRPr="009E3637" w:rsidRDefault="009E3637" w:rsidP="009E3637">
      <w:pPr>
        <w:tabs>
          <w:tab w:val="left" w:pos="851"/>
        </w:tabs>
        <w:ind w:left="851"/>
        <w:rPr>
          <w:sz w:val="24"/>
          <w:szCs w:val="24"/>
        </w:rPr>
      </w:pPr>
      <w:r w:rsidRPr="009E3637">
        <w:rPr>
          <w:sz w:val="24"/>
          <w:szCs w:val="24"/>
        </w:rPr>
        <w:t>Muskelrelaksering kan være forlænget.</w:t>
      </w:r>
    </w:p>
    <w:p w14:paraId="718DE246" w14:textId="77777777" w:rsidR="009E3637" w:rsidRPr="009E3637" w:rsidRDefault="009E3637" w:rsidP="009E3637">
      <w:pPr>
        <w:tabs>
          <w:tab w:val="left" w:pos="851"/>
        </w:tabs>
        <w:ind w:left="851"/>
        <w:rPr>
          <w:sz w:val="24"/>
          <w:szCs w:val="24"/>
        </w:rPr>
      </w:pPr>
    </w:p>
    <w:p w14:paraId="6B2E9D79" w14:textId="77777777" w:rsidR="009E3637" w:rsidRPr="009E3637" w:rsidRDefault="009E3637" w:rsidP="009E3637">
      <w:pPr>
        <w:tabs>
          <w:tab w:val="left" w:pos="851"/>
        </w:tabs>
        <w:ind w:left="851"/>
        <w:rPr>
          <w:sz w:val="24"/>
          <w:szCs w:val="24"/>
          <w:u w:val="single"/>
        </w:rPr>
      </w:pPr>
      <w:r w:rsidRPr="009E3637">
        <w:rPr>
          <w:sz w:val="24"/>
          <w:szCs w:val="24"/>
          <w:u w:val="single"/>
        </w:rPr>
        <w:t>Atropin, andre antikolinergika:</w:t>
      </w:r>
    </w:p>
    <w:p w14:paraId="765C2982" w14:textId="77777777" w:rsidR="009E3637" w:rsidRPr="009E3637" w:rsidRDefault="009E3637" w:rsidP="009E3637">
      <w:pPr>
        <w:tabs>
          <w:tab w:val="left" w:pos="851"/>
        </w:tabs>
        <w:ind w:left="851"/>
        <w:rPr>
          <w:sz w:val="24"/>
          <w:szCs w:val="24"/>
        </w:rPr>
      </w:pPr>
      <w:r w:rsidRPr="009E3637">
        <w:rPr>
          <w:sz w:val="24"/>
          <w:szCs w:val="24"/>
        </w:rPr>
        <w:t>Yderligere intraokulære trykstigninger er mulige ved samtidig brug.</w:t>
      </w:r>
    </w:p>
    <w:p w14:paraId="48B1587C" w14:textId="77777777" w:rsidR="009E3637" w:rsidRPr="009E3637" w:rsidRDefault="009E3637" w:rsidP="009E3637">
      <w:pPr>
        <w:tabs>
          <w:tab w:val="left" w:pos="851"/>
        </w:tabs>
        <w:ind w:left="851"/>
        <w:rPr>
          <w:sz w:val="24"/>
          <w:szCs w:val="24"/>
        </w:rPr>
      </w:pPr>
    </w:p>
    <w:p w14:paraId="569C7B6A" w14:textId="77777777" w:rsidR="009E3637" w:rsidRPr="009E3637" w:rsidRDefault="009E3637" w:rsidP="009E3637">
      <w:pPr>
        <w:tabs>
          <w:tab w:val="left" w:pos="851"/>
        </w:tabs>
        <w:ind w:left="851"/>
        <w:rPr>
          <w:sz w:val="24"/>
          <w:szCs w:val="24"/>
          <w:u w:val="single"/>
        </w:rPr>
      </w:pPr>
      <w:r w:rsidRPr="009E3637">
        <w:rPr>
          <w:sz w:val="24"/>
          <w:szCs w:val="24"/>
          <w:u w:val="single"/>
        </w:rPr>
        <w:t>Praziquantel</w:t>
      </w:r>
    </w:p>
    <w:p w14:paraId="4C3780B3" w14:textId="77777777" w:rsidR="009E3637" w:rsidRPr="009E3637" w:rsidRDefault="009E3637" w:rsidP="009E3637">
      <w:pPr>
        <w:tabs>
          <w:tab w:val="left" w:pos="851"/>
        </w:tabs>
        <w:ind w:left="851"/>
        <w:rPr>
          <w:sz w:val="24"/>
          <w:szCs w:val="24"/>
        </w:rPr>
      </w:pPr>
      <w:r w:rsidRPr="009E3637">
        <w:rPr>
          <w:sz w:val="24"/>
          <w:szCs w:val="24"/>
        </w:rPr>
        <w:t>Behandling med glukokortikoider kan medføre fald i koncentrationen af praziquantel i blodet.</w:t>
      </w:r>
    </w:p>
    <w:p w14:paraId="08514226" w14:textId="77777777" w:rsidR="009E3637" w:rsidRPr="009E3637" w:rsidRDefault="009E3637" w:rsidP="009E3637">
      <w:pPr>
        <w:tabs>
          <w:tab w:val="left" w:pos="851"/>
        </w:tabs>
        <w:ind w:left="851"/>
        <w:rPr>
          <w:sz w:val="24"/>
          <w:szCs w:val="24"/>
        </w:rPr>
      </w:pPr>
    </w:p>
    <w:p w14:paraId="30636D98" w14:textId="77777777" w:rsidR="009E3637" w:rsidRPr="009E3637" w:rsidRDefault="009E3637" w:rsidP="009E3637">
      <w:pPr>
        <w:tabs>
          <w:tab w:val="left" w:pos="851"/>
        </w:tabs>
        <w:ind w:left="851"/>
        <w:rPr>
          <w:sz w:val="24"/>
          <w:szCs w:val="24"/>
          <w:u w:val="single"/>
        </w:rPr>
      </w:pPr>
      <w:r w:rsidRPr="009E3637">
        <w:rPr>
          <w:sz w:val="24"/>
          <w:szCs w:val="24"/>
          <w:u w:val="single"/>
        </w:rPr>
        <w:t>Chloroquin, hydroxychloroquin, mefloquin</w:t>
      </w:r>
    </w:p>
    <w:p w14:paraId="71702620" w14:textId="77777777" w:rsidR="009E3637" w:rsidRPr="009E3637" w:rsidRDefault="009E3637" w:rsidP="009E3637">
      <w:pPr>
        <w:tabs>
          <w:tab w:val="left" w:pos="851"/>
        </w:tabs>
        <w:ind w:left="851"/>
        <w:rPr>
          <w:sz w:val="24"/>
          <w:szCs w:val="24"/>
        </w:rPr>
      </w:pPr>
      <w:r w:rsidRPr="009E3637">
        <w:rPr>
          <w:sz w:val="24"/>
          <w:szCs w:val="24"/>
        </w:rPr>
        <w:t>Der er forhøjet risiko for myopati og kardiomyopati.</w:t>
      </w:r>
    </w:p>
    <w:p w14:paraId="76738585" w14:textId="77777777" w:rsidR="009E3637" w:rsidRPr="009E3637" w:rsidRDefault="009E3637" w:rsidP="009E3637">
      <w:pPr>
        <w:tabs>
          <w:tab w:val="left" w:pos="851"/>
        </w:tabs>
        <w:ind w:left="851"/>
        <w:rPr>
          <w:sz w:val="24"/>
          <w:szCs w:val="24"/>
        </w:rPr>
      </w:pPr>
    </w:p>
    <w:p w14:paraId="48D62EBC" w14:textId="77777777" w:rsidR="009E3637" w:rsidRPr="009E3637" w:rsidRDefault="009E3637" w:rsidP="009E3637">
      <w:pPr>
        <w:tabs>
          <w:tab w:val="left" w:pos="851"/>
        </w:tabs>
        <w:ind w:left="851"/>
        <w:rPr>
          <w:sz w:val="24"/>
          <w:szCs w:val="24"/>
          <w:u w:val="single"/>
        </w:rPr>
      </w:pPr>
      <w:r w:rsidRPr="009E3637">
        <w:rPr>
          <w:sz w:val="24"/>
          <w:szCs w:val="24"/>
          <w:u w:val="single"/>
        </w:rPr>
        <w:t>Somatropin</w:t>
      </w:r>
    </w:p>
    <w:p w14:paraId="5BCBC008" w14:textId="77777777" w:rsidR="009E3637" w:rsidRPr="009E3637" w:rsidRDefault="009E3637" w:rsidP="009E3637">
      <w:pPr>
        <w:tabs>
          <w:tab w:val="left" w:pos="851"/>
        </w:tabs>
        <w:ind w:left="851"/>
        <w:rPr>
          <w:sz w:val="24"/>
          <w:szCs w:val="24"/>
        </w:rPr>
      </w:pPr>
      <w:r w:rsidRPr="009E3637">
        <w:rPr>
          <w:sz w:val="24"/>
          <w:szCs w:val="24"/>
        </w:rPr>
        <w:t>Somatropins virkning kan være nedsat ved langtidsbehandling.</w:t>
      </w:r>
    </w:p>
    <w:p w14:paraId="3292D5AA" w14:textId="77777777" w:rsidR="009E3637" w:rsidRPr="009E3637" w:rsidRDefault="009E3637" w:rsidP="009E3637">
      <w:pPr>
        <w:tabs>
          <w:tab w:val="left" w:pos="851"/>
        </w:tabs>
        <w:ind w:left="851"/>
        <w:rPr>
          <w:sz w:val="24"/>
          <w:szCs w:val="24"/>
        </w:rPr>
      </w:pPr>
    </w:p>
    <w:p w14:paraId="461B9DAB" w14:textId="77777777" w:rsidR="009E3637" w:rsidRPr="009E3637" w:rsidRDefault="009E3637" w:rsidP="009E3637">
      <w:pPr>
        <w:tabs>
          <w:tab w:val="left" w:pos="851"/>
        </w:tabs>
        <w:ind w:left="851"/>
        <w:rPr>
          <w:sz w:val="24"/>
          <w:szCs w:val="24"/>
          <w:u w:val="single"/>
        </w:rPr>
      </w:pPr>
      <w:r w:rsidRPr="009E3637">
        <w:rPr>
          <w:sz w:val="24"/>
          <w:szCs w:val="24"/>
          <w:u w:val="single"/>
        </w:rPr>
        <w:t>Protirelin</w:t>
      </w:r>
    </w:p>
    <w:p w14:paraId="2C7C8AD4" w14:textId="77777777" w:rsidR="009E3637" w:rsidRPr="009E3637" w:rsidRDefault="009E3637" w:rsidP="009E3637">
      <w:pPr>
        <w:tabs>
          <w:tab w:val="left" w:pos="851"/>
        </w:tabs>
        <w:ind w:left="851"/>
        <w:rPr>
          <w:sz w:val="24"/>
          <w:szCs w:val="24"/>
        </w:rPr>
      </w:pPr>
      <w:r w:rsidRPr="009E3637">
        <w:rPr>
          <w:sz w:val="24"/>
          <w:szCs w:val="24"/>
        </w:rPr>
        <w:t>Reduceret stigning i TSH kan bemærkes ved administration af protirelin.</w:t>
      </w:r>
    </w:p>
    <w:p w14:paraId="40E6BB76" w14:textId="77777777" w:rsidR="009E3637" w:rsidRPr="009E3637" w:rsidRDefault="009E3637" w:rsidP="009E3637">
      <w:pPr>
        <w:tabs>
          <w:tab w:val="left" w:pos="851"/>
        </w:tabs>
        <w:ind w:left="851"/>
        <w:rPr>
          <w:sz w:val="24"/>
          <w:szCs w:val="24"/>
        </w:rPr>
      </w:pPr>
    </w:p>
    <w:p w14:paraId="6EB26C8A" w14:textId="77777777" w:rsidR="009E3637" w:rsidRPr="009E3637" w:rsidRDefault="009E3637" w:rsidP="009E3637">
      <w:pPr>
        <w:tabs>
          <w:tab w:val="left" w:pos="851"/>
        </w:tabs>
        <w:ind w:left="851"/>
        <w:rPr>
          <w:sz w:val="24"/>
          <w:szCs w:val="24"/>
          <w:u w:val="single"/>
        </w:rPr>
      </w:pPr>
      <w:r w:rsidRPr="009E3637">
        <w:rPr>
          <w:sz w:val="24"/>
          <w:szCs w:val="24"/>
          <w:u w:val="single"/>
        </w:rPr>
        <w:t>Immunsupprimerende stoffer</w:t>
      </w:r>
    </w:p>
    <w:p w14:paraId="4DFADFB2" w14:textId="77777777" w:rsidR="009E3637" w:rsidRPr="009E3637" w:rsidRDefault="009E3637" w:rsidP="009E3637">
      <w:pPr>
        <w:tabs>
          <w:tab w:val="left" w:pos="851"/>
        </w:tabs>
        <w:ind w:left="851"/>
        <w:rPr>
          <w:sz w:val="24"/>
          <w:szCs w:val="24"/>
        </w:rPr>
      </w:pPr>
      <w:r w:rsidRPr="009E3637">
        <w:rPr>
          <w:sz w:val="24"/>
          <w:szCs w:val="24"/>
        </w:rPr>
        <w:t>Øget modtagelighed over for infektioner og mulig forværring eller manifestation af latente infektioner. Derudover for ciclosporin: Blodniveauet af ciclosporin er forhøjet: der er en øget risiko for cerebrale anfald.</w:t>
      </w:r>
    </w:p>
    <w:p w14:paraId="2C64895B" w14:textId="77777777" w:rsidR="009E3637" w:rsidRPr="009E3637" w:rsidRDefault="009E3637" w:rsidP="009E3637">
      <w:pPr>
        <w:tabs>
          <w:tab w:val="left" w:pos="851"/>
        </w:tabs>
        <w:ind w:left="851"/>
        <w:rPr>
          <w:sz w:val="24"/>
          <w:szCs w:val="24"/>
        </w:rPr>
      </w:pPr>
    </w:p>
    <w:p w14:paraId="27F62BCC" w14:textId="77777777" w:rsidR="009E3637" w:rsidRPr="009E3637" w:rsidRDefault="009E3637" w:rsidP="009E3637">
      <w:pPr>
        <w:tabs>
          <w:tab w:val="left" w:pos="851"/>
        </w:tabs>
        <w:ind w:left="851"/>
        <w:rPr>
          <w:sz w:val="24"/>
          <w:szCs w:val="24"/>
          <w:u w:val="single"/>
        </w:rPr>
      </w:pPr>
      <w:r w:rsidRPr="009E3637">
        <w:rPr>
          <w:sz w:val="24"/>
          <w:szCs w:val="24"/>
          <w:u w:val="single"/>
        </w:rPr>
        <w:t>Fluoroquinoloner</w:t>
      </w:r>
    </w:p>
    <w:p w14:paraId="29FAEC61" w14:textId="77777777" w:rsidR="009E3637" w:rsidRPr="009E3637" w:rsidRDefault="009E3637" w:rsidP="009E3637">
      <w:pPr>
        <w:tabs>
          <w:tab w:val="left" w:pos="851"/>
        </w:tabs>
        <w:ind w:left="851"/>
        <w:rPr>
          <w:sz w:val="24"/>
          <w:szCs w:val="24"/>
        </w:rPr>
      </w:pPr>
      <w:r w:rsidRPr="009E3637">
        <w:rPr>
          <w:sz w:val="24"/>
          <w:szCs w:val="24"/>
        </w:rPr>
        <w:t>Fluoroquinoloner kan øge risikoen for senelidelser.</w:t>
      </w:r>
    </w:p>
    <w:p w14:paraId="1A4B12B7" w14:textId="77777777" w:rsidR="009E3637" w:rsidRPr="009E3637" w:rsidRDefault="009E3637" w:rsidP="009E3637">
      <w:pPr>
        <w:tabs>
          <w:tab w:val="left" w:pos="851"/>
        </w:tabs>
        <w:ind w:left="851"/>
        <w:rPr>
          <w:sz w:val="24"/>
          <w:szCs w:val="24"/>
        </w:rPr>
      </w:pPr>
    </w:p>
    <w:p w14:paraId="4D19C947" w14:textId="39BB7A07" w:rsidR="009E3637" w:rsidRPr="009E3637" w:rsidRDefault="009E3637" w:rsidP="009E3637">
      <w:pPr>
        <w:tabs>
          <w:tab w:val="left" w:pos="851"/>
        </w:tabs>
        <w:ind w:left="851"/>
        <w:rPr>
          <w:i/>
          <w:iCs/>
          <w:sz w:val="24"/>
          <w:szCs w:val="24"/>
        </w:rPr>
      </w:pPr>
      <w:r w:rsidRPr="009E3637">
        <w:rPr>
          <w:i/>
          <w:iCs/>
          <w:sz w:val="24"/>
          <w:szCs w:val="24"/>
        </w:rPr>
        <w:lastRenderedPageBreak/>
        <w:t>Virkning på undersøgelsesmetoder</w:t>
      </w:r>
    </w:p>
    <w:p w14:paraId="714B779D" w14:textId="77777777" w:rsidR="009E3637" w:rsidRPr="009E3637" w:rsidRDefault="009E3637" w:rsidP="009E3637">
      <w:pPr>
        <w:tabs>
          <w:tab w:val="left" w:pos="851"/>
        </w:tabs>
        <w:ind w:left="851"/>
        <w:rPr>
          <w:sz w:val="24"/>
          <w:szCs w:val="24"/>
        </w:rPr>
      </w:pPr>
      <w:r w:rsidRPr="009E3637">
        <w:rPr>
          <w:sz w:val="24"/>
          <w:szCs w:val="24"/>
        </w:rPr>
        <w:t>Hudreaktioner i allergitest kan blive undertrykt.</w:t>
      </w:r>
    </w:p>
    <w:p w14:paraId="2C94B961" w14:textId="77777777" w:rsidR="009260DE" w:rsidRPr="00C84483" w:rsidRDefault="009260DE" w:rsidP="009260DE">
      <w:pPr>
        <w:tabs>
          <w:tab w:val="left" w:pos="851"/>
        </w:tabs>
        <w:ind w:left="851"/>
        <w:rPr>
          <w:sz w:val="24"/>
          <w:szCs w:val="24"/>
        </w:rPr>
      </w:pPr>
    </w:p>
    <w:p w14:paraId="60987EE6"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7DF7B60A" w14:textId="77777777" w:rsidR="003B38A9" w:rsidRPr="003B38A9" w:rsidRDefault="003B38A9" w:rsidP="003B38A9">
      <w:pPr>
        <w:tabs>
          <w:tab w:val="left" w:pos="851"/>
        </w:tabs>
        <w:ind w:left="851"/>
        <w:rPr>
          <w:sz w:val="24"/>
          <w:szCs w:val="24"/>
        </w:rPr>
      </w:pPr>
    </w:p>
    <w:p w14:paraId="230F8962" w14:textId="77777777" w:rsidR="003B38A9" w:rsidRPr="003B38A9" w:rsidRDefault="003B38A9" w:rsidP="003B38A9">
      <w:pPr>
        <w:tabs>
          <w:tab w:val="left" w:pos="851"/>
        </w:tabs>
        <w:ind w:left="851"/>
        <w:rPr>
          <w:sz w:val="24"/>
          <w:szCs w:val="24"/>
          <w:u w:val="single"/>
        </w:rPr>
      </w:pPr>
      <w:r w:rsidRPr="003B38A9">
        <w:rPr>
          <w:sz w:val="24"/>
          <w:szCs w:val="24"/>
          <w:u w:val="single"/>
        </w:rPr>
        <w:t>Graviditet</w:t>
      </w:r>
    </w:p>
    <w:p w14:paraId="26162FDF" w14:textId="77777777" w:rsidR="003B38A9" w:rsidRPr="003B38A9" w:rsidRDefault="003B38A9" w:rsidP="003B38A9">
      <w:pPr>
        <w:tabs>
          <w:tab w:val="left" w:pos="851"/>
        </w:tabs>
        <w:ind w:left="851"/>
        <w:rPr>
          <w:sz w:val="24"/>
          <w:szCs w:val="24"/>
        </w:rPr>
      </w:pPr>
      <w:r w:rsidRPr="003B38A9">
        <w:rPr>
          <w:sz w:val="24"/>
          <w:szCs w:val="24"/>
        </w:rPr>
        <w:t>Dexamethason passerer placenta. Under graviditeten, specielt i første trimester, må dexamethason kun administreres efter omhyggelig vurdering af benefit-risk.</w:t>
      </w:r>
    </w:p>
    <w:p w14:paraId="3C374B7D" w14:textId="77777777" w:rsidR="003B38A9" w:rsidRPr="003B38A9" w:rsidRDefault="003B38A9" w:rsidP="003B38A9">
      <w:pPr>
        <w:tabs>
          <w:tab w:val="left" w:pos="851"/>
        </w:tabs>
        <w:ind w:left="851"/>
        <w:rPr>
          <w:sz w:val="24"/>
          <w:szCs w:val="24"/>
        </w:rPr>
      </w:pPr>
    </w:p>
    <w:p w14:paraId="3057CD35" w14:textId="77777777" w:rsidR="003B38A9" w:rsidRPr="003B38A9" w:rsidRDefault="003B38A9" w:rsidP="003B38A9">
      <w:pPr>
        <w:tabs>
          <w:tab w:val="left" w:pos="851"/>
        </w:tabs>
        <w:ind w:left="851"/>
        <w:rPr>
          <w:sz w:val="24"/>
          <w:szCs w:val="24"/>
        </w:rPr>
      </w:pPr>
      <w:r w:rsidRPr="003B38A9">
        <w:rPr>
          <w:sz w:val="24"/>
          <w:szCs w:val="24"/>
        </w:rPr>
        <w:t>Ved langvarig behandling med glukokortikoider under graviditeten kan vækstforstyrrelser hos fostret ikke udelukkes.</w:t>
      </w:r>
    </w:p>
    <w:p w14:paraId="33683914" w14:textId="77777777" w:rsidR="003B38A9" w:rsidRPr="003B38A9" w:rsidRDefault="003B38A9" w:rsidP="003B38A9">
      <w:pPr>
        <w:tabs>
          <w:tab w:val="left" w:pos="851"/>
        </w:tabs>
        <w:ind w:left="851"/>
        <w:rPr>
          <w:sz w:val="24"/>
          <w:szCs w:val="24"/>
        </w:rPr>
      </w:pPr>
    </w:p>
    <w:p w14:paraId="40629167" w14:textId="77777777" w:rsidR="003B38A9" w:rsidRPr="003B38A9" w:rsidRDefault="003B38A9" w:rsidP="003B38A9">
      <w:pPr>
        <w:tabs>
          <w:tab w:val="left" w:pos="851"/>
        </w:tabs>
        <w:ind w:left="851"/>
        <w:rPr>
          <w:sz w:val="24"/>
          <w:szCs w:val="24"/>
        </w:rPr>
      </w:pPr>
      <w:r w:rsidRPr="003B38A9">
        <w:rPr>
          <w:sz w:val="24"/>
          <w:szCs w:val="24"/>
        </w:rPr>
        <w:t xml:space="preserve">Administration af kortikosteroider til drægtige dyr kan medføre abnormiteter i fostrets udvikling, herunder ganespalte, intrauterin væksthæmning og påvirkning af hjernens vækst og udvikling. Der er ikke bevis for, at kortikosteroider medfører en øget forekomst af medfødte abnormiteter, såsom læbe- og ganespalte, hos mennesker (se pkt. 5.3). </w:t>
      </w:r>
    </w:p>
    <w:p w14:paraId="2070EDCB" w14:textId="77777777" w:rsidR="003B38A9" w:rsidRPr="003B38A9" w:rsidRDefault="003B38A9" w:rsidP="003B38A9">
      <w:pPr>
        <w:tabs>
          <w:tab w:val="left" w:pos="851"/>
        </w:tabs>
        <w:ind w:left="851"/>
        <w:rPr>
          <w:sz w:val="24"/>
          <w:szCs w:val="24"/>
        </w:rPr>
      </w:pPr>
    </w:p>
    <w:p w14:paraId="275F4244" w14:textId="77777777" w:rsidR="003B38A9" w:rsidRPr="003B38A9" w:rsidRDefault="003B38A9" w:rsidP="003B38A9">
      <w:pPr>
        <w:tabs>
          <w:tab w:val="left" w:pos="851"/>
        </w:tabs>
        <w:ind w:left="851"/>
        <w:rPr>
          <w:sz w:val="24"/>
          <w:szCs w:val="24"/>
        </w:rPr>
      </w:pPr>
      <w:r w:rsidRPr="003B38A9">
        <w:rPr>
          <w:sz w:val="24"/>
          <w:szCs w:val="24"/>
        </w:rPr>
        <w:t>Hvis glukokortikoider administreres mod slutningen af graviditeten, er der en risiko for atrofi af fostrets binyrebark, hvilket kan nødvendiggøre, at den nyfødte skal have substitutionsbehandling, som langsomt skal reduceres.</w:t>
      </w:r>
    </w:p>
    <w:p w14:paraId="0C7DE30D" w14:textId="77777777" w:rsidR="003B38A9" w:rsidRPr="003B38A9" w:rsidRDefault="003B38A9" w:rsidP="003B38A9">
      <w:pPr>
        <w:tabs>
          <w:tab w:val="left" w:pos="851"/>
        </w:tabs>
        <w:ind w:left="851"/>
        <w:rPr>
          <w:sz w:val="24"/>
          <w:szCs w:val="24"/>
        </w:rPr>
      </w:pPr>
    </w:p>
    <w:p w14:paraId="547C33FA" w14:textId="77777777" w:rsidR="003B38A9" w:rsidRPr="003B38A9" w:rsidRDefault="003B38A9" w:rsidP="003B38A9">
      <w:pPr>
        <w:tabs>
          <w:tab w:val="left" w:pos="851"/>
        </w:tabs>
        <w:ind w:left="851"/>
        <w:rPr>
          <w:sz w:val="24"/>
          <w:szCs w:val="24"/>
          <w:u w:val="single"/>
        </w:rPr>
      </w:pPr>
      <w:r w:rsidRPr="003B38A9">
        <w:rPr>
          <w:sz w:val="24"/>
          <w:szCs w:val="24"/>
          <w:u w:val="single"/>
        </w:rPr>
        <w:t>Amning</w:t>
      </w:r>
    </w:p>
    <w:p w14:paraId="3BE2D7E2" w14:textId="77777777" w:rsidR="003B38A9" w:rsidRPr="003B38A9" w:rsidRDefault="003B38A9" w:rsidP="003B38A9">
      <w:pPr>
        <w:tabs>
          <w:tab w:val="left" w:pos="851"/>
        </w:tabs>
        <w:ind w:left="851"/>
        <w:rPr>
          <w:sz w:val="24"/>
          <w:szCs w:val="24"/>
        </w:rPr>
      </w:pPr>
      <w:r w:rsidRPr="003B38A9">
        <w:rPr>
          <w:sz w:val="24"/>
          <w:szCs w:val="24"/>
        </w:rPr>
        <w:t>Dexamethason udskilles i brystmælk. Ingen tilfælde af skader på spædbørn har været rapporteret. Ikke desto mindre skal lægemidlet kun anvendes under strengeste indikation ved amning. Hvis sygdommen kræver højere doser, skal amning ophøre.</w:t>
      </w:r>
    </w:p>
    <w:p w14:paraId="0880DFAF" w14:textId="77777777" w:rsidR="003B38A9" w:rsidRPr="003B38A9" w:rsidRDefault="003B38A9" w:rsidP="003B38A9">
      <w:pPr>
        <w:tabs>
          <w:tab w:val="left" w:pos="851"/>
        </w:tabs>
        <w:ind w:left="851"/>
        <w:rPr>
          <w:sz w:val="24"/>
          <w:szCs w:val="24"/>
          <w:u w:val="single"/>
        </w:rPr>
      </w:pPr>
    </w:p>
    <w:p w14:paraId="644A8FDC"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262A9FE7" w14:textId="7709D662" w:rsidR="009C1907" w:rsidRPr="009C1907" w:rsidRDefault="009C1907" w:rsidP="009C1907">
      <w:pPr>
        <w:tabs>
          <w:tab w:val="left" w:pos="851"/>
        </w:tabs>
        <w:ind w:left="851"/>
        <w:rPr>
          <w:sz w:val="24"/>
          <w:szCs w:val="24"/>
        </w:rPr>
      </w:pPr>
      <w:r w:rsidRPr="009C1907">
        <w:rPr>
          <w:sz w:val="24"/>
          <w:szCs w:val="24"/>
        </w:rPr>
        <w:t>Ikke mærkning</w:t>
      </w:r>
      <w:r>
        <w:rPr>
          <w:sz w:val="24"/>
          <w:szCs w:val="24"/>
        </w:rPr>
        <w:t>.</w:t>
      </w:r>
    </w:p>
    <w:p w14:paraId="4C45221B" w14:textId="77777777" w:rsidR="009C1907" w:rsidRPr="009C1907" w:rsidRDefault="009C1907" w:rsidP="009C1907">
      <w:pPr>
        <w:tabs>
          <w:tab w:val="left" w:pos="851"/>
        </w:tabs>
        <w:ind w:left="851"/>
        <w:rPr>
          <w:sz w:val="24"/>
          <w:szCs w:val="24"/>
        </w:rPr>
      </w:pPr>
      <w:r w:rsidRPr="009C1907">
        <w:rPr>
          <w:sz w:val="24"/>
          <w:szCs w:val="24"/>
        </w:rPr>
        <w:t>Der er ikke foretaget studier af virkningen på evnen til at føre motorkøretøj og betjene maskiner.</w:t>
      </w:r>
    </w:p>
    <w:p w14:paraId="45AF9EF5" w14:textId="77777777" w:rsidR="009260DE" w:rsidRPr="00C84483" w:rsidRDefault="009260DE" w:rsidP="009260DE">
      <w:pPr>
        <w:tabs>
          <w:tab w:val="left" w:pos="851"/>
        </w:tabs>
        <w:ind w:left="851"/>
        <w:rPr>
          <w:sz w:val="24"/>
          <w:szCs w:val="24"/>
        </w:rPr>
      </w:pPr>
    </w:p>
    <w:p w14:paraId="7D71EE4C"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C9E84C4" w14:textId="77777777" w:rsidR="00157C56" w:rsidRPr="00157C56" w:rsidRDefault="00157C56" w:rsidP="00157C56">
      <w:pPr>
        <w:tabs>
          <w:tab w:val="left" w:pos="851"/>
        </w:tabs>
        <w:ind w:left="851"/>
        <w:rPr>
          <w:sz w:val="24"/>
          <w:szCs w:val="24"/>
        </w:rPr>
      </w:pPr>
    </w:p>
    <w:p w14:paraId="18583703" w14:textId="5794096F" w:rsidR="00157C56" w:rsidRPr="00157C56" w:rsidRDefault="00157C56" w:rsidP="00157C56">
      <w:pPr>
        <w:tabs>
          <w:tab w:val="left" w:pos="851"/>
        </w:tabs>
        <w:ind w:left="851"/>
        <w:rPr>
          <w:bCs/>
          <w:sz w:val="24"/>
          <w:szCs w:val="24"/>
          <w:u w:val="single"/>
        </w:rPr>
      </w:pPr>
      <w:r w:rsidRPr="00157C56">
        <w:rPr>
          <w:bCs/>
          <w:sz w:val="24"/>
          <w:szCs w:val="24"/>
          <w:u w:val="single"/>
        </w:rPr>
        <w:t>Hormonerstatningsterapi</w:t>
      </w:r>
    </w:p>
    <w:p w14:paraId="0B431F79" w14:textId="77777777" w:rsidR="00157C56" w:rsidRPr="00157C56" w:rsidRDefault="00157C56" w:rsidP="00157C56">
      <w:pPr>
        <w:tabs>
          <w:tab w:val="left" w:pos="851"/>
        </w:tabs>
        <w:ind w:left="851"/>
        <w:rPr>
          <w:sz w:val="24"/>
          <w:szCs w:val="24"/>
        </w:rPr>
      </w:pPr>
      <w:r w:rsidRPr="00157C56">
        <w:rPr>
          <w:sz w:val="24"/>
          <w:szCs w:val="24"/>
        </w:rPr>
        <w:t>Lav risiko for bivirkninger, hvis anbefalede doseringer følges.</w:t>
      </w:r>
    </w:p>
    <w:p w14:paraId="291B0CF8" w14:textId="77777777" w:rsidR="00157C56" w:rsidRPr="00157C56" w:rsidRDefault="00157C56" w:rsidP="00157C56">
      <w:pPr>
        <w:tabs>
          <w:tab w:val="left" w:pos="851"/>
        </w:tabs>
        <w:ind w:left="851"/>
        <w:rPr>
          <w:sz w:val="24"/>
          <w:szCs w:val="24"/>
        </w:rPr>
      </w:pPr>
    </w:p>
    <w:p w14:paraId="0DCD5FC9" w14:textId="1A7015AA" w:rsidR="00157C56" w:rsidRPr="00157C56" w:rsidRDefault="00157C56" w:rsidP="00157C56">
      <w:pPr>
        <w:tabs>
          <w:tab w:val="left" w:pos="851"/>
        </w:tabs>
        <w:ind w:left="851"/>
        <w:rPr>
          <w:bCs/>
          <w:sz w:val="24"/>
          <w:szCs w:val="24"/>
          <w:u w:val="single"/>
        </w:rPr>
      </w:pPr>
      <w:r w:rsidRPr="00157C56">
        <w:rPr>
          <w:bCs/>
          <w:sz w:val="24"/>
          <w:szCs w:val="24"/>
          <w:u w:val="single"/>
        </w:rPr>
        <w:t>Farmakoterapi</w:t>
      </w:r>
    </w:p>
    <w:p w14:paraId="1AE065C2" w14:textId="77777777" w:rsidR="00157C56" w:rsidRPr="00157C56" w:rsidRDefault="00157C56" w:rsidP="00157C56">
      <w:pPr>
        <w:tabs>
          <w:tab w:val="left" w:pos="851"/>
        </w:tabs>
        <w:ind w:left="851"/>
        <w:rPr>
          <w:sz w:val="24"/>
          <w:szCs w:val="24"/>
        </w:rPr>
      </w:pPr>
      <w:r w:rsidRPr="00157C56">
        <w:rPr>
          <w:sz w:val="24"/>
          <w:szCs w:val="24"/>
        </w:rPr>
        <w:t>Følgende bivirkninger kan forekomme, hvilket afhænger meget af dosis og behandlingsvarighed, og hvis hyppighed derfor ikke kan angives.</w:t>
      </w:r>
    </w:p>
    <w:p w14:paraId="2DAC7EBF" w14:textId="77777777" w:rsidR="00157C56" w:rsidRPr="00157C56" w:rsidRDefault="00157C56" w:rsidP="00157C56">
      <w:pPr>
        <w:tabs>
          <w:tab w:val="left" w:pos="851"/>
        </w:tabs>
        <w:ind w:left="851"/>
        <w:rPr>
          <w:sz w:val="24"/>
          <w:szCs w:val="24"/>
        </w:rPr>
      </w:pPr>
    </w:p>
    <w:p w14:paraId="4D8732DD" w14:textId="77777777" w:rsidR="00157C56" w:rsidRPr="00157C56" w:rsidRDefault="00157C56" w:rsidP="00157C56">
      <w:pPr>
        <w:tabs>
          <w:tab w:val="left" w:pos="851"/>
        </w:tabs>
        <w:ind w:left="851"/>
        <w:rPr>
          <w:i/>
          <w:iCs/>
          <w:sz w:val="24"/>
          <w:szCs w:val="24"/>
        </w:rPr>
      </w:pPr>
      <w:r w:rsidRPr="00157C56">
        <w:rPr>
          <w:i/>
          <w:iCs/>
          <w:sz w:val="24"/>
          <w:szCs w:val="24"/>
        </w:rPr>
        <w:t>Infektioner og parasitære sygdomme</w:t>
      </w:r>
    </w:p>
    <w:p w14:paraId="56B71B14" w14:textId="77777777" w:rsidR="00157C56" w:rsidRPr="00157C56" w:rsidRDefault="00157C56" w:rsidP="00157C56">
      <w:pPr>
        <w:tabs>
          <w:tab w:val="left" w:pos="851"/>
        </w:tabs>
        <w:ind w:left="851"/>
        <w:rPr>
          <w:sz w:val="24"/>
          <w:szCs w:val="24"/>
        </w:rPr>
      </w:pPr>
      <w:r w:rsidRPr="00157C56">
        <w:rPr>
          <w:sz w:val="24"/>
          <w:szCs w:val="24"/>
        </w:rPr>
        <w:t>Maskering af infektioner, manifestation, forværring eller reaktivering af virusinfektioner, svampeinfektioner, infektioner med bakterier og parasitter samt opportunistiske infektioner, aktivering af strongyloidiasis (se pkt. 4.4).</w:t>
      </w:r>
    </w:p>
    <w:p w14:paraId="4996C374" w14:textId="77777777" w:rsidR="00157C56" w:rsidRPr="00157C56" w:rsidRDefault="00157C56" w:rsidP="00157C56">
      <w:pPr>
        <w:tabs>
          <w:tab w:val="left" w:pos="851"/>
        </w:tabs>
        <w:ind w:left="851"/>
        <w:rPr>
          <w:sz w:val="24"/>
          <w:szCs w:val="24"/>
        </w:rPr>
      </w:pPr>
    </w:p>
    <w:p w14:paraId="37D51647" w14:textId="77777777" w:rsidR="00157C56" w:rsidRPr="00157C56" w:rsidRDefault="00157C56" w:rsidP="00157C56">
      <w:pPr>
        <w:tabs>
          <w:tab w:val="left" w:pos="851"/>
        </w:tabs>
        <w:ind w:left="851"/>
        <w:rPr>
          <w:i/>
          <w:iCs/>
          <w:sz w:val="24"/>
          <w:szCs w:val="24"/>
        </w:rPr>
      </w:pPr>
      <w:r w:rsidRPr="00157C56">
        <w:rPr>
          <w:i/>
          <w:iCs/>
          <w:sz w:val="24"/>
          <w:szCs w:val="24"/>
        </w:rPr>
        <w:t>Blod og lymfesystem</w:t>
      </w:r>
    </w:p>
    <w:p w14:paraId="04C4732B" w14:textId="77777777" w:rsidR="00157C56" w:rsidRPr="00157C56" w:rsidRDefault="00157C56" w:rsidP="00157C56">
      <w:pPr>
        <w:tabs>
          <w:tab w:val="left" w:pos="851"/>
        </w:tabs>
        <w:ind w:left="851"/>
        <w:rPr>
          <w:sz w:val="24"/>
          <w:szCs w:val="24"/>
        </w:rPr>
      </w:pPr>
      <w:r w:rsidRPr="00157C56">
        <w:rPr>
          <w:sz w:val="24"/>
          <w:szCs w:val="24"/>
        </w:rPr>
        <w:t>Moderat leukocytose, lymfocytopeni, eosinopeni, polycytæmi.</w:t>
      </w:r>
    </w:p>
    <w:p w14:paraId="51B0281C" w14:textId="1FD36746" w:rsidR="00D22720" w:rsidRDefault="00D22720">
      <w:pPr>
        <w:rPr>
          <w:sz w:val="24"/>
          <w:szCs w:val="24"/>
        </w:rPr>
      </w:pPr>
      <w:r>
        <w:rPr>
          <w:sz w:val="24"/>
          <w:szCs w:val="24"/>
        </w:rPr>
        <w:br w:type="page"/>
      </w:r>
    </w:p>
    <w:p w14:paraId="0C2D9C95" w14:textId="77777777" w:rsidR="00157C56" w:rsidRPr="00157C56" w:rsidRDefault="00157C56" w:rsidP="00157C56">
      <w:pPr>
        <w:tabs>
          <w:tab w:val="left" w:pos="851"/>
        </w:tabs>
        <w:ind w:left="851"/>
        <w:rPr>
          <w:sz w:val="24"/>
          <w:szCs w:val="24"/>
        </w:rPr>
      </w:pPr>
    </w:p>
    <w:p w14:paraId="5E297B6C" w14:textId="77777777" w:rsidR="00157C56" w:rsidRPr="00157C56" w:rsidRDefault="00157C56" w:rsidP="00157C56">
      <w:pPr>
        <w:tabs>
          <w:tab w:val="left" w:pos="851"/>
        </w:tabs>
        <w:ind w:left="851"/>
        <w:rPr>
          <w:i/>
          <w:iCs/>
          <w:sz w:val="24"/>
          <w:szCs w:val="24"/>
        </w:rPr>
      </w:pPr>
      <w:r w:rsidRPr="00157C56">
        <w:rPr>
          <w:i/>
          <w:iCs/>
          <w:sz w:val="24"/>
          <w:szCs w:val="24"/>
        </w:rPr>
        <w:t>Immunsystemet</w:t>
      </w:r>
    </w:p>
    <w:p w14:paraId="7870CED9" w14:textId="77777777" w:rsidR="00157C56" w:rsidRPr="00157C56" w:rsidRDefault="00157C56" w:rsidP="00157C56">
      <w:pPr>
        <w:tabs>
          <w:tab w:val="left" w:pos="851"/>
        </w:tabs>
        <w:ind w:left="851"/>
        <w:rPr>
          <w:sz w:val="24"/>
          <w:szCs w:val="24"/>
        </w:rPr>
      </w:pPr>
      <w:r w:rsidRPr="00157C56">
        <w:rPr>
          <w:sz w:val="24"/>
          <w:szCs w:val="24"/>
        </w:rPr>
        <w:t>Overfølsomhedsreaktion (f.eks. medicinsk induceret exanthema), alvorlige anafylaktiske reaktioner, såsom arytmier, bronchospasme, hypo- eller hypertension, kredsløbskollaps, hjertestop, svækkelse af immunsystemet.</w:t>
      </w:r>
    </w:p>
    <w:p w14:paraId="1ABC5B43" w14:textId="77777777" w:rsidR="00157C56" w:rsidRPr="00157C56" w:rsidRDefault="00157C56" w:rsidP="00157C56">
      <w:pPr>
        <w:tabs>
          <w:tab w:val="left" w:pos="851"/>
        </w:tabs>
        <w:ind w:left="851"/>
        <w:rPr>
          <w:sz w:val="24"/>
          <w:szCs w:val="24"/>
        </w:rPr>
      </w:pPr>
    </w:p>
    <w:p w14:paraId="4705D9B4" w14:textId="77777777" w:rsidR="00157C56" w:rsidRPr="00157C56" w:rsidRDefault="00157C56" w:rsidP="00157C56">
      <w:pPr>
        <w:tabs>
          <w:tab w:val="left" w:pos="851"/>
        </w:tabs>
        <w:ind w:left="851"/>
        <w:rPr>
          <w:i/>
          <w:iCs/>
          <w:sz w:val="24"/>
          <w:szCs w:val="24"/>
        </w:rPr>
      </w:pPr>
      <w:r w:rsidRPr="00157C56">
        <w:rPr>
          <w:i/>
          <w:iCs/>
          <w:sz w:val="24"/>
          <w:szCs w:val="24"/>
        </w:rPr>
        <w:t>Det endokrine system</w:t>
      </w:r>
    </w:p>
    <w:p w14:paraId="467DA95A" w14:textId="045640CE" w:rsidR="00157C56" w:rsidRPr="00157C56" w:rsidRDefault="00157C56" w:rsidP="00157C56">
      <w:pPr>
        <w:tabs>
          <w:tab w:val="left" w:pos="851"/>
        </w:tabs>
        <w:ind w:left="851"/>
        <w:rPr>
          <w:sz w:val="24"/>
          <w:szCs w:val="24"/>
        </w:rPr>
      </w:pPr>
      <w:r w:rsidRPr="00157C56">
        <w:rPr>
          <w:sz w:val="24"/>
          <w:szCs w:val="24"/>
        </w:rPr>
        <w:t xml:space="preserve">Cushings syndrom (typiske symptomer: </w:t>
      </w:r>
      <w:r>
        <w:rPr>
          <w:sz w:val="24"/>
          <w:szCs w:val="24"/>
        </w:rPr>
        <w:t>M</w:t>
      </w:r>
      <w:r w:rsidRPr="00157C56">
        <w:rPr>
          <w:sz w:val="24"/>
          <w:szCs w:val="24"/>
        </w:rPr>
        <w:t>åneansigt, central fedme og plethora), adrenal suppression (se pkt. 4.4).</w:t>
      </w:r>
    </w:p>
    <w:p w14:paraId="5DD6CF2A" w14:textId="77777777" w:rsidR="00157C56" w:rsidRPr="00157C56" w:rsidRDefault="00157C56" w:rsidP="00157C56">
      <w:pPr>
        <w:tabs>
          <w:tab w:val="left" w:pos="851"/>
        </w:tabs>
        <w:ind w:left="851"/>
        <w:rPr>
          <w:sz w:val="24"/>
          <w:szCs w:val="24"/>
        </w:rPr>
      </w:pPr>
    </w:p>
    <w:p w14:paraId="14D66690" w14:textId="77777777" w:rsidR="00157C56" w:rsidRPr="00157C56" w:rsidRDefault="00157C56" w:rsidP="00157C56">
      <w:pPr>
        <w:tabs>
          <w:tab w:val="left" w:pos="851"/>
        </w:tabs>
        <w:ind w:left="851"/>
        <w:rPr>
          <w:i/>
          <w:iCs/>
          <w:sz w:val="24"/>
          <w:szCs w:val="24"/>
        </w:rPr>
      </w:pPr>
      <w:r w:rsidRPr="00157C56">
        <w:rPr>
          <w:i/>
          <w:iCs/>
          <w:sz w:val="24"/>
          <w:szCs w:val="24"/>
        </w:rPr>
        <w:t>Metabolisme og ernæring</w:t>
      </w:r>
    </w:p>
    <w:p w14:paraId="00294FCC" w14:textId="77777777" w:rsidR="00157C56" w:rsidRPr="00157C56" w:rsidRDefault="00157C56" w:rsidP="00157C56">
      <w:pPr>
        <w:tabs>
          <w:tab w:val="left" w:pos="851"/>
        </w:tabs>
        <w:ind w:left="851"/>
        <w:rPr>
          <w:sz w:val="24"/>
          <w:szCs w:val="24"/>
        </w:rPr>
      </w:pPr>
      <w:r w:rsidRPr="00157C56">
        <w:rPr>
          <w:sz w:val="24"/>
          <w:szCs w:val="24"/>
        </w:rPr>
        <w:t>Natriumretention med ødem, øget udskillelse af kalium (risiko for arytmier), vægtstigning, nedsat glucosetolerance, diabetes mellitus, hyperkolesterolæmi og hypertriglyceridæmi, øget appetit.</w:t>
      </w:r>
    </w:p>
    <w:p w14:paraId="4BE70266" w14:textId="77777777" w:rsidR="00157C56" w:rsidRPr="00157C56" w:rsidRDefault="00157C56" w:rsidP="00157C56">
      <w:pPr>
        <w:tabs>
          <w:tab w:val="left" w:pos="851"/>
        </w:tabs>
        <w:ind w:left="851"/>
        <w:rPr>
          <w:sz w:val="24"/>
          <w:szCs w:val="24"/>
          <w:u w:val="single"/>
        </w:rPr>
      </w:pPr>
    </w:p>
    <w:p w14:paraId="7853F338" w14:textId="77777777" w:rsidR="00157C56" w:rsidRPr="00157C56" w:rsidRDefault="00157C56" w:rsidP="00157C56">
      <w:pPr>
        <w:tabs>
          <w:tab w:val="left" w:pos="851"/>
        </w:tabs>
        <w:ind w:left="851"/>
        <w:rPr>
          <w:i/>
          <w:iCs/>
          <w:sz w:val="24"/>
          <w:szCs w:val="24"/>
        </w:rPr>
      </w:pPr>
      <w:r w:rsidRPr="00157C56">
        <w:rPr>
          <w:i/>
          <w:iCs/>
          <w:sz w:val="24"/>
          <w:szCs w:val="24"/>
        </w:rPr>
        <w:t>Psykiske forstyrrelser</w:t>
      </w:r>
    </w:p>
    <w:p w14:paraId="47A6B6B6" w14:textId="77777777" w:rsidR="00157C56" w:rsidRPr="00157C56" w:rsidRDefault="00157C56" w:rsidP="00157C56">
      <w:pPr>
        <w:tabs>
          <w:tab w:val="left" w:pos="851"/>
        </w:tabs>
        <w:ind w:left="851"/>
        <w:rPr>
          <w:sz w:val="24"/>
          <w:szCs w:val="24"/>
        </w:rPr>
      </w:pPr>
      <w:r w:rsidRPr="00157C56">
        <w:rPr>
          <w:sz w:val="24"/>
          <w:szCs w:val="24"/>
        </w:rPr>
        <w:t>Depression, irritabilitet, eufori, øget energiniveau, psykoser, mani, hallucinationer, emotionel labilitet, angst, søvnforstyrrelser, suicidalitet.</w:t>
      </w:r>
    </w:p>
    <w:p w14:paraId="61BC3843" w14:textId="77777777" w:rsidR="00157C56" w:rsidRPr="00157C56" w:rsidRDefault="00157C56" w:rsidP="00157C56">
      <w:pPr>
        <w:tabs>
          <w:tab w:val="left" w:pos="851"/>
        </w:tabs>
        <w:ind w:left="851"/>
        <w:rPr>
          <w:sz w:val="24"/>
          <w:szCs w:val="24"/>
        </w:rPr>
      </w:pPr>
    </w:p>
    <w:p w14:paraId="0CC73B82" w14:textId="77777777" w:rsidR="00157C56" w:rsidRPr="00157C56" w:rsidRDefault="00157C56" w:rsidP="00157C56">
      <w:pPr>
        <w:tabs>
          <w:tab w:val="left" w:pos="851"/>
        </w:tabs>
        <w:ind w:left="851"/>
        <w:rPr>
          <w:i/>
          <w:iCs/>
          <w:sz w:val="24"/>
          <w:szCs w:val="24"/>
        </w:rPr>
      </w:pPr>
      <w:r w:rsidRPr="00157C56">
        <w:rPr>
          <w:i/>
          <w:iCs/>
          <w:sz w:val="24"/>
          <w:szCs w:val="24"/>
        </w:rPr>
        <w:t>Nervesystemet</w:t>
      </w:r>
    </w:p>
    <w:p w14:paraId="5242A38C" w14:textId="77777777" w:rsidR="00157C56" w:rsidRPr="00157C56" w:rsidRDefault="00157C56" w:rsidP="00157C56">
      <w:pPr>
        <w:tabs>
          <w:tab w:val="left" w:pos="851"/>
        </w:tabs>
        <w:ind w:left="851"/>
        <w:rPr>
          <w:sz w:val="24"/>
          <w:szCs w:val="24"/>
        </w:rPr>
      </w:pPr>
      <w:r w:rsidRPr="00157C56">
        <w:rPr>
          <w:sz w:val="24"/>
          <w:szCs w:val="24"/>
        </w:rPr>
        <w:t>Pseudotumor cerebri, manifestation af latent epilepsi, stigning i følsomhed over for anfald i manifest epilepsi.</w:t>
      </w:r>
    </w:p>
    <w:p w14:paraId="618909F9" w14:textId="77777777" w:rsidR="00157C56" w:rsidRPr="00157C56" w:rsidRDefault="00157C56" w:rsidP="00157C56">
      <w:pPr>
        <w:tabs>
          <w:tab w:val="left" w:pos="851"/>
        </w:tabs>
        <w:ind w:left="851"/>
        <w:rPr>
          <w:sz w:val="24"/>
          <w:szCs w:val="24"/>
        </w:rPr>
      </w:pPr>
    </w:p>
    <w:p w14:paraId="615086AC" w14:textId="77777777" w:rsidR="00157C56" w:rsidRPr="00157C56" w:rsidRDefault="00157C56" w:rsidP="00157C56">
      <w:pPr>
        <w:tabs>
          <w:tab w:val="left" w:pos="851"/>
        </w:tabs>
        <w:ind w:left="851"/>
        <w:rPr>
          <w:i/>
          <w:iCs/>
          <w:sz w:val="24"/>
          <w:szCs w:val="24"/>
        </w:rPr>
      </w:pPr>
      <w:r w:rsidRPr="00157C56">
        <w:rPr>
          <w:i/>
          <w:iCs/>
          <w:sz w:val="24"/>
          <w:szCs w:val="24"/>
        </w:rPr>
        <w:t>Øjne</w:t>
      </w:r>
    </w:p>
    <w:p w14:paraId="694B5FEE" w14:textId="77777777" w:rsidR="00157C56" w:rsidRPr="00157C56" w:rsidRDefault="00157C56" w:rsidP="00157C56">
      <w:pPr>
        <w:tabs>
          <w:tab w:val="left" w:pos="851"/>
        </w:tabs>
        <w:ind w:left="851"/>
        <w:rPr>
          <w:sz w:val="24"/>
          <w:szCs w:val="24"/>
        </w:rPr>
      </w:pPr>
      <w:r w:rsidRPr="00157C56">
        <w:rPr>
          <w:sz w:val="24"/>
          <w:szCs w:val="24"/>
        </w:rPr>
        <w:t>Katarakt, især med posterior subkapsulær opacitet, glaukom, forværring af symptomer forbundet med hornhindesår, øget forekomst af virus-, svampe- og bakterieinfektioner i øjet, forværring af bakterieinfektioner i hornhinde, ptose, mydriasis, chemosis, iatrogen scleral perforation, korioretinopati, sløret syn (se også pkt. 4.4).</w:t>
      </w:r>
    </w:p>
    <w:p w14:paraId="0BAC1970" w14:textId="77777777" w:rsidR="00157C56" w:rsidRPr="00157C56" w:rsidRDefault="00157C56" w:rsidP="00157C56">
      <w:pPr>
        <w:tabs>
          <w:tab w:val="left" w:pos="851"/>
        </w:tabs>
        <w:ind w:left="851"/>
        <w:rPr>
          <w:sz w:val="24"/>
          <w:szCs w:val="24"/>
        </w:rPr>
      </w:pPr>
    </w:p>
    <w:p w14:paraId="64588759" w14:textId="77777777" w:rsidR="00157C56" w:rsidRPr="00157C56" w:rsidRDefault="00157C56" w:rsidP="00157C56">
      <w:pPr>
        <w:tabs>
          <w:tab w:val="left" w:pos="851"/>
        </w:tabs>
        <w:ind w:left="851"/>
        <w:rPr>
          <w:i/>
          <w:iCs/>
          <w:sz w:val="24"/>
          <w:szCs w:val="24"/>
        </w:rPr>
      </w:pPr>
      <w:r w:rsidRPr="00157C56">
        <w:rPr>
          <w:i/>
          <w:iCs/>
          <w:sz w:val="24"/>
          <w:szCs w:val="24"/>
        </w:rPr>
        <w:t>Vaskulære sygdomme</w:t>
      </w:r>
    </w:p>
    <w:p w14:paraId="334D3ADF" w14:textId="77777777" w:rsidR="00157C56" w:rsidRPr="00157C56" w:rsidRDefault="00157C56" w:rsidP="00157C56">
      <w:pPr>
        <w:tabs>
          <w:tab w:val="left" w:pos="851"/>
        </w:tabs>
        <w:ind w:left="851"/>
        <w:rPr>
          <w:sz w:val="24"/>
          <w:szCs w:val="24"/>
        </w:rPr>
      </w:pPr>
      <w:r w:rsidRPr="00157C56">
        <w:rPr>
          <w:sz w:val="24"/>
          <w:szCs w:val="24"/>
        </w:rPr>
        <w:t>Hypertension, øget risiko for aterosklerose og trombose, vasculitis (også som abstinenssyndrom efter langvarig behandling) og øget kapillærskørhed.</w:t>
      </w:r>
    </w:p>
    <w:p w14:paraId="34D8592D" w14:textId="77777777" w:rsidR="00157C56" w:rsidRPr="00157C56" w:rsidRDefault="00157C56" w:rsidP="00157C56">
      <w:pPr>
        <w:tabs>
          <w:tab w:val="left" w:pos="851"/>
        </w:tabs>
        <w:ind w:left="851"/>
        <w:rPr>
          <w:sz w:val="24"/>
          <w:szCs w:val="24"/>
        </w:rPr>
      </w:pPr>
    </w:p>
    <w:p w14:paraId="6AE1D6DB" w14:textId="77777777" w:rsidR="00157C56" w:rsidRPr="00157C56" w:rsidRDefault="00157C56" w:rsidP="00157C56">
      <w:pPr>
        <w:tabs>
          <w:tab w:val="left" w:pos="851"/>
        </w:tabs>
        <w:ind w:left="851"/>
        <w:rPr>
          <w:i/>
          <w:iCs/>
          <w:sz w:val="24"/>
          <w:szCs w:val="24"/>
        </w:rPr>
      </w:pPr>
      <w:r w:rsidRPr="00157C56">
        <w:rPr>
          <w:i/>
          <w:iCs/>
          <w:sz w:val="24"/>
          <w:szCs w:val="24"/>
        </w:rPr>
        <w:t>Mave-tarm-kanalen</w:t>
      </w:r>
    </w:p>
    <w:p w14:paraId="74FC82A5" w14:textId="77777777" w:rsidR="00157C56" w:rsidRPr="00157C56" w:rsidRDefault="00157C56" w:rsidP="00157C56">
      <w:pPr>
        <w:tabs>
          <w:tab w:val="left" w:pos="851"/>
        </w:tabs>
        <w:ind w:left="851"/>
        <w:rPr>
          <w:sz w:val="24"/>
          <w:szCs w:val="24"/>
        </w:rPr>
      </w:pPr>
      <w:r w:rsidRPr="00157C56">
        <w:rPr>
          <w:sz w:val="24"/>
          <w:szCs w:val="24"/>
        </w:rPr>
        <w:t>Gastrointestinale sår, gastrointestinal blødning, pancreatitis, mavegener.</w:t>
      </w:r>
    </w:p>
    <w:p w14:paraId="162CF426" w14:textId="77777777" w:rsidR="00157C56" w:rsidRPr="00157C56" w:rsidRDefault="00157C56" w:rsidP="00157C56">
      <w:pPr>
        <w:tabs>
          <w:tab w:val="left" w:pos="851"/>
        </w:tabs>
        <w:ind w:left="851"/>
        <w:rPr>
          <w:sz w:val="24"/>
          <w:szCs w:val="24"/>
        </w:rPr>
      </w:pPr>
    </w:p>
    <w:p w14:paraId="559F0130" w14:textId="77777777" w:rsidR="00157C56" w:rsidRPr="00157C56" w:rsidRDefault="00157C56" w:rsidP="00157C56">
      <w:pPr>
        <w:tabs>
          <w:tab w:val="left" w:pos="851"/>
        </w:tabs>
        <w:ind w:left="851"/>
        <w:rPr>
          <w:i/>
          <w:iCs/>
          <w:sz w:val="24"/>
          <w:szCs w:val="24"/>
        </w:rPr>
      </w:pPr>
      <w:r w:rsidRPr="00157C56">
        <w:rPr>
          <w:i/>
          <w:iCs/>
          <w:sz w:val="24"/>
          <w:szCs w:val="24"/>
        </w:rPr>
        <w:t>Hud og subkutane væv</w:t>
      </w:r>
    </w:p>
    <w:p w14:paraId="4FFD6ECB" w14:textId="77777777" w:rsidR="00157C56" w:rsidRPr="00157C56" w:rsidRDefault="00157C56" w:rsidP="00157C56">
      <w:pPr>
        <w:tabs>
          <w:tab w:val="left" w:pos="851"/>
        </w:tabs>
        <w:ind w:left="851"/>
        <w:rPr>
          <w:sz w:val="24"/>
          <w:szCs w:val="24"/>
        </w:rPr>
      </w:pPr>
      <w:r w:rsidRPr="00157C56">
        <w:rPr>
          <w:sz w:val="24"/>
          <w:szCs w:val="24"/>
        </w:rPr>
        <w:t>Striae rubra, atrofi, telangiektasi, petekkier, ekkymose, hypertrichose, steroidinduceret akne, rosacea-lignende (perioral) dermatitis, ændringer i hudpigmentering.</w:t>
      </w:r>
    </w:p>
    <w:p w14:paraId="48905237" w14:textId="77777777" w:rsidR="00157C56" w:rsidRPr="00157C56" w:rsidRDefault="00157C56" w:rsidP="00157C56">
      <w:pPr>
        <w:tabs>
          <w:tab w:val="left" w:pos="851"/>
        </w:tabs>
        <w:ind w:left="851"/>
        <w:rPr>
          <w:sz w:val="24"/>
          <w:szCs w:val="24"/>
        </w:rPr>
      </w:pPr>
    </w:p>
    <w:p w14:paraId="63AED41B" w14:textId="77777777" w:rsidR="00157C56" w:rsidRPr="00157C56" w:rsidRDefault="00157C56" w:rsidP="00157C56">
      <w:pPr>
        <w:tabs>
          <w:tab w:val="left" w:pos="851"/>
        </w:tabs>
        <w:ind w:left="851"/>
        <w:rPr>
          <w:i/>
          <w:iCs/>
          <w:sz w:val="24"/>
          <w:szCs w:val="24"/>
        </w:rPr>
      </w:pPr>
      <w:r w:rsidRPr="00157C56">
        <w:rPr>
          <w:i/>
          <w:iCs/>
          <w:sz w:val="24"/>
          <w:szCs w:val="24"/>
        </w:rPr>
        <w:t>Knogler, led, muskler og bindevæv</w:t>
      </w:r>
    </w:p>
    <w:p w14:paraId="450BFEA1" w14:textId="77777777" w:rsidR="00157C56" w:rsidRPr="00157C56" w:rsidRDefault="00157C56" w:rsidP="00157C56">
      <w:pPr>
        <w:tabs>
          <w:tab w:val="left" w:pos="851"/>
        </w:tabs>
        <w:ind w:left="851"/>
        <w:rPr>
          <w:sz w:val="24"/>
          <w:szCs w:val="24"/>
        </w:rPr>
      </w:pPr>
      <w:r w:rsidRPr="00157C56">
        <w:rPr>
          <w:sz w:val="24"/>
          <w:szCs w:val="24"/>
        </w:rPr>
        <w:t>Myopati, muskelatrofi og -svaghed, osteoporose (dosisafhængig, muligvis også ved kortvarig administration), aseptisk knoglenekrose, senelidelser, tendinitis, seneruptur, epidural lipomatose, væksthæmning hos børn.</w:t>
      </w:r>
    </w:p>
    <w:p w14:paraId="783432C3" w14:textId="77777777" w:rsidR="00157C56" w:rsidRPr="00157C56" w:rsidRDefault="00157C56" w:rsidP="00157C56">
      <w:pPr>
        <w:tabs>
          <w:tab w:val="left" w:pos="851"/>
        </w:tabs>
        <w:ind w:left="851"/>
        <w:rPr>
          <w:sz w:val="24"/>
          <w:szCs w:val="24"/>
        </w:rPr>
      </w:pPr>
    </w:p>
    <w:p w14:paraId="058C5F99" w14:textId="77777777" w:rsidR="00157C56" w:rsidRPr="00157C56" w:rsidRDefault="00157C56" w:rsidP="00157C56">
      <w:pPr>
        <w:tabs>
          <w:tab w:val="left" w:pos="851"/>
        </w:tabs>
        <w:ind w:left="851"/>
        <w:rPr>
          <w:sz w:val="24"/>
          <w:szCs w:val="24"/>
        </w:rPr>
      </w:pPr>
      <w:r w:rsidRPr="00157C56">
        <w:rPr>
          <w:sz w:val="24"/>
          <w:szCs w:val="24"/>
        </w:rPr>
        <w:t>Bemærk: For hurtig nedsættelse af dosis efter langtidsbehandling kan give symptomer som muskel- og ledsmerter.</w:t>
      </w:r>
    </w:p>
    <w:p w14:paraId="753C34B0" w14:textId="77777777" w:rsidR="00157C56" w:rsidRPr="00157C56" w:rsidRDefault="00157C56" w:rsidP="00157C56">
      <w:pPr>
        <w:tabs>
          <w:tab w:val="left" w:pos="851"/>
        </w:tabs>
        <w:ind w:left="851"/>
        <w:rPr>
          <w:sz w:val="24"/>
          <w:szCs w:val="24"/>
        </w:rPr>
      </w:pPr>
    </w:p>
    <w:p w14:paraId="21BE486A" w14:textId="77777777" w:rsidR="00157C56" w:rsidRPr="00157C56" w:rsidRDefault="00157C56" w:rsidP="00157C56">
      <w:pPr>
        <w:tabs>
          <w:tab w:val="left" w:pos="851"/>
        </w:tabs>
        <w:ind w:left="851"/>
        <w:rPr>
          <w:i/>
          <w:iCs/>
          <w:sz w:val="24"/>
          <w:szCs w:val="24"/>
        </w:rPr>
      </w:pPr>
      <w:r w:rsidRPr="00157C56">
        <w:rPr>
          <w:i/>
          <w:iCs/>
          <w:sz w:val="24"/>
          <w:szCs w:val="24"/>
        </w:rPr>
        <w:t>Det reproduktive system og mammae</w:t>
      </w:r>
    </w:p>
    <w:p w14:paraId="1BECC362" w14:textId="70C837A7" w:rsidR="00157C56" w:rsidRPr="00157C56" w:rsidRDefault="00157C56" w:rsidP="00157C56">
      <w:pPr>
        <w:tabs>
          <w:tab w:val="left" w:pos="851"/>
        </w:tabs>
        <w:ind w:left="851"/>
        <w:rPr>
          <w:sz w:val="24"/>
          <w:szCs w:val="24"/>
        </w:rPr>
      </w:pPr>
      <w:r w:rsidRPr="00157C56">
        <w:rPr>
          <w:sz w:val="24"/>
          <w:szCs w:val="24"/>
        </w:rPr>
        <w:t xml:space="preserve">Forstyrrelser i kønshormonudskillelsen (som en følge heraf: </w:t>
      </w:r>
      <w:r w:rsidR="00624116">
        <w:rPr>
          <w:sz w:val="24"/>
          <w:szCs w:val="24"/>
        </w:rPr>
        <w:t>U</w:t>
      </w:r>
      <w:r w:rsidRPr="00157C56">
        <w:rPr>
          <w:sz w:val="24"/>
          <w:szCs w:val="24"/>
        </w:rPr>
        <w:t>regelmæssig menstruation op til amenorré, hirsutisme, impotens).</w:t>
      </w:r>
    </w:p>
    <w:p w14:paraId="651034E8" w14:textId="77777777" w:rsidR="00157C56" w:rsidRPr="00157C56" w:rsidRDefault="00157C56" w:rsidP="00157C56">
      <w:pPr>
        <w:tabs>
          <w:tab w:val="left" w:pos="851"/>
        </w:tabs>
        <w:ind w:left="851"/>
        <w:rPr>
          <w:sz w:val="24"/>
          <w:szCs w:val="24"/>
        </w:rPr>
      </w:pPr>
    </w:p>
    <w:p w14:paraId="39CA8BDD" w14:textId="77777777" w:rsidR="00157C56" w:rsidRPr="00157C56" w:rsidRDefault="00157C56" w:rsidP="00157C56">
      <w:pPr>
        <w:tabs>
          <w:tab w:val="left" w:pos="851"/>
        </w:tabs>
        <w:ind w:left="851"/>
        <w:rPr>
          <w:i/>
          <w:iCs/>
          <w:sz w:val="24"/>
          <w:szCs w:val="24"/>
        </w:rPr>
      </w:pPr>
      <w:r w:rsidRPr="00157C56">
        <w:rPr>
          <w:i/>
          <w:iCs/>
          <w:sz w:val="24"/>
          <w:szCs w:val="24"/>
        </w:rPr>
        <w:t>Almene symptomer og reaktioner på administrationsstedet</w:t>
      </w:r>
    </w:p>
    <w:p w14:paraId="2A64601F" w14:textId="77777777" w:rsidR="00157C56" w:rsidRPr="00157C56" w:rsidRDefault="00157C56" w:rsidP="00157C56">
      <w:pPr>
        <w:tabs>
          <w:tab w:val="left" w:pos="851"/>
        </w:tabs>
        <w:ind w:left="851"/>
        <w:rPr>
          <w:sz w:val="24"/>
          <w:szCs w:val="24"/>
        </w:rPr>
      </w:pPr>
      <w:r w:rsidRPr="00157C56">
        <w:rPr>
          <w:sz w:val="24"/>
          <w:szCs w:val="24"/>
        </w:rPr>
        <w:t>Forsinket sårheling.</w:t>
      </w:r>
    </w:p>
    <w:p w14:paraId="67C85FFF" w14:textId="77777777" w:rsidR="00157C56" w:rsidRPr="00157C56" w:rsidRDefault="00157C56" w:rsidP="00157C56">
      <w:pPr>
        <w:tabs>
          <w:tab w:val="left" w:pos="851"/>
        </w:tabs>
        <w:ind w:left="851"/>
        <w:rPr>
          <w:sz w:val="24"/>
          <w:szCs w:val="24"/>
        </w:rPr>
      </w:pPr>
    </w:p>
    <w:p w14:paraId="0D17B892" w14:textId="77777777" w:rsidR="00157C56" w:rsidRPr="00157C56" w:rsidRDefault="00157C56" w:rsidP="00157C56">
      <w:pPr>
        <w:tabs>
          <w:tab w:val="left" w:pos="851"/>
        </w:tabs>
        <w:ind w:left="851"/>
        <w:rPr>
          <w:sz w:val="24"/>
          <w:szCs w:val="24"/>
          <w:u w:val="single"/>
        </w:rPr>
      </w:pPr>
      <w:r w:rsidRPr="00157C56">
        <w:rPr>
          <w:sz w:val="24"/>
          <w:szCs w:val="24"/>
          <w:u w:val="single"/>
        </w:rPr>
        <w:t>Indberetning af formodede bivirkninger</w:t>
      </w:r>
    </w:p>
    <w:p w14:paraId="621060F9" w14:textId="77777777" w:rsidR="00157C56" w:rsidRPr="00157C56" w:rsidRDefault="00157C56" w:rsidP="00157C56">
      <w:pPr>
        <w:tabs>
          <w:tab w:val="left" w:pos="851"/>
        </w:tabs>
        <w:ind w:left="851"/>
        <w:rPr>
          <w:sz w:val="24"/>
          <w:szCs w:val="24"/>
        </w:rPr>
      </w:pPr>
      <w:r w:rsidRPr="00157C56">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2965298B" w14:textId="77777777" w:rsidR="00157C56" w:rsidRPr="00157C56" w:rsidRDefault="00157C56" w:rsidP="00157C56">
      <w:pPr>
        <w:tabs>
          <w:tab w:val="left" w:pos="851"/>
        </w:tabs>
        <w:ind w:left="851"/>
        <w:rPr>
          <w:sz w:val="24"/>
          <w:szCs w:val="24"/>
        </w:rPr>
      </w:pPr>
    </w:p>
    <w:p w14:paraId="28F7815B" w14:textId="77777777" w:rsidR="00157C56" w:rsidRPr="00157C56" w:rsidRDefault="00157C56" w:rsidP="00157C56">
      <w:pPr>
        <w:tabs>
          <w:tab w:val="left" w:pos="851"/>
        </w:tabs>
        <w:ind w:left="851"/>
        <w:rPr>
          <w:sz w:val="24"/>
          <w:szCs w:val="24"/>
        </w:rPr>
      </w:pPr>
      <w:r w:rsidRPr="00157C56">
        <w:rPr>
          <w:sz w:val="24"/>
          <w:szCs w:val="24"/>
        </w:rPr>
        <w:t>Lægemiddelstyrelsen</w:t>
      </w:r>
    </w:p>
    <w:p w14:paraId="3A2A3AF4" w14:textId="77777777" w:rsidR="00157C56" w:rsidRPr="00157C56" w:rsidRDefault="00157C56" w:rsidP="00157C56">
      <w:pPr>
        <w:tabs>
          <w:tab w:val="left" w:pos="851"/>
        </w:tabs>
        <w:ind w:left="851"/>
        <w:rPr>
          <w:sz w:val="24"/>
          <w:szCs w:val="24"/>
        </w:rPr>
      </w:pPr>
      <w:r w:rsidRPr="00157C56">
        <w:rPr>
          <w:sz w:val="24"/>
          <w:szCs w:val="24"/>
        </w:rPr>
        <w:t>Axel Heides Gade 1</w:t>
      </w:r>
    </w:p>
    <w:p w14:paraId="012473A4" w14:textId="77777777" w:rsidR="00157C56" w:rsidRPr="00157C56" w:rsidRDefault="00157C56" w:rsidP="00157C56">
      <w:pPr>
        <w:tabs>
          <w:tab w:val="left" w:pos="851"/>
        </w:tabs>
        <w:ind w:left="851"/>
        <w:rPr>
          <w:sz w:val="24"/>
          <w:szCs w:val="24"/>
        </w:rPr>
      </w:pPr>
      <w:r w:rsidRPr="00157C56">
        <w:rPr>
          <w:sz w:val="24"/>
          <w:szCs w:val="24"/>
        </w:rPr>
        <w:t>DK-2300 København S</w:t>
      </w:r>
    </w:p>
    <w:p w14:paraId="6E751B9D" w14:textId="3F526907" w:rsidR="00157C56" w:rsidRPr="00157C56" w:rsidRDefault="00157C56" w:rsidP="00157C56">
      <w:pPr>
        <w:tabs>
          <w:tab w:val="left" w:pos="851"/>
        </w:tabs>
        <w:ind w:left="851"/>
        <w:rPr>
          <w:sz w:val="24"/>
          <w:szCs w:val="24"/>
        </w:rPr>
      </w:pPr>
      <w:r w:rsidRPr="00157C56">
        <w:rPr>
          <w:sz w:val="24"/>
          <w:szCs w:val="24"/>
        </w:rPr>
        <w:t>Websted: www.meldenbivirkning.dk</w:t>
      </w:r>
    </w:p>
    <w:p w14:paraId="3F59ACEF" w14:textId="77777777" w:rsidR="009260DE" w:rsidRPr="00A10294" w:rsidRDefault="009260DE" w:rsidP="00A10294">
      <w:pPr>
        <w:tabs>
          <w:tab w:val="left" w:pos="851"/>
        </w:tabs>
        <w:ind w:left="851"/>
        <w:rPr>
          <w:sz w:val="24"/>
          <w:szCs w:val="24"/>
        </w:rPr>
      </w:pPr>
    </w:p>
    <w:p w14:paraId="6E4C16B3"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F352724" w14:textId="77777777" w:rsidR="00447044" w:rsidRDefault="00447044" w:rsidP="00447044">
      <w:pPr>
        <w:tabs>
          <w:tab w:val="left" w:pos="851"/>
        </w:tabs>
        <w:ind w:left="851"/>
        <w:rPr>
          <w:b/>
          <w:bCs/>
          <w:sz w:val="24"/>
          <w:szCs w:val="24"/>
        </w:rPr>
      </w:pPr>
    </w:p>
    <w:p w14:paraId="4EA5629A" w14:textId="233624F9" w:rsidR="00447044" w:rsidRPr="00447044" w:rsidRDefault="00447044" w:rsidP="00447044">
      <w:pPr>
        <w:tabs>
          <w:tab w:val="left" w:pos="851"/>
        </w:tabs>
        <w:ind w:left="851"/>
        <w:rPr>
          <w:bCs/>
          <w:sz w:val="24"/>
          <w:szCs w:val="24"/>
          <w:u w:val="single"/>
        </w:rPr>
      </w:pPr>
      <w:r w:rsidRPr="00447044">
        <w:rPr>
          <w:bCs/>
          <w:sz w:val="24"/>
          <w:szCs w:val="24"/>
          <w:u w:val="single"/>
        </w:rPr>
        <w:t>Symptomer</w:t>
      </w:r>
    </w:p>
    <w:p w14:paraId="39C4957F" w14:textId="77777777" w:rsidR="00447044" w:rsidRPr="00447044" w:rsidRDefault="00447044" w:rsidP="00447044">
      <w:pPr>
        <w:tabs>
          <w:tab w:val="left" w:pos="851"/>
        </w:tabs>
        <w:ind w:left="851"/>
        <w:rPr>
          <w:sz w:val="24"/>
          <w:szCs w:val="24"/>
        </w:rPr>
      </w:pPr>
      <w:r w:rsidRPr="00447044">
        <w:rPr>
          <w:sz w:val="24"/>
          <w:szCs w:val="24"/>
        </w:rPr>
        <w:t>Der findes ingen kendte akutte forgiftninger med dexamethason. I tilfælde af kronisk overdosering kan en stigning i bivirkninger (se pkt. 4.8), især endokrine, metaboliske og elektrolytrelaterede virkninger, forventes.</w:t>
      </w:r>
    </w:p>
    <w:p w14:paraId="45A80406" w14:textId="77777777" w:rsidR="00447044" w:rsidRPr="00447044" w:rsidRDefault="00447044" w:rsidP="00447044">
      <w:pPr>
        <w:tabs>
          <w:tab w:val="left" w:pos="851"/>
        </w:tabs>
        <w:ind w:left="851"/>
        <w:rPr>
          <w:sz w:val="24"/>
          <w:szCs w:val="24"/>
        </w:rPr>
      </w:pPr>
    </w:p>
    <w:p w14:paraId="59AF40AE" w14:textId="77777777" w:rsidR="00447044" w:rsidRPr="00447044" w:rsidRDefault="00447044" w:rsidP="00447044">
      <w:pPr>
        <w:tabs>
          <w:tab w:val="left" w:pos="851"/>
        </w:tabs>
        <w:ind w:left="851"/>
        <w:rPr>
          <w:bCs/>
          <w:sz w:val="24"/>
          <w:szCs w:val="24"/>
          <w:u w:val="single"/>
        </w:rPr>
      </w:pPr>
      <w:r w:rsidRPr="00447044">
        <w:rPr>
          <w:bCs/>
          <w:sz w:val="24"/>
          <w:szCs w:val="24"/>
          <w:u w:val="single"/>
        </w:rPr>
        <w:t>Behandling</w:t>
      </w:r>
    </w:p>
    <w:p w14:paraId="33513FA2" w14:textId="77777777" w:rsidR="00447044" w:rsidRPr="00447044" w:rsidRDefault="00447044" w:rsidP="00447044">
      <w:pPr>
        <w:tabs>
          <w:tab w:val="left" w:pos="851"/>
        </w:tabs>
        <w:ind w:left="851"/>
        <w:rPr>
          <w:sz w:val="24"/>
          <w:szCs w:val="24"/>
        </w:rPr>
      </w:pPr>
      <w:r w:rsidRPr="00447044">
        <w:rPr>
          <w:sz w:val="24"/>
          <w:szCs w:val="24"/>
        </w:rPr>
        <w:t>Der er ingen kendt modgift til dexamethason.</w:t>
      </w:r>
    </w:p>
    <w:p w14:paraId="126A4FB8" w14:textId="77777777" w:rsidR="009260DE" w:rsidRPr="00C84483" w:rsidRDefault="009260DE" w:rsidP="009260DE">
      <w:pPr>
        <w:tabs>
          <w:tab w:val="left" w:pos="851"/>
        </w:tabs>
        <w:ind w:left="851"/>
        <w:rPr>
          <w:sz w:val="24"/>
          <w:szCs w:val="24"/>
        </w:rPr>
      </w:pPr>
    </w:p>
    <w:p w14:paraId="1380F1AE"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4C45DA7" w14:textId="2EB4C550" w:rsidR="009260DE" w:rsidRPr="00C84483" w:rsidRDefault="006C547E" w:rsidP="009260DE">
      <w:pPr>
        <w:tabs>
          <w:tab w:val="left" w:pos="851"/>
        </w:tabs>
        <w:ind w:left="851"/>
        <w:rPr>
          <w:sz w:val="24"/>
          <w:szCs w:val="24"/>
        </w:rPr>
      </w:pPr>
      <w:r>
        <w:rPr>
          <w:sz w:val="24"/>
          <w:szCs w:val="24"/>
        </w:rPr>
        <w:t>B</w:t>
      </w:r>
    </w:p>
    <w:p w14:paraId="0C49A76A" w14:textId="77777777" w:rsidR="009260DE" w:rsidRPr="00C84483" w:rsidRDefault="009260DE" w:rsidP="009260DE">
      <w:pPr>
        <w:tabs>
          <w:tab w:val="left" w:pos="851"/>
        </w:tabs>
        <w:ind w:left="851"/>
        <w:rPr>
          <w:sz w:val="24"/>
          <w:szCs w:val="24"/>
        </w:rPr>
      </w:pPr>
    </w:p>
    <w:p w14:paraId="00A83586" w14:textId="77777777" w:rsidR="009260DE" w:rsidRPr="00C84483" w:rsidRDefault="009260DE" w:rsidP="009260DE">
      <w:pPr>
        <w:tabs>
          <w:tab w:val="left" w:pos="851"/>
        </w:tabs>
        <w:ind w:left="851"/>
        <w:rPr>
          <w:sz w:val="24"/>
          <w:szCs w:val="24"/>
        </w:rPr>
      </w:pPr>
    </w:p>
    <w:p w14:paraId="501A0901"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1D85577" w14:textId="77777777" w:rsidR="009260DE" w:rsidRPr="00C84483" w:rsidRDefault="009260DE" w:rsidP="009260DE">
      <w:pPr>
        <w:tabs>
          <w:tab w:val="left" w:pos="851"/>
        </w:tabs>
        <w:ind w:left="851"/>
        <w:rPr>
          <w:sz w:val="24"/>
          <w:szCs w:val="24"/>
        </w:rPr>
      </w:pPr>
    </w:p>
    <w:p w14:paraId="33537CF7"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2BE9513E" w14:textId="77777777" w:rsidR="001F1C1E" w:rsidRPr="00B27361" w:rsidRDefault="001F1C1E" w:rsidP="00B27361">
      <w:pPr>
        <w:suppressAutoHyphens/>
        <w:ind w:left="851"/>
        <w:rPr>
          <w:sz w:val="24"/>
          <w:szCs w:val="24"/>
          <w:lang w:eastAsia="fr-LU"/>
        </w:rPr>
      </w:pPr>
      <w:r w:rsidRPr="00B27361">
        <w:rPr>
          <w:sz w:val="24"/>
          <w:szCs w:val="24"/>
        </w:rPr>
        <w:t>Farmakoterapeutisk klassifikation: Kortikosteroider til systemisk brug, glukokortikoider. ATC-kode: H02AB02.</w:t>
      </w:r>
    </w:p>
    <w:p w14:paraId="30DE7797" w14:textId="77777777" w:rsidR="001F1C1E" w:rsidRPr="00B27361" w:rsidRDefault="001F1C1E" w:rsidP="00B27361">
      <w:pPr>
        <w:ind w:left="851"/>
        <w:rPr>
          <w:sz w:val="24"/>
          <w:szCs w:val="24"/>
        </w:rPr>
      </w:pPr>
    </w:p>
    <w:p w14:paraId="619E9AF2" w14:textId="77777777" w:rsidR="001F1C1E" w:rsidRPr="00B27361" w:rsidRDefault="001F1C1E" w:rsidP="00B27361">
      <w:pPr>
        <w:ind w:left="851"/>
        <w:rPr>
          <w:sz w:val="24"/>
          <w:szCs w:val="24"/>
        </w:rPr>
      </w:pPr>
      <w:r w:rsidRPr="00B27361">
        <w:rPr>
          <w:sz w:val="24"/>
          <w:szCs w:val="24"/>
        </w:rPr>
        <w:t>Dexamethason er et monofluorineret glukokortikoid med udtalte antiallergiske, antiinflammatoriske og membranstabiliserende egenskaber og virkninger på kulhydrat-, protein- og fedtmetabolisme.</w:t>
      </w:r>
    </w:p>
    <w:p w14:paraId="1CAB0D82" w14:textId="77777777" w:rsidR="001F1C1E" w:rsidRPr="00B27361" w:rsidRDefault="001F1C1E" w:rsidP="00B27361">
      <w:pPr>
        <w:ind w:left="851"/>
        <w:rPr>
          <w:sz w:val="24"/>
          <w:szCs w:val="24"/>
        </w:rPr>
      </w:pPr>
    </w:p>
    <w:p w14:paraId="6931F4AA" w14:textId="77777777" w:rsidR="001F1C1E" w:rsidRPr="00B27361" w:rsidRDefault="001F1C1E" w:rsidP="00B27361">
      <w:pPr>
        <w:ind w:left="851"/>
        <w:rPr>
          <w:sz w:val="24"/>
          <w:szCs w:val="24"/>
        </w:rPr>
      </w:pPr>
      <w:r w:rsidRPr="00B27361">
        <w:rPr>
          <w:sz w:val="24"/>
          <w:szCs w:val="24"/>
        </w:rPr>
        <w:t>Dexamethason har cirka 7,5 gange større glukokortikoid virkning end prednisolon og prednison, og sammenlignet med hydrokortison har det en 30 gange større virkning. Dexamethason har ingen mineralokortikoide virkninger.</w:t>
      </w:r>
    </w:p>
    <w:p w14:paraId="3C83FFB1" w14:textId="77777777" w:rsidR="001F1C1E" w:rsidRPr="00B27361" w:rsidRDefault="001F1C1E" w:rsidP="00B27361">
      <w:pPr>
        <w:ind w:left="851"/>
        <w:rPr>
          <w:sz w:val="24"/>
          <w:szCs w:val="24"/>
        </w:rPr>
      </w:pPr>
    </w:p>
    <w:p w14:paraId="2EF4EC4A" w14:textId="77777777" w:rsidR="001F1C1E" w:rsidRPr="00B27361" w:rsidRDefault="001F1C1E" w:rsidP="00B27361">
      <w:pPr>
        <w:ind w:left="851"/>
        <w:rPr>
          <w:sz w:val="24"/>
          <w:szCs w:val="24"/>
        </w:rPr>
      </w:pPr>
      <w:r w:rsidRPr="00B27361">
        <w:rPr>
          <w:sz w:val="24"/>
          <w:szCs w:val="24"/>
        </w:rPr>
        <w:t>Glukokortikoider, f.eks. dexamethason, udøver deres biologiske virkninger ved at aktivere transskriptionen af kortikosteroidfølsomme gener. De antiinflammatoriske, immunsuppressive og antiproliferative virkninger er blandt andet forårsaget af reduceret dannelse, frigørelse og aktivitet af inflammatoriske mediatorer, ved hæmningen af specifikke funktioner og migrationen af inflammatoriske celler. Desuden kan virkningen af sensibiliserede T-lymfocytter og makrofager på målceller blive forhindret af kortikosteroider.</w:t>
      </w:r>
    </w:p>
    <w:p w14:paraId="05199533" w14:textId="77777777" w:rsidR="001F1C1E" w:rsidRPr="00B27361" w:rsidRDefault="001F1C1E" w:rsidP="00B27361">
      <w:pPr>
        <w:ind w:left="851"/>
        <w:rPr>
          <w:sz w:val="24"/>
          <w:szCs w:val="24"/>
        </w:rPr>
      </w:pPr>
    </w:p>
    <w:p w14:paraId="417D6F7D" w14:textId="77777777" w:rsidR="001F1C1E" w:rsidRPr="00B27361" w:rsidRDefault="001F1C1E" w:rsidP="00B27361">
      <w:pPr>
        <w:ind w:left="851"/>
        <w:rPr>
          <w:sz w:val="24"/>
          <w:szCs w:val="24"/>
        </w:rPr>
      </w:pPr>
      <w:r w:rsidRPr="00B27361">
        <w:rPr>
          <w:sz w:val="24"/>
          <w:szCs w:val="24"/>
        </w:rPr>
        <w:lastRenderedPageBreak/>
        <w:t>Når det er nødvendigt med langvarig kortikoidbehandling, skal muligheden for induktion af forbigående adrenal insufficiens overvejes. Undertrykkelsen af hypothalamus-hypofyse-binyrebark-aksen afhænger også af individuelle faktorer.</w:t>
      </w:r>
    </w:p>
    <w:p w14:paraId="042ADD77" w14:textId="77777777" w:rsidR="001F1C1E" w:rsidRPr="00B27361" w:rsidRDefault="001F1C1E" w:rsidP="00B27361">
      <w:pPr>
        <w:ind w:left="851"/>
        <w:rPr>
          <w:sz w:val="24"/>
          <w:szCs w:val="24"/>
        </w:rPr>
      </w:pPr>
    </w:p>
    <w:p w14:paraId="7B7EC38B" w14:textId="77777777" w:rsidR="001F1C1E" w:rsidRPr="00B27361" w:rsidRDefault="001F1C1E" w:rsidP="00B27361">
      <w:pPr>
        <w:ind w:left="851"/>
        <w:rPr>
          <w:sz w:val="24"/>
          <w:szCs w:val="24"/>
          <w:u w:val="single"/>
        </w:rPr>
      </w:pPr>
      <w:r w:rsidRPr="00B27361">
        <w:rPr>
          <w:sz w:val="24"/>
          <w:szCs w:val="24"/>
          <w:u w:val="single"/>
        </w:rPr>
        <w:t>Behandling af COVID-19</w:t>
      </w:r>
    </w:p>
    <w:p w14:paraId="492096DE" w14:textId="77777777" w:rsidR="001F1C1E" w:rsidRPr="00B27361" w:rsidRDefault="001F1C1E" w:rsidP="00B27361">
      <w:pPr>
        <w:ind w:left="851"/>
        <w:rPr>
          <w:sz w:val="24"/>
          <w:szCs w:val="24"/>
        </w:rPr>
      </w:pPr>
      <w:r w:rsidRPr="00B27361">
        <w:rPr>
          <w:sz w:val="24"/>
          <w:szCs w:val="24"/>
        </w:rPr>
        <w:t>RECOVERY-forsøget (Randomized Evaluation of COVID-19 therapy)</w:t>
      </w:r>
      <w:r w:rsidRPr="00B27361">
        <w:rPr>
          <w:sz w:val="24"/>
          <w:szCs w:val="24"/>
          <w:vertAlign w:val="superscript"/>
        </w:rPr>
        <w:t>1</w:t>
      </w:r>
      <w:r w:rsidRPr="00B27361">
        <w:rPr>
          <w:sz w:val="24"/>
          <w:szCs w:val="24"/>
        </w:rPr>
        <w:t xml:space="preserve"> er et investigator-initieret, individuelt randomiseret, kontrolleret, åbent, adaptivt platformforsøg til evaluering af virkningen af potentielle behandlinger hos patienter, der er indlagt med COVID-19.</w:t>
      </w:r>
    </w:p>
    <w:p w14:paraId="0248A7BB" w14:textId="77777777" w:rsidR="001F1C1E" w:rsidRPr="00B27361" w:rsidRDefault="001F1C1E" w:rsidP="00B27361">
      <w:pPr>
        <w:ind w:left="851"/>
        <w:rPr>
          <w:sz w:val="24"/>
          <w:szCs w:val="24"/>
        </w:rPr>
      </w:pPr>
    </w:p>
    <w:p w14:paraId="385765AF" w14:textId="77777777" w:rsidR="001F1C1E" w:rsidRPr="00B27361" w:rsidRDefault="001F1C1E" w:rsidP="00B27361">
      <w:pPr>
        <w:ind w:left="851"/>
        <w:rPr>
          <w:sz w:val="24"/>
          <w:szCs w:val="24"/>
        </w:rPr>
      </w:pPr>
      <w:r w:rsidRPr="00B27361">
        <w:rPr>
          <w:sz w:val="24"/>
          <w:szCs w:val="24"/>
        </w:rPr>
        <w:t>Studiet blev udført på 176 hospitalsafdelinger i Storbritannien.</w:t>
      </w:r>
    </w:p>
    <w:p w14:paraId="0BE4BFA0" w14:textId="77777777" w:rsidR="001F1C1E" w:rsidRPr="00B27361" w:rsidRDefault="001F1C1E" w:rsidP="00B27361">
      <w:pPr>
        <w:ind w:left="851"/>
        <w:rPr>
          <w:sz w:val="24"/>
          <w:szCs w:val="24"/>
        </w:rPr>
      </w:pPr>
    </w:p>
    <w:p w14:paraId="61980775" w14:textId="77777777" w:rsidR="001F1C1E" w:rsidRPr="00B27361" w:rsidRDefault="001F1C1E" w:rsidP="00B27361">
      <w:pPr>
        <w:ind w:left="851"/>
        <w:rPr>
          <w:sz w:val="24"/>
          <w:szCs w:val="24"/>
        </w:rPr>
      </w:pPr>
      <w:r w:rsidRPr="00B27361">
        <w:rPr>
          <w:sz w:val="24"/>
          <w:szCs w:val="24"/>
        </w:rPr>
        <w:t>6.425 patienter blev randomiserede til enten at få dexamethason (2.104 patienter) eller almindelig pleje alene (4.321 patienter). 89 % af patienterne havde laboratoriebekræftet SARS-CoV-2-infektion.</w:t>
      </w:r>
    </w:p>
    <w:p w14:paraId="20630566" w14:textId="77777777" w:rsidR="001F1C1E" w:rsidRPr="00B27361" w:rsidRDefault="001F1C1E" w:rsidP="00B27361">
      <w:pPr>
        <w:ind w:left="851"/>
        <w:rPr>
          <w:sz w:val="24"/>
          <w:szCs w:val="24"/>
        </w:rPr>
      </w:pPr>
    </w:p>
    <w:p w14:paraId="11D2D121" w14:textId="77777777" w:rsidR="001F1C1E" w:rsidRPr="00B27361" w:rsidRDefault="001F1C1E" w:rsidP="00B27361">
      <w:pPr>
        <w:ind w:left="851"/>
        <w:rPr>
          <w:sz w:val="24"/>
          <w:szCs w:val="24"/>
        </w:rPr>
      </w:pPr>
      <w:r w:rsidRPr="00B27361">
        <w:rPr>
          <w:sz w:val="24"/>
          <w:szCs w:val="24"/>
        </w:rPr>
        <w:t>Ved randomisering fik 16 % af patienterne invasiv mekanisk ventilation eller ekstrakorporal membranoxygenering, 60 % fik kun ilt (med eller uden non invasiv ventilation) og 24 % fik ingen af delene.</w:t>
      </w:r>
    </w:p>
    <w:p w14:paraId="5FADA5DE" w14:textId="77777777" w:rsidR="001F1C1E" w:rsidRPr="00B27361" w:rsidRDefault="001F1C1E" w:rsidP="00B27361">
      <w:pPr>
        <w:ind w:left="851"/>
        <w:rPr>
          <w:sz w:val="24"/>
          <w:szCs w:val="24"/>
        </w:rPr>
      </w:pPr>
    </w:p>
    <w:p w14:paraId="23C12F69" w14:textId="77777777" w:rsidR="001F1C1E" w:rsidRPr="00B27361" w:rsidRDefault="001F1C1E" w:rsidP="00B27361">
      <w:pPr>
        <w:ind w:left="851"/>
        <w:rPr>
          <w:sz w:val="24"/>
          <w:szCs w:val="24"/>
        </w:rPr>
      </w:pPr>
      <w:r w:rsidRPr="00B27361">
        <w:rPr>
          <w:sz w:val="24"/>
          <w:szCs w:val="24"/>
        </w:rPr>
        <w:t>Patienternes gennemsnitsalder var 66,1+/-15,7 år. 36 % af patienterne var kvinder. 24 % af patienterne havde diabetes, 27 % havde hjertesygdom og 21 % havde kronisk lungesygdom.</w:t>
      </w:r>
    </w:p>
    <w:p w14:paraId="454488FD" w14:textId="77777777" w:rsidR="001F1C1E" w:rsidRPr="00B27361" w:rsidRDefault="001F1C1E" w:rsidP="00B27361">
      <w:pPr>
        <w:ind w:left="851"/>
        <w:rPr>
          <w:sz w:val="24"/>
          <w:szCs w:val="24"/>
        </w:rPr>
      </w:pPr>
    </w:p>
    <w:p w14:paraId="71483470" w14:textId="77777777" w:rsidR="001F1C1E" w:rsidRPr="00C32E3F" w:rsidRDefault="001F1C1E" w:rsidP="00B27361">
      <w:pPr>
        <w:keepNext/>
        <w:ind w:left="851"/>
        <w:rPr>
          <w:bCs/>
          <w:sz w:val="24"/>
          <w:szCs w:val="24"/>
          <w:u w:val="single"/>
        </w:rPr>
      </w:pPr>
      <w:r w:rsidRPr="00C32E3F">
        <w:rPr>
          <w:bCs/>
          <w:sz w:val="24"/>
          <w:szCs w:val="24"/>
          <w:u w:val="single"/>
        </w:rPr>
        <w:t>Primært endepunkt</w:t>
      </w:r>
    </w:p>
    <w:p w14:paraId="6BF3A217" w14:textId="77777777" w:rsidR="001F1C1E" w:rsidRPr="00B27361" w:rsidRDefault="001F1C1E" w:rsidP="00B27361">
      <w:pPr>
        <w:keepNext/>
        <w:ind w:left="851"/>
        <w:rPr>
          <w:sz w:val="24"/>
          <w:szCs w:val="24"/>
        </w:rPr>
      </w:pPr>
      <w:r w:rsidRPr="00B27361">
        <w:rPr>
          <w:sz w:val="24"/>
          <w:szCs w:val="24"/>
        </w:rPr>
        <w:t>Dødeligheden efter 28 dage var signifikant lavere i dexamethasongruppen end i gruppen, der fik almindelig pleje, med rapporterede dødsfald hos henholdsvis 482 ud af 2.104 patienter (22,9 %) og hos 1.110 ud af 4.321 patienter (25,7 %) (rate ratio, 0,83; 95 % konfidensinterval [CI], 0,75-0,93; p &lt;0,001).</w:t>
      </w:r>
    </w:p>
    <w:p w14:paraId="7C9E2DAF" w14:textId="77777777" w:rsidR="001F1C1E" w:rsidRPr="00B27361" w:rsidRDefault="001F1C1E" w:rsidP="00B27361">
      <w:pPr>
        <w:keepNext/>
        <w:ind w:left="851"/>
        <w:rPr>
          <w:sz w:val="24"/>
          <w:szCs w:val="24"/>
        </w:rPr>
      </w:pPr>
    </w:p>
    <w:p w14:paraId="5B4B90FA" w14:textId="77777777" w:rsidR="001F1C1E" w:rsidRPr="00B27361" w:rsidRDefault="001F1C1E" w:rsidP="00B27361">
      <w:pPr>
        <w:keepNext/>
        <w:ind w:left="851"/>
        <w:rPr>
          <w:sz w:val="24"/>
          <w:szCs w:val="24"/>
        </w:rPr>
      </w:pPr>
      <w:r w:rsidRPr="00B27361">
        <w:rPr>
          <w:sz w:val="24"/>
          <w:szCs w:val="24"/>
        </w:rPr>
        <w:t>I dexamethasongruppen var incidensen af dødsfald lavere end i gruppen, der fik almindelig pleje, blandt patienter, der fik invasiv mekanisk ventilation (29,3 % vs. 41,4 %; rate ratio, 0,64; 95 % CI, 0,51 til 0.81), og hos patienter, der fik supplerende iltbehandling uden invasiv mekanisk ventilation (23,3 % vs. 26,2 %; rate ratio, 0,82; 95 % CI, 0,72 til 0,94).</w:t>
      </w:r>
    </w:p>
    <w:p w14:paraId="7D05B124" w14:textId="77777777" w:rsidR="001F1C1E" w:rsidRPr="00B27361" w:rsidRDefault="001F1C1E" w:rsidP="00B27361">
      <w:pPr>
        <w:keepNext/>
        <w:ind w:left="851"/>
        <w:rPr>
          <w:sz w:val="24"/>
          <w:szCs w:val="24"/>
        </w:rPr>
      </w:pPr>
    </w:p>
    <w:p w14:paraId="5E69A89D" w14:textId="77777777" w:rsidR="001F1C1E" w:rsidRPr="00B27361" w:rsidRDefault="001F1C1E" w:rsidP="00B27361">
      <w:pPr>
        <w:keepNext/>
        <w:ind w:left="851"/>
        <w:rPr>
          <w:sz w:val="24"/>
          <w:szCs w:val="24"/>
        </w:rPr>
      </w:pPr>
      <w:r w:rsidRPr="00B27361">
        <w:rPr>
          <w:sz w:val="24"/>
          <w:szCs w:val="24"/>
        </w:rPr>
        <w:t>Der var ingen klar effekt af dexamethason blandt patienter, der ikke fik respiratorisk støtte ved randomisering (17,8 % vs. 14,0 %; rate ratio, 1,19; 95 % CI, 0,91 til 1,55).</w:t>
      </w:r>
    </w:p>
    <w:p w14:paraId="167676AA" w14:textId="77777777" w:rsidR="001F1C1E" w:rsidRPr="00B27361" w:rsidRDefault="001F1C1E" w:rsidP="00B27361">
      <w:pPr>
        <w:ind w:left="851"/>
        <w:rPr>
          <w:b/>
          <w:bCs/>
          <w:sz w:val="24"/>
          <w:szCs w:val="24"/>
        </w:rPr>
      </w:pPr>
    </w:p>
    <w:p w14:paraId="59B31340" w14:textId="77777777" w:rsidR="001F1C1E" w:rsidRPr="00C32E3F" w:rsidRDefault="001F1C1E" w:rsidP="00B27361">
      <w:pPr>
        <w:ind w:left="851"/>
        <w:rPr>
          <w:bCs/>
          <w:sz w:val="24"/>
          <w:szCs w:val="24"/>
          <w:u w:val="single"/>
        </w:rPr>
      </w:pPr>
      <w:r w:rsidRPr="00C32E3F">
        <w:rPr>
          <w:bCs/>
          <w:sz w:val="24"/>
          <w:szCs w:val="24"/>
          <w:u w:val="single"/>
        </w:rPr>
        <w:t>Sekundære endepunkter</w:t>
      </w:r>
    </w:p>
    <w:p w14:paraId="17E5ED49" w14:textId="77777777" w:rsidR="001F1C1E" w:rsidRPr="00B27361" w:rsidRDefault="001F1C1E" w:rsidP="00B27361">
      <w:pPr>
        <w:ind w:left="851"/>
        <w:rPr>
          <w:sz w:val="24"/>
          <w:szCs w:val="24"/>
        </w:rPr>
      </w:pPr>
      <w:r w:rsidRPr="00B27361">
        <w:rPr>
          <w:sz w:val="24"/>
          <w:szCs w:val="24"/>
        </w:rPr>
        <w:t>Patienterne i dexamethasongruppen havde en kortere indlæggelsestid end patienterne i gruppen, der fik almindelig pleje (gennemsnit, 12 dage vs. 13 dage), og en større sandsynlighed for at blive udskrevet i live inden for 28 dage (rate ratio, 1,10; 95 % CI, 1,03 til 1,17).</w:t>
      </w:r>
    </w:p>
    <w:p w14:paraId="6ACCD977" w14:textId="77777777" w:rsidR="001F1C1E" w:rsidRPr="00B27361" w:rsidRDefault="001F1C1E" w:rsidP="00B27361">
      <w:pPr>
        <w:ind w:left="851"/>
        <w:rPr>
          <w:sz w:val="24"/>
          <w:szCs w:val="24"/>
        </w:rPr>
      </w:pPr>
    </w:p>
    <w:p w14:paraId="4FBFA32A" w14:textId="77777777" w:rsidR="001F1C1E" w:rsidRPr="00B27361" w:rsidRDefault="001F1C1E" w:rsidP="00B27361">
      <w:pPr>
        <w:ind w:left="851"/>
        <w:rPr>
          <w:sz w:val="24"/>
          <w:szCs w:val="24"/>
        </w:rPr>
      </w:pPr>
      <w:r w:rsidRPr="00B27361">
        <w:rPr>
          <w:sz w:val="24"/>
          <w:szCs w:val="24"/>
        </w:rPr>
        <w:t>I overensstemmelse med det primære endepunkt sås den største effekt med hensyn til udskrivelse inden for 28 dage blandt patienter, der fik invasiv mekanisk ventilation ved randomisering (rate ratio 1,48; 95 % CI 1,16-1,90), efterfulgt af ilt alene (rate ratio, 1,15; 95 % CI, 1,06-1,24) og ingen gavnlig effekt hos patienter, der ikke fik ilt (rate ratio, 0,96; 95 % CI, 0,85-1,08).</w:t>
      </w:r>
    </w:p>
    <w:p w14:paraId="05E362B2" w14:textId="77777777" w:rsidR="001F1C1E" w:rsidRPr="00B27361" w:rsidRDefault="001F1C1E" w:rsidP="00B27361">
      <w:pPr>
        <w:ind w:left="851"/>
        <w:rPr>
          <w:sz w:val="24"/>
          <w:szCs w:val="24"/>
        </w:rPr>
      </w:pPr>
    </w:p>
    <w:tbl>
      <w:tblPr>
        <w:tblW w:w="86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7"/>
        <w:gridCol w:w="2078"/>
        <w:gridCol w:w="1891"/>
        <w:gridCol w:w="1701"/>
      </w:tblGrid>
      <w:tr w:rsidR="001F1C1E" w:rsidRPr="00FF28F7" w14:paraId="417FA57D" w14:textId="77777777" w:rsidTr="004067C4">
        <w:trPr>
          <w:jc w:val="center"/>
        </w:trPr>
        <w:tc>
          <w:tcPr>
            <w:tcW w:w="2977" w:type="dxa"/>
            <w:tcBorders>
              <w:top w:val="single" w:sz="4" w:space="0" w:color="auto"/>
              <w:left w:val="single" w:sz="4" w:space="0" w:color="auto"/>
              <w:bottom w:val="nil"/>
              <w:right w:val="nil"/>
            </w:tcBorders>
          </w:tcPr>
          <w:p w14:paraId="7F4DF15F" w14:textId="77777777" w:rsidR="001F1C1E" w:rsidRDefault="001F1C1E">
            <w:pPr>
              <w:rPr>
                <w:b/>
                <w:sz w:val="22"/>
                <w:szCs w:val="22"/>
              </w:rPr>
            </w:pPr>
          </w:p>
          <w:p w14:paraId="6C31B7E1" w14:textId="77777777" w:rsidR="001F1C1E" w:rsidRDefault="001F1C1E">
            <w:pPr>
              <w:rPr>
                <w:b/>
                <w:sz w:val="22"/>
                <w:szCs w:val="22"/>
              </w:rPr>
            </w:pPr>
            <w:r>
              <w:rPr>
                <w:b/>
                <w:sz w:val="22"/>
                <w:szCs w:val="22"/>
              </w:rPr>
              <w:t>Resultat</w:t>
            </w:r>
          </w:p>
        </w:tc>
        <w:tc>
          <w:tcPr>
            <w:tcW w:w="2078" w:type="dxa"/>
            <w:tcBorders>
              <w:top w:val="single" w:sz="4" w:space="0" w:color="auto"/>
              <w:left w:val="nil"/>
              <w:bottom w:val="nil"/>
              <w:right w:val="nil"/>
            </w:tcBorders>
            <w:hideMark/>
          </w:tcPr>
          <w:p w14:paraId="4A682202" w14:textId="77777777" w:rsidR="001F1C1E" w:rsidRDefault="001F1C1E">
            <w:pPr>
              <w:rPr>
                <w:b/>
                <w:sz w:val="22"/>
                <w:szCs w:val="22"/>
              </w:rPr>
            </w:pPr>
            <w:r>
              <w:rPr>
                <w:b/>
                <w:sz w:val="22"/>
                <w:szCs w:val="22"/>
              </w:rPr>
              <w:t>Dexamethason</w:t>
            </w:r>
          </w:p>
          <w:p w14:paraId="17ED7687" w14:textId="77777777" w:rsidR="001F1C1E" w:rsidRDefault="001F1C1E">
            <w:pPr>
              <w:rPr>
                <w:b/>
                <w:sz w:val="22"/>
                <w:szCs w:val="22"/>
              </w:rPr>
            </w:pPr>
            <w:r>
              <w:rPr>
                <w:b/>
                <w:sz w:val="22"/>
                <w:szCs w:val="22"/>
              </w:rPr>
              <w:t>(N = 2104)</w:t>
            </w:r>
          </w:p>
        </w:tc>
        <w:tc>
          <w:tcPr>
            <w:tcW w:w="1891" w:type="dxa"/>
            <w:tcBorders>
              <w:top w:val="single" w:sz="4" w:space="0" w:color="auto"/>
              <w:left w:val="nil"/>
              <w:bottom w:val="nil"/>
              <w:right w:val="nil"/>
            </w:tcBorders>
          </w:tcPr>
          <w:p w14:paraId="0BE8DDAE" w14:textId="77777777" w:rsidR="001F1C1E" w:rsidRDefault="001F1C1E">
            <w:pPr>
              <w:rPr>
                <w:b/>
                <w:sz w:val="22"/>
                <w:szCs w:val="22"/>
              </w:rPr>
            </w:pPr>
            <w:r>
              <w:rPr>
                <w:b/>
                <w:sz w:val="22"/>
                <w:szCs w:val="22"/>
              </w:rPr>
              <w:t>Almindelig pleje</w:t>
            </w:r>
          </w:p>
          <w:p w14:paraId="7F8D1E5E" w14:textId="77777777" w:rsidR="001F1C1E" w:rsidRDefault="001F1C1E">
            <w:pPr>
              <w:rPr>
                <w:b/>
                <w:sz w:val="22"/>
                <w:szCs w:val="22"/>
              </w:rPr>
            </w:pPr>
            <w:r>
              <w:rPr>
                <w:b/>
                <w:sz w:val="22"/>
                <w:szCs w:val="22"/>
              </w:rPr>
              <w:t>(N = 4321)</w:t>
            </w:r>
          </w:p>
          <w:p w14:paraId="63D30B42" w14:textId="77777777" w:rsidR="001F1C1E" w:rsidRDefault="001F1C1E">
            <w:pPr>
              <w:rPr>
                <w:b/>
                <w:sz w:val="22"/>
                <w:szCs w:val="22"/>
              </w:rPr>
            </w:pPr>
          </w:p>
        </w:tc>
        <w:tc>
          <w:tcPr>
            <w:tcW w:w="1701" w:type="dxa"/>
            <w:tcBorders>
              <w:top w:val="single" w:sz="4" w:space="0" w:color="auto"/>
              <w:left w:val="nil"/>
              <w:bottom w:val="nil"/>
              <w:right w:val="single" w:sz="4" w:space="0" w:color="auto"/>
            </w:tcBorders>
            <w:hideMark/>
          </w:tcPr>
          <w:p w14:paraId="3263E0C8" w14:textId="77777777" w:rsidR="001F1C1E" w:rsidRDefault="001F1C1E">
            <w:pPr>
              <w:rPr>
                <w:b/>
                <w:sz w:val="22"/>
                <w:szCs w:val="22"/>
                <w:lang w:val="sv-SE"/>
              </w:rPr>
            </w:pPr>
            <w:r>
              <w:rPr>
                <w:b/>
                <w:sz w:val="22"/>
                <w:szCs w:val="22"/>
                <w:lang w:val="sv-SE"/>
              </w:rPr>
              <w:t>Rate eller risk ratio</w:t>
            </w:r>
          </w:p>
          <w:p w14:paraId="3CB33186" w14:textId="77777777" w:rsidR="001F1C1E" w:rsidRDefault="001F1C1E">
            <w:pPr>
              <w:rPr>
                <w:b/>
                <w:sz w:val="22"/>
                <w:szCs w:val="22"/>
                <w:lang w:val="sv-SE"/>
              </w:rPr>
            </w:pPr>
            <w:r>
              <w:rPr>
                <w:b/>
                <w:sz w:val="22"/>
                <w:szCs w:val="22"/>
                <w:lang w:val="sv-SE"/>
              </w:rPr>
              <w:t>(95% CI)*</w:t>
            </w:r>
          </w:p>
        </w:tc>
      </w:tr>
      <w:tr w:rsidR="001F1C1E" w14:paraId="0C7792F3" w14:textId="77777777" w:rsidTr="004067C4">
        <w:trPr>
          <w:jc w:val="center"/>
        </w:trPr>
        <w:tc>
          <w:tcPr>
            <w:tcW w:w="2977" w:type="dxa"/>
            <w:tcBorders>
              <w:top w:val="nil"/>
              <w:left w:val="single" w:sz="4" w:space="0" w:color="auto"/>
              <w:bottom w:val="nil"/>
              <w:right w:val="nil"/>
            </w:tcBorders>
          </w:tcPr>
          <w:p w14:paraId="58FC9502" w14:textId="77777777" w:rsidR="001F1C1E" w:rsidRDefault="001F1C1E">
            <w:pPr>
              <w:rPr>
                <w:b/>
                <w:sz w:val="22"/>
                <w:szCs w:val="22"/>
                <w:lang w:val="sv-SE"/>
              </w:rPr>
            </w:pPr>
          </w:p>
        </w:tc>
        <w:tc>
          <w:tcPr>
            <w:tcW w:w="5670" w:type="dxa"/>
            <w:gridSpan w:val="3"/>
            <w:tcBorders>
              <w:top w:val="nil"/>
              <w:left w:val="nil"/>
              <w:bottom w:val="nil"/>
              <w:right w:val="single" w:sz="4" w:space="0" w:color="auto"/>
            </w:tcBorders>
          </w:tcPr>
          <w:p w14:paraId="6CED5D71" w14:textId="77777777" w:rsidR="001F1C1E" w:rsidRDefault="001F1C1E">
            <w:pPr>
              <w:rPr>
                <w:i/>
                <w:iCs/>
                <w:sz w:val="22"/>
                <w:szCs w:val="22"/>
              </w:rPr>
            </w:pPr>
            <w:r>
              <w:rPr>
                <w:i/>
                <w:iCs/>
                <w:sz w:val="22"/>
                <w:szCs w:val="22"/>
              </w:rPr>
              <w:t>antal/samlet antal patienter (%)</w:t>
            </w:r>
          </w:p>
          <w:p w14:paraId="6926B195" w14:textId="77777777" w:rsidR="001F1C1E" w:rsidRDefault="001F1C1E">
            <w:pPr>
              <w:rPr>
                <w:b/>
                <w:sz w:val="22"/>
                <w:szCs w:val="22"/>
              </w:rPr>
            </w:pPr>
          </w:p>
        </w:tc>
      </w:tr>
      <w:tr w:rsidR="001F1C1E" w14:paraId="32AA8EA9" w14:textId="77777777" w:rsidTr="004067C4">
        <w:trPr>
          <w:jc w:val="center"/>
        </w:trPr>
        <w:tc>
          <w:tcPr>
            <w:tcW w:w="2977" w:type="dxa"/>
            <w:tcBorders>
              <w:top w:val="nil"/>
              <w:left w:val="single" w:sz="4" w:space="0" w:color="auto"/>
              <w:bottom w:val="nil"/>
              <w:right w:val="nil"/>
            </w:tcBorders>
            <w:shd w:val="clear" w:color="auto" w:fill="E7E6E6"/>
            <w:hideMark/>
          </w:tcPr>
          <w:p w14:paraId="624D2461" w14:textId="77777777" w:rsidR="001F1C1E" w:rsidRDefault="001F1C1E">
            <w:pPr>
              <w:rPr>
                <w:b/>
                <w:sz w:val="22"/>
                <w:szCs w:val="22"/>
              </w:rPr>
            </w:pPr>
            <w:r>
              <w:rPr>
                <w:b/>
                <w:sz w:val="22"/>
                <w:szCs w:val="22"/>
              </w:rPr>
              <w:t>Primært resultat</w:t>
            </w:r>
          </w:p>
        </w:tc>
        <w:tc>
          <w:tcPr>
            <w:tcW w:w="2078" w:type="dxa"/>
            <w:tcBorders>
              <w:top w:val="nil"/>
              <w:left w:val="nil"/>
              <w:bottom w:val="nil"/>
              <w:right w:val="nil"/>
            </w:tcBorders>
            <w:shd w:val="clear" w:color="auto" w:fill="E7E6E6"/>
          </w:tcPr>
          <w:p w14:paraId="44798E9B" w14:textId="77777777" w:rsidR="001F1C1E" w:rsidRDefault="001F1C1E">
            <w:pPr>
              <w:rPr>
                <w:sz w:val="22"/>
                <w:szCs w:val="22"/>
              </w:rPr>
            </w:pPr>
          </w:p>
        </w:tc>
        <w:tc>
          <w:tcPr>
            <w:tcW w:w="1891" w:type="dxa"/>
            <w:tcBorders>
              <w:top w:val="nil"/>
              <w:left w:val="nil"/>
              <w:bottom w:val="nil"/>
              <w:right w:val="nil"/>
            </w:tcBorders>
            <w:shd w:val="clear" w:color="auto" w:fill="E7E6E6"/>
          </w:tcPr>
          <w:p w14:paraId="0660A355" w14:textId="77777777" w:rsidR="001F1C1E" w:rsidRDefault="001F1C1E">
            <w:pPr>
              <w:rPr>
                <w:sz w:val="22"/>
                <w:szCs w:val="22"/>
              </w:rPr>
            </w:pPr>
          </w:p>
        </w:tc>
        <w:tc>
          <w:tcPr>
            <w:tcW w:w="1701" w:type="dxa"/>
            <w:tcBorders>
              <w:top w:val="nil"/>
              <w:left w:val="nil"/>
              <w:bottom w:val="nil"/>
              <w:right w:val="single" w:sz="4" w:space="0" w:color="auto"/>
            </w:tcBorders>
            <w:shd w:val="clear" w:color="auto" w:fill="E7E6E6"/>
          </w:tcPr>
          <w:p w14:paraId="4466B13F" w14:textId="77777777" w:rsidR="001F1C1E" w:rsidRDefault="001F1C1E">
            <w:pPr>
              <w:rPr>
                <w:sz w:val="22"/>
                <w:szCs w:val="22"/>
              </w:rPr>
            </w:pPr>
          </w:p>
        </w:tc>
      </w:tr>
      <w:tr w:rsidR="001F1C1E" w14:paraId="2ECD6486" w14:textId="77777777" w:rsidTr="004067C4">
        <w:trPr>
          <w:jc w:val="center"/>
        </w:trPr>
        <w:tc>
          <w:tcPr>
            <w:tcW w:w="2977" w:type="dxa"/>
            <w:tcBorders>
              <w:top w:val="nil"/>
              <w:left w:val="single" w:sz="4" w:space="0" w:color="auto"/>
              <w:bottom w:val="nil"/>
              <w:right w:val="nil"/>
            </w:tcBorders>
            <w:hideMark/>
          </w:tcPr>
          <w:p w14:paraId="542FBBE4" w14:textId="77777777" w:rsidR="001F1C1E" w:rsidRDefault="001F1C1E">
            <w:pPr>
              <w:rPr>
                <w:sz w:val="22"/>
                <w:szCs w:val="22"/>
              </w:rPr>
            </w:pPr>
            <w:r>
              <w:rPr>
                <w:sz w:val="22"/>
                <w:szCs w:val="22"/>
              </w:rPr>
              <w:t>Dødelighed efter 28 dage</w:t>
            </w:r>
          </w:p>
        </w:tc>
        <w:tc>
          <w:tcPr>
            <w:tcW w:w="2078" w:type="dxa"/>
            <w:tcBorders>
              <w:top w:val="nil"/>
              <w:left w:val="nil"/>
              <w:bottom w:val="nil"/>
              <w:right w:val="nil"/>
            </w:tcBorders>
            <w:hideMark/>
          </w:tcPr>
          <w:p w14:paraId="4647F325" w14:textId="77777777" w:rsidR="001F1C1E" w:rsidRDefault="001F1C1E">
            <w:pPr>
              <w:rPr>
                <w:sz w:val="22"/>
                <w:szCs w:val="22"/>
              </w:rPr>
            </w:pPr>
            <w:r>
              <w:rPr>
                <w:sz w:val="22"/>
                <w:szCs w:val="22"/>
              </w:rPr>
              <w:t>482/2.104 (22,9)</w:t>
            </w:r>
          </w:p>
        </w:tc>
        <w:tc>
          <w:tcPr>
            <w:tcW w:w="1891" w:type="dxa"/>
            <w:tcBorders>
              <w:top w:val="nil"/>
              <w:left w:val="nil"/>
              <w:bottom w:val="nil"/>
              <w:right w:val="nil"/>
            </w:tcBorders>
            <w:hideMark/>
          </w:tcPr>
          <w:p w14:paraId="514799B3" w14:textId="77777777" w:rsidR="001F1C1E" w:rsidRDefault="001F1C1E">
            <w:pPr>
              <w:rPr>
                <w:sz w:val="22"/>
                <w:szCs w:val="22"/>
              </w:rPr>
            </w:pPr>
            <w:r>
              <w:rPr>
                <w:sz w:val="22"/>
                <w:szCs w:val="22"/>
              </w:rPr>
              <w:t>1.110/4.321 (25,7)</w:t>
            </w:r>
          </w:p>
        </w:tc>
        <w:tc>
          <w:tcPr>
            <w:tcW w:w="1701" w:type="dxa"/>
            <w:tcBorders>
              <w:top w:val="nil"/>
              <w:left w:val="nil"/>
              <w:bottom w:val="nil"/>
              <w:right w:val="single" w:sz="4" w:space="0" w:color="auto"/>
            </w:tcBorders>
            <w:hideMark/>
          </w:tcPr>
          <w:p w14:paraId="42E037E7" w14:textId="77777777" w:rsidR="001F1C1E" w:rsidRDefault="001F1C1E">
            <w:pPr>
              <w:rPr>
                <w:sz w:val="22"/>
                <w:szCs w:val="22"/>
              </w:rPr>
            </w:pPr>
            <w:r>
              <w:rPr>
                <w:sz w:val="22"/>
                <w:szCs w:val="22"/>
              </w:rPr>
              <w:t>0,83 (0,75-0,93)</w:t>
            </w:r>
          </w:p>
        </w:tc>
      </w:tr>
      <w:tr w:rsidR="001F1C1E" w14:paraId="17CC0276" w14:textId="77777777" w:rsidTr="004067C4">
        <w:trPr>
          <w:jc w:val="center"/>
        </w:trPr>
        <w:tc>
          <w:tcPr>
            <w:tcW w:w="2977" w:type="dxa"/>
            <w:tcBorders>
              <w:top w:val="nil"/>
              <w:left w:val="single" w:sz="4" w:space="0" w:color="auto"/>
              <w:bottom w:val="nil"/>
              <w:right w:val="nil"/>
            </w:tcBorders>
            <w:shd w:val="clear" w:color="auto" w:fill="E7E6E6"/>
            <w:hideMark/>
          </w:tcPr>
          <w:p w14:paraId="189626B9" w14:textId="77777777" w:rsidR="001F1C1E" w:rsidRDefault="001F1C1E">
            <w:pPr>
              <w:rPr>
                <w:b/>
                <w:sz w:val="22"/>
                <w:szCs w:val="22"/>
              </w:rPr>
            </w:pPr>
            <w:r>
              <w:rPr>
                <w:b/>
                <w:sz w:val="22"/>
                <w:szCs w:val="22"/>
              </w:rPr>
              <w:t>Sekundære resultater</w:t>
            </w:r>
          </w:p>
        </w:tc>
        <w:tc>
          <w:tcPr>
            <w:tcW w:w="2078" w:type="dxa"/>
            <w:tcBorders>
              <w:top w:val="nil"/>
              <w:left w:val="nil"/>
              <w:bottom w:val="nil"/>
              <w:right w:val="nil"/>
            </w:tcBorders>
            <w:shd w:val="clear" w:color="auto" w:fill="E7E6E6"/>
          </w:tcPr>
          <w:p w14:paraId="535849F8" w14:textId="77777777" w:rsidR="001F1C1E" w:rsidRDefault="001F1C1E">
            <w:pPr>
              <w:rPr>
                <w:sz w:val="22"/>
                <w:szCs w:val="22"/>
              </w:rPr>
            </w:pPr>
          </w:p>
        </w:tc>
        <w:tc>
          <w:tcPr>
            <w:tcW w:w="1891" w:type="dxa"/>
            <w:tcBorders>
              <w:top w:val="nil"/>
              <w:left w:val="nil"/>
              <w:bottom w:val="nil"/>
              <w:right w:val="nil"/>
            </w:tcBorders>
            <w:shd w:val="clear" w:color="auto" w:fill="E7E6E6"/>
          </w:tcPr>
          <w:p w14:paraId="7D1A82DC" w14:textId="77777777" w:rsidR="001F1C1E" w:rsidRDefault="001F1C1E">
            <w:pPr>
              <w:rPr>
                <w:sz w:val="22"/>
                <w:szCs w:val="22"/>
              </w:rPr>
            </w:pPr>
          </w:p>
        </w:tc>
        <w:tc>
          <w:tcPr>
            <w:tcW w:w="1701" w:type="dxa"/>
            <w:tcBorders>
              <w:top w:val="nil"/>
              <w:left w:val="nil"/>
              <w:bottom w:val="nil"/>
              <w:right w:val="single" w:sz="4" w:space="0" w:color="auto"/>
            </w:tcBorders>
            <w:shd w:val="clear" w:color="auto" w:fill="E7E6E6"/>
          </w:tcPr>
          <w:p w14:paraId="7D1B34F8" w14:textId="77777777" w:rsidR="001F1C1E" w:rsidRDefault="001F1C1E">
            <w:pPr>
              <w:rPr>
                <w:sz w:val="22"/>
                <w:szCs w:val="22"/>
              </w:rPr>
            </w:pPr>
          </w:p>
        </w:tc>
      </w:tr>
      <w:tr w:rsidR="001F1C1E" w14:paraId="1AF08DAB" w14:textId="77777777" w:rsidTr="004067C4">
        <w:trPr>
          <w:jc w:val="center"/>
        </w:trPr>
        <w:tc>
          <w:tcPr>
            <w:tcW w:w="2977" w:type="dxa"/>
            <w:tcBorders>
              <w:top w:val="nil"/>
              <w:left w:val="single" w:sz="4" w:space="0" w:color="auto"/>
              <w:bottom w:val="nil"/>
              <w:right w:val="nil"/>
            </w:tcBorders>
            <w:hideMark/>
          </w:tcPr>
          <w:p w14:paraId="08871FCB" w14:textId="77777777" w:rsidR="001F1C1E" w:rsidRDefault="001F1C1E">
            <w:pPr>
              <w:rPr>
                <w:sz w:val="22"/>
                <w:szCs w:val="22"/>
              </w:rPr>
            </w:pPr>
            <w:r>
              <w:rPr>
                <w:sz w:val="22"/>
                <w:szCs w:val="22"/>
              </w:rPr>
              <w:t>Udskrevet fra hospitalet inden for 28 dage</w:t>
            </w:r>
          </w:p>
        </w:tc>
        <w:tc>
          <w:tcPr>
            <w:tcW w:w="2078" w:type="dxa"/>
            <w:tcBorders>
              <w:top w:val="nil"/>
              <w:left w:val="nil"/>
              <w:bottom w:val="nil"/>
              <w:right w:val="nil"/>
            </w:tcBorders>
            <w:hideMark/>
          </w:tcPr>
          <w:p w14:paraId="42DB67B1" w14:textId="77777777" w:rsidR="001F1C1E" w:rsidRDefault="001F1C1E">
            <w:pPr>
              <w:rPr>
                <w:sz w:val="22"/>
                <w:szCs w:val="22"/>
              </w:rPr>
            </w:pPr>
            <w:r>
              <w:rPr>
                <w:sz w:val="22"/>
                <w:szCs w:val="22"/>
              </w:rPr>
              <w:t>1.413/2.104 (67,2)</w:t>
            </w:r>
          </w:p>
        </w:tc>
        <w:tc>
          <w:tcPr>
            <w:tcW w:w="1891" w:type="dxa"/>
            <w:tcBorders>
              <w:top w:val="nil"/>
              <w:left w:val="nil"/>
              <w:bottom w:val="nil"/>
              <w:right w:val="nil"/>
            </w:tcBorders>
            <w:hideMark/>
          </w:tcPr>
          <w:p w14:paraId="7625CCEF" w14:textId="77777777" w:rsidR="001F1C1E" w:rsidRDefault="001F1C1E">
            <w:pPr>
              <w:rPr>
                <w:sz w:val="22"/>
                <w:szCs w:val="22"/>
              </w:rPr>
            </w:pPr>
            <w:r>
              <w:rPr>
                <w:sz w:val="22"/>
                <w:szCs w:val="22"/>
              </w:rPr>
              <w:t>2.745/4.321 (63,5)</w:t>
            </w:r>
          </w:p>
        </w:tc>
        <w:tc>
          <w:tcPr>
            <w:tcW w:w="1701" w:type="dxa"/>
            <w:tcBorders>
              <w:top w:val="nil"/>
              <w:left w:val="nil"/>
              <w:bottom w:val="nil"/>
              <w:right w:val="single" w:sz="4" w:space="0" w:color="auto"/>
            </w:tcBorders>
            <w:hideMark/>
          </w:tcPr>
          <w:p w14:paraId="2333F2A6" w14:textId="77777777" w:rsidR="001F1C1E" w:rsidRDefault="001F1C1E">
            <w:pPr>
              <w:rPr>
                <w:sz w:val="22"/>
                <w:szCs w:val="22"/>
              </w:rPr>
            </w:pPr>
            <w:r>
              <w:rPr>
                <w:sz w:val="22"/>
                <w:szCs w:val="22"/>
              </w:rPr>
              <w:t>1,10 (1,03-1,17)</w:t>
            </w:r>
          </w:p>
        </w:tc>
      </w:tr>
      <w:tr w:rsidR="001F1C1E" w14:paraId="24FEAF54" w14:textId="77777777" w:rsidTr="004067C4">
        <w:trPr>
          <w:jc w:val="center"/>
        </w:trPr>
        <w:tc>
          <w:tcPr>
            <w:tcW w:w="2977" w:type="dxa"/>
            <w:tcBorders>
              <w:top w:val="nil"/>
              <w:left w:val="single" w:sz="4" w:space="0" w:color="auto"/>
              <w:bottom w:val="nil"/>
              <w:right w:val="nil"/>
            </w:tcBorders>
            <w:shd w:val="clear" w:color="auto" w:fill="E7E6E6"/>
            <w:hideMark/>
          </w:tcPr>
          <w:p w14:paraId="197797EA" w14:textId="77777777" w:rsidR="001F1C1E" w:rsidRDefault="001F1C1E">
            <w:pPr>
              <w:rPr>
                <w:sz w:val="22"/>
                <w:szCs w:val="22"/>
              </w:rPr>
            </w:pPr>
            <w:r>
              <w:rPr>
                <w:sz w:val="22"/>
                <w:szCs w:val="22"/>
              </w:rPr>
              <w:t>Invasiv mekanisk ventilation eller død †</w:t>
            </w:r>
          </w:p>
        </w:tc>
        <w:tc>
          <w:tcPr>
            <w:tcW w:w="2078" w:type="dxa"/>
            <w:tcBorders>
              <w:top w:val="nil"/>
              <w:left w:val="nil"/>
              <w:bottom w:val="nil"/>
              <w:right w:val="nil"/>
            </w:tcBorders>
            <w:shd w:val="clear" w:color="auto" w:fill="E7E6E6"/>
            <w:hideMark/>
          </w:tcPr>
          <w:p w14:paraId="1C0BA7BA" w14:textId="77777777" w:rsidR="001F1C1E" w:rsidRDefault="001F1C1E">
            <w:pPr>
              <w:rPr>
                <w:sz w:val="22"/>
                <w:szCs w:val="22"/>
              </w:rPr>
            </w:pPr>
            <w:r>
              <w:rPr>
                <w:sz w:val="22"/>
                <w:szCs w:val="22"/>
              </w:rPr>
              <w:t>456/1.780 (25,6)</w:t>
            </w:r>
          </w:p>
        </w:tc>
        <w:tc>
          <w:tcPr>
            <w:tcW w:w="1891" w:type="dxa"/>
            <w:tcBorders>
              <w:top w:val="nil"/>
              <w:left w:val="nil"/>
              <w:bottom w:val="nil"/>
              <w:right w:val="nil"/>
            </w:tcBorders>
            <w:shd w:val="clear" w:color="auto" w:fill="E7E6E6"/>
            <w:hideMark/>
          </w:tcPr>
          <w:p w14:paraId="062E5B7F" w14:textId="77777777" w:rsidR="001F1C1E" w:rsidRDefault="001F1C1E">
            <w:pPr>
              <w:rPr>
                <w:sz w:val="22"/>
                <w:szCs w:val="22"/>
              </w:rPr>
            </w:pPr>
            <w:r>
              <w:rPr>
                <w:sz w:val="22"/>
                <w:szCs w:val="22"/>
              </w:rPr>
              <w:t>994/3.638 (27,3)</w:t>
            </w:r>
          </w:p>
        </w:tc>
        <w:tc>
          <w:tcPr>
            <w:tcW w:w="1701" w:type="dxa"/>
            <w:tcBorders>
              <w:top w:val="nil"/>
              <w:left w:val="nil"/>
              <w:bottom w:val="nil"/>
              <w:right w:val="single" w:sz="4" w:space="0" w:color="auto"/>
            </w:tcBorders>
            <w:shd w:val="clear" w:color="auto" w:fill="E7E6E6"/>
            <w:hideMark/>
          </w:tcPr>
          <w:p w14:paraId="3B78D135" w14:textId="77777777" w:rsidR="001F1C1E" w:rsidRDefault="001F1C1E">
            <w:pPr>
              <w:rPr>
                <w:sz w:val="22"/>
                <w:szCs w:val="22"/>
              </w:rPr>
            </w:pPr>
            <w:r>
              <w:rPr>
                <w:sz w:val="22"/>
                <w:szCs w:val="22"/>
              </w:rPr>
              <w:t>0,92 (0,84-1,01)</w:t>
            </w:r>
          </w:p>
        </w:tc>
      </w:tr>
      <w:tr w:rsidR="001F1C1E" w14:paraId="4DF16F2B" w14:textId="77777777" w:rsidTr="004067C4">
        <w:trPr>
          <w:jc w:val="center"/>
        </w:trPr>
        <w:tc>
          <w:tcPr>
            <w:tcW w:w="2977" w:type="dxa"/>
            <w:tcBorders>
              <w:top w:val="nil"/>
              <w:left w:val="single" w:sz="4" w:space="0" w:color="auto"/>
              <w:bottom w:val="nil"/>
              <w:right w:val="nil"/>
            </w:tcBorders>
            <w:hideMark/>
          </w:tcPr>
          <w:p w14:paraId="5998F185" w14:textId="77777777" w:rsidR="001F1C1E" w:rsidRDefault="001F1C1E">
            <w:pPr>
              <w:rPr>
                <w:sz w:val="22"/>
                <w:szCs w:val="22"/>
              </w:rPr>
            </w:pPr>
            <w:r>
              <w:rPr>
                <w:sz w:val="22"/>
                <w:szCs w:val="22"/>
              </w:rPr>
              <w:t>Invasiv mekanisk ventilation</w:t>
            </w:r>
          </w:p>
        </w:tc>
        <w:tc>
          <w:tcPr>
            <w:tcW w:w="2078" w:type="dxa"/>
            <w:tcBorders>
              <w:top w:val="nil"/>
              <w:left w:val="nil"/>
              <w:bottom w:val="nil"/>
              <w:right w:val="nil"/>
            </w:tcBorders>
            <w:hideMark/>
          </w:tcPr>
          <w:p w14:paraId="5B766A82" w14:textId="77777777" w:rsidR="001F1C1E" w:rsidRDefault="001F1C1E">
            <w:pPr>
              <w:rPr>
                <w:sz w:val="22"/>
                <w:szCs w:val="22"/>
              </w:rPr>
            </w:pPr>
            <w:r>
              <w:rPr>
                <w:sz w:val="22"/>
                <w:szCs w:val="22"/>
              </w:rPr>
              <w:t>102/1.780 (5,7)</w:t>
            </w:r>
          </w:p>
        </w:tc>
        <w:tc>
          <w:tcPr>
            <w:tcW w:w="1891" w:type="dxa"/>
            <w:tcBorders>
              <w:top w:val="nil"/>
              <w:left w:val="nil"/>
              <w:bottom w:val="nil"/>
              <w:right w:val="nil"/>
            </w:tcBorders>
            <w:hideMark/>
          </w:tcPr>
          <w:p w14:paraId="68E0EC58" w14:textId="77777777" w:rsidR="001F1C1E" w:rsidRDefault="001F1C1E">
            <w:pPr>
              <w:rPr>
                <w:sz w:val="22"/>
                <w:szCs w:val="22"/>
              </w:rPr>
            </w:pPr>
            <w:r>
              <w:rPr>
                <w:sz w:val="22"/>
                <w:szCs w:val="22"/>
              </w:rPr>
              <w:t>285/3.638 (7,8)</w:t>
            </w:r>
          </w:p>
        </w:tc>
        <w:tc>
          <w:tcPr>
            <w:tcW w:w="1701" w:type="dxa"/>
            <w:tcBorders>
              <w:top w:val="nil"/>
              <w:left w:val="nil"/>
              <w:bottom w:val="nil"/>
              <w:right w:val="single" w:sz="4" w:space="0" w:color="auto"/>
            </w:tcBorders>
            <w:hideMark/>
          </w:tcPr>
          <w:p w14:paraId="17D7D41F" w14:textId="77777777" w:rsidR="001F1C1E" w:rsidRDefault="001F1C1E">
            <w:pPr>
              <w:rPr>
                <w:sz w:val="22"/>
                <w:szCs w:val="22"/>
              </w:rPr>
            </w:pPr>
            <w:r>
              <w:rPr>
                <w:sz w:val="22"/>
                <w:szCs w:val="22"/>
              </w:rPr>
              <w:t>0,77 (0,62-0,95)</w:t>
            </w:r>
          </w:p>
        </w:tc>
      </w:tr>
      <w:tr w:rsidR="001F1C1E" w14:paraId="5DA3E6F6" w14:textId="77777777" w:rsidTr="004067C4">
        <w:trPr>
          <w:jc w:val="center"/>
        </w:trPr>
        <w:tc>
          <w:tcPr>
            <w:tcW w:w="2977" w:type="dxa"/>
            <w:tcBorders>
              <w:top w:val="nil"/>
              <w:left w:val="single" w:sz="4" w:space="0" w:color="auto"/>
              <w:bottom w:val="single" w:sz="4" w:space="0" w:color="auto"/>
              <w:right w:val="nil"/>
            </w:tcBorders>
            <w:shd w:val="clear" w:color="auto" w:fill="E7E6E6"/>
            <w:hideMark/>
          </w:tcPr>
          <w:p w14:paraId="4242B085" w14:textId="77777777" w:rsidR="001F1C1E" w:rsidRDefault="001F1C1E">
            <w:pPr>
              <w:rPr>
                <w:sz w:val="22"/>
                <w:szCs w:val="22"/>
              </w:rPr>
            </w:pPr>
            <w:r>
              <w:rPr>
                <w:sz w:val="22"/>
                <w:szCs w:val="22"/>
              </w:rPr>
              <w:t>Død</w:t>
            </w:r>
          </w:p>
        </w:tc>
        <w:tc>
          <w:tcPr>
            <w:tcW w:w="2078" w:type="dxa"/>
            <w:tcBorders>
              <w:top w:val="nil"/>
              <w:left w:val="nil"/>
              <w:bottom w:val="single" w:sz="4" w:space="0" w:color="auto"/>
              <w:right w:val="nil"/>
            </w:tcBorders>
            <w:shd w:val="clear" w:color="auto" w:fill="E7E6E6"/>
            <w:hideMark/>
          </w:tcPr>
          <w:p w14:paraId="137AA760" w14:textId="77777777" w:rsidR="001F1C1E" w:rsidRDefault="001F1C1E">
            <w:pPr>
              <w:rPr>
                <w:sz w:val="22"/>
                <w:szCs w:val="22"/>
              </w:rPr>
            </w:pPr>
            <w:r>
              <w:rPr>
                <w:sz w:val="22"/>
                <w:szCs w:val="22"/>
              </w:rPr>
              <w:t>387/1.780 (21,7)</w:t>
            </w:r>
          </w:p>
        </w:tc>
        <w:tc>
          <w:tcPr>
            <w:tcW w:w="1891" w:type="dxa"/>
            <w:tcBorders>
              <w:top w:val="nil"/>
              <w:left w:val="nil"/>
              <w:bottom w:val="single" w:sz="4" w:space="0" w:color="auto"/>
              <w:right w:val="nil"/>
            </w:tcBorders>
            <w:shd w:val="clear" w:color="auto" w:fill="E7E6E6"/>
            <w:hideMark/>
          </w:tcPr>
          <w:p w14:paraId="6373C52C" w14:textId="77777777" w:rsidR="001F1C1E" w:rsidRDefault="001F1C1E">
            <w:pPr>
              <w:rPr>
                <w:sz w:val="22"/>
                <w:szCs w:val="22"/>
              </w:rPr>
            </w:pPr>
            <w:r>
              <w:rPr>
                <w:sz w:val="22"/>
                <w:szCs w:val="22"/>
              </w:rPr>
              <w:t>827/3.638 (22,7)</w:t>
            </w:r>
          </w:p>
        </w:tc>
        <w:tc>
          <w:tcPr>
            <w:tcW w:w="1701" w:type="dxa"/>
            <w:tcBorders>
              <w:top w:val="nil"/>
              <w:left w:val="nil"/>
              <w:bottom w:val="single" w:sz="4" w:space="0" w:color="auto"/>
              <w:right w:val="single" w:sz="4" w:space="0" w:color="auto"/>
            </w:tcBorders>
            <w:shd w:val="clear" w:color="auto" w:fill="E7E6E6"/>
            <w:hideMark/>
          </w:tcPr>
          <w:p w14:paraId="6B6004C5" w14:textId="77777777" w:rsidR="001F1C1E" w:rsidRDefault="001F1C1E">
            <w:pPr>
              <w:rPr>
                <w:sz w:val="22"/>
                <w:szCs w:val="22"/>
              </w:rPr>
            </w:pPr>
            <w:r>
              <w:rPr>
                <w:sz w:val="22"/>
                <w:szCs w:val="22"/>
              </w:rPr>
              <w:t>0,93 (0,84-1,03)</w:t>
            </w:r>
          </w:p>
        </w:tc>
      </w:tr>
    </w:tbl>
    <w:p w14:paraId="73E04CB2" w14:textId="77777777" w:rsidR="001F1C1E" w:rsidRPr="00B27361" w:rsidRDefault="001F1C1E" w:rsidP="00633D5E">
      <w:pPr>
        <w:suppressAutoHyphens/>
        <w:ind w:left="567"/>
        <w:rPr>
          <w:bCs/>
          <w:sz w:val="20"/>
          <w:lang w:val="fr-LU" w:eastAsia="fr-LU"/>
        </w:rPr>
      </w:pPr>
      <w:r w:rsidRPr="00B27361">
        <w:rPr>
          <w:bCs/>
          <w:sz w:val="20"/>
        </w:rPr>
        <w:t>* Rate ratio er blevet justeret for alder med hensyn til resultaterne ved dag 28 dødelighed og hospitalsudskrivelse. Risk ratio er blevet justeret for alder med hensyn til resultaterne invasiv mekanisk ventilation eller død og dets underkomponenter.</w:t>
      </w:r>
    </w:p>
    <w:p w14:paraId="7EEB46FD" w14:textId="77777777" w:rsidR="001F1C1E" w:rsidRPr="00B27361" w:rsidRDefault="001F1C1E" w:rsidP="00633D5E">
      <w:pPr>
        <w:suppressAutoHyphens/>
        <w:ind w:left="567"/>
        <w:rPr>
          <w:bCs/>
          <w:sz w:val="20"/>
        </w:rPr>
      </w:pPr>
      <w:r w:rsidRPr="00B27361">
        <w:rPr>
          <w:bCs/>
          <w:sz w:val="20"/>
        </w:rPr>
        <w:t>† Patienter, der fik invasiv mekanisk ventilation ved randomisering, er ekskluderet fra denne kategori.</w:t>
      </w:r>
    </w:p>
    <w:p w14:paraId="230F61B5" w14:textId="77777777" w:rsidR="001F1C1E" w:rsidRPr="00105E50" w:rsidRDefault="001F1C1E" w:rsidP="00B27361">
      <w:pPr>
        <w:suppressAutoHyphens/>
        <w:ind w:left="851"/>
        <w:rPr>
          <w:b/>
          <w:sz w:val="24"/>
          <w:szCs w:val="24"/>
        </w:rPr>
      </w:pPr>
    </w:p>
    <w:p w14:paraId="202411BB" w14:textId="77777777" w:rsidR="001F1C1E" w:rsidRPr="004B6374" w:rsidRDefault="001F1C1E" w:rsidP="00B27361">
      <w:pPr>
        <w:suppressAutoHyphens/>
        <w:ind w:left="851"/>
        <w:rPr>
          <w:bCs/>
          <w:sz w:val="24"/>
          <w:szCs w:val="24"/>
          <w:u w:val="single"/>
        </w:rPr>
      </w:pPr>
      <w:r w:rsidRPr="004B6374">
        <w:rPr>
          <w:bCs/>
          <w:sz w:val="24"/>
          <w:szCs w:val="24"/>
          <w:u w:val="single"/>
        </w:rPr>
        <w:t>Sikkerhed</w:t>
      </w:r>
    </w:p>
    <w:p w14:paraId="22C8F685" w14:textId="77777777" w:rsidR="001F1C1E" w:rsidRPr="00105E50" w:rsidRDefault="001F1C1E" w:rsidP="00B27361">
      <w:pPr>
        <w:suppressAutoHyphens/>
        <w:ind w:left="851"/>
        <w:rPr>
          <w:bCs/>
          <w:sz w:val="24"/>
          <w:szCs w:val="24"/>
        </w:rPr>
      </w:pPr>
      <w:r w:rsidRPr="00105E50">
        <w:rPr>
          <w:bCs/>
          <w:sz w:val="24"/>
          <w:szCs w:val="24"/>
        </w:rPr>
        <w:t>Der var fire alvorlige bivirkningstilfælde relateret til studiebehandlingen: To alvorlige bivirkningstilfælde med hyperglykæmi, et alvorligt bivirkningstilfælde med steroidinduceret psykose og et alvorligt bivirkningstilfælde med øvre gastrointestinal blødning. Alle bivirkninger forsvandt.</w:t>
      </w:r>
    </w:p>
    <w:p w14:paraId="12A62004" w14:textId="77777777" w:rsidR="001F1C1E" w:rsidRPr="00105E50" w:rsidRDefault="001F1C1E" w:rsidP="00B27361">
      <w:pPr>
        <w:suppressAutoHyphens/>
        <w:ind w:left="851"/>
        <w:rPr>
          <w:b/>
          <w:sz w:val="24"/>
          <w:szCs w:val="24"/>
        </w:rPr>
      </w:pPr>
    </w:p>
    <w:p w14:paraId="0A26E8D0" w14:textId="77777777" w:rsidR="001F1C1E" w:rsidRPr="00F14903" w:rsidRDefault="001F1C1E" w:rsidP="00B27361">
      <w:pPr>
        <w:keepNext/>
        <w:keepLines/>
        <w:suppressAutoHyphens/>
        <w:ind w:left="851"/>
        <w:rPr>
          <w:sz w:val="24"/>
          <w:szCs w:val="24"/>
          <w:u w:val="single"/>
        </w:rPr>
      </w:pPr>
      <w:r w:rsidRPr="00F14903">
        <w:rPr>
          <w:bCs/>
          <w:sz w:val="24"/>
          <w:szCs w:val="24"/>
          <w:u w:val="single"/>
        </w:rPr>
        <w:t>Undergruppeanalyser</w:t>
      </w:r>
    </w:p>
    <w:p w14:paraId="54F766CA" w14:textId="77777777" w:rsidR="002A5D2A" w:rsidRDefault="002A5D2A" w:rsidP="00BF3047">
      <w:pPr>
        <w:keepNext/>
        <w:keepLines/>
        <w:suppressAutoHyphens/>
        <w:ind w:left="851"/>
        <w:rPr>
          <w:i/>
          <w:iCs/>
          <w:sz w:val="24"/>
          <w:szCs w:val="24"/>
        </w:rPr>
      </w:pPr>
    </w:p>
    <w:p w14:paraId="11BE1F40" w14:textId="5C94D68A" w:rsidR="001F1C1E" w:rsidRPr="00105E50" w:rsidRDefault="001F1C1E" w:rsidP="002A5D2A">
      <w:pPr>
        <w:keepNext/>
        <w:keepLines/>
        <w:suppressAutoHyphens/>
        <w:ind w:left="567"/>
        <w:rPr>
          <w:i/>
          <w:iCs/>
          <w:sz w:val="24"/>
          <w:szCs w:val="24"/>
          <w:vertAlign w:val="superscript"/>
        </w:rPr>
      </w:pPr>
      <w:r w:rsidRPr="00105E50">
        <w:rPr>
          <w:i/>
          <w:iCs/>
          <w:sz w:val="24"/>
          <w:szCs w:val="24"/>
        </w:rPr>
        <w:t>Effekt af tildeling af dexamethason på dødeligheden efter 28 dage, efter alder og respiratorisk støtte modtaget ved randomisering</w:t>
      </w:r>
      <w:r w:rsidRPr="00105E50">
        <w:rPr>
          <w:i/>
          <w:iCs/>
          <w:sz w:val="24"/>
          <w:szCs w:val="24"/>
          <w:vertAlign w:val="superscript"/>
        </w:rPr>
        <w:t>2</w:t>
      </w:r>
    </w:p>
    <w:tbl>
      <w:tblPr>
        <w:tblW w:w="5000" w:type="pct"/>
        <w:tblInd w:w="567" w:type="dxa"/>
        <w:tblCellMar>
          <w:left w:w="10" w:type="dxa"/>
          <w:right w:w="10" w:type="dxa"/>
        </w:tblCellMar>
        <w:tblLook w:val="04A0" w:firstRow="1" w:lastRow="0" w:firstColumn="1" w:lastColumn="0" w:noHBand="0" w:noVBand="1"/>
      </w:tblPr>
      <w:tblGrid>
        <w:gridCol w:w="900"/>
        <w:gridCol w:w="2244"/>
        <w:gridCol w:w="2558"/>
        <w:gridCol w:w="1106"/>
        <w:gridCol w:w="1467"/>
        <w:gridCol w:w="1363"/>
      </w:tblGrid>
      <w:tr w:rsidR="001F1C1E" w14:paraId="1D37373A" w14:textId="77777777" w:rsidTr="00F14903">
        <w:trPr>
          <w:trHeight w:val="227"/>
        </w:trPr>
        <w:tc>
          <w:tcPr>
            <w:tcW w:w="467" w:type="pct"/>
            <w:tcBorders>
              <w:top w:val="nil"/>
              <w:left w:val="nil"/>
              <w:bottom w:val="single" w:sz="4" w:space="0" w:color="auto"/>
              <w:right w:val="nil"/>
            </w:tcBorders>
            <w:shd w:val="clear" w:color="auto" w:fill="FFFFFF"/>
            <w:vAlign w:val="bottom"/>
          </w:tcPr>
          <w:p w14:paraId="45C189C1" w14:textId="77777777" w:rsidR="001F1C1E" w:rsidRDefault="001F1C1E">
            <w:pPr>
              <w:keepNext/>
              <w:keepLines/>
              <w:jc w:val="center"/>
              <w:rPr>
                <w:rFonts w:eastAsia="Courier New"/>
                <w:color w:val="000000"/>
                <w:sz w:val="16"/>
                <w:szCs w:val="16"/>
                <w:lang w:val="hu-HU" w:bidi="en-US"/>
              </w:rPr>
            </w:pPr>
          </w:p>
        </w:tc>
        <w:tc>
          <w:tcPr>
            <w:tcW w:w="1164" w:type="pct"/>
            <w:tcBorders>
              <w:top w:val="nil"/>
              <w:left w:val="nil"/>
              <w:bottom w:val="single" w:sz="4" w:space="0" w:color="auto"/>
              <w:right w:val="nil"/>
            </w:tcBorders>
            <w:shd w:val="clear" w:color="auto" w:fill="FFFFFF"/>
            <w:vAlign w:val="bottom"/>
            <w:hideMark/>
          </w:tcPr>
          <w:p w14:paraId="2CCE9119" w14:textId="77777777" w:rsidR="001F1C1E" w:rsidRDefault="001F1C1E">
            <w:pPr>
              <w:keepNext/>
              <w:keepLines/>
              <w:jc w:val="right"/>
              <w:rPr>
                <w:rFonts w:eastAsia="Courier New"/>
                <w:b/>
                <w:bCs/>
                <w:color w:val="000000"/>
                <w:sz w:val="16"/>
                <w:szCs w:val="16"/>
                <w:lang w:val="hu-HU" w:bidi="en-US"/>
              </w:rPr>
            </w:pPr>
            <w:r>
              <w:rPr>
                <w:rFonts w:eastAsia="Courier New"/>
                <w:b/>
                <w:bCs/>
                <w:color w:val="000000"/>
                <w:sz w:val="16"/>
                <w:szCs w:val="16"/>
                <w:lang w:val="hu-HU" w:bidi="en-US"/>
              </w:rPr>
              <w:t>Dexamethason</w:t>
            </w:r>
          </w:p>
        </w:tc>
        <w:tc>
          <w:tcPr>
            <w:tcW w:w="1327" w:type="pct"/>
            <w:tcBorders>
              <w:top w:val="nil"/>
              <w:left w:val="nil"/>
              <w:bottom w:val="single" w:sz="4" w:space="0" w:color="auto"/>
              <w:right w:val="nil"/>
            </w:tcBorders>
            <w:shd w:val="clear" w:color="auto" w:fill="FFFFFF"/>
            <w:vAlign w:val="bottom"/>
            <w:hideMark/>
          </w:tcPr>
          <w:p w14:paraId="0BA139B6" w14:textId="77777777" w:rsidR="001F1C1E" w:rsidRDefault="001F1C1E">
            <w:pPr>
              <w:keepNext/>
              <w:keepLines/>
              <w:jc w:val="right"/>
              <w:rPr>
                <w:rFonts w:eastAsia="Courier New"/>
                <w:b/>
                <w:bCs/>
                <w:color w:val="000000"/>
                <w:sz w:val="16"/>
                <w:szCs w:val="16"/>
                <w:lang w:val="hu-HU" w:bidi="en-US"/>
              </w:rPr>
            </w:pPr>
            <w:r>
              <w:rPr>
                <w:rFonts w:eastAsia="Courier New"/>
                <w:b/>
                <w:bCs/>
                <w:color w:val="000000"/>
                <w:sz w:val="16"/>
                <w:szCs w:val="16"/>
                <w:lang w:bidi="en-US"/>
              </w:rPr>
              <w:t>Sædvanlig pleje</w:t>
            </w:r>
          </w:p>
        </w:tc>
        <w:tc>
          <w:tcPr>
            <w:tcW w:w="574" w:type="pct"/>
            <w:tcBorders>
              <w:top w:val="nil"/>
              <w:left w:val="nil"/>
              <w:bottom w:val="single" w:sz="4" w:space="0" w:color="auto"/>
              <w:right w:val="nil"/>
            </w:tcBorders>
            <w:shd w:val="clear" w:color="auto" w:fill="FFFFFF"/>
            <w:vAlign w:val="bottom"/>
          </w:tcPr>
          <w:p w14:paraId="432FB57D" w14:textId="77777777" w:rsidR="001F1C1E" w:rsidRDefault="001F1C1E">
            <w:pPr>
              <w:keepNext/>
              <w:keepLines/>
              <w:jc w:val="center"/>
              <w:rPr>
                <w:rFonts w:eastAsia="Courier New"/>
                <w:color w:val="000000"/>
                <w:sz w:val="16"/>
                <w:szCs w:val="16"/>
                <w:lang w:val="hu-HU" w:bidi="en-US"/>
              </w:rPr>
            </w:pPr>
          </w:p>
        </w:tc>
        <w:tc>
          <w:tcPr>
            <w:tcW w:w="761" w:type="pct"/>
            <w:tcBorders>
              <w:top w:val="nil"/>
              <w:left w:val="nil"/>
              <w:bottom w:val="single" w:sz="4" w:space="0" w:color="auto"/>
              <w:right w:val="nil"/>
            </w:tcBorders>
            <w:shd w:val="clear" w:color="auto" w:fill="FFFFFF"/>
            <w:vAlign w:val="bottom"/>
          </w:tcPr>
          <w:p w14:paraId="185242FF" w14:textId="77777777" w:rsidR="001F1C1E" w:rsidRDefault="001F1C1E">
            <w:pPr>
              <w:keepNext/>
              <w:keepLines/>
              <w:jc w:val="center"/>
              <w:rPr>
                <w:rFonts w:eastAsia="Courier New"/>
                <w:color w:val="000000"/>
                <w:sz w:val="16"/>
                <w:szCs w:val="16"/>
                <w:lang w:val="hu-HU" w:bidi="en-US"/>
              </w:rPr>
            </w:pPr>
          </w:p>
        </w:tc>
        <w:tc>
          <w:tcPr>
            <w:tcW w:w="707" w:type="pct"/>
            <w:tcBorders>
              <w:top w:val="nil"/>
              <w:left w:val="nil"/>
              <w:bottom w:val="single" w:sz="4" w:space="0" w:color="auto"/>
              <w:right w:val="nil"/>
            </w:tcBorders>
            <w:shd w:val="clear" w:color="auto" w:fill="FFFFFF"/>
            <w:vAlign w:val="bottom"/>
            <w:hideMark/>
          </w:tcPr>
          <w:p w14:paraId="26E0E829" w14:textId="77777777" w:rsidR="001F1C1E" w:rsidRDefault="001F1C1E">
            <w:pPr>
              <w:keepNext/>
              <w:keepLines/>
              <w:jc w:val="center"/>
              <w:rPr>
                <w:rFonts w:eastAsia="Courier New"/>
                <w:b/>
                <w:bCs/>
                <w:color w:val="000000"/>
                <w:sz w:val="16"/>
                <w:szCs w:val="16"/>
                <w:lang w:val="hu-HU" w:bidi="en-US"/>
              </w:rPr>
            </w:pPr>
            <w:r>
              <w:rPr>
                <w:rFonts w:eastAsia="Courier New"/>
                <w:b/>
                <w:bCs/>
                <w:color w:val="000000"/>
                <w:sz w:val="16"/>
                <w:szCs w:val="16"/>
                <w:lang w:bidi="en-US"/>
              </w:rPr>
              <w:t>RR (95 % Cl)</w:t>
            </w:r>
          </w:p>
        </w:tc>
      </w:tr>
      <w:tr w:rsidR="001F1C1E" w14:paraId="315C8CCD" w14:textId="77777777" w:rsidTr="00F14903">
        <w:trPr>
          <w:trHeight w:val="227"/>
        </w:trPr>
        <w:tc>
          <w:tcPr>
            <w:tcW w:w="2958" w:type="pct"/>
            <w:gridSpan w:val="3"/>
            <w:shd w:val="clear" w:color="auto" w:fill="FFFFFF"/>
            <w:vAlign w:val="bottom"/>
            <w:hideMark/>
          </w:tcPr>
          <w:p w14:paraId="6A4E66BD" w14:textId="77777777" w:rsidR="001F1C1E" w:rsidRDefault="001F1C1E">
            <w:pPr>
              <w:keepNext/>
              <w:keepLines/>
              <w:rPr>
                <w:rFonts w:eastAsia="Courier New"/>
                <w:b/>
                <w:bCs/>
                <w:color w:val="000000"/>
                <w:sz w:val="16"/>
                <w:szCs w:val="16"/>
                <w:lang w:val="hu-HU" w:bidi="en-US"/>
              </w:rPr>
            </w:pPr>
            <w:r>
              <w:rPr>
                <w:rFonts w:eastAsia="Courier New"/>
                <w:b/>
                <w:bCs/>
                <w:color w:val="000000"/>
                <w:sz w:val="16"/>
                <w:szCs w:val="16"/>
                <w:lang w:bidi="en-US"/>
              </w:rPr>
              <w:t>Ingen ilt</w:t>
            </w:r>
            <w:r>
              <w:rPr>
                <w:rFonts w:eastAsia="Courier New"/>
                <w:b/>
                <w:bCs/>
                <w:color w:val="000000"/>
                <w:sz w:val="16"/>
                <w:szCs w:val="16"/>
                <w:u w:val="single"/>
                <w:lang w:bidi="en-US"/>
              </w:rPr>
              <w:t xml:space="preserve"> </w:t>
            </w:r>
            <w:r>
              <w:rPr>
                <w:rFonts w:eastAsia="Courier New"/>
                <w:b/>
                <w:bCs/>
                <w:color w:val="000000"/>
                <w:sz w:val="16"/>
                <w:szCs w:val="16"/>
                <w:lang w:val="hu-HU" w:bidi="en-US"/>
              </w:rPr>
              <w:t>(χ</w:t>
            </w:r>
            <w:r>
              <w:rPr>
                <w:rFonts w:eastAsia="Courier New"/>
                <w:b/>
                <w:bCs/>
                <w:color w:val="000000"/>
                <w:sz w:val="16"/>
                <w:szCs w:val="16"/>
                <w:vertAlign w:val="subscript"/>
                <w:lang w:val="hu-HU" w:bidi="en-US"/>
              </w:rPr>
              <w:t>1</w:t>
            </w:r>
            <w:r>
              <w:rPr>
                <w:rFonts w:eastAsia="Courier New"/>
                <w:b/>
                <w:bCs/>
                <w:color w:val="000000"/>
                <w:sz w:val="16"/>
                <w:szCs w:val="16"/>
                <w:vertAlign w:val="superscript"/>
                <w:lang w:val="hu-HU" w:bidi="en-US"/>
              </w:rPr>
              <w:t>2 </w:t>
            </w:r>
            <w:r>
              <w:rPr>
                <w:rFonts w:eastAsia="Courier New"/>
                <w:b/>
                <w:bCs/>
                <w:color w:val="000000"/>
                <w:sz w:val="16"/>
                <w:szCs w:val="16"/>
                <w:lang w:val="hu-HU" w:bidi="en-US"/>
              </w:rPr>
              <w:t>= 0,70; p = 0,40)</w:t>
            </w:r>
          </w:p>
        </w:tc>
        <w:tc>
          <w:tcPr>
            <w:tcW w:w="1335" w:type="pct"/>
            <w:gridSpan w:val="2"/>
            <w:vMerge w:val="restart"/>
            <w:shd w:val="clear" w:color="auto" w:fill="FFFFFF"/>
            <w:hideMark/>
          </w:tcPr>
          <w:p w14:paraId="5CC8431D" w14:textId="4D8A46E9" w:rsidR="001F1C1E" w:rsidRDefault="001F1C1E">
            <w:pPr>
              <w:keepNext/>
              <w:keepLines/>
              <w:rPr>
                <w:rFonts w:eastAsia="Courier New"/>
                <w:color w:val="000000"/>
                <w:sz w:val="16"/>
                <w:szCs w:val="16"/>
                <w:lang w:val="hu-HU" w:bidi="en-US"/>
              </w:rPr>
            </w:pPr>
            <w:r>
              <w:rPr>
                <w:rFonts w:eastAsia="Courier New"/>
                <w:noProof/>
                <w:color w:val="000000"/>
                <w:sz w:val="16"/>
                <w:szCs w:val="16"/>
                <w:lang w:val="hu-HU" w:bidi="en-US"/>
              </w:rPr>
              <w:drawing>
                <wp:inline distT="0" distB="0" distL="0" distR="0" wp14:anchorId="56E40823" wp14:editId="77387FC3">
                  <wp:extent cx="1516380" cy="2575560"/>
                  <wp:effectExtent l="0" t="0" r="762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6380" cy="2575560"/>
                          </a:xfrm>
                          <a:prstGeom prst="rect">
                            <a:avLst/>
                          </a:prstGeom>
                          <a:noFill/>
                          <a:ln>
                            <a:noFill/>
                          </a:ln>
                        </pic:spPr>
                      </pic:pic>
                    </a:graphicData>
                  </a:graphic>
                </wp:inline>
              </w:drawing>
            </w:r>
          </w:p>
        </w:tc>
        <w:tc>
          <w:tcPr>
            <w:tcW w:w="707" w:type="pct"/>
            <w:shd w:val="clear" w:color="auto" w:fill="FFFFFF"/>
          </w:tcPr>
          <w:p w14:paraId="09C3A34E" w14:textId="77777777" w:rsidR="001F1C1E" w:rsidRDefault="001F1C1E">
            <w:pPr>
              <w:keepNext/>
              <w:keepLines/>
              <w:rPr>
                <w:rFonts w:eastAsia="Courier New"/>
                <w:color w:val="000000"/>
                <w:sz w:val="16"/>
                <w:szCs w:val="16"/>
                <w:lang w:val="hu-HU" w:bidi="en-US"/>
              </w:rPr>
            </w:pPr>
          </w:p>
        </w:tc>
      </w:tr>
      <w:tr w:rsidR="001F1C1E" w14:paraId="6FD53390" w14:textId="77777777" w:rsidTr="00F14903">
        <w:trPr>
          <w:trHeight w:val="82"/>
        </w:trPr>
        <w:tc>
          <w:tcPr>
            <w:tcW w:w="467" w:type="pct"/>
            <w:shd w:val="clear" w:color="auto" w:fill="FFFFFF"/>
            <w:hideMark/>
          </w:tcPr>
          <w:p w14:paraId="4692676B" w14:textId="77777777" w:rsidR="001F1C1E" w:rsidRDefault="001F1C1E">
            <w:pPr>
              <w:keepNext/>
              <w:keepLines/>
              <w:rPr>
                <w:rFonts w:eastAsia="Courier New"/>
                <w:color w:val="000000"/>
                <w:sz w:val="16"/>
                <w:szCs w:val="16"/>
                <w:lang w:val="hu-HU" w:bidi="en-US"/>
              </w:rPr>
            </w:pPr>
            <w:r>
              <w:rPr>
                <w:rFonts w:eastAsia="Courier New"/>
                <w:color w:val="000000"/>
                <w:sz w:val="16"/>
                <w:szCs w:val="16"/>
                <w:lang w:val="hu-HU" w:bidi="en-US"/>
              </w:rPr>
              <w:t>&lt;70</w:t>
            </w:r>
          </w:p>
        </w:tc>
        <w:tc>
          <w:tcPr>
            <w:tcW w:w="1164" w:type="pct"/>
            <w:shd w:val="clear" w:color="auto" w:fill="FFFFFF"/>
            <w:hideMark/>
          </w:tcPr>
          <w:p w14:paraId="799650A1" w14:textId="77777777" w:rsidR="001F1C1E" w:rsidRDefault="001F1C1E">
            <w:pPr>
              <w:keepNext/>
              <w:keepLines/>
              <w:jc w:val="right"/>
              <w:rPr>
                <w:rFonts w:eastAsia="Courier New"/>
                <w:color w:val="000000"/>
                <w:sz w:val="16"/>
                <w:szCs w:val="16"/>
                <w:lang w:val="hu-HU" w:bidi="en-US"/>
              </w:rPr>
            </w:pPr>
            <w:r>
              <w:rPr>
                <w:rFonts w:eastAsia="Courier New"/>
                <w:color w:val="000000"/>
                <w:sz w:val="16"/>
                <w:szCs w:val="16"/>
                <w:lang w:val="hu-HU" w:bidi="en-US"/>
              </w:rPr>
              <w:t>10/197 (5,1 %)</w:t>
            </w:r>
          </w:p>
        </w:tc>
        <w:tc>
          <w:tcPr>
            <w:tcW w:w="1327" w:type="pct"/>
            <w:shd w:val="clear" w:color="auto" w:fill="FFFFFF"/>
            <w:hideMark/>
          </w:tcPr>
          <w:p w14:paraId="16A02BC0" w14:textId="77777777" w:rsidR="001F1C1E" w:rsidRDefault="001F1C1E">
            <w:pPr>
              <w:keepNext/>
              <w:keepLines/>
              <w:jc w:val="right"/>
              <w:rPr>
                <w:rFonts w:eastAsia="Courier New"/>
                <w:color w:val="000000"/>
                <w:sz w:val="16"/>
                <w:szCs w:val="16"/>
                <w:lang w:val="hu-HU" w:bidi="en-US"/>
              </w:rPr>
            </w:pPr>
            <w:r>
              <w:rPr>
                <w:rFonts w:eastAsia="Courier New"/>
                <w:color w:val="000000"/>
                <w:sz w:val="16"/>
                <w:szCs w:val="16"/>
                <w:lang w:val="hu-HU" w:bidi="en-US"/>
              </w:rPr>
              <w:t>18/462 (3,9 %)</w:t>
            </w:r>
          </w:p>
        </w:tc>
        <w:tc>
          <w:tcPr>
            <w:tcW w:w="0" w:type="auto"/>
            <w:gridSpan w:val="2"/>
            <w:vMerge/>
            <w:vAlign w:val="center"/>
            <w:hideMark/>
          </w:tcPr>
          <w:p w14:paraId="19BB1096" w14:textId="77777777" w:rsidR="001F1C1E" w:rsidRDefault="001F1C1E">
            <w:pPr>
              <w:rPr>
                <w:rFonts w:eastAsia="Courier New"/>
                <w:color w:val="000000"/>
                <w:sz w:val="16"/>
                <w:szCs w:val="16"/>
                <w:lang w:val="hu-HU" w:eastAsia="fr-LU" w:bidi="en-US"/>
              </w:rPr>
            </w:pPr>
          </w:p>
        </w:tc>
        <w:tc>
          <w:tcPr>
            <w:tcW w:w="707" w:type="pct"/>
            <w:shd w:val="clear" w:color="auto" w:fill="FFFFFF"/>
            <w:hideMark/>
          </w:tcPr>
          <w:p w14:paraId="387807EF" w14:textId="77777777" w:rsidR="001F1C1E" w:rsidRDefault="001F1C1E">
            <w:pPr>
              <w:keepNext/>
              <w:keepLines/>
              <w:rPr>
                <w:rFonts w:eastAsia="Courier New"/>
                <w:color w:val="000000"/>
                <w:sz w:val="16"/>
                <w:szCs w:val="16"/>
                <w:lang w:val="hu-HU" w:bidi="en-US"/>
              </w:rPr>
            </w:pPr>
            <w:r>
              <w:rPr>
                <w:rFonts w:eastAsia="Courier New"/>
                <w:color w:val="000000"/>
                <w:sz w:val="16"/>
                <w:szCs w:val="16"/>
                <w:lang w:val="hu-HU" w:bidi="en-US"/>
              </w:rPr>
              <w:t>1,31 (0,60-2,83)</w:t>
            </w:r>
          </w:p>
        </w:tc>
      </w:tr>
      <w:tr w:rsidR="001F1C1E" w14:paraId="4390F022" w14:textId="77777777" w:rsidTr="00F14903">
        <w:trPr>
          <w:trHeight w:val="227"/>
        </w:trPr>
        <w:tc>
          <w:tcPr>
            <w:tcW w:w="467" w:type="pct"/>
            <w:shd w:val="clear" w:color="auto" w:fill="FFFFFF"/>
            <w:vAlign w:val="bottom"/>
            <w:hideMark/>
          </w:tcPr>
          <w:p w14:paraId="6128100D" w14:textId="77777777" w:rsidR="001F1C1E" w:rsidRDefault="001F1C1E">
            <w:pPr>
              <w:keepNext/>
              <w:keepLines/>
              <w:rPr>
                <w:rFonts w:eastAsia="Courier New"/>
                <w:color w:val="000000"/>
                <w:sz w:val="16"/>
                <w:szCs w:val="16"/>
                <w:lang w:val="hu-HU" w:bidi="en-US"/>
              </w:rPr>
            </w:pPr>
            <w:r>
              <w:rPr>
                <w:rFonts w:eastAsia="Courier New"/>
                <w:color w:val="000000"/>
                <w:sz w:val="16"/>
                <w:szCs w:val="16"/>
                <w:lang w:val="hu-HU" w:bidi="en-US"/>
              </w:rPr>
              <w:sym w:font="Symbol" w:char="F0B3"/>
            </w:r>
            <w:r>
              <w:rPr>
                <w:rFonts w:eastAsia="Courier New"/>
                <w:color w:val="000000"/>
                <w:sz w:val="16"/>
                <w:szCs w:val="16"/>
                <w:lang w:val="hu-HU" w:bidi="en-US"/>
              </w:rPr>
              <w:t>70 &lt;80</w:t>
            </w:r>
          </w:p>
        </w:tc>
        <w:tc>
          <w:tcPr>
            <w:tcW w:w="1164" w:type="pct"/>
            <w:shd w:val="clear" w:color="auto" w:fill="FFFFFF"/>
            <w:vAlign w:val="bottom"/>
            <w:hideMark/>
          </w:tcPr>
          <w:p w14:paraId="58FC9C8F" w14:textId="77777777" w:rsidR="001F1C1E" w:rsidRDefault="001F1C1E">
            <w:pPr>
              <w:keepNext/>
              <w:keepLines/>
              <w:jc w:val="right"/>
              <w:rPr>
                <w:rFonts w:eastAsia="Courier New"/>
                <w:color w:val="000000"/>
                <w:sz w:val="16"/>
                <w:szCs w:val="16"/>
                <w:lang w:val="hu-HU" w:bidi="en-US"/>
              </w:rPr>
            </w:pPr>
            <w:r>
              <w:rPr>
                <w:rFonts w:eastAsia="Courier New"/>
                <w:color w:val="000000"/>
                <w:sz w:val="16"/>
                <w:szCs w:val="16"/>
                <w:lang w:val="hu-HU" w:bidi="en-US"/>
              </w:rPr>
              <w:t>25/114 (21,9 %)</w:t>
            </w:r>
          </w:p>
        </w:tc>
        <w:tc>
          <w:tcPr>
            <w:tcW w:w="1327" w:type="pct"/>
            <w:shd w:val="clear" w:color="auto" w:fill="FFFFFF"/>
            <w:vAlign w:val="bottom"/>
            <w:hideMark/>
          </w:tcPr>
          <w:p w14:paraId="6E0F11FB" w14:textId="77777777" w:rsidR="001F1C1E" w:rsidRDefault="001F1C1E">
            <w:pPr>
              <w:keepNext/>
              <w:keepLines/>
              <w:jc w:val="right"/>
              <w:rPr>
                <w:rFonts w:eastAsia="Courier New"/>
                <w:color w:val="000000"/>
                <w:sz w:val="16"/>
                <w:szCs w:val="16"/>
                <w:lang w:val="hu-HU" w:bidi="en-US"/>
              </w:rPr>
            </w:pPr>
            <w:r>
              <w:rPr>
                <w:rFonts w:eastAsia="Courier New"/>
                <w:color w:val="000000"/>
                <w:sz w:val="16"/>
                <w:szCs w:val="16"/>
                <w:lang w:val="hu-HU" w:bidi="en-US"/>
              </w:rPr>
              <w:t>35/224 (15,6 %)</w:t>
            </w:r>
          </w:p>
        </w:tc>
        <w:tc>
          <w:tcPr>
            <w:tcW w:w="0" w:type="auto"/>
            <w:gridSpan w:val="2"/>
            <w:vMerge/>
            <w:vAlign w:val="center"/>
            <w:hideMark/>
          </w:tcPr>
          <w:p w14:paraId="5331C9EF" w14:textId="77777777" w:rsidR="001F1C1E" w:rsidRDefault="001F1C1E">
            <w:pPr>
              <w:rPr>
                <w:rFonts w:eastAsia="Courier New"/>
                <w:color w:val="000000"/>
                <w:sz w:val="16"/>
                <w:szCs w:val="16"/>
                <w:lang w:val="hu-HU" w:eastAsia="fr-LU" w:bidi="en-US"/>
              </w:rPr>
            </w:pPr>
          </w:p>
        </w:tc>
        <w:tc>
          <w:tcPr>
            <w:tcW w:w="707" w:type="pct"/>
            <w:shd w:val="clear" w:color="auto" w:fill="FFFFFF"/>
            <w:vAlign w:val="bottom"/>
            <w:hideMark/>
          </w:tcPr>
          <w:p w14:paraId="381CCA7D" w14:textId="77777777" w:rsidR="001F1C1E" w:rsidRDefault="001F1C1E">
            <w:pPr>
              <w:keepNext/>
              <w:keepLines/>
              <w:rPr>
                <w:rFonts w:eastAsia="Courier New"/>
                <w:color w:val="000000"/>
                <w:sz w:val="16"/>
                <w:szCs w:val="16"/>
                <w:lang w:val="hu-HU" w:bidi="en-US"/>
              </w:rPr>
            </w:pPr>
            <w:r>
              <w:rPr>
                <w:rFonts w:eastAsia="Courier New"/>
                <w:color w:val="000000"/>
                <w:sz w:val="16"/>
                <w:szCs w:val="16"/>
                <w:lang w:val="hu-HU" w:bidi="en-US"/>
              </w:rPr>
              <w:t>1,46 (0,88-2,45)</w:t>
            </w:r>
          </w:p>
        </w:tc>
      </w:tr>
      <w:tr w:rsidR="001F1C1E" w14:paraId="556BDED2" w14:textId="77777777" w:rsidTr="00F14903">
        <w:trPr>
          <w:trHeight w:val="75"/>
        </w:trPr>
        <w:tc>
          <w:tcPr>
            <w:tcW w:w="467" w:type="pct"/>
            <w:shd w:val="clear" w:color="auto" w:fill="FFFFFF"/>
            <w:hideMark/>
          </w:tcPr>
          <w:p w14:paraId="2A591036" w14:textId="77777777" w:rsidR="001F1C1E" w:rsidRDefault="001F1C1E">
            <w:pPr>
              <w:keepNext/>
              <w:keepLines/>
              <w:rPr>
                <w:rFonts w:eastAsia="Courier New"/>
                <w:color w:val="000000"/>
                <w:sz w:val="16"/>
                <w:szCs w:val="16"/>
                <w:lang w:val="hu-HU" w:bidi="en-US"/>
              </w:rPr>
            </w:pPr>
            <w:r>
              <w:rPr>
                <w:rFonts w:eastAsia="Courier New"/>
                <w:color w:val="000000"/>
                <w:sz w:val="16"/>
                <w:szCs w:val="16"/>
                <w:lang w:val="hu-HU" w:bidi="en-US"/>
              </w:rPr>
              <w:sym w:font="Symbol" w:char="F0B3"/>
            </w:r>
            <w:r>
              <w:rPr>
                <w:rFonts w:eastAsia="Courier New"/>
                <w:color w:val="000000"/>
                <w:sz w:val="16"/>
                <w:szCs w:val="16"/>
                <w:lang w:val="hu-HU" w:bidi="en-US"/>
              </w:rPr>
              <w:t>80</w:t>
            </w:r>
          </w:p>
        </w:tc>
        <w:tc>
          <w:tcPr>
            <w:tcW w:w="1164" w:type="pct"/>
            <w:shd w:val="clear" w:color="auto" w:fill="FFFFFF"/>
            <w:hideMark/>
          </w:tcPr>
          <w:p w14:paraId="35CFA283" w14:textId="77777777" w:rsidR="001F1C1E" w:rsidRDefault="001F1C1E">
            <w:pPr>
              <w:keepNext/>
              <w:keepLines/>
              <w:jc w:val="right"/>
              <w:rPr>
                <w:rFonts w:eastAsia="Courier New"/>
                <w:color w:val="000000"/>
                <w:sz w:val="16"/>
                <w:szCs w:val="16"/>
                <w:lang w:val="hu-HU" w:bidi="en-US"/>
              </w:rPr>
            </w:pPr>
            <w:r>
              <w:rPr>
                <w:rFonts w:eastAsia="Courier New"/>
                <w:color w:val="000000"/>
                <w:sz w:val="16"/>
                <w:szCs w:val="16"/>
                <w:lang w:val="hu-HU" w:bidi="en-US"/>
              </w:rPr>
              <w:t>54/190 (28,4 %)</w:t>
            </w:r>
          </w:p>
        </w:tc>
        <w:tc>
          <w:tcPr>
            <w:tcW w:w="1327" w:type="pct"/>
            <w:shd w:val="clear" w:color="auto" w:fill="FFFFFF"/>
            <w:hideMark/>
          </w:tcPr>
          <w:p w14:paraId="799A4C96" w14:textId="77777777" w:rsidR="001F1C1E" w:rsidRDefault="001F1C1E">
            <w:pPr>
              <w:keepNext/>
              <w:keepLines/>
              <w:jc w:val="right"/>
              <w:rPr>
                <w:rFonts w:eastAsia="Courier New"/>
                <w:color w:val="000000"/>
                <w:sz w:val="16"/>
                <w:szCs w:val="16"/>
                <w:lang w:val="hu-HU" w:bidi="en-US"/>
              </w:rPr>
            </w:pPr>
            <w:r>
              <w:rPr>
                <w:rFonts w:eastAsia="Courier New"/>
                <w:color w:val="000000"/>
                <w:sz w:val="16"/>
                <w:szCs w:val="16"/>
                <w:lang w:val="hu-HU" w:bidi="en-US"/>
              </w:rPr>
              <w:t>92/348 (26,4 %)</w:t>
            </w:r>
          </w:p>
        </w:tc>
        <w:tc>
          <w:tcPr>
            <w:tcW w:w="0" w:type="auto"/>
            <w:gridSpan w:val="2"/>
            <w:vMerge/>
            <w:vAlign w:val="center"/>
            <w:hideMark/>
          </w:tcPr>
          <w:p w14:paraId="2F78FDE5" w14:textId="77777777" w:rsidR="001F1C1E" w:rsidRDefault="001F1C1E">
            <w:pPr>
              <w:rPr>
                <w:rFonts w:eastAsia="Courier New"/>
                <w:color w:val="000000"/>
                <w:sz w:val="16"/>
                <w:szCs w:val="16"/>
                <w:lang w:val="hu-HU" w:eastAsia="fr-LU" w:bidi="en-US"/>
              </w:rPr>
            </w:pPr>
          </w:p>
        </w:tc>
        <w:tc>
          <w:tcPr>
            <w:tcW w:w="707" w:type="pct"/>
            <w:shd w:val="clear" w:color="auto" w:fill="FFFFFF"/>
            <w:hideMark/>
          </w:tcPr>
          <w:p w14:paraId="4FB10724" w14:textId="77777777" w:rsidR="001F1C1E" w:rsidRDefault="001F1C1E">
            <w:pPr>
              <w:keepNext/>
              <w:keepLines/>
              <w:rPr>
                <w:rFonts w:eastAsia="Courier New"/>
                <w:color w:val="000000"/>
                <w:sz w:val="16"/>
                <w:szCs w:val="16"/>
                <w:lang w:val="hu-HU" w:bidi="en-US"/>
              </w:rPr>
            </w:pPr>
            <w:r>
              <w:rPr>
                <w:rFonts w:eastAsia="Courier New"/>
                <w:color w:val="000000"/>
                <w:sz w:val="16"/>
                <w:szCs w:val="16"/>
                <w:lang w:val="hu-HU" w:bidi="en-US"/>
              </w:rPr>
              <w:t>1,06 (0,76-1,49)</w:t>
            </w:r>
          </w:p>
        </w:tc>
      </w:tr>
      <w:tr w:rsidR="001F1C1E" w14:paraId="661D1B49" w14:textId="77777777" w:rsidTr="00F14903">
        <w:trPr>
          <w:trHeight w:val="176"/>
        </w:trPr>
        <w:tc>
          <w:tcPr>
            <w:tcW w:w="467" w:type="pct"/>
            <w:shd w:val="clear" w:color="auto" w:fill="FFFFFF"/>
            <w:hideMark/>
          </w:tcPr>
          <w:p w14:paraId="265009F7" w14:textId="77777777" w:rsidR="001F1C1E" w:rsidRDefault="001F1C1E">
            <w:pPr>
              <w:keepNext/>
              <w:keepLines/>
              <w:rPr>
                <w:rFonts w:eastAsia="Courier New"/>
                <w:b/>
                <w:bCs/>
                <w:color w:val="000000"/>
                <w:sz w:val="16"/>
                <w:szCs w:val="16"/>
                <w:lang w:val="hu-HU" w:bidi="en-US"/>
              </w:rPr>
            </w:pPr>
            <w:r>
              <w:rPr>
                <w:b/>
                <w:sz w:val="16"/>
                <w:szCs w:val="16"/>
              </w:rPr>
              <w:t>Subtotal</w:t>
            </w:r>
          </w:p>
        </w:tc>
        <w:tc>
          <w:tcPr>
            <w:tcW w:w="1164" w:type="pct"/>
            <w:shd w:val="clear" w:color="auto" w:fill="FFFFFF"/>
            <w:hideMark/>
          </w:tcPr>
          <w:p w14:paraId="679AFCE1" w14:textId="77777777" w:rsidR="001F1C1E" w:rsidRDefault="001F1C1E">
            <w:pPr>
              <w:keepNext/>
              <w:keepLines/>
              <w:jc w:val="right"/>
              <w:rPr>
                <w:rFonts w:eastAsia="Courier New"/>
                <w:b/>
                <w:bCs/>
                <w:color w:val="000000"/>
                <w:sz w:val="16"/>
                <w:szCs w:val="16"/>
                <w:lang w:val="hu-HU" w:bidi="en-US"/>
              </w:rPr>
            </w:pPr>
            <w:r>
              <w:rPr>
                <w:rFonts w:eastAsia="Courier New"/>
                <w:b/>
                <w:bCs/>
                <w:color w:val="000000"/>
                <w:sz w:val="16"/>
                <w:szCs w:val="16"/>
                <w:lang w:val="hu-HU" w:bidi="en-US"/>
              </w:rPr>
              <w:t>89/501 (17,8 %)</w:t>
            </w:r>
          </w:p>
        </w:tc>
        <w:tc>
          <w:tcPr>
            <w:tcW w:w="1327" w:type="pct"/>
            <w:shd w:val="clear" w:color="auto" w:fill="FFFFFF"/>
            <w:hideMark/>
          </w:tcPr>
          <w:p w14:paraId="3FE42DC3" w14:textId="77777777" w:rsidR="001F1C1E" w:rsidRDefault="001F1C1E">
            <w:pPr>
              <w:keepNext/>
              <w:keepLines/>
              <w:jc w:val="right"/>
              <w:rPr>
                <w:rFonts w:eastAsia="Courier New"/>
                <w:b/>
                <w:bCs/>
                <w:color w:val="000000"/>
                <w:sz w:val="16"/>
                <w:szCs w:val="16"/>
                <w:lang w:val="hu-HU" w:bidi="en-US"/>
              </w:rPr>
            </w:pPr>
            <w:r>
              <w:rPr>
                <w:rFonts w:eastAsia="Courier New"/>
                <w:b/>
                <w:bCs/>
                <w:color w:val="000000"/>
                <w:sz w:val="16"/>
                <w:szCs w:val="16"/>
                <w:lang w:val="hu-HU" w:bidi="en-US"/>
              </w:rPr>
              <w:t>145/1.034 (14,0 %)</w:t>
            </w:r>
          </w:p>
        </w:tc>
        <w:tc>
          <w:tcPr>
            <w:tcW w:w="0" w:type="auto"/>
            <w:gridSpan w:val="2"/>
            <w:vMerge/>
            <w:vAlign w:val="center"/>
            <w:hideMark/>
          </w:tcPr>
          <w:p w14:paraId="2FBC6C81" w14:textId="77777777" w:rsidR="001F1C1E" w:rsidRDefault="001F1C1E">
            <w:pPr>
              <w:rPr>
                <w:rFonts w:eastAsia="Courier New"/>
                <w:color w:val="000000"/>
                <w:sz w:val="16"/>
                <w:szCs w:val="16"/>
                <w:lang w:val="hu-HU" w:eastAsia="fr-LU" w:bidi="en-US"/>
              </w:rPr>
            </w:pPr>
          </w:p>
        </w:tc>
        <w:tc>
          <w:tcPr>
            <w:tcW w:w="707" w:type="pct"/>
            <w:shd w:val="clear" w:color="auto" w:fill="FFFFFF"/>
            <w:hideMark/>
          </w:tcPr>
          <w:p w14:paraId="6A9B6275" w14:textId="77777777" w:rsidR="001F1C1E" w:rsidRDefault="001F1C1E">
            <w:pPr>
              <w:keepNext/>
              <w:keepLines/>
              <w:rPr>
                <w:rFonts w:eastAsia="Courier New"/>
                <w:b/>
                <w:bCs/>
                <w:color w:val="000000"/>
                <w:sz w:val="16"/>
                <w:szCs w:val="16"/>
                <w:lang w:val="hu-HU" w:bidi="en-US"/>
              </w:rPr>
            </w:pPr>
            <w:r>
              <w:rPr>
                <w:rFonts w:eastAsia="Courier New"/>
                <w:color w:val="000000"/>
                <w:sz w:val="16"/>
                <w:szCs w:val="16"/>
                <w:lang w:val="hu-HU" w:bidi="en-US"/>
              </w:rPr>
              <w:t>1,19 (0,91-1,55)</w:t>
            </w:r>
          </w:p>
        </w:tc>
      </w:tr>
      <w:tr w:rsidR="001F1C1E" w14:paraId="50012DF0" w14:textId="77777777" w:rsidTr="00F14903">
        <w:trPr>
          <w:trHeight w:val="227"/>
        </w:trPr>
        <w:tc>
          <w:tcPr>
            <w:tcW w:w="2958" w:type="pct"/>
            <w:gridSpan w:val="3"/>
            <w:shd w:val="clear" w:color="auto" w:fill="FFFFFF"/>
            <w:vAlign w:val="bottom"/>
            <w:hideMark/>
          </w:tcPr>
          <w:p w14:paraId="05ACB83C" w14:textId="77777777" w:rsidR="001F1C1E" w:rsidRDefault="001F1C1E">
            <w:pPr>
              <w:keepNext/>
              <w:keepLines/>
              <w:rPr>
                <w:rFonts w:eastAsia="Courier New"/>
                <w:b/>
                <w:bCs/>
                <w:color w:val="000000"/>
                <w:sz w:val="16"/>
                <w:szCs w:val="16"/>
                <w:lang w:val="hu-HU" w:bidi="en-US"/>
              </w:rPr>
            </w:pPr>
            <w:r>
              <w:rPr>
                <w:rFonts w:eastAsia="Courier New"/>
                <w:b/>
                <w:bCs/>
                <w:color w:val="000000"/>
                <w:sz w:val="16"/>
                <w:szCs w:val="16"/>
                <w:lang w:bidi="en-US"/>
              </w:rPr>
              <w:t>Kun ilt</w:t>
            </w:r>
            <w:r>
              <w:rPr>
                <w:rFonts w:eastAsia="Courier New"/>
                <w:b/>
                <w:bCs/>
                <w:color w:val="000000"/>
                <w:sz w:val="16"/>
                <w:szCs w:val="16"/>
                <w:u w:val="single"/>
                <w:lang w:bidi="en-US"/>
              </w:rPr>
              <w:t xml:space="preserve"> </w:t>
            </w:r>
            <w:r>
              <w:rPr>
                <w:rFonts w:eastAsia="Courier New"/>
                <w:b/>
                <w:bCs/>
                <w:color w:val="000000"/>
                <w:sz w:val="16"/>
                <w:szCs w:val="16"/>
                <w:lang w:val="hu-HU" w:bidi="en-US"/>
              </w:rPr>
              <w:t>(χ</w:t>
            </w:r>
            <w:r>
              <w:rPr>
                <w:rFonts w:eastAsia="Courier New"/>
                <w:b/>
                <w:bCs/>
                <w:color w:val="000000"/>
                <w:sz w:val="16"/>
                <w:szCs w:val="16"/>
                <w:vertAlign w:val="subscript"/>
                <w:lang w:val="hu-HU" w:bidi="en-US"/>
              </w:rPr>
              <w:t>1</w:t>
            </w:r>
            <w:r>
              <w:rPr>
                <w:rFonts w:eastAsia="Courier New"/>
                <w:b/>
                <w:bCs/>
                <w:color w:val="000000"/>
                <w:sz w:val="16"/>
                <w:szCs w:val="16"/>
                <w:vertAlign w:val="superscript"/>
                <w:lang w:val="hu-HU" w:bidi="en-US"/>
              </w:rPr>
              <w:t>2 </w:t>
            </w:r>
            <w:r>
              <w:rPr>
                <w:rFonts w:eastAsia="Courier New"/>
                <w:b/>
                <w:bCs/>
                <w:color w:val="000000"/>
                <w:sz w:val="16"/>
                <w:szCs w:val="16"/>
                <w:lang w:val="hu-HU" w:bidi="en-US"/>
              </w:rPr>
              <w:t>= 2,54; p = 0,11)</w:t>
            </w:r>
          </w:p>
        </w:tc>
        <w:tc>
          <w:tcPr>
            <w:tcW w:w="0" w:type="auto"/>
            <w:gridSpan w:val="2"/>
            <w:vMerge/>
            <w:vAlign w:val="center"/>
            <w:hideMark/>
          </w:tcPr>
          <w:p w14:paraId="4E247AD0" w14:textId="77777777" w:rsidR="001F1C1E" w:rsidRDefault="001F1C1E">
            <w:pPr>
              <w:rPr>
                <w:rFonts w:eastAsia="Courier New"/>
                <w:color w:val="000000"/>
                <w:sz w:val="16"/>
                <w:szCs w:val="16"/>
                <w:lang w:val="hu-HU" w:eastAsia="fr-LU" w:bidi="en-US"/>
              </w:rPr>
            </w:pPr>
          </w:p>
        </w:tc>
        <w:tc>
          <w:tcPr>
            <w:tcW w:w="707" w:type="pct"/>
            <w:shd w:val="clear" w:color="auto" w:fill="FFFFFF"/>
          </w:tcPr>
          <w:p w14:paraId="68884D0F" w14:textId="77777777" w:rsidR="001F1C1E" w:rsidRDefault="001F1C1E">
            <w:pPr>
              <w:keepNext/>
              <w:keepLines/>
              <w:rPr>
                <w:rFonts w:eastAsia="Courier New"/>
                <w:color w:val="000000"/>
                <w:sz w:val="16"/>
                <w:szCs w:val="16"/>
                <w:lang w:val="hu-HU" w:bidi="en-US"/>
              </w:rPr>
            </w:pPr>
          </w:p>
        </w:tc>
      </w:tr>
      <w:tr w:rsidR="001F1C1E" w14:paraId="2A6B545C" w14:textId="77777777" w:rsidTr="00F14903">
        <w:trPr>
          <w:trHeight w:val="99"/>
        </w:trPr>
        <w:tc>
          <w:tcPr>
            <w:tcW w:w="467" w:type="pct"/>
            <w:shd w:val="clear" w:color="auto" w:fill="FFFFFF"/>
            <w:hideMark/>
          </w:tcPr>
          <w:p w14:paraId="584C22D5" w14:textId="77777777" w:rsidR="001F1C1E" w:rsidRDefault="001F1C1E">
            <w:pPr>
              <w:keepNext/>
              <w:keepLines/>
              <w:rPr>
                <w:rFonts w:eastAsia="Courier New"/>
                <w:color w:val="000000"/>
                <w:sz w:val="16"/>
                <w:szCs w:val="16"/>
                <w:lang w:val="hu-HU" w:bidi="en-US"/>
              </w:rPr>
            </w:pPr>
            <w:r>
              <w:rPr>
                <w:rFonts w:eastAsia="Courier New"/>
                <w:color w:val="000000"/>
                <w:sz w:val="16"/>
                <w:szCs w:val="16"/>
                <w:lang w:val="hu-HU" w:bidi="en-US"/>
              </w:rPr>
              <w:t>&lt;70</w:t>
            </w:r>
          </w:p>
        </w:tc>
        <w:tc>
          <w:tcPr>
            <w:tcW w:w="1164" w:type="pct"/>
            <w:shd w:val="clear" w:color="auto" w:fill="FFFFFF"/>
            <w:hideMark/>
          </w:tcPr>
          <w:p w14:paraId="7BE12CA0" w14:textId="77777777" w:rsidR="001F1C1E" w:rsidRDefault="001F1C1E">
            <w:pPr>
              <w:keepNext/>
              <w:keepLines/>
              <w:jc w:val="right"/>
              <w:rPr>
                <w:rFonts w:eastAsia="Courier New"/>
                <w:color w:val="000000"/>
                <w:sz w:val="16"/>
                <w:szCs w:val="16"/>
                <w:lang w:val="hu-HU" w:bidi="en-US"/>
              </w:rPr>
            </w:pPr>
            <w:r>
              <w:rPr>
                <w:rFonts w:eastAsia="Courier New"/>
                <w:color w:val="000000"/>
                <w:sz w:val="16"/>
                <w:szCs w:val="16"/>
                <w:lang w:val="hu-HU" w:bidi="en-US"/>
              </w:rPr>
              <w:t>53/675 (7,9 %)</w:t>
            </w:r>
          </w:p>
        </w:tc>
        <w:tc>
          <w:tcPr>
            <w:tcW w:w="1327" w:type="pct"/>
            <w:shd w:val="clear" w:color="auto" w:fill="FFFFFF"/>
            <w:hideMark/>
          </w:tcPr>
          <w:p w14:paraId="087A01DF" w14:textId="77777777" w:rsidR="001F1C1E" w:rsidRDefault="001F1C1E">
            <w:pPr>
              <w:keepNext/>
              <w:keepLines/>
              <w:jc w:val="right"/>
              <w:rPr>
                <w:rFonts w:eastAsia="Courier New"/>
                <w:color w:val="000000"/>
                <w:sz w:val="16"/>
                <w:szCs w:val="16"/>
                <w:lang w:val="hu-HU" w:bidi="en-US"/>
              </w:rPr>
            </w:pPr>
            <w:r>
              <w:rPr>
                <w:rFonts w:eastAsia="Courier New"/>
                <w:color w:val="000000"/>
                <w:sz w:val="16"/>
                <w:szCs w:val="16"/>
                <w:lang w:val="hu-HU" w:bidi="en-US"/>
              </w:rPr>
              <w:t>193/1.473(13,1 %)</w:t>
            </w:r>
          </w:p>
        </w:tc>
        <w:tc>
          <w:tcPr>
            <w:tcW w:w="0" w:type="auto"/>
            <w:gridSpan w:val="2"/>
            <w:vMerge/>
            <w:vAlign w:val="center"/>
            <w:hideMark/>
          </w:tcPr>
          <w:p w14:paraId="4BA67259" w14:textId="77777777" w:rsidR="001F1C1E" w:rsidRDefault="001F1C1E">
            <w:pPr>
              <w:rPr>
                <w:rFonts w:eastAsia="Courier New"/>
                <w:color w:val="000000"/>
                <w:sz w:val="16"/>
                <w:szCs w:val="16"/>
                <w:lang w:val="hu-HU" w:eastAsia="fr-LU" w:bidi="en-US"/>
              </w:rPr>
            </w:pPr>
          </w:p>
        </w:tc>
        <w:tc>
          <w:tcPr>
            <w:tcW w:w="707" w:type="pct"/>
            <w:shd w:val="clear" w:color="auto" w:fill="FFFFFF"/>
            <w:hideMark/>
          </w:tcPr>
          <w:p w14:paraId="4B7D8BDC" w14:textId="77777777" w:rsidR="001F1C1E" w:rsidRDefault="001F1C1E">
            <w:pPr>
              <w:keepNext/>
              <w:keepLines/>
              <w:rPr>
                <w:rFonts w:eastAsia="Courier New"/>
                <w:color w:val="000000"/>
                <w:sz w:val="16"/>
                <w:szCs w:val="16"/>
                <w:lang w:val="hu-HU" w:bidi="en-US"/>
              </w:rPr>
            </w:pPr>
            <w:r>
              <w:rPr>
                <w:rFonts w:eastAsia="Courier New"/>
                <w:color w:val="000000"/>
                <w:sz w:val="16"/>
                <w:szCs w:val="16"/>
                <w:lang w:val="hu-HU" w:bidi="en-US"/>
              </w:rPr>
              <w:t>0,58 (0,43-0,78)</w:t>
            </w:r>
          </w:p>
        </w:tc>
      </w:tr>
      <w:tr w:rsidR="001F1C1E" w14:paraId="726BB2FA" w14:textId="77777777" w:rsidTr="00F14903">
        <w:trPr>
          <w:trHeight w:val="227"/>
        </w:trPr>
        <w:tc>
          <w:tcPr>
            <w:tcW w:w="467" w:type="pct"/>
            <w:shd w:val="clear" w:color="auto" w:fill="FFFFFF"/>
            <w:vAlign w:val="bottom"/>
            <w:hideMark/>
          </w:tcPr>
          <w:p w14:paraId="7290144D" w14:textId="77777777" w:rsidR="001F1C1E" w:rsidRDefault="001F1C1E">
            <w:pPr>
              <w:keepNext/>
              <w:keepLines/>
              <w:rPr>
                <w:rFonts w:eastAsia="Courier New"/>
                <w:color w:val="000000"/>
                <w:sz w:val="16"/>
                <w:szCs w:val="16"/>
                <w:lang w:val="hu-HU" w:bidi="en-US"/>
              </w:rPr>
            </w:pPr>
            <w:r>
              <w:rPr>
                <w:rFonts w:eastAsia="Courier New"/>
                <w:color w:val="000000"/>
                <w:sz w:val="16"/>
                <w:szCs w:val="16"/>
                <w:lang w:val="hu-HU" w:bidi="en-US"/>
              </w:rPr>
              <w:sym w:font="Symbol" w:char="F0B3"/>
            </w:r>
            <w:r>
              <w:rPr>
                <w:rFonts w:eastAsia="Courier New"/>
                <w:color w:val="000000"/>
                <w:sz w:val="16"/>
                <w:szCs w:val="16"/>
                <w:lang w:val="hu-HU" w:bidi="en-US"/>
              </w:rPr>
              <w:t>70 &lt;80</w:t>
            </w:r>
          </w:p>
        </w:tc>
        <w:tc>
          <w:tcPr>
            <w:tcW w:w="1164" w:type="pct"/>
            <w:shd w:val="clear" w:color="auto" w:fill="FFFFFF"/>
            <w:vAlign w:val="bottom"/>
            <w:hideMark/>
          </w:tcPr>
          <w:p w14:paraId="1C67C7BC" w14:textId="77777777" w:rsidR="001F1C1E" w:rsidRDefault="001F1C1E">
            <w:pPr>
              <w:keepNext/>
              <w:keepLines/>
              <w:jc w:val="right"/>
              <w:rPr>
                <w:rFonts w:eastAsia="Courier New"/>
                <w:color w:val="000000"/>
                <w:sz w:val="16"/>
                <w:szCs w:val="16"/>
                <w:lang w:val="hu-HU" w:bidi="en-US"/>
              </w:rPr>
            </w:pPr>
            <w:r>
              <w:rPr>
                <w:rFonts w:eastAsia="Courier New"/>
                <w:color w:val="000000"/>
                <w:sz w:val="16"/>
                <w:szCs w:val="16"/>
                <w:lang w:val="hu-HU" w:bidi="en-US"/>
              </w:rPr>
              <w:t>104/306 (34,0 %)</w:t>
            </w:r>
          </w:p>
        </w:tc>
        <w:tc>
          <w:tcPr>
            <w:tcW w:w="1327" w:type="pct"/>
            <w:shd w:val="clear" w:color="auto" w:fill="FFFFFF"/>
            <w:vAlign w:val="bottom"/>
            <w:hideMark/>
          </w:tcPr>
          <w:p w14:paraId="54663137" w14:textId="77777777" w:rsidR="001F1C1E" w:rsidRDefault="001F1C1E">
            <w:pPr>
              <w:keepNext/>
              <w:keepLines/>
              <w:jc w:val="right"/>
              <w:rPr>
                <w:rFonts w:eastAsia="Courier New"/>
                <w:color w:val="000000"/>
                <w:sz w:val="16"/>
                <w:szCs w:val="16"/>
                <w:lang w:val="hu-HU" w:bidi="en-US"/>
              </w:rPr>
            </w:pPr>
            <w:r>
              <w:rPr>
                <w:rFonts w:eastAsia="Courier New"/>
                <w:color w:val="000000"/>
                <w:sz w:val="16"/>
                <w:szCs w:val="16"/>
                <w:lang w:val="hu-HU" w:bidi="en-US"/>
              </w:rPr>
              <w:t>178/531 (33,5 %)</w:t>
            </w:r>
          </w:p>
        </w:tc>
        <w:tc>
          <w:tcPr>
            <w:tcW w:w="0" w:type="auto"/>
            <w:gridSpan w:val="2"/>
            <w:vMerge/>
            <w:vAlign w:val="center"/>
            <w:hideMark/>
          </w:tcPr>
          <w:p w14:paraId="6F7AF47A" w14:textId="77777777" w:rsidR="001F1C1E" w:rsidRDefault="001F1C1E">
            <w:pPr>
              <w:rPr>
                <w:rFonts w:eastAsia="Courier New"/>
                <w:color w:val="000000"/>
                <w:sz w:val="16"/>
                <w:szCs w:val="16"/>
                <w:lang w:val="hu-HU" w:eastAsia="fr-LU" w:bidi="en-US"/>
              </w:rPr>
            </w:pPr>
          </w:p>
        </w:tc>
        <w:tc>
          <w:tcPr>
            <w:tcW w:w="707" w:type="pct"/>
            <w:shd w:val="clear" w:color="auto" w:fill="FFFFFF"/>
            <w:vAlign w:val="bottom"/>
            <w:hideMark/>
          </w:tcPr>
          <w:p w14:paraId="5B01E2EE" w14:textId="77777777" w:rsidR="001F1C1E" w:rsidRDefault="001F1C1E">
            <w:pPr>
              <w:keepNext/>
              <w:keepLines/>
              <w:rPr>
                <w:rFonts w:eastAsia="Courier New"/>
                <w:color w:val="000000"/>
                <w:sz w:val="16"/>
                <w:szCs w:val="16"/>
                <w:lang w:val="hu-HU" w:bidi="en-US"/>
              </w:rPr>
            </w:pPr>
            <w:r>
              <w:rPr>
                <w:rFonts w:eastAsia="Courier New"/>
                <w:color w:val="000000"/>
                <w:sz w:val="16"/>
                <w:szCs w:val="16"/>
                <w:lang w:val="hu-HU" w:bidi="en-US"/>
              </w:rPr>
              <w:t>0,98 (0,77-1,25)</w:t>
            </w:r>
          </w:p>
        </w:tc>
      </w:tr>
      <w:tr w:rsidR="001F1C1E" w14:paraId="2295E723" w14:textId="77777777" w:rsidTr="00F14903">
        <w:trPr>
          <w:trHeight w:val="227"/>
        </w:trPr>
        <w:tc>
          <w:tcPr>
            <w:tcW w:w="467" w:type="pct"/>
            <w:shd w:val="clear" w:color="auto" w:fill="FFFFFF"/>
            <w:vAlign w:val="bottom"/>
            <w:hideMark/>
          </w:tcPr>
          <w:p w14:paraId="28BE1DF4" w14:textId="77777777" w:rsidR="001F1C1E" w:rsidRDefault="001F1C1E">
            <w:pPr>
              <w:keepNext/>
              <w:keepLines/>
              <w:rPr>
                <w:rFonts w:eastAsia="Courier New"/>
                <w:color w:val="000000"/>
                <w:sz w:val="16"/>
                <w:szCs w:val="16"/>
                <w:lang w:val="hu-HU" w:bidi="en-US"/>
              </w:rPr>
            </w:pPr>
            <w:r>
              <w:rPr>
                <w:rFonts w:eastAsia="Courier New"/>
                <w:color w:val="000000"/>
                <w:sz w:val="16"/>
                <w:szCs w:val="16"/>
                <w:lang w:val="hu-HU" w:bidi="en-US"/>
              </w:rPr>
              <w:sym w:font="Symbol" w:char="F0B3"/>
            </w:r>
            <w:r>
              <w:rPr>
                <w:rFonts w:eastAsia="Courier New"/>
                <w:color w:val="000000"/>
                <w:sz w:val="16"/>
                <w:szCs w:val="16"/>
                <w:lang w:val="hu-HU" w:bidi="en-US"/>
              </w:rPr>
              <w:t>80</w:t>
            </w:r>
          </w:p>
        </w:tc>
        <w:tc>
          <w:tcPr>
            <w:tcW w:w="1164" w:type="pct"/>
            <w:shd w:val="clear" w:color="auto" w:fill="FFFFFF"/>
            <w:vAlign w:val="bottom"/>
            <w:hideMark/>
          </w:tcPr>
          <w:p w14:paraId="208FDA4E" w14:textId="77777777" w:rsidR="001F1C1E" w:rsidRDefault="001F1C1E">
            <w:pPr>
              <w:keepNext/>
              <w:keepLines/>
              <w:jc w:val="right"/>
              <w:rPr>
                <w:rFonts w:eastAsia="Courier New"/>
                <w:color w:val="000000"/>
                <w:sz w:val="16"/>
                <w:szCs w:val="16"/>
                <w:lang w:val="hu-HU" w:bidi="en-US"/>
              </w:rPr>
            </w:pPr>
            <w:r>
              <w:rPr>
                <w:rFonts w:eastAsia="Courier New"/>
                <w:color w:val="000000"/>
                <w:sz w:val="16"/>
                <w:szCs w:val="16"/>
                <w:lang w:val="hu-HU" w:bidi="en-US"/>
              </w:rPr>
              <w:t>141/298 (47,3 %)</w:t>
            </w:r>
          </w:p>
        </w:tc>
        <w:tc>
          <w:tcPr>
            <w:tcW w:w="1327" w:type="pct"/>
            <w:shd w:val="clear" w:color="auto" w:fill="FFFFFF"/>
            <w:vAlign w:val="bottom"/>
            <w:hideMark/>
          </w:tcPr>
          <w:p w14:paraId="49B6B2CF" w14:textId="77777777" w:rsidR="001F1C1E" w:rsidRDefault="001F1C1E">
            <w:pPr>
              <w:keepNext/>
              <w:keepLines/>
              <w:jc w:val="right"/>
              <w:rPr>
                <w:rFonts w:eastAsia="Courier New"/>
                <w:color w:val="000000"/>
                <w:sz w:val="16"/>
                <w:szCs w:val="16"/>
                <w:lang w:val="hu-HU" w:bidi="en-US"/>
              </w:rPr>
            </w:pPr>
            <w:r>
              <w:rPr>
                <w:rFonts w:eastAsia="Courier New"/>
                <w:color w:val="000000"/>
                <w:sz w:val="16"/>
                <w:szCs w:val="16"/>
                <w:lang w:val="hu-HU" w:bidi="en-US"/>
              </w:rPr>
              <w:t>311/600 (51,8 %)</w:t>
            </w:r>
          </w:p>
        </w:tc>
        <w:tc>
          <w:tcPr>
            <w:tcW w:w="0" w:type="auto"/>
            <w:gridSpan w:val="2"/>
            <w:vMerge/>
            <w:vAlign w:val="center"/>
            <w:hideMark/>
          </w:tcPr>
          <w:p w14:paraId="00F68C30" w14:textId="77777777" w:rsidR="001F1C1E" w:rsidRDefault="001F1C1E">
            <w:pPr>
              <w:rPr>
                <w:rFonts w:eastAsia="Courier New"/>
                <w:color w:val="000000"/>
                <w:sz w:val="16"/>
                <w:szCs w:val="16"/>
                <w:lang w:val="hu-HU" w:eastAsia="fr-LU" w:bidi="en-US"/>
              </w:rPr>
            </w:pPr>
          </w:p>
        </w:tc>
        <w:tc>
          <w:tcPr>
            <w:tcW w:w="707" w:type="pct"/>
            <w:shd w:val="clear" w:color="auto" w:fill="FFFFFF"/>
            <w:vAlign w:val="bottom"/>
            <w:hideMark/>
          </w:tcPr>
          <w:p w14:paraId="0D6CD0E0" w14:textId="77777777" w:rsidR="001F1C1E" w:rsidRDefault="001F1C1E">
            <w:pPr>
              <w:keepNext/>
              <w:keepLines/>
              <w:rPr>
                <w:rFonts w:eastAsia="Courier New"/>
                <w:color w:val="000000"/>
                <w:sz w:val="16"/>
                <w:szCs w:val="16"/>
                <w:lang w:val="hu-HU" w:bidi="en-US"/>
              </w:rPr>
            </w:pPr>
            <w:r>
              <w:rPr>
                <w:rFonts w:eastAsia="Courier New"/>
                <w:color w:val="000000"/>
                <w:sz w:val="16"/>
                <w:szCs w:val="16"/>
                <w:lang w:val="hu-HU" w:bidi="en-US"/>
              </w:rPr>
              <w:t>0,85 (0,70-1,04)</w:t>
            </w:r>
          </w:p>
        </w:tc>
      </w:tr>
      <w:tr w:rsidR="001F1C1E" w14:paraId="14B86D69" w14:textId="77777777" w:rsidTr="00F14903">
        <w:trPr>
          <w:trHeight w:val="308"/>
        </w:trPr>
        <w:tc>
          <w:tcPr>
            <w:tcW w:w="467" w:type="pct"/>
            <w:shd w:val="clear" w:color="auto" w:fill="FFFFFF"/>
            <w:hideMark/>
          </w:tcPr>
          <w:p w14:paraId="6BD0ECD0" w14:textId="77777777" w:rsidR="001F1C1E" w:rsidRDefault="001F1C1E">
            <w:pPr>
              <w:keepNext/>
              <w:keepLines/>
              <w:rPr>
                <w:rFonts w:eastAsia="Courier New"/>
                <w:b/>
                <w:bCs/>
                <w:color w:val="000000"/>
                <w:sz w:val="16"/>
                <w:szCs w:val="16"/>
                <w:lang w:val="hu-HU" w:bidi="en-US"/>
              </w:rPr>
            </w:pPr>
            <w:r>
              <w:rPr>
                <w:b/>
                <w:sz w:val="16"/>
                <w:szCs w:val="16"/>
              </w:rPr>
              <w:t>Subtotal</w:t>
            </w:r>
          </w:p>
        </w:tc>
        <w:tc>
          <w:tcPr>
            <w:tcW w:w="1164" w:type="pct"/>
            <w:shd w:val="clear" w:color="auto" w:fill="FFFFFF"/>
            <w:hideMark/>
          </w:tcPr>
          <w:p w14:paraId="4919C782" w14:textId="77777777" w:rsidR="001F1C1E" w:rsidRDefault="001F1C1E">
            <w:pPr>
              <w:keepNext/>
              <w:keepLines/>
              <w:jc w:val="right"/>
              <w:rPr>
                <w:rFonts w:eastAsia="Courier New"/>
                <w:b/>
                <w:bCs/>
                <w:color w:val="000000"/>
                <w:sz w:val="16"/>
                <w:szCs w:val="16"/>
                <w:lang w:val="hu-HU" w:bidi="en-US"/>
              </w:rPr>
            </w:pPr>
            <w:r>
              <w:rPr>
                <w:rFonts w:eastAsia="Courier New"/>
                <w:b/>
                <w:bCs/>
                <w:color w:val="000000"/>
                <w:sz w:val="16"/>
                <w:szCs w:val="16"/>
                <w:lang w:val="hu-HU" w:bidi="en-US"/>
              </w:rPr>
              <w:t>298/1.279 (23,3 %)</w:t>
            </w:r>
          </w:p>
        </w:tc>
        <w:tc>
          <w:tcPr>
            <w:tcW w:w="1327" w:type="pct"/>
            <w:shd w:val="clear" w:color="auto" w:fill="FFFFFF"/>
            <w:hideMark/>
          </w:tcPr>
          <w:p w14:paraId="7D07A3A9" w14:textId="77777777" w:rsidR="001F1C1E" w:rsidRDefault="001F1C1E">
            <w:pPr>
              <w:keepNext/>
              <w:keepLines/>
              <w:jc w:val="right"/>
              <w:rPr>
                <w:rFonts w:eastAsia="Courier New"/>
                <w:b/>
                <w:bCs/>
                <w:color w:val="000000"/>
                <w:sz w:val="16"/>
                <w:szCs w:val="16"/>
                <w:lang w:val="hu-HU" w:bidi="en-US"/>
              </w:rPr>
            </w:pPr>
            <w:r>
              <w:rPr>
                <w:rFonts w:eastAsia="Courier New"/>
                <w:b/>
                <w:bCs/>
                <w:color w:val="000000"/>
                <w:sz w:val="16"/>
                <w:szCs w:val="16"/>
                <w:lang w:val="hu-HU" w:bidi="en-US"/>
              </w:rPr>
              <w:t>682/2.604 (26,2 %)</w:t>
            </w:r>
          </w:p>
        </w:tc>
        <w:tc>
          <w:tcPr>
            <w:tcW w:w="0" w:type="auto"/>
            <w:gridSpan w:val="2"/>
            <w:vMerge/>
            <w:vAlign w:val="center"/>
            <w:hideMark/>
          </w:tcPr>
          <w:p w14:paraId="291E77A4" w14:textId="77777777" w:rsidR="001F1C1E" w:rsidRDefault="001F1C1E">
            <w:pPr>
              <w:rPr>
                <w:rFonts w:eastAsia="Courier New"/>
                <w:color w:val="000000"/>
                <w:sz w:val="16"/>
                <w:szCs w:val="16"/>
                <w:lang w:val="hu-HU" w:eastAsia="fr-LU" w:bidi="en-US"/>
              </w:rPr>
            </w:pPr>
          </w:p>
        </w:tc>
        <w:tc>
          <w:tcPr>
            <w:tcW w:w="707" w:type="pct"/>
            <w:shd w:val="clear" w:color="auto" w:fill="FFFFFF"/>
            <w:hideMark/>
          </w:tcPr>
          <w:p w14:paraId="10E0A220" w14:textId="77777777" w:rsidR="001F1C1E" w:rsidRDefault="001F1C1E">
            <w:pPr>
              <w:keepNext/>
              <w:keepLines/>
              <w:rPr>
                <w:rFonts w:eastAsia="Courier New"/>
                <w:b/>
                <w:bCs/>
                <w:color w:val="000000"/>
                <w:sz w:val="16"/>
                <w:szCs w:val="16"/>
                <w:lang w:val="hu-HU" w:bidi="en-US"/>
              </w:rPr>
            </w:pPr>
            <w:r>
              <w:rPr>
                <w:rFonts w:eastAsia="Courier New"/>
                <w:b/>
                <w:bCs/>
                <w:color w:val="000000"/>
                <w:sz w:val="16"/>
                <w:szCs w:val="16"/>
                <w:lang w:val="hu-HU" w:bidi="en-US"/>
              </w:rPr>
              <w:t>0,82 (0,72-0,94)</w:t>
            </w:r>
          </w:p>
        </w:tc>
      </w:tr>
      <w:tr w:rsidR="001F1C1E" w14:paraId="5B3296ED" w14:textId="77777777" w:rsidTr="00F14903">
        <w:trPr>
          <w:trHeight w:val="227"/>
        </w:trPr>
        <w:tc>
          <w:tcPr>
            <w:tcW w:w="2958" w:type="pct"/>
            <w:gridSpan w:val="3"/>
            <w:shd w:val="clear" w:color="auto" w:fill="FFFFFF"/>
            <w:vAlign w:val="bottom"/>
            <w:hideMark/>
          </w:tcPr>
          <w:p w14:paraId="024A0913" w14:textId="77777777" w:rsidR="001F1C1E" w:rsidRDefault="001F1C1E">
            <w:pPr>
              <w:keepNext/>
              <w:keepLines/>
              <w:rPr>
                <w:rFonts w:eastAsia="Courier New"/>
                <w:b/>
                <w:bCs/>
                <w:color w:val="000000"/>
                <w:sz w:val="16"/>
                <w:szCs w:val="16"/>
                <w:lang w:val="hu-HU" w:bidi="en-US"/>
              </w:rPr>
            </w:pPr>
            <w:r>
              <w:rPr>
                <w:rFonts w:eastAsia="Courier New"/>
                <w:b/>
                <w:bCs/>
                <w:color w:val="000000"/>
                <w:sz w:val="16"/>
                <w:szCs w:val="16"/>
                <w:lang w:bidi="en-US"/>
              </w:rPr>
              <w:t>Mekanisk ventilation</w:t>
            </w:r>
            <w:r>
              <w:rPr>
                <w:rFonts w:eastAsia="Courier New"/>
                <w:b/>
                <w:bCs/>
                <w:color w:val="000000"/>
                <w:sz w:val="16"/>
                <w:szCs w:val="16"/>
                <w:u w:val="single"/>
                <w:lang w:bidi="en-US"/>
              </w:rPr>
              <w:t xml:space="preserve"> </w:t>
            </w:r>
            <w:r>
              <w:rPr>
                <w:rFonts w:eastAsia="Courier New"/>
                <w:b/>
                <w:bCs/>
                <w:color w:val="000000"/>
                <w:sz w:val="16"/>
                <w:szCs w:val="16"/>
                <w:lang w:val="hu-HU" w:bidi="en-US"/>
              </w:rPr>
              <w:t>(χ</w:t>
            </w:r>
            <w:r>
              <w:rPr>
                <w:rFonts w:eastAsia="Courier New"/>
                <w:b/>
                <w:bCs/>
                <w:color w:val="000000"/>
                <w:sz w:val="16"/>
                <w:szCs w:val="16"/>
                <w:vertAlign w:val="subscript"/>
                <w:lang w:val="hu-HU" w:bidi="en-US"/>
              </w:rPr>
              <w:t>1</w:t>
            </w:r>
            <w:r>
              <w:rPr>
                <w:rFonts w:eastAsia="Courier New"/>
                <w:b/>
                <w:bCs/>
                <w:color w:val="000000"/>
                <w:sz w:val="16"/>
                <w:szCs w:val="16"/>
                <w:vertAlign w:val="superscript"/>
                <w:lang w:val="hu-HU" w:bidi="en-US"/>
              </w:rPr>
              <w:t>2 </w:t>
            </w:r>
            <w:r>
              <w:rPr>
                <w:rFonts w:eastAsia="Courier New"/>
                <w:b/>
                <w:bCs/>
                <w:color w:val="000000"/>
                <w:sz w:val="16"/>
                <w:szCs w:val="16"/>
                <w:lang w:val="hu-HU" w:bidi="en-US"/>
              </w:rPr>
              <w:t>= 0,28; p = 0,60)</w:t>
            </w:r>
          </w:p>
        </w:tc>
        <w:tc>
          <w:tcPr>
            <w:tcW w:w="0" w:type="auto"/>
            <w:gridSpan w:val="2"/>
            <w:vMerge/>
            <w:vAlign w:val="center"/>
            <w:hideMark/>
          </w:tcPr>
          <w:p w14:paraId="6D4ACCA8" w14:textId="77777777" w:rsidR="001F1C1E" w:rsidRDefault="001F1C1E">
            <w:pPr>
              <w:rPr>
                <w:rFonts w:eastAsia="Courier New"/>
                <w:color w:val="000000"/>
                <w:sz w:val="16"/>
                <w:szCs w:val="16"/>
                <w:lang w:val="hu-HU" w:eastAsia="fr-LU" w:bidi="en-US"/>
              </w:rPr>
            </w:pPr>
          </w:p>
        </w:tc>
        <w:tc>
          <w:tcPr>
            <w:tcW w:w="707" w:type="pct"/>
            <w:shd w:val="clear" w:color="auto" w:fill="FFFFFF"/>
          </w:tcPr>
          <w:p w14:paraId="699A300F" w14:textId="77777777" w:rsidR="001F1C1E" w:rsidRDefault="001F1C1E">
            <w:pPr>
              <w:keepNext/>
              <w:keepLines/>
              <w:rPr>
                <w:rFonts w:eastAsia="Courier New"/>
                <w:color w:val="000000"/>
                <w:sz w:val="16"/>
                <w:szCs w:val="16"/>
                <w:lang w:val="hu-HU" w:bidi="en-US"/>
              </w:rPr>
            </w:pPr>
          </w:p>
        </w:tc>
      </w:tr>
      <w:tr w:rsidR="001F1C1E" w14:paraId="6F812C95" w14:textId="77777777" w:rsidTr="00F14903">
        <w:trPr>
          <w:trHeight w:val="227"/>
        </w:trPr>
        <w:tc>
          <w:tcPr>
            <w:tcW w:w="467" w:type="pct"/>
            <w:shd w:val="clear" w:color="auto" w:fill="FFFFFF"/>
            <w:vAlign w:val="bottom"/>
            <w:hideMark/>
          </w:tcPr>
          <w:p w14:paraId="3ED4D605" w14:textId="77777777" w:rsidR="001F1C1E" w:rsidRDefault="001F1C1E">
            <w:pPr>
              <w:keepNext/>
              <w:keepLines/>
              <w:rPr>
                <w:rFonts w:eastAsia="Courier New"/>
                <w:color w:val="000000"/>
                <w:sz w:val="16"/>
                <w:szCs w:val="16"/>
                <w:lang w:val="hu-HU" w:bidi="en-US"/>
              </w:rPr>
            </w:pPr>
            <w:r>
              <w:rPr>
                <w:rFonts w:eastAsia="Courier New"/>
                <w:color w:val="000000"/>
                <w:sz w:val="16"/>
                <w:szCs w:val="16"/>
                <w:lang w:val="hu-HU" w:bidi="en-US"/>
              </w:rPr>
              <w:t>&lt;70</w:t>
            </w:r>
          </w:p>
        </w:tc>
        <w:tc>
          <w:tcPr>
            <w:tcW w:w="1164" w:type="pct"/>
            <w:shd w:val="clear" w:color="auto" w:fill="FFFFFF"/>
            <w:vAlign w:val="bottom"/>
            <w:hideMark/>
          </w:tcPr>
          <w:p w14:paraId="06234214" w14:textId="77777777" w:rsidR="001F1C1E" w:rsidRDefault="001F1C1E">
            <w:pPr>
              <w:keepNext/>
              <w:keepLines/>
              <w:jc w:val="right"/>
              <w:rPr>
                <w:rFonts w:eastAsia="Courier New"/>
                <w:color w:val="000000"/>
                <w:sz w:val="16"/>
                <w:szCs w:val="16"/>
                <w:lang w:val="hu-HU" w:bidi="en-US"/>
              </w:rPr>
            </w:pPr>
            <w:r>
              <w:rPr>
                <w:rFonts w:eastAsia="Courier New"/>
                <w:color w:val="000000"/>
                <w:sz w:val="16"/>
                <w:szCs w:val="16"/>
                <w:lang w:val="hu-HU" w:bidi="en-US"/>
              </w:rPr>
              <w:t>66/269 (24,5 %)</w:t>
            </w:r>
          </w:p>
        </w:tc>
        <w:tc>
          <w:tcPr>
            <w:tcW w:w="1327" w:type="pct"/>
            <w:shd w:val="clear" w:color="auto" w:fill="FFFFFF"/>
            <w:vAlign w:val="bottom"/>
            <w:hideMark/>
          </w:tcPr>
          <w:p w14:paraId="11AABEF4" w14:textId="77777777" w:rsidR="001F1C1E" w:rsidRDefault="001F1C1E">
            <w:pPr>
              <w:keepNext/>
              <w:keepLines/>
              <w:jc w:val="right"/>
              <w:rPr>
                <w:rFonts w:eastAsia="Courier New"/>
                <w:color w:val="000000"/>
                <w:sz w:val="16"/>
                <w:szCs w:val="16"/>
                <w:lang w:val="hu-HU" w:bidi="en-US"/>
              </w:rPr>
            </w:pPr>
            <w:r>
              <w:rPr>
                <w:rFonts w:eastAsia="Courier New"/>
                <w:color w:val="000000"/>
                <w:sz w:val="16"/>
                <w:szCs w:val="16"/>
                <w:lang w:val="hu-HU" w:bidi="en-US"/>
              </w:rPr>
              <w:t>217/569 (38,1 %)</w:t>
            </w:r>
          </w:p>
        </w:tc>
        <w:tc>
          <w:tcPr>
            <w:tcW w:w="0" w:type="auto"/>
            <w:gridSpan w:val="2"/>
            <w:vMerge/>
            <w:vAlign w:val="center"/>
            <w:hideMark/>
          </w:tcPr>
          <w:p w14:paraId="5E6C4744" w14:textId="77777777" w:rsidR="001F1C1E" w:rsidRDefault="001F1C1E">
            <w:pPr>
              <w:rPr>
                <w:rFonts w:eastAsia="Courier New"/>
                <w:color w:val="000000"/>
                <w:sz w:val="16"/>
                <w:szCs w:val="16"/>
                <w:lang w:val="hu-HU" w:eastAsia="fr-LU" w:bidi="en-US"/>
              </w:rPr>
            </w:pPr>
          </w:p>
        </w:tc>
        <w:tc>
          <w:tcPr>
            <w:tcW w:w="707" w:type="pct"/>
            <w:shd w:val="clear" w:color="auto" w:fill="FFFFFF"/>
            <w:vAlign w:val="bottom"/>
            <w:hideMark/>
          </w:tcPr>
          <w:p w14:paraId="7AF6F77B" w14:textId="77777777" w:rsidR="001F1C1E" w:rsidRDefault="001F1C1E">
            <w:pPr>
              <w:keepNext/>
              <w:keepLines/>
              <w:rPr>
                <w:rFonts w:eastAsia="Courier New"/>
                <w:color w:val="000000"/>
                <w:sz w:val="16"/>
                <w:szCs w:val="16"/>
                <w:lang w:val="hu-HU" w:bidi="en-US"/>
              </w:rPr>
            </w:pPr>
            <w:r>
              <w:rPr>
                <w:rFonts w:eastAsia="Courier New"/>
                <w:color w:val="000000"/>
                <w:sz w:val="16"/>
                <w:szCs w:val="16"/>
                <w:lang w:val="hu-HU" w:bidi="en-US"/>
              </w:rPr>
              <w:t>0,61 (0,46-0,81)</w:t>
            </w:r>
          </w:p>
        </w:tc>
      </w:tr>
      <w:tr w:rsidR="001F1C1E" w14:paraId="22E962FA" w14:textId="77777777" w:rsidTr="00F14903">
        <w:trPr>
          <w:trHeight w:val="227"/>
        </w:trPr>
        <w:tc>
          <w:tcPr>
            <w:tcW w:w="467" w:type="pct"/>
            <w:shd w:val="clear" w:color="auto" w:fill="FFFFFF"/>
            <w:vAlign w:val="bottom"/>
            <w:hideMark/>
          </w:tcPr>
          <w:p w14:paraId="4998368E" w14:textId="77777777" w:rsidR="001F1C1E" w:rsidRDefault="001F1C1E">
            <w:pPr>
              <w:keepNext/>
              <w:keepLines/>
              <w:rPr>
                <w:rFonts w:eastAsia="Courier New"/>
                <w:color w:val="000000"/>
                <w:sz w:val="16"/>
                <w:szCs w:val="16"/>
                <w:lang w:val="hu-HU" w:bidi="en-US"/>
              </w:rPr>
            </w:pPr>
            <w:r>
              <w:rPr>
                <w:rFonts w:eastAsia="Courier New"/>
                <w:color w:val="000000"/>
                <w:sz w:val="16"/>
                <w:szCs w:val="16"/>
                <w:lang w:val="hu-HU" w:bidi="en-US"/>
              </w:rPr>
              <w:sym w:font="Symbol" w:char="F0B3"/>
            </w:r>
            <w:r>
              <w:rPr>
                <w:rFonts w:eastAsia="Courier New"/>
                <w:color w:val="000000"/>
                <w:sz w:val="16"/>
                <w:szCs w:val="16"/>
                <w:lang w:val="hu-HU" w:bidi="en-US"/>
              </w:rPr>
              <w:t>70 &lt;80</w:t>
            </w:r>
          </w:p>
        </w:tc>
        <w:tc>
          <w:tcPr>
            <w:tcW w:w="1164" w:type="pct"/>
            <w:shd w:val="clear" w:color="auto" w:fill="FFFFFF"/>
            <w:vAlign w:val="bottom"/>
            <w:hideMark/>
          </w:tcPr>
          <w:p w14:paraId="6F71CB1C" w14:textId="77777777" w:rsidR="001F1C1E" w:rsidRDefault="001F1C1E">
            <w:pPr>
              <w:keepNext/>
              <w:keepLines/>
              <w:jc w:val="right"/>
              <w:rPr>
                <w:rFonts w:eastAsia="Courier New"/>
                <w:color w:val="000000"/>
                <w:sz w:val="16"/>
                <w:szCs w:val="16"/>
                <w:lang w:val="hu-HU" w:bidi="en-US"/>
              </w:rPr>
            </w:pPr>
            <w:r>
              <w:rPr>
                <w:rFonts w:eastAsia="Courier New"/>
                <w:color w:val="000000"/>
                <w:sz w:val="16"/>
                <w:szCs w:val="16"/>
                <w:lang w:val="hu-HU" w:bidi="en-US"/>
              </w:rPr>
              <w:t>26/49 (53,1 %)</w:t>
            </w:r>
          </w:p>
        </w:tc>
        <w:tc>
          <w:tcPr>
            <w:tcW w:w="1327" w:type="pct"/>
            <w:shd w:val="clear" w:color="auto" w:fill="FFFFFF"/>
            <w:vAlign w:val="bottom"/>
            <w:hideMark/>
          </w:tcPr>
          <w:p w14:paraId="7B89F617" w14:textId="77777777" w:rsidR="001F1C1E" w:rsidRDefault="001F1C1E">
            <w:pPr>
              <w:keepNext/>
              <w:keepLines/>
              <w:jc w:val="right"/>
              <w:rPr>
                <w:rFonts w:eastAsia="Courier New"/>
                <w:color w:val="000000"/>
                <w:sz w:val="16"/>
                <w:szCs w:val="16"/>
                <w:lang w:val="hu-HU" w:bidi="en-US"/>
              </w:rPr>
            </w:pPr>
            <w:r>
              <w:rPr>
                <w:rFonts w:eastAsia="Courier New"/>
                <w:color w:val="000000"/>
                <w:sz w:val="16"/>
                <w:szCs w:val="16"/>
                <w:lang w:val="hu-HU" w:bidi="en-US"/>
              </w:rPr>
              <w:t>58/104 (55,8 %)</w:t>
            </w:r>
          </w:p>
        </w:tc>
        <w:tc>
          <w:tcPr>
            <w:tcW w:w="0" w:type="auto"/>
            <w:gridSpan w:val="2"/>
            <w:vMerge/>
            <w:vAlign w:val="center"/>
            <w:hideMark/>
          </w:tcPr>
          <w:p w14:paraId="76B2D98C" w14:textId="77777777" w:rsidR="001F1C1E" w:rsidRDefault="001F1C1E">
            <w:pPr>
              <w:rPr>
                <w:rFonts w:eastAsia="Courier New"/>
                <w:color w:val="000000"/>
                <w:sz w:val="16"/>
                <w:szCs w:val="16"/>
                <w:lang w:val="hu-HU" w:eastAsia="fr-LU" w:bidi="en-US"/>
              </w:rPr>
            </w:pPr>
          </w:p>
        </w:tc>
        <w:tc>
          <w:tcPr>
            <w:tcW w:w="707" w:type="pct"/>
            <w:shd w:val="clear" w:color="auto" w:fill="FFFFFF"/>
            <w:vAlign w:val="bottom"/>
            <w:hideMark/>
          </w:tcPr>
          <w:p w14:paraId="4650C02D" w14:textId="77777777" w:rsidR="001F1C1E" w:rsidRDefault="001F1C1E">
            <w:pPr>
              <w:keepNext/>
              <w:keepLines/>
              <w:rPr>
                <w:rFonts w:eastAsia="Courier New"/>
                <w:color w:val="000000"/>
                <w:sz w:val="16"/>
                <w:szCs w:val="16"/>
                <w:lang w:val="hu-HU" w:bidi="en-US"/>
              </w:rPr>
            </w:pPr>
            <w:r>
              <w:rPr>
                <w:rFonts w:eastAsia="Courier New"/>
                <w:color w:val="000000"/>
                <w:sz w:val="16"/>
                <w:szCs w:val="16"/>
                <w:lang w:val="hu-HU" w:bidi="en-US"/>
              </w:rPr>
              <w:t>0,85 (0,53-1,34)</w:t>
            </w:r>
          </w:p>
        </w:tc>
      </w:tr>
      <w:tr w:rsidR="001F1C1E" w14:paraId="7C2C0B60" w14:textId="77777777" w:rsidTr="00F14903">
        <w:trPr>
          <w:trHeight w:val="227"/>
        </w:trPr>
        <w:tc>
          <w:tcPr>
            <w:tcW w:w="467" w:type="pct"/>
            <w:shd w:val="clear" w:color="auto" w:fill="FFFFFF"/>
            <w:vAlign w:val="center"/>
            <w:hideMark/>
          </w:tcPr>
          <w:p w14:paraId="6E86E87C" w14:textId="77777777" w:rsidR="001F1C1E" w:rsidRDefault="001F1C1E">
            <w:pPr>
              <w:keepNext/>
              <w:keepLines/>
              <w:rPr>
                <w:rFonts w:eastAsia="Courier New"/>
                <w:color w:val="000000"/>
                <w:sz w:val="16"/>
                <w:szCs w:val="16"/>
                <w:lang w:val="hu-HU" w:bidi="en-US"/>
              </w:rPr>
            </w:pPr>
            <w:r>
              <w:rPr>
                <w:rFonts w:eastAsia="Courier New"/>
                <w:color w:val="000000"/>
                <w:sz w:val="16"/>
                <w:szCs w:val="16"/>
                <w:lang w:val="hu-HU" w:bidi="en-US"/>
              </w:rPr>
              <w:sym w:font="Symbol" w:char="F0B3"/>
            </w:r>
            <w:r>
              <w:rPr>
                <w:rFonts w:eastAsia="Courier New"/>
                <w:color w:val="000000"/>
                <w:sz w:val="16"/>
                <w:szCs w:val="16"/>
                <w:lang w:val="hu-HU" w:bidi="en-US"/>
              </w:rPr>
              <w:t>80</w:t>
            </w:r>
          </w:p>
        </w:tc>
        <w:tc>
          <w:tcPr>
            <w:tcW w:w="1164" w:type="pct"/>
            <w:shd w:val="clear" w:color="auto" w:fill="FFFFFF"/>
            <w:vAlign w:val="bottom"/>
            <w:hideMark/>
          </w:tcPr>
          <w:p w14:paraId="4891CAD1" w14:textId="77777777" w:rsidR="001F1C1E" w:rsidRDefault="001F1C1E">
            <w:pPr>
              <w:keepNext/>
              <w:keepLines/>
              <w:jc w:val="right"/>
              <w:rPr>
                <w:rFonts w:eastAsia="Courier New"/>
                <w:color w:val="000000"/>
                <w:sz w:val="16"/>
                <w:szCs w:val="16"/>
                <w:lang w:val="hu-HU" w:bidi="en-US"/>
              </w:rPr>
            </w:pPr>
            <w:r>
              <w:rPr>
                <w:rFonts w:eastAsia="Courier New"/>
                <w:color w:val="000000"/>
                <w:sz w:val="16"/>
                <w:szCs w:val="16"/>
                <w:lang w:val="hu-HU" w:bidi="en-US"/>
              </w:rPr>
              <w:t>3/6 (50,0 %)</w:t>
            </w:r>
          </w:p>
        </w:tc>
        <w:tc>
          <w:tcPr>
            <w:tcW w:w="1327" w:type="pct"/>
            <w:shd w:val="clear" w:color="auto" w:fill="FFFFFF"/>
            <w:vAlign w:val="bottom"/>
            <w:hideMark/>
          </w:tcPr>
          <w:p w14:paraId="1C1E91D0" w14:textId="77777777" w:rsidR="001F1C1E" w:rsidRDefault="001F1C1E">
            <w:pPr>
              <w:keepNext/>
              <w:keepLines/>
              <w:jc w:val="right"/>
              <w:rPr>
                <w:rFonts w:eastAsia="Courier New"/>
                <w:color w:val="000000"/>
                <w:sz w:val="16"/>
                <w:szCs w:val="16"/>
                <w:lang w:val="hu-HU" w:bidi="en-US"/>
              </w:rPr>
            </w:pPr>
            <w:r>
              <w:rPr>
                <w:rFonts w:eastAsia="Courier New"/>
                <w:color w:val="000000"/>
                <w:sz w:val="16"/>
                <w:szCs w:val="16"/>
                <w:lang w:val="hu-HU" w:bidi="en-US"/>
              </w:rPr>
              <w:t>8/10 (80,0 %)</w:t>
            </w:r>
          </w:p>
        </w:tc>
        <w:tc>
          <w:tcPr>
            <w:tcW w:w="0" w:type="auto"/>
            <w:gridSpan w:val="2"/>
            <w:vMerge/>
            <w:vAlign w:val="center"/>
            <w:hideMark/>
          </w:tcPr>
          <w:p w14:paraId="5BCCA2E4" w14:textId="77777777" w:rsidR="001F1C1E" w:rsidRDefault="001F1C1E">
            <w:pPr>
              <w:rPr>
                <w:rFonts w:eastAsia="Courier New"/>
                <w:color w:val="000000"/>
                <w:sz w:val="16"/>
                <w:szCs w:val="16"/>
                <w:lang w:val="hu-HU" w:eastAsia="fr-LU" w:bidi="en-US"/>
              </w:rPr>
            </w:pPr>
          </w:p>
        </w:tc>
        <w:tc>
          <w:tcPr>
            <w:tcW w:w="707" w:type="pct"/>
            <w:shd w:val="clear" w:color="auto" w:fill="FFFFFF"/>
            <w:vAlign w:val="bottom"/>
            <w:hideMark/>
          </w:tcPr>
          <w:p w14:paraId="5491E5DC" w14:textId="77777777" w:rsidR="001F1C1E" w:rsidRDefault="001F1C1E">
            <w:pPr>
              <w:keepNext/>
              <w:keepLines/>
              <w:rPr>
                <w:rFonts w:eastAsia="Courier New"/>
                <w:color w:val="000000"/>
                <w:sz w:val="16"/>
                <w:szCs w:val="16"/>
                <w:lang w:val="hu-HU" w:bidi="en-US"/>
              </w:rPr>
            </w:pPr>
            <w:r>
              <w:rPr>
                <w:rFonts w:eastAsia="Courier New"/>
                <w:color w:val="000000"/>
                <w:sz w:val="16"/>
                <w:szCs w:val="16"/>
                <w:lang w:val="hu-HU" w:bidi="en-US"/>
              </w:rPr>
              <w:t>0,39 (0,10-1,47)</w:t>
            </w:r>
          </w:p>
        </w:tc>
      </w:tr>
      <w:tr w:rsidR="001F1C1E" w14:paraId="329FE66C" w14:textId="77777777" w:rsidTr="00F14903">
        <w:trPr>
          <w:trHeight w:val="313"/>
        </w:trPr>
        <w:tc>
          <w:tcPr>
            <w:tcW w:w="467" w:type="pct"/>
            <w:shd w:val="clear" w:color="auto" w:fill="FFFFFF"/>
            <w:hideMark/>
          </w:tcPr>
          <w:p w14:paraId="40BD55A4" w14:textId="77777777" w:rsidR="001F1C1E" w:rsidRDefault="001F1C1E">
            <w:pPr>
              <w:keepNext/>
              <w:keepLines/>
              <w:rPr>
                <w:rFonts w:eastAsia="Courier New"/>
                <w:b/>
                <w:bCs/>
                <w:color w:val="000000"/>
                <w:sz w:val="16"/>
                <w:szCs w:val="16"/>
                <w:lang w:val="hu-HU" w:bidi="en-US"/>
              </w:rPr>
            </w:pPr>
            <w:r>
              <w:rPr>
                <w:b/>
                <w:sz w:val="16"/>
                <w:szCs w:val="16"/>
              </w:rPr>
              <w:t>Subtotal</w:t>
            </w:r>
          </w:p>
        </w:tc>
        <w:tc>
          <w:tcPr>
            <w:tcW w:w="1164" w:type="pct"/>
            <w:shd w:val="clear" w:color="auto" w:fill="FFFFFF"/>
            <w:hideMark/>
          </w:tcPr>
          <w:p w14:paraId="3A8B407B" w14:textId="77777777" w:rsidR="001F1C1E" w:rsidRDefault="001F1C1E">
            <w:pPr>
              <w:keepNext/>
              <w:keepLines/>
              <w:jc w:val="right"/>
              <w:rPr>
                <w:rFonts w:eastAsia="Courier New"/>
                <w:b/>
                <w:bCs/>
                <w:color w:val="000000"/>
                <w:sz w:val="16"/>
                <w:szCs w:val="16"/>
                <w:lang w:val="hu-HU" w:bidi="en-US"/>
              </w:rPr>
            </w:pPr>
            <w:r>
              <w:rPr>
                <w:rFonts w:eastAsia="Courier New"/>
                <w:b/>
                <w:bCs/>
                <w:color w:val="000000"/>
                <w:sz w:val="16"/>
                <w:szCs w:val="16"/>
                <w:lang w:val="hu-HU" w:bidi="en-US"/>
              </w:rPr>
              <w:t>95/324 (29,3 %)</w:t>
            </w:r>
          </w:p>
        </w:tc>
        <w:tc>
          <w:tcPr>
            <w:tcW w:w="1327" w:type="pct"/>
            <w:shd w:val="clear" w:color="auto" w:fill="FFFFFF"/>
            <w:hideMark/>
          </w:tcPr>
          <w:p w14:paraId="0B35889A" w14:textId="77777777" w:rsidR="001F1C1E" w:rsidRDefault="001F1C1E">
            <w:pPr>
              <w:keepNext/>
              <w:keepLines/>
              <w:jc w:val="right"/>
              <w:rPr>
                <w:rFonts w:eastAsia="Courier New"/>
                <w:b/>
                <w:bCs/>
                <w:color w:val="000000"/>
                <w:sz w:val="16"/>
                <w:szCs w:val="16"/>
                <w:lang w:val="hu-HU" w:bidi="en-US"/>
              </w:rPr>
            </w:pPr>
            <w:r>
              <w:rPr>
                <w:rFonts w:eastAsia="Courier New"/>
                <w:b/>
                <w:bCs/>
                <w:color w:val="000000"/>
                <w:sz w:val="16"/>
                <w:szCs w:val="16"/>
                <w:lang w:val="hu-HU" w:bidi="en-US"/>
              </w:rPr>
              <w:t>283/683 (41,4 %)</w:t>
            </w:r>
          </w:p>
        </w:tc>
        <w:tc>
          <w:tcPr>
            <w:tcW w:w="0" w:type="auto"/>
            <w:gridSpan w:val="2"/>
            <w:vMerge/>
            <w:vAlign w:val="center"/>
            <w:hideMark/>
          </w:tcPr>
          <w:p w14:paraId="1FC62E39" w14:textId="77777777" w:rsidR="001F1C1E" w:rsidRDefault="001F1C1E">
            <w:pPr>
              <w:rPr>
                <w:rFonts w:eastAsia="Courier New"/>
                <w:color w:val="000000"/>
                <w:sz w:val="16"/>
                <w:szCs w:val="16"/>
                <w:lang w:val="hu-HU" w:eastAsia="fr-LU" w:bidi="en-US"/>
              </w:rPr>
            </w:pPr>
          </w:p>
        </w:tc>
        <w:tc>
          <w:tcPr>
            <w:tcW w:w="707" w:type="pct"/>
            <w:shd w:val="clear" w:color="auto" w:fill="FFFFFF"/>
            <w:hideMark/>
          </w:tcPr>
          <w:p w14:paraId="10E815FB" w14:textId="77777777" w:rsidR="001F1C1E" w:rsidRDefault="001F1C1E">
            <w:pPr>
              <w:keepNext/>
              <w:keepLines/>
              <w:rPr>
                <w:rFonts w:eastAsia="Courier New"/>
                <w:color w:val="000000"/>
                <w:sz w:val="16"/>
                <w:szCs w:val="16"/>
                <w:lang w:val="hu-HU" w:bidi="en-US"/>
              </w:rPr>
            </w:pPr>
            <w:r>
              <w:rPr>
                <w:rFonts w:eastAsia="Courier New"/>
                <w:b/>
                <w:bCs/>
                <w:color w:val="000000"/>
                <w:sz w:val="16"/>
                <w:szCs w:val="16"/>
                <w:lang w:val="hu-HU" w:bidi="en-US"/>
              </w:rPr>
              <w:t>0,64 (0,51-0,81</w:t>
            </w:r>
            <w:r>
              <w:rPr>
                <w:rFonts w:eastAsia="Courier New"/>
                <w:color w:val="000000"/>
                <w:sz w:val="16"/>
                <w:szCs w:val="16"/>
                <w:lang w:val="hu-HU" w:bidi="en-US"/>
              </w:rPr>
              <w:t>)</w:t>
            </w:r>
          </w:p>
        </w:tc>
      </w:tr>
      <w:tr w:rsidR="001F1C1E" w14:paraId="2C723A74" w14:textId="77777777" w:rsidTr="00F14903">
        <w:trPr>
          <w:trHeight w:val="227"/>
        </w:trPr>
        <w:tc>
          <w:tcPr>
            <w:tcW w:w="467" w:type="pct"/>
            <w:shd w:val="clear" w:color="auto" w:fill="FFFFFF"/>
            <w:vAlign w:val="bottom"/>
            <w:hideMark/>
          </w:tcPr>
          <w:p w14:paraId="3B578577" w14:textId="77777777" w:rsidR="001F1C1E" w:rsidRDefault="001F1C1E">
            <w:pPr>
              <w:keepNext/>
              <w:keepLines/>
              <w:rPr>
                <w:rFonts w:eastAsia="Courier New"/>
                <w:b/>
                <w:bCs/>
                <w:color w:val="000000"/>
                <w:sz w:val="16"/>
                <w:szCs w:val="16"/>
                <w:lang w:val="hu-HU" w:bidi="en-US"/>
              </w:rPr>
            </w:pPr>
            <w:r>
              <w:rPr>
                <w:rFonts w:eastAsia="Courier New"/>
                <w:b/>
                <w:bCs/>
                <w:color w:val="000000"/>
                <w:sz w:val="16"/>
                <w:szCs w:val="16"/>
                <w:lang w:bidi="en-US"/>
              </w:rPr>
              <w:t>Alle deltagere</w:t>
            </w:r>
          </w:p>
        </w:tc>
        <w:tc>
          <w:tcPr>
            <w:tcW w:w="1164" w:type="pct"/>
            <w:shd w:val="clear" w:color="auto" w:fill="FFFFFF"/>
            <w:vAlign w:val="bottom"/>
            <w:hideMark/>
          </w:tcPr>
          <w:p w14:paraId="27A803F8" w14:textId="77777777" w:rsidR="001F1C1E" w:rsidRDefault="001F1C1E">
            <w:pPr>
              <w:keepNext/>
              <w:keepLines/>
              <w:jc w:val="right"/>
              <w:rPr>
                <w:rFonts w:eastAsia="Courier New"/>
                <w:b/>
                <w:bCs/>
                <w:color w:val="000000"/>
                <w:sz w:val="16"/>
                <w:szCs w:val="16"/>
                <w:lang w:val="hu-HU" w:bidi="en-US"/>
              </w:rPr>
            </w:pPr>
            <w:r>
              <w:rPr>
                <w:rFonts w:eastAsia="Courier New"/>
                <w:b/>
                <w:bCs/>
                <w:color w:val="000000"/>
                <w:sz w:val="16"/>
                <w:szCs w:val="16"/>
                <w:lang w:val="hu-HU" w:bidi="en-US"/>
              </w:rPr>
              <w:t>482/2.104 (22,9 %)</w:t>
            </w:r>
          </w:p>
        </w:tc>
        <w:tc>
          <w:tcPr>
            <w:tcW w:w="1327" w:type="pct"/>
            <w:shd w:val="clear" w:color="auto" w:fill="FFFFFF"/>
            <w:vAlign w:val="bottom"/>
            <w:hideMark/>
          </w:tcPr>
          <w:p w14:paraId="73ACFD7C" w14:textId="77777777" w:rsidR="001F1C1E" w:rsidRDefault="001F1C1E">
            <w:pPr>
              <w:keepNext/>
              <w:keepLines/>
              <w:jc w:val="right"/>
              <w:rPr>
                <w:rFonts w:eastAsia="Courier New"/>
                <w:b/>
                <w:bCs/>
                <w:color w:val="000000"/>
                <w:sz w:val="16"/>
                <w:szCs w:val="16"/>
                <w:lang w:val="hu-HU" w:bidi="en-US"/>
              </w:rPr>
            </w:pPr>
            <w:r>
              <w:rPr>
                <w:rFonts w:eastAsia="Courier New"/>
                <w:b/>
                <w:bCs/>
                <w:color w:val="000000"/>
                <w:sz w:val="16"/>
                <w:szCs w:val="16"/>
                <w:lang w:val="hu-HU" w:bidi="en-US"/>
              </w:rPr>
              <w:t>1.110/4.321 (25,7 %)</w:t>
            </w:r>
          </w:p>
        </w:tc>
        <w:tc>
          <w:tcPr>
            <w:tcW w:w="0" w:type="auto"/>
            <w:gridSpan w:val="2"/>
            <w:vMerge/>
            <w:vAlign w:val="center"/>
            <w:hideMark/>
          </w:tcPr>
          <w:p w14:paraId="4E856752" w14:textId="77777777" w:rsidR="001F1C1E" w:rsidRDefault="001F1C1E">
            <w:pPr>
              <w:rPr>
                <w:rFonts w:eastAsia="Courier New"/>
                <w:color w:val="000000"/>
                <w:sz w:val="16"/>
                <w:szCs w:val="16"/>
                <w:lang w:val="hu-HU" w:eastAsia="fr-LU" w:bidi="en-US"/>
              </w:rPr>
            </w:pPr>
          </w:p>
        </w:tc>
        <w:tc>
          <w:tcPr>
            <w:tcW w:w="707" w:type="pct"/>
            <w:shd w:val="clear" w:color="auto" w:fill="FFFFFF"/>
            <w:vAlign w:val="bottom"/>
            <w:hideMark/>
          </w:tcPr>
          <w:p w14:paraId="6ED99691" w14:textId="77777777" w:rsidR="001F1C1E" w:rsidRDefault="001F1C1E">
            <w:pPr>
              <w:keepNext/>
              <w:keepLines/>
              <w:rPr>
                <w:rFonts w:eastAsia="Courier New"/>
                <w:b/>
                <w:bCs/>
                <w:color w:val="000000"/>
                <w:sz w:val="16"/>
                <w:szCs w:val="16"/>
                <w:lang w:val="hu-HU" w:bidi="en-US"/>
              </w:rPr>
            </w:pPr>
            <w:r>
              <w:rPr>
                <w:rFonts w:eastAsia="Courier New"/>
                <w:b/>
                <w:bCs/>
                <w:color w:val="000000"/>
                <w:sz w:val="16"/>
                <w:szCs w:val="16"/>
                <w:lang w:val="hu-HU" w:bidi="en-US"/>
              </w:rPr>
              <w:t>0,83 (0,75-0,93)</w:t>
            </w:r>
          </w:p>
        </w:tc>
      </w:tr>
      <w:tr w:rsidR="001F1C1E" w14:paraId="0E48F037" w14:textId="77777777" w:rsidTr="00F14903">
        <w:trPr>
          <w:trHeight w:val="227"/>
        </w:trPr>
        <w:tc>
          <w:tcPr>
            <w:tcW w:w="2958" w:type="pct"/>
            <w:gridSpan w:val="3"/>
            <w:vMerge w:val="restart"/>
            <w:shd w:val="clear" w:color="auto" w:fill="FFFFFF"/>
          </w:tcPr>
          <w:p w14:paraId="35393EB2" w14:textId="77777777" w:rsidR="001F1C1E" w:rsidRDefault="001F1C1E">
            <w:pPr>
              <w:keepNext/>
              <w:keepLines/>
              <w:rPr>
                <w:rFonts w:eastAsia="Courier New"/>
                <w:color w:val="000000"/>
                <w:sz w:val="16"/>
                <w:szCs w:val="16"/>
                <w:lang w:val="hu-HU" w:bidi="en-US"/>
              </w:rPr>
            </w:pPr>
          </w:p>
        </w:tc>
        <w:tc>
          <w:tcPr>
            <w:tcW w:w="0" w:type="auto"/>
            <w:gridSpan w:val="2"/>
            <w:vMerge/>
            <w:vAlign w:val="center"/>
            <w:hideMark/>
          </w:tcPr>
          <w:p w14:paraId="7027023C" w14:textId="77777777" w:rsidR="001F1C1E" w:rsidRDefault="001F1C1E">
            <w:pPr>
              <w:rPr>
                <w:rFonts w:eastAsia="Courier New"/>
                <w:color w:val="000000"/>
                <w:sz w:val="16"/>
                <w:szCs w:val="16"/>
                <w:lang w:val="hu-HU" w:eastAsia="fr-LU" w:bidi="en-US"/>
              </w:rPr>
            </w:pPr>
          </w:p>
        </w:tc>
        <w:tc>
          <w:tcPr>
            <w:tcW w:w="707" w:type="pct"/>
            <w:shd w:val="clear" w:color="auto" w:fill="FFFFFF"/>
            <w:hideMark/>
          </w:tcPr>
          <w:p w14:paraId="238DB441" w14:textId="77777777" w:rsidR="001F1C1E" w:rsidRDefault="001F1C1E">
            <w:pPr>
              <w:keepNext/>
              <w:keepLines/>
              <w:rPr>
                <w:rFonts w:eastAsia="Courier New"/>
                <w:b/>
                <w:bCs/>
                <w:color w:val="000000"/>
                <w:sz w:val="16"/>
                <w:szCs w:val="16"/>
                <w:lang w:val="hu-HU" w:bidi="en-US"/>
              </w:rPr>
            </w:pPr>
            <w:r>
              <w:rPr>
                <w:rFonts w:eastAsia="Courier New"/>
                <w:b/>
                <w:bCs/>
                <w:color w:val="000000"/>
                <w:sz w:val="16"/>
                <w:szCs w:val="16"/>
                <w:lang w:val="hu-HU" w:bidi="en-US"/>
              </w:rPr>
              <w:t>p&lt;0,001</w:t>
            </w:r>
          </w:p>
        </w:tc>
      </w:tr>
      <w:tr w:rsidR="001F1C1E" w14:paraId="4D57130D" w14:textId="77777777" w:rsidTr="00F14903">
        <w:trPr>
          <w:trHeight w:val="227"/>
        </w:trPr>
        <w:tc>
          <w:tcPr>
            <w:tcW w:w="0" w:type="auto"/>
            <w:gridSpan w:val="3"/>
            <w:vMerge/>
            <w:vAlign w:val="center"/>
            <w:hideMark/>
          </w:tcPr>
          <w:p w14:paraId="1F343637" w14:textId="77777777" w:rsidR="001F1C1E" w:rsidRDefault="001F1C1E">
            <w:pPr>
              <w:rPr>
                <w:rFonts w:eastAsia="Courier New"/>
                <w:color w:val="000000"/>
                <w:sz w:val="16"/>
                <w:szCs w:val="16"/>
                <w:lang w:val="hu-HU" w:eastAsia="fr-LU" w:bidi="en-US"/>
              </w:rPr>
            </w:pPr>
          </w:p>
        </w:tc>
        <w:tc>
          <w:tcPr>
            <w:tcW w:w="0" w:type="auto"/>
            <w:gridSpan w:val="2"/>
            <w:vMerge/>
            <w:vAlign w:val="center"/>
            <w:hideMark/>
          </w:tcPr>
          <w:p w14:paraId="3110935B" w14:textId="77777777" w:rsidR="001F1C1E" w:rsidRDefault="001F1C1E">
            <w:pPr>
              <w:rPr>
                <w:rFonts w:eastAsia="Courier New"/>
                <w:color w:val="000000"/>
                <w:sz w:val="16"/>
                <w:szCs w:val="16"/>
                <w:lang w:val="hu-HU" w:eastAsia="fr-LU" w:bidi="en-US"/>
              </w:rPr>
            </w:pPr>
          </w:p>
        </w:tc>
        <w:tc>
          <w:tcPr>
            <w:tcW w:w="707" w:type="pct"/>
            <w:shd w:val="clear" w:color="auto" w:fill="FFFFFF"/>
          </w:tcPr>
          <w:p w14:paraId="63F1C673" w14:textId="77777777" w:rsidR="001F1C1E" w:rsidRDefault="001F1C1E">
            <w:pPr>
              <w:keepNext/>
              <w:keepLines/>
              <w:rPr>
                <w:rFonts w:eastAsia="Courier New"/>
                <w:color w:val="000000"/>
                <w:sz w:val="16"/>
                <w:szCs w:val="16"/>
                <w:lang w:val="hu-HU" w:bidi="en-US"/>
              </w:rPr>
            </w:pPr>
          </w:p>
        </w:tc>
      </w:tr>
      <w:tr w:rsidR="001F1C1E" w14:paraId="0FCE6188" w14:textId="77777777" w:rsidTr="00F14903">
        <w:trPr>
          <w:trHeight w:val="74"/>
        </w:trPr>
        <w:tc>
          <w:tcPr>
            <w:tcW w:w="0" w:type="auto"/>
            <w:gridSpan w:val="3"/>
            <w:vMerge/>
            <w:vAlign w:val="center"/>
            <w:hideMark/>
          </w:tcPr>
          <w:p w14:paraId="2082BB6E" w14:textId="77777777" w:rsidR="001F1C1E" w:rsidRDefault="001F1C1E">
            <w:pPr>
              <w:rPr>
                <w:rFonts w:eastAsia="Courier New"/>
                <w:color w:val="000000"/>
                <w:sz w:val="16"/>
                <w:szCs w:val="16"/>
                <w:lang w:val="hu-HU" w:eastAsia="fr-LU" w:bidi="en-US"/>
              </w:rPr>
            </w:pPr>
          </w:p>
        </w:tc>
        <w:tc>
          <w:tcPr>
            <w:tcW w:w="574" w:type="pct"/>
            <w:shd w:val="clear" w:color="auto" w:fill="FFFFFF"/>
            <w:hideMark/>
          </w:tcPr>
          <w:p w14:paraId="525D3F68" w14:textId="77777777" w:rsidR="001F1C1E" w:rsidRDefault="001F1C1E">
            <w:pPr>
              <w:keepNext/>
              <w:keepLines/>
              <w:jc w:val="center"/>
              <w:rPr>
                <w:sz w:val="16"/>
                <w:szCs w:val="16"/>
                <w:lang w:val="fr-LU" w:eastAsia="en-GB" w:bidi="en-GB"/>
              </w:rPr>
            </w:pPr>
            <w:r>
              <w:rPr>
                <w:sz w:val="16"/>
                <w:szCs w:val="16"/>
              </w:rPr>
              <w:t>Dexamethason</w:t>
            </w:r>
          </w:p>
          <w:p w14:paraId="5E564774" w14:textId="77777777" w:rsidR="001F1C1E" w:rsidRDefault="001F1C1E">
            <w:pPr>
              <w:keepNext/>
              <w:keepLines/>
              <w:jc w:val="center"/>
              <w:rPr>
                <w:rFonts w:eastAsia="Courier New"/>
                <w:color w:val="000000"/>
                <w:sz w:val="16"/>
                <w:szCs w:val="16"/>
                <w:lang w:val="hu-HU" w:eastAsia="fr-LU" w:bidi="en-US"/>
              </w:rPr>
            </w:pPr>
            <w:r>
              <w:rPr>
                <w:sz w:val="16"/>
                <w:szCs w:val="16"/>
              </w:rPr>
              <w:t>bedre</w:t>
            </w:r>
          </w:p>
        </w:tc>
        <w:tc>
          <w:tcPr>
            <w:tcW w:w="761" w:type="pct"/>
            <w:shd w:val="clear" w:color="auto" w:fill="FFFFFF"/>
            <w:hideMark/>
          </w:tcPr>
          <w:p w14:paraId="2F0022B4" w14:textId="77777777" w:rsidR="001F1C1E" w:rsidRDefault="001F1C1E">
            <w:pPr>
              <w:keepNext/>
              <w:keepLines/>
              <w:jc w:val="center"/>
              <w:rPr>
                <w:sz w:val="16"/>
                <w:szCs w:val="16"/>
                <w:lang w:val="fr-LU" w:eastAsia="en-GB" w:bidi="en-GB"/>
              </w:rPr>
            </w:pPr>
            <w:r>
              <w:rPr>
                <w:sz w:val="16"/>
                <w:szCs w:val="16"/>
              </w:rPr>
              <w:t>Sædvanlig pleje</w:t>
            </w:r>
          </w:p>
          <w:p w14:paraId="33402D02" w14:textId="77777777" w:rsidR="001F1C1E" w:rsidRDefault="001F1C1E">
            <w:pPr>
              <w:keepNext/>
              <w:keepLines/>
              <w:jc w:val="center"/>
              <w:rPr>
                <w:rFonts w:eastAsia="Courier New"/>
                <w:color w:val="000000"/>
                <w:sz w:val="16"/>
                <w:szCs w:val="16"/>
                <w:lang w:val="hu-HU" w:eastAsia="fr-LU" w:bidi="en-US"/>
              </w:rPr>
            </w:pPr>
            <w:r>
              <w:rPr>
                <w:sz w:val="16"/>
                <w:szCs w:val="16"/>
              </w:rPr>
              <w:t>bedre</w:t>
            </w:r>
          </w:p>
        </w:tc>
        <w:tc>
          <w:tcPr>
            <w:tcW w:w="707" w:type="pct"/>
            <w:shd w:val="clear" w:color="auto" w:fill="FFFFFF"/>
          </w:tcPr>
          <w:p w14:paraId="400B627E" w14:textId="77777777" w:rsidR="001F1C1E" w:rsidRDefault="001F1C1E">
            <w:pPr>
              <w:keepNext/>
              <w:keepLines/>
              <w:rPr>
                <w:rFonts w:eastAsia="Courier New"/>
                <w:color w:val="000000"/>
                <w:sz w:val="16"/>
                <w:szCs w:val="16"/>
                <w:lang w:val="hu-HU" w:bidi="en-US"/>
              </w:rPr>
            </w:pPr>
          </w:p>
        </w:tc>
      </w:tr>
    </w:tbl>
    <w:p w14:paraId="7B804524" w14:textId="0DEC93EA" w:rsidR="00BF3047" w:rsidRDefault="00BF3047" w:rsidP="001F1C1E">
      <w:pPr>
        <w:keepNext/>
        <w:keepLines/>
        <w:suppressAutoHyphens/>
        <w:ind w:left="567" w:hanging="567"/>
        <w:rPr>
          <w:b/>
          <w:sz w:val="22"/>
          <w:szCs w:val="22"/>
          <w:lang w:eastAsia="fr-LU"/>
        </w:rPr>
      </w:pPr>
    </w:p>
    <w:p w14:paraId="47F32411" w14:textId="77777777" w:rsidR="00BF3047" w:rsidRDefault="00BF3047">
      <w:pPr>
        <w:rPr>
          <w:b/>
          <w:sz w:val="22"/>
          <w:szCs w:val="22"/>
          <w:lang w:eastAsia="fr-LU"/>
        </w:rPr>
      </w:pPr>
      <w:r>
        <w:rPr>
          <w:b/>
          <w:sz w:val="22"/>
          <w:szCs w:val="22"/>
          <w:lang w:eastAsia="fr-LU"/>
        </w:rPr>
        <w:br w:type="page"/>
      </w:r>
    </w:p>
    <w:p w14:paraId="53340690" w14:textId="77777777" w:rsidR="001F1C1E" w:rsidRDefault="001F1C1E" w:rsidP="001F1C1E">
      <w:pPr>
        <w:keepNext/>
        <w:keepLines/>
        <w:suppressAutoHyphens/>
        <w:ind w:left="567" w:hanging="567"/>
        <w:rPr>
          <w:b/>
          <w:sz w:val="22"/>
          <w:szCs w:val="22"/>
          <w:lang w:eastAsia="fr-LU"/>
        </w:rPr>
      </w:pPr>
    </w:p>
    <w:p w14:paraId="02E972C3" w14:textId="77777777" w:rsidR="001F1C1E" w:rsidRPr="00105E50" w:rsidRDefault="001F1C1E" w:rsidP="002A5D2A">
      <w:pPr>
        <w:keepNext/>
        <w:keepLines/>
        <w:suppressAutoHyphens/>
        <w:ind w:left="567"/>
        <w:rPr>
          <w:i/>
          <w:iCs/>
          <w:sz w:val="24"/>
          <w:szCs w:val="24"/>
          <w:vertAlign w:val="superscript"/>
        </w:rPr>
      </w:pPr>
      <w:r w:rsidRPr="00105E50">
        <w:rPr>
          <w:i/>
          <w:iCs/>
          <w:sz w:val="24"/>
          <w:szCs w:val="24"/>
        </w:rPr>
        <w:t>Effekt af tildeling af dexamethason på dødeligheden efter 28 dage, efter respiratorisk støtte modtaget ved randomisering og anamnese med kronisk sygdom</w:t>
      </w:r>
      <w:r w:rsidRPr="00105E50">
        <w:rPr>
          <w:i/>
          <w:iCs/>
          <w:sz w:val="24"/>
          <w:szCs w:val="24"/>
          <w:vertAlign w:val="superscript"/>
        </w:rPr>
        <w:t>3</w:t>
      </w:r>
    </w:p>
    <w:tbl>
      <w:tblPr>
        <w:tblW w:w="5000" w:type="pct"/>
        <w:tblInd w:w="567" w:type="dxa"/>
        <w:tblCellMar>
          <w:left w:w="10" w:type="dxa"/>
          <w:right w:w="10" w:type="dxa"/>
        </w:tblCellMar>
        <w:tblLook w:val="04A0" w:firstRow="1" w:lastRow="0" w:firstColumn="1" w:lastColumn="0" w:noHBand="0" w:noVBand="1"/>
      </w:tblPr>
      <w:tblGrid>
        <w:gridCol w:w="1987"/>
        <w:gridCol w:w="1764"/>
        <w:gridCol w:w="1650"/>
        <w:gridCol w:w="1388"/>
        <w:gridCol w:w="1201"/>
        <w:gridCol w:w="15"/>
        <w:gridCol w:w="1633"/>
      </w:tblGrid>
      <w:tr w:rsidR="001F1C1E" w14:paraId="53D6FC44" w14:textId="77777777" w:rsidTr="002A5D2A">
        <w:trPr>
          <w:trHeight w:hRule="exact" w:val="445"/>
        </w:trPr>
        <w:tc>
          <w:tcPr>
            <w:tcW w:w="1031" w:type="pct"/>
            <w:tcBorders>
              <w:top w:val="nil"/>
              <w:left w:val="nil"/>
              <w:bottom w:val="single" w:sz="4" w:space="0" w:color="auto"/>
              <w:right w:val="nil"/>
            </w:tcBorders>
            <w:shd w:val="clear" w:color="auto" w:fill="FFFFFF"/>
            <w:vAlign w:val="bottom"/>
          </w:tcPr>
          <w:p w14:paraId="50E45FE8" w14:textId="77777777" w:rsidR="001F1C1E" w:rsidRDefault="001F1C1E">
            <w:pPr>
              <w:jc w:val="center"/>
              <w:rPr>
                <w:rFonts w:eastAsia="Courier New"/>
                <w:b/>
                <w:bCs/>
                <w:color w:val="000000"/>
                <w:sz w:val="16"/>
                <w:szCs w:val="16"/>
                <w:lang w:val="hu-HU" w:bidi="en-US"/>
              </w:rPr>
            </w:pPr>
          </w:p>
        </w:tc>
        <w:tc>
          <w:tcPr>
            <w:tcW w:w="915" w:type="pct"/>
            <w:tcBorders>
              <w:top w:val="nil"/>
              <w:left w:val="nil"/>
              <w:bottom w:val="single" w:sz="4" w:space="0" w:color="auto"/>
              <w:right w:val="nil"/>
            </w:tcBorders>
            <w:shd w:val="clear" w:color="auto" w:fill="FFFFFF"/>
            <w:vAlign w:val="bottom"/>
            <w:hideMark/>
          </w:tcPr>
          <w:p w14:paraId="6440228B" w14:textId="77777777" w:rsidR="001F1C1E" w:rsidRDefault="001F1C1E">
            <w:pPr>
              <w:jc w:val="center"/>
              <w:rPr>
                <w:rFonts w:eastAsia="Courier New"/>
                <w:b/>
                <w:bCs/>
                <w:color w:val="000000"/>
                <w:sz w:val="16"/>
                <w:szCs w:val="16"/>
                <w:lang w:val="hu-HU" w:bidi="en-US"/>
              </w:rPr>
            </w:pPr>
            <w:r>
              <w:rPr>
                <w:rFonts w:eastAsia="Courier New"/>
                <w:b/>
                <w:bCs/>
                <w:color w:val="000000"/>
                <w:sz w:val="16"/>
                <w:szCs w:val="16"/>
                <w:lang w:val="hu-HU" w:bidi="en-US"/>
              </w:rPr>
              <w:t>Dexamethason</w:t>
            </w:r>
          </w:p>
        </w:tc>
        <w:tc>
          <w:tcPr>
            <w:tcW w:w="856" w:type="pct"/>
            <w:tcBorders>
              <w:top w:val="nil"/>
              <w:left w:val="nil"/>
              <w:bottom w:val="single" w:sz="4" w:space="0" w:color="auto"/>
              <w:right w:val="nil"/>
            </w:tcBorders>
            <w:shd w:val="clear" w:color="auto" w:fill="FFFFFF"/>
            <w:vAlign w:val="bottom"/>
            <w:hideMark/>
          </w:tcPr>
          <w:p w14:paraId="0B7A287C" w14:textId="77777777" w:rsidR="001F1C1E" w:rsidRDefault="001F1C1E">
            <w:pPr>
              <w:jc w:val="center"/>
              <w:rPr>
                <w:rFonts w:eastAsia="Courier New"/>
                <w:b/>
                <w:bCs/>
                <w:color w:val="000000"/>
                <w:sz w:val="16"/>
                <w:szCs w:val="16"/>
                <w:lang w:val="hu-HU" w:bidi="en-US"/>
              </w:rPr>
            </w:pPr>
            <w:r>
              <w:rPr>
                <w:rFonts w:eastAsia="Courier New"/>
                <w:b/>
                <w:bCs/>
                <w:color w:val="000000"/>
                <w:sz w:val="16"/>
                <w:szCs w:val="16"/>
                <w:lang w:bidi="en-US"/>
              </w:rPr>
              <w:t>Sædvanlig pleje</w:t>
            </w:r>
          </w:p>
        </w:tc>
        <w:tc>
          <w:tcPr>
            <w:tcW w:w="1351" w:type="pct"/>
            <w:gridSpan w:val="3"/>
            <w:tcBorders>
              <w:top w:val="nil"/>
              <w:left w:val="nil"/>
              <w:bottom w:val="single" w:sz="4" w:space="0" w:color="auto"/>
              <w:right w:val="nil"/>
            </w:tcBorders>
            <w:shd w:val="clear" w:color="auto" w:fill="FFFFFF"/>
            <w:vAlign w:val="bottom"/>
          </w:tcPr>
          <w:p w14:paraId="686FC56E" w14:textId="77777777" w:rsidR="001F1C1E" w:rsidRDefault="001F1C1E">
            <w:pPr>
              <w:jc w:val="center"/>
              <w:rPr>
                <w:rFonts w:eastAsia="Courier New"/>
                <w:b/>
                <w:bCs/>
                <w:color w:val="000000"/>
                <w:sz w:val="16"/>
                <w:szCs w:val="16"/>
                <w:lang w:val="hu-HU" w:bidi="en-US"/>
              </w:rPr>
            </w:pPr>
          </w:p>
        </w:tc>
        <w:tc>
          <w:tcPr>
            <w:tcW w:w="847" w:type="pct"/>
            <w:tcBorders>
              <w:top w:val="nil"/>
              <w:left w:val="nil"/>
              <w:bottom w:val="single" w:sz="4" w:space="0" w:color="auto"/>
              <w:right w:val="nil"/>
            </w:tcBorders>
            <w:shd w:val="clear" w:color="auto" w:fill="FFFFFF"/>
            <w:vAlign w:val="bottom"/>
            <w:hideMark/>
          </w:tcPr>
          <w:p w14:paraId="22F6097E" w14:textId="77777777" w:rsidR="001F1C1E" w:rsidRDefault="001F1C1E">
            <w:pPr>
              <w:jc w:val="center"/>
              <w:rPr>
                <w:rFonts w:eastAsia="Courier New"/>
                <w:b/>
                <w:bCs/>
                <w:color w:val="000000"/>
                <w:sz w:val="16"/>
                <w:szCs w:val="16"/>
                <w:lang w:val="hu-HU" w:bidi="en-US"/>
              </w:rPr>
            </w:pPr>
            <w:r>
              <w:rPr>
                <w:rFonts w:eastAsia="Courier New"/>
                <w:b/>
                <w:bCs/>
                <w:color w:val="000000"/>
                <w:sz w:val="16"/>
                <w:szCs w:val="16"/>
                <w:lang w:bidi="en-US"/>
              </w:rPr>
              <w:t>RR (95 % Cl)</w:t>
            </w:r>
          </w:p>
        </w:tc>
      </w:tr>
      <w:tr w:rsidR="001F1C1E" w14:paraId="2DCD0E6B" w14:textId="77777777" w:rsidTr="002A5D2A">
        <w:trPr>
          <w:trHeight w:hRule="exact" w:val="360"/>
        </w:trPr>
        <w:tc>
          <w:tcPr>
            <w:tcW w:w="2802" w:type="pct"/>
            <w:gridSpan w:val="3"/>
            <w:tcBorders>
              <w:top w:val="single" w:sz="4" w:space="0" w:color="auto"/>
              <w:left w:val="nil"/>
              <w:bottom w:val="nil"/>
              <w:right w:val="nil"/>
            </w:tcBorders>
            <w:shd w:val="clear" w:color="auto" w:fill="FFFFFF"/>
            <w:vAlign w:val="bottom"/>
            <w:hideMark/>
          </w:tcPr>
          <w:p w14:paraId="7998A034" w14:textId="77777777" w:rsidR="001F1C1E" w:rsidRDefault="001F1C1E">
            <w:pPr>
              <w:rPr>
                <w:rFonts w:eastAsia="Courier New"/>
                <w:b/>
                <w:bCs/>
                <w:color w:val="000000"/>
                <w:sz w:val="16"/>
                <w:szCs w:val="16"/>
                <w:lang w:val="hu-HU" w:bidi="en-US"/>
              </w:rPr>
            </w:pPr>
            <w:r>
              <w:rPr>
                <w:rFonts w:eastAsia="Courier New"/>
                <w:b/>
                <w:bCs/>
                <w:color w:val="000000"/>
                <w:sz w:val="16"/>
                <w:szCs w:val="16"/>
                <w:lang w:bidi="en-US"/>
              </w:rPr>
              <w:t>Ingen ilt</w:t>
            </w:r>
            <w:r>
              <w:rPr>
                <w:rFonts w:eastAsia="Courier New"/>
                <w:b/>
                <w:bCs/>
                <w:color w:val="000000"/>
                <w:sz w:val="16"/>
                <w:szCs w:val="16"/>
                <w:u w:val="single"/>
                <w:lang w:bidi="en-US"/>
              </w:rPr>
              <w:t xml:space="preserve"> </w:t>
            </w:r>
            <w:r>
              <w:rPr>
                <w:rFonts w:eastAsia="Courier New"/>
                <w:b/>
                <w:bCs/>
                <w:color w:val="000000"/>
                <w:sz w:val="16"/>
                <w:szCs w:val="16"/>
                <w:lang w:val="hu-HU" w:bidi="en-US"/>
              </w:rPr>
              <w:t>(χ</w:t>
            </w:r>
            <w:r>
              <w:rPr>
                <w:rFonts w:eastAsia="Courier New"/>
                <w:b/>
                <w:bCs/>
                <w:color w:val="000000"/>
                <w:sz w:val="16"/>
                <w:szCs w:val="16"/>
                <w:vertAlign w:val="subscript"/>
                <w:lang w:val="hu-HU" w:bidi="en-US"/>
              </w:rPr>
              <w:t>1</w:t>
            </w:r>
            <w:r>
              <w:rPr>
                <w:rFonts w:eastAsia="Courier New"/>
                <w:b/>
                <w:bCs/>
                <w:color w:val="000000"/>
                <w:sz w:val="16"/>
                <w:szCs w:val="16"/>
                <w:vertAlign w:val="superscript"/>
                <w:lang w:val="hu-HU" w:bidi="en-US"/>
              </w:rPr>
              <w:t>2 </w:t>
            </w:r>
            <w:r>
              <w:rPr>
                <w:rFonts w:eastAsia="Courier New"/>
                <w:b/>
                <w:bCs/>
                <w:color w:val="000000"/>
                <w:sz w:val="16"/>
                <w:szCs w:val="16"/>
                <w:lang w:val="hu-HU" w:bidi="en-US"/>
              </w:rPr>
              <w:t>= 0,08; p = 0,78)</w:t>
            </w:r>
          </w:p>
        </w:tc>
        <w:tc>
          <w:tcPr>
            <w:tcW w:w="1351" w:type="pct"/>
            <w:gridSpan w:val="3"/>
            <w:vMerge w:val="restart"/>
            <w:tcBorders>
              <w:top w:val="single" w:sz="4" w:space="0" w:color="auto"/>
              <w:left w:val="nil"/>
              <w:bottom w:val="nil"/>
              <w:right w:val="nil"/>
            </w:tcBorders>
            <w:shd w:val="clear" w:color="auto" w:fill="FFFFFF"/>
            <w:hideMark/>
          </w:tcPr>
          <w:p w14:paraId="6F46F37B" w14:textId="5CB5A45F" w:rsidR="001F1C1E" w:rsidRDefault="001F1C1E">
            <w:pPr>
              <w:rPr>
                <w:rFonts w:eastAsia="Courier New"/>
                <w:color w:val="000000"/>
                <w:sz w:val="16"/>
                <w:szCs w:val="16"/>
                <w:lang w:val="hu-HU" w:bidi="en-US"/>
              </w:rPr>
            </w:pPr>
            <w:r>
              <w:rPr>
                <w:rFonts w:eastAsia="Courier New"/>
                <w:noProof/>
                <w:color w:val="000000"/>
                <w:sz w:val="16"/>
                <w:szCs w:val="16"/>
                <w:lang w:val="hu-HU" w:bidi="en-US"/>
              </w:rPr>
              <w:drawing>
                <wp:inline distT="0" distB="0" distL="0" distR="0" wp14:anchorId="05190534" wp14:editId="6618B3C6">
                  <wp:extent cx="1446530" cy="2303145"/>
                  <wp:effectExtent l="0" t="0" r="1270" b="190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6530" cy="2303145"/>
                          </a:xfrm>
                          <a:prstGeom prst="rect">
                            <a:avLst/>
                          </a:prstGeom>
                          <a:noFill/>
                          <a:ln>
                            <a:noFill/>
                          </a:ln>
                        </pic:spPr>
                      </pic:pic>
                    </a:graphicData>
                  </a:graphic>
                </wp:inline>
              </w:drawing>
            </w:r>
          </w:p>
        </w:tc>
        <w:tc>
          <w:tcPr>
            <w:tcW w:w="847" w:type="pct"/>
            <w:tcBorders>
              <w:top w:val="single" w:sz="4" w:space="0" w:color="auto"/>
              <w:left w:val="nil"/>
              <w:bottom w:val="nil"/>
              <w:right w:val="nil"/>
            </w:tcBorders>
            <w:shd w:val="clear" w:color="auto" w:fill="FFFFFF"/>
          </w:tcPr>
          <w:p w14:paraId="0FF7BAFC" w14:textId="77777777" w:rsidR="001F1C1E" w:rsidRDefault="001F1C1E">
            <w:pPr>
              <w:rPr>
                <w:rFonts w:eastAsia="Courier New"/>
                <w:color w:val="000000"/>
                <w:sz w:val="16"/>
                <w:szCs w:val="16"/>
                <w:lang w:val="hu-HU" w:bidi="en-US"/>
              </w:rPr>
            </w:pPr>
          </w:p>
        </w:tc>
      </w:tr>
      <w:tr w:rsidR="001F1C1E" w14:paraId="76F3675C" w14:textId="77777777" w:rsidTr="002A5D2A">
        <w:trPr>
          <w:trHeight w:hRule="exact" w:val="216"/>
        </w:trPr>
        <w:tc>
          <w:tcPr>
            <w:tcW w:w="1031" w:type="pct"/>
            <w:shd w:val="clear" w:color="auto" w:fill="FFFFFF"/>
            <w:vAlign w:val="bottom"/>
          </w:tcPr>
          <w:p w14:paraId="2EAEF38B" w14:textId="77777777" w:rsidR="001F1C1E" w:rsidRDefault="001F1C1E">
            <w:pPr>
              <w:rPr>
                <w:rFonts w:eastAsia="Calibri"/>
                <w:sz w:val="16"/>
                <w:szCs w:val="16"/>
                <w:lang w:val="fr-LU" w:eastAsia="en-GB" w:bidi="en-GB"/>
              </w:rPr>
            </w:pPr>
            <w:r>
              <w:rPr>
                <w:rFonts w:eastAsia="Calibri"/>
                <w:sz w:val="16"/>
                <w:szCs w:val="16"/>
              </w:rPr>
              <w:t>Tidligere sygdom</w:t>
            </w:r>
          </w:p>
          <w:p w14:paraId="08C1D8B7" w14:textId="77777777" w:rsidR="001F1C1E" w:rsidRDefault="001F1C1E">
            <w:pPr>
              <w:rPr>
                <w:rFonts w:eastAsia="Courier New"/>
                <w:color w:val="000000"/>
                <w:sz w:val="16"/>
                <w:szCs w:val="16"/>
                <w:lang w:val="hu-HU" w:eastAsia="fr-LU" w:bidi="en-US"/>
              </w:rPr>
            </w:pPr>
          </w:p>
        </w:tc>
        <w:tc>
          <w:tcPr>
            <w:tcW w:w="915" w:type="pct"/>
            <w:shd w:val="clear" w:color="auto" w:fill="FFFFFF"/>
            <w:vAlign w:val="bottom"/>
            <w:hideMark/>
          </w:tcPr>
          <w:p w14:paraId="0FA3A752" w14:textId="77777777" w:rsidR="001F1C1E" w:rsidRDefault="001F1C1E">
            <w:pPr>
              <w:jc w:val="right"/>
              <w:rPr>
                <w:rFonts w:eastAsia="Courier New"/>
                <w:color w:val="000000"/>
                <w:sz w:val="16"/>
                <w:szCs w:val="16"/>
                <w:lang w:val="hu-HU" w:bidi="en-US"/>
              </w:rPr>
            </w:pPr>
            <w:r>
              <w:rPr>
                <w:rFonts w:eastAsia="Courier New"/>
                <w:color w:val="000000"/>
                <w:sz w:val="16"/>
                <w:szCs w:val="16"/>
                <w:lang w:val="hu-HU" w:bidi="en-US"/>
              </w:rPr>
              <w:t>65/313(20,8 %)</w:t>
            </w:r>
          </w:p>
        </w:tc>
        <w:tc>
          <w:tcPr>
            <w:tcW w:w="856" w:type="pct"/>
            <w:shd w:val="clear" w:color="auto" w:fill="FFFFFF"/>
            <w:vAlign w:val="bottom"/>
            <w:hideMark/>
          </w:tcPr>
          <w:p w14:paraId="1456A92B" w14:textId="77777777" w:rsidR="001F1C1E" w:rsidRDefault="001F1C1E">
            <w:pPr>
              <w:jc w:val="right"/>
              <w:rPr>
                <w:rFonts w:eastAsia="Courier New"/>
                <w:color w:val="000000"/>
                <w:sz w:val="16"/>
                <w:szCs w:val="16"/>
                <w:lang w:val="hu-HU" w:bidi="en-US"/>
              </w:rPr>
            </w:pPr>
            <w:r>
              <w:rPr>
                <w:rFonts w:eastAsia="Courier New"/>
                <w:color w:val="000000"/>
                <w:sz w:val="16"/>
                <w:szCs w:val="16"/>
                <w:lang w:val="hu-HU" w:bidi="en-US"/>
              </w:rPr>
              <w:t>100/598 (16,7 %)</w:t>
            </w:r>
          </w:p>
        </w:tc>
        <w:tc>
          <w:tcPr>
            <w:tcW w:w="0" w:type="auto"/>
            <w:gridSpan w:val="3"/>
            <w:vMerge/>
            <w:tcBorders>
              <w:top w:val="single" w:sz="4" w:space="0" w:color="auto"/>
              <w:left w:val="nil"/>
              <w:bottom w:val="nil"/>
              <w:right w:val="nil"/>
            </w:tcBorders>
            <w:vAlign w:val="center"/>
            <w:hideMark/>
          </w:tcPr>
          <w:p w14:paraId="5BA488D2" w14:textId="77777777" w:rsidR="001F1C1E" w:rsidRDefault="001F1C1E">
            <w:pPr>
              <w:rPr>
                <w:rFonts w:eastAsia="Courier New"/>
                <w:color w:val="000000"/>
                <w:sz w:val="16"/>
                <w:szCs w:val="16"/>
                <w:lang w:val="hu-HU" w:eastAsia="fr-LU" w:bidi="en-US"/>
              </w:rPr>
            </w:pPr>
          </w:p>
        </w:tc>
        <w:tc>
          <w:tcPr>
            <w:tcW w:w="847" w:type="pct"/>
            <w:shd w:val="clear" w:color="auto" w:fill="FFFFFF"/>
            <w:vAlign w:val="bottom"/>
            <w:hideMark/>
          </w:tcPr>
          <w:p w14:paraId="5221D4F4" w14:textId="77777777" w:rsidR="001F1C1E" w:rsidRDefault="001F1C1E">
            <w:pPr>
              <w:rPr>
                <w:rFonts w:eastAsia="Courier New"/>
                <w:color w:val="000000"/>
                <w:sz w:val="16"/>
                <w:szCs w:val="16"/>
                <w:lang w:val="hu-HU" w:bidi="en-US"/>
              </w:rPr>
            </w:pPr>
            <w:r>
              <w:rPr>
                <w:rFonts w:eastAsia="Courier New"/>
                <w:color w:val="000000"/>
                <w:sz w:val="16"/>
                <w:szCs w:val="16"/>
                <w:lang w:val="hu-HU" w:bidi="en-US"/>
              </w:rPr>
              <w:t>1,22 (0,89-1,66)</w:t>
            </w:r>
          </w:p>
        </w:tc>
      </w:tr>
      <w:tr w:rsidR="001F1C1E" w14:paraId="5A835AE5" w14:textId="77777777" w:rsidTr="002A5D2A">
        <w:trPr>
          <w:trHeight w:hRule="exact" w:val="239"/>
        </w:trPr>
        <w:tc>
          <w:tcPr>
            <w:tcW w:w="1031" w:type="pct"/>
            <w:shd w:val="clear" w:color="auto" w:fill="FFFFFF"/>
            <w:vAlign w:val="bottom"/>
            <w:hideMark/>
          </w:tcPr>
          <w:p w14:paraId="72D122A3" w14:textId="77777777" w:rsidR="001F1C1E" w:rsidRDefault="001F1C1E">
            <w:pPr>
              <w:rPr>
                <w:rFonts w:eastAsia="Courier New"/>
                <w:color w:val="000000"/>
                <w:sz w:val="16"/>
                <w:szCs w:val="16"/>
                <w:lang w:val="hu-HU" w:bidi="en-US"/>
              </w:rPr>
            </w:pPr>
            <w:r>
              <w:rPr>
                <w:rFonts w:eastAsia="Calibri"/>
                <w:sz w:val="16"/>
                <w:szCs w:val="16"/>
              </w:rPr>
              <w:t>Ingen tidligere sygdom</w:t>
            </w:r>
          </w:p>
        </w:tc>
        <w:tc>
          <w:tcPr>
            <w:tcW w:w="915" w:type="pct"/>
            <w:shd w:val="clear" w:color="auto" w:fill="FFFFFF"/>
            <w:vAlign w:val="bottom"/>
            <w:hideMark/>
          </w:tcPr>
          <w:p w14:paraId="5C2ACEE9" w14:textId="77777777" w:rsidR="001F1C1E" w:rsidRDefault="001F1C1E">
            <w:pPr>
              <w:jc w:val="right"/>
              <w:rPr>
                <w:rFonts w:eastAsia="Courier New"/>
                <w:color w:val="000000"/>
                <w:sz w:val="16"/>
                <w:szCs w:val="16"/>
                <w:lang w:val="hu-HU" w:bidi="en-US"/>
              </w:rPr>
            </w:pPr>
            <w:r>
              <w:rPr>
                <w:rFonts w:eastAsia="Courier New"/>
                <w:color w:val="000000"/>
                <w:sz w:val="16"/>
                <w:szCs w:val="16"/>
                <w:lang w:val="hu-HU" w:bidi="en-US"/>
              </w:rPr>
              <w:t>24/188(12,8 %)</w:t>
            </w:r>
          </w:p>
        </w:tc>
        <w:tc>
          <w:tcPr>
            <w:tcW w:w="856" w:type="pct"/>
            <w:shd w:val="clear" w:color="auto" w:fill="FFFFFF"/>
            <w:vAlign w:val="bottom"/>
            <w:hideMark/>
          </w:tcPr>
          <w:p w14:paraId="715098AF" w14:textId="77777777" w:rsidR="001F1C1E" w:rsidRDefault="001F1C1E">
            <w:pPr>
              <w:jc w:val="right"/>
              <w:rPr>
                <w:rFonts w:eastAsia="Courier New"/>
                <w:color w:val="000000"/>
                <w:sz w:val="16"/>
                <w:szCs w:val="16"/>
                <w:lang w:val="hu-HU" w:bidi="en-US"/>
              </w:rPr>
            </w:pPr>
            <w:r>
              <w:rPr>
                <w:rFonts w:eastAsia="Courier New"/>
                <w:color w:val="000000"/>
                <w:sz w:val="16"/>
                <w:szCs w:val="16"/>
                <w:lang w:val="hu-HU" w:bidi="en-US"/>
              </w:rPr>
              <w:t>45/436 (10,3 %)</w:t>
            </w:r>
          </w:p>
        </w:tc>
        <w:tc>
          <w:tcPr>
            <w:tcW w:w="0" w:type="auto"/>
            <w:gridSpan w:val="3"/>
            <w:vMerge/>
            <w:tcBorders>
              <w:top w:val="single" w:sz="4" w:space="0" w:color="auto"/>
              <w:left w:val="nil"/>
              <w:bottom w:val="nil"/>
              <w:right w:val="nil"/>
            </w:tcBorders>
            <w:vAlign w:val="center"/>
            <w:hideMark/>
          </w:tcPr>
          <w:p w14:paraId="3BFE5BD3" w14:textId="77777777" w:rsidR="001F1C1E" w:rsidRDefault="001F1C1E">
            <w:pPr>
              <w:rPr>
                <w:rFonts w:eastAsia="Courier New"/>
                <w:color w:val="000000"/>
                <w:sz w:val="16"/>
                <w:szCs w:val="16"/>
                <w:lang w:val="hu-HU" w:eastAsia="fr-LU" w:bidi="en-US"/>
              </w:rPr>
            </w:pPr>
          </w:p>
        </w:tc>
        <w:tc>
          <w:tcPr>
            <w:tcW w:w="847" w:type="pct"/>
            <w:shd w:val="clear" w:color="auto" w:fill="FFFFFF"/>
            <w:vAlign w:val="bottom"/>
            <w:hideMark/>
          </w:tcPr>
          <w:p w14:paraId="28157702" w14:textId="77777777" w:rsidR="001F1C1E" w:rsidRDefault="001F1C1E">
            <w:pPr>
              <w:rPr>
                <w:rFonts w:eastAsia="Courier New"/>
                <w:color w:val="000000"/>
                <w:sz w:val="16"/>
                <w:szCs w:val="16"/>
                <w:lang w:val="hu-HU" w:bidi="en-US"/>
              </w:rPr>
            </w:pPr>
            <w:r>
              <w:rPr>
                <w:rFonts w:eastAsia="Courier New"/>
                <w:color w:val="000000"/>
                <w:sz w:val="16"/>
                <w:szCs w:val="16"/>
                <w:lang w:val="hu-HU" w:bidi="en-US"/>
              </w:rPr>
              <w:t>1,12 (0,68-1,83)</w:t>
            </w:r>
          </w:p>
        </w:tc>
      </w:tr>
      <w:tr w:rsidR="001F1C1E" w14:paraId="340B91A9" w14:textId="77777777" w:rsidTr="002A5D2A">
        <w:trPr>
          <w:trHeight w:hRule="exact" w:val="324"/>
        </w:trPr>
        <w:tc>
          <w:tcPr>
            <w:tcW w:w="1031" w:type="pct"/>
            <w:shd w:val="clear" w:color="auto" w:fill="FFFFFF"/>
            <w:hideMark/>
          </w:tcPr>
          <w:p w14:paraId="7C42F4DB" w14:textId="77777777" w:rsidR="001F1C1E" w:rsidRDefault="001F1C1E">
            <w:pPr>
              <w:rPr>
                <w:rFonts w:eastAsia="Courier New"/>
                <w:b/>
                <w:bCs/>
                <w:color w:val="000000"/>
                <w:sz w:val="16"/>
                <w:szCs w:val="16"/>
                <w:lang w:val="hu-HU" w:bidi="en-US"/>
              </w:rPr>
            </w:pPr>
            <w:r>
              <w:rPr>
                <w:b/>
                <w:sz w:val="16"/>
                <w:szCs w:val="16"/>
              </w:rPr>
              <w:t>Subtotal</w:t>
            </w:r>
          </w:p>
        </w:tc>
        <w:tc>
          <w:tcPr>
            <w:tcW w:w="915" w:type="pct"/>
            <w:shd w:val="clear" w:color="auto" w:fill="FFFFFF"/>
            <w:hideMark/>
          </w:tcPr>
          <w:p w14:paraId="2FB86474" w14:textId="77777777" w:rsidR="001F1C1E" w:rsidRDefault="001F1C1E">
            <w:pPr>
              <w:jc w:val="right"/>
              <w:rPr>
                <w:rFonts w:eastAsia="Courier New"/>
                <w:b/>
                <w:bCs/>
                <w:color w:val="000000"/>
                <w:sz w:val="16"/>
                <w:szCs w:val="16"/>
                <w:lang w:val="hu-HU" w:bidi="en-US"/>
              </w:rPr>
            </w:pPr>
            <w:r>
              <w:rPr>
                <w:rFonts w:eastAsia="Courier New"/>
                <w:b/>
                <w:bCs/>
                <w:color w:val="000000"/>
                <w:sz w:val="16"/>
                <w:szCs w:val="16"/>
                <w:lang w:val="hu-HU" w:bidi="en-US"/>
              </w:rPr>
              <w:t>89/501 (17,8 %)</w:t>
            </w:r>
          </w:p>
        </w:tc>
        <w:tc>
          <w:tcPr>
            <w:tcW w:w="856" w:type="pct"/>
            <w:shd w:val="clear" w:color="auto" w:fill="FFFFFF"/>
            <w:hideMark/>
          </w:tcPr>
          <w:p w14:paraId="4FF28963" w14:textId="77777777" w:rsidR="001F1C1E" w:rsidRDefault="001F1C1E">
            <w:pPr>
              <w:jc w:val="right"/>
              <w:rPr>
                <w:rFonts w:eastAsia="Courier New"/>
                <w:b/>
                <w:bCs/>
                <w:color w:val="000000"/>
                <w:sz w:val="16"/>
                <w:szCs w:val="16"/>
                <w:lang w:val="hu-HU" w:bidi="en-US"/>
              </w:rPr>
            </w:pPr>
            <w:r>
              <w:rPr>
                <w:rFonts w:eastAsia="Courier New"/>
                <w:b/>
                <w:bCs/>
                <w:color w:val="000000"/>
                <w:sz w:val="16"/>
                <w:szCs w:val="16"/>
                <w:lang w:val="hu-HU" w:bidi="en-US"/>
              </w:rPr>
              <w:t>145/1.034 (14,0 %)</w:t>
            </w:r>
          </w:p>
        </w:tc>
        <w:tc>
          <w:tcPr>
            <w:tcW w:w="0" w:type="auto"/>
            <w:gridSpan w:val="3"/>
            <w:vMerge/>
            <w:tcBorders>
              <w:top w:val="single" w:sz="4" w:space="0" w:color="auto"/>
              <w:left w:val="nil"/>
              <w:bottom w:val="nil"/>
              <w:right w:val="nil"/>
            </w:tcBorders>
            <w:vAlign w:val="center"/>
            <w:hideMark/>
          </w:tcPr>
          <w:p w14:paraId="268D6D3D" w14:textId="77777777" w:rsidR="001F1C1E" w:rsidRDefault="001F1C1E">
            <w:pPr>
              <w:rPr>
                <w:rFonts w:eastAsia="Courier New"/>
                <w:color w:val="000000"/>
                <w:sz w:val="16"/>
                <w:szCs w:val="16"/>
                <w:lang w:val="hu-HU" w:eastAsia="fr-LU" w:bidi="en-US"/>
              </w:rPr>
            </w:pPr>
          </w:p>
        </w:tc>
        <w:tc>
          <w:tcPr>
            <w:tcW w:w="847" w:type="pct"/>
            <w:shd w:val="clear" w:color="auto" w:fill="FFFFFF"/>
            <w:hideMark/>
          </w:tcPr>
          <w:p w14:paraId="1AA48193" w14:textId="77777777" w:rsidR="001F1C1E" w:rsidRDefault="001F1C1E">
            <w:pPr>
              <w:rPr>
                <w:rFonts w:eastAsia="Courier New"/>
                <w:b/>
                <w:bCs/>
                <w:color w:val="000000"/>
                <w:sz w:val="16"/>
                <w:szCs w:val="16"/>
                <w:lang w:val="hu-HU" w:bidi="en-US"/>
              </w:rPr>
            </w:pPr>
            <w:r>
              <w:rPr>
                <w:rFonts w:eastAsia="Courier New"/>
                <w:b/>
                <w:bCs/>
                <w:color w:val="000000"/>
                <w:sz w:val="16"/>
                <w:szCs w:val="16"/>
                <w:lang w:val="hu-HU" w:bidi="en-US"/>
              </w:rPr>
              <w:t>1,19 (0,91-1,55)</w:t>
            </w:r>
          </w:p>
        </w:tc>
      </w:tr>
      <w:tr w:rsidR="001F1C1E" w14:paraId="266100C4" w14:textId="77777777" w:rsidTr="002A5D2A">
        <w:trPr>
          <w:trHeight w:hRule="exact" w:val="329"/>
        </w:trPr>
        <w:tc>
          <w:tcPr>
            <w:tcW w:w="2802" w:type="pct"/>
            <w:gridSpan w:val="3"/>
            <w:shd w:val="clear" w:color="auto" w:fill="FFFFFF"/>
            <w:vAlign w:val="bottom"/>
            <w:hideMark/>
          </w:tcPr>
          <w:p w14:paraId="3ADFCF25" w14:textId="77777777" w:rsidR="001F1C1E" w:rsidRDefault="001F1C1E">
            <w:pPr>
              <w:rPr>
                <w:rFonts w:eastAsia="Courier New"/>
                <w:b/>
                <w:bCs/>
                <w:color w:val="000000"/>
                <w:sz w:val="16"/>
                <w:szCs w:val="16"/>
                <w:lang w:val="hu-HU" w:bidi="en-US"/>
              </w:rPr>
            </w:pPr>
            <w:r>
              <w:rPr>
                <w:rFonts w:eastAsia="Courier New"/>
                <w:b/>
                <w:bCs/>
                <w:color w:val="000000"/>
                <w:sz w:val="16"/>
                <w:szCs w:val="16"/>
                <w:lang w:bidi="en-US"/>
              </w:rPr>
              <w:t>Kun ilt</w:t>
            </w:r>
            <w:r>
              <w:rPr>
                <w:rFonts w:eastAsia="Courier New"/>
                <w:b/>
                <w:bCs/>
                <w:color w:val="000000"/>
                <w:sz w:val="16"/>
                <w:szCs w:val="16"/>
                <w:u w:val="single"/>
                <w:lang w:bidi="en-US"/>
              </w:rPr>
              <w:t xml:space="preserve"> </w:t>
            </w:r>
            <w:r>
              <w:rPr>
                <w:rFonts w:eastAsia="Courier New"/>
                <w:b/>
                <w:bCs/>
                <w:color w:val="000000"/>
                <w:sz w:val="16"/>
                <w:szCs w:val="16"/>
                <w:lang w:val="hu-HU" w:bidi="en-US"/>
              </w:rPr>
              <w:t>(χ</w:t>
            </w:r>
            <w:r>
              <w:rPr>
                <w:rFonts w:eastAsia="Courier New"/>
                <w:b/>
                <w:bCs/>
                <w:color w:val="000000"/>
                <w:sz w:val="16"/>
                <w:szCs w:val="16"/>
                <w:vertAlign w:val="subscript"/>
                <w:lang w:val="hu-HU" w:bidi="en-US"/>
              </w:rPr>
              <w:t>1</w:t>
            </w:r>
            <w:r>
              <w:rPr>
                <w:rFonts w:eastAsia="Courier New"/>
                <w:b/>
                <w:bCs/>
                <w:color w:val="000000"/>
                <w:sz w:val="16"/>
                <w:szCs w:val="16"/>
                <w:vertAlign w:val="superscript"/>
                <w:lang w:val="hu-HU" w:bidi="en-US"/>
              </w:rPr>
              <w:t>2 </w:t>
            </w:r>
            <w:r>
              <w:rPr>
                <w:rFonts w:eastAsia="Courier New"/>
                <w:b/>
                <w:bCs/>
                <w:color w:val="000000"/>
                <w:sz w:val="16"/>
                <w:szCs w:val="16"/>
                <w:lang w:val="hu-HU" w:bidi="en-US"/>
              </w:rPr>
              <w:t>= 2,05; p = 0,15)</w:t>
            </w:r>
          </w:p>
        </w:tc>
        <w:tc>
          <w:tcPr>
            <w:tcW w:w="0" w:type="auto"/>
            <w:gridSpan w:val="3"/>
            <w:vMerge/>
            <w:tcBorders>
              <w:top w:val="single" w:sz="4" w:space="0" w:color="auto"/>
              <w:left w:val="nil"/>
              <w:bottom w:val="nil"/>
              <w:right w:val="nil"/>
            </w:tcBorders>
            <w:vAlign w:val="center"/>
            <w:hideMark/>
          </w:tcPr>
          <w:p w14:paraId="371A949C" w14:textId="77777777" w:rsidR="001F1C1E" w:rsidRDefault="001F1C1E">
            <w:pPr>
              <w:rPr>
                <w:rFonts w:eastAsia="Courier New"/>
                <w:color w:val="000000"/>
                <w:sz w:val="16"/>
                <w:szCs w:val="16"/>
                <w:lang w:val="hu-HU" w:eastAsia="fr-LU" w:bidi="en-US"/>
              </w:rPr>
            </w:pPr>
          </w:p>
        </w:tc>
        <w:tc>
          <w:tcPr>
            <w:tcW w:w="847" w:type="pct"/>
            <w:shd w:val="clear" w:color="auto" w:fill="FFFFFF"/>
          </w:tcPr>
          <w:p w14:paraId="11C3FA2B" w14:textId="77777777" w:rsidR="001F1C1E" w:rsidRDefault="001F1C1E">
            <w:pPr>
              <w:rPr>
                <w:rFonts w:eastAsia="Courier New"/>
                <w:color w:val="000000"/>
                <w:sz w:val="16"/>
                <w:szCs w:val="16"/>
                <w:lang w:val="hu-HU" w:bidi="en-US"/>
              </w:rPr>
            </w:pPr>
          </w:p>
        </w:tc>
      </w:tr>
      <w:tr w:rsidR="001F1C1E" w14:paraId="5D194B7A" w14:textId="77777777" w:rsidTr="002A5D2A">
        <w:trPr>
          <w:trHeight w:hRule="exact" w:val="221"/>
        </w:trPr>
        <w:tc>
          <w:tcPr>
            <w:tcW w:w="1031" w:type="pct"/>
            <w:shd w:val="clear" w:color="auto" w:fill="FFFFFF"/>
            <w:vAlign w:val="bottom"/>
          </w:tcPr>
          <w:p w14:paraId="72671B11" w14:textId="77777777" w:rsidR="001F1C1E" w:rsidRDefault="001F1C1E">
            <w:pPr>
              <w:rPr>
                <w:rFonts w:eastAsia="Calibri"/>
                <w:sz w:val="16"/>
                <w:szCs w:val="16"/>
                <w:lang w:val="fr-LU" w:eastAsia="en-GB" w:bidi="en-GB"/>
              </w:rPr>
            </w:pPr>
            <w:r>
              <w:rPr>
                <w:rFonts w:eastAsia="Calibri"/>
                <w:sz w:val="16"/>
                <w:szCs w:val="16"/>
              </w:rPr>
              <w:t>Tidligere sygdom</w:t>
            </w:r>
          </w:p>
          <w:p w14:paraId="78866065" w14:textId="77777777" w:rsidR="001F1C1E" w:rsidRDefault="001F1C1E">
            <w:pPr>
              <w:rPr>
                <w:rFonts w:eastAsia="Courier New"/>
                <w:color w:val="000000"/>
                <w:sz w:val="16"/>
                <w:szCs w:val="16"/>
                <w:lang w:val="hu-HU" w:eastAsia="fr-LU" w:bidi="en-US"/>
              </w:rPr>
            </w:pPr>
          </w:p>
        </w:tc>
        <w:tc>
          <w:tcPr>
            <w:tcW w:w="915" w:type="pct"/>
            <w:shd w:val="clear" w:color="auto" w:fill="FFFFFF"/>
            <w:vAlign w:val="bottom"/>
            <w:hideMark/>
          </w:tcPr>
          <w:p w14:paraId="562D0165" w14:textId="77777777" w:rsidR="001F1C1E" w:rsidRDefault="001F1C1E">
            <w:pPr>
              <w:jc w:val="right"/>
              <w:rPr>
                <w:rFonts w:eastAsia="Courier New"/>
                <w:color w:val="000000"/>
                <w:sz w:val="16"/>
                <w:szCs w:val="16"/>
                <w:lang w:val="hu-HU" w:bidi="en-US"/>
              </w:rPr>
            </w:pPr>
            <w:r>
              <w:rPr>
                <w:rFonts w:eastAsia="Courier New"/>
                <w:color w:val="000000"/>
                <w:sz w:val="16"/>
                <w:szCs w:val="16"/>
                <w:lang w:val="hu-HU" w:bidi="en-US"/>
              </w:rPr>
              <w:t>221/702 (31,5 %)</w:t>
            </w:r>
          </w:p>
        </w:tc>
        <w:tc>
          <w:tcPr>
            <w:tcW w:w="856" w:type="pct"/>
            <w:shd w:val="clear" w:color="auto" w:fill="FFFFFF"/>
            <w:vAlign w:val="bottom"/>
            <w:hideMark/>
          </w:tcPr>
          <w:p w14:paraId="179B5F87" w14:textId="77777777" w:rsidR="001F1C1E" w:rsidRDefault="001F1C1E">
            <w:pPr>
              <w:jc w:val="right"/>
              <w:rPr>
                <w:rFonts w:eastAsia="Courier New"/>
                <w:color w:val="000000"/>
                <w:sz w:val="16"/>
                <w:szCs w:val="16"/>
                <w:lang w:val="hu-HU" w:bidi="en-US"/>
              </w:rPr>
            </w:pPr>
            <w:r>
              <w:rPr>
                <w:rFonts w:eastAsia="Courier New"/>
                <w:color w:val="000000"/>
                <w:sz w:val="16"/>
                <w:szCs w:val="16"/>
                <w:lang w:val="hu-HU" w:bidi="en-US"/>
              </w:rPr>
              <w:t>481/1473 (32,7 %)</w:t>
            </w:r>
          </w:p>
        </w:tc>
        <w:tc>
          <w:tcPr>
            <w:tcW w:w="0" w:type="auto"/>
            <w:gridSpan w:val="3"/>
            <w:vMerge/>
            <w:tcBorders>
              <w:top w:val="single" w:sz="4" w:space="0" w:color="auto"/>
              <w:left w:val="nil"/>
              <w:bottom w:val="nil"/>
              <w:right w:val="nil"/>
            </w:tcBorders>
            <w:vAlign w:val="center"/>
            <w:hideMark/>
          </w:tcPr>
          <w:p w14:paraId="3EAC7DBC" w14:textId="77777777" w:rsidR="001F1C1E" w:rsidRDefault="001F1C1E">
            <w:pPr>
              <w:rPr>
                <w:rFonts w:eastAsia="Courier New"/>
                <w:color w:val="000000"/>
                <w:sz w:val="16"/>
                <w:szCs w:val="16"/>
                <w:lang w:val="hu-HU" w:eastAsia="fr-LU" w:bidi="en-US"/>
              </w:rPr>
            </w:pPr>
          </w:p>
        </w:tc>
        <w:tc>
          <w:tcPr>
            <w:tcW w:w="847" w:type="pct"/>
            <w:shd w:val="clear" w:color="auto" w:fill="FFFFFF"/>
            <w:vAlign w:val="bottom"/>
            <w:hideMark/>
          </w:tcPr>
          <w:p w14:paraId="7A6057E8" w14:textId="77777777" w:rsidR="001F1C1E" w:rsidRDefault="001F1C1E">
            <w:pPr>
              <w:rPr>
                <w:rFonts w:eastAsia="Courier New"/>
                <w:color w:val="000000"/>
                <w:sz w:val="16"/>
                <w:szCs w:val="16"/>
                <w:lang w:val="hu-HU" w:bidi="en-US"/>
              </w:rPr>
            </w:pPr>
            <w:r>
              <w:rPr>
                <w:rFonts w:eastAsia="Courier New"/>
                <w:color w:val="000000"/>
                <w:sz w:val="16"/>
                <w:szCs w:val="16"/>
                <w:lang w:val="hu-HU" w:bidi="en-US"/>
              </w:rPr>
              <w:t>0,88 (0,75-1,03)</w:t>
            </w:r>
          </w:p>
        </w:tc>
      </w:tr>
      <w:tr w:rsidR="001F1C1E" w14:paraId="6DA9B21D" w14:textId="77777777" w:rsidTr="002A5D2A">
        <w:trPr>
          <w:trHeight w:hRule="exact" w:val="234"/>
        </w:trPr>
        <w:tc>
          <w:tcPr>
            <w:tcW w:w="1031" w:type="pct"/>
            <w:shd w:val="clear" w:color="auto" w:fill="FFFFFF"/>
            <w:vAlign w:val="bottom"/>
            <w:hideMark/>
          </w:tcPr>
          <w:p w14:paraId="2E716C40" w14:textId="77777777" w:rsidR="001F1C1E" w:rsidRDefault="001F1C1E">
            <w:pPr>
              <w:rPr>
                <w:rFonts w:eastAsia="Courier New"/>
                <w:color w:val="000000"/>
                <w:sz w:val="16"/>
                <w:szCs w:val="16"/>
                <w:lang w:val="hu-HU" w:bidi="en-US"/>
              </w:rPr>
            </w:pPr>
            <w:r>
              <w:rPr>
                <w:rFonts w:eastAsia="Calibri"/>
                <w:sz w:val="16"/>
                <w:szCs w:val="16"/>
              </w:rPr>
              <w:t>Ingen tidligere sygdom</w:t>
            </w:r>
          </w:p>
        </w:tc>
        <w:tc>
          <w:tcPr>
            <w:tcW w:w="915" w:type="pct"/>
            <w:shd w:val="clear" w:color="auto" w:fill="FFFFFF"/>
            <w:vAlign w:val="bottom"/>
            <w:hideMark/>
          </w:tcPr>
          <w:p w14:paraId="5052A06D" w14:textId="77777777" w:rsidR="001F1C1E" w:rsidRDefault="001F1C1E">
            <w:pPr>
              <w:jc w:val="right"/>
              <w:rPr>
                <w:rFonts w:eastAsia="Courier New"/>
                <w:color w:val="000000"/>
                <w:sz w:val="16"/>
                <w:szCs w:val="16"/>
                <w:lang w:val="hu-HU" w:bidi="en-US"/>
              </w:rPr>
            </w:pPr>
            <w:r>
              <w:rPr>
                <w:rFonts w:eastAsia="Courier New"/>
                <w:color w:val="000000"/>
                <w:sz w:val="16"/>
                <w:szCs w:val="16"/>
                <w:lang w:val="hu-HU" w:bidi="en-US"/>
              </w:rPr>
              <w:t>77/577(13,3 %)</w:t>
            </w:r>
          </w:p>
        </w:tc>
        <w:tc>
          <w:tcPr>
            <w:tcW w:w="856" w:type="pct"/>
            <w:shd w:val="clear" w:color="auto" w:fill="FFFFFF"/>
            <w:vAlign w:val="bottom"/>
            <w:hideMark/>
          </w:tcPr>
          <w:p w14:paraId="0CE152E3" w14:textId="77777777" w:rsidR="001F1C1E" w:rsidRDefault="001F1C1E">
            <w:pPr>
              <w:jc w:val="right"/>
              <w:rPr>
                <w:rFonts w:eastAsia="Courier New"/>
                <w:color w:val="000000"/>
                <w:sz w:val="16"/>
                <w:szCs w:val="16"/>
                <w:lang w:val="hu-HU" w:bidi="en-US"/>
              </w:rPr>
            </w:pPr>
            <w:r>
              <w:rPr>
                <w:rFonts w:eastAsia="Courier New"/>
                <w:color w:val="000000"/>
                <w:sz w:val="16"/>
                <w:szCs w:val="16"/>
                <w:lang w:val="hu-HU" w:bidi="en-US"/>
              </w:rPr>
              <w:t>201/1131 (17,8 %)</w:t>
            </w:r>
          </w:p>
        </w:tc>
        <w:tc>
          <w:tcPr>
            <w:tcW w:w="0" w:type="auto"/>
            <w:gridSpan w:val="3"/>
            <w:vMerge/>
            <w:tcBorders>
              <w:top w:val="single" w:sz="4" w:space="0" w:color="auto"/>
              <w:left w:val="nil"/>
              <w:bottom w:val="nil"/>
              <w:right w:val="nil"/>
            </w:tcBorders>
            <w:vAlign w:val="center"/>
            <w:hideMark/>
          </w:tcPr>
          <w:p w14:paraId="3B358769" w14:textId="77777777" w:rsidR="001F1C1E" w:rsidRDefault="001F1C1E">
            <w:pPr>
              <w:rPr>
                <w:rFonts w:eastAsia="Courier New"/>
                <w:color w:val="000000"/>
                <w:sz w:val="16"/>
                <w:szCs w:val="16"/>
                <w:lang w:val="hu-HU" w:eastAsia="fr-LU" w:bidi="en-US"/>
              </w:rPr>
            </w:pPr>
          </w:p>
        </w:tc>
        <w:tc>
          <w:tcPr>
            <w:tcW w:w="847" w:type="pct"/>
            <w:shd w:val="clear" w:color="auto" w:fill="FFFFFF"/>
            <w:vAlign w:val="bottom"/>
            <w:hideMark/>
          </w:tcPr>
          <w:p w14:paraId="0F98A2C9" w14:textId="77777777" w:rsidR="001F1C1E" w:rsidRDefault="001F1C1E">
            <w:pPr>
              <w:rPr>
                <w:rFonts w:eastAsia="Courier New"/>
                <w:color w:val="000000"/>
                <w:sz w:val="16"/>
                <w:szCs w:val="16"/>
                <w:lang w:val="hu-HU" w:bidi="en-US"/>
              </w:rPr>
            </w:pPr>
            <w:r>
              <w:rPr>
                <w:rFonts w:eastAsia="Courier New"/>
                <w:color w:val="000000"/>
                <w:sz w:val="16"/>
                <w:szCs w:val="16"/>
                <w:lang w:val="hu-HU" w:bidi="en-US"/>
              </w:rPr>
              <w:t>0,70 (0,54-0,91)</w:t>
            </w:r>
          </w:p>
        </w:tc>
      </w:tr>
      <w:tr w:rsidR="001F1C1E" w14:paraId="253C339B" w14:textId="77777777" w:rsidTr="002A5D2A">
        <w:trPr>
          <w:trHeight w:hRule="exact" w:val="324"/>
        </w:trPr>
        <w:tc>
          <w:tcPr>
            <w:tcW w:w="1031" w:type="pct"/>
            <w:shd w:val="clear" w:color="auto" w:fill="FFFFFF"/>
            <w:hideMark/>
          </w:tcPr>
          <w:p w14:paraId="2222EC1C" w14:textId="77777777" w:rsidR="001F1C1E" w:rsidRDefault="001F1C1E">
            <w:pPr>
              <w:rPr>
                <w:rFonts w:eastAsia="Courier New"/>
                <w:b/>
                <w:bCs/>
                <w:color w:val="000000"/>
                <w:sz w:val="16"/>
                <w:szCs w:val="16"/>
                <w:lang w:val="hu-HU" w:bidi="en-US"/>
              </w:rPr>
            </w:pPr>
            <w:r>
              <w:rPr>
                <w:b/>
                <w:sz w:val="16"/>
                <w:szCs w:val="16"/>
              </w:rPr>
              <w:t>Subtotal</w:t>
            </w:r>
          </w:p>
        </w:tc>
        <w:tc>
          <w:tcPr>
            <w:tcW w:w="915" w:type="pct"/>
            <w:shd w:val="clear" w:color="auto" w:fill="FFFFFF"/>
            <w:hideMark/>
          </w:tcPr>
          <w:p w14:paraId="30C8C577" w14:textId="77777777" w:rsidR="001F1C1E" w:rsidRDefault="001F1C1E">
            <w:pPr>
              <w:jc w:val="right"/>
              <w:rPr>
                <w:rFonts w:eastAsia="Courier New"/>
                <w:b/>
                <w:bCs/>
                <w:color w:val="000000"/>
                <w:sz w:val="16"/>
                <w:szCs w:val="16"/>
                <w:lang w:val="hu-HU" w:bidi="en-US"/>
              </w:rPr>
            </w:pPr>
            <w:r>
              <w:rPr>
                <w:rFonts w:eastAsia="Courier New"/>
                <w:b/>
                <w:bCs/>
                <w:color w:val="000000"/>
                <w:sz w:val="16"/>
                <w:szCs w:val="16"/>
                <w:lang w:val="hu-HU" w:bidi="en-US"/>
              </w:rPr>
              <w:t>298/1.279 (23,3 %)</w:t>
            </w:r>
          </w:p>
        </w:tc>
        <w:tc>
          <w:tcPr>
            <w:tcW w:w="856" w:type="pct"/>
            <w:shd w:val="clear" w:color="auto" w:fill="FFFFFF"/>
            <w:hideMark/>
          </w:tcPr>
          <w:p w14:paraId="214C3129" w14:textId="77777777" w:rsidR="001F1C1E" w:rsidRDefault="001F1C1E">
            <w:pPr>
              <w:jc w:val="right"/>
              <w:rPr>
                <w:rFonts w:eastAsia="Courier New"/>
                <w:b/>
                <w:bCs/>
                <w:color w:val="000000"/>
                <w:sz w:val="16"/>
                <w:szCs w:val="16"/>
                <w:lang w:val="hu-HU" w:bidi="en-US"/>
              </w:rPr>
            </w:pPr>
            <w:r>
              <w:rPr>
                <w:rFonts w:eastAsia="Courier New"/>
                <w:b/>
                <w:bCs/>
                <w:color w:val="000000"/>
                <w:sz w:val="16"/>
                <w:szCs w:val="16"/>
                <w:lang w:val="hu-HU" w:bidi="en-US"/>
              </w:rPr>
              <w:t>682/2.604 (26,2 %)</w:t>
            </w:r>
          </w:p>
        </w:tc>
        <w:tc>
          <w:tcPr>
            <w:tcW w:w="0" w:type="auto"/>
            <w:gridSpan w:val="3"/>
            <w:vMerge/>
            <w:tcBorders>
              <w:top w:val="single" w:sz="4" w:space="0" w:color="auto"/>
              <w:left w:val="nil"/>
              <w:bottom w:val="nil"/>
              <w:right w:val="nil"/>
            </w:tcBorders>
            <w:vAlign w:val="center"/>
            <w:hideMark/>
          </w:tcPr>
          <w:p w14:paraId="0306BDF3" w14:textId="77777777" w:rsidR="001F1C1E" w:rsidRDefault="001F1C1E">
            <w:pPr>
              <w:rPr>
                <w:rFonts w:eastAsia="Courier New"/>
                <w:color w:val="000000"/>
                <w:sz w:val="16"/>
                <w:szCs w:val="16"/>
                <w:lang w:val="hu-HU" w:eastAsia="fr-LU" w:bidi="en-US"/>
              </w:rPr>
            </w:pPr>
          </w:p>
        </w:tc>
        <w:tc>
          <w:tcPr>
            <w:tcW w:w="847" w:type="pct"/>
            <w:shd w:val="clear" w:color="auto" w:fill="FFFFFF"/>
            <w:hideMark/>
          </w:tcPr>
          <w:p w14:paraId="34B1D4C4" w14:textId="77777777" w:rsidR="001F1C1E" w:rsidRDefault="001F1C1E">
            <w:pPr>
              <w:rPr>
                <w:rFonts w:eastAsia="Courier New"/>
                <w:b/>
                <w:bCs/>
                <w:color w:val="000000"/>
                <w:sz w:val="16"/>
                <w:szCs w:val="16"/>
                <w:lang w:val="hu-HU" w:bidi="en-US"/>
              </w:rPr>
            </w:pPr>
            <w:r>
              <w:rPr>
                <w:rFonts w:eastAsia="Courier New"/>
                <w:b/>
                <w:bCs/>
                <w:color w:val="000000"/>
                <w:sz w:val="16"/>
                <w:szCs w:val="16"/>
                <w:lang w:val="hu-HU" w:bidi="en-US"/>
              </w:rPr>
              <w:t>0,82 (0,72-0,94)</w:t>
            </w:r>
          </w:p>
        </w:tc>
      </w:tr>
      <w:tr w:rsidR="001F1C1E" w14:paraId="234BBF70" w14:textId="77777777" w:rsidTr="002A5D2A">
        <w:trPr>
          <w:trHeight w:hRule="exact" w:val="320"/>
        </w:trPr>
        <w:tc>
          <w:tcPr>
            <w:tcW w:w="2802" w:type="pct"/>
            <w:gridSpan w:val="3"/>
            <w:shd w:val="clear" w:color="auto" w:fill="FFFFFF"/>
            <w:vAlign w:val="bottom"/>
            <w:hideMark/>
          </w:tcPr>
          <w:p w14:paraId="119487F8" w14:textId="77777777" w:rsidR="001F1C1E" w:rsidRDefault="001F1C1E">
            <w:pPr>
              <w:rPr>
                <w:rFonts w:eastAsia="Courier New"/>
                <w:b/>
                <w:bCs/>
                <w:color w:val="000000"/>
                <w:sz w:val="16"/>
                <w:szCs w:val="16"/>
                <w:lang w:val="hu-HU" w:bidi="en-US"/>
              </w:rPr>
            </w:pPr>
            <w:r>
              <w:rPr>
                <w:rFonts w:eastAsia="Courier New"/>
                <w:b/>
                <w:bCs/>
                <w:color w:val="000000"/>
                <w:sz w:val="16"/>
                <w:szCs w:val="16"/>
                <w:lang w:bidi="en-US"/>
              </w:rPr>
              <w:t>Mekanisk ventilation</w:t>
            </w:r>
            <w:r>
              <w:rPr>
                <w:rFonts w:eastAsia="Courier New"/>
                <w:b/>
                <w:bCs/>
                <w:color w:val="000000"/>
                <w:sz w:val="16"/>
                <w:szCs w:val="16"/>
                <w:u w:val="single"/>
                <w:lang w:bidi="en-US"/>
              </w:rPr>
              <w:t xml:space="preserve"> </w:t>
            </w:r>
            <w:r>
              <w:rPr>
                <w:rFonts w:eastAsia="Courier New"/>
                <w:b/>
                <w:bCs/>
                <w:color w:val="000000"/>
                <w:sz w:val="16"/>
                <w:szCs w:val="16"/>
                <w:lang w:val="hu-HU" w:bidi="en-US"/>
              </w:rPr>
              <w:t>(χ</w:t>
            </w:r>
            <w:r>
              <w:rPr>
                <w:rFonts w:eastAsia="Courier New"/>
                <w:b/>
                <w:bCs/>
                <w:color w:val="000000"/>
                <w:sz w:val="16"/>
                <w:szCs w:val="16"/>
                <w:vertAlign w:val="subscript"/>
                <w:lang w:val="hu-HU" w:bidi="en-US"/>
              </w:rPr>
              <w:t>1</w:t>
            </w:r>
            <w:r>
              <w:rPr>
                <w:rFonts w:eastAsia="Courier New"/>
                <w:b/>
                <w:bCs/>
                <w:color w:val="000000"/>
                <w:sz w:val="16"/>
                <w:szCs w:val="16"/>
                <w:vertAlign w:val="superscript"/>
                <w:lang w:val="hu-HU" w:bidi="en-US"/>
              </w:rPr>
              <w:t>2 </w:t>
            </w:r>
            <w:r>
              <w:rPr>
                <w:rFonts w:eastAsia="Courier New"/>
                <w:b/>
                <w:bCs/>
                <w:color w:val="000000"/>
                <w:sz w:val="16"/>
                <w:szCs w:val="16"/>
                <w:lang w:val="hu-HU" w:bidi="en-US"/>
              </w:rPr>
              <w:t>= 1,52; p = 0,22)</w:t>
            </w:r>
          </w:p>
        </w:tc>
        <w:tc>
          <w:tcPr>
            <w:tcW w:w="0" w:type="auto"/>
            <w:gridSpan w:val="3"/>
            <w:vMerge/>
            <w:tcBorders>
              <w:top w:val="single" w:sz="4" w:space="0" w:color="auto"/>
              <w:left w:val="nil"/>
              <w:bottom w:val="nil"/>
              <w:right w:val="nil"/>
            </w:tcBorders>
            <w:vAlign w:val="center"/>
            <w:hideMark/>
          </w:tcPr>
          <w:p w14:paraId="0A30F396" w14:textId="77777777" w:rsidR="001F1C1E" w:rsidRDefault="001F1C1E">
            <w:pPr>
              <w:rPr>
                <w:rFonts w:eastAsia="Courier New"/>
                <w:color w:val="000000"/>
                <w:sz w:val="16"/>
                <w:szCs w:val="16"/>
                <w:lang w:val="hu-HU" w:eastAsia="fr-LU" w:bidi="en-US"/>
              </w:rPr>
            </w:pPr>
          </w:p>
        </w:tc>
        <w:tc>
          <w:tcPr>
            <w:tcW w:w="847" w:type="pct"/>
            <w:shd w:val="clear" w:color="auto" w:fill="FFFFFF"/>
          </w:tcPr>
          <w:p w14:paraId="12FD87B4" w14:textId="77777777" w:rsidR="001F1C1E" w:rsidRDefault="001F1C1E">
            <w:pPr>
              <w:rPr>
                <w:rFonts w:eastAsia="Courier New"/>
                <w:color w:val="000000"/>
                <w:sz w:val="16"/>
                <w:szCs w:val="16"/>
                <w:lang w:val="hu-HU" w:bidi="en-US"/>
              </w:rPr>
            </w:pPr>
          </w:p>
        </w:tc>
      </w:tr>
      <w:tr w:rsidR="001F1C1E" w14:paraId="28A5B7F2" w14:textId="77777777" w:rsidTr="002A5D2A">
        <w:trPr>
          <w:trHeight w:hRule="exact" w:val="230"/>
        </w:trPr>
        <w:tc>
          <w:tcPr>
            <w:tcW w:w="1031" w:type="pct"/>
            <w:shd w:val="clear" w:color="auto" w:fill="FFFFFF"/>
            <w:vAlign w:val="bottom"/>
          </w:tcPr>
          <w:p w14:paraId="2BFBE443" w14:textId="77777777" w:rsidR="001F1C1E" w:rsidRDefault="001F1C1E">
            <w:pPr>
              <w:rPr>
                <w:rFonts w:eastAsia="Calibri"/>
                <w:sz w:val="16"/>
                <w:szCs w:val="16"/>
                <w:lang w:val="fr-LU" w:eastAsia="en-GB" w:bidi="en-GB"/>
              </w:rPr>
            </w:pPr>
            <w:r>
              <w:rPr>
                <w:rFonts w:eastAsia="Calibri"/>
                <w:sz w:val="16"/>
                <w:szCs w:val="16"/>
              </w:rPr>
              <w:t>Tidligere sygdom</w:t>
            </w:r>
          </w:p>
          <w:p w14:paraId="79709722" w14:textId="77777777" w:rsidR="001F1C1E" w:rsidRDefault="001F1C1E">
            <w:pPr>
              <w:rPr>
                <w:rFonts w:eastAsia="Courier New"/>
                <w:color w:val="000000"/>
                <w:sz w:val="16"/>
                <w:szCs w:val="16"/>
                <w:lang w:val="hu-HU" w:eastAsia="fr-LU" w:bidi="en-US"/>
              </w:rPr>
            </w:pPr>
          </w:p>
        </w:tc>
        <w:tc>
          <w:tcPr>
            <w:tcW w:w="915" w:type="pct"/>
            <w:shd w:val="clear" w:color="auto" w:fill="FFFFFF"/>
            <w:vAlign w:val="bottom"/>
            <w:hideMark/>
          </w:tcPr>
          <w:p w14:paraId="6F62E76A" w14:textId="77777777" w:rsidR="001F1C1E" w:rsidRDefault="001F1C1E">
            <w:pPr>
              <w:jc w:val="right"/>
              <w:rPr>
                <w:rFonts w:eastAsia="Courier New"/>
                <w:color w:val="000000"/>
                <w:sz w:val="16"/>
                <w:szCs w:val="16"/>
                <w:lang w:val="hu-HU" w:bidi="en-US"/>
              </w:rPr>
            </w:pPr>
            <w:r>
              <w:rPr>
                <w:rFonts w:eastAsia="Courier New"/>
                <w:color w:val="000000"/>
                <w:sz w:val="16"/>
                <w:szCs w:val="16"/>
                <w:lang w:val="hu-HU" w:bidi="en-US"/>
              </w:rPr>
              <w:t>51/159 (32,1 %)</w:t>
            </w:r>
          </w:p>
        </w:tc>
        <w:tc>
          <w:tcPr>
            <w:tcW w:w="856" w:type="pct"/>
            <w:shd w:val="clear" w:color="auto" w:fill="FFFFFF"/>
            <w:vAlign w:val="bottom"/>
            <w:hideMark/>
          </w:tcPr>
          <w:p w14:paraId="4054B549" w14:textId="77777777" w:rsidR="001F1C1E" w:rsidRDefault="001F1C1E">
            <w:pPr>
              <w:jc w:val="right"/>
              <w:rPr>
                <w:rFonts w:eastAsia="Courier New"/>
                <w:color w:val="000000"/>
                <w:sz w:val="16"/>
                <w:szCs w:val="16"/>
                <w:lang w:val="hu-HU" w:bidi="en-US"/>
              </w:rPr>
            </w:pPr>
            <w:r>
              <w:rPr>
                <w:rFonts w:eastAsia="Courier New"/>
                <w:color w:val="000000"/>
                <w:sz w:val="16"/>
                <w:szCs w:val="16"/>
                <w:lang w:val="hu-HU" w:bidi="en-US"/>
              </w:rPr>
              <w:t>150/346 (43,4 %)</w:t>
            </w:r>
          </w:p>
        </w:tc>
        <w:tc>
          <w:tcPr>
            <w:tcW w:w="0" w:type="auto"/>
            <w:gridSpan w:val="3"/>
            <w:vMerge/>
            <w:tcBorders>
              <w:top w:val="single" w:sz="4" w:space="0" w:color="auto"/>
              <w:left w:val="nil"/>
              <w:bottom w:val="nil"/>
              <w:right w:val="nil"/>
            </w:tcBorders>
            <w:vAlign w:val="center"/>
            <w:hideMark/>
          </w:tcPr>
          <w:p w14:paraId="0CBB7B07" w14:textId="77777777" w:rsidR="001F1C1E" w:rsidRDefault="001F1C1E">
            <w:pPr>
              <w:rPr>
                <w:rFonts w:eastAsia="Courier New"/>
                <w:color w:val="000000"/>
                <w:sz w:val="16"/>
                <w:szCs w:val="16"/>
                <w:lang w:val="hu-HU" w:eastAsia="fr-LU" w:bidi="en-US"/>
              </w:rPr>
            </w:pPr>
          </w:p>
        </w:tc>
        <w:tc>
          <w:tcPr>
            <w:tcW w:w="847" w:type="pct"/>
            <w:shd w:val="clear" w:color="auto" w:fill="FFFFFF"/>
            <w:vAlign w:val="bottom"/>
            <w:hideMark/>
          </w:tcPr>
          <w:p w14:paraId="0F6B764A" w14:textId="77777777" w:rsidR="001F1C1E" w:rsidRDefault="001F1C1E">
            <w:pPr>
              <w:rPr>
                <w:rFonts w:eastAsia="Courier New"/>
                <w:color w:val="000000"/>
                <w:sz w:val="16"/>
                <w:szCs w:val="16"/>
                <w:lang w:val="hu-HU" w:bidi="en-US"/>
              </w:rPr>
            </w:pPr>
            <w:r>
              <w:rPr>
                <w:rFonts w:eastAsia="Courier New"/>
                <w:color w:val="000000"/>
                <w:sz w:val="16"/>
                <w:szCs w:val="16"/>
                <w:lang w:val="hu-HU" w:bidi="en-US"/>
              </w:rPr>
              <w:t>0,75 (0,54-1,02)</w:t>
            </w:r>
          </w:p>
        </w:tc>
      </w:tr>
      <w:tr w:rsidR="001F1C1E" w14:paraId="08BFA990" w14:textId="77777777" w:rsidTr="002A5D2A">
        <w:trPr>
          <w:trHeight w:hRule="exact" w:val="234"/>
        </w:trPr>
        <w:tc>
          <w:tcPr>
            <w:tcW w:w="1031" w:type="pct"/>
            <w:shd w:val="clear" w:color="auto" w:fill="FFFFFF"/>
            <w:vAlign w:val="bottom"/>
            <w:hideMark/>
          </w:tcPr>
          <w:p w14:paraId="788E8831" w14:textId="77777777" w:rsidR="001F1C1E" w:rsidRDefault="001F1C1E">
            <w:pPr>
              <w:rPr>
                <w:rFonts w:eastAsia="Courier New"/>
                <w:color w:val="000000"/>
                <w:sz w:val="16"/>
                <w:szCs w:val="16"/>
                <w:lang w:val="hu-HU" w:bidi="en-US"/>
              </w:rPr>
            </w:pPr>
            <w:r>
              <w:rPr>
                <w:rFonts w:eastAsia="Calibri"/>
                <w:sz w:val="16"/>
                <w:szCs w:val="16"/>
              </w:rPr>
              <w:t>Ingen tidligere sygdom</w:t>
            </w:r>
          </w:p>
        </w:tc>
        <w:tc>
          <w:tcPr>
            <w:tcW w:w="915" w:type="pct"/>
            <w:shd w:val="clear" w:color="auto" w:fill="FFFFFF"/>
            <w:vAlign w:val="bottom"/>
            <w:hideMark/>
          </w:tcPr>
          <w:p w14:paraId="0F0BB25F" w14:textId="77777777" w:rsidR="001F1C1E" w:rsidRDefault="001F1C1E">
            <w:pPr>
              <w:jc w:val="right"/>
              <w:rPr>
                <w:rFonts w:eastAsia="Courier New"/>
                <w:color w:val="000000"/>
                <w:sz w:val="16"/>
                <w:szCs w:val="16"/>
                <w:lang w:val="hu-HU" w:bidi="en-US"/>
              </w:rPr>
            </w:pPr>
            <w:r>
              <w:rPr>
                <w:rFonts w:eastAsia="Courier New"/>
                <w:color w:val="000000"/>
                <w:sz w:val="16"/>
                <w:szCs w:val="16"/>
                <w:lang w:val="hu-HU" w:bidi="en-US"/>
              </w:rPr>
              <w:t>44/165 (26,7 %)</w:t>
            </w:r>
          </w:p>
        </w:tc>
        <w:tc>
          <w:tcPr>
            <w:tcW w:w="856" w:type="pct"/>
            <w:shd w:val="clear" w:color="auto" w:fill="FFFFFF"/>
            <w:vAlign w:val="bottom"/>
            <w:hideMark/>
          </w:tcPr>
          <w:p w14:paraId="4EC68FA6" w14:textId="77777777" w:rsidR="001F1C1E" w:rsidRDefault="001F1C1E">
            <w:pPr>
              <w:jc w:val="right"/>
              <w:rPr>
                <w:rFonts w:eastAsia="Courier New"/>
                <w:color w:val="000000"/>
                <w:sz w:val="16"/>
                <w:szCs w:val="16"/>
                <w:lang w:val="hu-HU" w:bidi="en-US"/>
              </w:rPr>
            </w:pPr>
            <w:r>
              <w:rPr>
                <w:rFonts w:eastAsia="Courier New"/>
                <w:color w:val="000000"/>
                <w:sz w:val="16"/>
                <w:szCs w:val="16"/>
                <w:lang w:val="hu-HU" w:bidi="en-US"/>
              </w:rPr>
              <w:t>133/337 (39,5 %)</w:t>
            </w:r>
          </w:p>
        </w:tc>
        <w:tc>
          <w:tcPr>
            <w:tcW w:w="0" w:type="auto"/>
            <w:gridSpan w:val="3"/>
            <w:vMerge/>
            <w:tcBorders>
              <w:top w:val="single" w:sz="4" w:space="0" w:color="auto"/>
              <w:left w:val="nil"/>
              <w:bottom w:val="nil"/>
              <w:right w:val="nil"/>
            </w:tcBorders>
            <w:vAlign w:val="center"/>
            <w:hideMark/>
          </w:tcPr>
          <w:p w14:paraId="3281A26E" w14:textId="77777777" w:rsidR="001F1C1E" w:rsidRDefault="001F1C1E">
            <w:pPr>
              <w:rPr>
                <w:rFonts w:eastAsia="Courier New"/>
                <w:color w:val="000000"/>
                <w:sz w:val="16"/>
                <w:szCs w:val="16"/>
                <w:lang w:val="hu-HU" w:eastAsia="fr-LU" w:bidi="en-US"/>
              </w:rPr>
            </w:pPr>
          </w:p>
        </w:tc>
        <w:tc>
          <w:tcPr>
            <w:tcW w:w="847" w:type="pct"/>
            <w:shd w:val="clear" w:color="auto" w:fill="FFFFFF"/>
            <w:vAlign w:val="bottom"/>
            <w:hideMark/>
          </w:tcPr>
          <w:p w14:paraId="3241289C" w14:textId="77777777" w:rsidR="001F1C1E" w:rsidRDefault="001F1C1E">
            <w:pPr>
              <w:rPr>
                <w:rFonts w:eastAsia="Courier New"/>
                <w:color w:val="000000"/>
                <w:sz w:val="16"/>
                <w:szCs w:val="16"/>
                <w:lang w:val="hu-HU" w:bidi="en-US"/>
              </w:rPr>
            </w:pPr>
            <w:r>
              <w:rPr>
                <w:rFonts w:eastAsia="Courier New"/>
                <w:color w:val="000000"/>
                <w:sz w:val="16"/>
                <w:szCs w:val="16"/>
                <w:lang w:val="hu-HU" w:bidi="en-US"/>
              </w:rPr>
              <w:t>0,56 (0,40-0,78)</w:t>
            </w:r>
          </w:p>
        </w:tc>
      </w:tr>
      <w:tr w:rsidR="001F1C1E" w14:paraId="2CAE4359" w14:textId="77777777" w:rsidTr="002A5D2A">
        <w:trPr>
          <w:trHeight w:hRule="exact" w:val="318"/>
        </w:trPr>
        <w:tc>
          <w:tcPr>
            <w:tcW w:w="1031" w:type="pct"/>
            <w:shd w:val="clear" w:color="auto" w:fill="FFFFFF"/>
            <w:hideMark/>
          </w:tcPr>
          <w:p w14:paraId="3BD8B854" w14:textId="77777777" w:rsidR="001F1C1E" w:rsidRDefault="001F1C1E">
            <w:pPr>
              <w:rPr>
                <w:rFonts w:eastAsia="Courier New"/>
                <w:b/>
                <w:bCs/>
                <w:color w:val="000000"/>
                <w:sz w:val="16"/>
                <w:szCs w:val="16"/>
                <w:lang w:val="hu-HU" w:bidi="en-US"/>
              </w:rPr>
            </w:pPr>
            <w:r>
              <w:rPr>
                <w:b/>
                <w:sz w:val="16"/>
                <w:szCs w:val="16"/>
              </w:rPr>
              <w:t>Subtotal</w:t>
            </w:r>
          </w:p>
        </w:tc>
        <w:tc>
          <w:tcPr>
            <w:tcW w:w="915" w:type="pct"/>
            <w:shd w:val="clear" w:color="auto" w:fill="FFFFFF"/>
            <w:hideMark/>
          </w:tcPr>
          <w:p w14:paraId="04243F24" w14:textId="77777777" w:rsidR="001F1C1E" w:rsidRDefault="001F1C1E">
            <w:pPr>
              <w:jc w:val="right"/>
              <w:rPr>
                <w:rFonts w:eastAsia="Courier New"/>
                <w:b/>
                <w:bCs/>
                <w:color w:val="000000"/>
                <w:sz w:val="16"/>
                <w:szCs w:val="16"/>
                <w:lang w:val="hu-HU" w:bidi="en-US"/>
              </w:rPr>
            </w:pPr>
            <w:r>
              <w:rPr>
                <w:rFonts w:eastAsia="Courier New"/>
                <w:b/>
                <w:bCs/>
                <w:color w:val="000000"/>
                <w:sz w:val="16"/>
                <w:szCs w:val="16"/>
                <w:lang w:val="hu-HU" w:bidi="en-US"/>
              </w:rPr>
              <w:t>95/324 (29,3 %)</w:t>
            </w:r>
          </w:p>
        </w:tc>
        <w:tc>
          <w:tcPr>
            <w:tcW w:w="856" w:type="pct"/>
            <w:shd w:val="clear" w:color="auto" w:fill="FFFFFF"/>
            <w:hideMark/>
          </w:tcPr>
          <w:p w14:paraId="7D970CA2" w14:textId="77777777" w:rsidR="001F1C1E" w:rsidRDefault="001F1C1E">
            <w:pPr>
              <w:jc w:val="right"/>
              <w:rPr>
                <w:rFonts w:eastAsia="Courier New"/>
                <w:b/>
                <w:bCs/>
                <w:color w:val="000000"/>
                <w:sz w:val="16"/>
                <w:szCs w:val="16"/>
                <w:lang w:val="hu-HU" w:bidi="en-US"/>
              </w:rPr>
            </w:pPr>
            <w:r>
              <w:rPr>
                <w:rFonts w:eastAsia="Courier New"/>
                <w:b/>
                <w:bCs/>
                <w:color w:val="000000"/>
                <w:sz w:val="16"/>
                <w:szCs w:val="16"/>
                <w:lang w:val="hu-HU" w:bidi="en-US"/>
              </w:rPr>
              <w:t>283/683 (41,4 %)</w:t>
            </w:r>
          </w:p>
        </w:tc>
        <w:tc>
          <w:tcPr>
            <w:tcW w:w="0" w:type="auto"/>
            <w:gridSpan w:val="3"/>
            <w:vMerge/>
            <w:tcBorders>
              <w:top w:val="single" w:sz="4" w:space="0" w:color="auto"/>
              <w:left w:val="nil"/>
              <w:bottom w:val="nil"/>
              <w:right w:val="nil"/>
            </w:tcBorders>
            <w:vAlign w:val="center"/>
            <w:hideMark/>
          </w:tcPr>
          <w:p w14:paraId="26CCAAC6" w14:textId="77777777" w:rsidR="001F1C1E" w:rsidRDefault="001F1C1E">
            <w:pPr>
              <w:rPr>
                <w:rFonts w:eastAsia="Courier New"/>
                <w:color w:val="000000"/>
                <w:sz w:val="16"/>
                <w:szCs w:val="16"/>
                <w:lang w:val="hu-HU" w:eastAsia="fr-LU" w:bidi="en-US"/>
              </w:rPr>
            </w:pPr>
          </w:p>
        </w:tc>
        <w:tc>
          <w:tcPr>
            <w:tcW w:w="847" w:type="pct"/>
            <w:shd w:val="clear" w:color="auto" w:fill="FFFFFF"/>
            <w:hideMark/>
          </w:tcPr>
          <w:p w14:paraId="14C03497" w14:textId="77777777" w:rsidR="001F1C1E" w:rsidRDefault="001F1C1E">
            <w:pPr>
              <w:rPr>
                <w:rFonts w:eastAsia="Courier New"/>
                <w:b/>
                <w:bCs/>
                <w:color w:val="000000"/>
                <w:sz w:val="16"/>
                <w:szCs w:val="16"/>
                <w:lang w:val="hu-HU" w:bidi="en-US"/>
              </w:rPr>
            </w:pPr>
            <w:r>
              <w:rPr>
                <w:rFonts w:eastAsia="Courier New"/>
                <w:b/>
                <w:bCs/>
                <w:color w:val="000000"/>
                <w:sz w:val="16"/>
                <w:szCs w:val="16"/>
                <w:lang w:val="hu-HU" w:bidi="en-US"/>
              </w:rPr>
              <w:t>0,64 (0,51-0,81)</w:t>
            </w:r>
          </w:p>
        </w:tc>
      </w:tr>
      <w:tr w:rsidR="001F1C1E" w14:paraId="43AEEF40" w14:textId="77777777" w:rsidTr="002A5D2A">
        <w:trPr>
          <w:trHeight w:hRule="exact" w:val="293"/>
        </w:trPr>
        <w:tc>
          <w:tcPr>
            <w:tcW w:w="1031" w:type="pct"/>
            <w:shd w:val="clear" w:color="auto" w:fill="FFFFFF"/>
            <w:vAlign w:val="bottom"/>
            <w:hideMark/>
          </w:tcPr>
          <w:p w14:paraId="345A738A" w14:textId="77777777" w:rsidR="001F1C1E" w:rsidRDefault="001F1C1E">
            <w:pPr>
              <w:rPr>
                <w:rFonts w:eastAsia="Courier New"/>
                <w:b/>
                <w:bCs/>
                <w:color w:val="000000"/>
                <w:sz w:val="16"/>
                <w:szCs w:val="16"/>
                <w:lang w:val="hu-HU" w:bidi="en-US"/>
              </w:rPr>
            </w:pPr>
            <w:r>
              <w:rPr>
                <w:rFonts w:eastAsia="Courier New"/>
                <w:b/>
                <w:bCs/>
                <w:color w:val="000000"/>
                <w:sz w:val="16"/>
                <w:szCs w:val="16"/>
                <w:lang w:bidi="en-US"/>
              </w:rPr>
              <w:t>Alle deltagere</w:t>
            </w:r>
          </w:p>
        </w:tc>
        <w:tc>
          <w:tcPr>
            <w:tcW w:w="915" w:type="pct"/>
            <w:shd w:val="clear" w:color="auto" w:fill="FFFFFF"/>
            <w:vAlign w:val="bottom"/>
            <w:hideMark/>
          </w:tcPr>
          <w:p w14:paraId="0D0F568B" w14:textId="77777777" w:rsidR="001F1C1E" w:rsidRDefault="001F1C1E">
            <w:pPr>
              <w:jc w:val="right"/>
              <w:rPr>
                <w:rFonts w:eastAsia="Courier New"/>
                <w:b/>
                <w:bCs/>
                <w:color w:val="000000"/>
                <w:sz w:val="16"/>
                <w:szCs w:val="16"/>
                <w:lang w:val="hu-HU" w:bidi="en-US"/>
              </w:rPr>
            </w:pPr>
            <w:r>
              <w:rPr>
                <w:rFonts w:eastAsia="Courier New"/>
                <w:b/>
                <w:bCs/>
                <w:color w:val="000000"/>
                <w:sz w:val="16"/>
                <w:szCs w:val="16"/>
                <w:lang w:val="hu-HU" w:bidi="en-US"/>
              </w:rPr>
              <w:t>482/2.104(22,9 %)</w:t>
            </w:r>
          </w:p>
        </w:tc>
        <w:tc>
          <w:tcPr>
            <w:tcW w:w="856" w:type="pct"/>
            <w:shd w:val="clear" w:color="auto" w:fill="FFFFFF"/>
            <w:vAlign w:val="bottom"/>
            <w:hideMark/>
          </w:tcPr>
          <w:p w14:paraId="2077CB12" w14:textId="77777777" w:rsidR="001F1C1E" w:rsidRDefault="001F1C1E">
            <w:pPr>
              <w:jc w:val="right"/>
              <w:rPr>
                <w:rFonts w:eastAsia="Courier New"/>
                <w:b/>
                <w:bCs/>
                <w:color w:val="000000"/>
                <w:sz w:val="16"/>
                <w:szCs w:val="16"/>
                <w:lang w:val="hu-HU" w:bidi="en-US"/>
              </w:rPr>
            </w:pPr>
            <w:r>
              <w:rPr>
                <w:rFonts w:eastAsia="Courier New"/>
                <w:b/>
                <w:bCs/>
                <w:color w:val="000000"/>
                <w:sz w:val="16"/>
                <w:szCs w:val="16"/>
                <w:lang w:val="hu-HU" w:bidi="en-US"/>
              </w:rPr>
              <w:t>1.110/4.321 (25,7 %)</w:t>
            </w:r>
          </w:p>
        </w:tc>
        <w:tc>
          <w:tcPr>
            <w:tcW w:w="0" w:type="auto"/>
            <w:gridSpan w:val="3"/>
            <w:vMerge/>
            <w:tcBorders>
              <w:top w:val="single" w:sz="4" w:space="0" w:color="auto"/>
              <w:left w:val="nil"/>
              <w:bottom w:val="nil"/>
              <w:right w:val="nil"/>
            </w:tcBorders>
            <w:vAlign w:val="center"/>
            <w:hideMark/>
          </w:tcPr>
          <w:p w14:paraId="2EB62A56" w14:textId="77777777" w:rsidR="001F1C1E" w:rsidRDefault="001F1C1E">
            <w:pPr>
              <w:rPr>
                <w:rFonts w:eastAsia="Courier New"/>
                <w:color w:val="000000"/>
                <w:sz w:val="16"/>
                <w:szCs w:val="16"/>
                <w:lang w:val="hu-HU" w:eastAsia="fr-LU" w:bidi="en-US"/>
              </w:rPr>
            </w:pPr>
          </w:p>
        </w:tc>
        <w:tc>
          <w:tcPr>
            <w:tcW w:w="847" w:type="pct"/>
            <w:shd w:val="clear" w:color="auto" w:fill="FFFFFF"/>
            <w:vAlign w:val="bottom"/>
            <w:hideMark/>
          </w:tcPr>
          <w:p w14:paraId="1D82F2F2" w14:textId="77777777" w:rsidR="001F1C1E" w:rsidRDefault="001F1C1E">
            <w:pPr>
              <w:rPr>
                <w:rFonts w:eastAsia="Courier New"/>
                <w:b/>
                <w:bCs/>
                <w:color w:val="000000"/>
                <w:sz w:val="16"/>
                <w:szCs w:val="16"/>
                <w:lang w:val="hu-HU" w:bidi="en-US"/>
              </w:rPr>
            </w:pPr>
            <w:r>
              <w:rPr>
                <w:rFonts w:eastAsia="Courier New"/>
                <w:b/>
                <w:bCs/>
                <w:color w:val="000000"/>
                <w:sz w:val="16"/>
                <w:szCs w:val="16"/>
                <w:lang w:val="hu-HU" w:bidi="en-US"/>
              </w:rPr>
              <w:t>0,83 (0,75-0,93)</w:t>
            </w:r>
          </w:p>
        </w:tc>
      </w:tr>
      <w:tr w:rsidR="001F1C1E" w14:paraId="4785309A" w14:textId="77777777" w:rsidTr="002A5D2A">
        <w:trPr>
          <w:trHeight w:hRule="exact" w:val="270"/>
        </w:trPr>
        <w:tc>
          <w:tcPr>
            <w:tcW w:w="2802" w:type="pct"/>
            <w:gridSpan w:val="3"/>
            <w:vMerge w:val="restart"/>
            <w:shd w:val="clear" w:color="auto" w:fill="FFFFFF"/>
          </w:tcPr>
          <w:p w14:paraId="291D5314" w14:textId="77777777" w:rsidR="001F1C1E" w:rsidRDefault="001F1C1E">
            <w:pPr>
              <w:rPr>
                <w:rFonts w:eastAsia="Courier New"/>
                <w:color w:val="000000"/>
                <w:sz w:val="16"/>
                <w:szCs w:val="16"/>
                <w:lang w:val="hu-HU" w:bidi="en-US"/>
              </w:rPr>
            </w:pPr>
          </w:p>
        </w:tc>
        <w:tc>
          <w:tcPr>
            <w:tcW w:w="0" w:type="auto"/>
            <w:gridSpan w:val="3"/>
            <w:vMerge/>
            <w:tcBorders>
              <w:top w:val="single" w:sz="4" w:space="0" w:color="auto"/>
              <w:left w:val="nil"/>
              <w:bottom w:val="nil"/>
              <w:right w:val="nil"/>
            </w:tcBorders>
            <w:vAlign w:val="center"/>
            <w:hideMark/>
          </w:tcPr>
          <w:p w14:paraId="6508DE29" w14:textId="77777777" w:rsidR="001F1C1E" w:rsidRDefault="001F1C1E">
            <w:pPr>
              <w:rPr>
                <w:rFonts w:eastAsia="Courier New"/>
                <w:color w:val="000000"/>
                <w:sz w:val="16"/>
                <w:szCs w:val="16"/>
                <w:lang w:val="hu-HU" w:eastAsia="fr-LU" w:bidi="en-US"/>
              </w:rPr>
            </w:pPr>
          </w:p>
        </w:tc>
        <w:tc>
          <w:tcPr>
            <w:tcW w:w="847" w:type="pct"/>
            <w:shd w:val="clear" w:color="auto" w:fill="FFFFFF"/>
            <w:hideMark/>
          </w:tcPr>
          <w:p w14:paraId="203FB811" w14:textId="77777777" w:rsidR="001F1C1E" w:rsidRDefault="001F1C1E">
            <w:pPr>
              <w:rPr>
                <w:rFonts w:eastAsia="Courier New"/>
                <w:b/>
                <w:bCs/>
                <w:color w:val="000000"/>
                <w:sz w:val="16"/>
                <w:szCs w:val="16"/>
                <w:lang w:val="hu-HU" w:bidi="en-US"/>
              </w:rPr>
            </w:pPr>
            <w:r>
              <w:rPr>
                <w:rFonts w:eastAsia="Courier New"/>
                <w:b/>
                <w:bCs/>
                <w:color w:val="000000"/>
                <w:sz w:val="16"/>
                <w:szCs w:val="16"/>
                <w:lang w:val="hu-HU" w:bidi="en-US"/>
              </w:rPr>
              <w:t>p&lt;0,001</w:t>
            </w:r>
          </w:p>
        </w:tc>
      </w:tr>
      <w:tr w:rsidR="001F1C1E" w14:paraId="2018F4EA" w14:textId="77777777" w:rsidTr="002A5D2A">
        <w:trPr>
          <w:trHeight w:val="203"/>
        </w:trPr>
        <w:tc>
          <w:tcPr>
            <w:tcW w:w="0" w:type="auto"/>
            <w:gridSpan w:val="3"/>
            <w:vMerge/>
            <w:vAlign w:val="center"/>
            <w:hideMark/>
          </w:tcPr>
          <w:p w14:paraId="5BA66846" w14:textId="77777777" w:rsidR="001F1C1E" w:rsidRDefault="001F1C1E">
            <w:pPr>
              <w:rPr>
                <w:rFonts w:eastAsia="Courier New"/>
                <w:color w:val="000000"/>
                <w:sz w:val="16"/>
                <w:szCs w:val="16"/>
                <w:lang w:val="hu-HU" w:eastAsia="fr-LU" w:bidi="en-US"/>
              </w:rPr>
            </w:pPr>
          </w:p>
        </w:tc>
        <w:tc>
          <w:tcPr>
            <w:tcW w:w="0" w:type="auto"/>
            <w:gridSpan w:val="3"/>
            <w:vMerge/>
            <w:tcBorders>
              <w:top w:val="single" w:sz="4" w:space="0" w:color="auto"/>
              <w:left w:val="nil"/>
              <w:bottom w:val="nil"/>
              <w:right w:val="nil"/>
            </w:tcBorders>
            <w:vAlign w:val="center"/>
            <w:hideMark/>
          </w:tcPr>
          <w:p w14:paraId="19FB2797" w14:textId="77777777" w:rsidR="001F1C1E" w:rsidRDefault="001F1C1E">
            <w:pPr>
              <w:rPr>
                <w:rFonts w:eastAsia="Courier New"/>
                <w:color w:val="000000"/>
                <w:sz w:val="16"/>
                <w:szCs w:val="16"/>
                <w:lang w:val="hu-HU" w:eastAsia="fr-LU" w:bidi="en-US"/>
              </w:rPr>
            </w:pPr>
          </w:p>
        </w:tc>
        <w:tc>
          <w:tcPr>
            <w:tcW w:w="847" w:type="pct"/>
            <w:shd w:val="clear" w:color="auto" w:fill="FFFFFF"/>
          </w:tcPr>
          <w:p w14:paraId="532A7D62" w14:textId="77777777" w:rsidR="001F1C1E" w:rsidRDefault="001F1C1E">
            <w:pPr>
              <w:rPr>
                <w:rFonts w:eastAsia="Courier New"/>
                <w:color w:val="000000"/>
                <w:sz w:val="16"/>
                <w:szCs w:val="16"/>
                <w:lang w:val="hu-HU" w:bidi="en-US"/>
              </w:rPr>
            </w:pPr>
          </w:p>
        </w:tc>
      </w:tr>
      <w:tr w:rsidR="001F1C1E" w14:paraId="3C9F1157" w14:textId="77777777" w:rsidTr="002A5D2A">
        <w:trPr>
          <w:trHeight w:hRule="exact" w:val="538"/>
        </w:trPr>
        <w:tc>
          <w:tcPr>
            <w:tcW w:w="0" w:type="auto"/>
            <w:gridSpan w:val="3"/>
            <w:vMerge/>
            <w:vAlign w:val="center"/>
            <w:hideMark/>
          </w:tcPr>
          <w:p w14:paraId="78788674" w14:textId="77777777" w:rsidR="001F1C1E" w:rsidRDefault="001F1C1E">
            <w:pPr>
              <w:rPr>
                <w:rFonts w:eastAsia="Courier New"/>
                <w:color w:val="000000"/>
                <w:sz w:val="16"/>
                <w:szCs w:val="16"/>
                <w:lang w:val="hu-HU" w:eastAsia="fr-LU" w:bidi="en-US"/>
              </w:rPr>
            </w:pPr>
          </w:p>
        </w:tc>
        <w:tc>
          <w:tcPr>
            <w:tcW w:w="720" w:type="pct"/>
            <w:shd w:val="clear" w:color="auto" w:fill="FFFFFF"/>
            <w:vAlign w:val="bottom"/>
            <w:hideMark/>
          </w:tcPr>
          <w:p w14:paraId="42CAFAFD" w14:textId="77777777" w:rsidR="001F1C1E" w:rsidRDefault="001F1C1E">
            <w:pPr>
              <w:jc w:val="center"/>
              <w:rPr>
                <w:sz w:val="16"/>
                <w:szCs w:val="16"/>
                <w:lang w:val="fr-LU" w:eastAsia="en-GB" w:bidi="en-GB"/>
              </w:rPr>
            </w:pPr>
            <w:r>
              <w:rPr>
                <w:sz w:val="16"/>
                <w:szCs w:val="16"/>
              </w:rPr>
              <w:t>Dexamethason</w:t>
            </w:r>
          </w:p>
          <w:p w14:paraId="000B96A7" w14:textId="77777777" w:rsidR="001F1C1E" w:rsidRDefault="001F1C1E">
            <w:pPr>
              <w:jc w:val="center"/>
              <w:rPr>
                <w:rFonts w:eastAsia="Courier New"/>
                <w:color w:val="000000"/>
                <w:sz w:val="16"/>
                <w:szCs w:val="16"/>
                <w:lang w:val="hu-HU" w:eastAsia="fr-LU" w:bidi="en-US"/>
              </w:rPr>
            </w:pPr>
            <w:r>
              <w:rPr>
                <w:sz w:val="16"/>
                <w:szCs w:val="16"/>
              </w:rPr>
              <w:t>bedre</w:t>
            </w:r>
          </w:p>
        </w:tc>
        <w:tc>
          <w:tcPr>
            <w:tcW w:w="623" w:type="pct"/>
            <w:shd w:val="clear" w:color="auto" w:fill="FFFFFF"/>
            <w:vAlign w:val="bottom"/>
            <w:hideMark/>
          </w:tcPr>
          <w:p w14:paraId="579F36DE" w14:textId="77777777" w:rsidR="001F1C1E" w:rsidRDefault="001F1C1E">
            <w:pPr>
              <w:jc w:val="center"/>
              <w:rPr>
                <w:sz w:val="16"/>
                <w:szCs w:val="16"/>
                <w:lang w:val="fr-LU" w:eastAsia="en-GB" w:bidi="en-GB"/>
              </w:rPr>
            </w:pPr>
            <w:r>
              <w:rPr>
                <w:sz w:val="16"/>
                <w:szCs w:val="16"/>
              </w:rPr>
              <w:t>Sædvanlig pleje</w:t>
            </w:r>
          </w:p>
          <w:p w14:paraId="1208D751" w14:textId="77777777" w:rsidR="001F1C1E" w:rsidRDefault="001F1C1E">
            <w:pPr>
              <w:jc w:val="center"/>
              <w:rPr>
                <w:rFonts w:eastAsia="Courier New"/>
                <w:color w:val="000000"/>
                <w:sz w:val="16"/>
                <w:szCs w:val="16"/>
                <w:lang w:val="hu-HU" w:eastAsia="fr-LU" w:bidi="en-US"/>
              </w:rPr>
            </w:pPr>
            <w:r>
              <w:rPr>
                <w:sz w:val="16"/>
                <w:szCs w:val="16"/>
              </w:rPr>
              <w:t>bedre</w:t>
            </w:r>
          </w:p>
        </w:tc>
        <w:tc>
          <w:tcPr>
            <w:tcW w:w="855" w:type="pct"/>
            <w:gridSpan w:val="2"/>
            <w:shd w:val="clear" w:color="auto" w:fill="FFFFFF"/>
            <w:vAlign w:val="bottom"/>
          </w:tcPr>
          <w:p w14:paraId="7838F86B" w14:textId="77777777" w:rsidR="001F1C1E" w:rsidRDefault="001F1C1E">
            <w:pPr>
              <w:rPr>
                <w:rFonts w:eastAsia="Courier New"/>
                <w:color w:val="000000"/>
                <w:sz w:val="16"/>
                <w:szCs w:val="16"/>
                <w:lang w:val="hu-HU" w:bidi="en-US"/>
              </w:rPr>
            </w:pPr>
          </w:p>
        </w:tc>
      </w:tr>
    </w:tbl>
    <w:p w14:paraId="009D8EA1" w14:textId="77777777" w:rsidR="001F1C1E" w:rsidRPr="00105E50" w:rsidRDefault="001F1C1E" w:rsidP="002A5D2A">
      <w:pPr>
        <w:ind w:left="567"/>
        <w:rPr>
          <w:rFonts w:eastAsia="TimesNewRoman"/>
          <w:sz w:val="20"/>
          <w:lang w:val="en-GB"/>
        </w:rPr>
      </w:pPr>
      <w:r w:rsidRPr="00105E50">
        <w:rPr>
          <w:rFonts w:eastAsia="TimesNewRoman"/>
          <w:sz w:val="20"/>
          <w:vertAlign w:val="superscript"/>
          <w:lang w:val="en-GB"/>
        </w:rPr>
        <w:t>1</w:t>
      </w:r>
      <w:r w:rsidRPr="00105E50">
        <w:rPr>
          <w:rFonts w:eastAsia="TimesNewRoman"/>
          <w:sz w:val="20"/>
          <w:lang w:val="en-GB"/>
        </w:rPr>
        <w:t xml:space="preserve"> www.recoverytrial.net</w:t>
      </w:r>
    </w:p>
    <w:p w14:paraId="37755848" w14:textId="77777777" w:rsidR="001F1C1E" w:rsidRPr="00105E50" w:rsidRDefault="001F1C1E" w:rsidP="002A5D2A">
      <w:pPr>
        <w:ind w:left="567"/>
        <w:rPr>
          <w:rFonts w:eastAsia="TimesNewRoman"/>
          <w:sz w:val="20"/>
        </w:rPr>
      </w:pPr>
      <w:r w:rsidRPr="00105E50">
        <w:rPr>
          <w:rFonts w:eastAsia="TimesNewRoman"/>
          <w:sz w:val="20"/>
          <w:vertAlign w:val="superscript"/>
        </w:rPr>
        <w:t>2, 3</w:t>
      </w:r>
      <w:r w:rsidRPr="00105E50">
        <w:rPr>
          <w:rFonts w:eastAsia="TimesNewRoman"/>
          <w:sz w:val="20"/>
        </w:rPr>
        <w:t xml:space="preserve"> (kilde: Horby P. et al., 2020; https://www.medrxiv.org/content/10.1101/2020.06.22.20137273v1 ; doi: https://doi.org/10.1101/2020.06.22.20137273)</w:t>
      </w:r>
    </w:p>
    <w:p w14:paraId="53187AE3" w14:textId="77777777" w:rsidR="009260DE" w:rsidRPr="00105E50" w:rsidRDefault="009260DE" w:rsidP="009260DE">
      <w:pPr>
        <w:tabs>
          <w:tab w:val="left" w:pos="851"/>
        </w:tabs>
        <w:ind w:left="851"/>
        <w:rPr>
          <w:sz w:val="24"/>
          <w:szCs w:val="24"/>
        </w:rPr>
      </w:pPr>
    </w:p>
    <w:p w14:paraId="6D2F383E"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290E9E36" w14:textId="77777777" w:rsidR="00F30B9D" w:rsidRPr="00F30B9D" w:rsidRDefault="00F30B9D" w:rsidP="00F30B9D">
      <w:pPr>
        <w:tabs>
          <w:tab w:val="left" w:pos="851"/>
        </w:tabs>
        <w:ind w:left="851"/>
        <w:rPr>
          <w:sz w:val="24"/>
          <w:szCs w:val="24"/>
        </w:rPr>
      </w:pPr>
      <w:r w:rsidRPr="00F30B9D">
        <w:rPr>
          <w:sz w:val="24"/>
          <w:szCs w:val="24"/>
        </w:rPr>
        <w:t xml:space="preserve">Dexamethason absorberes hurtigt og næsten fuldstændigt i mave og tyndtarm efter oral administration. Biotilgængeligheden efter oral administration er 80 % til 90 %. Den maksimale plasmakoncentration nås 1-2 timer efter administration. Dexamethason binder til plasmaalbumin på en dosisafhængig måde. </w:t>
      </w:r>
    </w:p>
    <w:p w14:paraId="30D852AA" w14:textId="77777777" w:rsidR="00F30B9D" w:rsidRPr="00F30B9D" w:rsidRDefault="00F30B9D" w:rsidP="00F30B9D">
      <w:pPr>
        <w:tabs>
          <w:tab w:val="left" w:pos="851"/>
        </w:tabs>
        <w:ind w:left="851"/>
        <w:rPr>
          <w:sz w:val="24"/>
          <w:szCs w:val="24"/>
        </w:rPr>
      </w:pPr>
    </w:p>
    <w:p w14:paraId="75E808F3" w14:textId="77777777" w:rsidR="00F30B9D" w:rsidRPr="00F30B9D" w:rsidRDefault="00F30B9D" w:rsidP="00F30B9D">
      <w:pPr>
        <w:tabs>
          <w:tab w:val="left" w:pos="851"/>
        </w:tabs>
        <w:ind w:left="851"/>
        <w:rPr>
          <w:sz w:val="24"/>
          <w:szCs w:val="24"/>
        </w:rPr>
      </w:pPr>
      <w:r w:rsidRPr="00F30B9D">
        <w:rPr>
          <w:sz w:val="24"/>
          <w:szCs w:val="24"/>
        </w:rPr>
        <w:t>Ved meget høje doser cirkulerer størstedelen frit i blodet. I tilfælde af hypoalbuminæmi stiger andelen af det ubundne (aktive) kortikosteroid.</w:t>
      </w:r>
    </w:p>
    <w:p w14:paraId="61AC5BE2" w14:textId="77777777" w:rsidR="00F30B9D" w:rsidRPr="00F30B9D" w:rsidRDefault="00F30B9D" w:rsidP="00F30B9D">
      <w:pPr>
        <w:tabs>
          <w:tab w:val="left" w:pos="851"/>
        </w:tabs>
        <w:ind w:left="851"/>
        <w:rPr>
          <w:sz w:val="24"/>
          <w:szCs w:val="24"/>
        </w:rPr>
      </w:pPr>
    </w:p>
    <w:p w14:paraId="2C4DCA3D" w14:textId="77777777" w:rsidR="00F30B9D" w:rsidRPr="00F30B9D" w:rsidRDefault="00F30B9D" w:rsidP="00F30B9D">
      <w:pPr>
        <w:tabs>
          <w:tab w:val="left" w:pos="851"/>
        </w:tabs>
        <w:ind w:left="851"/>
        <w:rPr>
          <w:sz w:val="24"/>
          <w:szCs w:val="24"/>
        </w:rPr>
      </w:pPr>
      <w:r w:rsidRPr="00F30B9D">
        <w:rPr>
          <w:sz w:val="24"/>
          <w:szCs w:val="24"/>
        </w:rPr>
        <w:t>Den gennemsnitlige eliminationshalveringstid af dexamethason i serum hos voksne er cirka 250 minutter (+80 minutter). På grund af sin lange biologiske halveringstid på over 36 timer kan dexamethason føre til akkumulering og overdosering, hvis det administreres kontinuerligt hver dag.</w:t>
      </w:r>
    </w:p>
    <w:p w14:paraId="3F545788" w14:textId="77777777" w:rsidR="00F30B9D" w:rsidRPr="00F30B9D" w:rsidRDefault="00F30B9D" w:rsidP="00F30B9D">
      <w:pPr>
        <w:tabs>
          <w:tab w:val="left" w:pos="851"/>
        </w:tabs>
        <w:ind w:left="851"/>
        <w:rPr>
          <w:sz w:val="24"/>
          <w:szCs w:val="24"/>
        </w:rPr>
      </w:pPr>
    </w:p>
    <w:p w14:paraId="21AEE04A" w14:textId="77777777" w:rsidR="00F30B9D" w:rsidRPr="00F30B9D" w:rsidRDefault="00F30B9D" w:rsidP="00F30B9D">
      <w:pPr>
        <w:tabs>
          <w:tab w:val="left" w:pos="851"/>
        </w:tabs>
        <w:ind w:left="851"/>
        <w:rPr>
          <w:sz w:val="24"/>
          <w:szCs w:val="24"/>
        </w:rPr>
      </w:pPr>
      <w:r w:rsidRPr="00F30B9D">
        <w:rPr>
          <w:sz w:val="24"/>
          <w:szCs w:val="24"/>
        </w:rPr>
        <w:t>Det udskilles hovedsageligt via nyrerne i form af frit alkohol fra dexamethason. Det metaboliseres delvist og ligesom glucoronater eller sulfat udskilles metabolitterne også primært via nyrerne. Nedsat nyrefunktion påvirker ikke i væsentlig grad eliminationen af dexamethason. Eliminationshalveringstiden er forlænget ved alvorlig leversygdom.</w:t>
      </w:r>
    </w:p>
    <w:p w14:paraId="4CDF2F3A" w14:textId="77777777" w:rsidR="00F30B9D" w:rsidRPr="00F30B9D" w:rsidRDefault="00F30B9D" w:rsidP="00F30B9D">
      <w:pPr>
        <w:tabs>
          <w:tab w:val="left" w:pos="851"/>
        </w:tabs>
        <w:ind w:left="851"/>
        <w:rPr>
          <w:sz w:val="24"/>
          <w:szCs w:val="24"/>
        </w:rPr>
      </w:pPr>
    </w:p>
    <w:p w14:paraId="2BB9529E"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0CA429F" w14:textId="77777777" w:rsidR="006B23FB" w:rsidRPr="006B23FB" w:rsidRDefault="006B23FB" w:rsidP="006B23FB">
      <w:pPr>
        <w:tabs>
          <w:tab w:val="left" w:pos="851"/>
        </w:tabs>
        <w:ind w:left="851"/>
        <w:rPr>
          <w:sz w:val="24"/>
          <w:szCs w:val="24"/>
        </w:rPr>
      </w:pPr>
    </w:p>
    <w:p w14:paraId="0E9A4C69" w14:textId="0980E92A" w:rsidR="006B23FB" w:rsidRPr="006B23FB" w:rsidRDefault="006B23FB" w:rsidP="006B23FB">
      <w:pPr>
        <w:tabs>
          <w:tab w:val="left" w:pos="851"/>
        </w:tabs>
        <w:ind w:left="851"/>
        <w:rPr>
          <w:iCs/>
          <w:sz w:val="24"/>
          <w:szCs w:val="24"/>
          <w:u w:val="single"/>
        </w:rPr>
      </w:pPr>
      <w:r w:rsidRPr="006B23FB">
        <w:rPr>
          <w:iCs/>
          <w:sz w:val="24"/>
          <w:szCs w:val="24"/>
          <w:u w:val="single"/>
        </w:rPr>
        <w:t>Akut toksicitet</w:t>
      </w:r>
    </w:p>
    <w:p w14:paraId="50721CEE" w14:textId="77777777" w:rsidR="006B23FB" w:rsidRPr="006B23FB" w:rsidRDefault="006B23FB" w:rsidP="006B23FB">
      <w:pPr>
        <w:tabs>
          <w:tab w:val="left" w:pos="851"/>
        </w:tabs>
        <w:ind w:left="851"/>
        <w:rPr>
          <w:sz w:val="24"/>
          <w:szCs w:val="24"/>
        </w:rPr>
      </w:pPr>
      <w:r w:rsidRPr="006B23FB">
        <w:rPr>
          <w:sz w:val="24"/>
          <w:szCs w:val="24"/>
        </w:rPr>
        <w:t xml:space="preserve">LD50 for dexamethason efter en enkelt oral dosis inden for de første 7 dage i mus er 16 g/kg legemsvægt og i rotter mere end 3 g/kg legemsvægt. Efter en enkelt subkutan dosis er LD50 i mus mere end 700 mg/kg legemsvægt, og i rotter ca. 120 mg/kg legemsvægt inden for de første 7 dage. Observeret over en periode på 21 dage falder disse værdier, hvilket </w:t>
      </w:r>
      <w:r w:rsidRPr="006B23FB">
        <w:rPr>
          <w:sz w:val="24"/>
          <w:szCs w:val="24"/>
        </w:rPr>
        <w:lastRenderedPageBreak/>
        <w:t>fortolkes som en konsekvens af alvorlige infektionsfrigivne sygdomme forårsaget af hormoninduceret immunsuppression.</w:t>
      </w:r>
    </w:p>
    <w:p w14:paraId="44CCA68F" w14:textId="77777777" w:rsidR="006B23FB" w:rsidRPr="006B23FB" w:rsidRDefault="006B23FB" w:rsidP="006B23FB">
      <w:pPr>
        <w:tabs>
          <w:tab w:val="left" w:pos="851"/>
        </w:tabs>
        <w:ind w:left="851"/>
        <w:rPr>
          <w:sz w:val="24"/>
          <w:szCs w:val="24"/>
        </w:rPr>
      </w:pPr>
    </w:p>
    <w:p w14:paraId="03650C8C" w14:textId="3CC58C0C" w:rsidR="006B23FB" w:rsidRPr="006B23FB" w:rsidRDefault="006B23FB" w:rsidP="006B23FB">
      <w:pPr>
        <w:tabs>
          <w:tab w:val="left" w:pos="851"/>
        </w:tabs>
        <w:ind w:left="851"/>
        <w:rPr>
          <w:i/>
          <w:iCs/>
          <w:sz w:val="24"/>
          <w:szCs w:val="24"/>
        </w:rPr>
      </w:pPr>
      <w:r w:rsidRPr="006B23FB">
        <w:rPr>
          <w:iCs/>
          <w:sz w:val="24"/>
          <w:szCs w:val="24"/>
          <w:u w:val="single"/>
        </w:rPr>
        <w:t>Kronisk toksicitet</w:t>
      </w:r>
    </w:p>
    <w:p w14:paraId="569F1AD1" w14:textId="77777777" w:rsidR="006B23FB" w:rsidRPr="006B23FB" w:rsidRDefault="006B23FB" w:rsidP="006B23FB">
      <w:pPr>
        <w:tabs>
          <w:tab w:val="left" w:pos="851"/>
        </w:tabs>
        <w:ind w:left="851"/>
        <w:rPr>
          <w:sz w:val="24"/>
          <w:szCs w:val="24"/>
        </w:rPr>
      </w:pPr>
      <w:r w:rsidRPr="006B23FB">
        <w:rPr>
          <w:sz w:val="24"/>
          <w:szCs w:val="24"/>
        </w:rPr>
        <w:t>Der er ingen oplysninger om kronisk toksicitet hos mennesker eller dyr. Kortikoid-inducerede manifestationer af forgiftning er aldrig blevet rapporteret. I tilfælde af relativt langvarig behandling med doser over 1,5 mg/dag må der forventes markante bivirkninger (se pkt. 4.8).</w:t>
      </w:r>
    </w:p>
    <w:p w14:paraId="30D4BA77" w14:textId="77777777" w:rsidR="006B23FB" w:rsidRPr="006B23FB" w:rsidRDefault="006B23FB" w:rsidP="006B23FB">
      <w:pPr>
        <w:tabs>
          <w:tab w:val="left" w:pos="851"/>
        </w:tabs>
        <w:ind w:left="851"/>
        <w:rPr>
          <w:sz w:val="24"/>
          <w:szCs w:val="24"/>
        </w:rPr>
      </w:pPr>
    </w:p>
    <w:p w14:paraId="29D28BE4" w14:textId="1D11EC44" w:rsidR="006B23FB" w:rsidRPr="006B23FB" w:rsidRDefault="006B23FB" w:rsidP="006B23FB">
      <w:pPr>
        <w:tabs>
          <w:tab w:val="left" w:pos="851"/>
        </w:tabs>
        <w:ind w:left="851"/>
        <w:rPr>
          <w:i/>
          <w:iCs/>
          <w:sz w:val="24"/>
          <w:szCs w:val="24"/>
          <w:u w:val="single"/>
        </w:rPr>
      </w:pPr>
      <w:r w:rsidRPr="006B23FB">
        <w:rPr>
          <w:iCs/>
          <w:sz w:val="24"/>
          <w:szCs w:val="24"/>
          <w:u w:val="single"/>
        </w:rPr>
        <w:t>Mutagene og kræftfremkaldende potentialer</w:t>
      </w:r>
    </w:p>
    <w:p w14:paraId="0D4D6E17" w14:textId="77777777" w:rsidR="006B23FB" w:rsidRPr="006B23FB" w:rsidRDefault="006B23FB" w:rsidP="006B23FB">
      <w:pPr>
        <w:tabs>
          <w:tab w:val="left" w:pos="851"/>
        </w:tabs>
        <w:ind w:left="851"/>
        <w:rPr>
          <w:sz w:val="24"/>
          <w:szCs w:val="24"/>
        </w:rPr>
      </w:pPr>
      <w:r w:rsidRPr="006B23FB">
        <w:rPr>
          <w:sz w:val="24"/>
          <w:szCs w:val="24"/>
        </w:rPr>
        <w:t>Tilgængelige data for glukokortikoider afslører intet bevis for klinisk relevante genotoksiske egenskaber.</w:t>
      </w:r>
    </w:p>
    <w:p w14:paraId="6E852E09" w14:textId="77777777" w:rsidR="006B23FB" w:rsidRPr="006B23FB" w:rsidRDefault="006B23FB" w:rsidP="006B23FB">
      <w:pPr>
        <w:tabs>
          <w:tab w:val="left" w:pos="851"/>
        </w:tabs>
        <w:ind w:left="851"/>
        <w:rPr>
          <w:sz w:val="24"/>
          <w:szCs w:val="24"/>
        </w:rPr>
      </w:pPr>
    </w:p>
    <w:p w14:paraId="7BA52B9D" w14:textId="7C42AE18" w:rsidR="006B23FB" w:rsidRPr="006B23FB" w:rsidRDefault="006B23FB" w:rsidP="006B23FB">
      <w:pPr>
        <w:tabs>
          <w:tab w:val="left" w:pos="851"/>
        </w:tabs>
        <w:ind w:left="851"/>
        <w:rPr>
          <w:i/>
          <w:iCs/>
          <w:sz w:val="24"/>
          <w:szCs w:val="24"/>
        </w:rPr>
      </w:pPr>
      <w:r w:rsidRPr="006B23FB">
        <w:rPr>
          <w:iCs/>
          <w:sz w:val="24"/>
          <w:szCs w:val="24"/>
          <w:u w:val="single"/>
        </w:rPr>
        <w:t>Reproduktionstoksicitet</w:t>
      </w:r>
    </w:p>
    <w:p w14:paraId="0A872FE8" w14:textId="77777777" w:rsidR="006B23FB" w:rsidRPr="006B23FB" w:rsidRDefault="006B23FB" w:rsidP="006B23FB">
      <w:pPr>
        <w:tabs>
          <w:tab w:val="left" w:pos="851"/>
        </w:tabs>
        <w:ind w:left="851"/>
        <w:rPr>
          <w:sz w:val="24"/>
          <w:szCs w:val="24"/>
        </w:rPr>
      </w:pPr>
      <w:r w:rsidRPr="006B23FB">
        <w:rPr>
          <w:sz w:val="24"/>
          <w:szCs w:val="24"/>
        </w:rPr>
        <w:t>I dyreforsøg blev ganespalte observeret hos rotter, mus, hamstere, kaniner, hunde og primater; ikke hos heste og får. I nogle tilfælde var disse afvigelser kombineret med defekter i centralnervesystemet og hjertet. Hos primater blev der observeret hjernepåvirkning efter eksponering. Desuden kan intrauterin vækst blive forsinket. Alle disse virkninger er observeret ved høje doser.</w:t>
      </w:r>
    </w:p>
    <w:p w14:paraId="36E0A94D" w14:textId="77777777" w:rsidR="009260DE" w:rsidRPr="00C84483" w:rsidRDefault="009260DE" w:rsidP="009260DE">
      <w:pPr>
        <w:tabs>
          <w:tab w:val="left" w:pos="851"/>
        </w:tabs>
        <w:ind w:left="851"/>
        <w:rPr>
          <w:sz w:val="24"/>
          <w:szCs w:val="24"/>
        </w:rPr>
      </w:pPr>
    </w:p>
    <w:p w14:paraId="63CBB03C" w14:textId="77777777" w:rsidR="009260DE" w:rsidRPr="00C84483" w:rsidRDefault="009260DE" w:rsidP="009260DE">
      <w:pPr>
        <w:tabs>
          <w:tab w:val="left" w:pos="851"/>
        </w:tabs>
        <w:ind w:left="851"/>
        <w:rPr>
          <w:sz w:val="24"/>
          <w:szCs w:val="24"/>
        </w:rPr>
      </w:pPr>
    </w:p>
    <w:p w14:paraId="1834CFA8"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D0F1C0D" w14:textId="77777777" w:rsidR="009260DE" w:rsidRPr="00BA09F1" w:rsidRDefault="009260DE" w:rsidP="009260DE">
      <w:pPr>
        <w:tabs>
          <w:tab w:val="left" w:pos="851"/>
        </w:tabs>
        <w:ind w:left="851"/>
        <w:rPr>
          <w:sz w:val="24"/>
          <w:szCs w:val="24"/>
        </w:rPr>
      </w:pPr>
    </w:p>
    <w:p w14:paraId="07B3E529"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2C1299D" w14:textId="77777777" w:rsidR="00C457F1" w:rsidRPr="00C457F1" w:rsidRDefault="00C457F1" w:rsidP="00C457F1">
      <w:pPr>
        <w:tabs>
          <w:tab w:val="left" w:pos="851"/>
        </w:tabs>
        <w:ind w:left="851"/>
        <w:rPr>
          <w:sz w:val="24"/>
          <w:szCs w:val="24"/>
        </w:rPr>
      </w:pPr>
      <w:r w:rsidRPr="00C457F1">
        <w:rPr>
          <w:sz w:val="24"/>
          <w:szCs w:val="24"/>
        </w:rPr>
        <w:t>Lactosemonohydrat</w:t>
      </w:r>
    </w:p>
    <w:p w14:paraId="67664007" w14:textId="77777777" w:rsidR="00C457F1" w:rsidRPr="00C457F1" w:rsidRDefault="00C457F1" w:rsidP="00C457F1">
      <w:pPr>
        <w:tabs>
          <w:tab w:val="left" w:pos="851"/>
        </w:tabs>
        <w:ind w:left="851"/>
        <w:rPr>
          <w:sz w:val="24"/>
          <w:szCs w:val="24"/>
        </w:rPr>
      </w:pPr>
      <w:r w:rsidRPr="00C457F1">
        <w:rPr>
          <w:sz w:val="24"/>
          <w:szCs w:val="24"/>
        </w:rPr>
        <w:t>Natriumstivelsesglykolat (type A)</w:t>
      </w:r>
    </w:p>
    <w:p w14:paraId="58B33E22" w14:textId="77777777" w:rsidR="00C457F1" w:rsidRPr="00C457F1" w:rsidRDefault="00C457F1" w:rsidP="00C457F1">
      <w:pPr>
        <w:tabs>
          <w:tab w:val="left" w:pos="851"/>
        </w:tabs>
        <w:ind w:left="851"/>
        <w:rPr>
          <w:sz w:val="24"/>
          <w:szCs w:val="24"/>
        </w:rPr>
      </w:pPr>
      <w:r w:rsidRPr="00C457F1">
        <w:rPr>
          <w:sz w:val="24"/>
          <w:szCs w:val="24"/>
        </w:rPr>
        <w:t>Magnesiumstearat (E572)</w:t>
      </w:r>
    </w:p>
    <w:p w14:paraId="6F638646" w14:textId="77777777" w:rsidR="00C457F1" w:rsidRPr="00C457F1" w:rsidRDefault="00C457F1" w:rsidP="00C457F1">
      <w:pPr>
        <w:tabs>
          <w:tab w:val="left" w:pos="851"/>
        </w:tabs>
        <w:ind w:left="851"/>
        <w:rPr>
          <w:sz w:val="24"/>
          <w:szCs w:val="24"/>
        </w:rPr>
      </w:pPr>
      <w:r w:rsidRPr="00C457F1">
        <w:rPr>
          <w:sz w:val="24"/>
          <w:szCs w:val="24"/>
        </w:rPr>
        <w:t>Kolloid vandfri silica (E551)</w:t>
      </w:r>
    </w:p>
    <w:p w14:paraId="72D7E440" w14:textId="77777777" w:rsidR="009260DE" w:rsidRPr="00C84483" w:rsidRDefault="009260DE" w:rsidP="009260DE">
      <w:pPr>
        <w:tabs>
          <w:tab w:val="left" w:pos="851"/>
        </w:tabs>
        <w:ind w:left="851"/>
        <w:rPr>
          <w:sz w:val="24"/>
          <w:szCs w:val="24"/>
        </w:rPr>
      </w:pPr>
    </w:p>
    <w:p w14:paraId="5F5C71E5"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788A47C3" w14:textId="43E8034E" w:rsidR="009260DE" w:rsidRPr="00C84483" w:rsidRDefault="00C457F1" w:rsidP="009260DE">
      <w:pPr>
        <w:tabs>
          <w:tab w:val="left" w:pos="851"/>
        </w:tabs>
        <w:ind w:left="851"/>
        <w:rPr>
          <w:sz w:val="24"/>
          <w:szCs w:val="24"/>
        </w:rPr>
      </w:pPr>
      <w:r>
        <w:rPr>
          <w:sz w:val="24"/>
          <w:szCs w:val="24"/>
        </w:rPr>
        <w:t>Ikke relevant.</w:t>
      </w:r>
    </w:p>
    <w:p w14:paraId="6BF0016B" w14:textId="77777777" w:rsidR="009260DE" w:rsidRPr="00C84483" w:rsidRDefault="009260DE" w:rsidP="009260DE">
      <w:pPr>
        <w:tabs>
          <w:tab w:val="left" w:pos="851"/>
        </w:tabs>
        <w:ind w:left="851"/>
        <w:rPr>
          <w:sz w:val="24"/>
          <w:szCs w:val="24"/>
        </w:rPr>
      </w:pPr>
    </w:p>
    <w:p w14:paraId="71735031"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E618898" w14:textId="5160698F" w:rsidR="00357829" w:rsidRPr="00357829" w:rsidRDefault="00357829" w:rsidP="00357829">
      <w:pPr>
        <w:tabs>
          <w:tab w:val="left" w:pos="851"/>
        </w:tabs>
        <w:ind w:left="851"/>
        <w:rPr>
          <w:sz w:val="24"/>
          <w:szCs w:val="24"/>
          <w:lang w:val="sv-SE"/>
        </w:rPr>
      </w:pPr>
      <w:r w:rsidRPr="009506C6">
        <w:rPr>
          <w:sz w:val="24"/>
          <w:szCs w:val="24"/>
        </w:rPr>
        <w:t xml:space="preserve">0,5 mg: </w:t>
      </w:r>
      <w:r w:rsidRPr="00357829">
        <w:rPr>
          <w:sz w:val="24"/>
          <w:szCs w:val="24"/>
          <w:lang w:val="sv-SE"/>
        </w:rPr>
        <w:t>2 år</w:t>
      </w:r>
      <w:r>
        <w:rPr>
          <w:sz w:val="24"/>
          <w:szCs w:val="24"/>
          <w:lang w:val="sv-SE"/>
        </w:rPr>
        <w:t>.</w:t>
      </w:r>
    </w:p>
    <w:p w14:paraId="1218907D" w14:textId="5DC422D6" w:rsidR="00357829" w:rsidRPr="00357829" w:rsidRDefault="00357829" w:rsidP="00357829">
      <w:pPr>
        <w:tabs>
          <w:tab w:val="left" w:pos="851"/>
        </w:tabs>
        <w:ind w:left="851"/>
        <w:rPr>
          <w:sz w:val="24"/>
          <w:szCs w:val="24"/>
        </w:rPr>
      </w:pPr>
      <w:r w:rsidRPr="00357829">
        <w:rPr>
          <w:sz w:val="24"/>
          <w:szCs w:val="24"/>
          <w:lang w:val="sv-SE"/>
        </w:rPr>
        <w:t>1 mg</w:t>
      </w:r>
      <w:r>
        <w:rPr>
          <w:sz w:val="24"/>
          <w:szCs w:val="24"/>
          <w:lang w:val="sv-SE"/>
        </w:rPr>
        <w:t xml:space="preserve"> og</w:t>
      </w:r>
      <w:r w:rsidRPr="00357829">
        <w:rPr>
          <w:sz w:val="24"/>
          <w:szCs w:val="24"/>
          <w:lang w:val="sv-SE"/>
        </w:rPr>
        <w:t xml:space="preserve"> 4 mg:</w:t>
      </w:r>
      <w:r>
        <w:rPr>
          <w:sz w:val="24"/>
          <w:szCs w:val="24"/>
          <w:lang w:val="sv-SE"/>
        </w:rPr>
        <w:t xml:space="preserve"> </w:t>
      </w:r>
      <w:r w:rsidRPr="00357829">
        <w:rPr>
          <w:sz w:val="24"/>
          <w:szCs w:val="24"/>
        </w:rPr>
        <w:t>3 år</w:t>
      </w:r>
      <w:r>
        <w:rPr>
          <w:sz w:val="24"/>
          <w:szCs w:val="24"/>
        </w:rPr>
        <w:t>.</w:t>
      </w:r>
    </w:p>
    <w:p w14:paraId="5AAAD0AA" w14:textId="77777777" w:rsidR="009260DE" w:rsidRPr="00C84483" w:rsidRDefault="009260DE" w:rsidP="009260DE">
      <w:pPr>
        <w:tabs>
          <w:tab w:val="left" w:pos="851"/>
        </w:tabs>
        <w:ind w:left="851"/>
        <w:rPr>
          <w:sz w:val="24"/>
          <w:szCs w:val="24"/>
        </w:rPr>
      </w:pPr>
    </w:p>
    <w:p w14:paraId="6613E099"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1B58DAF" w14:textId="77777777" w:rsidR="009506C6" w:rsidRDefault="009506C6" w:rsidP="009506C6">
      <w:pPr>
        <w:tabs>
          <w:tab w:val="left" w:pos="851"/>
        </w:tabs>
        <w:ind w:left="851"/>
        <w:rPr>
          <w:sz w:val="24"/>
          <w:szCs w:val="24"/>
        </w:rPr>
      </w:pPr>
      <w:r w:rsidRPr="009506C6">
        <w:rPr>
          <w:sz w:val="24"/>
          <w:szCs w:val="24"/>
        </w:rPr>
        <w:t>Opbevares under 25 ºC.</w:t>
      </w:r>
    </w:p>
    <w:p w14:paraId="7738A206" w14:textId="77777777" w:rsidR="009506C6" w:rsidRDefault="009506C6" w:rsidP="009506C6">
      <w:pPr>
        <w:tabs>
          <w:tab w:val="left" w:pos="851"/>
        </w:tabs>
        <w:ind w:left="851"/>
        <w:rPr>
          <w:sz w:val="24"/>
          <w:szCs w:val="24"/>
        </w:rPr>
      </w:pPr>
    </w:p>
    <w:p w14:paraId="2D169830" w14:textId="4D094213" w:rsidR="009506C6" w:rsidRPr="009506C6" w:rsidRDefault="009506C6" w:rsidP="009506C6">
      <w:pPr>
        <w:tabs>
          <w:tab w:val="left" w:pos="851"/>
        </w:tabs>
        <w:ind w:left="851"/>
        <w:rPr>
          <w:sz w:val="24"/>
          <w:szCs w:val="24"/>
        </w:rPr>
      </w:pPr>
      <w:r w:rsidRPr="009506C6">
        <w:rPr>
          <w:sz w:val="24"/>
          <w:szCs w:val="24"/>
        </w:rPr>
        <w:t>Opbevares i den originale emballage for at beskytte mod lys.</w:t>
      </w:r>
    </w:p>
    <w:p w14:paraId="3BA0A960" w14:textId="77777777" w:rsidR="009260DE" w:rsidRPr="00C84483" w:rsidRDefault="009260DE" w:rsidP="009260DE">
      <w:pPr>
        <w:tabs>
          <w:tab w:val="left" w:pos="851"/>
        </w:tabs>
        <w:ind w:left="851"/>
        <w:rPr>
          <w:sz w:val="24"/>
          <w:szCs w:val="24"/>
        </w:rPr>
      </w:pPr>
    </w:p>
    <w:p w14:paraId="1D8EAD7B"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7E91807" w14:textId="540B5CC9" w:rsidR="009506C6" w:rsidRPr="009506C6" w:rsidRDefault="009506C6" w:rsidP="009506C6">
      <w:pPr>
        <w:tabs>
          <w:tab w:val="left" w:pos="851"/>
        </w:tabs>
        <w:ind w:left="851"/>
        <w:rPr>
          <w:sz w:val="24"/>
          <w:szCs w:val="24"/>
        </w:rPr>
      </w:pPr>
      <w:r>
        <w:rPr>
          <w:sz w:val="24"/>
          <w:szCs w:val="24"/>
        </w:rPr>
        <w:t>H</w:t>
      </w:r>
      <w:r w:rsidRPr="009506C6">
        <w:rPr>
          <w:sz w:val="24"/>
          <w:szCs w:val="24"/>
        </w:rPr>
        <w:t>vid, uigennemsigtig Alu/PVC/PVDC blisterpakning</w:t>
      </w:r>
      <w:r>
        <w:rPr>
          <w:sz w:val="24"/>
          <w:szCs w:val="24"/>
        </w:rPr>
        <w:t>.</w:t>
      </w:r>
    </w:p>
    <w:p w14:paraId="144B6D9B" w14:textId="77777777" w:rsidR="009506C6" w:rsidRPr="009506C6" w:rsidRDefault="009506C6" w:rsidP="009506C6">
      <w:pPr>
        <w:tabs>
          <w:tab w:val="left" w:pos="851"/>
        </w:tabs>
        <w:ind w:left="851"/>
        <w:rPr>
          <w:sz w:val="24"/>
          <w:szCs w:val="24"/>
        </w:rPr>
      </w:pPr>
    </w:p>
    <w:p w14:paraId="4130FAFF" w14:textId="5133F4EF" w:rsidR="009506C6" w:rsidRPr="009506C6" w:rsidRDefault="009506C6" w:rsidP="009506C6">
      <w:pPr>
        <w:tabs>
          <w:tab w:val="left" w:pos="851"/>
        </w:tabs>
        <w:ind w:left="851"/>
        <w:rPr>
          <w:sz w:val="24"/>
          <w:szCs w:val="24"/>
        </w:rPr>
      </w:pPr>
      <w:r w:rsidRPr="009506C6">
        <w:rPr>
          <w:sz w:val="24"/>
          <w:szCs w:val="24"/>
        </w:rPr>
        <w:t>Pakningsstørrelse</w:t>
      </w:r>
      <w:r>
        <w:rPr>
          <w:sz w:val="24"/>
          <w:szCs w:val="24"/>
        </w:rPr>
        <w:t>r</w:t>
      </w:r>
      <w:r w:rsidRPr="009506C6">
        <w:rPr>
          <w:sz w:val="24"/>
          <w:szCs w:val="24"/>
        </w:rPr>
        <w:t>: 10, 20, 30, 50</w:t>
      </w:r>
      <w:r>
        <w:rPr>
          <w:sz w:val="24"/>
          <w:szCs w:val="24"/>
        </w:rPr>
        <w:t xml:space="preserve"> og</w:t>
      </w:r>
      <w:r w:rsidRPr="009506C6">
        <w:rPr>
          <w:sz w:val="24"/>
          <w:szCs w:val="24"/>
        </w:rPr>
        <w:t xml:space="preserve"> 100 tabletter</w:t>
      </w:r>
      <w:r>
        <w:rPr>
          <w:sz w:val="24"/>
          <w:szCs w:val="24"/>
        </w:rPr>
        <w:t>.</w:t>
      </w:r>
    </w:p>
    <w:p w14:paraId="0F19EF84" w14:textId="77777777" w:rsidR="009506C6" w:rsidRPr="009506C6" w:rsidRDefault="009506C6" w:rsidP="009506C6">
      <w:pPr>
        <w:tabs>
          <w:tab w:val="left" w:pos="851"/>
        </w:tabs>
        <w:ind w:left="851"/>
        <w:rPr>
          <w:sz w:val="24"/>
          <w:szCs w:val="24"/>
        </w:rPr>
      </w:pPr>
      <w:r w:rsidRPr="009506C6">
        <w:rPr>
          <w:sz w:val="24"/>
          <w:szCs w:val="24"/>
        </w:rPr>
        <w:t>Ikke alle pakningsstørrelser er nødvendigvis markedsført.</w:t>
      </w:r>
    </w:p>
    <w:p w14:paraId="33ED9165" w14:textId="77777777" w:rsidR="009260DE" w:rsidRPr="00C84483" w:rsidRDefault="009260DE" w:rsidP="009260DE">
      <w:pPr>
        <w:tabs>
          <w:tab w:val="left" w:pos="851"/>
        </w:tabs>
        <w:ind w:left="851"/>
        <w:rPr>
          <w:sz w:val="24"/>
          <w:szCs w:val="24"/>
        </w:rPr>
      </w:pPr>
    </w:p>
    <w:p w14:paraId="3BEF8C02"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F714ECD" w14:textId="77777777" w:rsidR="009506C6" w:rsidRPr="009506C6" w:rsidRDefault="009506C6" w:rsidP="009506C6">
      <w:pPr>
        <w:tabs>
          <w:tab w:val="left" w:pos="851"/>
        </w:tabs>
        <w:ind w:left="851"/>
        <w:rPr>
          <w:sz w:val="24"/>
          <w:szCs w:val="24"/>
        </w:rPr>
      </w:pPr>
      <w:r w:rsidRPr="009506C6">
        <w:rPr>
          <w:sz w:val="24"/>
          <w:szCs w:val="24"/>
        </w:rPr>
        <w:t>Ikke anvendt lægemiddel samt affald heraf skal bortskaffes i henhold til lokale retningslinjer.</w:t>
      </w:r>
    </w:p>
    <w:p w14:paraId="414317BC" w14:textId="77777777" w:rsidR="009260DE" w:rsidRPr="00C84483" w:rsidRDefault="009260DE" w:rsidP="000730CA">
      <w:pPr>
        <w:tabs>
          <w:tab w:val="left" w:pos="851"/>
        </w:tabs>
        <w:ind w:left="851"/>
        <w:rPr>
          <w:sz w:val="24"/>
          <w:szCs w:val="24"/>
        </w:rPr>
      </w:pPr>
    </w:p>
    <w:p w14:paraId="45F25B71" w14:textId="77777777" w:rsidR="009260DE" w:rsidRPr="00C84483" w:rsidRDefault="009260DE" w:rsidP="009260DE">
      <w:pPr>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14:paraId="72DE000A" w14:textId="77777777" w:rsidR="009506C6" w:rsidRPr="009506C6" w:rsidRDefault="009506C6" w:rsidP="009506C6">
      <w:pPr>
        <w:tabs>
          <w:tab w:val="left" w:pos="851"/>
        </w:tabs>
        <w:ind w:left="851"/>
        <w:rPr>
          <w:sz w:val="24"/>
          <w:szCs w:val="24"/>
        </w:rPr>
      </w:pPr>
      <w:r w:rsidRPr="009506C6">
        <w:rPr>
          <w:sz w:val="24"/>
          <w:szCs w:val="24"/>
        </w:rPr>
        <w:t>Zentiva, k.s.</w:t>
      </w:r>
    </w:p>
    <w:p w14:paraId="49B46D7A" w14:textId="49CF5390" w:rsidR="009506C6" w:rsidRDefault="009506C6" w:rsidP="009506C6">
      <w:pPr>
        <w:tabs>
          <w:tab w:val="left" w:pos="851"/>
        </w:tabs>
        <w:ind w:left="851"/>
        <w:rPr>
          <w:sz w:val="24"/>
          <w:szCs w:val="24"/>
        </w:rPr>
      </w:pPr>
      <w:r w:rsidRPr="009506C6">
        <w:rPr>
          <w:sz w:val="24"/>
          <w:szCs w:val="24"/>
        </w:rPr>
        <w:t>U Kabelovny 130</w:t>
      </w:r>
    </w:p>
    <w:p w14:paraId="4256830B" w14:textId="77777777" w:rsidR="00AD62A6" w:rsidRPr="00AD62A6" w:rsidRDefault="00AD62A6" w:rsidP="00AD62A6">
      <w:pPr>
        <w:tabs>
          <w:tab w:val="left" w:pos="851"/>
        </w:tabs>
        <w:ind w:left="851"/>
        <w:rPr>
          <w:sz w:val="24"/>
          <w:szCs w:val="24"/>
        </w:rPr>
      </w:pPr>
      <w:r w:rsidRPr="00AD62A6">
        <w:rPr>
          <w:sz w:val="24"/>
          <w:szCs w:val="24"/>
        </w:rPr>
        <w:t>Dolnı́ Měcholupy</w:t>
      </w:r>
    </w:p>
    <w:p w14:paraId="29D8C640" w14:textId="77777777" w:rsidR="009506C6" w:rsidRPr="009506C6" w:rsidRDefault="009506C6" w:rsidP="009506C6">
      <w:pPr>
        <w:tabs>
          <w:tab w:val="left" w:pos="851"/>
        </w:tabs>
        <w:ind w:left="851"/>
        <w:rPr>
          <w:sz w:val="24"/>
          <w:szCs w:val="24"/>
        </w:rPr>
      </w:pPr>
      <w:r w:rsidRPr="009506C6">
        <w:rPr>
          <w:sz w:val="24"/>
          <w:szCs w:val="24"/>
        </w:rPr>
        <w:t xml:space="preserve">102 37 Prag 10 </w:t>
      </w:r>
    </w:p>
    <w:p w14:paraId="7C3A526C" w14:textId="77777777" w:rsidR="009506C6" w:rsidRPr="009506C6" w:rsidRDefault="009506C6" w:rsidP="009506C6">
      <w:pPr>
        <w:tabs>
          <w:tab w:val="left" w:pos="851"/>
        </w:tabs>
        <w:ind w:left="851"/>
        <w:rPr>
          <w:sz w:val="24"/>
          <w:szCs w:val="24"/>
        </w:rPr>
      </w:pPr>
      <w:r w:rsidRPr="009506C6">
        <w:rPr>
          <w:sz w:val="24"/>
          <w:szCs w:val="24"/>
        </w:rPr>
        <w:t>Tjekkiet</w:t>
      </w:r>
    </w:p>
    <w:p w14:paraId="6478FCE2" w14:textId="77777777" w:rsidR="009506C6" w:rsidRPr="009506C6" w:rsidRDefault="009506C6" w:rsidP="009506C6">
      <w:pPr>
        <w:tabs>
          <w:tab w:val="left" w:pos="851"/>
        </w:tabs>
        <w:ind w:left="851"/>
        <w:rPr>
          <w:b/>
          <w:sz w:val="24"/>
          <w:szCs w:val="24"/>
        </w:rPr>
      </w:pPr>
    </w:p>
    <w:p w14:paraId="108A497D" w14:textId="77777777" w:rsidR="009506C6" w:rsidRPr="009506C6" w:rsidRDefault="009506C6" w:rsidP="009506C6">
      <w:pPr>
        <w:tabs>
          <w:tab w:val="left" w:pos="851"/>
        </w:tabs>
        <w:ind w:left="851"/>
        <w:rPr>
          <w:sz w:val="24"/>
          <w:szCs w:val="24"/>
        </w:rPr>
      </w:pPr>
      <w:r w:rsidRPr="009506C6">
        <w:rPr>
          <w:b/>
          <w:sz w:val="24"/>
          <w:szCs w:val="24"/>
        </w:rPr>
        <w:t>Repræsentant</w:t>
      </w:r>
    </w:p>
    <w:p w14:paraId="2431FCA8" w14:textId="77777777" w:rsidR="009506C6" w:rsidRPr="009506C6" w:rsidRDefault="009506C6" w:rsidP="009506C6">
      <w:pPr>
        <w:tabs>
          <w:tab w:val="left" w:pos="851"/>
        </w:tabs>
        <w:ind w:left="851"/>
        <w:rPr>
          <w:sz w:val="24"/>
          <w:szCs w:val="24"/>
        </w:rPr>
      </w:pPr>
      <w:r w:rsidRPr="009506C6">
        <w:rPr>
          <w:sz w:val="24"/>
          <w:szCs w:val="24"/>
        </w:rPr>
        <w:t>Zentiva Denmark ApS</w:t>
      </w:r>
    </w:p>
    <w:p w14:paraId="2CB66E02" w14:textId="77777777" w:rsidR="009506C6" w:rsidRPr="009506C6" w:rsidRDefault="009506C6" w:rsidP="009506C6">
      <w:pPr>
        <w:tabs>
          <w:tab w:val="left" w:pos="851"/>
        </w:tabs>
        <w:ind w:left="851"/>
        <w:rPr>
          <w:sz w:val="24"/>
          <w:szCs w:val="24"/>
        </w:rPr>
      </w:pPr>
      <w:r w:rsidRPr="009506C6">
        <w:rPr>
          <w:sz w:val="24"/>
          <w:szCs w:val="24"/>
        </w:rPr>
        <w:t>Høffdingsvej 34</w:t>
      </w:r>
    </w:p>
    <w:p w14:paraId="6DA7064F" w14:textId="77777777" w:rsidR="009506C6" w:rsidRPr="009506C6" w:rsidRDefault="009506C6" w:rsidP="009506C6">
      <w:pPr>
        <w:tabs>
          <w:tab w:val="left" w:pos="851"/>
        </w:tabs>
        <w:ind w:left="851"/>
        <w:rPr>
          <w:sz w:val="24"/>
          <w:szCs w:val="24"/>
        </w:rPr>
      </w:pPr>
      <w:r w:rsidRPr="009506C6">
        <w:rPr>
          <w:sz w:val="24"/>
          <w:szCs w:val="24"/>
        </w:rPr>
        <w:t>2500 Valby</w:t>
      </w:r>
    </w:p>
    <w:p w14:paraId="76CA2368" w14:textId="77777777" w:rsidR="00641C65" w:rsidRPr="00641C65" w:rsidRDefault="00641C65" w:rsidP="009260DE">
      <w:pPr>
        <w:tabs>
          <w:tab w:val="left" w:pos="851"/>
        </w:tabs>
        <w:ind w:left="851"/>
        <w:rPr>
          <w:sz w:val="24"/>
          <w:szCs w:val="24"/>
        </w:rPr>
      </w:pPr>
    </w:p>
    <w:p w14:paraId="43BD3921"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D4573A4" w14:textId="20095D3D" w:rsidR="009260DE" w:rsidRDefault="00B44DD1" w:rsidP="00B44DD1">
      <w:pPr>
        <w:tabs>
          <w:tab w:val="left" w:pos="851"/>
          <w:tab w:val="left" w:pos="1701"/>
        </w:tabs>
        <w:ind w:left="851"/>
        <w:rPr>
          <w:sz w:val="24"/>
          <w:szCs w:val="24"/>
        </w:rPr>
      </w:pPr>
      <w:r>
        <w:rPr>
          <w:sz w:val="24"/>
          <w:szCs w:val="24"/>
        </w:rPr>
        <w:t>0,5 mg:</w:t>
      </w:r>
      <w:r>
        <w:rPr>
          <w:sz w:val="24"/>
          <w:szCs w:val="24"/>
        </w:rPr>
        <w:tab/>
      </w:r>
      <w:r w:rsidR="002A6AB3">
        <w:rPr>
          <w:sz w:val="24"/>
          <w:szCs w:val="24"/>
        </w:rPr>
        <w:t>66821</w:t>
      </w:r>
    </w:p>
    <w:p w14:paraId="224AA79B" w14:textId="2767B39C" w:rsidR="002A6AB3" w:rsidRDefault="002A6AB3" w:rsidP="00B44DD1">
      <w:pPr>
        <w:tabs>
          <w:tab w:val="left" w:pos="851"/>
          <w:tab w:val="left" w:pos="1701"/>
        </w:tabs>
        <w:ind w:left="851"/>
        <w:rPr>
          <w:sz w:val="24"/>
          <w:szCs w:val="24"/>
        </w:rPr>
      </w:pPr>
      <w:r>
        <w:rPr>
          <w:sz w:val="24"/>
          <w:szCs w:val="24"/>
        </w:rPr>
        <w:t>1 mg:</w:t>
      </w:r>
      <w:r>
        <w:rPr>
          <w:sz w:val="24"/>
          <w:szCs w:val="24"/>
        </w:rPr>
        <w:tab/>
        <w:t>66822</w:t>
      </w:r>
    </w:p>
    <w:p w14:paraId="50623AC4" w14:textId="1C179A09" w:rsidR="002A6AB3" w:rsidRPr="00C84483" w:rsidRDefault="002A6AB3" w:rsidP="00B44DD1">
      <w:pPr>
        <w:tabs>
          <w:tab w:val="left" w:pos="851"/>
          <w:tab w:val="left" w:pos="1701"/>
        </w:tabs>
        <w:ind w:left="851"/>
        <w:rPr>
          <w:sz w:val="24"/>
          <w:szCs w:val="24"/>
        </w:rPr>
      </w:pPr>
      <w:r>
        <w:rPr>
          <w:sz w:val="24"/>
          <w:szCs w:val="24"/>
        </w:rPr>
        <w:t>4 mg:</w:t>
      </w:r>
      <w:r>
        <w:rPr>
          <w:sz w:val="24"/>
          <w:szCs w:val="24"/>
        </w:rPr>
        <w:tab/>
        <w:t>66823</w:t>
      </w:r>
    </w:p>
    <w:p w14:paraId="7C722D72" w14:textId="77777777" w:rsidR="009260DE" w:rsidRPr="00C84483" w:rsidRDefault="009260DE" w:rsidP="009260DE">
      <w:pPr>
        <w:tabs>
          <w:tab w:val="left" w:pos="851"/>
        </w:tabs>
        <w:ind w:left="851"/>
        <w:jc w:val="both"/>
        <w:rPr>
          <w:sz w:val="24"/>
          <w:szCs w:val="24"/>
        </w:rPr>
      </w:pPr>
    </w:p>
    <w:p w14:paraId="43466A92"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F733C20" w14:textId="487EF2EC" w:rsidR="009260DE" w:rsidRPr="00C84483" w:rsidRDefault="00FF28F7" w:rsidP="009260DE">
      <w:pPr>
        <w:tabs>
          <w:tab w:val="left" w:pos="851"/>
        </w:tabs>
        <w:ind w:left="851"/>
        <w:rPr>
          <w:sz w:val="24"/>
          <w:szCs w:val="24"/>
        </w:rPr>
      </w:pPr>
      <w:r>
        <w:rPr>
          <w:sz w:val="24"/>
          <w:szCs w:val="24"/>
        </w:rPr>
        <w:t>24. august 2023</w:t>
      </w:r>
    </w:p>
    <w:p w14:paraId="02D696B5" w14:textId="77777777" w:rsidR="009260DE" w:rsidRPr="00C84483" w:rsidRDefault="009260DE" w:rsidP="009260DE">
      <w:pPr>
        <w:tabs>
          <w:tab w:val="left" w:pos="851"/>
        </w:tabs>
        <w:ind w:left="851"/>
        <w:rPr>
          <w:sz w:val="24"/>
          <w:szCs w:val="24"/>
        </w:rPr>
      </w:pPr>
    </w:p>
    <w:p w14:paraId="7D6053A0"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37511F7" w14:textId="4348E08A" w:rsidR="009260DE" w:rsidRPr="00C84483" w:rsidRDefault="002A6AB3" w:rsidP="009260DE">
      <w:pPr>
        <w:tabs>
          <w:tab w:val="left" w:pos="851"/>
        </w:tabs>
        <w:ind w:left="851"/>
        <w:rPr>
          <w:sz w:val="24"/>
          <w:szCs w:val="24"/>
        </w:rPr>
      </w:pPr>
      <w:r>
        <w:rPr>
          <w:sz w:val="24"/>
          <w:szCs w:val="24"/>
        </w:rPr>
        <w:t>-</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3DFAE" w14:textId="77777777" w:rsidR="001F1C1E" w:rsidRDefault="001F1C1E">
      <w:r>
        <w:separator/>
      </w:r>
    </w:p>
  </w:endnote>
  <w:endnote w:type="continuationSeparator" w:id="0">
    <w:p w14:paraId="21D7EE90" w14:textId="77777777" w:rsidR="001F1C1E" w:rsidRDefault="001F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CE98E" w14:textId="77777777" w:rsidR="001F1C1E" w:rsidRDefault="001F1C1E">
    <w:pPr>
      <w:pStyle w:val="Sidefod"/>
      <w:pBdr>
        <w:bottom w:val="single" w:sz="6" w:space="1" w:color="auto"/>
      </w:pBdr>
    </w:pPr>
  </w:p>
  <w:p w14:paraId="6D78AB73" w14:textId="77777777" w:rsidR="001F1C1E" w:rsidRDefault="001F1C1E" w:rsidP="00C42586">
    <w:pPr>
      <w:pStyle w:val="Sidefod"/>
      <w:tabs>
        <w:tab w:val="clear" w:pos="4819"/>
        <w:tab w:val="left" w:pos="8505"/>
      </w:tabs>
      <w:rPr>
        <w:i/>
        <w:sz w:val="18"/>
        <w:szCs w:val="18"/>
      </w:rPr>
    </w:pPr>
  </w:p>
  <w:p w14:paraId="495643D4" w14:textId="01440153" w:rsidR="001F1C1E" w:rsidRPr="00B373D7" w:rsidRDefault="001F1C1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Dexamethasone Zentiva, tabletter 0,5 mg, 1 mg og 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76B11" w14:textId="77777777" w:rsidR="001F1C1E" w:rsidRDefault="001F1C1E">
      <w:r>
        <w:separator/>
      </w:r>
    </w:p>
  </w:footnote>
  <w:footnote w:type="continuationSeparator" w:id="0">
    <w:p w14:paraId="648FF67D" w14:textId="77777777" w:rsidR="001F1C1E" w:rsidRDefault="001F1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1F03"/>
    <w:multiLevelType w:val="hybridMultilevel"/>
    <w:tmpl w:val="31027436"/>
    <w:lvl w:ilvl="0" w:tplc="D450914A">
      <w:start w:val="1"/>
      <w:numFmt w:val="bullet"/>
      <w:lvlText w:val="-"/>
      <w:lvlJc w:val="left"/>
      <w:pPr>
        <w:ind w:left="360" w:hanging="360"/>
      </w:pPr>
      <w:rPr>
        <w:rFonts w:ascii="Times New Roman" w:eastAsia="Times New Roman"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EF149E4"/>
    <w:multiLevelType w:val="hybridMultilevel"/>
    <w:tmpl w:val="66D4470A"/>
    <w:lvl w:ilvl="0" w:tplc="FFFFFFFF">
      <w:start w:val="1"/>
      <w:numFmt w:val="bullet"/>
      <w:lvlText w:val="-"/>
      <w:lvlJc w:val="left"/>
      <w:pPr>
        <w:ind w:left="360" w:hanging="360"/>
      </w:pPr>
    </w:lvl>
    <w:lvl w:ilvl="1" w:tplc="DAF6BFC4">
      <w:numFmt w:val="bullet"/>
      <w:lvlText w:val="•"/>
      <w:lvlJc w:val="left"/>
      <w:pPr>
        <w:ind w:left="1290" w:hanging="570"/>
      </w:pPr>
      <w:rPr>
        <w:rFonts w:ascii="Times New Roman" w:eastAsia="Times New Roman" w:hAnsi="Times New Roman" w:cs="Times New Roman"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 w15:restartNumberingAfterBreak="0">
    <w:nsid w:val="2A0A0E59"/>
    <w:multiLevelType w:val="hybridMultilevel"/>
    <w:tmpl w:val="654C7444"/>
    <w:lvl w:ilvl="0" w:tplc="D450914A">
      <w:start w:val="1"/>
      <w:numFmt w:val="bullet"/>
      <w:lvlText w:val="-"/>
      <w:lvlJc w:val="left"/>
      <w:pPr>
        <w:ind w:left="360" w:hanging="360"/>
      </w:pPr>
      <w:rPr>
        <w:rFonts w:ascii="Times New Roman" w:eastAsia="Times New Roman" w:hAnsi="Times New Roman" w:cs="Times New Roman" w:hint="default"/>
        <w:w w:val="131"/>
        <w:sz w:val="22"/>
        <w:szCs w:val="22"/>
        <w:lang w:val="en-US" w:eastAsia="en-US" w:bidi="ar-SA"/>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FE43DE3"/>
    <w:multiLevelType w:val="hybridMultilevel"/>
    <w:tmpl w:val="EE0A817A"/>
    <w:lvl w:ilvl="0" w:tplc="D450914A">
      <w:start w:val="1"/>
      <w:numFmt w:val="bullet"/>
      <w:lvlText w:val="-"/>
      <w:lvlJc w:val="left"/>
      <w:pPr>
        <w:ind w:left="360" w:hanging="360"/>
      </w:pPr>
      <w:rPr>
        <w:rFonts w:ascii="Times New Roman" w:eastAsia="Times New Roman"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4BD3AC0"/>
    <w:multiLevelType w:val="hybridMultilevel"/>
    <w:tmpl w:val="A7FA9CA2"/>
    <w:lvl w:ilvl="0" w:tplc="FFFFFFFF">
      <w:start w:val="1"/>
      <w:numFmt w:val="bullet"/>
      <w:lvlText w:val="-"/>
      <w:lvlJc w:val="left"/>
      <w:pPr>
        <w:ind w:left="360" w:hanging="360"/>
      </w:p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10"/>
    <w:rsid w:val="000259B9"/>
    <w:rsid w:val="00041491"/>
    <w:rsid w:val="00050D16"/>
    <w:rsid w:val="000565A4"/>
    <w:rsid w:val="000730CA"/>
    <w:rsid w:val="00074F2A"/>
    <w:rsid w:val="000A1CA8"/>
    <w:rsid w:val="000A466B"/>
    <w:rsid w:val="000B058C"/>
    <w:rsid w:val="000D68B0"/>
    <w:rsid w:val="000E4EE6"/>
    <w:rsid w:val="000F6F7E"/>
    <w:rsid w:val="001058BF"/>
    <w:rsid w:val="00105E50"/>
    <w:rsid w:val="001454E2"/>
    <w:rsid w:val="00157C56"/>
    <w:rsid w:val="001F1C1E"/>
    <w:rsid w:val="00206CE8"/>
    <w:rsid w:val="0021526C"/>
    <w:rsid w:val="0021560B"/>
    <w:rsid w:val="00241070"/>
    <w:rsid w:val="00246B6A"/>
    <w:rsid w:val="00283A2B"/>
    <w:rsid w:val="002A5D2A"/>
    <w:rsid w:val="002A6AB3"/>
    <w:rsid w:val="002B30AD"/>
    <w:rsid w:val="002C1EC0"/>
    <w:rsid w:val="002C2C01"/>
    <w:rsid w:val="00356966"/>
    <w:rsid w:val="00357829"/>
    <w:rsid w:val="003A29AE"/>
    <w:rsid w:val="003A32D7"/>
    <w:rsid w:val="003B38A9"/>
    <w:rsid w:val="003B4074"/>
    <w:rsid w:val="003C769A"/>
    <w:rsid w:val="003D3A90"/>
    <w:rsid w:val="003E278F"/>
    <w:rsid w:val="003F1838"/>
    <w:rsid w:val="004067C4"/>
    <w:rsid w:val="00447044"/>
    <w:rsid w:val="0045684E"/>
    <w:rsid w:val="0045746C"/>
    <w:rsid w:val="0049104B"/>
    <w:rsid w:val="004B6374"/>
    <w:rsid w:val="004E3B12"/>
    <w:rsid w:val="00532310"/>
    <w:rsid w:val="00565F0F"/>
    <w:rsid w:val="00584EF5"/>
    <w:rsid w:val="00594A86"/>
    <w:rsid w:val="00596D86"/>
    <w:rsid w:val="005C4B99"/>
    <w:rsid w:val="00613668"/>
    <w:rsid w:val="00624116"/>
    <w:rsid w:val="00633D5E"/>
    <w:rsid w:val="00637F5A"/>
    <w:rsid w:val="00641C65"/>
    <w:rsid w:val="006560B1"/>
    <w:rsid w:val="006756DD"/>
    <w:rsid w:val="006B23FB"/>
    <w:rsid w:val="006C547E"/>
    <w:rsid w:val="0071241E"/>
    <w:rsid w:val="0072732C"/>
    <w:rsid w:val="00737275"/>
    <w:rsid w:val="00740EEC"/>
    <w:rsid w:val="007421E6"/>
    <w:rsid w:val="0078011A"/>
    <w:rsid w:val="00782AF4"/>
    <w:rsid w:val="00790EE7"/>
    <w:rsid w:val="007B6649"/>
    <w:rsid w:val="0082576E"/>
    <w:rsid w:val="00831FAC"/>
    <w:rsid w:val="008B1D41"/>
    <w:rsid w:val="008D470E"/>
    <w:rsid w:val="00907F75"/>
    <w:rsid w:val="009260DE"/>
    <w:rsid w:val="0093258A"/>
    <w:rsid w:val="009506C6"/>
    <w:rsid w:val="00981DDB"/>
    <w:rsid w:val="009C1907"/>
    <w:rsid w:val="009C7BA3"/>
    <w:rsid w:val="009D1F5A"/>
    <w:rsid w:val="009D307E"/>
    <w:rsid w:val="009E3637"/>
    <w:rsid w:val="00A10294"/>
    <w:rsid w:val="00AD62A6"/>
    <w:rsid w:val="00B003BF"/>
    <w:rsid w:val="00B27361"/>
    <w:rsid w:val="00B373D7"/>
    <w:rsid w:val="00B44DD1"/>
    <w:rsid w:val="00B55271"/>
    <w:rsid w:val="00BD7931"/>
    <w:rsid w:val="00BF3047"/>
    <w:rsid w:val="00BF6243"/>
    <w:rsid w:val="00C32E3F"/>
    <w:rsid w:val="00C36276"/>
    <w:rsid w:val="00C42586"/>
    <w:rsid w:val="00C457F1"/>
    <w:rsid w:val="00C45F6B"/>
    <w:rsid w:val="00C52DCD"/>
    <w:rsid w:val="00C60CCD"/>
    <w:rsid w:val="00C84483"/>
    <w:rsid w:val="00C95551"/>
    <w:rsid w:val="00CB20D7"/>
    <w:rsid w:val="00D020B0"/>
    <w:rsid w:val="00D11748"/>
    <w:rsid w:val="00D22720"/>
    <w:rsid w:val="00D237F6"/>
    <w:rsid w:val="00D34D98"/>
    <w:rsid w:val="00D366CF"/>
    <w:rsid w:val="00D93992"/>
    <w:rsid w:val="00E02C10"/>
    <w:rsid w:val="00E108AA"/>
    <w:rsid w:val="00E3749A"/>
    <w:rsid w:val="00E71614"/>
    <w:rsid w:val="00E7437F"/>
    <w:rsid w:val="00E865B8"/>
    <w:rsid w:val="00EC0B9B"/>
    <w:rsid w:val="00EC7274"/>
    <w:rsid w:val="00ED5E9F"/>
    <w:rsid w:val="00F14903"/>
    <w:rsid w:val="00F30B9D"/>
    <w:rsid w:val="00F66D4F"/>
    <w:rsid w:val="00FB6D01"/>
    <w:rsid w:val="00FF28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EBE99"/>
  <w15:chartTrackingRefBased/>
  <w15:docId w15:val="{38568D65-5C76-41A3-A29F-2BE26EE5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157C56"/>
    <w:rPr>
      <w:color w:val="0563C1" w:themeColor="hyperlink"/>
      <w:u w:val="single"/>
    </w:rPr>
  </w:style>
  <w:style w:type="character" w:styleId="Ulstomtale">
    <w:name w:val="Unresolved Mention"/>
    <w:basedOn w:val="Standardskrifttypeiafsnit"/>
    <w:uiPriority w:val="99"/>
    <w:semiHidden/>
    <w:unhideWhenUsed/>
    <w:rsid w:val="00157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4642">
      <w:bodyDiv w:val="1"/>
      <w:marLeft w:val="0"/>
      <w:marRight w:val="0"/>
      <w:marTop w:val="0"/>
      <w:marBottom w:val="0"/>
      <w:divBdr>
        <w:top w:val="none" w:sz="0" w:space="0" w:color="auto"/>
        <w:left w:val="none" w:sz="0" w:space="0" w:color="auto"/>
        <w:bottom w:val="none" w:sz="0" w:space="0" w:color="auto"/>
        <w:right w:val="none" w:sz="0" w:space="0" w:color="auto"/>
      </w:divBdr>
    </w:div>
    <w:div w:id="99109082">
      <w:bodyDiv w:val="1"/>
      <w:marLeft w:val="0"/>
      <w:marRight w:val="0"/>
      <w:marTop w:val="0"/>
      <w:marBottom w:val="0"/>
      <w:divBdr>
        <w:top w:val="none" w:sz="0" w:space="0" w:color="auto"/>
        <w:left w:val="none" w:sz="0" w:space="0" w:color="auto"/>
        <w:bottom w:val="none" w:sz="0" w:space="0" w:color="auto"/>
        <w:right w:val="none" w:sz="0" w:space="0" w:color="auto"/>
      </w:divBdr>
    </w:div>
    <w:div w:id="111949026">
      <w:bodyDiv w:val="1"/>
      <w:marLeft w:val="0"/>
      <w:marRight w:val="0"/>
      <w:marTop w:val="0"/>
      <w:marBottom w:val="0"/>
      <w:divBdr>
        <w:top w:val="none" w:sz="0" w:space="0" w:color="auto"/>
        <w:left w:val="none" w:sz="0" w:space="0" w:color="auto"/>
        <w:bottom w:val="none" w:sz="0" w:space="0" w:color="auto"/>
        <w:right w:val="none" w:sz="0" w:space="0" w:color="auto"/>
      </w:divBdr>
    </w:div>
    <w:div w:id="116948510">
      <w:bodyDiv w:val="1"/>
      <w:marLeft w:val="0"/>
      <w:marRight w:val="0"/>
      <w:marTop w:val="0"/>
      <w:marBottom w:val="0"/>
      <w:divBdr>
        <w:top w:val="none" w:sz="0" w:space="0" w:color="auto"/>
        <w:left w:val="none" w:sz="0" w:space="0" w:color="auto"/>
        <w:bottom w:val="none" w:sz="0" w:space="0" w:color="auto"/>
        <w:right w:val="none" w:sz="0" w:space="0" w:color="auto"/>
      </w:divBdr>
    </w:div>
    <w:div w:id="12092137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7962181">
      <w:bodyDiv w:val="1"/>
      <w:marLeft w:val="0"/>
      <w:marRight w:val="0"/>
      <w:marTop w:val="0"/>
      <w:marBottom w:val="0"/>
      <w:divBdr>
        <w:top w:val="none" w:sz="0" w:space="0" w:color="auto"/>
        <w:left w:val="none" w:sz="0" w:space="0" w:color="auto"/>
        <w:bottom w:val="none" w:sz="0" w:space="0" w:color="auto"/>
        <w:right w:val="none" w:sz="0" w:space="0" w:color="auto"/>
      </w:divBdr>
    </w:div>
    <w:div w:id="212893043">
      <w:bodyDiv w:val="1"/>
      <w:marLeft w:val="0"/>
      <w:marRight w:val="0"/>
      <w:marTop w:val="0"/>
      <w:marBottom w:val="0"/>
      <w:divBdr>
        <w:top w:val="none" w:sz="0" w:space="0" w:color="auto"/>
        <w:left w:val="none" w:sz="0" w:space="0" w:color="auto"/>
        <w:bottom w:val="none" w:sz="0" w:space="0" w:color="auto"/>
        <w:right w:val="none" w:sz="0" w:space="0" w:color="auto"/>
      </w:divBdr>
    </w:div>
    <w:div w:id="220293588">
      <w:bodyDiv w:val="1"/>
      <w:marLeft w:val="0"/>
      <w:marRight w:val="0"/>
      <w:marTop w:val="0"/>
      <w:marBottom w:val="0"/>
      <w:divBdr>
        <w:top w:val="none" w:sz="0" w:space="0" w:color="auto"/>
        <w:left w:val="none" w:sz="0" w:space="0" w:color="auto"/>
        <w:bottom w:val="none" w:sz="0" w:space="0" w:color="auto"/>
        <w:right w:val="none" w:sz="0" w:space="0" w:color="auto"/>
      </w:divBdr>
    </w:div>
    <w:div w:id="223836611">
      <w:bodyDiv w:val="1"/>
      <w:marLeft w:val="0"/>
      <w:marRight w:val="0"/>
      <w:marTop w:val="0"/>
      <w:marBottom w:val="0"/>
      <w:divBdr>
        <w:top w:val="none" w:sz="0" w:space="0" w:color="auto"/>
        <w:left w:val="none" w:sz="0" w:space="0" w:color="auto"/>
        <w:bottom w:val="none" w:sz="0" w:space="0" w:color="auto"/>
        <w:right w:val="none" w:sz="0" w:space="0" w:color="auto"/>
      </w:divBdr>
    </w:div>
    <w:div w:id="342636348">
      <w:bodyDiv w:val="1"/>
      <w:marLeft w:val="0"/>
      <w:marRight w:val="0"/>
      <w:marTop w:val="0"/>
      <w:marBottom w:val="0"/>
      <w:divBdr>
        <w:top w:val="none" w:sz="0" w:space="0" w:color="auto"/>
        <w:left w:val="none" w:sz="0" w:space="0" w:color="auto"/>
        <w:bottom w:val="none" w:sz="0" w:space="0" w:color="auto"/>
        <w:right w:val="none" w:sz="0" w:space="0" w:color="auto"/>
      </w:divBdr>
    </w:div>
    <w:div w:id="383338121">
      <w:bodyDiv w:val="1"/>
      <w:marLeft w:val="0"/>
      <w:marRight w:val="0"/>
      <w:marTop w:val="0"/>
      <w:marBottom w:val="0"/>
      <w:divBdr>
        <w:top w:val="none" w:sz="0" w:space="0" w:color="auto"/>
        <w:left w:val="none" w:sz="0" w:space="0" w:color="auto"/>
        <w:bottom w:val="none" w:sz="0" w:space="0" w:color="auto"/>
        <w:right w:val="none" w:sz="0" w:space="0" w:color="auto"/>
      </w:divBdr>
    </w:div>
    <w:div w:id="388765483">
      <w:bodyDiv w:val="1"/>
      <w:marLeft w:val="0"/>
      <w:marRight w:val="0"/>
      <w:marTop w:val="0"/>
      <w:marBottom w:val="0"/>
      <w:divBdr>
        <w:top w:val="none" w:sz="0" w:space="0" w:color="auto"/>
        <w:left w:val="none" w:sz="0" w:space="0" w:color="auto"/>
        <w:bottom w:val="none" w:sz="0" w:space="0" w:color="auto"/>
        <w:right w:val="none" w:sz="0" w:space="0" w:color="auto"/>
      </w:divBdr>
    </w:div>
    <w:div w:id="450632224">
      <w:bodyDiv w:val="1"/>
      <w:marLeft w:val="0"/>
      <w:marRight w:val="0"/>
      <w:marTop w:val="0"/>
      <w:marBottom w:val="0"/>
      <w:divBdr>
        <w:top w:val="none" w:sz="0" w:space="0" w:color="auto"/>
        <w:left w:val="none" w:sz="0" w:space="0" w:color="auto"/>
        <w:bottom w:val="none" w:sz="0" w:space="0" w:color="auto"/>
        <w:right w:val="none" w:sz="0" w:space="0" w:color="auto"/>
      </w:divBdr>
    </w:div>
    <w:div w:id="522861020">
      <w:bodyDiv w:val="1"/>
      <w:marLeft w:val="0"/>
      <w:marRight w:val="0"/>
      <w:marTop w:val="0"/>
      <w:marBottom w:val="0"/>
      <w:divBdr>
        <w:top w:val="none" w:sz="0" w:space="0" w:color="auto"/>
        <w:left w:val="none" w:sz="0" w:space="0" w:color="auto"/>
        <w:bottom w:val="none" w:sz="0" w:space="0" w:color="auto"/>
        <w:right w:val="none" w:sz="0" w:space="0" w:color="auto"/>
      </w:divBdr>
    </w:div>
    <w:div w:id="543180223">
      <w:bodyDiv w:val="1"/>
      <w:marLeft w:val="0"/>
      <w:marRight w:val="0"/>
      <w:marTop w:val="0"/>
      <w:marBottom w:val="0"/>
      <w:divBdr>
        <w:top w:val="none" w:sz="0" w:space="0" w:color="auto"/>
        <w:left w:val="none" w:sz="0" w:space="0" w:color="auto"/>
        <w:bottom w:val="none" w:sz="0" w:space="0" w:color="auto"/>
        <w:right w:val="none" w:sz="0" w:space="0" w:color="auto"/>
      </w:divBdr>
    </w:div>
    <w:div w:id="556012720">
      <w:bodyDiv w:val="1"/>
      <w:marLeft w:val="0"/>
      <w:marRight w:val="0"/>
      <w:marTop w:val="0"/>
      <w:marBottom w:val="0"/>
      <w:divBdr>
        <w:top w:val="none" w:sz="0" w:space="0" w:color="auto"/>
        <w:left w:val="none" w:sz="0" w:space="0" w:color="auto"/>
        <w:bottom w:val="none" w:sz="0" w:space="0" w:color="auto"/>
        <w:right w:val="none" w:sz="0" w:space="0" w:color="auto"/>
      </w:divBdr>
    </w:div>
    <w:div w:id="649529019">
      <w:bodyDiv w:val="1"/>
      <w:marLeft w:val="0"/>
      <w:marRight w:val="0"/>
      <w:marTop w:val="0"/>
      <w:marBottom w:val="0"/>
      <w:divBdr>
        <w:top w:val="none" w:sz="0" w:space="0" w:color="auto"/>
        <w:left w:val="none" w:sz="0" w:space="0" w:color="auto"/>
        <w:bottom w:val="none" w:sz="0" w:space="0" w:color="auto"/>
        <w:right w:val="none" w:sz="0" w:space="0" w:color="auto"/>
      </w:divBdr>
    </w:div>
    <w:div w:id="651326907">
      <w:bodyDiv w:val="1"/>
      <w:marLeft w:val="0"/>
      <w:marRight w:val="0"/>
      <w:marTop w:val="0"/>
      <w:marBottom w:val="0"/>
      <w:divBdr>
        <w:top w:val="none" w:sz="0" w:space="0" w:color="auto"/>
        <w:left w:val="none" w:sz="0" w:space="0" w:color="auto"/>
        <w:bottom w:val="none" w:sz="0" w:space="0" w:color="auto"/>
        <w:right w:val="none" w:sz="0" w:space="0" w:color="auto"/>
      </w:divBdr>
    </w:div>
    <w:div w:id="743913778">
      <w:bodyDiv w:val="1"/>
      <w:marLeft w:val="0"/>
      <w:marRight w:val="0"/>
      <w:marTop w:val="0"/>
      <w:marBottom w:val="0"/>
      <w:divBdr>
        <w:top w:val="none" w:sz="0" w:space="0" w:color="auto"/>
        <w:left w:val="none" w:sz="0" w:space="0" w:color="auto"/>
        <w:bottom w:val="none" w:sz="0" w:space="0" w:color="auto"/>
        <w:right w:val="none" w:sz="0" w:space="0" w:color="auto"/>
      </w:divBdr>
    </w:div>
    <w:div w:id="864439240">
      <w:bodyDiv w:val="1"/>
      <w:marLeft w:val="0"/>
      <w:marRight w:val="0"/>
      <w:marTop w:val="0"/>
      <w:marBottom w:val="0"/>
      <w:divBdr>
        <w:top w:val="none" w:sz="0" w:space="0" w:color="auto"/>
        <w:left w:val="none" w:sz="0" w:space="0" w:color="auto"/>
        <w:bottom w:val="none" w:sz="0" w:space="0" w:color="auto"/>
        <w:right w:val="none" w:sz="0" w:space="0" w:color="auto"/>
      </w:divBdr>
    </w:div>
    <w:div w:id="908156266">
      <w:bodyDiv w:val="1"/>
      <w:marLeft w:val="0"/>
      <w:marRight w:val="0"/>
      <w:marTop w:val="0"/>
      <w:marBottom w:val="0"/>
      <w:divBdr>
        <w:top w:val="none" w:sz="0" w:space="0" w:color="auto"/>
        <w:left w:val="none" w:sz="0" w:space="0" w:color="auto"/>
        <w:bottom w:val="none" w:sz="0" w:space="0" w:color="auto"/>
        <w:right w:val="none" w:sz="0" w:space="0" w:color="auto"/>
      </w:divBdr>
    </w:div>
    <w:div w:id="913782587">
      <w:bodyDiv w:val="1"/>
      <w:marLeft w:val="0"/>
      <w:marRight w:val="0"/>
      <w:marTop w:val="0"/>
      <w:marBottom w:val="0"/>
      <w:divBdr>
        <w:top w:val="none" w:sz="0" w:space="0" w:color="auto"/>
        <w:left w:val="none" w:sz="0" w:space="0" w:color="auto"/>
        <w:bottom w:val="none" w:sz="0" w:space="0" w:color="auto"/>
        <w:right w:val="none" w:sz="0" w:space="0" w:color="auto"/>
      </w:divBdr>
    </w:div>
    <w:div w:id="1023745263">
      <w:bodyDiv w:val="1"/>
      <w:marLeft w:val="0"/>
      <w:marRight w:val="0"/>
      <w:marTop w:val="0"/>
      <w:marBottom w:val="0"/>
      <w:divBdr>
        <w:top w:val="none" w:sz="0" w:space="0" w:color="auto"/>
        <w:left w:val="none" w:sz="0" w:space="0" w:color="auto"/>
        <w:bottom w:val="none" w:sz="0" w:space="0" w:color="auto"/>
        <w:right w:val="none" w:sz="0" w:space="0" w:color="auto"/>
      </w:divBdr>
    </w:div>
    <w:div w:id="1059475401">
      <w:bodyDiv w:val="1"/>
      <w:marLeft w:val="0"/>
      <w:marRight w:val="0"/>
      <w:marTop w:val="0"/>
      <w:marBottom w:val="0"/>
      <w:divBdr>
        <w:top w:val="none" w:sz="0" w:space="0" w:color="auto"/>
        <w:left w:val="none" w:sz="0" w:space="0" w:color="auto"/>
        <w:bottom w:val="none" w:sz="0" w:space="0" w:color="auto"/>
        <w:right w:val="none" w:sz="0" w:space="0" w:color="auto"/>
      </w:divBdr>
    </w:div>
    <w:div w:id="1077090736">
      <w:bodyDiv w:val="1"/>
      <w:marLeft w:val="0"/>
      <w:marRight w:val="0"/>
      <w:marTop w:val="0"/>
      <w:marBottom w:val="0"/>
      <w:divBdr>
        <w:top w:val="none" w:sz="0" w:space="0" w:color="auto"/>
        <w:left w:val="none" w:sz="0" w:space="0" w:color="auto"/>
        <w:bottom w:val="none" w:sz="0" w:space="0" w:color="auto"/>
        <w:right w:val="none" w:sz="0" w:space="0" w:color="auto"/>
      </w:divBdr>
    </w:div>
    <w:div w:id="1112827060">
      <w:bodyDiv w:val="1"/>
      <w:marLeft w:val="0"/>
      <w:marRight w:val="0"/>
      <w:marTop w:val="0"/>
      <w:marBottom w:val="0"/>
      <w:divBdr>
        <w:top w:val="none" w:sz="0" w:space="0" w:color="auto"/>
        <w:left w:val="none" w:sz="0" w:space="0" w:color="auto"/>
        <w:bottom w:val="none" w:sz="0" w:space="0" w:color="auto"/>
        <w:right w:val="none" w:sz="0" w:space="0" w:color="auto"/>
      </w:divBdr>
    </w:div>
    <w:div w:id="1119568940">
      <w:bodyDiv w:val="1"/>
      <w:marLeft w:val="0"/>
      <w:marRight w:val="0"/>
      <w:marTop w:val="0"/>
      <w:marBottom w:val="0"/>
      <w:divBdr>
        <w:top w:val="none" w:sz="0" w:space="0" w:color="auto"/>
        <w:left w:val="none" w:sz="0" w:space="0" w:color="auto"/>
        <w:bottom w:val="none" w:sz="0" w:space="0" w:color="auto"/>
        <w:right w:val="none" w:sz="0" w:space="0" w:color="auto"/>
      </w:divBdr>
    </w:div>
    <w:div w:id="1137604485">
      <w:bodyDiv w:val="1"/>
      <w:marLeft w:val="0"/>
      <w:marRight w:val="0"/>
      <w:marTop w:val="0"/>
      <w:marBottom w:val="0"/>
      <w:divBdr>
        <w:top w:val="none" w:sz="0" w:space="0" w:color="auto"/>
        <w:left w:val="none" w:sz="0" w:space="0" w:color="auto"/>
        <w:bottom w:val="none" w:sz="0" w:space="0" w:color="auto"/>
        <w:right w:val="none" w:sz="0" w:space="0" w:color="auto"/>
      </w:divBdr>
    </w:div>
    <w:div w:id="1200048616">
      <w:bodyDiv w:val="1"/>
      <w:marLeft w:val="0"/>
      <w:marRight w:val="0"/>
      <w:marTop w:val="0"/>
      <w:marBottom w:val="0"/>
      <w:divBdr>
        <w:top w:val="none" w:sz="0" w:space="0" w:color="auto"/>
        <w:left w:val="none" w:sz="0" w:space="0" w:color="auto"/>
        <w:bottom w:val="none" w:sz="0" w:space="0" w:color="auto"/>
        <w:right w:val="none" w:sz="0" w:space="0" w:color="auto"/>
      </w:divBdr>
    </w:div>
    <w:div w:id="1235775268">
      <w:bodyDiv w:val="1"/>
      <w:marLeft w:val="0"/>
      <w:marRight w:val="0"/>
      <w:marTop w:val="0"/>
      <w:marBottom w:val="0"/>
      <w:divBdr>
        <w:top w:val="none" w:sz="0" w:space="0" w:color="auto"/>
        <w:left w:val="none" w:sz="0" w:space="0" w:color="auto"/>
        <w:bottom w:val="none" w:sz="0" w:space="0" w:color="auto"/>
        <w:right w:val="none" w:sz="0" w:space="0" w:color="auto"/>
      </w:divBdr>
    </w:div>
    <w:div w:id="1383167862">
      <w:bodyDiv w:val="1"/>
      <w:marLeft w:val="0"/>
      <w:marRight w:val="0"/>
      <w:marTop w:val="0"/>
      <w:marBottom w:val="0"/>
      <w:divBdr>
        <w:top w:val="none" w:sz="0" w:space="0" w:color="auto"/>
        <w:left w:val="none" w:sz="0" w:space="0" w:color="auto"/>
        <w:bottom w:val="none" w:sz="0" w:space="0" w:color="auto"/>
        <w:right w:val="none" w:sz="0" w:space="0" w:color="auto"/>
      </w:divBdr>
    </w:div>
    <w:div w:id="1383822840">
      <w:bodyDiv w:val="1"/>
      <w:marLeft w:val="0"/>
      <w:marRight w:val="0"/>
      <w:marTop w:val="0"/>
      <w:marBottom w:val="0"/>
      <w:divBdr>
        <w:top w:val="none" w:sz="0" w:space="0" w:color="auto"/>
        <w:left w:val="none" w:sz="0" w:space="0" w:color="auto"/>
        <w:bottom w:val="none" w:sz="0" w:space="0" w:color="auto"/>
        <w:right w:val="none" w:sz="0" w:space="0" w:color="auto"/>
      </w:divBdr>
    </w:div>
    <w:div w:id="1584802829">
      <w:bodyDiv w:val="1"/>
      <w:marLeft w:val="0"/>
      <w:marRight w:val="0"/>
      <w:marTop w:val="0"/>
      <w:marBottom w:val="0"/>
      <w:divBdr>
        <w:top w:val="none" w:sz="0" w:space="0" w:color="auto"/>
        <w:left w:val="none" w:sz="0" w:space="0" w:color="auto"/>
        <w:bottom w:val="none" w:sz="0" w:space="0" w:color="auto"/>
        <w:right w:val="none" w:sz="0" w:space="0" w:color="auto"/>
      </w:divBdr>
    </w:div>
    <w:div w:id="1647854664">
      <w:bodyDiv w:val="1"/>
      <w:marLeft w:val="0"/>
      <w:marRight w:val="0"/>
      <w:marTop w:val="0"/>
      <w:marBottom w:val="0"/>
      <w:divBdr>
        <w:top w:val="none" w:sz="0" w:space="0" w:color="auto"/>
        <w:left w:val="none" w:sz="0" w:space="0" w:color="auto"/>
        <w:bottom w:val="none" w:sz="0" w:space="0" w:color="auto"/>
        <w:right w:val="none" w:sz="0" w:space="0" w:color="auto"/>
      </w:divBdr>
    </w:div>
    <w:div w:id="1681154302">
      <w:bodyDiv w:val="1"/>
      <w:marLeft w:val="0"/>
      <w:marRight w:val="0"/>
      <w:marTop w:val="0"/>
      <w:marBottom w:val="0"/>
      <w:divBdr>
        <w:top w:val="none" w:sz="0" w:space="0" w:color="auto"/>
        <w:left w:val="none" w:sz="0" w:space="0" w:color="auto"/>
        <w:bottom w:val="none" w:sz="0" w:space="0" w:color="auto"/>
        <w:right w:val="none" w:sz="0" w:space="0" w:color="auto"/>
      </w:divBdr>
    </w:div>
    <w:div w:id="1752850032">
      <w:bodyDiv w:val="1"/>
      <w:marLeft w:val="0"/>
      <w:marRight w:val="0"/>
      <w:marTop w:val="0"/>
      <w:marBottom w:val="0"/>
      <w:divBdr>
        <w:top w:val="none" w:sz="0" w:space="0" w:color="auto"/>
        <w:left w:val="none" w:sz="0" w:space="0" w:color="auto"/>
        <w:bottom w:val="none" w:sz="0" w:space="0" w:color="auto"/>
        <w:right w:val="none" w:sz="0" w:space="0" w:color="auto"/>
      </w:divBdr>
    </w:div>
    <w:div w:id="1800105886">
      <w:bodyDiv w:val="1"/>
      <w:marLeft w:val="0"/>
      <w:marRight w:val="0"/>
      <w:marTop w:val="0"/>
      <w:marBottom w:val="0"/>
      <w:divBdr>
        <w:top w:val="none" w:sz="0" w:space="0" w:color="auto"/>
        <w:left w:val="none" w:sz="0" w:space="0" w:color="auto"/>
        <w:bottom w:val="none" w:sz="0" w:space="0" w:color="auto"/>
        <w:right w:val="none" w:sz="0" w:space="0" w:color="auto"/>
      </w:divBdr>
    </w:div>
    <w:div w:id="1868523576">
      <w:bodyDiv w:val="1"/>
      <w:marLeft w:val="0"/>
      <w:marRight w:val="0"/>
      <w:marTop w:val="0"/>
      <w:marBottom w:val="0"/>
      <w:divBdr>
        <w:top w:val="none" w:sz="0" w:space="0" w:color="auto"/>
        <w:left w:val="none" w:sz="0" w:space="0" w:color="auto"/>
        <w:bottom w:val="none" w:sz="0" w:space="0" w:color="auto"/>
        <w:right w:val="none" w:sz="0" w:space="0" w:color="auto"/>
      </w:divBdr>
    </w:div>
    <w:div w:id="1881820432">
      <w:bodyDiv w:val="1"/>
      <w:marLeft w:val="0"/>
      <w:marRight w:val="0"/>
      <w:marTop w:val="0"/>
      <w:marBottom w:val="0"/>
      <w:divBdr>
        <w:top w:val="none" w:sz="0" w:space="0" w:color="auto"/>
        <w:left w:val="none" w:sz="0" w:space="0" w:color="auto"/>
        <w:bottom w:val="none" w:sz="0" w:space="0" w:color="auto"/>
        <w:right w:val="none" w:sz="0" w:space="0" w:color="auto"/>
      </w:divBdr>
    </w:div>
    <w:div w:id="1941063942">
      <w:bodyDiv w:val="1"/>
      <w:marLeft w:val="0"/>
      <w:marRight w:val="0"/>
      <w:marTop w:val="0"/>
      <w:marBottom w:val="0"/>
      <w:divBdr>
        <w:top w:val="none" w:sz="0" w:space="0" w:color="auto"/>
        <w:left w:val="none" w:sz="0" w:space="0" w:color="auto"/>
        <w:bottom w:val="none" w:sz="0" w:space="0" w:color="auto"/>
        <w:right w:val="none" w:sz="0" w:space="0" w:color="auto"/>
      </w:divBdr>
    </w:div>
    <w:div w:id="2005551223">
      <w:bodyDiv w:val="1"/>
      <w:marLeft w:val="0"/>
      <w:marRight w:val="0"/>
      <w:marTop w:val="0"/>
      <w:marBottom w:val="0"/>
      <w:divBdr>
        <w:top w:val="none" w:sz="0" w:space="0" w:color="auto"/>
        <w:left w:val="none" w:sz="0" w:space="0" w:color="auto"/>
        <w:bottom w:val="none" w:sz="0" w:space="0" w:color="auto"/>
        <w:right w:val="none" w:sz="0" w:space="0" w:color="auto"/>
      </w:divBdr>
    </w:div>
    <w:div w:id="2036808583">
      <w:bodyDiv w:val="1"/>
      <w:marLeft w:val="0"/>
      <w:marRight w:val="0"/>
      <w:marTop w:val="0"/>
      <w:marBottom w:val="0"/>
      <w:divBdr>
        <w:top w:val="none" w:sz="0" w:space="0" w:color="auto"/>
        <w:left w:val="none" w:sz="0" w:space="0" w:color="auto"/>
        <w:bottom w:val="none" w:sz="0" w:space="0" w:color="auto"/>
        <w:right w:val="none" w:sz="0" w:space="0" w:color="auto"/>
      </w:divBdr>
    </w:div>
    <w:div w:id="213478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118</TotalTime>
  <Pages>16</Pages>
  <Words>4475</Words>
  <Characters>29720</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2021100297 mt</dc:description>
  <cp:lastModifiedBy>Hanne Thy Iversen</cp:lastModifiedBy>
  <cp:revision>16</cp:revision>
  <cp:lastPrinted>2012-08-22T08:53:00Z</cp:lastPrinted>
  <dcterms:created xsi:type="dcterms:W3CDTF">2023-08-24T09:22:00Z</dcterms:created>
  <dcterms:modified xsi:type="dcterms:W3CDTF">2023-08-24T13:38:00Z</dcterms:modified>
</cp:coreProperties>
</file>