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51B66" w14:textId="77777777" w:rsidR="009260DE" w:rsidRPr="00AA4AD7" w:rsidRDefault="0021526C" w:rsidP="009260DE">
      <w:pPr>
        <w:rPr>
          <w:sz w:val="24"/>
          <w:szCs w:val="24"/>
        </w:rPr>
      </w:pPr>
      <w:bookmarkStart w:id="0" w:name="_GoBack"/>
      <w:bookmarkEnd w:id="0"/>
      <w:r w:rsidRPr="00AA4AD7">
        <w:rPr>
          <w:noProof/>
          <w:sz w:val="24"/>
          <w:szCs w:val="24"/>
          <w:lang w:eastAsia="da-DK"/>
        </w:rPr>
        <w:drawing>
          <wp:anchor distT="0" distB="0" distL="114300" distR="114300" simplePos="0" relativeHeight="251658240" behindDoc="0" locked="0" layoutInCell="1" allowOverlap="1" wp14:anchorId="246ECF6B" wp14:editId="4A180C1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A4AD7">
        <w:rPr>
          <w:sz w:val="24"/>
          <w:szCs w:val="24"/>
        </w:rPr>
        <w:br w:type="textWrapping" w:clear="all"/>
      </w:r>
    </w:p>
    <w:p w14:paraId="2A7ECF17" w14:textId="6EEE0B5C" w:rsidR="009260DE" w:rsidRPr="00C657C7" w:rsidRDefault="009260DE" w:rsidP="009260DE">
      <w:pPr>
        <w:pStyle w:val="Titel"/>
        <w:tabs>
          <w:tab w:val="right" w:pos="9356"/>
        </w:tabs>
        <w:jc w:val="left"/>
        <w:rPr>
          <w:b w:val="0"/>
          <w:szCs w:val="24"/>
          <w:lang w:eastAsia="en-US"/>
        </w:rPr>
      </w:pPr>
      <w:r w:rsidRPr="00AA4AD7">
        <w:rPr>
          <w:b w:val="0"/>
          <w:szCs w:val="24"/>
          <w:lang w:eastAsia="en-US"/>
        </w:rPr>
        <w:tab/>
      </w:r>
      <w:r w:rsidR="00C657C7">
        <w:rPr>
          <w:szCs w:val="24"/>
        </w:rPr>
        <w:t>9. januar 2025</w:t>
      </w:r>
    </w:p>
    <w:p w14:paraId="5DDB7AC6" w14:textId="77777777" w:rsidR="009260DE" w:rsidRPr="00C657C7" w:rsidRDefault="009260DE" w:rsidP="009260DE">
      <w:pPr>
        <w:pStyle w:val="Titel"/>
        <w:tabs>
          <w:tab w:val="left" w:pos="8222"/>
        </w:tabs>
        <w:jc w:val="left"/>
        <w:rPr>
          <w:b w:val="0"/>
          <w:szCs w:val="24"/>
        </w:rPr>
      </w:pPr>
    </w:p>
    <w:p w14:paraId="4801DA77" w14:textId="77777777" w:rsidR="009260DE" w:rsidRPr="00C657C7" w:rsidRDefault="009260DE" w:rsidP="009260DE">
      <w:pPr>
        <w:pStyle w:val="Titel"/>
        <w:jc w:val="left"/>
        <w:rPr>
          <w:b w:val="0"/>
          <w:szCs w:val="24"/>
        </w:rPr>
      </w:pPr>
    </w:p>
    <w:p w14:paraId="0A26ED96" w14:textId="77777777" w:rsidR="009260DE" w:rsidRPr="00C657C7" w:rsidRDefault="009260DE" w:rsidP="009260DE">
      <w:pPr>
        <w:pStyle w:val="Titel"/>
        <w:jc w:val="left"/>
        <w:rPr>
          <w:b w:val="0"/>
          <w:szCs w:val="24"/>
        </w:rPr>
      </w:pPr>
    </w:p>
    <w:p w14:paraId="12754B9E" w14:textId="77777777" w:rsidR="009260DE" w:rsidRPr="00C657C7" w:rsidRDefault="009260DE" w:rsidP="009260DE">
      <w:pPr>
        <w:jc w:val="center"/>
        <w:rPr>
          <w:b/>
          <w:sz w:val="24"/>
          <w:szCs w:val="24"/>
        </w:rPr>
      </w:pPr>
      <w:r w:rsidRPr="00C657C7">
        <w:rPr>
          <w:b/>
          <w:sz w:val="24"/>
          <w:szCs w:val="24"/>
        </w:rPr>
        <w:t>PRODUKTRESUMÉ</w:t>
      </w:r>
    </w:p>
    <w:p w14:paraId="38E2A1C0" w14:textId="77777777" w:rsidR="009260DE" w:rsidRPr="00C657C7" w:rsidRDefault="009260DE" w:rsidP="009260DE">
      <w:pPr>
        <w:jc w:val="center"/>
        <w:rPr>
          <w:b/>
          <w:sz w:val="24"/>
          <w:szCs w:val="24"/>
        </w:rPr>
      </w:pPr>
    </w:p>
    <w:p w14:paraId="696402D0" w14:textId="77777777" w:rsidR="009260DE" w:rsidRPr="00C657C7" w:rsidRDefault="009260DE" w:rsidP="009260DE">
      <w:pPr>
        <w:jc w:val="center"/>
        <w:rPr>
          <w:b/>
          <w:sz w:val="24"/>
          <w:szCs w:val="24"/>
        </w:rPr>
      </w:pPr>
      <w:r w:rsidRPr="00C657C7">
        <w:rPr>
          <w:b/>
          <w:sz w:val="24"/>
          <w:szCs w:val="24"/>
        </w:rPr>
        <w:t>for</w:t>
      </w:r>
    </w:p>
    <w:p w14:paraId="3CCCCB04" w14:textId="77777777" w:rsidR="000B058C" w:rsidRPr="00C657C7" w:rsidRDefault="000B058C" w:rsidP="009260DE">
      <w:pPr>
        <w:jc w:val="center"/>
        <w:rPr>
          <w:b/>
          <w:sz w:val="24"/>
          <w:szCs w:val="24"/>
        </w:rPr>
      </w:pPr>
    </w:p>
    <w:p w14:paraId="1795300C" w14:textId="7E201519" w:rsidR="009260DE" w:rsidRPr="00C657C7" w:rsidRDefault="00CB1797" w:rsidP="009260DE">
      <w:pPr>
        <w:jc w:val="center"/>
        <w:rPr>
          <w:b/>
          <w:sz w:val="24"/>
          <w:szCs w:val="24"/>
        </w:rPr>
      </w:pPr>
      <w:proofErr w:type="spellStart"/>
      <w:r w:rsidRPr="00C657C7">
        <w:rPr>
          <w:b/>
          <w:sz w:val="24"/>
          <w:szCs w:val="24"/>
        </w:rPr>
        <w:t>Dexamethasone</w:t>
      </w:r>
      <w:proofErr w:type="spellEnd"/>
      <w:r w:rsidRPr="00C657C7">
        <w:rPr>
          <w:b/>
          <w:sz w:val="24"/>
          <w:szCs w:val="24"/>
        </w:rPr>
        <w:t xml:space="preserve"> </w:t>
      </w:r>
      <w:proofErr w:type="spellStart"/>
      <w:r w:rsidRPr="00C657C7">
        <w:rPr>
          <w:b/>
          <w:sz w:val="24"/>
          <w:szCs w:val="24"/>
        </w:rPr>
        <w:t>phosphate</w:t>
      </w:r>
      <w:proofErr w:type="spellEnd"/>
      <w:r w:rsidRPr="00C657C7">
        <w:rPr>
          <w:b/>
          <w:sz w:val="24"/>
          <w:szCs w:val="24"/>
        </w:rPr>
        <w:t xml:space="preserve"> "</w:t>
      </w:r>
      <w:proofErr w:type="spellStart"/>
      <w:r w:rsidRPr="00C657C7">
        <w:rPr>
          <w:b/>
          <w:sz w:val="24"/>
          <w:szCs w:val="24"/>
        </w:rPr>
        <w:t>Accord</w:t>
      </w:r>
      <w:proofErr w:type="spellEnd"/>
      <w:r w:rsidRPr="00C657C7">
        <w:rPr>
          <w:b/>
          <w:sz w:val="24"/>
          <w:szCs w:val="24"/>
        </w:rPr>
        <w:t>", injektions-/infusionsvæske, opløsning</w:t>
      </w:r>
    </w:p>
    <w:p w14:paraId="5160FCCC" w14:textId="77777777" w:rsidR="009260DE" w:rsidRPr="00C657C7" w:rsidRDefault="009260DE" w:rsidP="009260DE">
      <w:pPr>
        <w:jc w:val="both"/>
        <w:rPr>
          <w:sz w:val="24"/>
          <w:szCs w:val="24"/>
        </w:rPr>
      </w:pPr>
    </w:p>
    <w:p w14:paraId="10CF000B" w14:textId="77777777" w:rsidR="009260DE" w:rsidRPr="00C657C7" w:rsidRDefault="009260DE" w:rsidP="009260DE">
      <w:pPr>
        <w:jc w:val="both"/>
        <w:rPr>
          <w:sz w:val="24"/>
          <w:szCs w:val="24"/>
        </w:rPr>
      </w:pPr>
    </w:p>
    <w:p w14:paraId="704168FB" w14:textId="77777777" w:rsidR="009260DE" w:rsidRPr="00C657C7" w:rsidRDefault="009260DE" w:rsidP="009260DE">
      <w:pPr>
        <w:tabs>
          <w:tab w:val="left" w:pos="851"/>
        </w:tabs>
        <w:ind w:left="851" w:hanging="851"/>
        <w:rPr>
          <w:b/>
          <w:sz w:val="24"/>
          <w:szCs w:val="24"/>
        </w:rPr>
      </w:pPr>
      <w:r w:rsidRPr="00C657C7">
        <w:rPr>
          <w:b/>
          <w:sz w:val="24"/>
          <w:szCs w:val="24"/>
        </w:rPr>
        <w:t>0.</w:t>
      </w:r>
      <w:r w:rsidRPr="00C657C7">
        <w:rPr>
          <w:b/>
          <w:sz w:val="24"/>
          <w:szCs w:val="24"/>
        </w:rPr>
        <w:tab/>
        <w:t>D.SP.NR.</w:t>
      </w:r>
    </w:p>
    <w:p w14:paraId="18654DDC" w14:textId="4B8D2317" w:rsidR="009260DE" w:rsidRPr="00AA4AD7" w:rsidRDefault="00CB1797" w:rsidP="009260DE">
      <w:pPr>
        <w:tabs>
          <w:tab w:val="left" w:pos="851"/>
        </w:tabs>
        <w:ind w:left="851"/>
        <w:rPr>
          <w:sz w:val="24"/>
          <w:szCs w:val="24"/>
        </w:rPr>
      </w:pPr>
      <w:r w:rsidRPr="00AA4AD7">
        <w:rPr>
          <w:sz w:val="24"/>
          <w:szCs w:val="24"/>
        </w:rPr>
        <w:t>32943</w:t>
      </w:r>
    </w:p>
    <w:p w14:paraId="0168C153" w14:textId="77777777" w:rsidR="009260DE" w:rsidRPr="00AA4AD7" w:rsidRDefault="009260DE" w:rsidP="009260DE">
      <w:pPr>
        <w:tabs>
          <w:tab w:val="left" w:pos="851"/>
        </w:tabs>
        <w:ind w:left="851"/>
        <w:rPr>
          <w:sz w:val="24"/>
          <w:szCs w:val="24"/>
        </w:rPr>
      </w:pPr>
    </w:p>
    <w:p w14:paraId="2ACD3CCF" w14:textId="77777777" w:rsidR="009260DE" w:rsidRPr="00AA4AD7" w:rsidRDefault="009260DE" w:rsidP="009260DE">
      <w:pPr>
        <w:tabs>
          <w:tab w:val="left" w:pos="851"/>
        </w:tabs>
        <w:ind w:left="851" w:hanging="851"/>
        <w:rPr>
          <w:b/>
          <w:sz w:val="24"/>
          <w:szCs w:val="24"/>
        </w:rPr>
      </w:pPr>
      <w:r w:rsidRPr="00AA4AD7">
        <w:rPr>
          <w:b/>
          <w:sz w:val="24"/>
          <w:szCs w:val="24"/>
        </w:rPr>
        <w:t>1.</w:t>
      </w:r>
      <w:r w:rsidRPr="00AA4AD7">
        <w:rPr>
          <w:b/>
          <w:sz w:val="24"/>
          <w:szCs w:val="24"/>
        </w:rPr>
        <w:tab/>
        <w:t>LÆGEMIDLETS NAVN</w:t>
      </w:r>
    </w:p>
    <w:p w14:paraId="1EA298C2" w14:textId="282A262D" w:rsidR="009260DE" w:rsidRPr="00AA4AD7" w:rsidRDefault="00CB1797" w:rsidP="009260DE">
      <w:pPr>
        <w:tabs>
          <w:tab w:val="left" w:pos="851"/>
        </w:tabs>
        <w:ind w:left="851"/>
        <w:rPr>
          <w:sz w:val="24"/>
          <w:szCs w:val="24"/>
        </w:rPr>
      </w:pPr>
      <w:proofErr w:type="spellStart"/>
      <w:r w:rsidRPr="00AA4AD7">
        <w:rPr>
          <w:sz w:val="24"/>
          <w:szCs w:val="24"/>
        </w:rPr>
        <w:t>Dexamethasone</w:t>
      </w:r>
      <w:proofErr w:type="spellEnd"/>
      <w:r w:rsidRPr="00AA4AD7">
        <w:rPr>
          <w:sz w:val="24"/>
          <w:szCs w:val="24"/>
        </w:rPr>
        <w:t xml:space="preserve"> </w:t>
      </w:r>
      <w:proofErr w:type="spellStart"/>
      <w:r w:rsidRPr="00AA4AD7">
        <w:rPr>
          <w:sz w:val="24"/>
          <w:szCs w:val="24"/>
        </w:rPr>
        <w:t>phosphate</w:t>
      </w:r>
      <w:proofErr w:type="spellEnd"/>
      <w:r w:rsidRPr="00AA4AD7">
        <w:rPr>
          <w:sz w:val="24"/>
          <w:szCs w:val="24"/>
        </w:rPr>
        <w:t xml:space="preserve"> "</w:t>
      </w:r>
      <w:proofErr w:type="spellStart"/>
      <w:r w:rsidRPr="00AA4AD7">
        <w:rPr>
          <w:sz w:val="24"/>
          <w:szCs w:val="24"/>
        </w:rPr>
        <w:t>Accord</w:t>
      </w:r>
      <w:proofErr w:type="spellEnd"/>
      <w:r w:rsidRPr="00AA4AD7">
        <w:rPr>
          <w:sz w:val="24"/>
          <w:szCs w:val="24"/>
        </w:rPr>
        <w:t>"</w:t>
      </w:r>
    </w:p>
    <w:p w14:paraId="5ECB1B5C" w14:textId="77777777" w:rsidR="009260DE" w:rsidRPr="00AA4AD7" w:rsidRDefault="009260DE" w:rsidP="009260DE">
      <w:pPr>
        <w:tabs>
          <w:tab w:val="left" w:pos="851"/>
        </w:tabs>
        <w:ind w:left="851"/>
        <w:rPr>
          <w:sz w:val="24"/>
          <w:szCs w:val="24"/>
        </w:rPr>
      </w:pPr>
    </w:p>
    <w:p w14:paraId="30E5888E" w14:textId="77777777" w:rsidR="009260DE" w:rsidRPr="00AA4AD7" w:rsidRDefault="009260DE" w:rsidP="009260DE">
      <w:pPr>
        <w:tabs>
          <w:tab w:val="left" w:pos="851"/>
        </w:tabs>
        <w:ind w:left="851" w:hanging="851"/>
        <w:rPr>
          <w:b/>
          <w:sz w:val="24"/>
          <w:szCs w:val="24"/>
        </w:rPr>
      </w:pPr>
      <w:r w:rsidRPr="00AA4AD7">
        <w:rPr>
          <w:b/>
          <w:sz w:val="24"/>
          <w:szCs w:val="24"/>
        </w:rPr>
        <w:t>2.</w:t>
      </w:r>
      <w:r w:rsidRPr="00AA4AD7">
        <w:rPr>
          <w:b/>
          <w:sz w:val="24"/>
          <w:szCs w:val="24"/>
        </w:rPr>
        <w:tab/>
        <w:t>KVALITATIV OG KVANTITATIV SAMMENSÆTNING</w:t>
      </w:r>
    </w:p>
    <w:p w14:paraId="74EE32B8" w14:textId="77777777" w:rsidR="00C73700" w:rsidRPr="00AA4AD7" w:rsidRDefault="00C73700" w:rsidP="007224BC">
      <w:pPr>
        <w:ind w:left="851"/>
        <w:rPr>
          <w:sz w:val="24"/>
          <w:szCs w:val="24"/>
        </w:rPr>
      </w:pPr>
      <w:r w:rsidRPr="00AA4AD7">
        <w:rPr>
          <w:sz w:val="24"/>
          <w:szCs w:val="24"/>
        </w:rPr>
        <w:t xml:space="preserve">1 ml injektions-/infusionsvæske, opløsning, indeholder 4,0 mg </w:t>
      </w:r>
      <w:proofErr w:type="spellStart"/>
      <w:r w:rsidRPr="00AA4AD7">
        <w:rPr>
          <w:sz w:val="24"/>
          <w:szCs w:val="24"/>
        </w:rPr>
        <w:t>dexametasonfosfat</w:t>
      </w:r>
      <w:proofErr w:type="spellEnd"/>
      <w:r w:rsidRPr="00AA4AD7">
        <w:rPr>
          <w:sz w:val="24"/>
          <w:szCs w:val="24"/>
        </w:rPr>
        <w:t xml:space="preserve"> (som </w:t>
      </w:r>
      <w:proofErr w:type="spellStart"/>
      <w:r w:rsidRPr="00AA4AD7">
        <w:rPr>
          <w:sz w:val="24"/>
          <w:szCs w:val="24"/>
        </w:rPr>
        <w:t>dexametasonnatriumfosfat</w:t>
      </w:r>
      <w:proofErr w:type="spellEnd"/>
      <w:r w:rsidRPr="00AA4AD7">
        <w:rPr>
          <w:sz w:val="24"/>
          <w:szCs w:val="24"/>
        </w:rPr>
        <w:t>).</w:t>
      </w:r>
    </w:p>
    <w:p w14:paraId="711CAB83" w14:textId="77777777" w:rsidR="00C73700" w:rsidRPr="00AA4AD7" w:rsidRDefault="00C73700" w:rsidP="007224BC">
      <w:pPr>
        <w:ind w:left="851"/>
        <w:rPr>
          <w:sz w:val="24"/>
          <w:szCs w:val="24"/>
          <w:lang w:val="sv-SE"/>
        </w:rPr>
      </w:pPr>
    </w:p>
    <w:p w14:paraId="73ECA55E" w14:textId="77777777" w:rsidR="00C73700" w:rsidRPr="00AA4AD7" w:rsidRDefault="00C73700" w:rsidP="007224BC">
      <w:pPr>
        <w:ind w:left="851"/>
        <w:rPr>
          <w:sz w:val="24"/>
          <w:szCs w:val="24"/>
        </w:rPr>
      </w:pPr>
      <w:r w:rsidRPr="00AA4AD7">
        <w:rPr>
          <w:sz w:val="24"/>
          <w:szCs w:val="24"/>
        </w:rPr>
        <w:t xml:space="preserve">2 ml injektions-/infusionsvæske, opløsning, indeholder 8,0 mg </w:t>
      </w:r>
      <w:proofErr w:type="spellStart"/>
      <w:r w:rsidRPr="00AA4AD7">
        <w:rPr>
          <w:sz w:val="24"/>
          <w:szCs w:val="24"/>
        </w:rPr>
        <w:t>dexametasonfosfat</w:t>
      </w:r>
      <w:proofErr w:type="spellEnd"/>
      <w:r w:rsidRPr="00AA4AD7">
        <w:rPr>
          <w:sz w:val="24"/>
          <w:szCs w:val="24"/>
        </w:rPr>
        <w:t xml:space="preserve"> (som </w:t>
      </w:r>
      <w:proofErr w:type="spellStart"/>
      <w:r w:rsidRPr="00AA4AD7">
        <w:rPr>
          <w:sz w:val="24"/>
          <w:szCs w:val="24"/>
        </w:rPr>
        <w:t>dexametasonnatriumfosfat</w:t>
      </w:r>
      <w:proofErr w:type="spellEnd"/>
      <w:r w:rsidRPr="00AA4AD7">
        <w:rPr>
          <w:sz w:val="24"/>
          <w:szCs w:val="24"/>
        </w:rPr>
        <w:t>).</w:t>
      </w:r>
    </w:p>
    <w:p w14:paraId="5890ECD3" w14:textId="77777777" w:rsidR="00C73700" w:rsidRPr="00AA4AD7" w:rsidRDefault="00C73700" w:rsidP="007224BC">
      <w:pPr>
        <w:ind w:left="851"/>
        <w:rPr>
          <w:sz w:val="24"/>
          <w:szCs w:val="24"/>
          <w:lang w:val="sv-SE"/>
        </w:rPr>
      </w:pPr>
    </w:p>
    <w:p w14:paraId="4ADA4739" w14:textId="77777777" w:rsidR="00C73700" w:rsidRPr="00AA4AD7" w:rsidRDefault="00C73700" w:rsidP="007224BC">
      <w:pPr>
        <w:ind w:left="851"/>
        <w:rPr>
          <w:sz w:val="24"/>
          <w:szCs w:val="24"/>
        </w:rPr>
      </w:pPr>
      <w:r w:rsidRPr="00AA4AD7">
        <w:rPr>
          <w:sz w:val="24"/>
          <w:szCs w:val="24"/>
        </w:rPr>
        <w:t xml:space="preserve">5 ml injektions-/infusionsvæske, opløsning, indeholder 20,0 mg </w:t>
      </w:r>
      <w:proofErr w:type="spellStart"/>
      <w:r w:rsidRPr="00AA4AD7">
        <w:rPr>
          <w:sz w:val="24"/>
          <w:szCs w:val="24"/>
        </w:rPr>
        <w:t>dexametasonfosfat</w:t>
      </w:r>
      <w:proofErr w:type="spellEnd"/>
      <w:r w:rsidRPr="00AA4AD7">
        <w:rPr>
          <w:sz w:val="24"/>
          <w:szCs w:val="24"/>
        </w:rPr>
        <w:t xml:space="preserve"> (som </w:t>
      </w:r>
      <w:proofErr w:type="spellStart"/>
      <w:r w:rsidRPr="00AA4AD7">
        <w:rPr>
          <w:sz w:val="24"/>
          <w:szCs w:val="24"/>
        </w:rPr>
        <w:t>dexametasonnatriumfosfat</w:t>
      </w:r>
      <w:proofErr w:type="spellEnd"/>
      <w:r w:rsidRPr="00AA4AD7">
        <w:rPr>
          <w:sz w:val="24"/>
          <w:szCs w:val="24"/>
        </w:rPr>
        <w:t>).</w:t>
      </w:r>
    </w:p>
    <w:p w14:paraId="32EB371D" w14:textId="77777777" w:rsidR="00C73700" w:rsidRPr="00AA4AD7" w:rsidRDefault="00C73700" w:rsidP="007224BC">
      <w:pPr>
        <w:ind w:left="851"/>
        <w:rPr>
          <w:sz w:val="24"/>
          <w:szCs w:val="24"/>
          <w:lang w:val="sv-SE"/>
        </w:rPr>
      </w:pPr>
    </w:p>
    <w:p w14:paraId="04AE3279" w14:textId="77777777" w:rsidR="00C73700" w:rsidRPr="00AA4AD7" w:rsidRDefault="00C73700" w:rsidP="007224BC">
      <w:pPr>
        <w:ind w:left="851"/>
        <w:rPr>
          <w:sz w:val="24"/>
          <w:szCs w:val="24"/>
          <w:u w:val="single"/>
        </w:rPr>
      </w:pPr>
      <w:r w:rsidRPr="00AA4AD7">
        <w:rPr>
          <w:sz w:val="24"/>
          <w:szCs w:val="24"/>
          <w:u w:val="single"/>
        </w:rPr>
        <w:t>Hjælpestof(fer), som behandleren skal være opmærksom på:</w:t>
      </w:r>
    </w:p>
    <w:p w14:paraId="29D304C1" w14:textId="77777777" w:rsidR="00C73700" w:rsidRPr="00AA4AD7" w:rsidRDefault="00C73700" w:rsidP="007224BC">
      <w:pPr>
        <w:ind w:left="851"/>
        <w:rPr>
          <w:sz w:val="24"/>
          <w:szCs w:val="24"/>
        </w:rPr>
      </w:pPr>
      <w:r w:rsidRPr="00AA4AD7">
        <w:rPr>
          <w:sz w:val="24"/>
          <w:szCs w:val="24"/>
        </w:rPr>
        <w:t xml:space="preserve">Natrium: 1 ml injektions-/infusionsvæske, opløsning, indeholder 1,4 mg natrium. </w:t>
      </w:r>
    </w:p>
    <w:p w14:paraId="1F6A2DD1" w14:textId="77777777" w:rsidR="00C73700" w:rsidRPr="00AA4AD7" w:rsidRDefault="00C73700" w:rsidP="007224BC">
      <w:pPr>
        <w:ind w:left="851"/>
        <w:rPr>
          <w:sz w:val="24"/>
          <w:szCs w:val="24"/>
        </w:rPr>
      </w:pPr>
      <w:r w:rsidRPr="00AA4AD7">
        <w:rPr>
          <w:sz w:val="24"/>
          <w:szCs w:val="24"/>
        </w:rPr>
        <w:t xml:space="preserve">Hvert hætteglas med 1 ml injektions-/infusionsvæske, opløsning, indeholder 1,4 mg natrium. </w:t>
      </w:r>
    </w:p>
    <w:p w14:paraId="476C6C43" w14:textId="77777777" w:rsidR="00C73700" w:rsidRPr="00AA4AD7" w:rsidRDefault="00C73700" w:rsidP="007224BC">
      <w:pPr>
        <w:ind w:left="851"/>
        <w:rPr>
          <w:sz w:val="24"/>
          <w:szCs w:val="24"/>
        </w:rPr>
      </w:pPr>
      <w:r w:rsidRPr="00AA4AD7">
        <w:rPr>
          <w:sz w:val="24"/>
          <w:szCs w:val="24"/>
        </w:rPr>
        <w:t>Hvert hætteglas med 2 ml injektions-/infusionsvæske, opløsning, indeholder 2,8 mg natrium.</w:t>
      </w:r>
    </w:p>
    <w:p w14:paraId="25822F2B" w14:textId="77777777" w:rsidR="00C73700" w:rsidRPr="00AA4AD7" w:rsidRDefault="00C73700" w:rsidP="007224BC">
      <w:pPr>
        <w:ind w:left="851"/>
        <w:rPr>
          <w:sz w:val="24"/>
          <w:szCs w:val="24"/>
        </w:rPr>
      </w:pPr>
      <w:r w:rsidRPr="00AA4AD7">
        <w:rPr>
          <w:sz w:val="24"/>
          <w:szCs w:val="24"/>
        </w:rPr>
        <w:t>Hvert hætteglas med 5 ml injektions-/infusionsvæske, opløsning, indeholder 6,8 mg natrium.</w:t>
      </w:r>
    </w:p>
    <w:p w14:paraId="0E583C85" w14:textId="77777777" w:rsidR="00C73700" w:rsidRPr="00AA4AD7" w:rsidRDefault="00C73700" w:rsidP="007224BC">
      <w:pPr>
        <w:ind w:left="851"/>
        <w:rPr>
          <w:sz w:val="24"/>
          <w:szCs w:val="24"/>
          <w:lang w:val="sv-SE"/>
        </w:rPr>
      </w:pPr>
    </w:p>
    <w:p w14:paraId="6A16811F" w14:textId="77777777" w:rsidR="00C73700" w:rsidRPr="00AA4AD7" w:rsidRDefault="00C73700" w:rsidP="007224BC">
      <w:pPr>
        <w:ind w:left="851"/>
        <w:rPr>
          <w:sz w:val="24"/>
          <w:szCs w:val="24"/>
        </w:rPr>
      </w:pPr>
      <w:r w:rsidRPr="00AA4AD7">
        <w:rPr>
          <w:sz w:val="24"/>
          <w:szCs w:val="24"/>
        </w:rPr>
        <w:t>Alle hjælpestoffer er anført under pkt. 6.1.</w:t>
      </w:r>
    </w:p>
    <w:p w14:paraId="552938E3" w14:textId="77777777" w:rsidR="009260DE" w:rsidRPr="00AA4AD7" w:rsidRDefault="009260DE" w:rsidP="009260DE">
      <w:pPr>
        <w:tabs>
          <w:tab w:val="left" w:pos="851"/>
        </w:tabs>
        <w:ind w:left="851"/>
        <w:rPr>
          <w:sz w:val="24"/>
          <w:szCs w:val="24"/>
        </w:rPr>
      </w:pPr>
    </w:p>
    <w:p w14:paraId="29783841" w14:textId="77777777" w:rsidR="009260DE" w:rsidRPr="00AA4AD7" w:rsidRDefault="009260DE" w:rsidP="009260DE">
      <w:pPr>
        <w:tabs>
          <w:tab w:val="left" w:pos="851"/>
        </w:tabs>
        <w:ind w:left="851" w:hanging="851"/>
        <w:rPr>
          <w:b/>
          <w:sz w:val="24"/>
          <w:szCs w:val="24"/>
        </w:rPr>
      </w:pPr>
      <w:r w:rsidRPr="00AA4AD7">
        <w:rPr>
          <w:b/>
          <w:sz w:val="24"/>
          <w:szCs w:val="24"/>
        </w:rPr>
        <w:t>3.</w:t>
      </w:r>
      <w:r w:rsidRPr="00AA4AD7">
        <w:rPr>
          <w:b/>
          <w:sz w:val="24"/>
          <w:szCs w:val="24"/>
        </w:rPr>
        <w:tab/>
        <w:t>LÆGEMIDDELFORM</w:t>
      </w:r>
    </w:p>
    <w:p w14:paraId="7D36443B" w14:textId="77777777" w:rsidR="00C73700" w:rsidRPr="00AA4AD7" w:rsidRDefault="00C73700" w:rsidP="007224BC">
      <w:pPr>
        <w:ind w:left="851"/>
        <w:rPr>
          <w:sz w:val="24"/>
          <w:szCs w:val="24"/>
        </w:rPr>
      </w:pPr>
      <w:r w:rsidRPr="00AA4AD7">
        <w:rPr>
          <w:sz w:val="24"/>
          <w:szCs w:val="24"/>
        </w:rPr>
        <w:t>Injektions-/infusionsvæske, opløsning</w:t>
      </w:r>
    </w:p>
    <w:p w14:paraId="25E48A97" w14:textId="77777777" w:rsidR="00C73700" w:rsidRPr="00AA4AD7" w:rsidRDefault="00C73700" w:rsidP="007224BC">
      <w:pPr>
        <w:ind w:left="851"/>
        <w:rPr>
          <w:sz w:val="24"/>
          <w:szCs w:val="24"/>
        </w:rPr>
      </w:pPr>
    </w:p>
    <w:p w14:paraId="4BA58B50" w14:textId="77777777" w:rsidR="00C73700" w:rsidRPr="00AA4AD7" w:rsidRDefault="00C73700" w:rsidP="007224BC">
      <w:pPr>
        <w:ind w:left="851"/>
        <w:rPr>
          <w:sz w:val="24"/>
          <w:szCs w:val="24"/>
        </w:rPr>
      </w:pPr>
      <w:r w:rsidRPr="00AA4AD7">
        <w:rPr>
          <w:sz w:val="24"/>
          <w:szCs w:val="24"/>
        </w:rPr>
        <w:t>En klar, farveløs væske</w:t>
      </w:r>
    </w:p>
    <w:p w14:paraId="28DE4857" w14:textId="77777777" w:rsidR="00C73700" w:rsidRPr="00AA4AD7" w:rsidRDefault="00C73700" w:rsidP="007224BC">
      <w:pPr>
        <w:ind w:left="851"/>
        <w:rPr>
          <w:sz w:val="24"/>
          <w:szCs w:val="24"/>
        </w:rPr>
      </w:pPr>
    </w:p>
    <w:p w14:paraId="0412DCA6" w14:textId="3FFF1E85" w:rsidR="009260DE" w:rsidRPr="00AA4AD7" w:rsidRDefault="00C73700" w:rsidP="00947099">
      <w:pPr>
        <w:ind w:left="851"/>
        <w:rPr>
          <w:sz w:val="24"/>
          <w:szCs w:val="24"/>
        </w:rPr>
      </w:pPr>
      <w:r w:rsidRPr="00AA4AD7">
        <w:rPr>
          <w:sz w:val="24"/>
          <w:szCs w:val="24"/>
        </w:rPr>
        <w:t>pH: 7,00</w:t>
      </w:r>
      <w:r w:rsidRPr="00AA4AD7">
        <w:rPr>
          <w:sz w:val="24"/>
          <w:szCs w:val="24"/>
        </w:rPr>
        <w:noBreakHyphen/>
        <w:t>8,50</w:t>
      </w:r>
    </w:p>
    <w:p w14:paraId="62A78745" w14:textId="77777777" w:rsidR="009260DE" w:rsidRPr="00AA4AD7" w:rsidRDefault="009260DE" w:rsidP="009260DE">
      <w:pPr>
        <w:tabs>
          <w:tab w:val="left" w:pos="851"/>
        </w:tabs>
        <w:ind w:left="851"/>
        <w:rPr>
          <w:sz w:val="24"/>
          <w:szCs w:val="24"/>
        </w:rPr>
      </w:pPr>
    </w:p>
    <w:p w14:paraId="4FFD6065" w14:textId="77777777" w:rsidR="009260DE" w:rsidRPr="00AA4AD7" w:rsidRDefault="009260DE" w:rsidP="009260DE">
      <w:pPr>
        <w:tabs>
          <w:tab w:val="left" w:pos="851"/>
        </w:tabs>
        <w:ind w:left="851"/>
        <w:rPr>
          <w:sz w:val="24"/>
          <w:szCs w:val="24"/>
        </w:rPr>
      </w:pPr>
    </w:p>
    <w:p w14:paraId="4667E5F9" w14:textId="77777777" w:rsidR="009260DE" w:rsidRPr="00AA4AD7" w:rsidRDefault="009260DE" w:rsidP="009260DE">
      <w:pPr>
        <w:tabs>
          <w:tab w:val="left" w:pos="851"/>
        </w:tabs>
        <w:ind w:left="851" w:hanging="851"/>
        <w:rPr>
          <w:b/>
          <w:sz w:val="24"/>
          <w:szCs w:val="24"/>
        </w:rPr>
      </w:pPr>
      <w:r w:rsidRPr="00AA4AD7">
        <w:rPr>
          <w:b/>
          <w:sz w:val="24"/>
          <w:szCs w:val="24"/>
        </w:rPr>
        <w:lastRenderedPageBreak/>
        <w:t>4.</w:t>
      </w:r>
      <w:r w:rsidRPr="00AA4AD7">
        <w:rPr>
          <w:b/>
          <w:sz w:val="24"/>
          <w:szCs w:val="24"/>
        </w:rPr>
        <w:tab/>
        <w:t>KLINISKE OPLYSNINGER</w:t>
      </w:r>
    </w:p>
    <w:p w14:paraId="1AEE4EC9" w14:textId="77777777" w:rsidR="009260DE" w:rsidRPr="00AA4AD7" w:rsidRDefault="009260DE" w:rsidP="009260DE">
      <w:pPr>
        <w:tabs>
          <w:tab w:val="left" w:pos="851"/>
        </w:tabs>
        <w:ind w:left="851"/>
        <w:rPr>
          <w:b/>
          <w:sz w:val="24"/>
          <w:szCs w:val="24"/>
        </w:rPr>
      </w:pPr>
    </w:p>
    <w:p w14:paraId="435139E1" w14:textId="77777777" w:rsidR="009260DE" w:rsidRPr="00AA4AD7" w:rsidRDefault="009260DE" w:rsidP="009260DE">
      <w:pPr>
        <w:tabs>
          <w:tab w:val="left" w:pos="851"/>
        </w:tabs>
        <w:ind w:left="851" w:hanging="851"/>
        <w:rPr>
          <w:b/>
          <w:sz w:val="24"/>
          <w:szCs w:val="24"/>
          <w:u w:val="single"/>
        </w:rPr>
      </w:pPr>
      <w:r w:rsidRPr="00AA4AD7">
        <w:rPr>
          <w:b/>
          <w:sz w:val="24"/>
          <w:szCs w:val="24"/>
        </w:rPr>
        <w:t>4.1</w:t>
      </w:r>
      <w:r w:rsidRPr="00AA4AD7">
        <w:rPr>
          <w:b/>
          <w:sz w:val="24"/>
          <w:szCs w:val="24"/>
        </w:rPr>
        <w:tab/>
        <w:t>Terapeutiske indikationer</w:t>
      </w:r>
    </w:p>
    <w:p w14:paraId="4F59581B" w14:textId="77777777" w:rsidR="00947099" w:rsidRPr="00AA4AD7" w:rsidRDefault="00947099" w:rsidP="007224BC">
      <w:pPr>
        <w:widowControl w:val="0"/>
        <w:autoSpaceDE w:val="0"/>
        <w:autoSpaceDN w:val="0"/>
        <w:adjustRightInd w:val="0"/>
        <w:ind w:left="851"/>
        <w:rPr>
          <w:sz w:val="24"/>
          <w:szCs w:val="24"/>
          <w:u w:val="single"/>
        </w:rPr>
      </w:pPr>
    </w:p>
    <w:p w14:paraId="20EDB653" w14:textId="3942B653" w:rsidR="00C73700" w:rsidRPr="00AA4AD7" w:rsidRDefault="00C73700" w:rsidP="007224BC">
      <w:pPr>
        <w:widowControl w:val="0"/>
        <w:autoSpaceDE w:val="0"/>
        <w:autoSpaceDN w:val="0"/>
        <w:adjustRightInd w:val="0"/>
        <w:ind w:left="851"/>
        <w:rPr>
          <w:sz w:val="24"/>
          <w:szCs w:val="24"/>
          <w:u w:val="single"/>
        </w:rPr>
      </w:pPr>
      <w:r w:rsidRPr="00AA4AD7">
        <w:rPr>
          <w:sz w:val="24"/>
          <w:szCs w:val="24"/>
          <w:u w:val="single"/>
        </w:rPr>
        <w:t>Systemisk anvendelse</w:t>
      </w:r>
    </w:p>
    <w:p w14:paraId="5A78515D" w14:textId="77777777" w:rsidR="00C73700" w:rsidRPr="00AA4AD7" w:rsidRDefault="00C73700" w:rsidP="007224BC">
      <w:pPr>
        <w:tabs>
          <w:tab w:val="left" w:pos="1304"/>
        </w:tabs>
        <w:autoSpaceDE w:val="0"/>
        <w:autoSpaceDN w:val="0"/>
        <w:adjustRightInd w:val="0"/>
        <w:ind w:left="851"/>
        <w:rPr>
          <w:bCs/>
          <w:i/>
          <w:iCs/>
          <w:sz w:val="24"/>
          <w:szCs w:val="24"/>
        </w:rPr>
      </w:pPr>
      <w:r w:rsidRPr="00AA4AD7">
        <w:rPr>
          <w:bCs/>
          <w:i/>
          <w:iCs/>
          <w:sz w:val="24"/>
          <w:szCs w:val="24"/>
        </w:rPr>
        <w:t>Intravenøs eller intramuskulær administration</w:t>
      </w:r>
    </w:p>
    <w:p w14:paraId="54D63400" w14:textId="04C12912" w:rsidR="00C73700" w:rsidRPr="00AA4AD7" w:rsidRDefault="00C73700" w:rsidP="007224BC">
      <w:pPr>
        <w:tabs>
          <w:tab w:val="left" w:pos="1304"/>
        </w:tabs>
        <w:autoSpaceDE w:val="0"/>
        <w:autoSpaceDN w:val="0"/>
        <w:adjustRightInd w:val="0"/>
        <w:ind w:left="851"/>
        <w:rPr>
          <w:sz w:val="24"/>
          <w:szCs w:val="24"/>
        </w:rPr>
      </w:pPr>
      <w:proofErr w:type="spellStart"/>
      <w:r w:rsidRPr="00AA4AD7">
        <w:rPr>
          <w:sz w:val="24"/>
          <w:szCs w:val="24"/>
        </w:rPr>
        <w:t>Dexamethasone</w:t>
      </w:r>
      <w:proofErr w:type="spellEnd"/>
      <w:r w:rsidRPr="00AA4AD7">
        <w:rPr>
          <w:sz w:val="24"/>
          <w:szCs w:val="24"/>
        </w:rPr>
        <w:t xml:space="preserve"> </w:t>
      </w:r>
      <w:proofErr w:type="spellStart"/>
      <w:r w:rsidRPr="00AA4AD7">
        <w:rPr>
          <w:sz w:val="24"/>
          <w:szCs w:val="24"/>
        </w:rPr>
        <w:t>phosphate</w:t>
      </w:r>
      <w:proofErr w:type="spellEnd"/>
      <w:r w:rsidRPr="00AA4AD7">
        <w:rPr>
          <w:sz w:val="24"/>
          <w:szCs w:val="24"/>
        </w:rPr>
        <w:t xml:space="preserve"> </w:t>
      </w:r>
      <w:r w:rsidR="009816BE">
        <w:rPr>
          <w:sz w:val="24"/>
          <w:szCs w:val="24"/>
        </w:rPr>
        <w:t>"</w:t>
      </w:r>
      <w:proofErr w:type="spellStart"/>
      <w:r w:rsidR="009816BE">
        <w:rPr>
          <w:sz w:val="24"/>
          <w:szCs w:val="24"/>
        </w:rPr>
        <w:t>Accord</w:t>
      </w:r>
      <w:proofErr w:type="spellEnd"/>
      <w:r w:rsidR="009816BE">
        <w:rPr>
          <w:sz w:val="24"/>
          <w:szCs w:val="24"/>
        </w:rPr>
        <w:t>"</w:t>
      </w:r>
      <w:r w:rsidRPr="00AA4AD7">
        <w:rPr>
          <w:sz w:val="24"/>
          <w:szCs w:val="24"/>
        </w:rPr>
        <w:t xml:space="preserve"> anbefales til systemisk administration som intravenøs eller intramuskulær injektion, når oral behandling ikke kan lade sig gøre eller ikke er ønskværdigt, ved følgende tilstande:</w:t>
      </w:r>
    </w:p>
    <w:p w14:paraId="3895CE53" w14:textId="77777777" w:rsidR="00C73700" w:rsidRPr="00AA4AD7" w:rsidRDefault="00C73700" w:rsidP="007224BC">
      <w:pPr>
        <w:numPr>
          <w:ilvl w:val="0"/>
          <w:numId w:val="6"/>
        </w:numPr>
        <w:autoSpaceDE w:val="0"/>
        <w:autoSpaceDN w:val="0"/>
        <w:adjustRightInd w:val="0"/>
        <w:ind w:left="1276" w:hanging="425"/>
        <w:rPr>
          <w:sz w:val="24"/>
          <w:szCs w:val="24"/>
        </w:rPr>
      </w:pPr>
      <w:r w:rsidRPr="00AA4AD7">
        <w:rPr>
          <w:sz w:val="24"/>
          <w:szCs w:val="24"/>
        </w:rPr>
        <w:t>Cerebralt ødem, som skyldes en cerebral tumor, neurokirurgiske indgreb, hjerneabsces, bakteriel meningitis.</w:t>
      </w:r>
    </w:p>
    <w:p w14:paraId="66191653" w14:textId="77777777" w:rsidR="00C73700" w:rsidRPr="00AA4AD7" w:rsidRDefault="00C73700" w:rsidP="007224BC">
      <w:pPr>
        <w:numPr>
          <w:ilvl w:val="0"/>
          <w:numId w:val="6"/>
        </w:numPr>
        <w:autoSpaceDE w:val="0"/>
        <w:autoSpaceDN w:val="0"/>
        <w:adjustRightInd w:val="0"/>
        <w:ind w:left="1276" w:hanging="425"/>
        <w:rPr>
          <w:sz w:val="24"/>
          <w:szCs w:val="24"/>
        </w:rPr>
      </w:pPr>
      <w:r w:rsidRPr="00AA4AD7">
        <w:rPr>
          <w:sz w:val="24"/>
          <w:szCs w:val="24"/>
        </w:rPr>
        <w:t xml:space="preserve">Posttraumatisk </w:t>
      </w:r>
      <w:proofErr w:type="spellStart"/>
      <w:r w:rsidRPr="00AA4AD7">
        <w:rPr>
          <w:sz w:val="24"/>
          <w:szCs w:val="24"/>
        </w:rPr>
        <w:t>shock</w:t>
      </w:r>
      <w:proofErr w:type="spellEnd"/>
      <w:r w:rsidRPr="00AA4AD7">
        <w:rPr>
          <w:sz w:val="24"/>
          <w:szCs w:val="24"/>
        </w:rPr>
        <w:t xml:space="preserve"> og profylakse af posttraumatisk </w:t>
      </w:r>
      <w:proofErr w:type="spellStart"/>
      <w:r w:rsidRPr="00AA4AD7">
        <w:rPr>
          <w:sz w:val="24"/>
          <w:szCs w:val="24"/>
        </w:rPr>
        <w:t>shocklunge</w:t>
      </w:r>
      <w:proofErr w:type="spellEnd"/>
      <w:r w:rsidRPr="00AA4AD7">
        <w:rPr>
          <w:sz w:val="24"/>
          <w:szCs w:val="24"/>
        </w:rPr>
        <w:t xml:space="preserve"> (ARDS).</w:t>
      </w:r>
    </w:p>
    <w:p w14:paraId="6B7A55A0" w14:textId="77777777" w:rsidR="00C73700" w:rsidRPr="00AA4AD7" w:rsidRDefault="00C73700" w:rsidP="007224BC">
      <w:pPr>
        <w:numPr>
          <w:ilvl w:val="0"/>
          <w:numId w:val="6"/>
        </w:numPr>
        <w:autoSpaceDE w:val="0"/>
        <w:autoSpaceDN w:val="0"/>
        <w:adjustRightInd w:val="0"/>
        <w:ind w:left="1276" w:hanging="425"/>
        <w:rPr>
          <w:sz w:val="24"/>
          <w:szCs w:val="24"/>
        </w:rPr>
      </w:pPr>
      <w:r w:rsidRPr="00AA4AD7">
        <w:rPr>
          <w:sz w:val="24"/>
          <w:szCs w:val="24"/>
        </w:rPr>
        <w:t>Coronavirussygdom 2019 (COVID-19) hos voksne og unge patienter (12 år og ældre, med en legemsvægt på mindst 40 kg), som har behov for supplerende iltbehandling.</w:t>
      </w:r>
    </w:p>
    <w:p w14:paraId="4F33D568" w14:textId="77777777" w:rsidR="00C73700" w:rsidRPr="00AA4AD7" w:rsidRDefault="00C73700" w:rsidP="007224BC">
      <w:pPr>
        <w:numPr>
          <w:ilvl w:val="0"/>
          <w:numId w:val="6"/>
        </w:numPr>
        <w:autoSpaceDE w:val="0"/>
        <w:autoSpaceDN w:val="0"/>
        <w:adjustRightInd w:val="0"/>
        <w:ind w:left="1276" w:hanging="425"/>
        <w:rPr>
          <w:sz w:val="24"/>
          <w:szCs w:val="24"/>
        </w:rPr>
      </w:pPr>
      <w:proofErr w:type="spellStart"/>
      <w:r w:rsidRPr="00AA4AD7">
        <w:rPr>
          <w:sz w:val="24"/>
          <w:szCs w:val="24"/>
        </w:rPr>
        <w:t>Anafylaktisk</w:t>
      </w:r>
      <w:proofErr w:type="spellEnd"/>
      <w:r w:rsidRPr="00AA4AD7">
        <w:rPr>
          <w:sz w:val="24"/>
          <w:szCs w:val="24"/>
        </w:rPr>
        <w:t xml:space="preserve"> </w:t>
      </w:r>
      <w:proofErr w:type="spellStart"/>
      <w:r w:rsidRPr="00AA4AD7">
        <w:rPr>
          <w:sz w:val="24"/>
          <w:szCs w:val="24"/>
        </w:rPr>
        <w:t>shock</w:t>
      </w:r>
      <w:proofErr w:type="spellEnd"/>
      <w:r w:rsidRPr="00AA4AD7">
        <w:rPr>
          <w:sz w:val="24"/>
          <w:szCs w:val="24"/>
        </w:rPr>
        <w:t xml:space="preserve"> (efter indledende injektion af adrenalin).</w:t>
      </w:r>
    </w:p>
    <w:p w14:paraId="128EE168" w14:textId="77777777" w:rsidR="00C73700" w:rsidRPr="00AA4AD7" w:rsidRDefault="00C73700" w:rsidP="007224BC">
      <w:pPr>
        <w:numPr>
          <w:ilvl w:val="0"/>
          <w:numId w:val="6"/>
        </w:numPr>
        <w:autoSpaceDE w:val="0"/>
        <w:autoSpaceDN w:val="0"/>
        <w:adjustRightInd w:val="0"/>
        <w:ind w:left="1276" w:hanging="425"/>
        <w:rPr>
          <w:sz w:val="24"/>
          <w:szCs w:val="24"/>
        </w:rPr>
      </w:pPr>
      <w:r w:rsidRPr="00AA4AD7">
        <w:rPr>
          <w:sz w:val="24"/>
          <w:szCs w:val="24"/>
        </w:rPr>
        <w:t>Svært akut astmaanfald.</w:t>
      </w:r>
    </w:p>
    <w:p w14:paraId="0E6A1878" w14:textId="77777777" w:rsidR="00C73700" w:rsidRPr="00AA4AD7" w:rsidRDefault="00C73700" w:rsidP="007224BC">
      <w:pPr>
        <w:numPr>
          <w:ilvl w:val="0"/>
          <w:numId w:val="6"/>
        </w:numPr>
        <w:autoSpaceDE w:val="0"/>
        <w:autoSpaceDN w:val="0"/>
        <w:adjustRightInd w:val="0"/>
        <w:ind w:left="1276" w:hanging="425"/>
        <w:rPr>
          <w:sz w:val="24"/>
          <w:szCs w:val="24"/>
        </w:rPr>
      </w:pPr>
      <w:r w:rsidRPr="00AA4AD7">
        <w:rPr>
          <w:sz w:val="24"/>
          <w:szCs w:val="24"/>
        </w:rPr>
        <w:t xml:space="preserve">Indledende parenteral behandling af omfattende, akutte, svære hudsygdomme, såsom </w:t>
      </w:r>
      <w:proofErr w:type="spellStart"/>
      <w:r w:rsidRPr="00AA4AD7">
        <w:rPr>
          <w:sz w:val="24"/>
          <w:szCs w:val="24"/>
        </w:rPr>
        <w:t>erytrodermi</w:t>
      </w:r>
      <w:proofErr w:type="spellEnd"/>
      <w:r w:rsidRPr="00AA4AD7">
        <w:rPr>
          <w:sz w:val="24"/>
          <w:szCs w:val="24"/>
        </w:rPr>
        <w:t xml:space="preserve">, </w:t>
      </w:r>
      <w:proofErr w:type="spellStart"/>
      <w:r w:rsidRPr="00AA4AD7">
        <w:rPr>
          <w:sz w:val="24"/>
          <w:szCs w:val="24"/>
        </w:rPr>
        <w:t>pemfigus</w:t>
      </w:r>
      <w:proofErr w:type="spellEnd"/>
      <w:r w:rsidRPr="00AA4AD7">
        <w:rPr>
          <w:sz w:val="24"/>
          <w:szCs w:val="24"/>
        </w:rPr>
        <w:t xml:space="preserve"> </w:t>
      </w:r>
      <w:proofErr w:type="spellStart"/>
      <w:r w:rsidRPr="00AA4AD7">
        <w:rPr>
          <w:sz w:val="24"/>
          <w:szCs w:val="24"/>
        </w:rPr>
        <w:t>vulgaris</w:t>
      </w:r>
      <w:proofErr w:type="spellEnd"/>
      <w:r w:rsidRPr="00AA4AD7">
        <w:rPr>
          <w:sz w:val="24"/>
          <w:szCs w:val="24"/>
        </w:rPr>
        <w:t>, akut eksem.</w:t>
      </w:r>
    </w:p>
    <w:p w14:paraId="1739643A" w14:textId="77777777" w:rsidR="00C73700" w:rsidRPr="00AA4AD7" w:rsidRDefault="00C73700" w:rsidP="007224BC">
      <w:pPr>
        <w:numPr>
          <w:ilvl w:val="0"/>
          <w:numId w:val="6"/>
        </w:numPr>
        <w:autoSpaceDE w:val="0"/>
        <w:autoSpaceDN w:val="0"/>
        <w:adjustRightInd w:val="0"/>
        <w:ind w:left="1276" w:hanging="425"/>
        <w:rPr>
          <w:sz w:val="24"/>
          <w:szCs w:val="24"/>
        </w:rPr>
      </w:pPr>
      <w:r w:rsidRPr="00AA4AD7">
        <w:rPr>
          <w:sz w:val="24"/>
          <w:szCs w:val="24"/>
        </w:rPr>
        <w:t xml:space="preserve">Indledende parenteral behandling af autoimmune sygdomme, såsom systemisk lupus </w:t>
      </w:r>
      <w:proofErr w:type="spellStart"/>
      <w:r w:rsidRPr="00AA4AD7">
        <w:rPr>
          <w:sz w:val="24"/>
          <w:szCs w:val="24"/>
        </w:rPr>
        <w:t>erythematosus</w:t>
      </w:r>
      <w:proofErr w:type="spellEnd"/>
      <w:r w:rsidRPr="00AA4AD7">
        <w:rPr>
          <w:sz w:val="24"/>
          <w:szCs w:val="24"/>
        </w:rPr>
        <w:t xml:space="preserve"> (især </w:t>
      </w:r>
      <w:proofErr w:type="spellStart"/>
      <w:r w:rsidRPr="00AA4AD7">
        <w:rPr>
          <w:sz w:val="24"/>
          <w:szCs w:val="24"/>
        </w:rPr>
        <w:t>viscerale</w:t>
      </w:r>
      <w:proofErr w:type="spellEnd"/>
      <w:r w:rsidRPr="00AA4AD7">
        <w:rPr>
          <w:sz w:val="24"/>
          <w:szCs w:val="24"/>
        </w:rPr>
        <w:t xml:space="preserve"> former).</w:t>
      </w:r>
    </w:p>
    <w:p w14:paraId="0FC6B421" w14:textId="77777777" w:rsidR="00C73700" w:rsidRPr="00AA4AD7" w:rsidRDefault="00C73700" w:rsidP="007224BC">
      <w:pPr>
        <w:numPr>
          <w:ilvl w:val="0"/>
          <w:numId w:val="6"/>
        </w:numPr>
        <w:autoSpaceDE w:val="0"/>
        <w:autoSpaceDN w:val="0"/>
        <w:adjustRightInd w:val="0"/>
        <w:ind w:left="1276" w:hanging="425"/>
        <w:rPr>
          <w:sz w:val="24"/>
          <w:szCs w:val="24"/>
        </w:rPr>
      </w:pPr>
      <w:r w:rsidRPr="00AA4AD7">
        <w:rPr>
          <w:sz w:val="24"/>
          <w:szCs w:val="24"/>
        </w:rPr>
        <w:t xml:space="preserve">Aktiv </w:t>
      </w:r>
      <w:proofErr w:type="spellStart"/>
      <w:r w:rsidRPr="00AA4AD7">
        <w:rPr>
          <w:sz w:val="24"/>
          <w:szCs w:val="24"/>
        </w:rPr>
        <w:t>reumatoid</w:t>
      </w:r>
      <w:proofErr w:type="spellEnd"/>
      <w:r w:rsidRPr="00AA4AD7">
        <w:rPr>
          <w:sz w:val="24"/>
          <w:szCs w:val="24"/>
        </w:rPr>
        <w:t xml:space="preserve"> </w:t>
      </w:r>
      <w:proofErr w:type="spellStart"/>
      <w:r w:rsidRPr="00AA4AD7">
        <w:rPr>
          <w:sz w:val="24"/>
          <w:szCs w:val="24"/>
        </w:rPr>
        <w:t>artrit</w:t>
      </w:r>
      <w:proofErr w:type="spellEnd"/>
      <w:r w:rsidRPr="00AA4AD7">
        <w:rPr>
          <w:sz w:val="24"/>
          <w:szCs w:val="24"/>
        </w:rPr>
        <w:t xml:space="preserve"> med et svært progressivt forløb, fx hurtigt forløbende destruktive former og/eller med </w:t>
      </w:r>
      <w:proofErr w:type="spellStart"/>
      <w:r w:rsidRPr="00AA4AD7">
        <w:rPr>
          <w:sz w:val="24"/>
          <w:szCs w:val="24"/>
        </w:rPr>
        <w:t>ekstraartikulære</w:t>
      </w:r>
      <w:proofErr w:type="spellEnd"/>
      <w:r w:rsidRPr="00AA4AD7">
        <w:rPr>
          <w:sz w:val="24"/>
          <w:szCs w:val="24"/>
        </w:rPr>
        <w:t xml:space="preserve"> manifestationer.</w:t>
      </w:r>
    </w:p>
    <w:p w14:paraId="54F90C29" w14:textId="77777777" w:rsidR="00C73700" w:rsidRPr="00AA4AD7" w:rsidRDefault="00C73700" w:rsidP="007224BC">
      <w:pPr>
        <w:numPr>
          <w:ilvl w:val="0"/>
          <w:numId w:val="6"/>
        </w:numPr>
        <w:autoSpaceDE w:val="0"/>
        <w:autoSpaceDN w:val="0"/>
        <w:adjustRightInd w:val="0"/>
        <w:ind w:left="1276" w:hanging="425"/>
        <w:rPr>
          <w:sz w:val="24"/>
          <w:szCs w:val="24"/>
        </w:rPr>
      </w:pPr>
      <w:r w:rsidRPr="00AA4AD7">
        <w:rPr>
          <w:sz w:val="24"/>
          <w:szCs w:val="24"/>
        </w:rPr>
        <w:t xml:space="preserve">Svære infektionssygdomme med toksiske tilstande (fx tuberkulose, tyfus, </w:t>
      </w:r>
      <w:proofErr w:type="spellStart"/>
      <w:r w:rsidRPr="00AA4AD7">
        <w:rPr>
          <w:sz w:val="24"/>
          <w:szCs w:val="24"/>
        </w:rPr>
        <w:t>brucellose</w:t>
      </w:r>
      <w:proofErr w:type="spellEnd"/>
      <w:r w:rsidRPr="00AA4AD7">
        <w:rPr>
          <w:sz w:val="24"/>
          <w:szCs w:val="24"/>
        </w:rPr>
        <w:t>), kun med passende behandling af infektionen.</w:t>
      </w:r>
    </w:p>
    <w:p w14:paraId="7154673E" w14:textId="77777777" w:rsidR="00C73700" w:rsidRPr="00AA4AD7" w:rsidRDefault="00C73700" w:rsidP="007224BC">
      <w:pPr>
        <w:numPr>
          <w:ilvl w:val="0"/>
          <w:numId w:val="6"/>
        </w:numPr>
        <w:autoSpaceDE w:val="0"/>
        <w:autoSpaceDN w:val="0"/>
        <w:adjustRightInd w:val="0"/>
        <w:ind w:left="1276" w:hanging="425"/>
        <w:rPr>
          <w:sz w:val="24"/>
          <w:szCs w:val="24"/>
        </w:rPr>
      </w:pPr>
      <w:r w:rsidRPr="00AA4AD7">
        <w:rPr>
          <w:sz w:val="24"/>
          <w:szCs w:val="24"/>
        </w:rPr>
        <w:t>Palliativ behandling af maligne tumorer.</w:t>
      </w:r>
    </w:p>
    <w:p w14:paraId="4E09BA5F" w14:textId="77777777" w:rsidR="00C73700" w:rsidRPr="00AA4AD7" w:rsidRDefault="00C73700" w:rsidP="007224BC">
      <w:pPr>
        <w:numPr>
          <w:ilvl w:val="0"/>
          <w:numId w:val="6"/>
        </w:numPr>
        <w:autoSpaceDE w:val="0"/>
        <w:autoSpaceDN w:val="0"/>
        <w:adjustRightInd w:val="0"/>
        <w:ind w:left="1276" w:hanging="425"/>
        <w:rPr>
          <w:sz w:val="24"/>
          <w:szCs w:val="24"/>
        </w:rPr>
      </w:pPr>
      <w:r w:rsidRPr="00AA4AD7">
        <w:rPr>
          <w:sz w:val="24"/>
          <w:szCs w:val="24"/>
        </w:rPr>
        <w:t xml:space="preserve">Profylakse og behandling af postoperativ eller </w:t>
      </w:r>
      <w:proofErr w:type="spellStart"/>
      <w:r w:rsidRPr="00AA4AD7">
        <w:rPr>
          <w:sz w:val="24"/>
          <w:szCs w:val="24"/>
        </w:rPr>
        <w:t>cytostatika</w:t>
      </w:r>
      <w:proofErr w:type="spellEnd"/>
      <w:r w:rsidRPr="00AA4AD7">
        <w:rPr>
          <w:sz w:val="24"/>
          <w:szCs w:val="24"/>
        </w:rPr>
        <w:t xml:space="preserve">-induceret opkastning relateret til </w:t>
      </w:r>
      <w:proofErr w:type="spellStart"/>
      <w:r w:rsidRPr="00AA4AD7">
        <w:rPr>
          <w:sz w:val="24"/>
          <w:szCs w:val="24"/>
        </w:rPr>
        <w:t>antiemetiske</w:t>
      </w:r>
      <w:proofErr w:type="spellEnd"/>
      <w:r w:rsidRPr="00AA4AD7">
        <w:rPr>
          <w:sz w:val="24"/>
          <w:szCs w:val="24"/>
        </w:rPr>
        <w:t xml:space="preserve"> behandlingsforløb.</w:t>
      </w:r>
    </w:p>
    <w:p w14:paraId="663FAA4C" w14:textId="77777777" w:rsidR="00C73700" w:rsidRPr="00AA4AD7" w:rsidRDefault="00C73700" w:rsidP="00C73700">
      <w:pPr>
        <w:tabs>
          <w:tab w:val="left" w:pos="1304"/>
        </w:tabs>
        <w:autoSpaceDE w:val="0"/>
        <w:autoSpaceDN w:val="0"/>
        <w:adjustRightInd w:val="0"/>
        <w:rPr>
          <w:sz w:val="24"/>
          <w:szCs w:val="24"/>
          <w:lang w:val="sv-SE"/>
        </w:rPr>
      </w:pPr>
    </w:p>
    <w:p w14:paraId="33751301" w14:textId="77777777" w:rsidR="00C73700" w:rsidRPr="00AA4AD7" w:rsidRDefault="00C73700" w:rsidP="007224BC">
      <w:pPr>
        <w:autoSpaceDE w:val="0"/>
        <w:autoSpaceDN w:val="0"/>
        <w:adjustRightInd w:val="0"/>
        <w:ind w:left="851"/>
        <w:rPr>
          <w:bCs/>
          <w:sz w:val="24"/>
          <w:szCs w:val="24"/>
          <w:u w:val="single"/>
        </w:rPr>
      </w:pPr>
      <w:r w:rsidRPr="00AA4AD7">
        <w:rPr>
          <w:bCs/>
          <w:sz w:val="24"/>
          <w:szCs w:val="24"/>
          <w:u w:val="single"/>
        </w:rPr>
        <w:t>Subkutan administration</w:t>
      </w:r>
    </w:p>
    <w:p w14:paraId="2D66EEB2" w14:textId="77777777" w:rsidR="00C73700" w:rsidRPr="00AA4AD7" w:rsidRDefault="00C73700" w:rsidP="007224BC">
      <w:pPr>
        <w:numPr>
          <w:ilvl w:val="0"/>
          <w:numId w:val="7"/>
        </w:numPr>
        <w:autoSpaceDE w:val="0"/>
        <w:autoSpaceDN w:val="0"/>
        <w:adjustRightInd w:val="0"/>
        <w:ind w:left="1276" w:hanging="425"/>
        <w:rPr>
          <w:sz w:val="24"/>
          <w:szCs w:val="24"/>
        </w:rPr>
      </w:pPr>
      <w:r w:rsidRPr="00AA4AD7">
        <w:rPr>
          <w:sz w:val="24"/>
          <w:szCs w:val="24"/>
        </w:rPr>
        <w:t>Palliativ behandling af maligne tumorer og forebyggelse samt behandling af kemoterapi-induceret kvalme og opkastning (CINV).</w:t>
      </w:r>
    </w:p>
    <w:p w14:paraId="60DFFAA1" w14:textId="77777777" w:rsidR="00C73700" w:rsidRPr="00AA4AD7" w:rsidRDefault="00C73700" w:rsidP="00C73700">
      <w:pPr>
        <w:tabs>
          <w:tab w:val="left" w:pos="1304"/>
        </w:tabs>
        <w:autoSpaceDE w:val="0"/>
        <w:autoSpaceDN w:val="0"/>
        <w:adjustRightInd w:val="0"/>
        <w:rPr>
          <w:sz w:val="24"/>
          <w:szCs w:val="24"/>
          <w:lang w:val="sv-SE"/>
        </w:rPr>
      </w:pPr>
    </w:p>
    <w:p w14:paraId="0B9ED5C6" w14:textId="246D4482" w:rsidR="00C73700" w:rsidRPr="00AA4AD7" w:rsidRDefault="00C73700" w:rsidP="007224BC">
      <w:pPr>
        <w:autoSpaceDE w:val="0"/>
        <w:autoSpaceDN w:val="0"/>
        <w:adjustRightInd w:val="0"/>
        <w:ind w:left="851"/>
        <w:rPr>
          <w:sz w:val="24"/>
          <w:szCs w:val="24"/>
        </w:rPr>
      </w:pPr>
      <w:r w:rsidRPr="00AA4AD7">
        <w:rPr>
          <w:sz w:val="24"/>
          <w:szCs w:val="24"/>
        </w:rPr>
        <w:t xml:space="preserve">Ved palliativ pleje kan patienter, der får </w:t>
      </w:r>
      <w:proofErr w:type="spellStart"/>
      <w:r w:rsidRPr="00AA4AD7">
        <w:rPr>
          <w:sz w:val="24"/>
          <w:szCs w:val="24"/>
        </w:rPr>
        <w:t>kortikosteroider</w:t>
      </w:r>
      <w:proofErr w:type="spellEnd"/>
      <w:r w:rsidRPr="00AA4AD7">
        <w:rPr>
          <w:sz w:val="24"/>
          <w:szCs w:val="24"/>
        </w:rPr>
        <w:t xml:space="preserve"> mod symptomer såsom udmattelse, anoreksi, refraktær kvalme og opkastning eller </w:t>
      </w:r>
      <w:proofErr w:type="spellStart"/>
      <w:r w:rsidRPr="00AA4AD7">
        <w:rPr>
          <w:sz w:val="24"/>
          <w:szCs w:val="24"/>
        </w:rPr>
        <w:t>adjuverende</w:t>
      </w:r>
      <w:proofErr w:type="spellEnd"/>
      <w:r w:rsidRPr="00AA4AD7">
        <w:rPr>
          <w:sz w:val="24"/>
          <w:szCs w:val="24"/>
        </w:rPr>
        <w:t xml:space="preserve"> analgesi og symptomatisk behandling af rygmarvskompression eller forhøjet </w:t>
      </w:r>
      <w:proofErr w:type="spellStart"/>
      <w:r w:rsidRPr="00AA4AD7">
        <w:rPr>
          <w:sz w:val="24"/>
          <w:szCs w:val="24"/>
        </w:rPr>
        <w:t>intrakranielt</w:t>
      </w:r>
      <w:proofErr w:type="spellEnd"/>
      <w:r w:rsidRPr="00AA4AD7">
        <w:rPr>
          <w:sz w:val="24"/>
          <w:szCs w:val="24"/>
        </w:rPr>
        <w:t xml:space="preserve"> tryk, få </w:t>
      </w:r>
      <w:proofErr w:type="spellStart"/>
      <w:r w:rsidRPr="00AA4AD7">
        <w:rPr>
          <w:sz w:val="24"/>
          <w:szCs w:val="24"/>
        </w:rPr>
        <w:t>Dexamethasone</w:t>
      </w:r>
      <w:proofErr w:type="spellEnd"/>
      <w:r w:rsidRPr="00AA4AD7">
        <w:rPr>
          <w:sz w:val="24"/>
          <w:szCs w:val="24"/>
        </w:rPr>
        <w:t xml:space="preserve"> </w:t>
      </w:r>
      <w:proofErr w:type="spellStart"/>
      <w:r w:rsidRPr="00AA4AD7">
        <w:rPr>
          <w:sz w:val="24"/>
          <w:szCs w:val="24"/>
        </w:rPr>
        <w:t>phosphate</w:t>
      </w:r>
      <w:proofErr w:type="spellEnd"/>
      <w:r w:rsidRPr="00AA4AD7">
        <w:rPr>
          <w:sz w:val="24"/>
          <w:szCs w:val="24"/>
        </w:rPr>
        <w:t xml:space="preserve"> </w:t>
      </w:r>
      <w:r w:rsidR="009816BE">
        <w:rPr>
          <w:sz w:val="24"/>
          <w:szCs w:val="24"/>
        </w:rPr>
        <w:t>"</w:t>
      </w:r>
      <w:proofErr w:type="spellStart"/>
      <w:r w:rsidR="009816BE">
        <w:rPr>
          <w:sz w:val="24"/>
          <w:szCs w:val="24"/>
        </w:rPr>
        <w:t>Accord</w:t>
      </w:r>
      <w:proofErr w:type="spellEnd"/>
      <w:r w:rsidR="009816BE">
        <w:rPr>
          <w:sz w:val="24"/>
          <w:szCs w:val="24"/>
        </w:rPr>
        <w:t>"</w:t>
      </w:r>
      <w:r w:rsidRPr="00AA4AD7">
        <w:rPr>
          <w:sz w:val="24"/>
          <w:szCs w:val="24"/>
        </w:rPr>
        <w:t xml:space="preserve"> administreret subkutant (se pkt. 4.2) som alternativ til oral administration, når sidstnævnte er uacceptabelt eller ikke længere kan lade sig gøre.</w:t>
      </w:r>
    </w:p>
    <w:p w14:paraId="677BB3E4" w14:textId="77777777" w:rsidR="00C73700" w:rsidRPr="00AA4AD7" w:rsidRDefault="00C73700" w:rsidP="007224BC">
      <w:pPr>
        <w:autoSpaceDE w:val="0"/>
        <w:autoSpaceDN w:val="0"/>
        <w:adjustRightInd w:val="0"/>
        <w:ind w:left="851"/>
        <w:rPr>
          <w:sz w:val="24"/>
          <w:szCs w:val="24"/>
          <w:lang w:val="sv-SE"/>
        </w:rPr>
      </w:pPr>
    </w:p>
    <w:p w14:paraId="0FB11D0E" w14:textId="77777777" w:rsidR="00C73700" w:rsidRPr="00AA4AD7" w:rsidRDefault="00C73700" w:rsidP="007224BC">
      <w:pPr>
        <w:autoSpaceDE w:val="0"/>
        <w:autoSpaceDN w:val="0"/>
        <w:adjustRightInd w:val="0"/>
        <w:ind w:left="851"/>
        <w:rPr>
          <w:sz w:val="24"/>
          <w:szCs w:val="24"/>
          <w:u w:val="single"/>
        </w:rPr>
      </w:pPr>
      <w:r w:rsidRPr="00AA4AD7">
        <w:rPr>
          <w:sz w:val="24"/>
          <w:szCs w:val="24"/>
          <w:u w:val="single"/>
        </w:rPr>
        <w:t>Lokal administration</w:t>
      </w:r>
    </w:p>
    <w:p w14:paraId="18B452CB" w14:textId="77777777" w:rsidR="00C73700" w:rsidRPr="00AA4AD7" w:rsidRDefault="00C73700" w:rsidP="007224BC">
      <w:pPr>
        <w:numPr>
          <w:ilvl w:val="0"/>
          <w:numId w:val="7"/>
        </w:numPr>
        <w:autoSpaceDE w:val="0"/>
        <w:autoSpaceDN w:val="0"/>
        <w:adjustRightInd w:val="0"/>
        <w:ind w:left="1276" w:hanging="425"/>
        <w:rPr>
          <w:sz w:val="24"/>
          <w:szCs w:val="24"/>
        </w:rPr>
      </w:pPr>
      <w:proofErr w:type="spellStart"/>
      <w:r w:rsidRPr="00AA4AD7">
        <w:rPr>
          <w:sz w:val="24"/>
          <w:szCs w:val="24"/>
        </w:rPr>
        <w:t>Intraartikulære</w:t>
      </w:r>
      <w:proofErr w:type="spellEnd"/>
      <w:r w:rsidRPr="00AA4AD7">
        <w:rPr>
          <w:sz w:val="24"/>
          <w:szCs w:val="24"/>
        </w:rPr>
        <w:t xml:space="preserve"> og </w:t>
      </w:r>
      <w:proofErr w:type="spellStart"/>
      <w:r w:rsidRPr="00AA4AD7">
        <w:rPr>
          <w:sz w:val="24"/>
          <w:szCs w:val="24"/>
        </w:rPr>
        <w:t>periartikulære</w:t>
      </w:r>
      <w:proofErr w:type="spellEnd"/>
      <w:r w:rsidRPr="00AA4AD7">
        <w:rPr>
          <w:sz w:val="24"/>
          <w:szCs w:val="24"/>
        </w:rPr>
        <w:t xml:space="preserve"> injektioner mod persisterende inflammation i et eller flere led efter generel behandling af kronisk inflammatorisk </w:t>
      </w:r>
      <w:proofErr w:type="spellStart"/>
      <w:r w:rsidRPr="00AA4AD7">
        <w:rPr>
          <w:sz w:val="24"/>
          <w:szCs w:val="24"/>
        </w:rPr>
        <w:t>ledsygdom</w:t>
      </w:r>
      <w:proofErr w:type="spellEnd"/>
      <w:r w:rsidRPr="00AA4AD7">
        <w:rPr>
          <w:sz w:val="24"/>
          <w:szCs w:val="24"/>
        </w:rPr>
        <w:t xml:space="preserve">, aktiveret artrose eller akutte former for </w:t>
      </w:r>
      <w:proofErr w:type="spellStart"/>
      <w:r w:rsidRPr="00AA4AD7">
        <w:rPr>
          <w:sz w:val="24"/>
          <w:szCs w:val="24"/>
        </w:rPr>
        <w:t>periarthropathia</w:t>
      </w:r>
      <w:proofErr w:type="spellEnd"/>
      <w:r w:rsidRPr="00AA4AD7">
        <w:rPr>
          <w:sz w:val="24"/>
          <w:szCs w:val="24"/>
        </w:rPr>
        <w:t xml:space="preserve"> </w:t>
      </w:r>
      <w:proofErr w:type="spellStart"/>
      <w:r w:rsidRPr="00AA4AD7">
        <w:rPr>
          <w:sz w:val="24"/>
          <w:szCs w:val="24"/>
        </w:rPr>
        <w:t>humeroscapularis</w:t>
      </w:r>
      <w:proofErr w:type="spellEnd"/>
      <w:r w:rsidRPr="00AA4AD7">
        <w:rPr>
          <w:sz w:val="24"/>
          <w:szCs w:val="24"/>
        </w:rPr>
        <w:t>.</w:t>
      </w:r>
    </w:p>
    <w:p w14:paraId="58D8EBC5" w14:textId="77777777" w:rsidR="00C73700" w:rsidRPr="00AA4AD7" w:rsidRDefault="00C73700" w:rsidP="007224BC">
      <w:pPr>
        <w:numPr>
          <w:ilvl w:val="0"/>
          <w:numId w:val="7"/>
        </w:numPr>
        <w:autoSpaceDE w:val="0"/>
        <w:autoSpaceDN w:val="0"/>
        <w:adjustRightInd w:val="0"/>
        <w:ind w:left="1276" w:hanging="425"/>
        <w:rPr>
          <w:b/>
          <w:sz w:val="24"/>
          <w:szCs w:val="24"/>
        </w:rPr>
      </w:pPr>
      <w:r w:rsidRPr="00AA4AD7">
        <w:rPr>
          <w:sz w:val="24"/>
          <w:szCs w:val="24"/>
        </w:rPr>
        <w:t>Infiltrationsbehandling (på tvingende indikation) af non</w:t>
      </w:r>
      <w:r w:rsidRPr="00AA4AD7">
        <w:rPr>
          <w:sz w:val="24"/>
          <w:szCs w:val="24"/>
        </w:rPr>
        <w:noBreakHyphen/>
        <w:t xml:space="preserve">bakteriel </w:t>
      </w:r>
      <w:proofErr w:type="spellStart"/>
      <w:r w:rsidRPr="00AA4AD7">
        <w:rPr>
          <w:sz w:val="24"/>
          <w:szCs w:val="24"/>
        </w:rPr>
        <w:t>tendovaginit</w:t>
      </w:r>
      <w:proofErr w:type="spellEnd"/>
      <w:r w:rsidRPr="00AA4AD7">
        <w:rPr>
          <w:sz w:val="24"/>
          <w:szCs w:val="24"/>
        </w:rPr>
        <w:t xml:space="preserve"> og </w:t>
      </w:r>
      <w:proofErr w:type="spellStart"/>
      <w:r w:rsidRPr="00AA4AD7">
        <w:rPr>
          <w:sz w:val="24"/>
          <w:szCs w:val="24"/>
        </w:rPr>
        <w:t>bursitis</w:t>
      </w:r>
      <w:proofErr w:type="spellEnd"/>
      <w:r w:rsidRPr="00AA4AD7">
        <w:rPr>
          <w:sz w:val="24"/>
          <w:szCs w:val="24"/>
        </w:rPr>
        <w:t xml:space="preserve">, </w:t>
      </w:r>
      <w:proofErr w:type="spellStart"/>
      <w:r w:rsidRPr="00AA4AD7">
        <w:rPr>
          <w:sz w:val="24"/>
          <w:szCs w:val="24"/>
        </w:rPr>
        <w:t>periatrit</w:t>
      </w:r>
      <w:proofErr w:type="spellEnd"/>
      <w:r w:rsidRPr="00AA4AD7">
        <w:rPr>
          <w:sz w:val="24"/>
          <w:szCs w:val="24"/>
        </w:rPr>
        <w:t xml:space="preserve">, </w:t>
      </w:r>
      <w:proofErr w:type="spellStart"/>
      <w:r w:rsidRPr="00AA4AD7">
        <w:rPr>
          <w:sz w:val="24"/>
          <w:szCs w:val="24"/>
        </w:rPr>
        <w:t>insertionel</w:t>
      </w:r>
      <w:proofErr w:type="spellEnd"/>
      <w:r w:rsidRPr="00AA4AD7">
        <w:rPr>
          <w:sz w:val="24"/>
          <w:szCs w:val="24"/>
        </w:rPr>
        <w:t xml:space="preserve"> </w:t>
      </w:r>
      <w:proofErr w:type="spellStart"/>
      <w:r w:rsidRPr="00AA4AD7">
        <w:rPr>
          <w:sz w:val="24"/>
          <w:szCs w:val="24"/>
        </w:rPr>
        <w:t>tendinopati</w:t>
      </w:r>
      <w:proofErr w:type="spellEnd"/>
      <w:r w:rsidRPr="00AA4AD7">
        <w:rPr>
          <w:sz w:val="24"/>
          <w:szCs w:val="24"/>
        </w:rPr>
        <w:t>.</w:t>
      </w:r>
    </w:p>
    <w:p w14:paraId="3D041239" w14:textId="2DA1EC03" w:rsidR="00735800" w:rsidRDefault="00735800">
      <w:pPr>
        <w:rPr>
          <w:sz w:val="24"/>
          <w:szCs w:val="24"/>
        </w:rPr>
      </w:pPr>
      <w:r>
        <w:rPr>
          <w:sz w:val="24"/>
          <w:szCs w:val="24"/>
        </w:rPr>
        <w:br w:type="page"/>
      </w:r>
    </w:p>
    <w:p w14:paraId="37E7F6B9" w14:textId="77777777" w:rsidR="009260DE" w:rsidRPr="00AA4AD7" w:rsidRDefault="009260DE" w:rsidP="009260DE">
      <w:pPr>
        <w:tabs>
          <w:tab w:val="left" w:pos="851"/>
        </w:tabs>
        <w:ind w:left="851"/>
        <w:rPr>
          <w:sz w:val="24"/>
          <w:szCs w:val="24"/>
        </w:rPr>
      </w:pPr>
    </w:p>
    <w:p w14:paraId="603BED1F" w14:textId="77777777" w:rsidR="009260DE" w:rsidRPr="00AA4AD7" w:rsidRDefault="009260DE" w:rsidP="009260DE">
      <w:pPr>
        <w:tabs>
          <w:tab w:val="left" w:pos="851"/>
        </w:tabs>
        <w:ind w:left="851" w:hanging="851"/>
        <w:rPr>
          <w:b/>
          <w:sz w:val="24"/>
          <w:szCs w:val="24"/>
        </w:rPr>
      </w:pPr>
      <w:r w:rsidRPr="00AA4AD7">
        <w:rPr>
          <w:b/>
          <w:sz w:val="24"/>
          <w:szCs w:val="24"/>
        </w:rPr>
        <w:t>4.2</w:t>
      </w:r>
      <w:r w:rsidRPr="00AA4AD7">
        <w:rPr>
          <w:b/>
          <w:sz w:val="24"/>
          <w:szCs w:val="24"/>
        </w:rPr>
        <w:tab/>
        <w:t xml:space="preserve">Dosering og </w:t>
      </w:r>
      <w:r w:rsidR="002C1EC0" w:rsidRPr="00AA4AD7">
        <w:rPr>
          <w:b/>
          <w:sz w:val="24"/>
          <w:szCs w:val="24"/>
        </w:rPr>
        <w:t>administration</w:t>
      </w:r>
    </w:p>
    <w:p w14:paraId="5F00087B" w14:textId="77777777" w:rsidR="00947099" w:rsidRPr="00AA4AD7" w:rsidRDefault="00947099" w:rsidP="007224BC">
      <w:pPr>
        <w:autoSpaceDE w:val="0"/>
        <w:autoSpaceDN w:val="0"/>
        <w:adjustRightInd w:val="0"/>
        <w:ind w:left="851"/>
        <w:rPr>
          <w:bCs/>
          <w:sz w:val="24"/>
          <w:szCs w:val="24"/>
          <w:u w:val="single"/>
        </w:rPr>
      </w:pPr>
    </w:p>
    <w:p w14:paraId="23003A9E" w14:textId="3195E85D" w:rsidR="00C73700" w:rsidRPr="00AA4AD7" w:rsidRDefault="00C73700" w:rsidP="007224BC">
      <w:pPr>
        <w:autoSpaceDE w:val="0"/>
        <w:autoSpaceDN w:val="0"/>
        <w:adjustRightInd w:val="0"/>
        <w:ind w:left="851"/>
        <w:rPr>
          <w:bCs/>
          <w:sz w:val="24"/>
          <w:szCs w:val="24"/>
          <w:u w:val="single"/>
        </w:rPr>
      </w:pPr>
      <w:r w:rsidRPr="00AA4AD7">
        <w:rPr>
          <w:bCs/>
          <w:sz w:val="24"/>
          <w:szCs w:val="24"/>
          <w:u w:val="single"/>
        </w:rPr>
        <w:t>Dosering</w:t>
      </w:r>
    </w:p>
    <w:p w14:paraId="5AD57E69" w14:textId="77777777" w:rsidR="00C73700" w:rsidRPr="00AA4AD7" w:rsidRDefault="00C73700" w:rsidP="007224BC">
      <w:pPr>
        <w:autoSpaceDE w:val="0"/>
        <w:autoSpaceDN w:val="0"/>
        <w:adjustRightInd w:val="0"/>
        <w:ind w:left="851"/>
        <w:rPr>
          <w:sz w:val="24"/>
          <w:szCs w:val="24"/>
        </w:rPr>
      </w:pPr>
    </w:p>
    <w:p w14:paraId="4B5F7921" w14:textId="77777777" w:rsidR="00C73700" w:rsidRPr="00AA4AD7" w:rsidRDefault="00C73700" w:rsidP="007224BC">
      <w:pPr>
        <w:autoSpaceDE w:val="0"/>
        <w:autoSpaceDN w:val="0"/>
        <w:adjustRightInd w:val="0"/>
        <w:ind w:left="851"/>
        <w:rPr>
          <w:sz w:val="24"/>
          <w:szCs w:val="24"/>
        </w:rPr>
      </w:pPr>
      <w:r w:rsidRPr="00AA4AD7">
        <w:rPr>
          <w:sz w:val="24"/>
          <w:szCs w:val="24"/>
        </w:rPr>
        <w:t>Dosis afhænger af sygdommens art og sværhedsgrad samt den enkelte patients respons på behandlingen. Generelt skal der anvendes relativt høje indledende doser, og de bør være markant højere ved akutte, svære tilstande end ved kroniske sygdomme.</w:t>
      </w:r>
    </w:p>
    <w:p w14:paraId="28B6D1EA" w14:textId="77777777" w:rsidR="00C73700" w:rsidRPr="00AA4AD7" w:rsidRDefault="00C73700" w:rsidP="007224BC">
      <w:pPr>
        <w:autoSpaceDE w:val="0"/>
        <w:autoSpaceDN w:val="0"/>
        <w:adjustRightInd w:val="0"/>
        <w:ind w:left="851"/>
        <w:rPr>
          <w:sz w:val="24"/>
          <w:szCs w:val="24"/>
        </w:rPr>
      </w:pPr>
    </w:p>
    <w:p w14:paraId="089FB934" w14:textId="77777777" w:rsidR="00C73700" w:rsidRPr="00AA4AD7" w:rsidRDefault="00C73700" w:rsidP="007224BC">
      <w:pPr>
        <w:autoSpaceDE w:val="0"/>
        <w:autoSpaceDN w:val="0"/>
        <w:adjustRightInd w:val="0"/>
        <w:ind w:left="851"/>
        <w:rPr>
          <w:sz w:val="24"/>
          <w:szCs w:val="24"/>
        </w:rPr>
      </w:pPr>
      <w:r w:rsidRPr="00AA4AD7">
        <w:rPr>
          <w:sz w:val="24"/>
          <w:szCs w:val="24"/>
        </w:rPr>
        <w:t>Nedenstående doseringsskemaer anbefales:</w:t>
      </w:r>
    </w:p>
    <w:p w14:paraId="7290C665" w14:textId="77777777" w:rsidR="00C73700" w:rsidRPr="00AA4AD7" w:rsidRDefault="00C73700" w:rsidP="007224BC">
      <w:pPr>
        <w:autoSpaceDE w:val="0"/>
        <w:autoSpaceDN w:val="0"/>
        <w:adjustRightInd w:val="0"/>
        <w:ind w:left="851"/>
        <w:rPr>
          <w:sz w:val="24"/>
          <w:szCs w:val="24"/>
        </w:rPr>
      </w:pPr>
      <w:r w:rsidRPr="00AA4AD7">
        <w:rPr>
          <w:sz w:val="24"/>
          <w:szCs w:val="24"/>
        </w:rPr>
        <w:t xml:space="preserve"> </w:t>
      </w:r>
    </w:p>
    <w:p w14:paraId="37180DF9" w14:textId="77777777" w:rsidR="00C73700" w:rsidRPr="00AA4AD7" w:rsidRDefault="00C73700" w:rsidP="007224BC">
      <w:pPr>
        <w:autoSpaceDE w:val="0"/>
        <w:autoSpaceDN w:val="0"/>
        <w:adjustRightInd w:val="0"/>
        <w:ind w:left="851"/>
        <w:rPr>
          <w:sz w:val="24"/>
          <w:szCs w:val="24"/>
          <w:u w:val="single"/>
        </w:rPr>
      </w:pPr>
      <w:r w:rsidRPr="00AA4AD7">
        <w:rPr>
          <w:sz w:val="24"/>
          <w:szCs w:val="24"/>
          <w:u w:val="single"/>
        </w:rPr>
        <w:t>Systemisk administration</w:t>
      </w:r>
    </w:p>
    <w:p w14:paraId="30DCD7E9" w14:textId="77777777" w:rsidR="00C73700" w:rsidRPr="00AA4AD7" w:rsidRDefault="00C73700" w:rsidP="007224BC">
      <w:pPr>
        <w:autoSpaceDE w:val="0"/>
        <w:autoSpaceDN w:val="0"/>
        <w:adjustRightInd w:val="0"/>
        <w:ind w:left="851"/>
        <w:rPr>
          <w:bCs/>
          <w:sz w:val="24"/>
          <w:szCs w:val="24"/>
        </w:rPr>
      </w:pPr>
      <w:r w:rsidRPr="00AA4AD7">
        <w:rPr>
          <w:bCs/>
          <w:sz w:val="24"/>
          <w:szCs w:val="24"/>
        </w:rPr>
        <w:t>Intravenøs eller intramuskulær anvendelse</w:t>
      </w:r>
    </w:p>
    <w:p w14:paraId="2353BFF1" w14:textId="77777777" w:rsidR="00C73700" w:rsidRPr="00AA4AD7" w:rsidRDefault="00C73700" w:rsidP="007224BC">
      <w:pPr>
        <w:autoSpaceDE w:val="0"/>
        <w:autoSpaceDN w:val="0"/>
        <w:adjustRightInd w:val="0"/>
        <w:ind w:left="851"/>
        <w:rPr>
          <w:i/>
          <w:iCs/>
          <w:sz w:val="24"/>
          <w:szCs w:val="24"/>
          <w:lang w:val="sv-SE"/>
        </w:rPr>
      </w:pPr>
    </w:p>
    <w:p w14:paraId="5EF7402A" w14:textId="77777777" w:rsidR="00C73700" w:rsidRPr="00AA4AD7" w:rsidRDefault="00C73700" w:rsidP="007224BC">
      <w:pPr>
        <w:autoSpaceDE w:val="0"/>
        <w:autoSpaceDN w:val="0"/>
        <w:adjustRightInd w:val="0"/>
        <w:ind w:left="851"/>
        <w:rPr>
          <w:i/>
          <w:iCs/>
          <w:sz w:val="24"/>
          <w:szCs w:val="24"/>
        </w:rPr>
      </w:pPr>
      <w:r w:rsidRPr="00AA4AD7">
        <w:rPr>
          <w:i/>
          <w:sz w:val="24"/>
          <w:szCs w:val="24"/>
        </w:rPr>
        <w:t>Voksne</w:t>
      </w:r>
    </w:p>
    <w:p w14:paraId="4E656D43" w14:textId="77777777" w:rsidR="00C73700" w:rsidRPr="00AA4AD7" w:rsidRDefault="00C73700" w:rsidP="007224BC">
      <w:pPr>
        <w:numPr>
          <w:ilvl w:val="0"/>
          <w:numId w:val="8"/>
        </w:numPr>
        <w:autoSpaceDE w:val="0"/>
        <w:autoSpaceDN w:val="0"/>
        <w:adjustRightInd w:val="0"/>
        <w:ind w:left="1276" w:hanging="425"/>
        <w:rPr>
          <w:i/>
          <w:iCs/>
          <w:sz w:val="24"/>
          <w:szCs w:val="24"/>
        </w:rPr>
      </w:pPr>
      <w:r w:rsidRPr="00AA4AD7">
        <w:rPr>
          <w:i/>
          <w:sz w:val="24"/>
          <w:szCs w:val="24"/>
        </w:rPr>
        <w:t>Cerebralt ødem</w:t>
      </w:r>
    </w:p>
    <w:p w14:paraId="241D93A9" w14:textId="42DAF4D1" w:rsidR="00C73700" w:rsidRPr="00AA4AD7" w:rsidRDefault="00C73700" w:rsidP="00947099">
      <w:pPr>
        <w:autoSpaceDE w:val="0"/>
        <w:autoSpaceDN w:val="0"/>
        <w:adjustRightInd w:val="0"/>
        <w:ind w:left="1276"/>
        <w:rPr>
          <w:sz w:val="24"/>
          <w:szCs w:val="24"/>
        </w:rPr>
      </w:pPr>
      <w:r w:rsidRPr="00AA4AD7">
        <w:rPr>
          <w:sz w:val="24"/>
          <w:szCs w:val="24"/>
        </w:rPr>
        <w:t>Initialt 8</w:t>
      </w:r>
      <w:r w:rsidRPr="00AA4AD7">
        <w:rPr>
          <w:sz w:val="24"/>
          <w:szCs w:val="24"/>
        </w:rPr>
        <w:noBreakHyphen/>
        <w:t xml:space="preserve">10 mg (op til 80 mg) </w:t>
      </w:r>
      <w:proofErr w:type="spellStart"/>
      <w:r w:rsidRPr="00AA4AD7">
        <w:rPr>
          <w:sz w:val="24"/>
          <w:szCs w:val="24"/>
        </w:rPr>
        <w:t>i.v</w:t>
      </w:r>
      <w:proofErr w:type="spellEnd"/>
      <w:r w:rsidRPr="00AA4AD7">
        <w:rPr>
          <w:sz w:val="24"/>
          <w:szCs w:val="24"/>
        </w:rPr>
        <w:t>., derefter 16</w:t>
      </w:r>
      <w:r w:rsidRPr="00AA4AD7">
        <w:rPr>
          <w:sz w:val="24"/>
          <w:szCs w:val="24"/>
        </w:rPr>
        <w:noBreakHyphen/>
        <w:t>24 mg (op til 48 </w:t>
      </w:r>
      <w:proofErr w:type="gramStart"/>
      <w:r w:rsidRPr="00AA4AD7">
        <w:rPr>
          <w:sz w:val="24"/>
          <w:szCs w:val="24"/>
        </w:rPr>
        <w:t>mg)/</w:t>
      </w:r>
      <w:proofErr w:type="gramEnd"/>
      <w:r w:rsidRPr="00AA4AD7">
        <w:rPr>
          <w:sz w:val="24"/>
          <w:szCs w:val="24"/>
        </w:rPr>
        <w:t xml:space="preserve">dag </w:t>
      </w:r>
      <w:proofErr w:type="spellStart"/>
      <w:r w:rsidRPr="00AA4AD7">
        <w:rPr>
          <w:sz w:val="24"/>
          <w:szCs w:val="24"/>
        </w:rPr>
        <w:t>i.v</w:t>
      </w:r>
      <w:proofErr w:type="spellEnd"/>
      <w:r w:rsidRPr="00AA4AD7">
        <w:rPr>
          <w:sz w:val="24"/>
          <w:szCs w:val="24"/>
        </w:rPr>
        <w:t>. som 3</w:t>
      </w:r>
      <w:r w:rsidRPr="00AA4AD7">
        <w:rPr>
          <w:sz w:val="24"/>
          <w:szCs w:val="24"/>
        </w:rPr>
        <w:noBreakHyphen/>
        <w:t>4 (6) individuelle doser over 4</w:t>
      </w:r>
      <w:r w:rsidRPr="00AA4AD7">
        <w:rPr>
          <w:sz w:val="24"/>
          <w:szCs w:val="24"/>
        </w:rPr>
        <w:noBreakHyphen/>
        <w:t xml:space="preserve">8 dage. Langvarig administration af </w:t>
      </w:r>
      <w:proofErr w:type="spellStart"/>
      <w:r w:rsidRPr="00AA4AD7">
        <w:rPr>
          <w:sz w:val="24"/>
          <w:szCs w:val="24"/>
        </w:rPr>
        <w:t>Dexamethasone</w:t>
      </w:r>
      <w:proofErr w:type="spellEnd"/>
      <w:r w:rsidRPr="00AA4AD7">
        <w:rPr>
          <w:sz w:val="24"/>
          <w:szCs w:val="24"/>
        </w:rPr>
        <w:t xml:space="preserve"> </w:t>
      </w:r>
      <w:proofErr w:type="spellStart"/>
      <w:r w:rsidRPr="00AA4AD7">
        <w:rPr>
          <w:sz w:val="24"/>
          <w:szCs w:val="24"/>
        </w:rPr>
        <w:t>phosphate</w:t>
      </w:r>
      <w:proofErr w:type="spellEnd"/>
      <w:r w:rsidRPr="00AA4AD7">
        <w:rPr>
          <w:sz w:val="24"/>
          <w:szCs w:val="24"/>
        </w:rPr>
        <w:t xml:space="preserve"> </w:t>
      </w:r>
      <w:r w:rsidR="009816BE">
        <w:rPr>
          <w:sz w:val="24"/>
          <w:szCs w:val="24"/>
        </w:rPr>
        <w:t>"</w:t>
      </w:r>
      <w:proofErr w:type="spellStart"/>
      <w:r w:rsidR="009816BE">
        <w:rPr>
          <w:sz w:val="24"/>
          <w:szCs w:val="24"/>
        </w:rPr>
        <w:t>Accord</w:t>
      </w:r>
      <w:proofErr w:type="spellEnd"/>
      <w:r w:rsidR="009816BE">
        <w:rPr>
          <w:sz w:val="24"/>
          <w:szCs w:val="24"/>
        </w:rPr>
        <w:t>"</w:t>
      </w:r>
      <w:r w:rsidRPr="00AA4AD7">
        <w:rPr>
          <w:sz w:val="24"/>
          <w:szCs w:val="24"/>
        </w:rPr>
        <w:t xml:space="preserve"> ved lavere doser kan være nødvendigt under strålebehandling og som en del af konservativ behandling af inoperable hjernetumorer.</w:t>
      </w:r>
    </w:p>
    <w:p w14:paraId="1DB67896" w14:textId="77777777" w:rsidR="00C73700" w:rsidRPr="00AA4AD7" w:rsidRDefault="00C73700" w:rsidP="00947099">
      <w:pPr>
        <w:autoSpaceDE w:val="0"/>
        <w:autoSpaceDN w:val="0"/>
        <w:adjustRightInd w:val="0"/>
        <w:ind w:left="1276"/>
        <w:rPr>
          <w:sz w:val="24"/>
          <w:szCs w:val="24"/>
        </w:rPr>
      </w:pPr>
      <w:r w:rsidRPr="00AA4AD7">
        <w:rPr>
          <w:sz w:val="24"/>
          <w:szCs w:val="24"/>
        </w:rPr>
        <w:t>Cerebralt ødem pga. bakteriel meningitis: 0,15 mg/kg legemsvægt hver 6. time i 4 dage.</w:t>
      </w:r>
    </w:p>
    <w:p w14:paraId="7C3CE330" w14:textId="77777777" w:rsidR="00C73700" w:rsidRPr="00AA4AD7" w:rsidRDefault="00C73700" w:rsidP="007224BC">
      <w:pPr>
        <w:autoSpaceDE w:val="0"/>
        <w:autoSpaceDN w:val="0"/>
        <w:adjustRightInd w:val="0"/>
        <w:ind w:left="1276" w:hanging="425"/>
        <w:rPr>
          <w:sz w:val="24"/>
          <w:szCs w:val="24"/>
          <w:lang w:val="sv-SE"/>
        </w:rPr>
      </w:pPr>
    </w:p>
    <w:p w14:paraId="46E49A54" w14:textId="77777777" w:rsidR="00C73700" w:rsidRPr="00AA4AD7" w:rsidRDefault="00C73700" w:rsidP="007224BC">
      <w:pPr>
        <w:numPr>
          <w:ilvl w:val="0"/>
          <w:numId w:val="8"/>
        </w:numPr>
        <w:autoSpaceDE w:val="0"/>
        <w:autoSpaceDN w:val="0"/>
        <w:adjustRightInd w:val="0"/>
        <w:ind w:left="1276" w:hanging="425"/>
        <w:rPr>
          <w:i/>
          <w:iCs/>
          <w:sz w:val="24"/>
          <w:szCs w:val="24"/>
        </w:rPr>
      </w:pPr>
      <w:r w:rsidRPr="00AA4AD7">
        <w:rPr>
          <w:i/>
          <w:sz w:val="24"/>
          <w:szCs w:val="24"/>
        </w:rPr>
        <w:t xml:space="preserve">Posttraumatisk </w:t>
      </w:r>
      <w:proofErr w:type="spellStart"/>
      <w:r w:rsidRPr="00AA4AD7">
        <w:rPr>
          <w:i/>
          <w:sz w:val="24"/>
          <w:szCs w:val="24"/>
        </w:rPr>
        <w:t>shock</w:t>
      </w:r>
      <w:proofErr w:type="spellEnd"/>
      <w:r w:rsidRPr="00AA4AD7">
        <w:rPr>
          <w:i/>
          <w:sz w:val="24"/>
          <w:szCs w:val="24"/>
        </w:rPr>
        <w:t xml:space="preserve"> og forebyggelse af posttraumatisk </w:t>
      </w:r>
      <w:proofErr w:type="spellStart"/>
      <w:r w:rsidRPr="00AA4AD7">
        <w:rPr>
          <w:i/>
          <w:sz w:val="24"/>
          <w:szCs w:val="24"/>
        </w:rPr>
        <w:t>shocklunge</w:t>
      </w:r>
      <w:proofErr w:type="spellEnd"/>
    </w:p>
    <w:p w14:paraId="4B0165F3" w14:textId="77777777" w:rsidR="00C73700" w:rsidRPr="00AA4AD7" w:rsidRDefault="00C73700" w:rsidP="00947099">
      <w:pPr>
        <w:autoSpaceDE w:val="0"/>
        <w:autoSpaceDN w:val="0"/>
        <w:adjustRightInd w:val="0"/>
        <w:ind w:left="1276"/>
        <w:rPr>
          <w:sz w:val="24"/>
          <w:szCs w:val="24"/>
        </w:rPr>
      </w:pPr>
      <w:r w:rsidRPr="00AA4AD7">
        <w:rPr>
          <w:sz w:val="24"/>
          <w:szCs w:val="24"/>
        </w:rPr>
        <w:t>Initialt 40</w:t>
      </w:r>
      <w:r w:rsidRPr="00AA4AD7">
        <w:rPr>
          <w:sz w:val="24"/>
          <w:szCs w:val="24"/>
        </w:rPr>
        <w:noBreakHyphen/>
        <w:t xml:space="preserve">100 mg </w:t>
      </w:r>
      <w:proofErr w:type="spellStart"/>
      <w:r w:rsidRPr="00AA4AD7">
        <w:rPr>
          <w:sz w:val="24"/>
          <w:szCs w:val="24"/>
        </w:rPr>
        <w:t>i.v</w:t>
      </w:r>
      <w:proofErr w:type="spellEnd"/>
      <w:r w:rsidRPr="00AA4AD7">
        <w:rPr>
          <w:sz w:val="24"/>
          <w:szCs w:val="24"/>
        </w:rPr>
        <w:t>. gentaget efter 12 timer. Alternativt 16</w:t>
      </w:r>
      <w:r w:rsidRPr="00AA4AD7">
        <w:rPr>
          <w:sz w:val="24"/>
          <w:szCs w:val="24"/>
        </w:rPr>
        <w:noBreakHyphen/>
        <w:t>40 mg hver 6. time i 2</w:t>
      </w:r>
      <w:r w:rsidRPr="00AA4AD7">
        <w:rPr>
          <w:sz w:val="24"/>
          <w:szCs w:val="24"/>
        </w:rPr>
        <w:noBreakHyphen/>
        <w:t>3 dage.</w:t>
      </w:r>
    </w:p>
    <w:p w14:paraId="0FB10887" w14:textId="77777777" w:rsidR="00C73700" w:rsidRPr="00AA4AD7" w:rsidRDefault="00C73700" w:rsidP="007224BC">
      <w:pPr>
        <w:autoSpaceDE w:val="0"/>
        <w:autoSpaceDN w:val="0"/>
        <w:adjustRightInd w:val="0"/>
        <w:ind w:left="1276" w:hanging="425"/>
        <w:rPr>
          <w:sz w:val="24"/>
          <w:szCs w:val="24"/>
          <w:lang w:val="sv-SE"/>
        </w:rPr>
      </w:pPr>
    </w:p>
    <w:p w14:paraId="15A0D014" w14:textId="77777777" w:rsidR="00C73700" w:rsidRPr="00AA4AD7" w:rsidRDefault="00C73700" w:rsidP="007224BC">
      <w:pPr>
        <w:numPr>
          <w:ilvl w:val="0"/>
          <w:numId w:val="8"/>
        </w:numPr>
        <w:autoSpaceDE w:val="0"/>
        <w:autoSpaceDN w:val="0"/>
        <w:adjustRightInd w:val="0"/>
        <w:ind w:left="1276" w:hanging="425"/>
        <w:rPr>
          <w:i/>
          <w:sz w:val="24"/>
          <w:szCs w:val="24"/>
        </w:rPr>
      </w:pPr>
      <w:r w:rsidRPr="00AA4AD7">
        <w:rPr>
          <w:i/>
          <w:sz w:val="24"/>
          <w:szCs w:val="24"/>
        </w:rPr>
        <w:t>Behandling af COVID-19</w:t>
      </w:r>
    </w:p>
    <w:p w14:paraId="555B491C" w14:textId="77777777" w:rsidR="00C73700" w:rsidRPr="00AA4AD7" w:rsidRDefault="00C73700" w:rsidP="00947099">
      <w:pPr>
        <w:autoSpaceDE w:val="0"/>
        <w:autoSpaceDN w:val="0"/>
        <w:adjustRightInd w:val="0"/>
        <w:ind w:left="1276"/>
        <w:rPr>
          <w:sz w:val="24"/>
          <w:szCs w:val="24"/>
        </w:rPr>
      </w:pPr>
      <w:r w:rsidRPr="00AA4AD7">
        <w:rPr>
          <w:sz w:val="24"/>
          <w:szCs w:val="24"/>
        </w:rPr>
        <w:t xml:space="preserve">6 mg </w:t>
      </w:r>
      <w:proofErr w:type="spellStart"/>
      <w:r w:rsidRPr="00AA4AD7">
        <w:rPr>
          <w:sz w:val="24"/>
          <w:szCs w:val="24"/>
        </w:rPr>
        <w:t>i.v</w:t>
      </w:r>
      <w:proofErr w:type="spellEnd"/>
      <w:r w:rsidRPr="00AA4AD7">
        <w:rPr>
          <w:sz w:val="24"/>
          <w:szCs w:val="24"/>
        </w:rPr>
        <w:t>. én gang dagligt i op til 10 dage. Behandlingens varighed skal styres af klinisk respons og individuelle patientbehov. Ældre patienter, nedsat nyrefunktion, nedsat leverfunktion – der er ikke behov for dosisjustering.</w:t>
      </w:r>
    </w:p>
    <w:p w14:paraId="2A1099B4" w14:textId="77777777" w:rsidR="00C73700" w:rsidRPr="00AA4AD7" w:rsidRDefault="00C73700" w:rsidP="007224BC">
      <w:pPr>
        <w:autoSpaceDE w:val="0"/>
        <w:autoSpaceDN w:val="0"/>
        <w:adjustRightInd w:val="0"/>
        <w:ind w:left="1276" w:hanging="425"/>
        <w:rPr>
          <w:sz w:val="24"/>
          <w:szCs w:val="24"/>
          <w:lang w:val="sv-SE"/>
        </w:rPr>
      </w:pPr>
    </w:p>
    <w:p w14:paraId="59E562C2" w14:textId="77777777" w:rsidR="00C73700" w:rsidRPr="00AA4AD7" w:rsidRDefault="00C73700" w:rsidP="007224BC">
      <w:pPr>
        <w:numPr>
          <w:ilvl w:val="0"/>
          <w:numId w:val="8"/>
        </w:numPr>
        <w:autoSpaceDE w:val="0"/>
        <w:autoSpaceDN w:val="0"/>
        <w:adjustRightInd w:val="0"/>
        <w:ind w:left="1276" w:hanging="425"/>
        <w:rPr>
          <w:sz w:val="24"/>
          <w:szCs w:val="24"/>
        </w:rPr>
      </w:pPr>
      <w:proofErr w:type="spellStart"/>
      <w:r w:rsidRPr="00AA4AD7">
        <w:rPr>
          <w:i/>
          <w:sz w:val="24"/>
          <w:szCs w:val="24"/>
        </w:rPr>
        <w:t>Anafylaktisk</w:t>
      </w:r>
      <w:proofErr w:type="spellEnd"/>
      <w:r w:rsidRPr="00AA4AD7">
        <w:rPr>
          <w:i/>
          <w:sz w:val="24"/>
          <w:szCs w:val="24"/>
        </w:rPr>
        <w:t xml:space="preserve"> </w:t>
      </w:r>
      <w:proofErr w:type="spellStart"/>
      <w:r w:rsidRPr="00AA4AD7">
        <w:rPr>
          <w:i/>
          <w:sz w:val="24"/>
          <w:szCs w:val="24"/>
        </w:rPr>
        <w:t>shock</w:t>
      </w:r>
      <w:proofErr w:type="spellEnd"/>
    </w:p>
    <w:p w14:paraId="500A9A8C" w14:textId="77777777" w:rsidR="00C73700" w:rsidRPr="00AA4AD7" w:rsidRDefault="00C73700" w:rsidP="00947099">
      <w:pPr>
        <w:autoSpaceDE w:val="0"/>
        <w:autoSpaceDN w:val="0"/>
        <w:adjustRightInd w:val="0"/>
        <w:ind w:left="1276"/>
        <w:rPr>
          <w:sz w:val="24"/>
          <w:szCs w:val="24"/>
        </w:rPr>
      </w:pPr>
      <w:r w:rsidRPr="00AA4AD7">
        <w:rPr>
          <w:sz w:val="24"/>
          <w:szCs w:val="24"/>
        </w:rPr>
        <w:t>40</w:t>
      </w:r>
      <w:r w:rsidRPr="00AA4AD7">
        <w:rPr>
          <w:sz w:val="24"/>
          <w:szCs w:val="24"/>
        </w:rPr>
        <w:noBreakHyphen/>
        <w:t xml:space="preserve">100 mg </w:t>
      </w:r>
      <w:proofErr w:type="spellStart"/>
      <w:r w:rsidRPr="00AA4AD7">
        <w:rPr>
          <w:sz w:val="24"/>
          <w:szCs w:val="24"/>
        </w:rPr>
        <w:t>i.v</w:t>
      </w:r>
      <w:proofErr w:type="spellEnd"/>
      <w:r w:rsidRPr="00AA4AD7">
        <w:rPr>
          <w:sz w:val="24"/>
          <w:szCs w:val="24"/>
        </w:rPr>
        <w:t>. efter en initial intravenøs injektion af adrenalin. Dosis kan gentages ved behov.</w:t>
      </w:r>
    </w:p>
    <w:p w14:paraId="41D7C02E" w14:textId="77777777" w:rsidR="00C73700" w:rsidRPr="00AA4AD7" w:rsidRDefault="00C73700" w:rsidP="007224BC">
      <w:pPr>
        <w:autoSpaceDE w:val="0"/>
        <w:autoSpaceDN w:val="0"/>
        <w:adjustRightInd w:val="0"/>
        <w:ind w:left="1276" w:hanging="425"/>
        <w:rPr>
          <w:sz w:val="24"/>
          <w:szCs w:val="24"/>
        </w:rPr>
      </w:pPr>
    </w:p>
    <w:p w14:paraId="0CF47DF4" w14:textId="77777777" w:rsidR="00C73700" w:rsidRPr="00AA4AD7" w:rsidRDefault="00C73700" w:rsidP="007224BC">
      <w:pPr>
        <w:numPr>
          <w:ilvl w:val="0"/>
          <w:numId w:val="8"/>
        </w:numPr>
        <w:autoSpaceDE w:val="0"/>
        <w:autoSpaceDN w:val="0"/>
        <w:adjustRightInd w:val="0"/>
        <w:ind w:left="1276" w:hanging="425"/>
        <w:rPr>
          <w:i/>
          <w:iCs/>
          <w:sz w:val="24"/>
          <w:szCs w:val="24"/>
        </w:rPr>
      </w:pPr>
      <w:r w:rsidRPr="00AA4AD7">
        <w:rPr>
          <w:i/>
          <w:sz w:val="24"/>
          <w:szCs w:val="24"/>
        </w:rPr>
        <w:t>Svært akut astmaanfald</w:t>
      </w:r>
    </w:p>
    <w:p w14:paraId="1A90B9EF" w14:textId="77777777" w:rsidR="00C73700" w:rsidRPr="00AA4AD7" w:rsidRDefault="00C73700" w:rsidP="00947099">
      <w:pPr>
        <w:autoSpaceDE w:val="0"/>
        <w:autoSpaceDN w:val="0"/>
        <w:adjustRightInd w:val="0"/>
        <w:ind w:left="1276"/>
        <w:rPr>
          <w:sz w:val="24"/>
          <w:szCs w:val="24"/>
        </w:rPr>
      </w:pPr>
      <w:r w:rsidRPr="00AA4AD7">
        <w:rPr>
          <w:sz w:val="24"/>
          <w:szCs w:val="24"/>
        </w:rPr>
        <w:t>8</w:t>
      </w:r>
      <w:r w:rsidRPr="00AA4AD7">
        <w:rPr>
          <w:sz w:val="24"/>
          <w:szCs w:val="24"/>
        </w:rPr>
        <w:noBreakHyphen/>
        <w:t xml:space="preserve">20 mg </w:t>
      </w:r>
      <w:proofErr w:type="spellStart"/>
      <w:r w:rsidRPr="00AA4AD7">
        <w:rPr>
          <w:sz w:val="24"/>
          <w:szCs w:val="24"/>
        </w:rPr>
        <w:t>i.v</w:t>
      </w:r>
      <w:proofErr w:type="spellEnd"/>
      <w:r w:rsidRPr="00AA4AD7">
        <w:rPr>
          <w:sz w:val="24"/>
          <w:szCs w:val="24"/>
        </w:rPr>
        <w:t xml:space="preserve">. så tidligt som muligt. Injektionen kan gentages ved behov med en dosis på 8 mg hver 4. time. Intravenøs </w:t>
      </w:r>
      <w:proofErr w:type="spellStart"/>
      <w:r w:rsidRPr="00AA4AD7">
        <w:rPr>
          <w:sz w:val="24"/>
          <w:szCs w:val="24"/>
        </w:rPr>
        <w:t>aminofyllin</w:t>
      </w:r>
      <w:proofErr w:type="spellEnd"/>
      <w:r w:rsidRPr="00AA4AD7">
        <w:rPr>
          <w:sz w:val="24"/>
          <w:szCs w:val="24"/>
        </w:rPr>
        <w:t xml:space="preserve"> kan administreres som tillæg.</w:t>
      </w:r>
    </w:p>
    <w:p w14:paraId="3D39B375" w14:textId="77777777" w:rsidR="00C73700" w:rsidRPr="00AA4AD7" w:rsidRDefault="00C73700" w:rsidP="007224BC">
      <w:pPr>
        <w:autoSpaceDE w:val="0"/>
        <w:autoSpaceDN w:val="0"/>
        <w:adjustRightInd w:val="0"/>
        <w:ind w:left="1276" w:hanging="425"/>
        <w:rPr>
          <w:sz w:val="24"/>
          <w:szCs w:val="24"/>
          <w:lang w:val="en-US"/>
        </w:rPr>
      </w:pPr>
    </w:p>
    <w:p w14:paraId="69A65ABB" w14:textId="77777777" w:rsidR="00C73700" w:rsidRPr="00AA4AD7" w:rsidRDefault="00C73700" w:rsidP="007224BC">
      <w:pPr>
        <w:numPr>
          <w:ilvl w:val="0"/>
          <w:numId w:val="8"/>
        </w:numPr>
        <w:autoSpaceDE w:val="0"/>
        <w:autoSpaceDN w:val="0"/>
        <w:adjustRightInd w:val="0"/>
        <w:ind w:left="1276" w:hanging="425"/>
        <w:rPr>
          <w:i/>
          <w:iCs/>
          <w:sz w:val="24"/>
          <w:szCs w:val="24"/>
        </w:rPr>
      </w:pPr>
      <w:r w:rsidRPr="00AA4AD7">
        <w:rPr>
          <w:i/>
          <w:sz w:val="24"/>
          <w:szCs w:val="24"/>
        </w:rPr>
        <w:t>Akutte hudsygdomme</w:t>
      </w:r>
    </w:p>
    <w:p w14:paraId="2DF39FDC" w14:textId="77777777" w:rsidR="00C73700" w:rsidRPr="00AA4AD7" w:rsidRDefault="00C73700" w:rsidP="00947099">
      <w:pPr>
        <w:autoSpaceDE w:val="0"/>
        <w:autoSpaceDN w:val="0"/>
        <w:adjustRightInd w:val="0"/>
        <w:ind w:left="1276"/>
        <w:rPr>
          <w:sz w:val="24"/>
          <w:szCs w:val="24"/>
        </w:rPr>
      </w:pPr>
      <w:r w:rsidRPr="00AA4AD7">
        <w:rPr>
          <w:sz w:val="24"/>
          <w:szCs w:val="24"/>
        </w:rPr>
        <w:t>Daglige doser på 8</w:t>
      </w:r>
      <w:r w:rsidRPr="00AA4AD7">
        <w:rPr>
          <w:sz w:val="24"/>
          <w:szCs w:val="24"/>
        </w:rPr>
        <w:noBreakHyphen/>
        <w:t xml:space="preserve">40 mg </w:t>
      </w:r>
      <w:proofErr w:type="spellStart"/>
      <w:r w:rsidRPr="00AA4AD7">
        <w:rPr>
          <w:sz w:val="24"/>
          <w:szCs w:val="24"/>
        </w:rPr>
        <w:t>i.v</w:t>
      </w:r>
      <w:proofErr w:type="spellEnd"/>
      <w:r w:rsidRPr="00AA4AD7">
        <w:rPr>
          <w:sz w:val="24"/>
          <w:szCs w:val="24"/>
        </w:rPr>
        <w:t>., i enkelttilfælde op til 100 mg, efterfulgt af oral behandling med faldende doser.</w:t>
      </w:r>
    </w:p>
    <w:p w14:paraId="76489249" w14:textId="77777777" w:rsidR="00C73700" w:rsidRPr="00AA4AD7" w:rsidRDefault="00C73700" w:rsidP="007224BC">
      <w:pPr>
        <w:autoSpaceDE w:val="0"/>
        <w:autoSpaceDN w:val="0"/>
        <w:adjustRightInd w:val="0"/>
        <w:ind w:left="1276" w:hanging="425"/>
        <w:rPr>
          <w:sz w:val="24"/>
          <w:szCs w:val="24"/>
          <w:lang w:val="sv-SE"/>
        </w:rPr>
      </w:pPr>
    </w:p>
    <w:p w14:paraId="5920F2C7" w14:textId="77777777" w:rsidR="00C73700" w:rsidRPr="00AA4AD7" w:rsidRDefault="00C73700" w:rsidP="007224BC">
      <w:pPr>
        <w:numPr>
          <w:ilvl w:val="0"/>
          <w:numId w:val="8"/>
        </w:numPr>
        <w:autoSpaceDE w:val="0"/>
        <w:autoSpaceDN w:val="0"/>
        <w:adjustRightInd w:val="0"/>
        <w:ind w:left="1276" w:hanging="425"/>
        <w:rPr>
          <w:i/>
          <w:iCs/>
          <w:sz w:val="24"/>
          <w:szCs w:val="24"/>
        </w:rPr>
      </w:pPr>
      <w:r w:rsidRPr="00AA4AD7">
        <w:rPr>
          <w:sz w:val="24"/>
          <w:szCs w:val="24"/>
        </w:rPr>
        <w:t xml:space="preserve">Aktive faser af </w:t>
      </w:r>
      <w:r w:rsidRPr="00AA4AD7">
        <w:rPr>
          <w:i/>
          <w:sz w:val="24"/>
          <w:szCs w:val="24"/>
        </w:rPr>
        <w:t xml:space="preserve">systemisk reumatisk sygdom </w:t>
      </w:r>
      <w:r w:rsidRPr="00AA4AD7">
        <w:rPr>
          <w:sz w:val="24"/>
          <w:szCs w:val="24"/>
        </w:rPr>
        <w:t xml:space="preserve">som for eksempel </w:t>
      </w:r>
      <w:r w:rsidRPr="00AA4AD7">
        <w:rPr>
          <w:i/>
          <w:sz w:val="24"/>
          <w:szCs w:val="24"/>
        </w:rPr>
        <w:t xml:space="preserve">systemisk lupus </w:t>
      </w:r>
      <w:proofErr w:type="spellStart"/>
      <w:r w:rsidRPr="00AA4AD7">
        <w:rPr>
          <w:i/>
          <w:sz w:val="24"/>
          <w:szCs w:val="24"/>
        </w:rPr>
        <w:t>erythematosus</w:t>
      </w:r>
      <w:proofErr w:type="spellEnd"/>
    </w:p>
    <w:p w14:paraId="600EAAA9" w14:textId="77777777" w:rsidR="00C73700" w:rsidRPr="00AA4AD7" w:rsidRDefault="00C73700" w:rsidP="00947099">
      <w:pPr>
        <w:autoSpaceDE w:val="0"/>
        <w:autoSpaceDN w:val="0"/>
        <w:adjustRightInd w:val="0"/>
        <w:ind w:left="1276"/>
        <w:rPr>
          <w:sz w:val="24"/>
          <w:szCs w:val="24"/>
        </w:rPr>
      </w:pPr>
      <w:r w:rsidRPr="00AA4AD7">
        <w:rPr>
          <w:sz w:val="24"/>
          <w:szCs w:val="24"/>
        </w:rPr>
        <w:t>Daglige doser på 6</w:t>
      </w:r>
      <w:r w:rsidRPr="00AA4AD7">
        <w:rPr>
          <w:sz w:val="24"/>
          <w:szCs w:val="24"/>
        </w:rPr>
        <w:noBreakHyphen/>
        <w:t>16 mg.</w:t>
      </w:r>
    </w:p>
    <w:p w14:paraId="2DB60497" w14:textId="77777777" w:rsidR="00C73700" w:rsidRPr="00AA4AD7" w:rsidRDefault="00C73700" w:rsidP="007224BC">
      <w:pPr>
        <w:autoSpaceDE w:val="0"/>
        <w:autoSpaceDN w:val="0"/>
        <w:adjustRightInd w:val="0"/>
        <w:ind w:left="1276" w:hanging="425"/>
        <w:rPr>
          <w:sz w:val="24"/>
          <w:szCs w:val="24"/>
          <w:lang w:val="en-US"/>
        </w:rPr>
      </w:pPr>
    </w:p>
    <w:p w14:paraId="3ADADD9D" w14:textId="77777777" w:rsidR="00C73700" w:rsidRPr="00AA4AD7" w:rsidRDefault="00C73700" w:rsidP="007224BC">
      <w:pPr>
        <w:numPr>
          <w:ilvl w:val="0"/>
          <w:numId w:val="8"/>
        </w:numPr>
        <w:autoSpaceDE w:val="0"/>
        <w:autoSpaceDN w:val="0"/>
        <w:adjustRightInd w:val="0"/>
        <w:ind w:left="1276" w:hanging="425"/>
        <w:rPr>
          <w:i/>
          <w:iCs/>
          <w:sz w:val="24"/>
          <w:szCs w:val="24"/>
        </w:rPr>
      </w:pPr>
      <w:r w:rsidRPr="00AA4AD7">
        <w:rPr>
          <w:i/>
          <w:sz w:val="24"/>
          <w:szCs w:val="24"/>
        </w:rPr>
        <w:t xml:space="preserve">Aktiv </w:t>
      </w:r>
      <w:proofErr w:type="spellStart"/>
      <w:r w:rsidRPr="00AA4AD7">
        <w:rPr>
          <w:i/>
          <w:sz w:val="24"/>
          <w:szCs w:val="24"/>
        </w:rPr>
        <w:t>reumatoid</w:t>
      </w:r>
      <w:proofErr w:type="spellEnd"/>
      <w:r w:rsidRPr="00AA4AD7">
        <w:rPr>
          <w:i/>
          <w:sz w:val="24"/>
          <w:szCs w:val="24"/>
        </w:rPr>
        <w:t xml:space="preserve"> </w:t>
      </w:r>
      <w:proofErr w:type="spellStart"/>
      <w:r w:rsidRPr="00AA4AD7">
        <w:rPr>
          <w:i/>
          <w:sz w:val="24"/>
          <w:szCs w:val="24"/>
        </w:rPr>
        <w:t>artrit</w:t>
      </w:r>
      <w:proofErr w:type="spellEnd"/>
      <w:r w:rsidRPr="00AA4AD7">
        <w:rPr>
          <w:i/>
          <w:sz w:val="24"/>
          <w:szCs w:val="24"/>
        </w:rPr>
        <w:t xml:space="preserve"> med et svært progressivt forløb</w:t>
      </w:r>
    </w:p>
    <w:p w14:paraId="797491D2" w14:textId="77777777" w:rsidR="00C73700" w:rsidRPr="00AA4AD7" w:rsidRDefault="00C73700" w:rsidP="00947099">
      <w:pPr>
        <w:autoSpaceDE w:val="0"/>
        <w:autoSpaceDN w:val="0"/>
        <w:adjustRightInd w:val="0"/>
        <w:ind w:left="1276"/>
        <w:rPr>
          <w:sz w:val="24"/>
          <w:szCs w:val="24"/>
        </w:rPr>
      </w:pPr>
      <w:r w:rsidRPr="00AA4AD7">
        <w:rPr>
          <w:sz w:val="24"/>
          <w:szCs w:val="24"/>
        </w:rPr>
        <w:t>Daglige doser på 12</w:t>
      </w:r>
      <w:r w:rsidRPr="00AA4AD7">
        <w:rPr>
          <w:sz w:val="24"/>
          <w:szCs w:val="24"/>
        </w:rPr>
        <w:noBreakHyphen/>
        <w:t>16 mg til behandling af hurtigt progredierende sygdom. Daglige doser på 6</w:t>
      </w:r>
      <w:r w:rsidRPr="00AA4AD7">
        <w:rPr>
          <w:sz w:val="24"/>
          <w:szCs w:val="24"/>
        </w:rPr>
        <w:noBreakHyphen/>
        <w:t xml:space="preserve">12 mg anbefales ved </w:t>
      </w:r>
      <w:proofErr w:type="spellStart"/>
      <w:r w:rsidRPr="00AA4AD7">
        <w:rPr>
          <w:sz w:val="24"/>
          <w:szCs w:val="24"/>
        </w:rPr>
        <w:t>ekstraartikulære</w:t>
      </w:r>
      <w:proofErr w:type="spellEnd"/>
      <w:r w:rsidRPr="00AA4AD7">
        <w:rPr>
          <w:sz w:val="24"/>
          <w:szCs w:val="24"/>
        </w:rPr>
        <w:t xml:space="preserve"> manifestationer.</w:t>
      </w:r>
    </w:p>
    <w:p w14:paraId="080B1190" w14:textId="77777777" w:rsidR="00C73700" w:rsidRPr="00AA4AD7" w:rsidRDefault="00C73700" w:rsidP="007224BC">
      <w:pPr>
        <w:autoSpaceDE w:val="0"/>
        <w:autoSpaceDN w:val="0"/>
        <w:adjustRightInd w:val="0"/>
        <w:ind w:left="1276" w:hanging="425"/>
        <w:rPr>
          <w:sz w:val="24"/>
          <w:szCs w:val="24"/>
          <w:lang w:val="en-US"/>
        </w:rPr>
      </w:pPr>
    </w:p>
    <w:p w14:paraId="2BAD86EC" w14:textId="77777777" w:rsidR="00C73700" w:rsidRPr="00AA4AD7" w:rsidRDefault="00C73700" w:rsidP="007224BC">
      <w:pPr>
        <w:numPr>
          <w:ilvl w:val="0"/>
          <w:numId w:val="8"/>
        </w:numPr>
        <w:autoSpaceDE w:val="0"/>
        <w:autoSpaceDN w:val="0"/>
        <w:adjustRightInd w:val="0"/>
        <w:ind w:left="1276" w:hanging="425"/>
        <w:rPr>
          <w:sz w:val="24"/>
          <w:szCs w:val="24"/>
        </w:rPr>
      </w:pPr>
      <w:r w:rsidRPr="00AA4AD7">
        <w:rPr>
          <w:i/>
          <w:sz w:val="24"/>
          <w:szCs w:val="24"/>
        </w:rPr>
        <w:t xml:space="preserve">Svær infektionssygdom </w:t>
      </w:r>
      <w:r w:rsidRPr="00AA4AD7">
        <w:rPr>
          <w:sz w:val="24"/>
          <w:szCs w:val="24"/>
        </w:rPr>
        <w:t>med toksiske tilstande (fx tuberkulose, tyfus), kun som tillæg til behandling af infektionen.</w:t>
      </w:r>
    </w:p>
    <w:p w14:paraId="3B1DDBC2" w14:textId="77777777" w:rsidR="00C73700" w:rsidRPr="00AA4AD7" w:rsidRDefault="00C73700" w:rsidP="00947099">
      <w:pPr>
        <w:autoSpaceDE w:val="0"/>
        <w:autoSpaceDN w:val="0"/>
        <w:adjustRightInd w:val="0"/>
        <w:ind w:left="1276"/>
        <w:rPr>
          <w:sz w:val="24"/>
          <w:szCs w:val="24"/>
        </w:rPr>
      </w:pPr>
      <w:r w:rsidRPr="00AA4AD7">
        <w:rPr>
          <w:sz w:val="24"/>
          <w:szCs w:val="24"/>
        </w:rPr>
        <w:t>Daglige doser på 4</w:t>
      </w:r>
      <w:r w:rsidRPr="00AA4AD7">
        <w:rPr>
          <w:sz w:val="24"/>
          <w:szCs w:val="24"/>
        </w:rPr>
        <w:noBreakHyphen/>
        <w:t xml:space="preserve">20 mg </w:t>
      </w:r>
      <w:proofErr w:type="spellStart"/>
      <w:r w:rsidRPr="00AA4AD7">
        <w:rPr>
          <w:sz w:val="24"/>
          <w:szCs w:val="24"/>
        </w:rPr>
        <w:t>i.v</w:t>
      </w:r>
      <w:proofErr w:type="spellEnd"/>
      <w:r w:rsidRPr="00AA4AD7">
        <w:rPr>
          <w:sz w:val="24"/>
          <w:szCs w:val="24"/>
        </w:rPr>
        <w:t>. I enkelte tilfælde (fx tyfus) indledningsvis op til 200 mg.</w:t>
      </w:r>
    </w:p>
    <w:p w14:paraId="03847B05" w14:textId="77777777" w:rsidR="00C73700" w:rsidRPr="00AA4AD7" w:rsidRDefault="00C73700" w:rsidP="007224BC">
      <w:pPr>
        <w:autoSpaceDE w:val="0"/>
        <w:autoSpaceDN w:val="0"/>
        <w:adjustRightInd w:val="0"/>
        <w:ind w:left="1276" w:hanging="425"/>
        <w:rPr>
          <w:sz w:val="24"/>
          <w:szCs w:val="24"/>
          <w:lang w:val="sv-SE"/>
        </w:rPr>
      </w:pPr>
    </w:p>
    <w:p w14:paraId="0C70249E" w14:textId="77777777" w:rsidR="00C73700" w:rsidRPr="00AA4AD7" w:rsidRDefault="00C73700" w:rsidP="007224BC">
      <w:pPr>
        <w:numPr>
          <w:ilvl w:val="0"/>
          <w:numId w:val="8"/>
        </w:numPr>
        <w:autoSpaceDE w:val="0"/>
        <w:autoSpaceDN w:val="0"/>
        <w:adjustRightInd w:val="0"/>
        <w:ind w:left="1276" w:hanging="425"/>
        <w:rPr>
          <w:i/>
          <w:iCs/>
          <w:sz w:val="24"/>
          <w:szCs w:val="24"/>
        </w:rPr>
      </w:pPr>
      <w:r w:rsidRPr="00AA4AD7">
        <w:rPr>
          <w:i/>
          <w:sz w:val="24"/>
          <w:szCs w:val="24"/>
        </w:rPr>
        <w:t>Palliativ behandling af maligne tumorer</w:t>
      </w:r>
    </w:p>
    <w:p w14:paraId="453984E9" w14:textId="77777777" w:rsidR="00C73700" w:rsidRPr="00AA4AD7" w:rsidRDefault="00C73700" w:rsidP="00947099">
      <w:pPr>
        <w:autoSpaceDE w:val="0"/>
        <w:autoSpaceDN w:val="0"/>
        <w:adjustRightInd w:val="0"/>
        <w:ind w:left="1276"/>
        <w:rPr>
          <w:sz w:val="24"/>
          <w:szCs w:val="24"/>
        </w:rPr>
      </w:pPr>
      <w:r w:rsidRPr="00AA4AD7">
        <w:rPr>
          <w:sz w:val="24"/>
          <w:szCs w:val="24"/>
        </w:rPr>
        <w:t>Indledningsvis 8</w:t>
      </w:r>
      <w:r w:rsidRPr="00AA4AD7">
        <w:rPr>
          <w:sz w:val="24"/>
          <w:szCs w:val="24"/>
        </w:rPr>
        <w:noBreakHyphen/>
        <w:t>16 mg/dag, ved længerevarende behandling 4</w:t>
      </w:r>
      <w:r w:rsidRPr="00AA4AD7">
        <w:rPr>
          <w:sz w:val="24"/>
          <w:szCs w:val="24"/>
        </w:rPr>
        <w:noBreakHyphen/>
        <w:t>12 mg/dag.</w:t>
      </w:r>
    </w:p>
    <w:p w14:paraId="4AACAB5F" w14:textId="77777777" w:rsidR="00C73700" w:rsidRPr="00AA4AD7" w:rsidRDefault="00C73700" w:rsidP="007224BC">
      <w:pPr>
        <w:autoSpaceDE w:val="0"/>
        <w:autoSpaceDN w:val="0"/>
        <w:adjustRightInd w:val="0"/>
        <w:ind w:left="1276" w:hanging="425"/>
        <w:rPr>
          <w:sz w:val="24"/>
          <w:szCs w:val="24"/>
          <w:lang w:val="sv-SE"/>
        </w:rPr>
      </w:pPr>
    </w:p>
    <w:p w14:paraId="5D373559" w14:textId="77777777" w:rsidR="00C73700" w:rsidRPr="00AA4AD7" w:rsidRDefault="00C73700" w:rsidP="007224BC">
      <w:pPr>
        <w:numPr>
          <w:ilvl w:val="0"/>
          <w:numId w:val="8"/>
        </w:numPr>
        <w:autoSpaceDE w:val="0"/>
        <w:autoSpaceDN w:val="0"/>
        <w:adjustRightInd w:val="0"/>
        <w:ind w:left="1276" w:hanging="425"/>
        <w:rPr>
          <w:i/>
          <w:iCs/>
          <w:sz w:val="24"/>
          <w:szCs w:val="24"/>
        </w:rPr>
      </w:pPr>
      <w:r w:rsidRPr="00AA4AD7">
        <w:rPr>
          <w:i/>
          <w:sz w:val="24"/>
          <w:szCs w:val="24"/>
        </w:rPr>
        <w:t xml:space="preserve">Profylakse og behandling af </w:t>
      </w:r>
      <w:proofErr w:type="spellStart"/>
      <w:r w:rsidRPr="00AA4AD7">
        <w:rPr>
          <w:i/>
          <w:sz w:val="24"/>
          <w:szCs w:val="24"/>
        </w:rPr>
        <w:t>cytostatika</w:t>
      </w:r>
      <w:proofErr w:type="spellEnd"/>
      <w:r w:rsidRPr="00AA4AD7">
        <w:rPr>
          <w:i/>
          <w:sz w:val="24"/>
          <w:szCs w:val="24"/>
        </w:rPr>
        <w:t xml:space="preserve">-induceret opkastning relateret til </w:t>
      </w:r>
      <w:proofErr w:type="spellStart"/>
      <w:r w:rsidRPr="00AA4AD7">
        <w:rPr>
          <w:i/>
          <w:sz w:val="24"/>
          <w:szCs w:val="24"/>
        </w:rPr>
        <w:t>antiemetiske</w:t>
      </w:r>
      <w:proofErr w:type="spellEnd"/>
      <w:r w:rsidRPr="00AA4AD7">
        <w:rPr>
          <w:i/>
          <w:sz w:val="24"/>
          <w:szCs w:val="24"/>
        </w:rPr>
        <w:t xml:space="preserve"> behandlingsforløb</w:t>
      </w:r>
    </w:p>
    <w:p w14:paraId="2A068F5E" w14:textId="77777777" w:rsidR="00C73700" w:rsidRPr="00AA4AD7" w:rsidRDefault="00C73700" w:rsidP="00947099">
      <w:pPr>
        <w:autoSpaceDE w:val="0"/>
        <w:autoSpaceDN w:val="0"/>
        <w:adjustRightInd w:val="0"/>
        <w:ind w:left="1276"/>
        <w:rPr>
          <w:sz w:val="24"/>
          <w:szCs w:val="24"/>
        </w:rPr>
      </w:pPr>
      <w:r w:rsidRPr="00AA4AD7">
        <w:rPr>
          <w:sz w:val="24"/>
          <w:szCs w:val="24"/>
        </w:rPr>
        <w:t>10</w:t>
      </w:r>
      <w:r w:rsidRPr="00AA4AD7">
        <w:rPr>
          <w:sz w:val="24"/>
          <w:szCs w:val="24"/>
        </w:rPr>
        <w:noBreakHyphen/>
        <w:t xml:space="preserve">20 mg </w:t>
      </w:r>
      <w:proofErr w:type="spellStart"/>
      <w:r w:rsidRPr="00AA4AD7">
        <w:rPr>
          <w:sz w:val="24"/>
          <w:szCs w:val="24"/>
        </w:rPr>
        <w:t>i.v</w:t>
      </w:r>
      <w:proofErr w:type="spellEnd"/>
      <w:r w:rsidRPr="00AA4AD7">
        <w:rPr>
          <w:sz w:val="24"/>
          <w:szCs w:val="24"/>
        </w:rPr>
        <w:t>. før påbegyndelse af kemoterapi, derefter, ved behov, 2 til 3 gange dagligt 4</w:t>
      </w:r>
      <w:r w:rsidRPr="00AA4AD7">
        <w:rPr>
          <w:sz w:val="24"/>
          <w:szCs w:val="24"/>
        </w:rPr>
        <w:noBreakHyphen/>
        <w:t>8 mg over 1</w:t>
      </w:r>
      <w:r w:rsidRPr="00AA4AD7">
        <w:rPr>
          <w:sz w:val="24"/>
          <w:szCs w:val="24"/>
        </w:rPr>
        <w:noBreakHyphen/>
        <w:t xml:space="preserve">3 dage (moderat </w:t>
      </w:r>
      <w:proofErr w:type="spellStart"/>
      <w:r w:rsidRPr="00AA4AD7">
        <w:rPr>
          <w:sz w:val="24"/>
          <w:szCs w:val="24"/>
        </w:rPr>
        <w:t>emetogen</w:t>
      </w:r>
      <w:proofErr w:type="spellEnd"/>
      <w:r w:rsidRPr="00AA4AD7">
        <w:rPr>
          <w:sz w:val="24"/>
          <w:szCs w:val="24"/>
        </w:rPr>
        <w:t xml:space="preserve"> terapi) eller op til 6 dage (</w:t>
      </w:r>
      <w:proofErr w:type="spellStart"/>
      <w:r w:rsidRPr="00AA4AD7">
        <w:rPr>
          <w:sz w:val="24"/>
          <w:szCs w:val="24"/>
        </w:rPr>
        <w:t>højemetogen</w:t>
      </w:r>
      <w:proofErr w:type="spellEnd"/>
      <w:r w:rsidRPr="00AA4AD7">
        <w:rPr>
          <w:sz w:val="24"/>
          <w:szCs w:val="24"/>
        </w:rPr>
        <w:t xml:space="preserve"> kemoterapi).</w:t>
      </w:r>
    </w:p>
    <w:p w14:paraId="58B6E289" w14:textId="77777777" w:rsidR="00C73700" w:rsidRPr="00AA4AD7" w:rsidRDefault="00C73700" w:rsidP="007224BC">
      <w:pPr>
        <w:autoSpaceDE w:val="0"/>
        <w:autoSpaceDN w:val="0"/>
        <w:adjustRightInd w:val="0"/>
        <w:ind w:left="1276" w:hanging="425"/>
        <w:rPr>
          <w:sz w:val="24"/>
          <w:szCs w:val="24"/>
          <w:lang w:val="sv-SE"/>
        </w:rPr>
      </w:pPr>
    </w:p>
    <w:p w14:paraId="7B1D965B" w14:textId="77777777" w:rsidR="00C73700" w:rsidRPr="00AA4AD7" w:rsidRDefault="00C73700" w:rsidP="007224BC">
      <w:pPr>
        <w:numPr>
          <w:ilvl w:val="0"/>
          <w:numId w:val="8"/>
        </w:numPr>
        <w:autoSpaceDE w:val="0"/>
        <w:autoSpaceDN w:val="0"/>
        <w:adjustRightInd w:val="0"/>
        <w:ind w:left="1276" w:hanging="425"/>
        <w:rPr>
          <w:i/>
          <w:iCs/>
          <w:sz w:val="24"/>
          <w:szCs w:val="24"/>
        </w:rPr>
      </w:pPr>
      <w:r w:rsidRPr="00AA4AD7">
        <w:rPr>
          <w:i/>
          <w:sz w:val="24"/>
          <w:szCs w:val="24"/>
        </w:rPr>
        <w:t>Profylakse og behandling af postoperativ opkastning</w:t>
      </w:r>
    </w:p>
    <w:p w14:paraId="391E132D" w14:textId="77777777" w:rsidR="00C73700" w:rsidRPr="00AA4AD7" w:rsidRDefault="00C73700" w:rsidP="00947099">
      <w:pPr>
        <w:autoSpaceDE w:val="0"/>
        <w:autoSpaceDN w:val="0"/>
        <w:adjustRightInd w:val="0"/>
        <w:ind w:left="1276"/>
        <w:rPr>
          <w:sz w:val="24"/>
          <w:szCs w:val="24"/>
        </w:rPr>
      </w:pPr>
      <w:r w:rsidRPr="00AA4AD7">
        <w:rPr>
          <w:sz w:val="24"/>
          <w:szCs w:val="24"/>
        </w:rPr>
        <w:t>Individuelle doser på 8</w:t>
      </w:r>
      <w:r w:rsidRPr="00AA4AD7">
        <w:rPr>
          <w:sz w:val="24"/>
          <w:szCs w:val="24"/>
        </w:rPr>
        <w:noBreakHyphen/>
        <w:t xml:space="preserve">20 mg </w:t>
      </w:r>
      <w:proofErr w:type="spellStart"/>
      <w:r w:rsidRPr="00AA4AD7">
        <w:rPr>
          <w:sz w:val="24"/>
          <w:szCs w:val="24"/>
        </w:rPr>
        <w:t>i.v</w:t>
      </w:r>
      <w:proofErr w:type="spellEnd"/>
      <w:r w:rsidRPr="00AA4AD7">
        <w:rPr>
          <w:sz w:val="24"/>
          <w:szCs w:val="24"/>
        </w:rPr>
        <w:t>. før påbegyndelse af operationen.</w:t>
      </w:r>
    </w:p>
    <w:p w14:paraId="51D27166" w14:textId="77777777" w:rsidR="00C73700" w:rsidRPr="00AA4AD7" w:rsidRDefault="00C73700" w:rsidP="007224BC">
      <w:pPr>
        <w:autoSpaceDE w:val="0"/>
        <w:autoSpaceDN w:val="0"/>
        <w:adjustRightInd w:val="0"/>
        <w:ind w:left="1276" w:hanging="425"/>
        <w:rPr>
          <w:i/>
          <w:sz w:val="24"/>
          <w:szCs w:val="24"/>
        </w:rPr>
      </w:pPr>
    </w:p>
    <w:p w14:paraId="11553DE9" w14:textId="77777777" w:rsidR="00C73700" w:rsidRPr="00AA4AD7" w:rsidRDefault="00C73700" w:rsidP="007224BC">
      <w:pPr>
        <w:autoSpaceDE w:val="0"/>
        <w:autoSpaceDN w:val="0"/>
        <w:adjustRightInd w:val="0"/>
        <w:ind w:left="1276" w:hanging="425"/>
        <w:rPr>
          <w:bCs/>
          <w:sz w:val="24"/>
          <w:szCs w:val="24"/>
          <w:u w:val="single"/>
        </w:rPr>
      </w:pPr>
      <w:r w:rsidRPr="00AA4AD7">
        <w:rPr>
          <w:bCs/>
          <w:sz w:val="24"/>
          <w:szCs w:val="24"/>
          <w:u w:val="single"/>
        </w:rPr>
        <w:t>Subkutan administration</w:t>
      </w:r>
    </w:p>
    <w:p w14:paraId="0E34BDAF" w14:textId="77777777" w:rsidR="00C73700" w:rsidRPr="00AA4AD7" w:rsidRDefault="00C73700" w:rsidP="007224BC">
      <w:pPr>
        <w:numPr>
          <w:ilvl w:val="0"/>
          <w:numId w:val="8"/>
        </w:numPr>
        <w:autoSpaceDE w:val="0"/>
        <w:autoSpaceDN w:val="0"/>
        <w:adjustRightInd w:val="0"/>
        <w:ind w:left="1276" w:hanging="425"/>
        <w:rPr>
          <w:sz w:val="24"/>
          <w:szCs w:val="24"/>
        </w:rPr>
      </w:pPr>
      <w:r w:rsidRPr="00AA4AD7">
        <w:rPr>
          <w:i/>
          <w:sz w:val="24"/>
          <w:szCs w:val="24"/>
        </w:rPr>
        <w:t xml:space="preserve">Palliativ behandling </w:t>
      </w:r>
      <w:r w:rsidRPr="00AA4AD7">
        <w:rPr>
          <w:sz w:val="24"/>
          <w:szCs w:val="24"/>
        </w:rPr>
        <w:t xml:space="preserve">af maligne tumorer, forebyggelse samt behandling af </w:t>
      </w:r>
      <w:r w:rsidRPr="00AA4AD7">
        <w:rPr>
          <w:i/>
          <w:sz w:val="24"/>
          <w:szCs w:val="24"/>
        </w:rPr>
        <w:t>kemoterapi-induceret kvalme og opkastning (CINV)</w:t>
      </w:r>
    </w:p>
    <w:p w14:paraId="185D923B" w14:textId="77777777" w:rsidR="00C73700" w:rsidRPr="00AA4AD7" w:rsidRDefault="00C73700" w:rsidP="007224BC">
      <w:pPr>
        <w:autoSpaceDE w:val="0"/>
        <w:autoSpaceDN w:val="0"/>
        <w:adjustRightInd w:val="0"/>
        <w:ind w:left="851"/>
        <w:rPr>
          <w:sz w:val="24"/>
          <w:szCs w:val="24"/>
          <w:lang w:val="sv-SE"/>
        </w:rPr>
      </w:pPr>
    </w:p>
    <w:p w14:paraId="58BFA8FD" w14:textId="3728850D" w:rsidR="00C73700" w:rsidRPr="00AA4AD7" w:rsidRDefault="00C73700" w:rsidP="007224BC">
      <w:pPr>
        <w:autoSpaceDE w:val="0"/>
        <w:autoSpaceDN w:val="0"/>
        <w:adjustRightInd w:val="0"/>
        <w:ind w:left="851"/>
        <w:rPr>
          <w:sz w:val="24"/>
          <w:szCs w:val="24"/>
        </w:rPr>
      </w:pPr>
      <w:r w:rsidRPr="00AA4AD7">
        <w:rPr>
          <w:sz w:val="24"/>
          <w:szCs w:val="24"/>
        </w:rPr>
        <w:t xml:space="preserve">Ved palliativ pleje kan </w:t>
      </w:r>
      <w:proofErr w:type="spellStart"/>
      <w:r w:rsidRPr="00AA4AD7">
        <w:rPr>
          <w:sz w:val="24"/>
          <w:szCs w:val="24"/>
        </w:rPr>
        <w:t>Dexamethasone</w:t>
      </w:r>
      <w:proofErr w:type="spellEnd"/>
      <w:r w:rsidRPr="00AA4AD7">
        <w:rPr>
          <w:sz w:val="24"/>
          <w:szCs w:val="24"/>
        </w:rPr>
        <w:t xml:space="preserve"> </w:t>
      </w:r>
      <w:proofErr w:type="spellStart"/>
      <w:r w:rsidRPr="00AA4AD7">
        <w:rPr>
          <w:sz w:val="24"/>
          <w:szCs w:val="24"/>
        </w:rPr>
        <w:t>phosphate</w:t>
      </w:r>
      <w:proofErr w:type="spellEnd"/>
      <w:r w:rsidRPr="00AA4AD7">
        <w:rPr>
          <w:sz w:val="24"/>
          <w:szCs w:val="24"/>
        </w:rPr>
        <w:t xml:space="preserve"> </w:t>
      </w:r>
      <w:r w:rsidR="009816BE">
        <w:rPr>
          <w:sz w:val="24"/>
          <w:szCs w:val="24"/>
        </w:rPr>
        <w:t>"</w:t>
      </w:r>
      <w:proofErr w:type="spellStart"/>
      <w:r w:rsidR="009816BE">
        <w:rPr>
          <w:sz w:val="24"/>
          <w:szCs w:val="24"/>
        </w:rPr>
        <w:t>Accord</w:t>
      </w:r>
      <w:proofErr w:type="spellEnd"/>
      <w:r w:rsidR="009816BE">
        <w:rPr>
          <w:sz w:val="24"/>
          <w:szCs w:val="24"/>
        </w:rPr>
        <w:t>"</w:t>
      </w:r>
      <w:r w:rsidRPr="00AA4AD7">
        <w:rPr>
          <w:sz w:val="24"/>
          <w:szCs w:val="24"/>
        </w:rPr>
        <w:t xml:space="preserve"> administreres subkutant som injektion eller kontinuerlig subkutan infusion (CINV). Doserne ligger sædvanligvis i intervallet 4,8 mg til 19,3 mg i løbet af 24 timer, under hensyntagen til lokale kliniske retningslinjer. Doserne skal titreres efter respons.</w:t>
      </w:r>
    </w:p>
    <w:p w14:paraId="4BC2DDA8" w14:textId="77777777" w:rsidR="00C73700" w:rsidRPr="00AA4AD7" w:rsidRDefault="00C73700" w:rsidP="007224BC">
      <w:pPr>
        <w:autoSpaceDE w:val="0"/>
        <w:autoSpaceDN w:val="0"/>
        <w:adjustRightInd w:val="0"/>
        <w:ind w:left="851"/>
        <w:rPr>
          <w:i/>
          <w:iCs/>
          <w:sz w:val="24"/>
          <w:szCs w:val="24"/>
          <w:lang w:val="en-US"/>
        </w:rPr>
      </w:pPr>
    </w:p>
    <w:p w14:paraId="0DBE5784" w14:textId="77777777" w:rsidR="00C73700" w:rsidRPr="00AA4AD7" w:rsidRDefault="00C73700" w:rsidP="007224BC">
      <w:pPr>
        <w:autoSpaceDE w:val="0"/>
        <w:autoSpaceDN w:val="0"/>
        <w:adjustRightInd w:val="0"/>
        <w:ind w:left="851"/>
        <w:rPr>
          <w:i/>
          <w:iCs/>
          <w:sz w:val="24"/>
          <w:szCs w:val="24"/>
        </w:rPr>
      </w:pPr>
      <w:r w:rsidRPr="00AA4AD7">
        <w:rPr>
          <w:i/>
          <w:sz w:val="24"/>
          <w:szCs w:val="24"/>
        </w:rPr>
        <w:t>Pædiatrisk population</w:t>
      </w:r>
    </w:p>
    <w:p w14:paraId="5A30227E" w14:textId="77777777" w:rsidR="00C73700" w:rsidRPr="00AA4AD7" w:rsidRDefault="00C73700" w:rsidP="007224BC">
      <w:pPr>
        <w:numPr>
          <w:ilvl w:val="0"/>
          <w:numId w:val="8"/>
        </w:numPr>
        <w:autoSpaceDE w:val="0"/>
        <w:autoSpaceDN w:val="0"/>
        <w:adjustRightInd w:val="0"/>
        <w:ind w:left="1276" w:hanging="425"/>
        <w:rPr>
          <w:sz w:val="24"/>
          <w:szCs w:val="24"/>
        </w:rPr>
      </w:pPr>
      <w:r w:rsidRPr="00AA4AD7">
        <w:rPr>
          <w:i/>
          <w:sz w:val="24"/>
          <w:szCs w:val="24"/>
        </w:rPr>
        <w:t xml:space="preserve">Cerebralt ødem </w:t>
      </w:r>
      <w:r w:rsidRPr="00AA4AD7">
        <w:rPr>
          <w:sz w:val="24"/>
          <w:szCs w:val="24"/>
        </w:rPr>
        <w:t>pga. bakteriel meningitis</w:t>
      </w:r>
    </w:p>
    <w:p w14:paraId="03A816D1" w14:textId="77777777" w:rsidR="00C73700" w:rsidRPr="00AA4AD7" w:rsidRDefault="00C73700" w:rsidP="00947099">
      <w:pPr>
        <w:pStyle w:val="Default"/>
        <w:ind w:left="1276"/>
      </w:pPr>
      <w:r w:rsidRPr="00AA4AD7">
        <w:t>0,4 mg/kg legemsvægt hos børn hver 12. time i 2 dage, som påbegyndes før den første administration af antibiotika.</w:t>
      </w:r>
    </w:p>
    <w:p w14:paraId="627FF7A3" w14:textId="77777777" w:rsidR="00C73700" w:rsidRPr="00AA4AD7" w:rsidRDefault="00C73700" w:rsidP="007224BC">
      <w:pPr>
        <w:pStyle w:val="Default"/>
        <w:ind w:left="1276" w:hanging="425"/>
      </w:pPr>
    </w:p>
    <w:p w14:paraId="624C0C64" w14:textId="77777777" w:rsidR="00C73700" w:rsidRPr="00AA4AD7" w:rsidRDefault="00C73700" w:rsidP="007224BC">
      <w:pPr>
        <w:numPr>
          <w:ilvl w:val="0"/>
          <w:numId w:val="8"/>
        </w:numPr>
        <w:autoSpaceDE w:val="0"/>
        <w:autoSpaceDN w:val="0"/>
        <w:adjustRightInd w:val="0"/>
        <w:ind w:left="1276" w:hanging="425"/>
        <w:rPr>
          <w:i/>
          <w:iCs/>
          <w:sz w:val="24"/>
          <w:szCs w:val="24"/>
        </w:rPr>
      </w:pPr>
      <w:r w:rsidRPr="00AA4AD7">
        <w:rPr>
          <w:i/>
          <w:sz w:val="24"/>
          <w:szCs w:val="24"/>
        </w:rPr>
        <w:t xml:space="preserve">Posttraumatisk </w:t>
      </w:r>
      <w:proofErr w:type="spellStart"/>
      <w:r w:rsidRPr="00AA4AD7">
        <w:rPr>
          <w:i/>
          <w:sz w:val="24"/>
          <w:szCs w:val="24"/>
        </w:rPr>
        <w:t>shock</w:t>
      </w:r>
      <w:proofErr w:type="spellEnd"/>
      <w:r w:rsidRPr="00AA4AD7">
        <w:rPr>
          <w:i/>
          <w:sz w:val="24"/>
          <w:szCs w:val="24"/>
        </w:rPr>
        <w:t xml:space="preserve"> og forebyggelse af posttraumatisk </w:t>
      </w:r>
      <w:proofErr w:type="spellStart"/>
      <w:r w:rsidRPr="00AA4AD7">
        <w:rPr>
          <w:i/>
          <w:sz w:val="24"/>
          <w:szCs w:val="24"/>
        </w:rPr>
        <w:t>shocklunge</w:t>
      </w:r>
      <w:proofErr w:type="spellEnd"/>
      <w:r w:rsidRPr="00AA4AD7">
        <w:rPr>
          <w:i/>
          <w:sz w:val="24"/>
          <w:szCs w:val="24"/>
        </w:rPr>
        <w:t xml:space="preserve"> (ARDS)</w:t>
      </w:r>
    </w:p>
    <w:p w14:paraId="1A8452EA" w14:textId="77777777" w:rsidR="00C73700" w:rsidRPr="00AA4AD7" w:rsidRDefault="00C73700" w:rsidP="00947099">
      <w:pPr>
        <w:autoSpaceDE w:val="0"/>
        <w:autoSpaceDN w:val="0"/>
        <w:adjustRightInd w:val="0"/>
        <w:ind w:left="1276"/>
        <w:rPr>
          <w:sz w:val="24"/>
          <w:szCs w:val="24"/>
        </w:rPr>
      </w:pPr>
      <w:r w:rsidRPr="00AA4AD7">
        <w:rPr>
          <w:sz w:val="24"/>
          <w:szCs w:val="24"/>
        </w:rPr>
        <w:t xml:space="preserve">Initialt 40 mg </w:t>
      </w:r>
      <w:proofErr w:type="spellStart"/>
      <w:r w:rsidRPr="00AA4AD7">
        <w:rPr>
          <w:sz w:val="24"/>
          <w:szCs w:val="24"/>
        </w:rPr>
        <w:t>i.v</w:t>
      </w:r>
      <w:proofErr w:type="spellEnd"/>
      <w:r w:rsidRPr="00AA4AD7">
        <w:rPr>
          <w:sz w:val="24"/>
          <w:szCs w:val="24"/>
        </w:rPr>
        <w:t>. til børn, gentaget efter 12 timer.</w:t>
      </w:r>
    </w:p>
    <w:p w14:paraId="616D94C7" w14:textId="77777777" w:rsidR="00C73700" w:rsidRPr="00AA4AD7" w:rsidRDefault="00C73700" w:rsidP="007224BC">
      <w:pPr>
        <w:autoSpaceDE w:val="0"/>
        <w:autoSpaceDN w:val="0"/>
        <w:adjustRightInd w:val="0"/>
        <w:ind w:left="1276" w:hanging="425"/>
        <w:rPr>
          <w:sz w:val="24"/>
          <w:szCs w:val="24"/>
          <w:lang w:val="sv-SE"/>
        </w:rPr>
      </w:pPr>
    </w:p>
    <w:p w14:paraId="43F171DB" w14:textId="77777777" w:rsidR="00C73700" w:rsidRPr="00AA4AD7" w:rsidRDefault="00C73700" w:rsidP="007224BC">
      <w:pPr>
        <w:numPr>
          <w:ilvl w:val="0"/>
          <w:numId w:val="8"/>
        </w:numPr>
        <w:autoSpaceDE w:val="0"/>
        <w:autoSpaceDN w:val="0"/>
        <w:adjustRightInd w:val="0"/>
        <w:ind w:left="1276" w:hanging="425"/>
        <w:rPr>
          <w:i/>
          <w:iCs/>
          <w:sz w:val="24"/>
          <w:szCs w:val="24"/>
        </w:rPr>
      </w:pPr>
      <w:r w:rsidRPr="00AA4AD7">
        <w:rPr>
          <w:i/>
          <w:sz w:val="24"/>
          <w:szCs w:val="24"/>
        </w:rPr>
        <w:t>Behandling af COVID-19</w:t>
      </w:r>
    </w:p>
    <w:p w14:paraId="20A9B70D" w14:textId="77777777" w:rsidR="00C73700" w:rsidRPr="00AA4AD7" w:rsidRDefault="00C73700" w:rsidP="00947099">
      <w:pPr>
        <w:autoSpaceDE w:val="0"/>
        <w:autoSpaceDN w:val="0"/>
        <w:adjustRightInd w:val="0"/>
        <w:ind w:left="1276"/>
        <w:rPr>
          <w:sz w:val="24"/>
          <w:szCs w:val="24"/>
        </w:rPr>
      </w:pPr>
      <w:r w:rsidRPr="00AA4AD7">
        <w:rPr>
          <w:sz w:val="24"/>
          <w:szCs w:val="24"/>
        </w:rPr>
        <w:t xml:space="preserve">Til unge i alderen 12 år og ældre anbefales 6 mg/dosis </w:t>
      </w:r>
      <w:proofErr w:type="spellStart"/>
      <w:r w:rsidRPr="00AA4AD7">
        <w:rPr>
          <w:sz w:val="24"/>
          <w:szCs w:val="24"/>
        </w:rPr>
        <w:t>i.v</w:t>
      </w:r>
      <w:proofErr w:type="spellEnd"/>
      <w:r w:rsidRPr="00AA4AD7">
        <w:rPr>
          <w:sz w:val="24"/>
          <w:szCs w:val="24"/>
        </w:rPr>
        <w:t>. én gang om dagen i op til 10 dage. Behandlingens varighed skal styres af klinisk respons og individuelle patientbehov.</w:t>
      </w:r>
    </w:p>
    <w:p w14:paraId="29E0350E" w14:textId="77777777" w:rsidR="00C73700" w:rsidRPr="00AA4AD7" w:rsidRDefault="00C73700" w:rsidP="007224BC">
      <w:pPr>
        <w:autoSpaceDE w:val="0"/>
        <w:autoSpaceDN w:val="0"/>
        <w:adjustRightInd w:val="0"/>
        <w:ind w:left="1276" w:hanging="425"/>
        <w:rPr>
          <w:sz w:val="24"/>
          <w:szCs w:val="24"/>
          <w:lang w:val="sv-SE"/>
        </w:rPr>
      </w:pPr>
    </w:p>
    <w:p w14:paraId="196030EE" w14:textId="77777777" w:rsidR="00C73700" w:rsidRPr="00AA4AD7" w:rsidRDefault="00C73700" w:rsidP="007224BC">
      <w:pPr>
        <w:numPr>
          <w:ilvl w:val="0"/>
          <w:numId w:val="8"/>
        </w:numPr>
        <w:autoSpaceDE w:val="0"/>
        <w:autoSpaceDN w:val="0"/>
        <w:adjustRightInd w:val="0"/>
        <w:ind w:left="1276" w:hanging="425"/>
        <w:rPr>
          <w:i/>
          <w:iCs/>
          <w:sz w:val="24"/>
          <w:szCs w:val="24"/>
        </w:rPr>
      </w:pPr>
      <w:proofErr w:type="spellStart"/>
      <w:r w:rsidRPr="00AA4AD7">
        <w:rPr>
          <w:i/>
          <w:sz w:val="24"/>
          <w:szCs w:val="24"/>
        </w:rPr>
        <w:t>Anafylaktisk</w:t>
      </w:r>
      <w:proofErr w:type="spellEnd"/>
      <w:r w:rsidRPr="00AA4AD7">
        <w:rPr>
          <w:i/>
          <w:sz w:val="24"/>
          <w:szCs w:val="24"/>
        </w:rPr>
        <w:t xml:space="preserve"> </w:t>
      </w:r>
      <w:proofErr w:type="spellStart"/>
      <w:r w:rsidRPr="00AA4AD7">
        <w:rPr>
          <w:i/>
          <w:sz w:val="24"/>
          <w:szCs w:val="24"/>
        </w:rPr>
        <w:t>shock</w:t>
      </w:r>
      <w:proofErr w:type="spellEnd"/>
    </w:p>
    <w:p w14:paraId="1A41E1F2" w14:textId="77777777" w:rsidR="00C73700" w:rsidRPr="00AA4AD7" w:rsidRDefault="00C73700" w:rsidP="00947099">
      <w:pPr>
        <w:autoSpaceDE w:val="0"/>
        <w:autoSpaceDN w:val="0"/>
        <w:adjustRightInd w:val="0"/>
        <w:ind w:left="1276"/>
        <w:rPr>
          <w:sz w:val="24"/>
          <w:szCs w:val="24"/>
        </w:rPr>
      </w:pPr>
      <w:r w:rsidRPr="00AA4AD7">
        <w:rPr>
          <w:sz w:val="24"/>
          <w:szCs w:val="24"/>
        </w:rPr>
        <w:t xml:space="preserve">40 mg </w:t>
      </w:r>
      <w:proofErr w:type="spellStart"/>
      <w:r w:rsidRPr="00AA4AD7">
        <w:rPr>
          <w:sz w:val="24"/>
          <w:szCs w:val="24"/>
        </w:rPr>
        <w:t>i.v</w:t>
      </w:r>
      <w:proofErr w:type="spellEnd"/>
      <w:r w:rsidRPr="00AA4AD7">
        <w:rPr>
          <w:sz w:val="24"/>
          <w:szCs w:val="24"/>
        </w:rPr>
        <w:t>. til børn efter en indledende intravenøs injektion af adrenalin. Dosis kan om nødvendigt gentages.</w:t>
      </w:r>
    </w:p>
    <w:p w14:paraId="6C85BF54" w14:textId="77777777" w:rsidR="00C73700" w:rsidRPr="00AA4AD7" w:rsidRDefault="00C73700" w:rsidP="007224BC">
      <w:pPr>
        <w:autoSpaceDE w:val="0"/>
        <w:autoSpaceDN w:val="0"/>
        <w:adjustRightInd w:val="0"/>
        <w:ind w:left="1276" w:hanging="425"/>
        <w:rPr>
          <w:sz w:val="24"/>
          <w:szCs w:val="24"/>
          <w:lang w:val="sv-SE"/>
        </w:rPr>
      </w:pPr>
    </w:p>
    <w:p w14:paraId="6209DF1E" w14:textId="77777777" w:rsidR="00C73700" w:rsidRPr="00AA4AD7" w:rsidRDefault="00C73700" w:rsidP="007224BC">
      <w:pPr>
        <w:numPr>
          <w:ilvl w:val="0"/>
          <w:numId w:val="8"/>
        </w:numPr>
        <w:autoSpaceDE w:val="0"/>
        <w:autoSpaceDN w:val="0"/>
        <w:adjustRightInd w:val="0"/>
        <w:ind w:left="1276" w:hanging="425"/>
        <w:rPr>
          <w:i/>
          <w:iCs/>
          <w:sz w:val="24"/>
          <w:szCs w:val="24"/>
        </w:rPr>
      </w:pPr>
      <w:r w:rsidRPr="00AA4AD7">
        <w:rPr>
          <w:i/>
          <w:sz w:val="24"/>
          <w:szCs w:val="24"/>
        </w:rPr>
        <w:t>Svært akut astmaanfald</w:t>
      </w:r>
    </w:p>
    <w:p w14:paraId="2FC1676D" w14:textId="77777777" w:rsidR="00C73700" w:rsidRPr="00AA4AD7" w:rsidRDefault="00C73700" w:rsidP="00947099">
      <w:pPr>
        <w:autoSpaceDE w:val="0"/>
        <w:autoSpaceDN w:val="0"/>
        <w:adjustRightInd w:val="0"/>
        <w:ind w:left="1276"/>
        <w:rPr>
          <w:sz w:val="24"/>
          <w:szCs w:val="24"/>
        </w:rPr>
      </w:pPr>
      <w:r w:rsidRPr="00AA4AD7">
        <w:rPr>
          <w:sz w:val="24"/>
          <w:szCs w:val="24"/>
        </w:rPr>
        <w:t>0,15</w:t>
      </w:r>
      <w:r w:rsidRPr="00AA4AD7">
        <w:rPr>
          <w:sz w:val="24"/>
          <w:szCs w:val="24"/>
        </w:rPr>
        <w:noBreakHyphen/>
        <w:t xml:space="preserve">0,3 mg/kg legemsvægt </w:t>
      </w:r>
      <w:proofErr w:type="spellStart"/>
      <w:r w:rsidRPr="00AA4AD7">
        <w:rPr>
          <w:sz w:val="24"/>
          <w:szCs w:val="24"/>
        </w:rPr>
        <w:t>i.v</w:t>
      </w:r>
      <w:proofErr w:type="spellEnd"/>
      <w:r w:rsidRPr="00AA4AD7">
        <w:rPr>
          <w:sz w:val="24"/>
          <w:szCs w:val="24"/>
        </w:rPr>
        <w:t xml:space="preserve">. eller 1,2 mg/kg legemsvægt som </w:t>
      </w:r>
      <w:proofErr w:type="spellStart"/>
      <w:r w:rsidRPr="00AA4AD7">
        <w:rPr>
          <w:sz w:val="24"/>
          <w:szCs w:val="24"/>
        </w:rPr>
        <w:t>bolus</w:t>
      </w:r>
      <w:proofErr w:type="spellEnd"/>
      <w:r w:rsidRPr="00AA4AD7">
        <w:rPr>
          <w:sz w:val="24"/>
          <w:szCs w:val="24"/>
        </w:rPr>
        <w:t>, efterfulgt af 0,3 mg/kg hver 4.</w:t>
      </w:r>
      <w:r w:rsidRPr="00AA4AD7">
        <w:rPr>
          <w:sz w:val="24"/>
          <w:szCs w:val="24"/>
        </w:rPr>
        <w:noBreakHyphen/>
        <w:t xml:space="preserve">6. time. Intravenøs </w:t>
      </w:r>
      <w:proofErr w:type="spellStart"/>
      <w:r w:rsidRPr="00AA4AD7">
        <w:rPr>
          <w:sz w:val="24"/>
          <w:szCs w:val="24"/>
        </w:rPr>
        <w:t>aminofyllin</w:t>
      </w:r>
      <w:proofErr w:type="spellEnd"/>
      <w:r w:rsidRPr="00AA4AD7">
        <w:rPr>
          <w:sz w:val="24"/>
          <w:szCs w:val="24"/>
        </w:rPr>
        <w:t xml:space="preserve"> kan administreres som tillæg.</w:t>
      </w:r>
    </w:p>
    <w:p w14:paraId="29A99F29" w14:textId="77777777" w:rsidR="00C73700" w:rsidRPr="00AA4AD7" w:rsidRDefault="00C73700" w:rsidP="007224BC">
      <w:pPr>
        <w:autoSpaceDE w:val="0"/>
        <w:autoSpaceDN w:val="0"/>
        <w:adjustRightInd w:val="0"/>
        <w:ind w:left="1276" w:hanging="425"/>
        <w:rPr>
          <w:sz w:val="24"/>
          <w:szCs w:val="24"/>
          <w:lang w:val="en-US"/>
        </w:rPr>
      </w:pPr>
    </w:p>
    <w:p w14:paraId="6B4BA436" w14:textId="77777777" w:rsidR="00C73700" w:rsidRPr="00AA4AD7" w:rsidRDefault="00C73700" w:rsidP="007224BC">
      <w:pPr>
        <w:numPr>
          <w:ilvl w:val="0"/>
          <w:numId w:val="8"/>
        </w:numPr>
        <w:autoSpaceDE w:val="0"/>
        <w:autoSpaceDN w:val="0"/>
        <w:adjustRightInd w:val="0"/>
        <w:ind w:left="1276" w:hanging="425"/>
        <w:rPr>
          <w:i/>
          <w:iCs/>
          <w:sz w:val="24"/>
          <w:szCs w:val="24"/>
        </w:rPr>
      </w:pPr>
      <w:r w:rsidRPr="00AA4AD7">
        <w:rPr>
          <w:i/>
          <w:sz w:val="24"/>
          <w:szCs w:val="24"/>
        </w:rPr>
        <w:t>Profylakse og behandling af postoperativ opkastning</w:t>
      </w:r>
    </w:p>
    <w:p w14:paraId="4FE78DEC" w14:textId="77777777" w:rsidR="00C73700" w:rsidRPr="00AA4AD7" w:rsidRDefault="00C73700" w:rsidP="00947099">
      <w:pPr>
        <w:autoSpaceDE w:val="0"/>
        <w:autoSpaceDN w:val="0"/>
        <w:adjustRightInd w:val="0"/>
        <w:ind w:left="1276"/>
        <w:rPr>
          <w:sz w:val="24"/>
          <w:szCs w:val="24"/>
        </w:rPr>
      </w:pPr>
      <w:r w:rsidRPr="00AA4AD7">
        <w:rPr>
          <w:sz w:val="24"/>
          <w:szCs w:val="24"/>
        </w:rPr>
        <w:t>0,15</w:t>
      </w:r>
      <w:r w:rsidRPr="00AA4AD7">
        <w:rPr>
          <w:sz w:val="24"/>
          <w:szCs w:val="24"/>
        </w:rPr>
        <w:noBreakHyphen/>
        <w:t>0,5 mg/kg legemsvægt hos børn over 2 år, med en maksimal dosis på 16 mg.</w:t>
      </w:r>
    </w:p>
    <w:p w14:paraId="013C7C91" w14:textId="2C56C250" w:rsidR="00C73700" w:rsidRPr="00AA4AD7" w:rsidRDefault="00C73700" w:rsidP="00947099">
      <w:pPr>
        <w:autoSpaceDE w:val="0"/>
        <w:autoSpaceDN w:val="0"/>
        <w:adjustRightInd w:val="0"/>
        <w:ind w:left="1276"/>
        <w:rPr>
          <w:sz w:val="24"/>
          <w:szCs w:val="24"/>
        </w:rPr>
      </w:pPr>
      <w:proofErr w:type="spellStart"/>
      <w:r w:rsidRPr="00AA4AD7">
        <w:rPr>
          <w:sz w:val="24"/>
          <w:szCs w:val="24"/>
        </w:rPr>
        <w:lastRenderedPageBreak/>
        <w:t>Dexamethasone</w:t>
      </w:r>
      <w:proofErr w:type="spellEnd"/>
      <w:r w:rsidRPr="00AA4AD7">
        <w:rPr>
          <w:sz w:val="24"/>
          <w:szCs w:val="24"/>
        </w:rPr>
        <w:t xml:space="preserve"> </w:t>
      </w:r>
      <w:proofErr w:type="spellStart"/>
      <w:r w:rsidRPr="00AA4AD7">
        <w:rPr>
          <w:sz w:val="24"/>
          <w:szCs w:val="24"/>
        </w:rPr>
        <w:t>phosphate</w:t>
      </w:r>
      <w:proofErr w:type="spellEnd"/>
      <w:r w:rsidRPr="00AA4AD7">
        <w:rPr>
          <w:sz w:val="24"/>
          <w:szCs w:val="24"/>
        </w:rPr>
        <w:t xml:space="preserve"> </w:t>
      </w:r>
      <w:r w:rsidR="009816BE">
        <w:rPr>
          <w:sz w:val="24"/>
          <w:szCs w:val="24"/>
        </w:rPr>
        <w:t>"</w:t>
      </w:r>
      <w:proofErr w:type="spellStart"/>
      <w:r w:rsidR="009816BE">
        <w:rPr>
          <w:sz w:val="24"/>
          <w:szCs w:val="24"/>
        </w:rPr>
        <w:t>Accord</w:t>
      </w:r>
      <w:proofErr w:type="spellEnd"/>
      <w:r w:rsidR="009816BE">
        <w:rPr>
          <w:sz w:val="24"/>
          <w:szCs w:val="24"/>
        </w:rPr>
        <w:t>"</w:t>
      </w:r>
      <w:r w:rsidRPr="00AA4AD7">
        <w:rPr>
          <w:sz w:val="24"/>
          <w:szCs w:val="24"/>
        </w:rPr>
        <w:t xml:space="preserve"> frarådes generelt til præmature eller fuldbårne nyfødte (se pkt. 2 og 4</w:t>
      </w:r>
      <w:r w:rsidR="00735800">
        <w:rPr>
          <w:sz w:val="24"/>
          <w:szCs w:val="24"/>
        </w:rPr>
        <w:t>.</w:t>
      </w:r>
      <w:r w:rsidRPr="00AA4AD7">
        <w:rPr>
          <w:sz w:val="24"/>
          <w:szCs w:val="24"/>
        </w:rPr>
        <w:t>4).</w:t>
      </w:r>
    </w:p>
    <w:p w14:paraId="08837463" w14:textId="77777777" w:rsidR="00C73700" w:rsidRPr="00AA4AD7" w:rsidRDefault="00C73700" w:rsidP="00947099">
      <w:pPr>
        <w:autoSpaceDE w:val="0"/>
        <w:autoSpaceDN w:val="0"/>
        <w:adjustRightInd w:val="0"/>
        <w:ind w:left="851"/>
        <w:rPr>
          <w:sz w:val="24"/>
          <w:szCs w:val="24"/>
          <w:lang w:val="sv-SE"/>
        </w:rPr>
      </w:pPr>
    </w:p>
    <w:p w14:paraId="3614A5CD" w14:textId="77777777" w:rsidR="00C73700" w:rsidRPr="00AA4AD7" w:rsidRDefault="00C73700" w:rsidP="007224BC">
      <w:pPr>
        <w:autoSpaceDE w:val="0"/>
        <w:autoSpaceDN w:val="0"/>
        <w:adjustRightInd w:val="0"/>
        <w:ind w:left="851"/>
        <w:rPr>
          <w:sz w:val="24"/>
          <w:szCs w:val="24"/>
        </w:rPr>
      </w:pPr>
      <w:r w:rsidRPr="00AA4AD7">
        <w:rPr>
          <w:sz w:val="24"/>
          <w:szCs w:val="24"/>
        </w:rPr>
        <w:t>Varigheden af behandlingen afhænger af det kliniske respons og den enkelte patients behov.</w:t>
      </w:r>
    </w:p>
    <w:p w14:paraId="5129726A" w14:textId="77777777" w:rsidR="00C73700" w:rsidRPr="00AA4AD7" w:rsidRDefault="00C73700" w:rsidP="007224BC">
      <w:pPr>
        <w:autoSpaceDE w:val="0"/>
        <w:autoSpaceDN w:val="0"/>
        <w:adjustRightInd w:val="0"/>
        <w:ind w:left="851"/>
        <w:rPr>
          <w:sz w:val="24"/>
          <w:szCs w:val="24"/>
        </w:rPr>
      </w:pPr>
      <w:r w:rsidRPr="00AA4AD7">
        <w:rPr>
          <w:sz w:val="24"/>
          <w:szCs w:val="24"/>
        </w:rPr>
        <w:t>Ældre patienter og patienter med nedsat nyre- eller leverfunktion: Der er ikke behov for dosisjusteringer.</w:t>
      </w:r>
    </w:p>
    <w:p w14:paraId="3E1732DC" w14:textId="77777777" w:rsidR="00C73700" w:rsidRPr="00AA4AD7" w:rsidRDefault="00C73700" w:rsidP="007224BC">
      <w:pPr>
        <w:autoSpaceDE w:val="0"/>
        <w:autoSpaceDN w:val="0"/>
        <w:adjustRightInd w:val="0"/>
        <w:ind w:left="851"/>
        <w:rPr>
          <w:sz w:val="24"/>
          <w:szCs w:val="24"/>
          <w:u w:val="single"/>
          <w:lang w:val="sv-SE"/>
        </w:rPr>
      </w:pPr>
    </w:p>
    <w:p w14:paraId="1B070069" w14:textId="77777777" w:rsidR="00C73700" w:rsidRPr="00AA4AD7" w:rsidRDefault="00C73700" w:rsidP="007224BC">
      <w:pPr>
        <w:autoSpaceDE w:val="0"/>
        <w:autoSpaceDN w:val="0"/>
        <w:adjustRightInd w:val="0"/>
        <w:ind w:left="851"/>
        <w:rPr>
          <w:sz w:val="24"/>
          <w:szCs w:val="24"/>
          <w:u w:val="single"/>
        </w:rPr>
      </w:pPr>
      <w:r w:rsidRPr="00AA4AD7">
        <w:rPr>
          <w:sz w:val="24"/>
          <w:szCs w:val="24"/>
          <w:u w:val="single"/>
        </w:rPr>
        <w:t>Lokal anvendelse</w:t>
      </w:r>
    </w:p>
    <w:p w14:paraId="76A7717E" w14:textId="77777777" w:rsidR="00C73700" w:rsidRPr="00AA4AD7" w:rsidRDefault="00C73700" w:rsidP="007224BC">
      <w:pPr>
        <w:autoSpaceDE w:val="0"/>
        <w:autoSpaceDN w:val="0"/>
        <w:adjustRightInd w:val="0"/>
        <w:ind w:left="851"/>
        <w:rPr>
          <w:sz w:val="24"/>
          <w:szCs w:val="24"/>
        </w:rPr>
      </w:pPr>
      <w:r w:rsidRPr="00AA4AD7">
        <w:rPr>
          <w:sz w:val="24"/>
          <w:szCs w:val="24"/>
        </w:rPr>
        <w:t xml:space="preserve">Den anbefalede sædvanlige dosis til lokal infiltration eller </w:t>
      </w:r>
      <w:proofErr w:type="spellStart"/>
      <w:r w:rsidRPr="00AA4AD7">
        <w:rPr>
          <w:sz w:val="24"/>
          <w:szCs w:val="24"/>
        </w:rPr>
        <w:t>intraartikulær</w:t>
      </w:r>
      <w:proofErr w:type="spellEnd"/>
      <w:r w:rsidRPr="00AA4AD7">
        <w:rPr>
          <w:sz w:val="24"/>
          <w:szCs w:val="24"/>
        </w:rPr>
        <w:t xml:space="preserve"> administration er 4</w:t>
      </w:r>
      <w:r w:rsidRPr="00AA4AD7">
        <w:rPr>
          <w:sz w:val="24"/>
          <w:szCs w:val="24"/>
        </w:rPr>
        <w:noBreakHyphen/>
        <w:t xml:space="preserve">8 mg. En lavere dosis på 2 mg </w:t>
      </w:r>
      <w:proofErr w:type="spellStart"/>
      <w:r w:rsidRPr="00AA4AD7">
        <w:rPr>
          <w:sz w:val="24"/>
          <w:szCs w:val="24"/>
        </w:rPr>
        <w:t>dexametasonfosfat</w:t>
      </w:r>
      <w:proofErr w:type="spellEnd"/>
      <w:r w:rsidRPr="00AA4AD7">
        <w:rPr>
          <w:sz w:val="24"/>
          <w:szCs w:val="24"/>
        </w:rPr>
        <w:t xml:space="preserve"> er tilstrækkelig ved injektion i mindre led.</w:t>
      </w:r>
    </w:p>
    <w:p w14:paraId="10B9D534" w14:textId="77777777" w:rsidR="00C73700" w:rsidRPr="00AA4AD7" w:rsidRDefault="00C73700" w:rsidP="007224BC">
      <w:pPr>
        <w:autoSpaceDE w:val="0"/>
        <w:autoSpaceDN w:val="0"/>
        <w:adjustRightInd w:val="0"/>
        <w:ind w:left="851"/>
        <w:rPr>
          <w:i/>
          <w:iCs/>
          <w:sz w:val="24"/>
          <w:szCs w:val="24"/>
          <w:lang w:val="sv-SE"/>
        </w:rPr>
      </w:pPr>
    </w:p>
    <w:p w14:paraId="4434EB0E" w14:textId="77777777" w:rsidR="00C73700" w:rsidRPr="00AA4AD7" w:rsidRDefault="00C73700" w:rsidP="007224BC">
      <w:pPr>
        <w:autoSpaceDE w:val="0"/>
        <w:autoSpaceDN w:val="0"/>
        <w:adjustRightInd w:val="0"/>
        <w:ind w:left="851"/>
        <w:rPr>
          <w:sz w:val="24"/>
          <w:szCs w:val="24"/>
          <w:u w:val="single"/>
        </w:rPr>
      </w:pPr>
      <w:r w:rsidRPr="00AA4AD7">
        <w:rPr>
          <w:sz w:val="24"/>
          <w:szCs w:val="24"/>
          <w:u w:val="single"/>
        </w:rPr>
        <w:t>Administration</w:t>
      </w:r>
    </w:p>
    <w:p w14:paraId="3D2A56A5" w14:textId="77777777" w:rsidR="00C73700" w:rsidRPr="00AA4AD7" w:rsidRDefault="00C73700" w:rsidP="007224BC">
      <w:pPr>
        <w:autoSpaceDE w:val="0"/>
        <w:autoSpaceDN w:val="0"/>
        <w:adjustRightInd w:val="0"/>
        <w:ind w:left="851"/>
        <w:rPr>
          <w:sz w:val="24"/>
          <w:szCs w:val="24"/>
        </w:rPr>
      </w:pPr>
      <w:r w:rsidRPr="00AA4AD7">
        <w:rPr>
          <w:sz w:val="24"/>
          <w:szCs w:val="24"/>
        </w:rPr>
        <w:t>Varigheden af administrationen afhænger af indikationen.</w:t>
      </w:r>
    </w:p>
    <w:p w14:paraId="1C4ADAA0" w14:textId="34A1080A" w:rsidR="00C73700" w:rsidRPr="00AA4AD7" w:rsidRDefault="00C73700" w:rsidP="007224BC">
      <w:pPr>
        <w:autoSpaceDE w:val="0"/>
        <w:autoSpaceDN w:val="0"/>
        <w:adjustRightInd w:val="0"/>
        <w:ind w:left="851"/>
        <w:rPr>
          <w:sz w:val="24"/>
          <w:szCs w:val="24"/>
        </w:rPr>
      </w:pPr>
      <w:proofErr w:type="spellStart"/>
      <w:r w:rsidRPr="00AA4AD7">
        <w:rPr>
          <w:sz w:val="24"/>
          <w:szCs w:val="24"/>
        </w:rPr>
        <w:t>Dexamethasone</w:t>
      </w:r>
      <w:proofErr w:type="spellEnd"/>
      <w:r w:rsidRPr="00AA4AD7">
        <w:rPr>
          <w:sz w:val="24"/>
          <w:szCs w:val="24"/>
        </w:rPr>
        <w:t xml:space="preserve"> </w:t>
      </w:r>
      <w:proofErr w:type="spellStart"/>
      <w:r w:rsidRPr="00AA4AD7">
        <w:rPr>
          <w:sz w:val="24"/>
          <w:szCs w:val="24"/>
        </w:rPr>
        <w:t>phosphate</w:t>
      </w:r>
      <w:proofErr w:type="spellEnd"/>
      <w:r w:rsidRPr="00AA4AD7">
        <w:rPr>
          <w:sz w:val="24"/>
          <w:szCs w:val="24"/>
        </w:rPr>
        <w:t xml:space="preserve"> </w:t>
      </w:r>
      <w:r w:rsidR="009816BE">
        <w:rPr>
          <w:sz w:val="24"/>
          <w:szCs w:val="24"/>
        </w:rPr>
        <w:t>"</w:t>
      </w:r>
      <w:proofErr w:type="spellStart"/>
      <w:r w:rsidR="009816BE">
        <w:rPr>
          <w:sz w:val="24"/>
          <w:szCs w:val="24"/>
        </w:rPr>
        <w:t>Accord</w:t>
      </w:r>
      <w:proofErr w:type="spellEnd"/>
      <w:r w:rsidR="009816BE">
        <w:rPr>
          <w:sz w:val="24"/>
          <w:szCs w:val="24"/>
        </w:rPr>
        <w:t>"</w:t>
      </w:r>
      <w:r w:rsidRPr="00AA4AD7">
        <w:rPr>
          <w:sz w:val="24"/>
          <w:szCs w:val="24"/>
        </w:rPr>
        <w:t xml:space="preserve"> kan gives uden blanding eller fortynding.</w:t>
      </w:r>
    </w:p>
    <w:p w14:paraId="7EB1E810" w14:textId="77777777" w:rsidR="00C73700" w:rsidRPr="00AA4AD7" w:rsidRDefault="00C73700" w:rsidP="007224BC">
      <w:pPr>
        <w:autoSpaceDE w:val="0"/>
        <w:autoSpaceDN w:val="0"/>
        <w:adjustRightInd w:val="0"/>
        <w:ind w:left="851"/>
        <w:rPr>
          <w:sz w:val="24"/>
          <w:szCs w:val="24"/>
          <w:lang w:val="sv-SE"/>
        </w:rPr>
      </w:pPr>
    </w:p>
    <w:p w14:paraId="0A20BA02" w14:textId="77777777" w:rsidR="00C73700" w:rsidRPr="00AA4AD7" w:rsidRDefault="00C73700" w:rsidP="007224BC">
      <w:pPr>
        <w:autoSpaceDE w:val="0"/>
        <w:autoSpaceDN w:val="0"/>
        <w:adjustRightInd w:val="0"/>
        <w:ind w:left="851"/>
        <w:rPr>
          <w:sz w:val="24"/>
          <w:szCs w:val="24"/>
        </w:rPr>
      </w:pPr>
      <w:r w:rsidRPr="00AA4AD7">
        <w:rPr>
          <w:sz w:val="24"/>
          <w:szCs w:val="24"/>
        </w:rPr>
        <w:t xml:space="preserve">Intravenøs, intramuskulær, </w:t>
      </w:r>
      <w:proofErr w:type="spellStart"/>
      <w:r w:rsidRPr="00AA4AD7">
        <w:rPr>
          <w:sz w:val="24"/>
          <w:szCs w:val="24"/>
        </w:rPr>
        <w:t>intraartikulær</w:t>
      </w:r>
      <w:proofErr w:type="spellEnd"/>
      <w:r w:rsidRPr="00AA4AD7">
        <w:rPr>
          <w:sz w:val="24"/>
          <w:szCs w:val="24"/>
        </w:rPr>
        <w:t xml:space="preserve"> injektion eller infiltration.</w:t>
      </w:r>
    </w:p>
    <w:p w14:paraId="248C8C82" w14:textId="3D921440" w:rsidR="00C73700" w:rsidRPr="00AA4AD7" w:rsidRDefault="00C73700" w:rsidP="007224BC">
      <w:pPr>
        <w:autoSpaceDE w:val="0"/>
        <w:autoSpaceDN w:val="0"/>
        <w:adjustRightInd w:val="0"/>
        <w:ind w:left="851"/>
        <w:rPr>
          <w:sz w:val="24"/>
          <w:szCs w:val="24"/>
        </w:rPr>
      </w:pPr>
      <w:r w:rsidRPr="00AA4AD7">
        <w:rPr>
          <w:sz w:val="24"/>
          <w:szCs w:val="24"/>
        </w:rPr>
        <w:t xml:space="preserve">Alternativt kan </w:t>
      </w:r>
      <w:proofErr w:type="spellStart"/>
      <w:r w:rsidRPr="00AA4AD7">
        <w:rPr>
          <w:sz w:val="24"/>
          <w:szCs w:val="24"/>
        </w:rPr>
        <w:t>Dexamethasone</w:t>
      </w:r>
      <w:proofErr w:type="spellEnd"/>
      <w:r w:rsidRPr="00AA4AD7">
        <w:rPr>
          <w:sz w:val="24"/>
          <w:szCs w:val="24"/>
        </w:rPr>
        <w:t xml:space="preserve"> </w:t>
      </w:r>
      <w:proofErr w:type="spellStart"/>
      <w:r w:rsidRPr="00AA4AD7">
        <w:rPr>
          <w:sz w:val="24"/>
          <w:szCs w:val="24"/>
        </w:rPr>
        <w:t>phosphate</w:t>
      </w:r>
      <w:proofErr w:type="spellEnd"/>
      <w:r w:rsidRPr="00AA4AD7">
        <w:rPr>
          <w:sz w:val="24"/>
          <w:szCs w:val="24"/>
        </w:rPr>
        <w:t xml:space="preserve"> </w:t>
      </w:r>
      <w:r w:rsidR="009816BE">
        <w:rPr>
          <w:sz w:val="24"/>
          <w:szCs w:val="24"/>
        </w:rPr>
        <w:t>"</w:t>
      </w:r>
      <w:proofErr w:type="spellStart"/>
      <w:r w:rsidR="009816BE">
        <w:rPr>
          <w:sz w:val="24"/>
          <w:szCs w:val="24"/>
        </w:rPr>
        <w:t>Accord</w:t>
      </w:r>
      <w:proofErr w:type="spellEnd"/>
      <w:r w:rsidR="009816BE">
        <w:rPr>
          <w:sz w:val="24"/>
          <w:szCs w:val="24"/>
        </w:rPr>
        <w:t>"</w:t>
      </w:r>
      <w:r w:rsidRPr="00AA4AD7">
        <w:rPr>
          <w:sz w:val="24"/>
          <w:szCs w:val="24"/>
        </w:rPr>
        <w:t xml:space="preserve"> tilsættes, uden tab af styrke, til </w:t>
      </w:r>
      <w:proofErr w:type="spellStart"/>
      <w:r w:rsidRPr="00AA4AD7">
        <w:rPr>
          <w:sz w:val="24"/>
          <w:szCs w:val="24"/>
        </w:rPr>
        <w:t>natriumchlorid</w:t>
      </w:r>
      <w:proofErr w:type="spellEnd"/>
      <w:r w:rsidRPr="00AA4AD7">
        <w:rPr>
          <w:sz w:val="24"/>
          <w:szCs w:val="24"/>
        </w:rPr>
        <w:t xml:space="preserve"> 0,9 %, glukose 5 % eller Ringers opløsning og gives som intravenøs infusion:</w:t>
      </w:r>
    </w:p>
    <w:p w14:paraId="3EF73064" w14:textId="77777777" w:rsidR="00C73700" w:rsidRPr="00AA4AD7" w:rsidRDefault="00C73700" w:rsidP="007224BC">
      <w:pPr>
        <w:numPr>
          <w:ilvl w:val="0"/>
          <w:numId w:val="9"/>
        </w:numPr>
        <w:autoSpaceDE w:val="0"/>
        <w:autoSpaceDN w:val="0"/>
        <w:adjustRightInd w:val="0"/>
        <w:ind w:left="1276" w:hanging="425"/>
        <w:rPr>
          <w:sz w:val="24"/>
          <w:szCs w:val="24"/>
        </w:rPr>
      </w:pPr>
      <w:r w:rsidRPr="00AA4AD7">
        <w:rPr>
          <w:sz w:val="24"/>
          <w:szCs w:val="24"/>
        </w:rPr>
        <w:t>kontinuerligt eller intermitterende eller via drop til voksne</w:t>
      </w:r>
    </w:p>
    <w:p w14:paraId="2C084C03" w14:textId="77777777" w:rsidR="00C73700" w:rsidRPr="00AA4AD7" w:rsidRDefault="00C73700" w:rsidP="007224BC">
      <w:pPr>
        <w:numPr>
          <w:ilvl w:val="0"/>
          <w:numId w:val="9"/>
        </w:numPr>
        <w:autoSpaceDE w:val="0"/>
        <w:autoSpaceDN w:val="0"/>
        <w:adjustRightInd w:val="0"/>
        <w:ind w:left="1276" w:hanging="425"/>
        <w:rPr>
          <w:sz w:val="24"/>
          <w:szCs w:val="24"/>
        </w:rPr>
      </w:pPr>
      <w:r w:rsidRPr="00AA4AD7">
        <w:rPr>
          <w:sz w:val="24"/>
          <w:szCs w:val="24"/>
        </w:rPr>
        <w:t>over 15</w:t>
      </w:r>
      <w:r w:rsidRPr="00AA4AD7">
        <w:rPr>
          <w:sz w:val="24"/>
          <w:szCs w:val="24"/>
        </w:rPr>
        <w:noBreakHyphen/>
        <w:t>20 minutter til børn.</w:t>
      </w:r>
    </w:p>
    <w:p w14:paraId="5558E734" w14:textId="77777777" w:rsidR="00C73700" w:rsidRPr="00AA4AD7" w:rsidRDefault="00C73700" w:rsidP="00C73700">
      <w:pPr>
        <w:tabs>
          <w:tab w:val="left" w:pos="1304"/>
        </w:tabs>
        <w:autoSpaceDE w:val="0"/>
        <w:autoSpaceDN w:val="0"/>
        <w:adjustRightInd w:val="0"/>
        <w:rPr>
          <w:sz w:val="24"/>
          <w:szCs w:val="24"/>
          <w:lang w:val="en-US"/>
        </w:rPr>
      </w:pPr>
    </w:p>
    <w:p w14:paraId="4EAAA71B" w14:textId="636D4549" w:rsidR="00C73700" w:rsidRPr="00AA4AD7" w:rsidRDefault="00C73700" w:rsidP="007224BC">
      <w:pPr>
        <w:autoSpaceDE w:val="0"/>
        <w:autoSpaceDN w:val="0"/>
        <w:adjustRightInd w:val="0"/>
        <w:ind w:left="851"/>
        <w:rPr>
          <w:sz w:val="24"/>
          <w:szCs w:val="24"/>
        </w:rPr>
      </w:pPr>
      <w:r w:rsidRPr="00AA4AD7">
        <w:rPr>
          <w:sz w:val="24"/>
          <w:szCs w:val="24"/>
        </w:rPr>
        <w:t xml:space="preserve">Ved palliativ pleje kan </w:t>
      </w:r>
      <w:proofErr w:type="spellStart"/>
      <w:r w:rsidRPr="00AA4AD7">
        <w:rPr>
          <w:sz w:val="24"/>
          <w:szCs w:val="24"/>
        </w:rPr>
        <w:t>Dexamethasone</w:t>
      </w:r>
      <w:proofErr w:type="spellEnd"/>
      <w:r w:rsidRPr="00AA4AD7">
        <w:rPr>
          <w:sz w:val="24"/>
          <w:szCs w:val="24"/>
        </w:rPr>
        <w:t xml:space="preserve"> </w:t>
      </w:r>
      <w:proofErr w:type="spellStart"/>
      <w:r w:rsidRPr="00AA4AD7">
        <w:rPr>
          <w:sz w:val="24"/>
          <w:szCs w:val="24"/>
        </w:rPr>
        <w:t>phosphate</w:t>
      </w:r>
      <w:proofErr w:type="spellEnd"/>
      <w:r w:rsidRPr="00AA4AD7">
        <w:rPr>
          <w:sz w:val="24"/>
          <w:szCs w:val="24"/>
        </w:rPr>
        <w:t xml:space="preserve"> </w:t>
      </w:r>
      <w:r w:rsidR="009816BE">
        <w:rPr>
          <w:sz w:val="24"/>
          <w:szCs w:val="24"/>
        </w:rPr>
        <w:t>"</w:t>
      </w:r>
      <w:proofErr w:type="spellStart"/>
      <w:r w:rsidR="009816BE">
        <w:rPr>
          <w:sz w:val="24"/>
          <w:szCs w:val="24"/>
        </w:rPr>
        <w:t>Accord</w:t>
      </w:r>
      <w:proofErr w:type="spellEnd"/>
      <w:r w:rsidR="009816BE">
        <w:rPr>
          <w:sz w:val="24"/>
          <w:szCs w:val="24"/>
        </w:rPr>
        <w:t>"</w:t>
      </w:r>
      <w:r w:rsidRPr="00AA4AD7">
        <w:rPr>
          <w:sz w:val="24"/>
          <w:szCs w:val="24"/>
        </w:rPr>
        <w:t xml:space="preserve"> fortyndes med </w:t>
      </w:r>
      <w:proofErr w:type="spellStart"/>
      <w:r w:rsidRPr="00AA4AD7">
        <w:rPr>
          <w:sz w:val="24"/>
          <w:szCs w:val="24"/>
        </w:rPr>
        <w:t>natriumchlorid</w:t>
      </w:r>
      <w:proofErr w:type="spellEnd"/>
      <w:r w:rsidRPr="00AA4AD7">
        <w:rPr>
          <w:sz w:val="24"/>
          <w:szCs w:val="24"/>
        </w:rPr>
        <w:t xml:space="preserve"> 0,9 % opløsning og gives som kontinuerlig subkutan infusion (CSCI).</w:t>
      </w:r>
    </w:p>
    <w:p w14:paraId="03D9A242" w14:textId="77777777" w:rsidR="00C73700" w:rsidRPr="00AA4AD7" w:rsidRDefault="00C73700" w:rsidP="007224BC">
      <w:pPr>
        <w:autoSpaceDE w:val="0"/>
        <w:autoSpaceDN w:val="0"/>
        <w:adjustRightInd w:val="0"/>
        <w:ind w:left="851"/>
        <w:rPr>
          <w:sz w:val="24"/>
          <w:szCs w:val="24"/>
        </w:rPr>
      </w:pPr>
      <w:r w:rsidRPr="00AA4AD7">
        <w:rPr>
          <w:sz w:val="24"/>
          <w:szCs w:val="24"/>
        </w:rPr>
        <w:t>Infusionsblandinger skal anvendes inden for 24 timer, og de sædvanlige aseptiske teknikker til injektioner skal overholdes.</w:t>
      </w:r>
    </w:p>
    <w:p w14:paraId="4F328396" w14:textId="77777777" w:rsidR="00C73700" w:rsidRPr="00AA4AD7" w:rsidRDefault="00C73700" w:rsidP="007224BC">
      <w:pPr>
        <w:autoSpaceDE w:val="0"/>
        <w:autoSpaceDN w:val="0"/>
        <w:adjustRightInd w:val="0"/>
        <w:ind w:left="851"/>
        <w:rPr>
          <w:sz w:val="24"/>
          <w:szCs w:val="24"/>
        </w:rPr>
      </w:pPr>
      <w:proofErr w:type="spellStart"/>
      <w:r w:rsidRPr="00AA4AD7">
        <w:rPr>
          <w:i/>
          <w:sz w:val="24"/>
          <w:szCs w:val="24"/>
        </w:rPr>
        <w:t>Intraartikulær</w:t>
      </w:r>
      <w:proofErr w:type="spellEnd"/>
      <w:r w:rsidRPr="00AA4AD7">
        <w:rPr>
          <w:i/>
          <w:sz w:val="24"/>
          <w:szCs w:val="24"/>
        </w:rPr>
        <w:t xml:space="preserve"> injektion </w:t>
      </w:r>
      <w:r w:rsidRPr="00AA4AD7">
        <w:rPr>
          <w:sz w:val="24"/>
          <w:szCs w:val="24"/>
        </w:rPr>
        <w:t xml:space="preserve">skal administreres under strengt aseptiske forhold. En enkelt </w:t>
      </w:r>
      <w:proofErr w:type="spellStart"/>
      <w:r w:rsidRPr="00AA4AD7">
        <w:rPr>
          <w:sz w:val="24"/>
          <w:szCs w:val="24"/>
        </w:rPr>
        <w:t>intraartikulær</w:t>
      </w:r>
      <w:proofErr w:type="spellEnd"/>
      <w:r w:rsidRPr="00AA4AD7">
        <w:rPr>
          <w:sz w:val="24"/>
          <w:szCs w:val="24"/>
        </w:rPr>
        <w:t xml:space="preserve"> injektion er generelt tilstrækkeligt til at lindre symptomer. Hvis det skønnes nødvendigt at give en yderligere injektion, må denne tidligst gives 3</w:t>
      </w:r>
      <w:r w:rsidRPr="00AA4AD7">
        <w:rPr>
          <w:sz w:val="24"/>
          <w:szCs w:val="24"/>
        </w:rPr>
        <w:noBreakHyphen/>
        <w:t>4 uger senere. Antal injektioner pr. led skal begrænses til 3</w:t>
      </w:r>
      <w:r w:rsidRPr="00AA4AD7">
        <w:rPr>
          <w:sz w:val="24"/>
          <w:szCs w:val="24"/>
        </w:rPr>
        <w:noBreakHyphen/>
        <w:t>4. En medicinsk undersøgelse af leddet er påkrævet, især efter gentagne injektioner.</w:t>
      </w:r>
    </w:p>
    <w:p w14:paraId="5FEEE184" w14:textId="77777777" w:rsidR="00C73700" w:rsidRPr="00AA4AD7" w:rsidRDefault="00C73700" w:rsidP="007224BC">
      <w:pPr>
        <w:autoSpaceDE w:val="0"/>
        <w:autoSpaceDN w:val="0"/>
        <w:adjustRightInd w:val="0"/>
        <w:ind w:left="851"/>
        <w:rPr>
          <w:i/>
          <w:iCs/>
          <w:sz w:val="24"/>
          <w:szCs w:val="24"/>
          <w:lang w:val="sv-SE"/>
        </w:rPr>
      </w:pPr>
    </w:p>
    <w:p w14:paraId="6A4E5E7D" w14:textId="77777777" w:rsidR="00C73700" w:rsidRPr="00AA4AD7" w:rsidRDefault="00C73700" w:rsidP="007224BC">
      <w:pPr>
        <w:autoSpaceDE w:val="0"/>
        <w:autoSpaceDN w:val="0"/>
        <w:adjustRightInd w:val="0"/>
        <w:ind w:left="851"/>
        <w:rPr>
          <w:sz w:val="24"/>
          <w:szCs w:val="24"/>
        </w:rPr>
      </w:pPr>
      <w:r w:rsidRPr="00AA4AD7">
        <w:rPr>
          <w:i/>
          <w:sz w:val="24"/>
          <w:szCs w:val="24"/>
        </w:rPr>
        <w:t xml:space="preserve">Lokal infiltration </w:t>
      </w:r>
      <w:r w:rsidRPr="00AA4AD7">
        <w:rPr>
          <w:sz w:val="24"/>
          <w:szCs w:val="24"/>
        </w:rPr>
        <w:t xml:space="preserve">skal udføres under strenge aseptiske forhold i området med de kraftigste smerter eller </w:t>
      </w:r>
      <w:proofErr w:type="spellStart"/>
      <w:r w:rsidRPr="00AA4AD7">
        <w:rPr>
          <w:sz w:val="24"/>
          <w:szCs w:val="24"/>
        </w:rPr>
        <w:t>senevedhæftninger</w:t>
      </w:r>
      <w:proofErr w:type="spellEnd"/>
      <w:r w:rsidRPr="00AA4AD7">
        <w:rPr>
          <w:sz w:val="24"/>
          <w:szCs w:val="24"/>
        </w:rPr>
        <w:t>. Pas på ikke at give injektionen direkte ind i senen. Undgå administration med korte intervaller.</w:t>
      </w:r>
    </w:p>
    <w:p w14:paraId="5B8BE3EF" w14:textId="77777777" w:rsidR="00C73700" w:rsidRPr="00AA4AD7" w:rsidRDefault="00C73700" w:rsidP="007224BC">
      <w:pPr>
        <w:autoSpaceDE w:val="0"/>
        <w:autoSpaceDN w:val="0"/>
        <w:adjustRightInd w:val="0"/>
        <w:ind w:left="851"/>
        <w:rPr>
          <w:sz w:val="24"/>
          <w:szCs w:val="24"/>
          <w:lang w:val="sv-SE"/>
        </w:rPr>
      </w:pPr>
    </w:p>
    <w:p w14:paraId="20B431B3" w14:textId="77777777" w:rsidR="00C73700" w:rsidRPr="00AA4AD7" w:rsidRDefault="00C73700" w:rsidP="007224BC">
      <w:pPr>
        <w:autoSpaceDE w:val="0"/>
        <w:autoSpaceDN w:val="0"/>
        <w:adjustRightInd w:val="0"/>
        <w:ind w:left="851"/>
        <w:rPr>
          <w:sz w:val="24"/>
          <w:szCs w:val="24"/>
        </w:rPr>
      </w:pPr>
      <w:r w:rsidRPr="00AA4AD7">
        <w:rPr>
          <w:sz w:val="24"/>
          <w:szCs w:val="24"/>
        </w:rPr>
        <w:t xml:space="preserve">Hvis høje doser er påkrævet i en enkelt behandling, skal det overvejes at anvende lægemidler med </w:t>
      </w:r>
      <w:proofErr w:type="spellStart"/>
      <w:r w:rsidRPr="00AA4AD7">
        <w:rPr>
          <w:sz w:val="24"/>
          <w:szCs w:val="24"/>
        </w:rPr>
        <w:t>dexamethason</w:t>
      </w:r>
      <w:proofErr w:type="spellEnd"/>
      <w:r w:rsidRPr="00AA4AD7">
        <w:rPr>
          <w:sz w:val="24"/>
          <w:szCs w:val="24"/>
        </w:rPr>
        <w:t xml:space="preserve"> af en højere styrke/volumen.</w:t>
      </w:r>
    </w:p>
    <w:p w14:paraId="3BE36CC1" w14:textId="77777777" w:rsidR="00C73700" w:rsidRPr="00AA4AD7" w:rsidRDefault="00C73700" w:rsidP="007224BC">
      <w:pPr>
        <w:pStyle w:val="Default"/>
        <w:ind w:left="851"/>
      </w:pPr>
    </w:p>
    <w:p w14:paraId="1ED001F4" w14:textId="77777777" w:rsidR="00C73700" w:rsidRPr="00AA4AD7" w:rsidRDefault="00C73700" w:rsidP="007224BC">
      <w:pPr>
        <w:pStyle w:val="Default"/>
        <w:ind w:left="851"/>
        <w:rPr>
          <w:i/>
          <w:iCs/>
          <w:color w:val="auto"/>
        </w:rPr>
      </w:pPr>
      <w:r w:rsidRPr="00AA4AD7">
        <w:t>For instruktioner om fortynding af lægemidlet før administration, se pkt. 6.6.</w:t>
      </w:r>
    </w:p>
    <w:p w14:paraId="2B3A58E0" w14:textId="77777777" w:rsidR="009260DE" w:rsidRPr="00AA4AD7" w:rsidRDefault="009260DE" w:rsidP="009260DE">
      <w:pPr>
        <w:tabs>
          <w:tab w:val="left" w:pos="851"/>
        </w:tabs>
        <w:ind w:left="851"/>
        <w:rPr>
          <w:sz w:val="24"/>
          <w:szCs w:val="24"/>
        </w:rPr>
      </w:pPr>
    </w:p>
    <w:p w14:paraId="787050A1" w14:textId="77777777" w:rsidR="009260DE" w:rsidRPr="00AA4AD7" w:rsidRDefault="009260DE" w:rsidP="009260DE">
      <w:pPr>
        <w:tabs>
          <w:tab w:val="left" w:pos="851"/>
        </w:tabs>
        <w:ind w:left="851" w:hanging="851"/>
        <w:rPr>
          <w:b/>
          <w:sz w:val="24"/>
          <w:szCs w:val="24"/>
        </w:rPr>
      </w:pPr>
      <w:r w:rsidRPr="00AA4AD7">
        <w:rPr>
          <w:b/>
          <w:sz w:val="24"/>
          <w:szCs w:val="24"/>
        </w:rPr>
        <w:t>4.3</w:t>
      </w:r>
      <w:r w:rsidRPr="00AA4AD7">
        <w:rPr>
          <w:b/>
          <w:sz w:val="24"/>
          <w:szCs w:val="24"/>
        </w:rPr>
        <w:tab/>
        <w:t>Kontraindikationer</w:t>
      </w:r>
    </w:p>
    <w:p w14:paraId="7F8F6681" w14:textId="77777777" w:rsidR="00C73700" w:rsidRPr="00AA4AD7" w:rsidRDefault="00C73700" w:rsidP="007224BC">
      <w:pPr>
        <w:widowControl w:val="0"/>
        <w:autoSpaceDE w:val="0"/>
        <w:autoSpaceDN w:val="0"/>
        <w:adjustRightInd w:val="0"/>
        <w:ind w:left="851"/>
        <w:rPr>
          <w:spacing w:val="-1"/>
          <w:sz w:val="24"/>
          <w:szCs w:val="24"/>
        </w:rPr>
      </w:pPr>
      <w:r w:rsidRPr="00AA4AD7">
        <w:rPr>
          <w:sz w:val="24"/>
          <w:szCs w:val="24"/>
        </w:rPr>
        <w:t>Overfølsomhed over for det aktive stof eller over for et eller flere af hjælpestofferne anført i pkt. 6.1.</w:t>
      </w:r>
    </w:p>
    <w:p w14:paraId="3B5C6C48" w14:textId="77777777" w:rsidR="00C73700" w:rsidRPr="00AA4AD7" w:rsidRDefault="00C73700" w:rsidP="007224BC">
      <w:pPr>
        <w:widowControl w:val="0"/>
        <w:autoSpaceDE w:val="0"/>
        <w:autoSpaceDN w:val="0"/>
        <w:adjustRightInd w:val="0"/>
        <w:ind w:left="851"/>
        <w:rPr>
          <w:spacing w:val="-1"/>
          <w:sz w:val="24"/>
          <w:szCs w:val="24"/>
        </w:rPr>
      </w:pPr>
      <w:r w:rsidRPr="00AA4AD7">
        <w:rPr>
          <w:sz w:val="24"/>
          <w:szCs w:val="24"/>
        </w:rPr>
        <w:t>Systemisk svampeinfektion; systemisk infektion, medmindre der anvendes specifik infektionsterapi.</w:t>
      </w:r>
    </w:p>
    <w:p w14:paraId="63B2E517" w14:textId="77777777" w:rsidR="00C73700" w:rsidRPr="00AA4AD7" w:rsidRDefault="00C73700" w:rsidP="007224BC">
      <w:pPr>
        <w:widowControl w:val="0"/>
        <w:autoSpaceDE w:val="0"/>
        <w:autoSpaceDN w:val="0"/>
        <w:adjustRightInd w:val="0"/>
        <w:ind w:left="851"/>
        <w:rPr>
          <w:spacing w:val="-1"/>
          <w:sz w:val="24"/>
          <w:szCs w:val="24"/>
        </w:rPr>
      </w:pPr>
      <w:r w:rsidRPr="00AA4AD7">
        <w:rPr>
          <w:sz w:val="24"/>
          <w:szCs w:val="24"/>
        </w:rPr>
        <w:t xml:space="preserve">Ved lokal </w:t>
      </w:r>
      <w:proofErr w:type="spellStart"/>
      <w:r w:rsidRPr="00AA4AD7">
        <w:rPr>
          <w:sz w:val="24"/>
          <w:szCs w:val="24"/>
        </w:rPr>
        <w:t>intraartikulær</w:t>
      </w:r>
      <w:proofErr w:type="spellEnd"/>
      <w:r w:rsidRPr="00AA4AD7">
        <w:rPr>
          <w:sz w:val="24"/>
          <w:szCs w:val="24"/>
        </w:rPr>
        <w:t xml:space="preserve"> injektion: Infektion i leddet eller tæt på det led der behandles, bakteriel </w:t>
      </w:r>
      <w:proofErr w:type="spellStart"/>
      <w:r w:rsidRPr="00AA4AD7">
        <w:rPr>
          <w:sz w:val="24"/>
          <w:szCs w:val="24"/>
        </w:rPr>
        <w:t>artrit</w:t>
      </w:r>
      <w:proofErr w:type="spellEnd"/>
      <w:r w:rsidRPr="00AA4AD7">
        <w:rPr>
          <w:sz w:val="24"/>
          <w:szCs w:val="24"/>
        </w:rPr>
        <w:t xml:space="preserve">, ustabile led, blødningstendens (spontane eller som følge af </w:t>
      </w:r>
      <w:proofErr w:type="spellStart"/>
      <w:r w:rsidRPr="00AA4AD7">
        <w:rPr>
          <w:sz w:val="24"/>
          <w:szCs w:val="24"/>
        </w:rPr>
        <w:t>antikoagulantia</w:t>
      </w:r>
      <w:proofErr w:type="spellEnd"/>
      <w:r w:rsidRPr="00AA4AD7">
        <w:rPr>
          <w:sz w:val="24"/>
          <w:szCs w:val="24"/>
        </w:rPr>
        <w:t xml:space="preserve">), </w:t>
      </w:r>
      <w:proofErr w:type="spellStart"/>
      <w:r w:rsidRPr="00AA4AD7">
        <w:rPr>
          <w:sz w:val="24"/>
          <w:szCs w:val="24"/>
        </w:rPr>
        <w:t>periartikulær</w:t>
      </w:r>
      <w:proofErr w:type="spellEnd"/>
      <w:r w:rsidRPr="00AA4AD7">
        <w:rPr>
          <w:sz w:val="24"/>
          <w:szCs w:val="24"/>
        </w:rPr>
        <w:t xml:space="preserve"> forkalkning, </w:t>
      </w:r>
      <w:proofErr w:type="spellStart"/>
      <w:r w:rsidRPr="00AA4AD7">
        <w:rPr>
          <w:sz w:val="24"/>
          <w:szCs w:val="24"/>
        </w:rPr>
        <w:t>avaskulær</w:t>
      </w:r>
      <w:proofErr w:type="spellEnd"/>
      <w:r w:rsidRPr="00AA4AD7">
        <w:rPr>
          <w:sz w:val="24"/>
          <w:szCs w:val="24"/>
        </w:rPr>
        <w:t xml:space="preserve"> knoglenekrose, </w:t>
      </w:r>
      <w:proofErr w:type="spellStart"/>
      <w:r w:rsidRPr="00AA4AD7">
        <w:rPr>
          <w:sz w:val="24"/>
          <w:szCs w:val="24"/>
        </w:rPr>
        <w:t>seneruptur</w:t>
      </w:r>
      <w:proofErr w:type="spellEnd"/>
      <w:r w:rsidRPr="00AA4AD7">
        <w:rPr>
          <w:sz w:val="24"/>
          <w:szCs w:val="24"/>
        </w:rPr>
        <w:t xml:space="preserve">, </w:t>
      </w:r>
      <w:proofErr w:type="spellStart"/>
      <w:r w:rsidRPr="00AA4AD7">
        <w:rPr>
          <w:sz w:val="24"/>
          <w:szCs w:val="24"/>
        </w:rPr>
        <w:t>Charcots</w:t>
      </w:r>
      <w:proofErr w:type="spellEnd"/>
      <w:r w:rsidRPr="00AA4AD7">
        <w:rPr>
          <w:sz w:val="24"/>
          <w:szCs w:val="24"/>
        </w:rPr>
        <w:t xml:space="preserve"> </w:t>
      </w:r>
      <w:r w:rsidRPr="00AA4AD7">
        <w:rPr>
          <w:sz w:val="24"/>
          <w:szCs w:val="24"/>
        </w:rPr>
        <w:lastRenderedPageBreak/>
        <w:t>led.</w:t>
      </w:r>
    </w:p>
    <w:p w14:paraId="610B8283" w14:textId="77777777" w:rsidR="00C73700" w:rsidRPr="00AA4AD7" w:rsidRDefault="00C73700" w:rsidP="007224BC">
      <w:pPr>
        <w:widowControl w:val="0"/>
        <w:autoSpaceDE w:val="0"/>
        <w:autoSpaceDN w:val="0"/>
        <w:adjustRightInd w:val="0"/>
        <w:ind w:left="851"/>
        <w:rPr>
          <w:sz w:val="24"/>
          <w:szCs w:val="24"/>
        </w:rPr>
      </w:pPr>
      <w:r w:rsidRPr="00AA4AD7">
        <w:rPr>
          <w:sz w:val="24"/>
          <w:szCs w:val="24"/>
        </w:rPr>
        <w:t>Ved lokal infiltrationsbehandling: Infektion på administrationsstedet, som ikke primært behandles med infektionsterapi.</w:t>
      </w:r>
    </w:p>
    <w:p w14:paraId="24247953" w14:textId="77777777" w:rsidR="009260DE" w:rsidRPr="00AA4AD7" w:rsidRDefault="009260DE" w:rsidP="009260DE">
      <w:pPr>
        <w:tabs>
          <w:tab w:val="left" w:pos="851"/>
        </w:tabs>
        <w:ind w:left="851"/>
        <w:rPr>
          <w:sz w:val="24"/>
          <w:szCs w:val="24"/>
        </w:rPr>
      </w:pPr>
    </w:p>
    <w:p w14:paraId="264F3122" w14:textId="77777777" w:rsidR="009260DE" w:rsidRPr="00AA4AD7" w:rsidRDefault="009260DE" w:rsidP="009260DE">
      <w:pPr>
        <w:tabs>
          <w:tab w:val="left" w:pos="851"/>
        </w:tabs>
        <w:ind w:left="851" w:hanging="851"/>
        <w:rPr>
          <w:b/>
          <w:sz w:val="24"/>
          <w:szCs w:val="24"/>
        </w:rPr>
      </w:pPr>
      <w:r w:rsidRPr="00AA4AD7">
        <w:rPr>
          <w:b/>
          <w:sz w:val="24"/>
          <w:szCs w:val="24"/>
        </w:rPr>
        <w:t>4.4</w:t>
      </w:r>
      <w:r w:rsidRPr="00AA4AD7">
        <w:rPr>
          <w:b/>
          <w:sz w:val="24"/>
          <w:szCs w:val="24"/>
        </w:rPr>
        <w:tab/>
        <w:t>Særlige advarsler og forsigtighedsregler vedrørende brugen</w:t>
      </w:r>
    </w:p>
    <w:p w14:paraId="3A6EEC56" w14:textId="77777777" w:rsidR="00735800" w:rsidRDefault="00735800" w:rsidP="007224BC">
      <w:pPr>
        <w:widowControl w:val="0"/>
        <w:autoSpaceDE w:val="0"/>
        <w:autoSpaceDN w:val="0"/>
        <w:adjustRightInd w:val="0"/>
        <w:ind w:left="851"/>
        <w:rPr>
          <w:iCs/>
          <w:sz w:val="24"/>
          <w:szCs w:val="24"/>
          <w:u w:val="single"/>
        </w:rPr>
      </w:pPr>
    </w:p>
    <w:p w14:paraId="6F6C78A7" w14:textId="176936FB" w:rsidR="00C73700" w:rsidRPr="00AA4AD7" w:rsidRDefault="00C73700" w:rsidP="007224BC">
      <w:pPr>
        <w:widowControl w:val="0"/>
        <w:autoSpaceDE w:val="0"/>
        <w:autoSpaceDN w:val="0"/>
        <w:adjustRightInd w:val="0"/>
        <w:ind w:left="851"/>
        <w:rPr>
          <w:iCs/>
          <w:sz w:val="24"/>
          <w:szCs w:val="24"/>
          <w:u w:val="single"/>
        </w:rPr>
      </w:pPr>
      <w:r w:rsidRPr="00AA4AD7">
        <w:rPr>
          <w:iCs/>
          <w:sz w:val="24"/>
          <w:szCs w:val="24"/>
          <w:u w:val="single"/>
        </w:rPr>
        <w:t xml:space="preserve">Risiko for </w:t>
      </w:r>
      <w:proofErr w:type="spellStart"/>
      <w:r w:rsidRPr="00AA4AD7">
        <w:rPr>
          <w:iCs/>
          <w:sz w:val="24"/>
          <w:szCs w:val="24"/>
          <w:u w:val="single"/>
        </w:rPr>
        <w:t>anafylaktiske</w:t>
      </w:r>
      <w:proofErr w:type="spellEnd"/>
      <w:r w:rsidRPr="00AA4AD7">
        <w:rPr>
          <w:iCs/>
          <w:sz w:val="24"/>
          <w:szCs w:val="24"/>
          <w:u w:val="single"/>
        </w:rPr>
        <w:t xml:space="preserve"> reaktioner</w:t>
      </w:r>
    </w:p>
    <w:p w14:paraId="2F5D9FC5" w14:textId="77777777" w:rsidR="00C73700" w:rsidRPr="00AA4AD7" w:rsidRDefault="00C73700" w:rsidP="007224BC">
      <w:pPr>
        <w:tabs>
          <w:tab w:val="left" w:pos="1304"/>
        </w:tabs>
        <w:autoSpaceDE w:val="0"/>
        <w:autoSpaceDN w:val="0"/>
        <w:adjustRightInd w:val="0"/>
        <w:ind w:left="851"/>
        <w:rPr>
          <w:iCs/>
          <w:sz w:val="24"/>
          <w:szCs w:val="24"/>
        </w:rPr>
      </w:pPr>
      <w:r w:rsidRPr="00AA4AD7">
        <w:rPr>
          <w:sz w:val="24"/>
          <w:szCs w:val="24"/>
        </w:rPr>
        <w:t xml:space="preserve">Hos enkelte patienter er der efter administration af </w:t>
      </w:r>
      <w:proofErr w:type="spellStart"/>
      <w:r w:rsidRPr="00AA4AD7">
        <w:rPr>
          <w:sz w:val="24"/>
          <w:szCs w:val="24"/>
        </w:rPr>
        <w:t>dexametasonfosfat</w:t>
      </w:r>
      <w:proofErr w:type="spellEnd"/>
      <w:r w:rsidRPr="00AA4AD7">
        <w:rPr>
          <w:sz w:val="24"/>
          <w:szCs w:val="24"/>
        </w:rPr>
        <w:t xml:space="preserve"> set svære </w:t>
      </w:r>
      <w:proofErr w:type="spellStart"/>
      <w:r w:rsidRPr="00AA4AD7">
        <w:rPr>
          <w:sz w:val="24"/>
          <w:szCs w:val="24"/>
        </w:rPr>
        <w:t>anafylaktiske</w:t>
      </w:r>
      <w:proofErr w:type="spellEnd"/>
      <w:r w:rsidRPr="00AA4AD7">
        <w:rPr>
          <w:sz w:val="24"/>
          <w:szCs w:val="24"/>
        </w:rPr>
        <w:t xml:space="preserve"> reaktioner med kredsløbssvigt, hjertestop, </w:t>
      </w:r>
      <w:proofErr w:type="spellStart"/>
      <w:r w:rsidRPr="00AA4AD7">
        <w:rPr>
          <w:sz w:val="24"/>
          <w:szCs w:val="24"/>
        </w:rPr>
        <w:t>arytmier</w:t>
      </w:r>
      <w:proofErr w:type="spellEnd"/>
      <w:r w:rsidRPr="00AA4AD7">
        <w:rPr>
          <w:sz w:val="24"/>
          <w:szCs w:val="24"/>
        </w:rPr>
        <w:t xml:space="preserve">, </w:t>
      </w:r>
      <w:proofErr w:type="spellStart"/>
      <w:r w:rsidRPr="00AA4AD7">
        <w:rPr>
          <w:sz w:val="24"/>
          <w:szCs w:val="24"/>
        </w:rPr>
        <w:t>bronkospasme</w:t>
      </w:r>
      <w:proofErr w:type="spellEnd"/>
      <w:r w:rsidRPr="00AA4AD7">
        <w:rPr>
          <w:sz w:val="24"/>
          <w:szCs w:val="24"/>
        </w:rPr>
        <w:t xml:space="preserve"> og/eller hypotension eller hypertension.</w:t>
      </w:r>
    </w:p>
    <w:p w14:paraId="35C72135" w14:textId="77777777" w:rsidR="00C73700" w:rsidRPr="00AA4AD7" w:rsidRDefault="00C73700" w:rsidP="007224BC">
      <w:pPr>
        <w:tabs>
          <w:tab w:val="left" w:pos="1304"/>
        </w:tabs>
        <w:autoSpaceDE w:val="0"/>
        <w:autoSpaceDN w:val="0"/>
        <w:adjustRightInd w:val="0"/>
        <w:ind w:left="851"/>
        <w:rPr>
          <w:sz w:val="24"/>
          <w:szCs w:val="24"/>
          <w:lang w:val="sv-SE"/>
        </w:rPr>
      </w:pPr>
    </w:p>
    <w:p w14:paraId="3351C386" w14:textId="77777777" w:rsidR="00C73700" w:rsidRPr="00AA4AD7" w:rsidRDefault="00C73700" w:rsidP="007224BC">
      <w:pPr>
        <w:tabs>
          <w:tab w:val="left" w:pos="1304"/>
        </w:tabs>
        <w:autoSpaceDE w:val="0"/>
        <w:autoSpaceDN w:val="0"/>
        <w:adjustRightInd w:val="0"/>
        <w:ind w:left="851"/>
        <w:rPr>
          <w:iCs/>
          <w:sz w:val="24"/>
          <w:szCs w:val="24"/>
        </w:rPr>
      </w:pPr>
      <w:r w:rsidRPr="00AA4AD7">
        <w:rPr>
          <w:iCs/>
          <w:sz w:val="24"/>
          <w:szCs w:val="24"/>
          <w:u w:val="single"/>
        </w:rPr>
        <w:t>Risiko for bakterie-, virus-, svampe- eller parasitinfektioner eller opportunistiske infektioner</w:t>
      </w:r>
    </w:p>
    <w:p w14:paraId="62C6BA47" w14:textId="77777777" w:rsidR="00C73700" w:rsidRPr="00AA4AD7" w:rsidRDefault="00C73700" w:rsidP="007224BC">
      <w:pPr>
        <w:tabs>
          <w:tab w:val="left" w:pos="1304"/>
        </w:tabs>
        <w:autoSpaceDE w:val="0"/>
        <w:autoSpaceDN w:val="0"/>
        <w:adjustRightInd w:val="0"/>
        <w:ind w:left="851"/>
        <w:rPr>
          <w:sz w:val="24"/>
          <w:szCs w:val="24"/>
        </w:rPr>
      </w:pPr>
      <w:r w:rsidRPr="00AA4AD7">
        <w:rPr>
          <w:sz w:val="24"/>
          <w:szCs w:val="24"/>
        </w:rPr>
        <w:t xml:space="preserve">På grund af </w:t>
      </w:r>
      <w:proofErr w:type="spellStart"/>
      <w:r w:rsidRPr="00AA4AD7">
        <w:rPr>
          <w:sz w:val="24"/>
          <w:szCs w:val="24"/>
        </w:rPr>
        <w:t>immunosuppression</w:t>
      </w:r>
      <w:proofErr w:type="spellEnd"/>
      <w:r w:rsidRPr="00AA4AD7">
        <w:rPr>
          <w:sz w:val="24"/>
          <w:szCs w:val="24"/>
        </w:rPr>
        <w:t xml:space="preserve"> kan behandling med </w:t>
      </w:r>
      <w:proofErr w:type="spellStart"/>
      <w:r w:rsidRPr="00AA4AD7">
        <w:rPr>
          <w:sz w:val="24"/>
          <w:szCs w:val="24"/>
        </w:rPr>
        <w:t>dexametasonfosfat</w:t>
      </w:r>
      <w:proofErr w:type="spellEnd"/>
      <w:r w:rsidRPr="00AA4AD7">
        <w:rPr>
          <w:sz w:val="24"/>
          <w:szCs w:val="24"/>
        </w:rPr>
        <w:t xml:space="preserve"> føre til en øget risiko for bakterie-, virus-, parasit- eller svampeinfektion eller opportunistisk infektion. Symptomer på en eksisterende infektion eller en infektion under udvikling kan blive maskeret, hvilket hæmmer diagnosticering. Latente infektioner, såsom tuberkulose eller hepatitis B, kan blive reaktiveret.</w:t>
      </w:r>
    </w:p>
    <w:p w14:paraId="7CE52462" w14:textId="77777777" w:rsidR="00C73700" w:rsidRPr="00AA4AD7" w:rsidRDefault="00C73700" w:rsidP="007224BC">
      <w:pPr>
        <w:tabs>
          <w:tab w:val="left" w:pos="1304"/>
        </w:tabs>
        <w:autoSpaceDE w:val="0"/>
        <w:autoSpaceDN w:val="0"/>
        <w:adjustRightInd w:val="0"/>
        <w:ind w:left="851"/>
        <w:rPr>
          <w:sz w:val="24"/>
          <w:szCs w:val="24"/>
          <w:lang w:val="sv-SE"/>
        </w:rPr>
      </w:pPr>
    </w:p>
    <w:p w14:paraId="7DB1C7B2" w14:textId="77777777" w:rsidR="00C73700" w:rsidRPr="00AA4AD7" w:rsidRDefault="00C73700" w:rsidP="007224BC">
      <w:pPr>
        <w:tabs>
          <w:tab w:val="left" w:pos="1304"/>
        </w:tabs>
        <w:autoSpaceDE w:val="0"/>
        <w:autoSpaceDN w:val="0"/>
        <w:adjustRightInd w:val="0"/>
        <w:ind w:left="851"/>
        <w:rPr>
          <w:sz w:val="24"/>
          <w:szCs w:val="24"/>
        </w:rPr>
      </w:pPr>
      <w:r w:rsidRPr="00AA4AD7">
        <w:rPr>
          <w:sz w:val="24"/>
          <w:szCs w:val="24"/>
        </w:rPr>
        <w:t xml:space="preserve">Hvis der under behandlingen med </w:t>
      </w:r>
      <w:proofErr w:type="spellStart"/>
      <w:r w:rsidRPr="00AA4AD7">
        <w:rPr>
          <w:sz w:val="24"/>
          <w:szCs w:val="24"/>
        </w:rPr>
        <w:t>dexametasonfosfat</w:t>
      </w:r>
      <w:proofErr w:type="spellEnd"/>
      <w:r w:rsidRPr="00AA4AD7">
        <w:rPr>
          <w:sz w:val="24"/>
          <w:szCs w:val="24"/>
        </w:rPr>
        <w:t xml:space="preserve"> opstår usædvanligt stressede situationer eller psykisk belastning (traume, operation, fødsel osv.), kan det være nødvendigt med en transitorisk dosisøgning.</w:t>
      </w:r>
    </w:p>
    <w:p w14:paraId="284700DC" w14:textId="77777777" w:rsidR="00C73700" w:rsidRPr="00AA4AD7" w:rsidRDefault="00C73700" w:rsidP="007224BC">
      <w:pPr>
        <w:tabs>
          <w:tab w:val="left" w:pos="1304"/>
        </w:tabs>
        <w:autoSpaceDE w:val="0"/>
        <w:autoSpaceDN w:val="0"/>
        <w:adjustRightInd w:val="0"/>
        <w:ind w:left="851"/>
        <w:rPr>
          <w:sz w:val="24"/>
          <w:szCs w:val="24"/>
          <w:lang w:val="sv-SE"/>
        </w:rPr>
      </w:pPr>
    </w:p>
    <w:p w14:paraId="46F8C1E0" w14:textId="77777777" w:rsidR="00C73700" w:rsidRPr="00AA4AD7" w:rsidRDefault="00C73700" w:rsidP="007224BC">
      <w:pPr>
        <w:tabs>
          <w:tab w:val="left" w:pos="1304"/>
        </w:tabs>
        <w:autoSpaceDE w:val="0"/>
        <w:autoSpaceDN w:val="0"/>
        <w:adjustRightInd w:val="0"/>
        <w:ind w:left="851"/>
        <w:rPr>
          <w:iCs/>
          <w:sz w:val="24"/>
          <w:szCs w:val="24"/>
          <w:u w:val="single"/>
        </w:rPr>
      </w:pPr>
      <w:r w:rsidRPr="00AA4AD7">
        <w:rPr>
          <w:iCs/>
          <w:sz w:val="24"/>
          <w:szCs w:val="24"/>
          <w:u w:val="single"/>
        </w:rPr>
        <w:t>COVID-19</w:t>
      </w:r>
    </w:p>
    <w:p w14:paraId="503292EE" w14:textId="77777777" w:rsidR="00C73700" w:rsidRPr="00AA4AD7" w:rsidRDefault="00C73700" w:rsidP="007224BC">
      <w:pPr>
        <w:tabs>
          <w:tab w:val="left" w:pos="1304"/>
        </w:tabs>
        <w:autoSpaceDE w:val="0"/>
        <w:autoSpaceDN w:val="0"/>
        <w:adjustRightInd w:val="0"/>
        <w:ind w:left="851"/>
        <w:rPr>
          <w:sz w:val="24"/>
          <w:szCs w:val="24"/>
        </w:rPr>
      </w:pPr>
      <w:r w:rsidRPr="00AA4AD7">
        <w:rPr>
          <w:sz w:val="24"/>
          <w:szCs w:val="24"/>
        </w:rPr>
        <w:t xml:space="preserve">Systemiske </w:t>
      </w:r>
      <w:proofErr w:type="spellStart"/>
      <w:r w:rsidRPr="00AA4AD7">
        <w:rPr>
          <w:sz w:val="24"/>
          <w:szCs w:val="24"/>
        </w:rPr>
        <w:t>kortikosteroider</w:t>
      </w:r>
      <w:proofErr w:type="spellEnd"/>
      <w:r w:rsidRPr="00AA4AD7">
        <w:rPr>
          <w:sz w:val="24"/>
          <w:szCs w:val="24"/>
        </w:rPr>
        <w:t xml:space="preserve"> bør ikke seponeres hos patienter, som allerede får systemiske (orale) </w:t>
      </w:r>
      <w:proofErr w:type="spellStart"/>
      <w:r w:rsidRPr="00AA4AD7">
        <w:rPr>
          <w:sz w:val="24"/>
          <w:szCs w:val="24"/>
        </w:rPr>
        <w:t>kortikosteroider</w:t>
      </w:r>
      <w:proofErr w:type="spellEnd"/>
      <w:r w:rsidRPr="00AA4AD7">
        <w:rPr>
          <w:sz w:val="24"/>
          <w:szCs w:val="24"/>
        </w:rPr>
        <w:t xml:space="preserve"> af andre årsager (fx patienter med KOL), som ikke kræver supplerende ilt.</w:t>
      </w:r>
    </w:p>
    <w:p w14:paraId="3F3B8529" w14:textId="77777777" w:rsidR="00C73700" w:rsidRPr="00AA4AD7" w:rsidRDefault="00C73700" w:rsidP="007224BC">
      <w:pPr>
        <w:tabs>
          <w:tab w:val="left" w:pos="1304"/>
        </w:tabs>
        <w:autoSpaceDE w:val="0"/>
        <w:autoSpaceDN w:val="0"/>
        <w:adjustRightInd w:val="0"/>
        <w:ind w:left="851"/>
        <w:rPr>
          <w:i/>
          <w:iCs/>
          <w:sz w:val="24"/>
          <w:szCs w:val="24"/>
          <w:lang w:val="sv-SE"/>
        </w:rPr>
      </w:pPr>
    </w:p>
    <w:p w14:paraId="6970416C" w14:textId="77777777" w:rsidR="00C73700" w:rsidRPr="00AA4AD7" w:rsidRDefault="00C73700" w:rsidP="007224BC">
      <w:pPr>
        <w:tabs>
          <w:tab w:val="left" w:pos="1304"/>
        </w:tabs>
        <w:autoSpaceDE w:val="0"/>
        <w:autoSpaceDN w:val="0"/>
        <w:adjustRightInd w:val="0"/>
        <w:ind w:left="851"/>
        <w:rPr>
          <w:iCs/>
          <w:sz w:val="24"/>
          <w:szCs w:val="24"/>
          <w:u w:val="single"/>
        </w:rPr>
      </w:pPr>
      <w:proofErr w:type="spellStart"/>
      <w:r w:rsidRPr="00AA4AD7">
        <w:rPr>
          <w:iCs/>
          <w:sz w:val="24"/>
          <w:szCs w:val="24"/>
          <w:u w:val="single"/>
        </w:rPr>
        <w:t>Hypertrofisk</w:t>
      </w:r>
      <w:proofErr w:type="spellEnd"/>
      <w:r w:rsidRPr="00AA4AD7">
        <w:rPr>
          <w:iCs/>
          <w:sz w:val="24"/>
          <w:szCs w:val="24"/>
          <w:u w:val="single"/>
        </w:rPr>
        <w:t xml:space="preserve"> </w:t>
      </w:r>
      <w:proofErr w:type="spellStart"/>
      <w:r w:rsidRPr="00AA4AD7">
        <w:rPr>
          <w:iCs/>
          <w:sz w:val="24"/>
          <w:szCs w:val="24"/>
          <w:u w:val="single"/>
        </w:rPr>
        <w:t>kardiomyopati</w:t>
      </w:r>
      <w:proofErr w:type="spellEnd"/>
    </w:p>
    <w:p w14:paraId="128AA9AC" w14:textId="77777777" w:rsidR="00C73700" w:rsidRPr="00AA4AD7" w:rsidRDefault="00C73700" w:rsidP="007224BC">
      <w:pPr>
        <w:tabs>
          <w:tab w:val="left" w:pos="1304"/>
        </w:tabs>
        <w:autoSpaceDE w:val="0"/>
        <w:autoSpaceDN w:val="0"/>
        <w:adjustRightInd w:val="0"/>
        <w:ind w:left="851"/>
        <w:rPr>
          <w:sz w:val="24"/>
          <w:szCs w:val="24"/>
        </w:rPr>
      </w:pPr>
      <w:proofErr w:type="spellStart"/>
      <w:r w:rsidRPr="00AA4AD7">
        <w:rPr>
          <w:sz w:val="24"/>
          <w:szCs w:val="24"/>
        </w:rPr>
        <w:t>Hypertrofisk</w:t>
      </w:r>
      <w:proofErr w:type="spellEnd"/>
      <w:r w:rsidRPr="00AA4AD7">
        <w:rPr>
          <w:sz w:val="24"/>
          <w:szCs w:val="24"/>
        </w:rPr>
        <w:t xml:space="preserve"> </w:t>
      </w:r>
      <w:proofErr w:type="spellStart"/>
      <w:r w:rsidRPr="00AA4AD7">
        <w:rPr>
          <w:sz w:val="24"/>
          <w:szCs w:val="24"/>
        </w:rPr>
        <w:t>kardiomyopati</w:t>
      </w:r>
      <w:proofErr w:type="spellEnd"/>
      <w:r w:rsidRPr="00AA4AD7">
        <w:rPr>
          <w:sz w:val="24"/>
          <w:szCs w:val="24"/>
        </w:rPr>
        <w:t xml:space="preserve"> blev rapporteret efter systemisk administration af </w:t>
      </w:r>
      <w:proofErr w:type="spellStart"/>
      <w:r w:rsidRPr="00AA4AD7">
        <w:rPr>
          <w:sz w:val="24"/>
          <w:szCs w:val="24"/>
        </w:rPr>
        <w:t>kortikosteroider</w:t>
      </w:r>
      <w:proofErr w:type="spellEnd"/>
      <w:r w:rsidRPr="00AA4AD7">
        <w:rPr>
          <w:sz w:val="24"/>
          <w:szCs w:val="24"/>
        </w:rPr>
        <w:t xml:space="preserve">, herunder </w:t>
      </w:r>
      <w:proofErr w:type="spellStart"/>
      <w:r w:rsidRPr="00AA4AD7">
        <w:rPr>
          <w:sz w:val="24"/>
          <w:szCs w:val="24"/>
        </w:rPr>
        <w:t>dexametason</w:t>
      </w:r>
      <w:proofErr w:type="spellEnd"/>
      <w:r w:rsidRPr="00AA4AD7">
        <w:rPr>
          <w:sz w:val="24"/>
          <w:szCs w:val="24"/>
        </w:rPr>
        <w:t xml:space="preserve"> til præmature spædbørn. I størstedelen af de rapporterede tilfælde var dette reversibelt efter </w:t>
      </w:r>
      <w:proofErr w:type="spellStart"/>
      <w:r w:rsidRPr="00AA4AD7">
        <w:rPr>
          <w:sz w:val="24"/>
          <w:szCs w:val="24"/>
        </w:rPr>
        <w:t>seponering</w:t>
      </w:r>
      <w:proofErr w:type="spellEnd"/>
      <w:r w:rsidRPr="00AA4AD7">
        <w:rPr>
          <w:sz w:val="24"/>
          <w:szCs w:val="24"/>
        </w:rPr>
        <w:t xml:space="preserve"> af behandlingen. Hos præmature spædbørn, der behandles med systematisk </w:t>
      </w:r>
      <w:proofErr w:type="spellStart"/>
      <w:r w:rsidRPr="00AA4AD7">
        <w:rPr>
          <w:sz w:val="24"/>
          <w:szCs w:val="24"/>
        </w:rPr>
        <w:t>dexametason</w:t>
      </w:r>
      <w:proofErr w:type="spellEnd"/>
      <w:r w:rsidRPr="00AA4AD7">
        <w:rPr>
          <w:sz w:val="24"/>
          <w:szCs w:val="24"/>
        </w:rPr>
        <w:t>, skal der udføres diagnostisk udredning og overvågning af hjertets funktion og struktur (se pkt. 4.8).</w:t>
      </w:r>
    </w:p>
    <w:p w14:paraId="6C9BF25D" w14:textId="77777777" w:rsidR="00C73700" w:rsidRPr="00AA4AD7" w:rsidRDefault="00C73700" w:rsidP="007224BC">
      <w:pPr>
        <w:tabs>
          <w:tab w:val="left" w:pos="1304"/>
        </w:tabs>
        <w:autoSpaceDE w:val="0"/>
        <w:autoSpaceDN w:val="0"/>
        <w:adjustRightInd w:val="0"/>
        <w:ind w:left="851"/>
        <w:rPr>
          <w:i/>
          <w:iCs/>
          <w:sz w:val="24"/>
          <w:szCs w:val="24"/>
          <w:lang w:val="sv-SE"/>
        </w:rPr>
      </w:pPr>
    </w:p>
    <w:p w14:paraId="35ADD38B" w14:textId="77777777" w:rsidR="00C73700" w:rsidRPr="00AA4AD7" w:rsidRDefault="00C73700" w:rsidP="007224BC">
      <w:pPr>
        <w:tabs>
          <w:tab w:val="left" w:pos="1304"/>
        </w:tabs>
        <w:autoSpaceDE w:val="0"/>
        <w:autoSpaceDN w:val="0"/>
        <w:adjustRightInd w:val="0"/>
        <w:ind w:left="851"/>
        <w:rPr>
          <w:iCs/>
          <w:sz w:val="24"/>
          <w:szCs w:val="24"/>
          <w:u w:val="single"/>
        </w:rPr>
      </w:pPr>
      <w:proofErr w:type="spellStart"/>
      <w:r w:rsidRPr="00AA4AD7">
        <w:rPr>
          <w:iCs/>
          <w:sz w:val="24"/>
          <w:szCs w:val="24"/>
          <w:u w:val="single"/>
        </w:rPr>
        <w:t>Fæokromocytomkrise</w:t>
      </w:r>
      <w:proofErr w:type="spellEnd"/>
    </w:p>
    <w:p w14:paraId="68995BC7" w14:textId="77777777" w:rsidR="00C73700" w:rsidRPr="00AA4AD7" w:rsidRDefault="00C73700" w:rsidP="007224BC">
      <w:pPr>
        <w:tabs>
          <w:tab w:val="left" w:pos="1304"/>
        </w:tabs>
        <w:autoSpaceDE w:val="0"/>
        <w:autoSpaceDN w:val="0"/>
        <w:adjustRightInd w:val="0"/>
        <w:ind w:left="851"/>
        <w:rPr>
          <w:sz w:val="24"/>
          <w:szCs w:val="24"/>
        </w:rPr>
      </w:pPr>
      <w:r w:rsidRPr="00AA4AD7">
        <w:rPr>
          <w:sz w:val="24"/>
          <w:szCs w:val="24"/>
        </w:rPr>
        <w:t xml:space="preserve">Der er blevet indberettet </w:t>
      </w:r>
      <w:proofErr w:type="spellStart"/>
      <w:r w:rsidRPr="00AA4AD7">
        <w:rPr>
          <w:sz w:val="24"/>
          <w:szCs w:val="24"/>
        </w:rPr>
        <w:t>fæokromocytomkrise</w:t>
      </w:r>
      <w:proofErr w:type="spellEnd"/>
      <w:r w:rsidRPr="00AA4AD7">
        <w:rPr>
          <w:sz w:val="24"/>
          <w:szCs w:val="24"/>
        </w:rPr>
        <w:t xml:space="preserve">, som kan være dødelig, efter administration af systemiske </w:t>
      </w:r>
      <w:proofErr w:type="spellStart"/>
      <w:r w:rsidRPr="00AA4AD7">
        <w:rPr>
          <w:sz w:val="24"/>
          <w:szCs w:val="24"/>
        </w:rPr>
        <w:t>kortikosteroider</w:t>
      </w:r>
      <w:proofErr w:type="spellEnd"/>
      <w:r w:rsidRPr="00AA4AD7">
        <w:rPr>
          <w:sz w:val="24"/>
          <w:szCs w:val="24"/>
        </w:rPr>
        <w:t xml:space="preserve">. </w:t>
      </w:r>
      <w:proofErr w:type="spellStart"/>
      <w:r w:rsidRPr="00AA4AD7">
        <w:rPr>
          <w:sz w:val="24"/>
          <w:szCs w:val="24"/>
        </w:rPr>
        <w:t>Kortikosteroider</w:t>
      </w:r>
      <w:proofErr w:type="spellEnd"/>
      <w:r w:rsidRPr="00AA4AD7">
        <w:rPr>
          <w:sz w:val="24"/>
          <w:szCs w:val="24"/>
        </w:rPr>
        <w:t xml:space="preserve"> må kun administreres til patienter med formodet eller identificeret </w:t>
      </w:r>
      <w:proofErr w:type="spellStart"/>
      <w:r w:rsidRPr="00AA4AD7">
        <w:rPr>
          <w:sz w:val="24"/>
          <w:szCs w:val="24"/>
        </w:rPr>
        <w:t>fæokromocytom</w:t>
      </w:r>
      <w:proofErr w:type="spellEnd"/>
      <w:r w:rsidRPr="00AA4AD7">
        <w:rPr>
          <w:sz w:val="24"/>
          <w:szCs w:val="24"/>
        </w:rPr>
        <w:t xml:space="preserve"> efter en passende </w:t>
      </w:r>
      <w:proofErr w:type="spellStart"/>
      <w:r w:rsidRPr="00AA4AD7">
        <w:rPr>
          <w:sz w:val="24"/>
          <w:szCs w:val="24"/>
        </w:rPr>
        <w:t>risk</w:t>
      </w:r>
      <w:proofErr w:type="spellEnd"/>
      <w:r w:rsidRPr="00AA4AD7">
        <w:rPr>
          <w:sz w:val="24"/>
          <w:szCs w:val="24"/>
        </w:rPr>
        <w:t>/benefit-vurdering.</w:t>
      </w:r>
    </w:p>
    <w:p w14:paraId="5E62CACA" w14:textId="77777777" w:rsidR="00C73700" w:rsidRPr="00AA4AD7" w:rsidRDefault="00C73700" w:rsidP="007224BC">
      <w:pPr>
        <w:tabs>
          <w:tab w:val="left" w:pos="1304"/>
        </w:tabs>
        <w:autoSpaceDE w:val="0"/>
        <w:autoSpaceDN w:val="0"/>
        <w:adjustRightInd w:val="0"/>
        <w:ind w:left="851"/>
        <w:rPr>
          <w:i/>
          <w:iCs/>
          <w:sz w:val="24"/>
          <w:szCs w:val="24"/>
          <w:lang w:val="sv-SE"/>
        </w:rPr>
      </w:pPr>
    </w:p>
    <w:p w14:paraId="0F0A9DFF" w14:textId="77777777" w:rsidR="00C73700" w:rsidRPr="00AA4AD7" w:rsidRDefault="00C73700" w:rsidP="007224BC">
      <w:pPr>
        <w:tabs>
          <w:tab w:val="left" w:pos="1304"/>
        </w:tabs>
        <w:autoSpaceDE w:val="0"/>
        <w:autoSpaceDN w:val="0"/>
        <w:adjustRightInd w:val="0"/>
        <w:ind w:left="851"/>
        <w:rPr>
          <w:iCs/>
          <w:sz w:val="24"/>
          <w:szCs w:val="24"/>
          <w:u w:val="single"/>
        </w:rPr>
      </w:pPr>
      <w:r w:rsidRPr="00AA4AD7">
        <w:rPr>
          <w:iCs/>
          <w:sz w:val="24"/>
          <w:szCs w:val="24"/>
          <w:u w:val="single"/>
        </w:rPr>
        <w:t>Særlige forsigtighedsregler:</w:t>
      </w:r>
    </w:p>
    <w:p w14:paraId="255C07B8" w14:textId="77777777" w:rsidR="00C73700" w:rsidRPr="00AA4AD7" w:rsidRDefault="00C73700" w:rsidP="007224BC">
      <w:pPr>
        <w:tabs>
          <w:tab w:val="left" w:pos="1304"/>
        </w:tabs>
        <w:autoSpaceDE w:val="0"/>
        <w:autoSpaceDN w:val="0"/>
        <w:adjustRightInd w:val="0"/>
        <w:ind w:left="851"/>
        <w:rPr>
          <w:sz w:val="24"/>
          <w:szCs w:val="24"/>
        </w:rPr>
      </w:pPr>
      <w:r w:rsidRPr="00AA4AD7">
        <w:rPr>
          <w:sz w:val="24"/>
          <w:szCs w:val="24"/>
        </w:rPr>
        <w:t xml:space="preserve">Behandling med </w:t>
      </w:r>
      <w:proofErr w:type="spellStart"/>
      <w:r w:rsidRPr="00AA4AD7">
        <w:rPr>
          <w:sz w:val="24"/>
          <w:szCs w:val="24"/>
        </w:rPr>
        <w:t>dexametasonfosfat</w:t>
      </w:r>
      <w:proofErr w:type="spellEnd"/>
      <w:r w:rsidRPr="00AA4AD7">
        <w:rPr>
          <w:sz w:val="24"/>
          <w:szCs w:val="24"/>
        </w:rPr>
        <w:t xml:space="preserve"> må kun overvejes, når det er strengt nødvendigt, og sammen med målrettet infektionsterapi, i tilfælde af følgende sygdomme:</w:t>
      </w:r>
    </w:p>
    <w:p w14:paraId="56A0EDA4" w14:textId="77777777" w:rsidR="00C73700" w:rsidRPr="00AA4AD7" w:rsidRDefault="00C73700" w:rsidP="007224BC">
      <w:pPr>
        <w:numPr>
          <w:ilvl w:val="0"/>
          <w:numId w:val="10"/>
        </w:numPr>
        <w:autoSpaceDE w:val="0"/>
        <w:autoSpaceDN w:val="0"/>
        <w:adjustRightInd w:val="0"/>
        <w:ind w:left="1276" w:hanging="425"/>
        <w:rPr>
          <w:sz w:val="24"/>
          <w:szCs w:val="24"/>
        </w:rPr>
      </w:pPr>
      <w:r w:rsidRPr="00AA4AD7">
        <w:rPr>
          <w:sz w:val="24"/>
          <w:szCs w:val="24"/>
        </w:rPr>
        <w:t>Akut virusinfektion (hepatitis B</w:t>
      </w:r>
      <w:r w:rsidRPr="00AA4AD7">
        <w:rPr>
          <w:i/>
          <w:sz w:val="24"/>
          <w:szCs w:val="24"/>
        </w:rPr>
        <w:t xml:space="preserve">, </w:t>
      </w:r>
      <w:r w:rsidRPr="00AA4AD7">
        <w:rPr>
          <w:sz w:val="24"/>
          <w:szCs w:val="24"/>
        </w:rPr>
        <w:t xml:space="preserve">Herpes </w:t>
      </w:r>
      <w:proofErr w:type="spellStart"/>
      <w:r w:rsidRPr="00AA4AD7">
        <w:rPr>
          <w:sz w:val="24"/>
          <w:szCs w:val="24"/>
        </w:rPr>
        <w:t>zoster</w:t>
      </w:r>
      <w:proofErr w:type="spellEnd"/>
      <w:r w:rsidRPr="00AA4AD7">
        <w:rPr>
          <w:sz w:val="24"/>
          <w:szCs w:val="24"/>
        </w:rPr>
        <w:t xml:space="preserve">, Herpes </w:t>
      </w:r>
      <w:proofErr w:type="spellStart"/>
      <w:r w:rsidRPr="00AA4AD7">
        <w:rPr>
          <w:sz w:val="24"/>
          <w:szCs w:val="24"/>
        </w:rPr>
        <w:t>simplex</w:t>
      </w:r>
      <w:proofErr w:type="spellEnd"/>
      <w:r w:rsidRPr="00AA4AD7">
        <w:rPr>
          <w:sz w:val="24"/>
          <w:szCs w:val="24"/>
        </w:rPr>
        <w:t>,</w:t>
      </w:r>
      <w:r w:rsidRPr="00AA4AD7">
        <w:rPr>
          <w:i/>
          <w:sz w:val="24"/>
          <w:szCs w:val="24"/>
        </w:rPr>
        <w:t xml:space="preserve"> </w:t>
      </w:r>
      <w:r w:rsidRPr="00AA4AD7">
        <w:rPr>
          <w:sz w:val="24"/>
          <w:szCs w:val="24"/>
        </w:rPr>
        <w:t xml:space="preserve">skoldkopper, herpes </w:t>
      </w:r>
      <w:proofErr w:type="spellStart"/>
      <w:r w:rsidRPr="00AA4AD7">
        <w:rPr>
          <w:sz w:val="24"/>
          <w:szCs w:val="24"/>
        </w:rPr>
        <w:t>keratitis</w:t>
      </w:r>
      <w:proofErr w:type="spellEnd"/>
      <w:r w:rsidRPr="00AA4AD7">
        <w:rPr>
          <w:sz w:val="24"/>
          <w:szCs w:val="24"/>
        </w:rPr>
        <w:t>)</w:t>
      </w:r>
    </w:p>
    <w:p w14:paraId="76C99793" w14:textId="77777777" w:rsidR="00C73700" w:rsidRPr="00AA4AD7" w:rsidRDefault="00C73700" w:rsidP="007224BC">
      <w:pPr>
        <w:numPr>
          <w:ilvl w:val="0"/>
          <w:numId w:val="10"/>
        </w:numPr>
        <w:autoSpaceDE w:val="0"/>
        <w:autoSpaceDN w:val="0"/>
        <w:adjustRightInd w:val="0"/>
        <w:ind w:left="1276" w:hanging="425"/>
        <w:rPr>
          <w:sz w:val="24"/>
          <w:szCs w:val="24"/>
        </w:rPr>
      </w:pPr>
      <w:proofErr w:type="spellStart"/>
      <w:r w:rsidRPr="00AA4AD7">
        <w:rPr>
          <w:sz w:val="24"/>
          <w:szCs w:val="24"/>
        </w:rPr>
        <w:t>HBsAg</w:t>
      </w:r>
      <w:proofErr w:type="spellEnd"/>
      <w:r w:rsidRPr="00AA4AD7">
        <w:rPr>
          <w:sz w:val="24"/>
          <w:szCs w:val="24"/>
        </w:rPr>
        <w:t>-positiv kronisk aktiv hepatitis</w:t>
      </w:r>
    </w:p>
    <w:p w14:paraId="2EC8CAEE" w14:textId="77777777" w:rsidR="00C73700" w:rsidRPr="00AA4AD7" w:rsidRDefault="00C73700" w:rsidP="007224BC">
      <w:pPr>
        <w:numPr>
          <w:ilvl w:val="0"/>
          <w:numId w:val="10"/>
        </w:numPr>
        <w:autoSpaceDE w:val="0"/>
        <w:autoSpaceDN w:val="0"/>
        <w:adjustRightInd w:val="0"/>
        <w:ind w:left="1276" w:hanging="425"/>
        <w:rPr>
          <w:sz w:val="24"/>
          <w:szCs w:val="24"/>
        </w:rPr>
      </w:pPr>
      <w:r w:rsidRPr="00AA4AD7">
        <w:rPr>
          <w:sz w:val="24"/>
          <w:szCs w:val="24"/>
        </w:rPr>
        <w:t>Ca. 8 uger før og op til 2 uger efter vaccinationer med levende vacciner</w:t>
      </w:r>
    </w:p>
    <w:p w14:paraId="681DCEEC" w14:textId="77777777" w:rsidR="00C73700" w:rsidRPr="00AA4AD7" w:rsidRDefault="00C73700" w:rsidP="007224BC">
      <w:pPr>
        <w:numPr>
          <w:ilvl w:val="0"/>
          <w:numId w:val="10"/>
        </w:numPr>
        <w:autoSpaceDE w:val="0"/>
        <w:autoSpaceDN w:val="0"/>
        <w:adjustRightInd w:val="0"/>
        <w:ind w:left="1276" w:hanging="425"/>
        <w:rPr>
          <w:sz w:val="24"/>
          <w:szCs w:val="24"/>
        </w:rPr>
      </w:pPr>
      <w:r w:rsidRPr="00AA4AD7">
        <w:rPr>
          <w:sz w:val="24"/>
          <w:szCs w:val="24"/>
        </w:rPr>
        <w:t>Systemiske svampeinfektioner</w:t>
      </w:r>
    </w:p>
    <w:p w14:paraId="5A9811FE" w14:textId="77777777" w:rsidR="00C73700" w:rsidRPr="00AA4AD7" w:rsidRDefault="00C73700" w:rsidP="007224BC">
      <w:pPr>
        <w:numPr>
          <w:ilvl w:val="0"/>
          <w:numId w:val="10"/>
        </w:numPr>
        <w:autoSpaceDE w:val="0"/>
        <w:autoSpaceDN w:val="0"/>
        <w:adjustRightInd w:val="0"/>
        <w:ind w:left="1276" w:hanging="425"/>
        <w:rPr>
          <w:sz w:val="24"/>
          <w:szCs w:val="24"/>
        </w:rPr>
      </w:pPr>
      <w:r w:rsidRPr="00AA4AD7">
        <w:rPr>
          <w:sz w:val="24"/>
          <w:szCs w:val="24"/>
        </w:rPr>
        <w:t xml:space="preserve">Parasitoser (fx </w:t>
      </w:r>
      <w:proofErr w:type="spellStart"/>
      <w:r w:rsidRPr="00AA4AD7">
        <w:rPr>
          <w:sz w:val="24"/>
          <w:szCs w:val="24"/>
        </w:rPr>
        <w:t>nematoder</w:t>
      </w:r>
      <w:proofErr w:type="spellEnd"/>
      <w:r w:rsidRPr="00AA4AD7">
        <w:rPr>
          <w:sz w:val="24"/>
          <w:szCs w:val="24"/>
        </w:rPr>
        <w:t>)</w:t>
      </w:r>
    </w:p>
    <w:p w14:paraId="16F72A72" w14:textId="77777777" w:rsidR="00C73700" w:rsidRPr="00AA4AD7" w:rsidRDefault="00C73700" w:rsidP="007224BC">
      <w:pPr>
        <w:numPr>
          <w:ilvl w:val="0"/>
          <w:numId w:val="10"/>
        </w:numPr>
        <w:autoSpaceDE w:val="0"/>
        <w:autoSpaceDN w:val="0"/>
        <w:adjustRightInd w:val="0"/>
        <w:ind w:left="1276" w:hanging="425"/>
        <w:rPr>
          <w:sz w:val="24"/>
          <w:szCs w:val="24"/>
        </w:rPr>
      </w:pPr>
      <w:r w:rsidRPr="00AA4AD7">
        <w:rPr>
          <w:sz w:val="24"/>
          <w:szCs w:val="24"/>
        </w:rPr>
        <w:t xml:space="preserve">Hvis patienten har formodet eller bekræftet </w:t>
      </w:r>
      <w:proofErr w:type="spellStart"/>
      <w:r w:rsidRPr="00AA4AD7">
        <w:rPr>
          <w:sz w:val="24"/>
          <w:szCs w:val="24"/>
        </w:rPr>
        <w:t>strongyloidiasis</w:t>
      </w:r>
      <w:proofErr w:type="spellEnd"/>
      <w:r w:rsidRPr="00AA4AD7">
        <w:rPr>
          <w:sz w:val="24"/>
          <w:szCs w:val="24"/>
        </w:rPr>
        <w:t xml:space="preserve"> (infektion med trådorm), kan </w:t>
      </w:r>
      <w:proofErr w:type="spellStart"/>
      <w:r w:rsidRPr="00AA4AD7">
        <w:rPr>
          <w:sz w:val="24"/>
          <w:szCs w:val="24"/>
        </w:rPr>
        <w:t>glukokortikoider</w:t>
      </w:r>
      <w:proofErr w:type="spellEnd"/>
      <w:r w:rsidRPr="00AA4AD7">
        <w:rPr>
          <w:sz w:val="24"/>
          <w:szCs w:val="24"/>
        </w:rPr>
        <w:t xml:space="preserve"> føre til aktivering og masseformering af parasitter</w:t>
      </w:r>
    </w:p>
    <w:p w14:paraId="232423D8" w14:textId="77777777" w:rsidR="00C73700" w:rsidRPr="00AA4AD7" w:rsidRDefault="00C73700" w:rsidP="007224BC">
      <w:pPr>
        <w:numPr>
          <w:ilvl w:val="0"/>
          <w:numId w:val="10"/>
        </w:numPr>
        <w:autoSpaceDE w:val="0"/>
        <w:autoSpaceDN w:val="0"/>
        <w:adjustRightInd w:val="0"/>
        <w:ind w:left="1276" w:hanging="425"/>
        <w:rPr>
          <w:sz w:val="24"/>
          <w:szCs w:val="24"/>
        </w:rPr>
      </w:pPr>
      <w:r w:rsidRPr="00AA4AD7">
        <w:rPr>
          <w:sz w:val="24"/>
          <w:szCs w:val="24"/>
        </w:rPr>
        <w:lastRenderedPageBreak/>
        <w:t>Poliomyelitis</w:t>
      </w:r>
    </w:p>
    <w:p w14:paraId="3C7FD36F" w14:textId="77777777" w:rsidR="00C73700" w:rsidRPr="00AA4AD7" w:rsidRDefault="00C73700" w:rsidP="007224BC">
      <w:pPr>
        <w:numPr>
          <w:ilvl w:val="0"/>
          <w:numId w:val="10"/>
        </w:numPr>
        <w:autoSpaceDE w:val="0"/>
        <w:autoSpaceDN w:val="0"/>
        <w:adjustRightInd w:val="0"/>
        <w:ind w:left="1276" w:hanging="425"/>
        <w:rPr>
          <w:sz w:val="24"/>
          <w:szCs w:val="24"/>
        </w:rPr>
      </w:pPr>
      <w:proofErr w:type="spellStart"/>
      <w:r w:rsidRPr="00AA4AD7">
        <w:rPr>
          <w:sz w:val="24"/>
          <w:szCs w:val="24"/>
        </w:rPr>
        <w:t>Lymfadenitis</w:t>
      </w:r>
      <w:proofErr w:type="spellEnd"/>
      <w:r w:rsidRPr="00AA4AD7">
        <w:rPr>
          <w:sz w:val="24"/>
          <w:szCs w:val="24"/>
        </w:rPr>
        <w:t xml:space="preserve"> efter </w:t>
      </w:r>
      <w:proofErr w:type="spellStart"/>
      <w:r w:rsidRPr="00AA4AD7">
        <w:rPr>
          <w:sz w:val="24"/>
          <w:szCs w:val="24"/>
        </w:rPr>
        <w:t>calmette-vaccination</w:t>
      </w:r>
      <w:proofErr w:type="spellEnd"/>
    </w:p>
    <w:p w14:paraId="0EDF2B7C" w14:textId="77777777" w:rsidR="00C73700" w:rsidRPr="00AA4AD7" w:rsidRDefault="00C73700" w:rsidP="007224BC">
      <w:pPr>
        <w:numPr>
          <w:ilvl w:val="0"/>
          <w:numId w:val="10"/>
        </w:numPr>
        <w:autoSpaceDE w:val="0"/>
        <w:autoSpaceDN w:val="0"/>
        <w:adjustRightInd w:val="0"/>
        <w:ind w:left="1276" w:hanging="425"/>
        <w:rPr>
          <w:sz w:val="24"/>
          <w:szCs w:val="24"/>
        </w:rPr>
      </w:pPr>
      <w:r w:rsidRPr="00AA4AD7">
        <w:rPr>
          <w:sz w:val="24"/>
          <w:szCs w:val="24"/>
        </w:rPr>
        <w:t>Akutte og kroniske bakterieinfektioner</w:t>
      </w:r>
    </w:p>
    <w:p w14:paraId="2293E594" w14:textId="77777777" w:rsidR="00C73700" w:rsidRPr="00AA4AD7" w:rsidRDefault="00C73700" w:rsidP="007224BC">
      <w:pPr>
        <w:pStyle w:val="Default"/>
        <w:numPr>
          <w:ilvl w:val="0"/>
          <w:numId w:val="10"/>
        </w:numPr>
        <w:ind w:left="1276" w:hanging="425"/>
        <w:rPr>
          <w:color w:val="auto"/>
        </w:rPr>
      </w:pPr>
      <w:r w:rsidRPr="00AA4AD7">
        <w:t xml:space="preserve">Ved tuberkulose i anamnesen, må det kun anvendes sammen med </w:t>
      </w:r>
      <w:proofErr w:type="spellStart"/>
      <w:r w:rsidRPr="00AA4AD7">
        <w:t>tuberkulostatisk</w:t>
      </w:r>
      <w:proofErr w:type="spellEnd"/>
      <w:r w:rsidRPr="00AA4AD7">
        <w:t xml:space="preserve"> beskyttelse</w:t>
      </w:r>
    </w:p>
    <w:p w14:paraId="1EDB14B7" w14:textId="77777777" w:rsidR="00C73700" w:rsidRPr="00AA4AD7" w:rsidRDefault="00C73700" w:rsidP="00C73700">
      <w:pPr>
        <w:pStyle w:val="Default"/>
        <w:rPr>
          <w:color w:val="auto"/>
        </w:rPr>
      </w:pPr>
    </w:p>
    <w:p w14:paraId="55B681ED" w14:textId="77777777" w:rsidR="00C73700" w:rsidRPr="00AA4AD7" w:rsidRDefault="00C73700" w:rsidP="007224BC">
      <w:pPr>
        <w:autoSpaceDE w:val="0"/>
        <w:autoSpaceDN w:val="0"/>
        <w:adjustRightInd w:val="0"/>
        <w:ind w:left="851"/>
        <w:rPr>
          <w:sz w:val="24"/>
          <w:szCs w:val="24"/>
        </w:rPr>
      </w:pPr>
      <w:r w:rsidRPr="00AA4AD7">
        <w:rPr>
          <w:sz w:val="24"/>
          <w:szCs w:val="24"/>
        </w:rPr>
        <w:t xml:space="preserve">Behandling med </w:t>
      </w:r>
      <w:proofErr w:type="spellStart"/>
      <w:r w:rsidRPr="00AA4AD7">
        <w:rPr>
          <w:sz w:val="24"/>
          <w:szCs w:val="24"/>
        </w:rPr>
        <w:t>dexametasonfosfat</w:t>
      </w:r>
      <w:proofErr w:type="spellEnd"/>
      <w:r w:rsidRPr="00AA4AD7">
        <w:rPr>
          <w:sz w:val="24"/>
          <w:szCs w:val="24"/>
        </w:rPr>
        <w:t xml:space="preserve"> må kun overvejes, når det er strengt nødvendigt, og sammen med målrettet terapi, i tilfælde af følgende sygdomme:</w:t>
      </w:r>
    </w:p>
    <w:p w14:paraId="55A34BF2" w14:textId="77777777" w:rsidR="00C73700" w:rsidRPr="00AA4AD7" w:rsidRDefault="00C73700" w:rsidP="007224BC">
      <w:pPr>
        <w:numPr>
          <w:ilvl w:val="0"/>
          <w:numId w:val="10"/>
        </w:numPr>
        <w:autoSpaceDE w:val="0"/>
        <w:autoSpaceDN w:val="0"/>
        <w:adjustRightInd w:val="0"/>
        <w:ind w:left="1276" w:hanging="425"/>
        <w:rPr>
          <w:sz w:val="24"/>
          <w:szCs w:val="24"/>
        </w:rPr>
      </w:pPr>
      <w:r w:rsidRPr="00AA4AD7">
        <w:rPr>
          <w:sz w:val="24"/>
          <w:szCs w:val="24"/>
        </w:rPr>
        <w:t>Mave-tarm-sår</w:t>
      </w:r>
    </w:p>
    <w:p w14:paraId="74A55D80" w14:textId="77777777" w:rsidR="00C73700" w:rsidRPr="00AA4AD7" w:rsidRDefault="00C73700" w:rsidP="007224BC">
      <w:pPr>
        <w:numPr>
          <w:ilvl w:val="0"/>
          <w:numId w:val="10"/>
        </w:numPr>
        <w:autoSpaceDE w:val="0"/>
        <w:autoSpaceDN w:val="0"/>
        <w:adjustRightInd w:val="0"/>
        <w:ind w:left="1276" w:hanging="425"/>
        <w:rPr>
          <w:sz w:val="24"/>
          <w:szCs w:val="24"/>
        </w:rPr>
      </w:pPr>
      <w:r w:rsidRPr="00AA4AD7">
        <w:rPr>
          <w:sz w:val="24"/>
          <w:szCs w:val="24"/>
        </w:rPr>
        <w:t>Osteoporose</w:t>
      </w:r>
    </w:p>
    <w:p w14:paraId="0700E87F" w14:textId="77777777" w:rsidR="00C73700" w:rsidRPr="00AA4AD7" w:rsidRDefault="00C73700" w:rsidP="007224BC">
      <w:pPr>
        <w:numPr>
          <w:ilvl w:val="0"/>
          <w:numId w:val="10"/>
        </w:numPr>
        <w:autoSpaceDE w:val="0"/>
        <w:autoSpaceDN w:val="0"/>
        <w:adjustRightInd w:val="0"/>
        <w:ind w:left="1276" w:hanging="425"/>
        <w:rPr>
          <w:sz w:val="24"/>
          <w:szCs w:val="24"/>
        </w:rPr>
      </w:pPr>
      <w:r w:rsidRPr="00AA4AD7">
        <w:rPr>
          <w:sz w:val="24"/>
          <w:szCs w:val="24"/>
        </w:rPr>
        <w:t>Svær hjerteinsufficiens</w:t>
      </w:r>
    </w:p>
    <w:p w14:paraId="48E40051" w14:textId="77777777" w:rsidR="00C73700" w:rsidRPr="00AA4AD7" w:rsidRDefault="00C73700" w:rsidP="007224BC">
      <w:pPr>
        <w:numPr>
          <w:ilvl w:val="0"/>
          <w:numId w:val="10"/>
        </w:numPr>
        <w:autoSpaceDE w:val="0"/>
        <w:autoSpaceDN w:val="0"/>
        <w:adjustRightInd w:val="0"/>
        <w:ind w:left="1276" w:hanging="425"/>
        <w:rPr>
          <w:sz w:val="24"/>
          <w:szCs w:val="24"/>
        </w:rPr>
      </w:pPr>
      <w:r w:rsidRPr="00AA4AD7">
        <w:rPr>
          <w:sz w:val="24"/>
          <w:szCs w:val="24"/>
        </w:rPr>
        <w:t>Ringe/utilstrækkeligt kontrolleret hypertension</w:t>
      </w:r>
    </w:p>
    <w:p w14:paraId="6DECF565" w14:textId="77777777" w:rsidR="00C73700" w:rsidRPr="00AA4AD7" w:rsidRDefault="00C73700" w:rsidP="007224BC">
      <w:pPr>
        <w:pStyle w:val="Default"/>
        <w:numPr>
          <w:ilvl w:val="0"/>
          <w:numId w:val="10"/>
        </w:numPr>
        <w:ind w:left="1276" w:hanging="425"/>
      </w:pPr>
      <w:r w:rsidRPr="00AA4AD7">
        <w:t>Ringe/utilstrækkeligt kontrolleret diabetes mellitus</w:t>
      </w:r>
    </w:p>
    <w:p w14:paraId="368F18F5" w14:textId="77777777" w:rsidR="00C73700" w:rsidRPr="00AA4AD7" w:rsidRDefault="00C73700" w:rsidP="007224BC">
      <w:pPr>
        <w:numPr>
          <w:ilvl w:val="0"/>
          <w:numId w:val="10"/>
        </w:numPr>
        <w:autoSpaceDE w:val="0"/>
        <w:autoSpaceDN w:val="0"/>
        <w:adjustRightInd w:val="0"/>
        <w:ind w:left="1276" w:hanging="425"/>
        <w:rPr>
          <w:sz w:val="24"/>
          <w:szCs w:val="24"/>
        </w:rPr>
      </w:pPr>
      <w:r w:rsidRPr="00AA4AD7">
        <w:rPr>
          <w:sz w:val="24"/>
          <w:szCs w:val="24"/>
        </w:rPr>
        <w:t>Psykiatrisk lidelse (herunder i anamnesen), inklusive selvmordstendens.</w:t>
      </w:r>
    </w:p>
    <w:p w14:paraId="2ABD2CD2" w14:textId="77777777" w:rsidR="00C73700" w:rsidRPr="00AA4AD7" w:rsidRDefault="00C73700" w:rsidP="0016497E">
      <w:pPr>
        <w:pStyle w:val="Listeafsnit"/>
        <w:tabs>
          <w:tab w:val="clear" w:pos="567"/>
        </w:tabs>
        <w:autoSpaceDE w:val="0"/>
        <w:autoSpaceDN w:val="0"/>
        <w:adjustRightInd w:val="0"/>
        <w:spacing w:line="240" w:lineRule="auto"/>
        <w:ind w:left="1276"/>
        <w:rPr>
          <w:sz w:val="24"/>
          <w:szCs w:val="24"/>
        </w:rPr>
      </w:pPr>
      <w:r w:rsidRPr="00AA4AD7">
        <w:rPr>
          <w:sz w:val="24"/>
          <w:szCs w:val="24"/>
        </w:rPr>
        <w:t>Overvågning af neurologisk eller psykisk tilstand anbefales.</w:t>
      </w:r>
    </w:p>
    <w:p w14:paraId="366D4882" w14:textId="77777777" w:rsidR="00C73700" w:rsidRPr="00AA4AD7" w:rsidRDefault="00C73700" w:rsidP="007224BC">
      <w:pPr>
        <w:numPr>
          <w:ilvl w:val="0"/>
          <w:numId w:val="10"/>
        </w:numPr>
        <w:autoSpaceDE w:val="0"/>
        <w:autoSpaceDN w:val="0"/>
        <w:adjustRightInd w:val="0"/>
        <w:ind w:left="1276" w:hanging="425"/>
        <w:rPr>
          <w:sz w:val="24"/>
          <w:szCs w:val="24"/>
        </w:rPr>
      </w:pPr>
      <w:r w:rsidRPr="00AA4AD7">
        <w:rPr>
          <w:sz w:val="24"/>
          <w:szCs w:val="24"/>
        </w:rPr>
        <w:t xml:space="preserve">Snæver- og åbenvinklet </w:t>
      </w:r>
      <w:proofErr w:type="spellStart"/>
      <w:r w:rsidRPr="00AA4AD7">
        <w:rPr>
          <w:sz w:val="24"/>
          <w:szCs w:val="24"/>
        </w:rPr>
        <w:t>glaukom</w:t>
      </w:r>
      <w:proofErr w:type="spellEnd"/>
      <w:r w:rsidRPr="00AA4AD7">
        <w:rPr>
          <w:sz w:val="24"/>
          <w:szCs w:val="24"/>
        </w:rPr>
        <w:t xml:space="preserve">. Oftalmologisk monitorering og samtidig </w:t>
      </w:r>
      <w:proofErr w:type="spellStart"/>
      <w:r w:rsidRPr="00AA4AD7">
        <w:rPr>
          <w:sz w:val="24"/>
          <w:szCs w:val="24"/>
        </w:rPr>
        <w:t>anti</w:t>
      </w:r>
      <w:proofErr w:type="spellEnd"/>
      <w:r w:rsidRPr="00AA4AD7">
        <w:rPr>
          <w:sz w:val="24"/>
          <w:szCs w:val="24"/>
        </w:rPr>
        <w:t>-</w:t>
      </w:r>
      <w:proofErr w:type="spellStart"/>
      <w:r w:rsidRPr="00AA4AD7">
        <w:rPr>
          <w:sz w:val="24"/>
          <w:szCs w:val="24"/>
        </w:rPr>
        <w:t>glaukom</w:t>
      </w:r>
      <w:proofErr w:type="spellEnd"/>
      <w:r w:rsidRPr="00AA4AD7">
        <w:rPr>
          <w:sz w:val="24"/>
          <w:szCs w:val="24"/>
        </w:rPr>
        <w:t>-behandling anbefales.</w:t>
      </w:r>
    </w:p>
    <w:p w14:paraId="1983835D" w14:textId="77777777" w:rsidR="00C73700" w:rsidRPr="00AA4AD7" w:rsidRDefault="00C73700" w:rsidP="007224BC">
      <w:pPr>
        <w:pStyle w:val="Default"/>
        <w:numPr>
          <w:ilvl w:val="0"/>
          <w:numId w:val="10"/>
        </w:numPr>
        <w:ind w:left="1276" w:hanging="425"/>
      </w:pPr>
      <w:r w:rsidRPr="00AA4AD7">
        <w:t>Hornhindesår og hornhindeskader. Oftalmologisk monitorering og tillægsbehandling anbefales.</w:t>
      </w:r>
    </w:p>
    <w:p w14:paraId="65533BFB" w14:textId="77777777" w:rsidR="00C73700" w:rsidRPr="00AA4AD7" w:rsidRDefault="00C73700" w:rsidP="00C70C18">
      <w:pPr>
        <w:pStyle w:val="Default"/>
        <w:ind w:left="851"/>
      </w:pPr>
    </w:p>
    <w:p w14:paraId="45310B0A" w14:textId="77777777" w:rsidR="00C73700" w:rsidRPr="00AA4AD7" w:rsidRDefault="00C73700" w:rsidP="00C70C18">
      <w:pPr>
        <w:tabs>
          <w:tab w:val="left" w:pos="1304"/>
        </w:tabs>
        <w:autoSpaceDE w:val="0"/>
        <w:autoSpaceDN w:val="0"/>
        <w:adjustRightInd w:val="0"/>
        <w:ind w:left="851"/>
        <w:rPr>
          <w:iCs/>
          <w:sz w:val="24"/>
          <w:szCs w:val="24"/>
          <w:u w:val="single"/>
        </w:rPr>
      </w:pPr>
      <w:r w:rsidRPr="00AA4AD7">
        <w:rPr>
          <w:iCs/>
          <w:sz w:val="24"/>
          <w:szCs w:val="24"/>
          <w:u w:val="single"/>
        </w:rPr>
        <w:t>Mave-tarm-kanalen</w:t>
      </w:r>
    </w:p>
    <w:p w14:paraId="058145F8" w14:textId="77777777" w:rsidR="00C73700" w:rsidRPr="00AA4AD7" w:rsidRDefault="00C73700" w:rsidP="00C70C18">
      <w:pPr>
        <w:pStyle w:val="Default"/>
        <w:ind w:left="851"/>
      </w:pPr>
      <w:r w:rsidRPr="00AA4AD7">
        <w:t xml:space="preserve">Tegn på </w:t>
      </w:r>
      <w:proofErr w:type="spellStart"/>
      <w:r w:rsidRPr="00AA4AD7">
        <w:t>peritoneal</w:t>
      </w:r>
      <w:proofErr w:type="spellEnd"/>
      <w:r w:rsidRPr="00AA4AD7">
        <w:t xml:space="preserve"> irritation efter </w:t>
      </w:r>
      <w:proofErr w:type="spellStart"/>
      <w:r w:rsidRPr="00AA4AD7">
        <w:t>gastrointestinal</w:t>
      </w:r>
      <w:proofErr w:type="spellEnd"/>
      <w:r w:rsidRPr="00AA4AD7">
        <w:t xml:space="preserve"> perforation kan være fraværende hos patienter, der får høje doser af </w:t>
      </w:r>
      <w:proofErr w:type="spellStart"/>
      <w:r w:rsidRPr="00AA4AD7">
        <w:t>glukokortikoider</w:t>
      </w:r>
      <w:proofErr w:type="spellEnd"/>
      <w:r w:rsidRPr="00AA4AD7">
        <w:t>.</w:t>
      </w:r>
    </w:p>
    <w:p w14:paraId="4B65EB92" w14:textId="77777777" w:rsidR="00C73700" w:rsidRPr="00AA4AD7" w:rsidRDefault="00C73700" w:rsidP="00C70C18">
      <w:pPr>
        <w:pStyle w:val="Default"/>
        <w:ind w:left="851"/>
      </w:pPr>
    </w:p>
    <w:p w14:paraId="200B2DE3" w14:textId="77777777" w:rsidR="00C73700" w:rsidRPr="00AA4AD7" w:rsidRDefault="00C73700" w:rsidP="00C70C18">
      <w:pPr>
        <w:tabs>
          <w:tab w:val="left" w:pos="1304"/>
        </w:tabs>
        <w:autoSpaceDE w:val="0"/>
        <w:autoSpaceDN w:val="0"/>
        <w:adjustRightInd w:val="0"/>
        <w:ind w:left="851"/>
        <w:rPr>
          <w:sz w:val="24"/>
          <w:szCs w:val="24"/>
        </w:rPr>
      </w:pPr>
      <w:r w:rsidRPr="00AA4AD7">
        <w:rPr>
          <w:sz w:val="24"/>
          <w:szCs w:val="24"/>
        </w:rPr>
        <w:t xml:space="preserve">På grund af risikoen for tarmperforation må </w:t>
      </w:r>
      <w:proofErr w:type="spellStart"/>
      <w:r w:rsidRPr="00AA4AD7">
        <w:rPr>
          <w:sz w:val="24"/>
          <w:szCs w:val="24"/>
        </w:rPr>
        <w:t>dexametasonfosfat</w:t>
      </w:r>
      <w:proofErr w:type="spellEnd"/>
      <w:r w:rsidRPr="00AA4AD7">
        <w:rPr>
          <w:sz w:val="24"/>
          <w:szCs w:val="24"/>
        </w:rPr>
        <w:t xml:space="preserve"> kun anvendes, når det er strengt nødvendigt, og der skal sikres omhyggelig overvågning ved følgende samtidige lidelser:</w:t>
      </w:r>
    </w:p>
    <w:p w14:paraId="67EC1BE1" w14:textId="77777777" w:rsidR="00C73700" w:rsidRPr="00AA4AD7" w:rsidRDefault="00C73700" w:rsidP="00C70C18">
      <w:pPr>
        <w:numPr>
          <w:ilvl w:val="0"/>
          <w:numId w:val="11"/>
        </w:numPr>
        <w:autoSpaceDE w:val="0"/>
        <w:autoSpaceDN w:val="0"/>
        <w:adjustRightInd w:val="0"/>
        <w:ind w:left="1276" w:hanging="425"/>
        <w:rPr>
          <w:sz w:val="24"/>
          <w:szCs w:val="24"/>
        </w:rPr>
      </w:pPr>
      <w:r w:rsidRPr="00AA4AD7">
        <w:rPr>
          <w:sz w:val="24"/>
          <w:szCs w:val="24"/>
        </w:rPr>
        <w:t xml:space="preserve">Svær </w:t>
      </w:r>
      <w:proofErr w:type="spellStart"/>
      <w:r w:rsidRPr="00AA4AD7">
        <w:rPr>
          <w:sz w:val="24"/>
          <w:szCs w:val="24"/>
        </w:rPr>
        <w:t>ulcerativ</w:t>
      </w:r>
      <w:proofErr w:type="spellEnd"/>
      <w:r w:rsidRPr="00AA4AD7">
        <w:rPr>
          <w:sz w:val="24"/>
          <w:szCs w:val="24"/>
        </w:rPr>
        <w:t xml:space="preserve"> colitis med risiko for perforation, muligvis uden </w:t>
      </w:r>
      <w:proofErr w:type="spellStart"/>
      <w:r w:rsidRPr="00AA4AD7">
        <w:rPr>
          <w:sz w:val="24"/>
          <w:szCs w:val="24"/>
        </w:rPr>
        <w:t>peritoneal</w:t>
      </w:r>
      <w:proofErr w:type="spellEnd"/>
      <w:r w:rsidRPr="00AA4AD7">
        <w:rPr>
          <w:sz w:val="24"/>
          <w:szCs w:val="24"/>
        </w:rPr>
        <w:t xml:space="preserve"> irritation</w:t>
      </w:r>
    </w:p>
    <w:p w14:paraId="67F66C57" w14:textId="77777777" w:rsidR="00C73700" w:rsidRPr="00AA4AD7" w:rsidRDefault="00C73700" w:rsidP="00C70C18">
      <w:pPr>
        <w:numPr>
          <w:ilvl w:val="0"/>
          <w:numId w:val="11"/>
        </w:numPr>
        <w:autoSpaceDE w:val="0"/>
        <w:autoSpaceDN w:val="0"/>
        <w:adjustRightInd w:val="0"/>
        <w:ind w:left="1276" w:hanging="425"/>
        <w:rPr>
          <w:sz w:val="24"/>
          <w:szCs w:val="24"/>
        </w:rPr>
      </w:pPr>
      <w:proofErr w:type="spellStart"/>
      <w:r w:rsidRPr="00AA4AD7">
        <w:rPr>
          <w:sz w:val="24"/>
          <w:szCs w:val="24"/>
        </w:rPr>
        <w:t>Divertikulit</w:t>
      </w:r>
      <w:proofErr w:type="spellEnd"/>
    </w:p>
    <w:p w14:paraId="73A72B21" w14:textId="77777777" w:rsidR="00C73700" w:rsidRPr="00AA4AD7" w:rsidRDefault="00C73700" w:rsidP="00C70C18">
      <w:pPr>
        <w:numPr>
          <w:ilvl w:val="0"/>
          <w:numId w:val="11"/>
        </w:numPr>
        <w:autoSpaceDE w:val="0"/>
        <w:autoSpaceDN w:val="0"/>
        <w:adjustRightInd w:val="0"/>
        <w:ind w:left="1276" w:hanging="425"/>
        <w:rPr>
          <w:sz w:val="24"/>
          <w:szCs w:val="24"/>
        </w:rPr>
      </w:pPr>
      <w:proofErr w:type="spellStart"/>
      <w:r w:rsidRPr="00AA4AD7">
        <w:rPr>
          <w:sz w:val="24"/>
          <w:szCs w:val="24"/>
        </w:rPr>
        <w:t>Entero-anastomose</w:t>
      </w:r>
      <w:proofErr w:type="spellEnd"/>
      <w:r w:rsidRPr="00AA4AD7">
        <w:rPr>
          <w:sz w:val="24"/>
          <w:szCs w:val="24"/>
        </w:rPr>
        <w:t xml:space="preserve"> (umiddelbart postoperativt)</w:t>
      </w:r>
    </w:p>
    <w:p w14:paraId="6F2E95E9" w14:textId="77777777" w:rsidR="00C73700" w:rsidRPr="00AA4AD7" w:rsidRDefault="00C73700" w:rsidP="00C73700">
      <w:pPr>
        <w:pStyle w:val="Default"/>
      </w:pPr>
    </w:p>
    <w:p w14:paraId="6939EE79" w14:textId="77777777" w:rsidR="00C73700" w:rsidRPr="00AA4AD7" w:rsidRDefault="00C73700" w:rsidP="00C70C18">
      <w:pPr>
        <w:pStyle w:val="Default"/>
        <w:ind w:left="851"/>
        <w:rPr>
          <w:iCs/>
        </w:rPr>
      </w:pPr>
      <w:r w:rsidRPr="00AA4AD7">
        <w:rPr>
          <w:iCs/>
          <w:u w:val="single"/>
        </w:rPr>
        <w:t xml:space="preserve">Risiko for </w:t>
      </w:r>
      <w:proofErr w:type="spellStart"/>
      <w:r w:rsidRPr="00AA4AD7">
        <w:rPr>
          <w:iCs/>
          <w:u w:val="single"/>
        </w:rPr>
        <w:t>senelidelser</w:t>
      </w:r>
      <w:proofErr w:type="spellEnd"/>
    </w:p>
    <w:p w14:paraId="6E7E8846" w14:textId="77777777" w:rsidR="00C73700" w:rsidRPr="00AA4AD7" w:rsidRDefault="00C73700" w:rsidP="00C70C18">
      <w:pPr>
        <w:pStyle w:val="Default"/>
        <w:ind w:left="851"/>
      </w:pPr>
      <w:r w:rsidRPr="00AA4AD7">
        <w:t xml:space="preserve">Risikoen for </w:t>
      </w:r>
      <w:proofErr w:type="spellStart"/>
      <w:r w:rsidRPr="00AA4AD7">
        <w:t>senerelaterede</w:t>
      </w:r>
      <w:proofErr w:type="spellEnd"/>
      <w:r w:rsidRPr="00AA4AD7">
        <w:t xml:space="preserve"> symptomer, </w:t>
      </w:r>
      <w:proofErr w:type="spellStart"/>
      <w:r w:rsidRPr="00AA4AD7">
        <w:t>tendinitis</w:t>
      </w:r>
      <w:proofErr w:type="spellEnd"/>
      <w:r w:rsidRPr="00AA4AD7">
        <w:t xml:space="preserve"> og </w:t>
      </w:r>
      <w:proofErr w:type="spellStart"/>
      <w:r w:rsidRPr="00AA4AD7">
        <w:t>seneruptur</w:t>
      </w:r>
      <w:proofErr w:type="spellEnd"/>
      <w:r w:rsidRPr="00AA4AD7">
        <w:t xml:space="preserve"> øges, når </w:t>
      </w:r>
      <w:proofErr w:type="spellStart"/>
      <w:r w:rsidRPr="00AA4AD7">
        <w:t>fluoroquinolon</w:t>
      </w:r>
      <w:proofErr w:type="spellEnd"/>
      <w:r w:rsidRPr="00AA4AD7">
        <w:t xml:space="preserve"> og </w:t>
      </w:r>
      <w:proofErr w:type="spellStart"/>
      <w:r w:rsidRPr="00AA4AD7">
        <w:t>glukokortikoider</w:t>
      </w:r>
      <w:proofErr w:type="spellEnd"/>
      <w:r w:rsidRPr="00AA4AD7">
        <w:t xml:space="preserve"> administreres samtidigt.</w:t>
      </w:r>
    </w:p>
    <w:p w14:paraId="073EC9FD" w14:textId="77777777" w:rsidR="00C73700" w:rsidRPr="00AA4AD7" w:rsidRDefault="00C73700" w:rsidP="00C70C18">
      <w:pPr>
        <w:pStyle w:val="Default"/>
        <w:ind w:left="851"/>
      </w:pPr>
    </w:p>
    <w:p w14:paraId="0ED79966" w14:textId="77777777" w:rsidR="00C73700" w:rsidRPr="00AA4AD7" w:rsidRDefault="00C73700" w:rsidP="00C70C18">
      <w:pPr>
        <w:tabs>
          <w:tab w:val="left" w:pos="1304"/>
        </w:tabs>
        <w:autoSpaceDE w:val="0"/>
        <w:autoSpaceDN w:val="0"/>
        <w:adjustRightInd w:val="0"/>
        <w:ind w:left="851"/>
        <w:rPr>
          <w:iCs/>
          <w:sz w:val="24"/>
          <w:szCs w:val="24"/>
          <w:u w:val="single"/>
        </w:rPr>
      </w:pPr>
      <w:proofErr w:type="spellStart"/>
      <w:r w:rsidRPr="00AA4AD7">
        <w:rPr>
          <w:iCs/>
          <w:sz w:val="24"/>
          <w:szCs w:val="24"/>
          <w:u w:val="single"/>
        </w:rPr>
        <w:t>Myasthenia</w:t>
      </w:r>
      <w:proofErr w:type="spellEnd"/>
      <w:r w:rsidRPr="00AA4AD7">
        <w:rPr>
          <w:iCs/>
          <w:sz w:val="24"/>
          <w:szCs w:val="24"/>
          <w:u w:val="single"/>
        </w:rPr>
        <w:t xml:space="preserve"> </w:t>
      </w:r>
      <w:proofErr w:type="spellStart"/>
      <w:r w:rsidRPr="00AA4AD7">
        <w:rPr>
          <w:iCs/>
          <w:sz w:val="24"/>
          <w:szCs w:val="24"/>
          <w:u w:val="single"/>
        </w:rPr>
        <w:t>gravis</w:t>
      </w:r>
      <w:proofErr w:type="spellEnd"/>
    </w:p>
    <w:p w14:paraId="00249129" w14:textId="77777777" w:rsidR="00C73700" w:rsidRPr="00AA4AD7" w:rsidRDefault="00C73700" w:rsidP="00C70C18">
      <w:pPr>
        <w:tabs>
          <w:tab w:val="left" w:pos="1304"/>
        </w:tabs>
        <w:autoSpaceDE w:val="0"/>
        <w:autoSpaceDN w:val="0"/>
        <w:adjustRightInd w:val="0"/>
        <w:ind w:left="851"/>
        <w:rPr>
          <w:sz w:val="24"/>
          <w:szCs w:val="24"/>
        </w:rPr>
      </w:pPr>
      <w:r w:rsidRPr="00AA4AD7">
        <w:rPr>
          <w:sz w:val="24"/>
          <w:szCs w:val="24"/>
        </w:rPr>
        <w:t xml:space="preserve">Præeksisterende </w:t>
      </w:r>
      <w:proofErr w:type="spellStart"/>
      <w:r w:rsidRPr="00AA4AD7">
        <w:rPr>
          <w:i/>
          <w:sz w:val="24"/>
          <w:szCs w:val="24"/>
        </w:rPr>
        <w:t>myasthenia</w:t>
      </w:r>
      <w:proofErr w:type="spellEnd"/>
      <w:r w:rsidRPr="00AA4AD7">
        <w:rPr>
          <w:i/>
          <w:sz w:val="24"/>
          <w:szCs w:val="24"/>
        </w:rPr>
        <w:t xml:space="preserve"> </w:t>
      </w:r>
      <w:proofErr w:type="spellStart"/>
      <w:r w:rsidRPr="00AA4AD7">
        <w:rPr>
          <w:i/>
          <w:sz w:val="24"/>
          <w:szCs w:val="24"/>
        </w:rPr>
        <w:t>gravis</w:t>
      </w:r>
      <w:proofErr w:type="spellEnd"/>
      <w:r w:rsidRPr="00AA4AD7">
        <w:rPr>
          <w:i/>
          <w:sz w:val="24"/>
          <w:szCs w:val="24"/>
        </w:rPr>
        <w:t xml:space="preserve"> </w:t>
      </w:r>
      <w:r w:rsidRPr="00AA4AD7">
        <w:rPr>
          <w:sz w:val="24"/>
          <w:szCs w:val="24"/>
        </w:rPr>
        <w:t xml:space="preserve">kan blive forværret under behandling med </w:t>
      </w:r>
      <w:proofErr w:type="spellStart"/>
      <w:r w:rsidRPr="00AA4AD7">
        <w:rPr>
          <w:sz w:val="24"/>
          <w:szCs w:val="24"/>
        </w:rPr>
        <w:t>dexametasonfosfat</w:t>
      </w:r>
      <w:proofErr w:type="spellEnd"/>
      <w:r w:rsidRPr="00AA4AD7">
        <w:rPr>
          <w:sz w:val="24"/>
          <w:szCs w:val="24"/>
        </w:rPr>
        <w:t>.</w:t>
      </w:r>
    </w:p>
    <w:p w14:paraId="15E180BA" w14:textId="77777777" w:rsidR="00C73700" w:rsidRPr="00AA4AD7" w:rsidRDefault="00C73700" w:rsidP="00C70C18">
      <w:pPr>
        <w:tabs>
          <w:tab w:val="left" w:pos="1304"/>
        </w:tabs>
        <w:autoSpaceDE w:val="0"/>
        <w:autoSpaceDN w:val="0"/>
        <w:adjustRightInd w:val="0"/>
        <w:ind w:left="851"/>
        <w:rPr>
          <w:sz w:val="24"/>
          <w:szCs w:val="24"/>
          <w:lang w:val="sv-SE"/>
        </w:rPr>
      </w:pPr>
    </w:p>
    <w:p w14:paraId="07142735" w14:textId="77777777" w:rsidR="00C73700" w:rsidRPr="00AA4AD7" w:rsidRDefault="00C73700" w:rsidP="00C70C18">
      <w:pPr>
        <w:tabs>
          <w:tab w:val="left" w:pos="1304"/>
        </w:tabs>
        <w:autoSpaceDE w:val="0"/>
        <w:autoSpaceDN w:val="0"/>
        <w:adjustRightInd w:val="0"/>
        <w:ind w:left="851"/>
        <w:rPr>
          <w:iCs/>
          <w:sz w:val="24"/>
          <w:szCs w:val="24"/>
        </w:rPr>
      </w:pPr>
      <w:r w:rsidRPr="00AA4AD7">
        <w:rPr>
          <w:iCs/>
          <w:sz w:val="24"/>
          <w:szCs w:val="24"/>
          <w:u w:val="single"/>
        </w:rPr>
        <w:t>Hjerte-kar-sygdom</w:t>
      </w:r>
    </w:p>
    <w:p w14:paraId="2B30D09D" w14:textId="77777777" w:rsidR="00C73700" w:rsidRPr="00AA4AD7" w:rsidRDefault="00C73700" w:rsidP="00C70C18">
      <w:pPr>
        <w:tabs>
          <w:tab w:val="left" w:pos="1304"/>
        </w:tabs>
        <w:autoSpaceDE w:val="0"/>
        <w:autoSpaceDN w:val="0"/>
        <w:adjustRightInd w:val="0"/>
        <w:ind w:left="851"/>
        <w:rPr>
          <w:sz w:val="24"/>
          <w:szCs w:val="24"/>
        </w:rPr>
      </w:pPr>
      <w:r w:rsidRPr="00AA4AD7">
        <w:rPr>
          <w:sz w:val="24"/>
          <w:szCs w:val="24"/>
        </w:rPr>
        <w:t>Patienter med svær hjerteinsufficiens skal overvåges nøje, da der er risiko for forværring.</w:t>
      </w:r>
    </w:p>
    <w:p w14:paraId="0ABFD117" w14:textId="77777777" w:rsidR="00C73700" w:rsidRPr="00AA4AD7" w:rsidRDefault="00C73700" w:rsidP="00C70C18">
      <w:pPr>
        <w:tabs>
          <w:tab w:val="left" w:pos="1304"/>
        </w:tabs>
        <w:autoSpaceDE w:val="0"/>
        <w:autoSpaceDN w:val="0"/>
        <w:adjustRightInd w:val="0"/>
        <w:ind w:left="851"/>
        <w:rPr>
          <w:sz w:val="24"/>
          <w:szCs w:val="24"/>
        </w:rPr>
      </w:pPr>
      <w:r w:rsidRPr="00AA4AD7">
        <w:rPr>
          <w:sz w:val="24"/>
          <w:szCs w:val="24"/>
        </w:rPr>
        <w:t xml:space="preserve">Der er risiko for bradykardi, hvis der anvendes høje doser af </w:t>
      </w:r>
      <w:proofErr w:type="spellStart"/>
      <w:r w:rsidRPr="00AA4AD7">
        <w:rPr>
          <w:sz w:val="24"/>
          <w:szCs w:val="24"/>
        </w:rPr>
        <w:t>dexametason</w:t>
      </w:r>
      <w:proofErr w:type="spellEnd"/>
      <w:r w:rsidRPr="00AA4AD7">
        <w:rPr>
          <w:sz w:val="24"/>
          <w:szCs w:val="24"/>
        </w:rPr>
        <w:t>.</w:t>
      </w:r>
    </w:p>
    <w:p w14:paraId="7BC511EE" w14:textId="77777777" w:rsidR="00C73700" w:rsidRPr="00AA4AD7" w:rsidRDefault="00C73700" w:rsidP="00C70C18">
      <w:pPr>
        <w:tabs>
          <w:tab w:val="left" w:pos="1304"/>
        </w:tabs>
        <w:autoSpaceDE w:val="0"/>
        <w:autoSpaceDN w:val="0"/>
        <w:adjustRightInd w:val="0"/>
        <w:ind w:left="851"/>
        <w:rPr>
          <w:sz w:val="24"/>
          <w:szCs w:val="24"/>
        </w:rPr>
      </w:pPr>
      <w:r w:rsidRPr="00AA4AD7">
        <w:rPr>
          <w:sz w:val="24"/>
          <w:szCs w:val="24"/>
        </w:rPr>
        <w:t xml:space="preserve">Under behandling med </w:t>
      </w:r>
      <w:proofErr w:type="spellStart"/>
      <w:r w:rsidRPr="00AA4AD7">
        <w:rPr>
          <w:sz w:val="24"/>
          <w:szCs w:val="24"/>
        </w:rPr>
        <w:t>dexametasonfosfat</w:t>
      </w:r>
      <w:proofErr w:type="spellEnd"/>
      <w:r w:rsidRPr="00AA4AD7">
        <w:rPr>
          <w:sz w:val="24"/>
          <w:szCs w:val="24"/>
        </w:rPr>
        <w:t xml:space="preserve"> skal blodtrykket måles regelmæssigt, især når der anvendes høje doser og hos patienter med højt blodtryk, der er vanskeligt at kontrollere.</w:t>
      </w:r>
    </w:p>
    <w:p w14:paraId="524DC89A" w14:textId="77777777" w:rsidR="00C73700" w:rsidRPr="00AA4AD7" w:rsidRDefault="00C73700" w:rsidP="00C70C18">
      <w:pPr>
        <w:pStyle w:val="Default"/>
        <w:ind w:left="851"/>
      </w:pPr>
    </w:p>
    <w:p w14:paraId="0D15A094" w14:textId="77777777" w:rsidR="00C73700" w:rsidRPr="00AA4AD7" w:rsidRDefault="00C73700" w:rsidP="0016497E">
      <w:pPr>
        <w:ind w:left="851"/>
        <w:rPr>
          <w:sz w:val="24"/>
          <w:szCs w:val="24"/>
          <w:u w:val="single"/>
        </w:rPr>
      </w:pPr>
      <w:r w:rsidRPr="00AA4AD7">
        <w:rPr>
          <w:sz w:val="24"/>
          <w:szCs w:val="24"/>
          <w:u w:val="single"/>
        </w:rPr>
        <w:t>Tumorlysesyndrom (TLS)</w:t>
      </w:r>
    </w:p>
    <w:p w14:paraId="11BDFF12" w14:textId="77777777" w:rsidR="00C73700" w:rsidRPr="00AA4AD7" w:rsidRDefault="00C73700" w:rsidP="00C70C18">
      <w:pPr>
        <w:tabs>
          <w:tab w:val="left" w:pos="1304"/>
        </w:tabs>
        <w:autoSpaceDE w:val="0"/>
        <w:autoSpaceDN w:val="0"/>
        <w:adjustRightInd w:val="0"/>
        <w:ind w:left="851"/>
        <w:rPr>
          <w:sz w:val="24"/>
          <w:szCs w:val="24"/>
        </w:rPr>
      </w:pPr>
      <w:r w:rsidRPr="00AA4AD7">
        <w:rPr>
          <w:sz w:val="24"/>
          <w:szCs w:val="24"/>
        </w:rPr>
        <w:t xml:space="preserve">Efter markedsføring er der rapporteret om tumorlysesyndrom (TLS) hos patienter med hæmatologiske </w:t>
      </w:r>
      <w:proofErr w:type="spellStart"/>
      <w:r w:rsidRPr="00AA4AD7">
        <w:rPr>
          <w:sz w:val="24"/>
          <w:szCs w:val="24"/>
        </w:rPr>
        <w:t>maligniteter</w:t>
      </w:r>
      <w:proofErr w:type="spellEnd"/>
      <w:r w:rsidRPr="00AA4AD7">
        <w:rPr>
          <w:sz w:val="24"/>
          <w:szCs w:val="24"/>
        </w:rPr>
        <w:t xml:space="preserve"> efter anvendelse af </w:t>
      </w:r>
      <w:proofErr w:type="spellStart"/>
      <w:r w:rsidRPr="00AA4AD7">
        <w:rPr>
          <w:sz w:val="24"/>
          <w:szCs w:val="24"/>
        </w:rPr>
        <w:t>dexametason</w:t>
      </w:r>
      <w:proofErr w:type="spellEnd"/>
      <w:r w:rsidRPr="00AA4AD7">
        <w:rPr>
          <w:sz w:val="24"/>
          <w:szCs w:val="24"/>
        </w:rPr>
        <w:t xml:space="preserve"> alene eller i kombination med andre kemoterapeutika. Patienter med høj risiko for TLS, såsom patienter med høj </w:t>
      </w:r>
      <w:proofErr w:type="spellStart"/>
      <w:r w:rsidRPr="00AA4AD7">
        <w:rPr>
          <w:sz w:val="24"/>
          <w:szCs w:val="24"/>
        </w:rPr>
        <w:lastRenderedPageBreak/>
        <w:t>proliferationsrate</w:t>
      </w:r>
      <w:proofErr w:type="spellEnd"/>
      <w:r w:rsidRPr="00AA4AD7">
        <w:rPr>
          <w:sz w:val="24"/>
          <w:szCs w:val="24"/>
        </w:rPr>
        <w:t xml:space="preserve">, høj tumorbyrde og høj følsomhed over for </w:t>
      </w:r>
      <w:proofErr w:type="spellStart"/>
      <w:r w:rsidRPr="00AA4AD7">
        <w:rPr>
          <w:sz w:val="24"/>
          <w:szCs w:val="24"/>
        </w:rPr>
        <w:t>cytotoksika</w:t>
      </w:r>
      <w:proofErr w:type="spellEnd"/>
      <w:r w:rsidRPr="00AA4AD7">
        <w:rPr>
          <w:sz w:val="24"/>
          <w:szCs w:val="24"/>
        </w:rPr>
        <w:t>, skal overvåges nøje, og der skal træffes passende forholdsregler.</w:t>
      </w:r>
    </w:p>
    <w:p w14:paraId="40EF1CF2" w14:textId="77777777" w:rsidR="00C73700" w:rsidRPr="00AA4AD7" w:rsidRDefault="00C73700" w:rsidP="00C70C18">
      <w:pPr>
        <w:pStyle w:val="Default"/>
        <w:ind w:left="851"/>
      </w:pPr>
    </w:p>
    <w:p w14:paraId="30364DBA" w14:textId="77777777" w:rsidR="00C73700" w:rsidRPr="00AA4AD7" w:rsidRDefault="00C73700" w:rsidP="00C70C18">
      <w:pPr>
        <w:tabs>
          <w:tab w:val="left" w:pos="1304"/>
        </w:tabs>
        <w:autoSpaceDE w:val="0"/>
        <w:autoSpaceDN w:val="0"/>
        <w:adjustRightInd w:val="0"/>
        <w:ind w:left="851"/>
        <w:rPr>
          <w:iCs/>
          <w:sz w:val="24"/>
          <w:szCs w:val="24"/>
          <w:u w:val="single"/>
        </w:rPr>
      </w:pPr>
      <w:r w:rsidRPr="00AA4AD7">
        <w:rPr>
          <w:iCs/>
          <w:sz w:val="24"/>
          <w:szCs w:val="24"/>
          <w:u w:val="single"/>
        </w:rPr>
        <w:t>Synsforstyrrelser</w:t>
      </w:r>
    </w:p>
    <w:p w14:paraId="2E509BEF" w14:textId="77777777" w:rsidR="00C73700" w:rsidRPr="00AA4AD7" w:rsidRDefault="00C73700" w:rsidP="00C70C18">
      <w:pPr>
        <w:tabs>
          <w:tab w:val="left" w:pos="1304"/>
        </w:tabs>
        <w:autoSpaceDE w:val="0"/>
        <w:autoSpaceDN w:val="0"/>
        <w:adjustRightInd w:val="0"/>
        <w:ind w:left="851"/>
        <w:rPr>
          <w:sz w:val="24"/>
          <w:szCs w:val="24"/>
        </w:rPr>
      </w:pPr>
      <w:r w:rsidRPr="00AA4AD7">
        <w:rPr>
          <w:sz w:val="24"/>
          <w:szCs w:val="24"/>
        </w:rPr>
        <w:t xml:space="preserve">Der kan forekomme synsforstyrrelser ved systemisk og </w:t>
      </w:r>
      <w:proofErr w:type="spellStart"/>
      <w:r w:rsidRPr="00AA4AD7">
        <w:rPr>
          <w:sz w:val="24"/>
          <w:szCs w:val="24"/>
        </w:rPr>
        <w:t>topikal</w:t>
      </w:r>
      <w:proofErr w:type="spellEnd"/>
      <w:r w:rsidRPr="00AA4AD7">
        <w:rPr>
          <w:sz w:val="24"/>
          <w:szCs w:val="24"/>
        </w:rPr>
        <w:t xml:space="preserve"> anvendelse af </w:t>
      </w:r>
      <w:proofErr w:type="spellStart"/>
      <w:r w:rsidRPr="00AA4AD7">
        <w:rPr>
          <w:sz w:val="24"/>
          <w:szCs w:val="24"/>
        </w:rPr>
        <w:t>kortikosteroider</w:t>
      </w:r>
      <w:proofErr w:type="spellEnd"/>
      <w:r w:rsidRPr="00AA4AD7">
        <w:rPr>
          <w:sz w:val="24"/>
          <w:szCs w:val="24"/>
        </w:rPr>
        <w:t xml:space="preserve">. Hvis patienten har symptomer såsom sløret syn eller andre synsforstyrrelser, skal en henvisning til en oftalmolog overvejes med henblik at få vurderet mulige årsager. Disse omfatter katarakt, </w:t>
      </w:r>
      <w:proofErr w:type="spellStart"/>
      <w:r w:rsidRPr="00AA4AD7">
        <w:rPr>
          <w:sz w:val="24"/>
          <w:szCs w:val="24"/>
        </w:rPr>
        <w:t>glaukom</w:t>
      </w:r>
      <w:proofErr w:type="spellEnd"/>
      <w:r w:rsidRPr="00AA4AD7">
        <w:rPr>
          <w:sz w:val="24"/>
          <w:szCs w:val="24"/>
        </w:rPr>
        <w:t xml:space="preserve"> eller sjældne sygdomme, såsom central serøs </w:t>
      </w:r>
      <w:proofErr w:type="spellStart"/>
      <w:r w:rsidRPr="00AA4AD7">
        <w:rPr>
          <w:sz w:val="24"/>
          <w:szCs w:val="24"/>
        </w:rPr>
        <w:t>korioretinopati</w:t>
      </w:r>
      <w:proofErr w:type="spellEnd"/>
      <w:r w:rsidRPr="00AA4AD7">
        <w:rPr>
          <w:sz w:val="24"/>
          <w:szCs w:val="24"/>
        </w:rPr>
        <w:t xml:space="preserve"> (CSC), som er blevet rapporteret efter anvendelse af systemiske eller topiske </w:t>
      </w:r>
      <w:proofErr w:type="spellStart"/>
      <w:r w:rsidRPr="00AA4AD7">
        <w:rPr>
          <w:sz w:val="24"/>
          <w:szCs w:val="24"/>
        </w:rPr>
        <w:t>kortikosteroider</w:t>
      </w:r>
      <w:proofErr w:type="spellEnd"/>
      <w:r w:rsidRPr="00AA4AD7">
        <w:rPr>
          <w:sz w:val="24"/>
          <w:szCs w:val="24"/>
        </w:rPr>
        <w:t>.</w:t>
      </w:r>
    </w:p>
    <w:p w14:paraId="657ADE9D" w14:textId="77777777" w:rsidR="00C73700" w:rsidRPr="00AA4AD7" w:rsidRDefault="00C73700" w:rsidP="00C70C18">
      <w:pPr>
        <w:tabs>
          <w:tab w:val="left" w:pos="1304"/>
        </w:tabs>
        <w:autoSpaceDE w:val="0"/>
        <w:autoSpaceDN w:val="0"/>
        <w:adjustRightInd w:val="0"/>
        <w:ind w:left="851"/>
        <w:rPr>
          <w:sz w:val="24"/>
          <w:szCs w:val="24"/>
          <w:lang w:val="sv-SE"/>
        </w:rPr>
      </w:pPr>
    </w:p>
    <w:p w14:paraId="35BB0F1E" w14:textId="77777777" w:rsidR="00C73700" w:rsidRPr="00AA4AD7" w:rsidRDefault="00C73700" w:rsidP="00C70C18">
      <w:pPr>
        <w:tabs>
          <w:tab w:val="left" w:pos="1304"/>
        </w:tabs>
        <w:autoSpaceDE w:val="0"/>
        <w:autoSpaceDN w:val="0"/>
        <w:adjustRightInd w:val="0"/>
        <w:ind w:left="851"/>
        <w:rPr>
          <w:iCs/>
          <w:sz w:val="24"/>
          <w:szCs w:val="24"/>
        </w:rPr>
      </w:pPr>
      <w:r w:rsidRPr="00AA4AD7">
        <w:rPr>
          <w:iCs/>
          <w:sz w:val="24"/>
          <w:szCs w:val="24"/>
          <w:u w:val="single"/>
        </w:rPr>
        <w:t>Diabetes</w:t>
      </w:r>
    </w:p>
    <w:p w14:paraId="643FC2D2" w14:textId="77777777" w:rsidR="00C73700" w:rsidRPr="00AA4AD7" w:rsidRDefault="00C73700" w:rsidP="00C70C18">
      <w:pPr>
        <w:tabs>
          <w:tab w:val="left" w:pos="1304"/>
        </w:tabs>
        <w:autoSpaceDE w:val="0"/>
        <w:autoSpaceDN w:val="0"/>
        <w:adjustRightInd w:val="0"/>
        <w:ind w:left="851"/>
        <w:rPr>
          <w:sz w:val="24"/>
          <w:szCs w:val="24"/>
        </w:rPr>
      </w:pPr>
      <w:r w:rsidRPr="00AA4AD7">
        <w:rPr>
          <w:sz w:val="24"/>
          <w:szCs w:val="24"/>
        </w:rPr>
        <w:t xml:space="preserve">Hos diabetespatienter skal der under behandling med </w:t>
      </w:r>
      <w:proofErr w:type="spellStart"/>
      <w:r w:rsidRPr="00AA4AD7">
        <w:rPr>
          <w:sz w:val="24"/>
          <w:szCs w:val="24"/>
        </w:rPr>
        <w:t>dexametasonfosfat</w:t>
      </w:r>
      <w:proofErr w:type="spellEnd"/>
      <w:r w:rsidRPr="00AA4AD7">
        <w:rPr>
          <w:sz w:val="24"/>
          <w:szCs w:val="24"/>
        </w:rPr>
        <w:t xml:space="preserve"> tages højde for øgede behov for insulin eller orale </w:t>
      </w:r>
      <w:proofErr w:type="spellStart"/>
      <w:r w:rsidRPr="00AA4AD7">
        <w:rPr>
          <w:sz w:val="24"/>
          <w:szCs w:val="24"/>
        </w:rPr>
        <w:t>antidiabetika</w:t>
      </w:r>
      <w:proofErr w:type="spellEnd"/>
      <w:r w:rsidRPr="00AA4AD7">
        <w:rPr>
          <w:sz w:val="24"/>
          <w:szCs w:val="24"/>
        </w:rPr>
        <w:t xml:space="preserve">. </w:t>
      </w:r>
    </w:p>
    <w:p w14:paraId="7D21D2B8" w14:textId="77777777" w:rsidR="00C73700" w:rsidRPr="00AA4AD7" w:rsidRDefault="00C73700" w:rsidP="00C70C18">
      <w:pPr>
        <w:tabs>
          <w:tab w:val="left" w:pos="1304"/>
        </w:tabs>
        <w:autoSpaceDE w:val="0"/>
        <w:autoSpaceDN w:val="0"/>
        <w:adjustRightInd w:val="0"/>
        <w:ind w:left="851"/>
        <w:rPr>
          <w:sz w:val="24"/>
          <w:szCs w:val="24"/>
          <w:lang w:val="sv-SE"/>
        </w:rPr>
      </w:pPr>
    </w:p>
    <w:p w14:paraId="159DD448" w14:textId="77777777" w:rsidR="00C73700" w:rsidRPr="00AA4AD7" w:rsidRDefault="00C73700" w:rsidP="00C70C18">
      <w:pPr>
        <w:tabs>
          <w:tab w:val="left" w:pos="1304"/>
        </w:tabs>
        <w:autoSpaceDE w:val="0"/>
        <w:autoSpaceDN w:val="0"/>
        <w:adjustRightInd w:val="0"/>
        <w:ind w:left="851"/>
        <w:rPr>
          <w:iCs/>
          <w:sz w:val="24"/>
          <w:szCs w:val="24"/>
          <w:u w:val="single"/>
        </w:rPr>
      </w:pPr>
      <w:r w:rsidRPr="00AA4AD7">
        <w:rPr>
          <w:iCs/>
          <w:sz w:val="24"/>
          <w:szCs w:val="24"/>
          <w:u w:val="single"/>
        </w:rPr>
        <w:t>Kalium</w:t>
      </w:r>
    </w:p>
    <w:p w14:paraId="62E5964F" w14:textId="77777777" w:rsidR="00C73700" w:rsidRPr="00AA4AD7" w:rsidRDefault="00C73700" w:rsidP="00C70C18">
      <w:pPr>
        <w:tabs>
          <w:tab w:val="left" w:pos="1304"/>
        </w:tabs>
        <w:autoSpaceDE w:val="0"/>
        <w:autoSpaceDN w:val="0"/>
        <w:adjustRightInd w:val="0"/>
        <w:ind w:left="851"/>
        <w:rPr>
          <w:sz w:val="24"/>
          <w:szCs w:val="24"/>
        </w:rPr>
      </w:pPr>
      <w:r w:rsidRPr="00AA4AD7">
        <w:rPr>
          <w:sz w:val="24"/>
          <w:szCs w:val="24"/>
        </w:rPr>
        <w:t xml:space="preserve">Hvis der anvendes høje doser af </w:t>
      </w:r>
      <w:proofErr w:type="spellStart"/>
      <w:r w:rsidRPr="00AA4AD7">
        <w:rPr>
          <w:sz w:val="24"/>
          <w:szCs w:val="24"/>
        </w:rPr>
        <w:t>kortikosteroider</w:t>
      </w:r>
      <w:proofErr w:type="spellEnd"/>
      <w:r w:rsidRPr="00AA4AD7">
        <w:rPr>
          <w:sz w:val="24"/>
          <w:szCs w:val="24"/>
        </w:rPr>
        <w:t>, skal det sikres, at kaliumindtaget er tilstrækkeligt, og det kan være nødvendigt at begrænse patientens natriumindtag. Kaliumniveauerne i serum skal overvåges.</w:t>
      </w:r>
    </w:p>
    <w:p w14:paraId="1CC451D5" w14:textId="77777777" w:rsidR="00C73700" w:rsidRPr="00AA4AD7" w:rsidRDefault="00C73700" w:rsidP="00C70C18">
      <w:pPr>
        <w:tabs>
          <w:tab w:val="left" w:pos="1304"/>
        </w:tabs>
        <w:autoSpaceDE w:val="0"/>
        <w:autoSpaceDN w:val="0"/>
        <w:adjustRightInd w:val="0"/>
        <w:ind w:left="851"/>
        <w:rPr>
          <w:sz w:val="24"/>
          <w:szCs w:val="24"/>
        </w:rPr>
      </w:pPr>
    </w:p>
    <w:p w14:paraId="328418E5" w14:textId="77777777" w:rsidR="00C73700" w:rsidRPr="00AA4AD7" w:rsidRDefault="00C73700" w:rsidP="00C70C18">
      <w:pPr>
        <w:tabs>
          <w:tab w:val="left" w:pos="1304"/>
        </w:tabs>
        <w:autoSpaceDE w:val="0"/>
        <w:autoSpaceDN w:val="0"/>
        <w:adjustRightInd w:val="0"/>
        <w:ind w:left="851"/>
        <w:rPr>
          <w:iCs/>
          <w:sz w:val="24"/>
          <w:szCs w:val="24"/>
          <w:u w:val="single"/>
        </w:rPr>
      </w:pPr>
      <w:r w:rsidRPr="00AA4AD7">
        <w:rPr>
          <w:iCs/>
          <w:sz w:val="24"/>
          <w:szCs w:val="24"/>
          <w:u w:val="single"/>
        </w:rPr>
        <w:t>Akut binyrebarkinsufficiens</w:t>
      </w:r>
    </w:p>
    <w:p w14:paraId="10BBCBBB" w14:textId="77777777" w:rsidR="00C73700" w:rsidRPr="00AA4AD7" w:rsidRDefault="00C73700" w:rsidP="00C70C18">
      <w:pPr>
        <w:tabs>
          <w:tab w:val="left" w:pos="1304"/>
        </w:tabs>
        <w:autoSpaceDE w:val="0"/>
        <w:autoSpaceDN w:val="0"/>
        <w:adjustRightInd w:val="0"/>
        <w:ind w:left="851"/>
        <w:rPr>
          <w:sz w:val="24"/>
          <w:szCs w:val="24"/>
        </w:rPr>
      </w:pPr>
      <w:r w:rsidRPr="00AA4AD7">
        <w:rPr>
          <w:sz w:val="24"/>
          <w:szCs w:val="24"/>
        </w:rPr>
        <w:t xml:space="preserve">Pludselig </w:t>
      </w:r>
      <w:proofErr w:type="spellStart"/>
      <w:r w:rsidRPr="00AA4AD7">
        <w:rPr>
          <w:sz w:val="24"/>
          <w:szCs w:val="24"/>
        </w:rPr>
        <w:t>seponering</w:t>
      </w:r>
      <w:proofErr w:type="spellEnd"/>
      <w:r w:rsidRPr="00AA4AD7">
        <w:rPr>
          <w:sz w:val="24"/>
          <w:szCs w:val="24"/>
        </w:rPr>
        <w:t xml:space="preserve"> af </w:t>
      </w:r>
      <w:proofErr w:type="spellStart"/>
      <w:r w:rsidRPr="00AA4AD7">
        <w:rPr>
          <w:sz w:val="24"/>
          <w:szCs w:val="24"/>
        </w:rPr>
        <w:t>dexametasonfosfat</w:t>
      </w:r>
      <w:proofErr w:type="spellEnd"/>
      <w:r w:rsidRPr="00AA4AD7">
        <w:rPr>
          <w:sz w:val="24"/>
          <w:szCs w:val="24"/>
        </w:rPr>
        <w:t xml:space="preserve"> efter administration i mere end ca. 10 dage kan føre til </w:t>
      </w:r>
      <w:proofErr w:type="spellStart"/>
      <w:r w:rsidRPr="00AA4AD7">
        <w:rPr>
          <w:sz w:val="24"/>
          <w:szCs w:val="24"/>
        </w:rPr>
        <w:t>eksacerbation</w:t>
      </w:r>
      <w:proofErr w:type="spellEnd"/>
      <w:r w:rsidRPr="00AA4AD7">
        <w:rPr>
          <w:sz w:val="24"/>
          <w:szCs w:val="24"/>
        </w:rPr>
        <w:t xml:space="preserve"> eller recidiv af den underliggende sygdom og til forekomst af akut binyreinsufficiens/kortisonabstinenssyndrom. Derfor skal dosis reduceres langsomt, når behandlingen skal seponeres.</w:t>
      </w:r>
    </w:p>
    <w:p w14:paraId="0F8383CD" w14:textId="77777777" w:rsidR="00C73700" w:rsidRPr="00AA4AD7" w:rsidRDefault="00C73700" w:rsidP="00C70C18">
      <w:pPr>
        <w:tabs>
          <w:tab w:val="left" w:pos="1304"/>
        </w:tabs>
        <w:autoSpaceDE w:val="0"/>
        <w:autoSpaceDN w:val="0"/>
        <w:adjustRightInd w:val="0"/>
        <w:ind w:left="851"/>
        <w:rPr>
          <w:sz w:val="24"/>
          <w:szCs w:val="24"/>
          <w:lang w:val="sv-SE"/>
        </w:rPr>
      </w:pPr>
    </w:p>
    <w:p w14:paraId="43641229" w14:textId="77777777" w:rsidR="00C73700" w:rsidRPr="00AA4AD7" w:rsidRDefault="00C73700" w:rsidP="00C70C18">
      <w:pPr>
        <w:tabs>
          <w:tab w:val="left" w:pos="1304"/>
        </w:tabs>
        <w:autoSpaceDE w:val="0"/>
        <w:autoSpaceDN w:val="0"/>
        <w:adjustRightInd w:val="0"/>
        <w:ind w:left="851"/>
        <w:rPr>
          <w:iCs/>
          <w:sz w:val="24"/>
          <w:szCs w:val="24"/>
          <w:u w:val="single"/>
        </w:rPr>
      </w:pPr>
      <w:r w:rsidRPr="00AA4AD7">
        <w:rPr>
          <w:iCs/>
          <w:sz w:val="24"/>
          <w:szCs w:val="24"/>
          <w:u w:val="single"/>
        </w:rPr>
        <w:t>Andet</w:t>
      </w:r>
    </w:p>
    <w:p w14:paraId="71197BB2" w14:textId="77777777" w:rsidR="00C73700" w:rsidRPr="00AA4AD7" w:rsidRDefault="00C73700" w:rsidP="00C70C18">
      <w:pPr>
        <w:tabs>
          <w:tab w:val="left" w:pos="1304"/>
        </w:tabs>
        <w:autoSpaceDE w:val="0"/>
        <w:autoSpaceDN w:val="0"/>
        <w:adjustRightInd w:val="0"/>
        <w:ind w:left="851"/>
        <w:rPr>
          <w:sz w:val="24"/>
          <w:szCs w:val="24"/>
        </w:rPr>
      </w:pPr>
      <w:r w:rsidRPr="00AA4AD7">
        <w:rPr>
          <w:sz w:val="24"/>
          <w:szCs w:val="24"/>
        </w:rPr>
        <w:t xml:space="preserve">Immunisering med inaktiverede (døde) vacciner kan i princippet foretages. Der skal dog tages højde for, at immunresponset og dermed vaccinen kan kompromitteres ved højere doser af </w:t>
      </w:r>
      <w:proofErr w:type="spellStart"/>
      <w:r w:rsidRPr="00AA4AD7">
        <w:rPr>
          <w:sz w:val="24"/>
          <w:szCs w:val="24"/>
        </w:rPr>
        <w:t>kortikosteroider</w:t>
      </w:r>
      <w:proofErr w:type="spellEnd"/>
      <w:r w:rsidRPr="00AA4AD7">
        <w:rPr>
          <w:sz w:val="24"/>
          <w:szCs w:val="24"/>
        </w:rPr>
        <w:t>.</w:t>
      </w:r>
    </w:p>
    <w:p w14:paraId="79AB3C78" w14:textId="77777777" w:rsidR="00C73700" w:rsidRPr="00AA4AD7" w:rsidRDefault="00C73700" w:rsidP="00C70C18">
      <w:pPr>
        <w:tabs>
          <w:tab w:val="left" w:pos="1304"/>
        </w:tabs>
        <w:autoSpaceDE w:val="0"/>
        <w:autoSpaceDN w:val="0"/>
        <w:adjustRightInd w:val="0"/>
        <w:ind w:left="851"/>
        <w:rPr>
          <w:sz w:val="24"/>
          <w:szCs w:val="24"/>
        </w:rPr>
      </w:pPr>
      <w:r w:rsidRPr="00AA4AD7">
        <w:rPr>
          <w:sz w:val="24"/>
          <w:szCs w:val="24"/>
        </w:rPr>
        <w:t xml:space="preserve">Samtidig behandling med CYP3A-hæmmere, herunder </w:t>
      </w:r>
      <w:proofErr w:type="spellStart"/>
      <w:r w:rsidRPr="00AA4AD7">
        <w:rPr>
          <w:sz w:val="24"/>
          <w:szCs w:val="24"/>
        </w:rPr>
        <w:t>cobicistat-holdige</w:t>
      </w:r>
      <w:proofErr w:type="spellEnd"/>
      <w:r w:rsidRPr="00AA4AD7">
        <w:rPr>
          <w:sz w:val="24"/>
          <w:szCs w:val="24"/>
        </w:rPr>
        <w:t xml:space="preserve"> præparater, forventes at øge risikoen for systemiske bivirkninger. Kombinationen skal undgås, medmindre fordelene opvejer den øgede risiko for systemiske </w:t>
      </w:r>
      <w:proofErr w:type="spellStart"/>
      <w:r w:rsidRPr="00AA4AD7">
        <w:rPr>
          <w:sz w:val="24"/>
          <w:szCs w:val="24"/>
        </w:rPr>
        <w:t>kortikosteroid</w:t>
      </w:r>
      <w:proofErr w:type="spellEnd"/>
      <w:r w:rsidRPr="00AA4AD7">
        <w:rPr>
          <w:sz w:val="24"/>
          <w:szCs w:val="24"/>
        </w:rPr>
        <w:t xml:space="preserve">-bivirkninger af, og i dette tilfælde skal patienten overvåges for systemiske </w:t>
      </w:r>
      <w:proofErr w:type="spellStart"/>
      <w:r w:rsidRPr="00AA4AD7">
        <w:rPr>
          <w:sz w:val="24"/>
          <w:szCs w:val="24"/>
        </w:rPr>
        <w:t>kortikosteroid</w:t>
      </w:r>
      <w:proofErr w:type="spellEnd"/>
      <w:r w:rsidRPr="00AA4AD7">
        <w:rPr>
          <w:sz w:val="24"/>
          <w:szCs w:val="24"/>
        </w:rPr>
        <w:t>-bivirkninger.</w:t>
      </w:r>
    </w:p>
    <w:p w14:paraId="393BBB82" w14:textId="77777777" w:rsidR="00C73700" w:rsidRPr="00AA4AD7" w:rsidRDefault="00C73700" w:rsidP="00C70C18">
      <w:pPr>
        <w:tabs>
          <w:tab w:val="left" w:pos="1304"/>
        </w:tabs>
        <w:autoSpaceDE w:val="0"/>
        <w:autoSpaceDN w:val="0"/>
        <w:adjustRightInd w:val="0"/>
        <w:ind w:left="851"/>
        <w:rPr>
          <w:sz w:val="24"/>
          <w:szCs w:val="24"/>
          <w:lang w:val="sv-SE"/>
        </w:rPr>
      </w:pPr>
    </w:p>
    <w:p w14:paraId="43954411" w14:textId="77777777" w:rsidR="00C73700" w:rsidRPr="00AA4AD7" w:rsidRDefault="00C73700" w:rsidP="00C70C18">
      <w:pPr>
        <w:tabs>
          <w:tab w:val="left" w:pos="1304"/>
        </w:tabs>
        <w:autoSpaceDE w:val="0"/>
        <w:autoSpaceDN w:val="0"/>
        <w:adjustRightInd w:val="0"/>
        <w:ind w:left="851"/>
        <w:rPr>
          <w:sz w:val="24"/>
          <w:szCs w:val="24"/>
        </w:rPr>
      </w:pPr>
      <w:r w:rsidRPr="00AA4AD7">
        <w:rPr>
          <w:sz w:val="24"/>
          <w:szCs w:val="24"/>
        </w:rPr>
        <w:t xml:space="preserve">Visse virussygdomme, for eksempel skoldkopper eller mæslinger, kan have et særligt alvorligt forløb hos patienter, der er i behandling med </w:t>
      </w:r>
      <w:proofErr w:type="spellStart"/>
      <w:r w:rsidRPr="00AA4AD7">
        <w:rPr>
          <w:sz w:val="24"/>
          <w:szCs w:val="24"/>
        </w:rPr>
        <w:t>glukokortikoider</w:t>
      </w:r>
      <w:proofErr w:type="spellEnd"/>
      <w:r w:rsidRPr="00AA4AD7">
        <w:rPr>
          <w:sz w:val="24"/>
          <w:szCs w:val="24"/>
        </w:rPr>
        <w:t xml:space="preserve">. Immunkompromitterede patienter, som ikke definitivt har skoldkopper eller mæslinger i anamnesen, har en særlig høj risiko. Hvis en sådan patient under behandling med </w:t>
      </w:r>
      <w:proofErr w:type="spellStart"/>
      <w:r w:rsidRPr="00AA4AD7">
        <w:rPr>
          <w:sz w:val="24"/>
          <w:szCs w:val="24"/>
        </w:rPr>
        <w:t>dexametasonfosfat</w:t>
      </w:r>
      <w:proofErr w:type="spellEnd"/>
      <w:r w:rsidRPr="00AA4AD7">
        <w:rPr>
          <w:sz w:val="24"/>
          <w:szCs w:val="24"/>
        </w:rPr>
        <w:t xml:space="preserve"> kommer i kontakt med personer, der har skoldkopper eller mæslinger, skal der iværksættes forebyggende behandling ved behov.</w:t>
      </w:r>
    </w:p>
    <w:p w14:paraId="506111D9" w14:textId="77777777" w:rsidR="00C73700" w:rsidRPr="00AA4AD7" w:rsidRDefault="00C73700" w:rsidP="00C70C18">
      <w:pPr>
        <w:pStyle w:val="Default"/>
        <w:ind w:left="851"/>
      </w:pPr>
    </w:p>
    <w:p w14:paraId="36F68B39" w14:textId="77777777" w:rsidR="00C73700" w:rsidRPr="00AA4AD7" w:rsidRDefault="00C73700" w:rsidP="00C70C18">
      <w:pPr>
        <w:tabs>
          <w:tab w:val="left" w:pos="1304"/>
        </w:tabs>
        <w:autoSpaceDE w:val="0"/>
        <w:autoSpaceDN w:val="0"/>
        <w:adjustRightInd w:val="0"/>
        <w:ind w:left="851"/>
        <w:rPr>
          <w:sz w:val="24"/>
          <w:szCs w:val="24"/>
        </w:rPr>
      </w:pPr>
      <w:r w:rsidRPr="00AA4AD7">
        <w:rPr>
          <w:sz w:val="24"/>
          <w:szCs w:val="24"/>
        </w:rPr>
        <w:t>Ved intravenøs administration skal injektionen gives langsomt i løbet af 2</w:t>
      </w:r>
      <w:r w:rsidRPr="00AA4AD7">
        <w:rPr>
          <w:sz w:val="24"/>
          <w:szCs w:val="24"/>
        </w:rPr>
        <w:noBreakHyphen/>
        <w:t xml:space="preserve">3 minutter. Efter en for hurtig administration kan der forekomme kortvarige og stort set harmløse bivirkninger i form af en ubehagelig prikken eller </w:t>
      </w:r>
      <w:proofErr w:type="spellStart"/>
      <w:r w:rsidRPr="00AA4AD7">
        <w:rPr>
          <w:sz w:val="24"/>
          <w:szCs w:val="24"/>
        </w:rPr>
        <w:t>paræstesi</w:t>
      </w:r>
      <w:proofErr w:type="spellEnd"/>
      <w:r w:rsidRPr="00AA4AD7">
        <w:rPr>
          <w:sz w:val="24"/>
          <w:szCs w:val="24"/>
        </w:rPr>
        <w:t>, som varer i op til 3 minutter.</w:t>
      </w:r>
    </w:p>
    <w:p w14:paraId="2B47D7EF" w14:textId="77777777" w:rsidR="00C73700" w:rsidRPr="00AA4AD7" w:rsidRDefault="00C73700" w:rsidP="00C70C18">
      <w:pPr>
        <w:tabs>
          <w:tab w:val="left" w:pos="1304"/>
        </w:tabs>
        <w:autoSpaceDE w:val="0"/>
        <w:autoSpaceDN w:val="0"/>
        <w:adjustRightInd w:val="0"/>
        <w:ind w:left="851"/>
        <w:rPr>
          <w:sz w:val="24"/>
          <w:szCs w:val="24"/>
          <w:lang w:val="sv-SE"/>
        </w:rPr>
      </w:pPr>
    </w:p>
    <w:p w14:paraId="7E33B793" w14:textId="77777777" w:rsidR="00C73700" w:rsidRPr="00AA4AD7" w:rsidRDefault="00C73700" w:rsidP="00C70C18">
      <w:pPr>
        <w:tabs>
          <w:tab w:val="left" w:pos="1304"/>
        </w:tabs>
        <w:autoSpaceDE w:val="0"/>
        <w:autoSpaceDN w:val="0"/>
        <w:adjustRightInd w:val="0"/>
        <w:ind w:left="851"/>
        <w:rPr>
          <w:sz w:val="24"/>
          <w:szCs w:val="24"/>
        </w:rPr>
      </w:pPr>
      <w:proofErr w:type="spellStart"/>
      <w:r w:rsidRPr="00AA4AD7">
        <w:rPr>
          <w:sz w:val="24"/>
          <w:szCs w:val="24"/>
        </w:rPr>
        <w:t>Dexametasonfosfat</w:t>
      </w:r>
      <w:proofErr w:type="spellEnd"/>
      <w:r w:rsidRPr="00AA4AD7">
        <w:rPr>
          <w:sz w:val="24"/>
          <w:szCs w:val="24"/>
        </w:rPr>
        <w:t xml:space="preserve"> er kun beregnet til kortvarig brug. Hvis dette lægemiddel administreres over en længere periode, skal der tages højde for yderligere advarsler og forsigtighedsregler, som gælder for lægemidler, der indeholder </w:t>
      </w:r>
      <w:proofErr w:type="spellStart"/>
      <w:r w:rsidRPr="00AA4AD7">
        <w:rPr>
          <w:sz w:val="24"/>
          <w:szCs w:val="24"/>
        </w:rPr>
        <w:t>glukokortikoider</w:t>
      </w:r>
      <w:proofErr w:type="spellEnd"/>
      <w:r w:rsidRPr="00AA4AD7">
        <w:rPr>
          <w:sz w:val="24"/>
          <w:szCs w:val="24"/>
        </w:rPr>
        <w:t>, som er beregnet til længerevarende brug.</w:t>
      </w:r>
    </w:p>
    <w:p w14:paraId="211674BF" w14:textId="77777777" w:rsidR="00C73700" w:rsidRPr="00AA4AD7" w:rsidRDefault="00C73700" w:rsidP="00C70C18">
      <w:pPr>
        <w:tabs>
          <w:tab w:val="left" w:pos="1304"/>
        </w:tabs>
        <w:autoSpaceDE w:val="0"/>
        <w:autoSpaceDN w:val="0"/>
        <w:adjustRightInd w:val="0"/>
        <w:ind w:left="851"/>
        <w:rPr>
          <w:sz w:val="24"/>
          <w:szCs w:val="24"/>
          <w:lang w:val="sv-SE"/>
        </w:rPr>
      </w:pPr>
    </w:p>
    <w:p w14:paraId="75897E0D" w14:textId="77777777" w:rsidR="00C73700" w:rsidRPr="00AA4AD7" w:rsidRDefault="00C73700" w:rsidP="00C70C18">
      <w:pPr>
        <w:tabs>
          <w:tab w:val="left" w:pos="1304"/>
        </w:tabs>
        <w:autoSpaceDE w:val="0"/>
        <w:autoSpaceDN w:val="0"/>
        <w:adjustRightInd w:val="0"/>
        <w:ind w:left="851"/>
        <w:rPr>
          <w:i/>
          <w:iCs/>
          <w:sz w:val="24"/>
          <w:szCs w:val="24"/>
        </w:rPr>
      </w:pPr>
      <w:r w:rsidRPr="00AA4AD7">
        <w:rPr>
          <w:i/>
          <w:sz w:val="24"/>
          <w:szCs w:val="24"/>
        </w:rPr>
        <w:lastRenderedPageBreak/>
        <w:t>Ældre</w:t>
      </w:r>
    </w:p>
    <w:p w14:paraId="36B5C18B" w14:textId="77777777" w:rsidR="00C73700" w:rsidRPr="00AA4AD7" w:rsidRDefault="00C73700" w:rsidP="00C70C18">
      <w:pPr>
        <w:tabs>
          <w:tab w:val="left" w:pos="1304"/>
        </w:tabs>
        <w:autoSpaceDE w:val="0"/>
        <w:autoSpaceDN w:val="0"/>
        <w:adjustRightInd w:val="0"/>
        <w:ind w:left="851"/>
        <w:rPr>
          <w:sz w:val="24"/>
          <w:szCs w:val="24"/>
        </w:rPr>
      </w:pPr>
      <w:r w:rsidRPr="00AA4AD7">
        <w:rPr>
          <w:sz w:val="24"/>
          <w:szCs w:val="24"/>
        </w:rPr>
        <w:t>Da ældre patienter har højere risiko for at få bivirkninger og for osteoporose, skal benefit/</w:t>
      </w:r>
      <w:proofErr w:type="spellStart"/>
      <w:r w:rsidRPr="00AA4AD7">
        <w:rPr>
          <w:sz w:val="24"/>
          <w:szCs w:val="24"/>
        </w:rPr>
        <w:t>risk</w:t>
      </w:r>
      <w:proofErr w:type="spellEnd"/>
      <w:r w:rsidRPr="00AA4AD7">
        <w:rPr>
          <w:sz w:val="24"/>
          <w:szCs w:val="24"/>
        </w:rPr>
        <w:t xml:space="preserve">-forholdet ved behandling med </w:t>
      </w:r>
      <w:proofErr w:type="spellStart"/>
      <w:r w:rsidRPr="00AA4AD7">
        <w:rPr>
          <w:sz w:val="24"/>
          <w:szCs w:val="24"/>
        </w:rPr>
        <w:t>dexametasonfosfat</w:t>
      </w:r>
      <w:proofErr w:type="spellEnd"/>
      <w:r w:rsidRPr="00AA4AD7">
        <w:rPr>
          <w:sz w:val="24"/>
          <w:szCs w:val="24"/>
        </w:rPr>
        <w:t xml:space="preserve"> nøje overvejes.</w:t>
      </w:r>
    </w:p>
    <w:p w14:paraId="75CEBF0B" w14:textId="77777777" w:rsidR="00C73700" w:rsidRPr="00AA4AD7" w:rsidRDefault="00C73700" w:rsidP="00C70C18">
      <w:pPr>
        <w:tabs>
          <w:tab w:val="left" w:pos="1304"/>
        </w:tabs>
        <w:autoSpaceDE w:val="0"/>
        <w:autoSpaceDN w:val="0"/>
        <w:adjustRightInd w:val="0"/>
        <w:ind w:left="851"/>
        <w:rPr>
          <w:sz w:val="24"/>
          <w:szCs w:val="24"/>
          <w:lang w:val="sv-SE"/>
        </w:rPr>
      </w:pPr>
    </w:p>
    <w:p w14:paraId="17840920" w14:textId="77777777" w:rsidR="00C73700" w:rsidRPr="00AA4AD7" w:rsidRDefault="00C73700" w:rsidP="00C70C18">
      <w:pPr>
        <w:tabs>
          <w:tab w:val="left" w:pos="1304"/>
        </w:tabs>
        <w:autoSpaceDE w:val="0"/>
        <w:autoSpaceDN w:val="0"/>
        <w:adjustRightInd w:val="0"/>
        <w:ind w:left="851"/>
        <w:rPr>
          <w:i/>
          <w:iCs/>
          <w:sz w:val="24"/>
          <w:szCs w:val="24"/>
        </w:rPr>
      </w:pPr>
      <w:r w:rsidRPr="00AA4AD7">
        <w:rPr>
          <w:i/>
          <w:sz w:val="24"/>
          <w:szCs w:val="24"/>
        </w:rPr>
        <w:t>Børn og unge</w:t>
      </w:r>
    </w:p>
    <w:p w14:paraId="3F5EDB7B" w14:textId="77777777" w:rsidR="00C73700" w:rsidRPr="00AA4AD7" w:rsidRDefault="00C73700" w:rsidP="00C70C18">
      <w:pPr>
        <w:tabs>
          <w:tab w:val="left" w:pos="1304"/>
        </w:tabs>
        <w:autoSpaceDE w:val="0"/>
        <w:autoSpaceDN w:val="0"/>
        <w:adjustRightInd w:val="0"/>
        <w:ind w:left="851"/>
        <w:rPr>
          <w:sz w:val="24"/>
          <w:szCs w:val="24"/>
        </w:rPr>
      </w:pPr>
      <w:r w:rsidRPr="00AA4AD7">
        <w:rPr>
          <w:sz w:val="24"/>
          <w:szCs w:val="24"/>
        </w:rPr>
        <w:t>Benefit-</w:t>
      </w:r>
      <w:proofErr w:type="spellStart"/>
      <w:r w:rsidRPr="00AA4AD7">
        <w:rPr>
          <w:sz w:val="24"/>
          <w:szCs w:val="24"/>
        </w:rPr>
        <w:t>risk</w:t>
      </w:r>
      <w:proofErr w:type="spellEnd"/>
      <w:r w:rsidRPr="00AA4AD7">
        <w:rPr>
          <w:sz w:val="24"/>
          <w:szCs w:val="24"/>
        </w:rPr>
        <w:t xml:space="preserve">-forholdet ved behandling med </w:t>
      </w:r>
      <w:proofErr w:type="spellStart"/>
      <w:r w:rsidRPr="00AA4AD7">
        <w:rPr>
          <w:sz w:val="24"/>
          <w:szCs w:val="24"/>
        </w:rPr>
        <w:t>dexametasonfosfat</w:t>
      </w:r>
      <w:proofErr w:type="spellEnd"/>
      <w:r w:rsidRPr="00AA4AD7">
        <w:rPr>
          <w:sz w:val="24"/>
          <w:szCs w:val="24"/>
        </w:rPr>
        <w:t xml:space="preserve"> skal nøje overvejes hos børn, der er i vækstfasen.</w:t>
      </w:r>
    </w:p>
    <w:p w14:paraId="3516C2C5" w14:textId="77777777" w:rsidR="00C73700" w:rsidRPr="00AA4AD7" w:rsidRDefault="00C73700" w:rsidP="00C70C18">
      <w:pPr>
        <w:tabs>
          <w:tab w:val="left" w:pos="1304"/>
        </w:tabs>
        <w:autoSpaceDE w:val="0"/>
        <w:autoSpaceDN w:val="0"/>
        <w:adjustRightInd w:val="0"/>
        <w:ind w:left="851"/>
        <w:rPr>
          <w:sz w:val="24"/>
          <w:szCs w:val="24"/>
          <w:lang w:val="sv-SE"/>
        </w:rPr>
      </w:pPr>
    </w:p>
    <w:p w14:paraId="453AC52D" w14:textId="77777777" w:rsidR="00C73700" w:rsidRPr="00AA4AD7" w:rsidRDefault="00C73700" w:rsidP="00C70C18">
      <w:pPr>
        <w:tabs>
          <w:tab w:val="left" w:pos="1304"/>
        </w:tabs>
        <w:autoSpaceDE w:val="0"/>
        <w:autoSpaceDN w:val="0"/>
        <w:adjustRightInd w:val="0"/>
        <w:ind w:left="851"/>
        <w:rPr>
          <w:i/>
          <w:iCs/>
          <w:sz w:val="24"/>
          <w:szCs w:val="24"/>
        </w:rPr>
      </w:pPr>
      <w:r w:rsidRPr="00AA4AD7">
        <w:rPr>
          <w:i/>
          <w:sz w:val="24"/>
          <w:szCs w:val="24"/>
        </w:rPr>
        <w:t>Præmature nyfødte</w:t>
      </w:r>
    </w:p>
    <w:p w14:paraId="7AAB1F5E" w14:textId="77777777" w:rsidR="00C73700" w:rsidRPr="00AA4AD7" w:rsidRDefault="00C73700" w:rsidP="00C70C18">
      <w:pPr>
        <w:tabs>
          <w:tab w:val="left" w:pos="1304"/>
        </w:tabs>
        <w:autoSpaceDE w:val="0"/>
        <w:autoSpaceDN w:val="0"/>
        <w:adjustRightInd w:val="0"/>
        <w:ind w:left="851"/>
        <w:rPr>
          <w:sz w:val="24"/>
          <w:szCs w:val="24"/>
        </w:rPr>
      </w:pPr>
      <w:r w:rsidRPr="00AA4AD7">
        <w:rPr>
          <w:sz w:val="24"/>
          <w:szCs w:val="24"/>
        </w:rPr>
        <w:t xml:space="preserve">Tilgængelige data tyder på langvarige </w:t>
      </w:r>
      <w:proofErr w:type="spellStart"/>
      <w:r w:rsidRPr="00AA4AD7">
        <w:rPr>
          <w:sz w:val="24"/>
          <w:szCs w:val="24"/>
        </w:rPr>
        <w:t>neuroudviklingsmæssige</w:t>
      </w:r>
      <w:proofErr w:type="spellEnd"/>
      <w:r w:rsidRPr="00AA4AD7">
        <w:rPr>
          <w:sz w:val="24"/>
          <w:szCs w:val="24"/>
        </w:rPr>
        <w:t xml:space="preserve"> bivirkninger efter tidlig behandling (&lt;96 timer) af præmature spædbørn med kronisk lungesygdom ved initialdosis på 0,25 mg/kg to gange dagligt.</w:t>
      </w:r>
    </w:p>
    <w:p w14:paraId="11DF590E" w14:textId="77777777" w:rsidR="00C73700" w:rsidRPr="00AA4AD7" w:rsidRDefault="00C73700" w:rsidP="00C70C18">
      <w:pPr>
        <w:tabs>
          <w:tab w:val="left" w:pos="1304"/>
        </w:tabs>
        <w:autoSpaceDE w:val="0"/>
        <w:autoSpaceDN w:val="0"/>
        <w:adjustRightInd w:val="0"/>
        <w:ind w:left="851"/>
        <w:rPr>
          <w:sz w:val="24"/>
          <w:szCs w:val="24"/>
          <w:lang w:val="sv-SE"/>
        </w:rPr>
      </w:pPr>
    </w:p>
    <w:p w14:paraId="406823F6" w14:textId="77777777" w:rsidR="00C73700" w:rsidRPr="00AA4AD7" w:rsidRDefault="00C73700" w:rsidP="00C70C18">
      <w:pPr>
        <w:tabs>
          <w:tab w:val="left" w:pos="1304"/>
        </w:tabs>
        <w:autoSpaceDE w:val="0"/>
        <w:autoSpaceDN w:val="0"/>
        <w:adjustRightInd w:val="0"/>
        <w:ind w:left="851"/>
        <w:rPr>
          <w:sz w:val="24"/>
          <w:szCs w:val="24"/>
        </w:rPr>
      </w:pPr>
      <w:r w:rsidRPr="00AA4AD7">
        <w:rPr>
          <w:sz w:val="24"/>
          <w:szCs w:val="24"/>
        </w:rPr>
        <w:t>Efter lokal administration skal der tages højde for mulige systemiske bivirkninger og interaktioner.</w:t>
      </w:r>
    </w:p>
    <w:p w14:paraId="76385ED8" w14:textId="77777777" w:rsidR="00C73700" w:rsidRPr="00AA4AD7" w:rsidRDefault="00C73700" w:rsidP="00C70C18">
      <w:pPr>
        <w:tabs>
          <w:tab w:val="left" w:pos="1304"/>
        </w:tabs>
        <w:autoSpaceDE w:val="0"/>
        <w:autoSpaceDN w:val="0"/>
        <w:adjustRightInd w:val="0"/>
        <w:ind w:left="851"/>
        <w:rPr>
          <w:sz w:val="24"/>
          <w:szCs w:val="24"/>
          <w:lang w:val="sv-SE"/>
        </w:rPr>
      </w:pPr>
    </w:p>
    <w:p w14:paraId="6B9B736F" w14:textId="77777777" w:rsidR="00C73700" w:rsidRPr="00AA4AD7" w:rsidRDefault="00C73700" w:rsidP="00C70C18">
      <w:pPr>
        <w:tabs>
          <w:tab w:val="left" w:pos="1304"/>
        </w:tabs>
        <w:autoSpaceDE w:val="0"/>
        <w:autoSpaceDN w:val="0"/>
        <w:adjustRightInd w:val="0"/>
        <w:ind w:left="851"/>
        <w:rPr>
          <w:iCs/>
          <w:sz w:val="24"/>
          <w:szCs w:val="24"/>
        </w:rPr>
      </w:pPr>
      <w:proofErr w:type="spellStart"/>
      <w:r w:rsidRPr="00AA4AD7">
        <w:rPr>
          <w:iCs/>
          <w:sz w:val="24"/>
          <w:szCs w:val="24"/>
          <w:u w:val="single"/>
        </w:rPr>
        <w:t>Intraartikulær</w:t>
      </w:r>
      <w:proofErr w:type="spellEnd"/>
      <w:r w:rsidRPr="00AA4AD7">
        <w:rPr>
          <w:iCs/>
          <w:sz w:val="24"/>
          <w:szCs w:val="24"/>
          <w:u w:val="single"/>
        </w:rPr>
        <w:t xml:space="preserve"> administration</w:t>
      </w:r>
    </w:p>
    <w:p w14:paraId="45A869FA" w14:textId="77777777" w:rsidR="00C73700" w:rsidRPr="00AA4AD7" w:rsidRDefault="00C73700" w:rsidP="00C70C18">
      <w:pPr>
        <w:tabs>
          <w:tab w:val="left" w:pos="1304"/>
        </w:tabs>
        <w:autoSpaceDE w:val="0"/>
        <w:autoSpaceDN w:val="0"/>
        <w:adjustRightInd w:val="0"/>
        <w:ind w:left="851"/>
        <w:rPr>
          <w:sz w:val="24"/>
          <w:szCs w:val="24"/>
        </w:rPr>
      </w:pPr>
      <w:proofErr w:type="spellStart"/>
      <w:r w:rsidRPr="00AA4AD7">
        <w:rPr>
          <w:sz w:val="24"/>
          <w:szCs w:val="24"/>
        </w:rPr>
        <w:t>Intraartikulær</w:t>
      </w:r>
      <w:proofErr w:type="spellEnd"/>
      <w:r w:rsidRPr="00AA4AD7">
        <w:rPr>
          <w:sz w:val="24"/>
          <w:szCs w:val="24"/>
        </w:rPr>
        <w:t xml:space="preserve"> administration af </w:t>
      </w:r>
      <w:proofErr w:type="spellStart"/>
      <w:r w:rsidRPr="00AA4AD7">
        <w:rPr>
          <w:sz w:val="24"/>
          <w:szCs w:val="24"/>
        </w:rPr>
        <w:t>glukokortikoider</w:t>
      </w:r>
      <w:proofErr w:type="spellEnd"/>
      <w:r w:rsidRPr="00AA4AD7">
        <w:rPr>
          <w:sz w:val="24"/>
          <w:szCs w:val="24"/>
        </w:rPr>
        <w:t xml:space="preserve"> øger risikoen for </w:t>
      </w:r>
      <w:proofErr w:type="spellStart"/>
      <w:r w:rsidRPr="00AA4AD7">
        <w:rPr>
          <w:sz w:val="24"/>
          <w:szCs w:val="24"/>
        </w:rPr>
        <w:t>ledinfektioner</w:t>
      </w:r>
      <w:proofErr w:type="spellEnd"/>
      <w:r w:rsidRPr="00AA4AD7">
        <w:rPr>
          <w:sz w:val="24"/>
          <w:szCs w:val="24"/>
        </w:rPr>
        <w:t xml:space="preserve">. Langvarig og gentagen anvendelse af </w:t>
      </w:r>
      <w:proofErr w:type="spellStart"/>
      <w:r w:rsidRPr="00AA4AD7">
        <w:rPr>
          <w:sz w:val="24"/>
          <w:szCs w:val="24"/>
        </w:rPr>
        <w:t>glukokortikoider</w:t>
      </w:r>
      <w:proofErr w:type="spellEnd"/>
      <w:r w:rsidRPr="00AA4AD7">
        <w:rPr>
          <w:sz w:val="24"/>
          <w:szCs w:val="24"/>
        </w:rPr>
        <w:t xml:space="preserve"> i vægtbærende led kan forværre slidrelaterede læsioner. Dette skyldes sandsynligvis overbelastning af leddet efter lindring af smerter eller andre symptomer.</w:t>
      </w:r>
    </w:p>
    <w:p w14:paraId="68F67103" w14:textId="77777777" w:rsidR="00C73700" w:rsidRPr="00AA4AD7" w:rsidRDefault="00C73700" w:rsidP="00C70C18">
      <w:pPr>
        <w:tabs>
          <w:tab w:val="left" w:pos="1304"/>
        </w:tabs>
        <w:autoSpaceDE w:val="0"/>
        <w:autoSpaceDN w:val="0"/>
        <w:adjustRightInd w:val="0"/>
        <w:ind w:left="851"/>
        <w:rPr>
          <w:sz w:val="24"/>
          <w:szCs w:val="24"/>
          <w:lang w:val="sv-SE"/>
        </w:rPr>
      </w:pPr>
    </w:p>
    <w:p w14:paraId="515A6E15" w14:textId="33A21CA5" w:rsidR="00C73700" w:rsidRPr="00AA4AD7" w:rsidRDefault="00C73700" w:rsidP="00C70C18">
      <w:pPr>
        <w:tabs>
          <w:tab w:val="left" w:pos="1304"/>
        </w:tabs>
        <w:autoSpaceDE w:val="0"/>
        <w:autoSpaceDN w:val="0"/>
        <w:adjustRightInd w:val="0"/>
        <w:ind w:left="851"/>
        <w:rPr>
          <w:sz w:val="24"/>
          <w:szCs w:val="24"/>
          <w:lang w:val="en-US"/>
        </w:rPr>
      </w:pPr>
      <w:r w:rsidRPr="00AA4AD7">
        <w:rPr>
          <w:sz w:val="24"/>
          <w:szCs w:val="24"/>
          <w:lang w:val="en-US"/>
        </w:rPr>
        <w:t xml:space="preserve">Dexamethasone phosphate </w:t>
      </w:r>
      <w:r w:rsidR="009816BE">
        <w:rPr>
          <w:sz w:val="24"/>
          <w:szCs w:val="24"/>
          <w:lang w:val="en-US"/>
        </w:rPr>
        <w:t>"Accord"</w:t>
      </w:r>
      <w:r w:rsidRPr="00AA4AD7">
        <w:rPr>
          <w:sz w:val="24"/>
          <w:szCs w:val="24"/>
          <w:lang w:val="en-US"/>
        </w:rPr>
        <w:t xml:space="preserve"> </w:t>
      </w:r>
      <w:proofErr w:type="spellStart"/>
      <w:r w:rsidRPr="00AA4AD7">
        <w:rPr>
          <w:sz w:val="24"/>
          <w:szCs w:val="24"/>
          <w:lang w:val="en-US"/>
        </w:rPr>
        <w:t>indeholder</w:t>
      </w:r>
      <w:proofErr w:type="spellEnd"/>
      <w:r w:rsidRPr="00AA4AD7">
        <w:rPr>
          <w:sz w:val="24"/>
          <w:szCs w:val="24"/>
          <w:lang w:val="en-US"/>
        </w:rPr>
        <w:t xml:space="preserve"> natrium:</w:t>
      </w:r>
    </w:p>
    <w:p w14:paraId="153E0E59" w14:textId="77777777" w:rsidR="00C73700" w:rsidRPr="00AA4AD7" w:rsidRDefault="00C73700" w:rsidP="00C70C18">
      <w:pPr>
        <w:tabs>
          <w:tab w:val="left" w:pos="1304"/>
        </w:tabs>
        <w:autoSpaceDE w:val="0"/>
        <w:autoSpaceDN w:val="0"/>
        <w:adjustRightInd w:val="0"/>
        <w:ind w:left="851"/>
        <w:rPr>
          <w:sz w:val="24"/>
          <w:szCs w:val="24"/>
        </w:rPr>
      </w:pPr>
      <w:r w:rsidRPr="00AA4AD7">
        <w:rPr>
          <w:sz w:val="24"/>
          <w:szCs w:val="24"/>
        </w:rPr>
        <w:t>Dette lægemiddel indeholder 1,4 mg natrium pr. ml opløsning, svarende til 0,07 % af den WHO-anbefalede maksimale daglige indtagelse af 2 g natrium for en voksen.</w:t>
      </w:r>
    </w:p>
    <w:p w14:paraId="302E0288" w14:textId="77777777" w:rsidR="009260DE" w:rsidRPr="00AA4AD7" w:rsidRDefault="009260DE" w:rsidP="009260DE">
      <w:pPr>
        <w:tabs>
          <w:tab w:val="left" w:pos="851"/>
        </w:tabs>
        <w:ind w:left="851"/>
        <w:rPr>
          <w:sz w:val="24"/>
          <w:szCs w:val="24"/>
        </w:rPr>
      </w:pPr>
    </w:p>
    <w:p w14:paraId="7023F10C" w14:textId="77777777" w:rsidR="009260DE" w:rsidRPr="00AA4AD7" w:rsidRDefault="009260DE" w:rsidP="009260DE">
      <w:pPr>
        <w:tabs>
          <w:tab w:val="left" w:pos="851"/>
        </w:tabs>
        <w:ind w:left="851" w:hanging="851"/>
        <w:rPr>
          <w:b/>
          <w:sz w:val="24"/>
          <w:szCs w:val="24"/>
        </w:rPr>
      </w:pPr>
      <w:r w:rsidRPr="00AA4AD7">
        <w:rPr>
          <w:b/>
          <w:sz w:val="24"/>
          <w:szCs w:val="24"/>
        </w:rPr>
        <w:t>4.5</w:t>
      </w:r>
      <w:r w:rsidRPr="00AA4AD7">
        <w:rPr>
          <w:b/>
          <w:sz w:val="24"/>
          <w:szCs w:val="24"/>
        </w:rPr>
        <w:tab/>
        <w:t>Interaktion med andre lægemidler og andre former for interaktion</w:t>
      </w:r>
    </w:p>
    <w:p w14:paraId="7DF0D682" w14:textId="77777777" w:rsidR="0016497E" w:rsidRPr="00AA4AD7" w:rsidRDefault="0016497E" w:rsidP="00C70C18">
      <w:pPr>
        <w:ind w:left="851"/>
        <w:rPr>
          <w:sz w:val="24"/>
          <w:szCs w:val="24"/>
        </w:rPr>
      </w:pPr>
    </w:p>
    <w:p w14:paraId="254F0D8A" w14:textId="142C2E17" w:rsidR="00C73700" w:rsidRPr="00AA4AD7" w:rsidRDefault="00C73700" w:rsidP="00C70C18">
      <w:pPr>
        <w:ind w:left="851"/>
        <w:rPr>
          <w:sz w:val="24"/>
          <w:szCs w:val="24"/>
          <w:u w:val="single"/>
        </w:rPr>
      </w:pPr>
      <w:r w:rsidRPr="00AA4AD7">
        <w:rPr>
          <w:sz w:val="24"/>
          <w:szCs w:val="24"/>
          <w:u w:val="single"/>
        </w:rPr>
        <w:t>Non</w:t>
      </w:r>
      <w:r w:rsidRPr="00AA4AD7">
        <w:rPr>
          <w:sz w:val="24"/>
          <w:szCs w:val="24"/>
          <w:u w:val="single"/>
        </w:rPr>
        <w:noBreakHyphen/>
        <w:t>steroidale anti</w:t>
      </w:r>
      <w:r w:rsidRPr="00AA4AD7">
        <w:rPr>
          <w:sz w:val="24"/>
          <w:szCs w:val="24"/>
          <w:u w:val="single"/>
        </w:rPr>
        <w:noBreakHyphen/>
        <w:t xml:space="preserve">inflammatoriske lægemidler (NSAID), </w:t>
      </w:r>
      <w:proofErr w:type="spellStart"/>
      <w:r w:rsidRPr="00AA4AD7">
        <w:rPr>
          <w:sz w:val="24"/>
          <w:szCs w:val="24"/>
          <w:u w:val="single"/>
        </w:rPr>
        <w:t>salicylater</w:t>
      </w:r>
      <w:proofErr w:type="spellEnd"/>
      <w:r w:rsidRPr="00AA4AD7">
        <w:rPr>
          <w:sz w:val="24"/>
          <w:szCs w:val="24"/>
          <w:u w:val="single"/>
        </w:rPr>
        <w:t xml:space="preserve"> og </w:t>
      </w:r>
      <w:proofErr w:type="spellStart"/>
      <w:r w:rsidRPr="00AA4AD7">
        <w:rPr>
          <w:sz w:val="24"/>
          <w:szCs w:val="24"/>
          <w:u w:val="single"/>
        </w:rPr>
        <w:t>indometacin</w:t>
      </w:r>
      <w:proofErr w:type="spellEnd"/>
    </w:p>
    <w:p w14:paraId="64C73222" w14:textId="77777777" w:rsidR="00C73700" w:rsidRPr="00AA4AD7" w:rsidRDefault="00C73700" w:rsidP="00C70C18">
      <w:pPr>
        <w:ind w:left="851"/>
        <w:rPr>
          <w:sz w:val="24"/>
          <w:szCs w:val="24"/>
        </w:rPr>
      </w:pPr>
      <w:r w:rsidRPr="00AA4AD7">
        <w:rPr>
          <w:sz w:val="24"/>
          <w:szCs w:val="24"/>
        </w:rPr>
        <w:t xml:space="preserve">Der er en øget risiko for mave-tarm-sår og -blødning ved brug sammen med </w:t>
      </w:r>
      <w:proofErr w:type="spellStart"/>
      <w:r w:rsidRPr="00AA4AD7">
        <w:rPr>
          <w:sz w:val="24"/>
          <w:szCs w:val="24"/>
        </w:rPr>
        <w:t>NSAID'er</w:t>
      </w:r>
      <w:proofErr w:type="spellEnd"/>
      <w:r w:rsidRPr="00AA4AD7">
        <w:rPr>
          <w:sz w:val="24"/>
          <w:szCs w:val="24"/>
        </w:rPr>
        <w:t xml:space="preserve">, </w:t>
      </w:r>
      <w:proofErr w:type="spellStart"/>
      <w:r w:rsidRPr="00AA4AD7">
        <w:rPr>
          <w:sz w:val="24"/>
          <w:szCs w:val="24"/>
        </w:rPr>
        <w:t>salicylater</w:t>
      </w:r>
      <w:proofErr w:type="spellEnd"/>
      <w:r w:rsidRPr="00AA4AD7">
        <w:rPr>
          <w:sz w:val="24"/>
          <w:szCs w:val="24"/>
        </w:rPr>
        <w:t xml:space="preserve"> og </w:t>
      </w:r>
      <w:proofErr w:type="spellStart"/>
      <w:r w:rsidRPr="00AA4AD7">
        <w:rPr>
          <w:sz w:val="24"/>
          <w:szCs w:val="24"/>
        </w:rPr>
        <w:t>indometacin</w:t>
      </w:r>
      <w:proofErr w:type="spellEnd"/>
      <w:r w:rsidRPr="00AA4AD7">
        <w:rPr>
          <w:sz w:val="24"/>
          <w:szCs w:val="24"/>
        </w:rPr>
        <w:t>.</w:t>
      </w:r>
    </w:p>
    <w:p w14:paraId="48DB3BBC" w14:textId="77777777" w:rsidR="00C73700" w:rsidRPr="00AA4AD7" w:rsidRDefault="00C73700" w:rsidP="00C70C18">
      <w:pPr>
        <w:ind w:left="851"/>
        <w:rPr>
          <w:sz w:val="24"/>
          <w:szCs w:val="24"/>
          <w:lang w:val="sv-SE"/>
        </w:rPr>
      </w:pPr>
    </w:p>
    <w:p w14:paraId="1D8F7F07" w14:textId="77777777" w:rsidR="00C73700" w:rsidRPr="00AA4AD7" w:rsidRDefault="00C73700" w:rsidP="00C70C18">
      <w:pPr>
        <w:ind w:left="851"/>
        <w:rPr>
          <w:sz w:val="24"/>
          <w:szCs w:val="24"/>
          <w:u w:val="single"/>
        </w:rPr>
      </w:pPr>
      <w:r w:rsidRPr="00AA4AD7">
        <w:rPr>
          <w:sz w:val="24"/>
          <w:szCs w:val="24"/>
          <w:u w:val="single"/>
        </w:rPr>
        <w:t xml:space="preserve">Østrogener (fx orale </w:t>
      </w:r>
      <w:proofErr w:type="spellStart"/>
      <w:r w:rsidRPr="00AA4AD7">
        <w:rPr>
          <w:sz w:val="24"/>
          <w:szCs w:val="24"/>
          <w:u w:val="single"/>
        </w:rPr>
        <w:t>kontraceptiva</w:t>
      </w:r>
      <w:proofErr w:type="spellEnd"/>
    </w:p>
    <w:p w14:paraId="25090051" w14:textId="77777777" w:rsidR="00C73700" w:rsidRPr="00AA4AD7" w:rsidRDefault="00C73700" w:rsidP="00C70C18">
      <w:pPr>
        <w:ind w:left="851"/>
        <w:rPr>
          <w:sz w:val="24"/>
          <w:szCs w:val="24"/>
        </w:rPr>
      </w:pPr>
      <w:proofErr w:type="spellStart"/>
      <w:r w:rsidRPr="00AA4AD7">
        <w:rPr>
          <w:sz w:val="24"/>
          <w:szCs w:val="24"/>
        </w:rPr>
        <w:t>Glukokortikoiders</w:t>
      </w:r>
      <w:proofErr w:type="spellEnd"/>
      <w:r w:rsidRPr="00AA4AD7">
        <w:rPr>
          <w:sz w:val="24"/>
          <w:szCs w:val="24"/>
        </w:rPr>
        <w:t xml:space="preserve"> halveringstid kan blive forlænget, når de bruges sammen med østrogener (fx orale </w:t>
      </w:r>
      <w:proofErr w:type="spellStart"/>
      <w:r w:rsidRPr="00AA4AD7">
        <w:rPr>
          <w:sz w:val="24"/>
          <w:szCs w:val="24"/>
        </w:rPr>
        <w:t>kontraceptiva</w:t>
      </w:r>
      <w:proofErr w:type="spellEnd"/>
      <w:r w:rsidRPr="00AA4AD7">
        <w:rPr>
          <w:sz w:val="24"/>
          <w:szCs w:val="24"/>
        </w:rPr>
        <w:t xml:space="preserve">), og derfor kan den </w:t>
      </w:r>
      <w:proofErr w:type="spellStart"/>
      <w:r w:rsidRPr="00AA4AD7">
        <w:rPr>
          <w:sz w:val="24"/>
          <w:szCs w:val="24"/>
        </w:rPr>
        <w:t>kortikoide</w:t>
      </w:r>
      <w:proofErr w:type="spellEnd"/>
      <w:r w:rsidRPr="00AA4AD7">
        <w:rPr>
          <w:sz w:val="24"/>
          <w:szCs w:val="24"/>
        </w:rPr>
        <w:t xml:space="preserve"> virkning blive forstærket.</w:t>
      </w:r>
    </w:p>
    <w:p w14:paraId="655DF5EB" w14:textId="77777777" w:rsidR="00C73700" w:rsidRPr="00AA4AD7" w:rsidRDefault="00C73700" w:rsidP="00C70C18">
      <w:pPr>
        <w:ind w:left="851"/>
        <w:rPr>
          <w:sz w:val="24"/>
          <w:szCs w:val="24"/>
          <w:lang w:val="sv-SE"/>
        </w:rPr>
      </w:pPr>
    </w:p>
    <w:p w14:paraId="60B0380C" w14:textId="77777777" w:rsidR="00C73700" w:rsidRPr="00AA4AD7" w:rsidRDefault="00C73700" w:rsidP="00C70C18">
      <w:pPr>
        <w:ind w:left="851"/>
        <w:rPr>
          <w:sz w:val="24"/>
          <w:szCs w:val="24"/>
          <w:u w:val="single"/>
        </w:rPr>
      </w:pPr>
      <w:r w:rsidRPr="00AA4AD7">
        <w:rPr>
          <w:sz w:val="24"/>
          <w:szCs w:val="24"/>
          <w:u w:val="single"/>
        </w:rPr>
        <w:t>CYP3A4-induktorer</w:t>
      </w:r>
    </w:p>
    <w:p w14:paraId="636311FA" w14:textId="77777777" w:rsidR="00C73700" w:rsidRPr="00AA4AD7" w:rsidRDefault="00C73700" w:rsidP="00C70C18">
      <w:pPr>
        <w:ind w:left="851"/>
        <w:rPr>
          <w:sz w:val="24"/>
          <w:szCs w:val="24"/>
        </w:rPr>
      </w:pPr>
      <w:r w:rsidRPr="00AA4AD7">
        <w:rPr>
          <w:sz w:val="24"/>
          <w:szCs w:val="24"/>
        </w:rPr>
        <w:t xml:space="preserve">Lægemidler, der inducerer CYP3A4, såsom </w:t>
      </w:r>
      <w:proofErr w:type="spellStart"/>
      <w:r w:rsidRPr="00AA4AD7">
        <w:rPr>
          <w:sz w:val="24"/>
          <w:szCs w:val="24"/>
        </w:rPr>
        <w:t>fenytoin</w:t>
      </w:r>
      <w:proofErr w:type="spellEnd"/>
      <w:r w:rsidRPr="00AA4AD7">
        <w:rPr>
          <w:sz w:val="24"/>
          <w:szCs w:val="24"/>
        </w:rPr>
        <w:t xml:space="preserve">, barbiturater, </w:t>
      </w:r>
      <w:proofErr w:type="spellStart"/>
      <w:r w:rsidRPr="00AA4AD7">
        <w:rPr>
          <w:sz w:val="24"/>
          <w:szCs w:val="24"/>
        </w:rPr>
        <w:t>carbamazepin</w:t>
      </w:r>
      <w:proofErr w:type="spellEnd"/>
      <w:r w:rsidRPr="00AA4AD7">
        <w:rPr>
          <w:sz w:val="24"/>
          <w:szCs w:val="24"/>
        </w:rPr>
        <w:t xml:space="preserve">, </w:t>
      </w:r>
      <w:proofErr w:type="spellStart"/>
      <w:r w:rsidRPr="00AA4AD7">
        <w:rPr>
          <w:sz w:val="24"/>
          <w:szCs w:val="24"/>
        </w:rPr>
        <w:t>primidon</w:t>
      </w:r>
      <w:proofErr w:type="spellEnd"/>
      <w:r w:rsidRPr="00AA4AD7">
        <w:rPr>
          <w:sz w:val="24"/>
          <w:szCs w:val="24"/>
        </w:rPr>
        <w:t xml:space="preserve"> og </w:t>
      </w:r>
      <w:proofErr w:type="spellStart"/>
      <w:r w:rsidRPr="00AA4AD7">
        <w:rPr>
          <w:sz w:val="24"/>
          <w:szCs w:val="24"/>
        </w:rPr>
        <w:t>rifampicin</w:t>
      </w:r>
      <w:proofErr w:type="spellEnd"/>
      <w:r w:rsidRPr="00AA4AD7">
        <w:rPr>
          <w:sz w:val="24"/>
          <w:szCs w:val="24"/>
        </w:rPr>
        <w:t xml:space="preserve">, kan forstærke </w:t>
      </w:r>
      <w:proofErr w:type="spellStart"/>
      <w:r w:rsidRPr="00AA4AD7">
        <w:rPr>
          <w:sz w:val="24"/>
          <w:szCs w:val="24"/>
        </w:rPr>
        <w:t>kortikosteroiders</w:t>
      </w:r>
      <w:proofErr w:type="spellEnd"/>
      <w:r w:rsidRPr="00AA4AD7">
        <w:rPr>
          <w:sz w:val="24"/>
          <w:szCs w:val="24"/>
        </w:rPr>
        <w:t xml:space="preserve"> metaboliske </w:t>
      </w:r>
      <w:proofErr w:type="spellStart"/>
      <w:r w:rsidRPr="00AA4AD7">
        <w:rPr>
          <w:sz w:val="24"/>
          <w:szCs w:val="24"/>
        </w:rPr>
        <w:t>clearance</w:t>
      </w:r>
      <w:proofErr w:type="spellEnd"/>
      <w:r w:rsidRPr="00AA4AD7">
        <w:rPr>
          <w:sz w:val="24"/>
          <w:szCs w:val="24"/>
        </w:rPr>
        <w:t>, hvilket resulterer i nedsatte niveauer i blodet og nedsat fysiologisk aktivitet. Det kan være nødvendigt at justere dosis.</w:t>
      </w:r>
    </w:p>
    <w:p w14:paraId="6AB59A0E" w14:textId="77777777" w:rsidR="00C73700" w:rsidRPr="00AA4AD7" w:rsidRDefault="00C73700" w:rsidP="00C70C18">
      <w:pPr>
        <w:ind w:left="851"/>
        <w:rPr>
          <w:sz w:val="24"/>
          <w:szCs w:val="24"/>
        </w:rPr>
      </w:pPr>
    </w:p>
    <w:p w14:paraId="53E3FD0D" w14:textId="77777777" w:rsidR="00C73700" w:rsidRPr="00AA4AD7" w:rsidRDefault="00C73700" w:rsidP="00C70C18">
      <w:pPr>
        <w:ind w:left="851"/>
        <w:rPr>
          <w:sz w:val="24"/>
          <w:szCs w:val="24"/>
          <w:u w:val="single"/>
        </w:rPr>
      </w:pPr>
      <w:r w:rsidRPr="00AA4AD7">
        <w:rPr>
          <w:sz w:val="24"/>
          <w:szCs w:val="24"/>
          <w:u w:val="single"/>
        </w:rPr>
        <w:t>CYP3A4-hæmmere</w:t>
      </w:r>
    </w:p>
    <w:p w14:paraId="6C6FC020" w14:textId="4DB1DA9B" w:rsidR="00C73700" w:rsidRPr="00AA4AD7" w:rsidRDefault="00C73700" w:rsidP="00C70C18">
      <w:pPr>
        <w:ind w:left="851"/>
        <w:rPr>
          <w:sz w:val="24"/>
          <w:szCs w:val="24"/>
        </w:rPr>
      </w:pPr>
      <w:r w:rsidRPr="00AA4AD7">
        <w:rPr>
          <w:sz w:val="24"/>
          <w:szCs w:val="24"/>
        </w:rPr>
        <w:t xml:space="preserve">CYP3A4-hæmmere (herunder </w:t>
      </w:r>
      <w:proofErr w:type="spellStart"/>
      <w:r w:rsidRPr="00AA4AD7">
        <w:rPr>
          <w:sz w:val="24"/>
          <w:szCs w:val="24"/>
        </w:rPr>
        <w:t>ketoconazol</w:t>
      </w:r>
      <w:proofErr w:type="spellEnd"/>
      <w:r w:rsidRPr="00AA4AD7">
        <w:rPr>
          <w:sz w:val="24"/>
          <w:szCs w:val="24"/>
        </w:rPr>
        <w:t xml:space="preserve">, </w:t>
      </w:r>
      <w:proofErr w:type="spellStart"/>
      <w:r w:rsidRPr="00AA4AD7">
        <w:rPr>
          <w:sz w:val="24"/>
          <w:szCs w:val="24"/>
        </w:rPr>
        <w:t>itraconazol</w:t>
      </w:r>
      <w:proofErr w:type="spellEnd"/>
      <w:r w:rsidRPr="00AA4AD7">
        <w:rPr>
          <w:sz w:val="24"/>
          <w:szCs w:val="24"/>
        </w:rPr>
        <w:t xml:space="preserve"> og </w:t>
      </w:r>
      <w:proofErr w:type="spellStart"/>
      <w:r w:rsidRPr="00AA4AD7">
        <w:rPr>
          <w:sz w:val="24"/>
          <w:szCs w:val="24"/>
        </w:rPr>
        <w:t>cobicistat</w:t>
      </w:r>
      <w:proofErr w:type="spellEnd"/>
      <w:r w:rsidRPr="00AA4AD7">
        <w:rPr>
          <w:sz w:val="24"/>
          <w:szCs w:val="24"/>
        </w:rPr>
        <w:t xml:space="preserve">) kan reducere </w:t>
      </w:r>
      <w:proofErr w:type="spellStart"/>
      <w:r w:rsidRPr="00AA4AD7">
        <w:rPr>
          <w:sz w:val="24"/>
          <w:szCs w:val="24"/>
        </w:rPr>
        <w:t>dexametasons</w:t>
      </w:r>
      <w:proofErr w:type="spellEnd"/>
      <w:r w:rsidRPr="00AA4AD7">
        <w:rPr>
          <w:sz w:val="24"/>
          <w:szCs w:val="24"/>
        </w:rPr>
        <w:t xml:space="preserve"> </w:t>
      </w:r>
      <w:proofErr w:type="spellStart"/>
      <w:r w:rsidRPr="00AA4AD7">
        <w:rPr>
          <w:sz w:val="24"/>
          <w:szCs w:val="24"/>
        </w:rPr>
        <w:t>clearance</w:t>
      </w:r>
      <w:proofErr w:type="spellEnd"/>
      <w:r w:rsidRPr="00AA4AD7">
        <w:rPr>
          <w:sz w:val="24"/>
          <w:szCs w:val="24"/>
        </w:rPr>
        <w:t>, hvilket kan føre til en øget virkning og binyrebark</w:t>
      </w:r>
      <w:r w:rsidR="00AE43B7">
        <w:rPr>
          <w:sz w:val="24"/>
          <w:szCs w:val="24"/>
        </w:rPr>
        <w:softHyphen/>
      </w:r>
      <w:r w:rsidRPr="00AA4AD7">
        <w:rPr>
          <w:sz w:val="24"/>
          <w:szCs w:val="24"/>
        </w:rPr>
        <w:t>suppression/</w:t>
      </w:r>
      <w:proofErr w:type="spellStart"/>
      <w:r w:rsidRPr="00AA4AD7">
        <w:rPr>
          <w:sz w:val="24"/>
          <w:szCs w:val="24"/>
        </w:rPr>
        <w:t>Cushings</w:t>
      </w:r>
      <w:proofErr w:type="spellEnd"/>
      <w:r w:rsidRPr="00AA4AD7">
        <w:rPr>
          <w:sz w:val="24"/>
          <w:szCs w:val="24"/>
        </w:rPr>
        <w:t xml:space="preserve"> syndrom. Kombinationen skal undgås, medmindre fordelene opvejer den øgede risiko for systemiske </w:t>
      </w:r>
      <w:proofErr w:type="spellStart"/>
      <w:r w:rsidRPr="00AA4AD7">
        <w:rPr>
          <w:sz w:val="24"/>
          <w:szCs w:val="24"/>
        </w:rPr>
        <w:t>kortikosteroid</w:t>
      </w:r>
      <w:proofErr w:type="spellEnd"/>
      <w:r w:rsidRPr="00AA4AD7">
        <w:rPr>
          <w:sz w:val="24"/>
          <w:szCs w:val="24"/>
        </w:rPr>
        <w:t xml:space="preserve">-bivirkninger. I dette tilfælde skal patienten overvåges for systemiske </w:t>
      </w:r>
      <w:proofErr w:type="spellStart"/>
      <w:r w:rsidRPr="00AA4AD7">
        <w:rPr>
          <w:sz w:val="24"/>
          <w:szCs w:val="24"/>
        </w:rPr>
        <w:t>kortikosteroid</w:t>
      </w:r>
      <w:proofErr w:type="spellEnd"/>
      <w:r w:rsidRPr="00AA4AD7">
        <w:rPr>
          <w:sz w:val="24"/>
          <w:szCs w:val="24"/>
        </w:rPr>
        <w:t xml:space="preserve"> effekter.</w:t>
      </w:r>
    </w:p>
    <w:p w14:paraId="162A74C1" w14:textId="12BFC86D" w:rsidR="00AE43B7" w:rsidRDefault="00AE43B7">
      <w:pPr>
        <w:rPr>
          <w:sz w:val="24"/>
          <w:szCs w:val="24"/>
          <w:lang w:val="sv-SE"/>
        </w:rPr>
      </w:pPr>
      <w:r>
        <w:rPr>
          <w:sz w:val="24"/>
          <w:szCs w:val="24"/>
          <w:lang w:val="sv-SE"/>
        </w:rPr>
        <w:br w:type="page"/>
      </w:r>
    </w:p>
    <w:p w14:paraId="6278C1DB" w14:textId="77777777" w:rsidR="00C73700" w:rsidRPr="00AA4AD7" w:rsidRDefault="00C73700" w:rsidP="00C70C18">
      <w:pPr>
        <w:ind w:left="851"/>
        <w:rPr>
          <w:sz w:val="24"/>
          <w:szCs w:val="24"/>
          <w:lang w:val="sv-SE"/>
        </w:rPr>
      </w:pPr>
    </w:p>
    <w:p w14:paraId="75CDBD98" w14:textId="77777777" w:rsidR="00C73700" w:rsidRPr="00AA4AD7" w:rsidRDefault="00C73700" w:rsidP="00C70C18">
      <w:pPr>
        <w:ind w:left="851"/>
        <w:rPr>
          <w:sz w:val="24"/>
          <w:szCs w:val="24"/>
          <w:u w:val="single"/>
        </w:rPr>
      </w:pPr>
      <w:proofErr w:type="spellStart"/>
      <w:r w:rsidRPr="00AA4AD7">
        <w:rPr>
          <w:sz w:val="24"/>
          <w:szCs w:val="24"/>
          <w:u w:val="single"/>
        </w:rPr>
        <w:t>Antidiabetika</w:t>
      </w:r>
      <w:proofErr w:type="spellEnd"/>
    </w:p>
    <w:p w14:paraId="70EF53DF" w14:textId="77777777" w:rsidR="00C73700" w:rsidRPr="00AA4AD7" w:rsidRDefault="00C73700" w:rsidP="00C70C18">
      <w:pPr>
        <w:ind w:left="851"/>
        <w:rPr>
          <w:sz w:val="24"/>
          <w:szCs w:val="24"/>
        </w:rPr>
      </w:pPr>
      <w:r w:rsidRPr="00AA4AD7">
        <w:rPr>
          <w:sz w:val="24"/>
          <w:szCs w:val="24"/>
        </w:rPr>
        <w:t xml:space="preserve">Den ønskede virkning ved hypoglykæmiske stoffer (herunder insulin) modvirkes af </w:t>
      </w:r>
      <w:proofErr w:type="spellStart"/>
      <w:r w:rsidRPr="00AA4AD7">
        <w:rPr>
          <w:sz w:val="24"/>
          <w:szCs w:val="24"/>
        </w:rPr>
        <w:t>kortikosteroider</w:t>
      </w:r>
      <w:proofErr w:type="spellEnd"/>
      <w:r w:rsidRPr="00AA4AD7">
        <w:rPr>
          <w:sz w:val="24"/>
          <w:szCs w:val="24"/>
        </w:rPr>
        <w:t>.</w:t>
      </w:r>
    </w:p>
    <w:p w14:paraId="28718255" w14:textId="77777777" w:rsidR="00C73700" w:rsidRPr="00AA4AD7" w:rsidRDefault="00C73700" w:rsidP="00C70C18">
      <w:pPr>
        <w:ind w:left="851"/>
        <w:rPr>
          <w:sz w:val="24"/>
          <w:szCs w:val="24"/>
          <w:lang w:val="sv-SE"/>
        </w:rPr>
      </w:pPr>
    </w:p>
    <w:p w14:paraId="25A1B525" w14:textId="77777777" w:rsidR="00C73700" w:rsidRPr="00AA4AD7" w:rsidRDefault="00C73700" w:rsidP="00C70C18">
      <w:pPr>
        <w:ind w:left="851"/>
        <w:rPr>
          <w:rFonts w:eastAsiaTheme="minorHAnsi"/>
          <w:sz w:val="24"/>
          <w:szCs w:val="24"/>
          <w:u w:val="single"/>
        </w:rPr>
      </w:pPr>
      <w:proofErr w:type="spellStart"/>
      <w:r w:rsidRPr="00AA4AD7">
        <w:rPr>
          <w:sz w:val="24"/>
          <w:szCs w:val="24"/>
          <w:u w:val="single"/>
        </w:rPr>
        <w:t>Efedrin</w:t>
      </w:r>
      <w:proofErr w:type="spellEnd"/>
    </w:p>
    <w:p w14:paraId="47AF241B" w14:textId="77777777" w:rsidR="00C73700" w:rsidRPr="00AA4AD7" w:rsidRDefault="00C73700" w:rsidP="00C70C18">
      <w:pPr>
        <w:ind w:left="851"/>
        <w:rPr>
          <w:sz w:val="24"/>
          <w:szCs w:val="24"/>
        </w:rPr>
      </w:pPr>
      <w:proofErr w:type="spellStart"/>
      <w:r w:rsidRPr="00AA4AD7">
        <w:rPr>
          <w:sz w:val="24"/>
          <w:szCs w:val="24"/>
        </w:rPr>
        <w:t>Efedrin</w:t>
      </w:r>
      <w:proofErr w:type="spellEnd"/>
      <w:r w:rsidRPr="00AA4AD7">
        <w:rPr>
          <w:sz w:val="24"/>
          <w:szCs w:val="24"/>
        </w:rPr>
        <w:t xml:space="preserve"> kan øge </w:t>
      </w:r>
      <w:proofErr w:type="spellStart"/>
      <w:r w:rsidRPr="00AA4AD7">
        <w:rPr>
          <w:sz w:val="24"/>
          <w:szCs w:val="24"/>
        </w:rPr>
        <w:t>glukokortikoiders</w:t>
      </w:r>
      <w:proofErr w:type="spellEnd"/>
      <w:r w:rsidRPr="00AA4AD7">
        <w:rPr>
          <w:sz w:val="24"/>
          <w:szCs w:val="24"/>
        </w:rPr>
        <w:t xml:space="preserve"> </w:t>
      </w:r>
      <w:proofErr w:type="spellStart"/>
      <w:r w:rsidRPr="00AA4AD7">
        <w:rPr>
          <w:sz w:val="24"/>
          <w:szCs w:val="24"/>
        </w:rPr>
        <w:t>metabolisering</w:t>
      </w:r>
      <w:proofErr w:type="spellEnd"/>
      <w:r w:rsidRPr="00AA4AD7">
        <w:rPr>
          <w:sz w:val="24"/>
          <w:szCs w:val="24"/>
        </w:rPr>
        <w:t xml:space="preserve"> og dermed reducere deres virkning.</w:t>
      </w:r>
    </w:p>
    <w:p w14:paraId="25090D95" w14:textId="77777777" w:rsidR="00C73700" w:rsidRPr="00AA4AD7" w:rsidRDefault="00C73700" w:rsidP="00C70C18">
      <w:pPr>
        <w:ind w:left="851"/>
        <w:rPr>
          <w:rFonts w:eastAsiaTheme="minorHAnsi"/>
          <w:i/>
          <w:sz w:val="24"/>
          <w:szCs w:val="24"/>
          <w:lang w:val="sv-SE"/>
        </w:rPr>
      </w:pPr>
    </w:p>
    <w:p w14:paraId="675AC493" w14:textId="77777777" w:rsidR="00C73700" w:rsidRPr="00AA4AD7" w:rsidRDefault="00C73700" w:rsidP="00C70C18">
      <w:pPr>
        <w:ind w:left="851"/>
        <w:rPr>
          <w:rFonts w:eastAsiaTheme="minorHAnsi"/>
          <w:sz w:val="24"/>
          <w:szCs w:val="24"/>
          <w:u w:val="single"/>
        </w:rPr>
      </w:pPr>
      <w:r w:rsidRPr="00AA4AD7">
        <w:rPr>
          <w:sz w:val="24"/>
          <w:szCs w:val="24"/>
          <w:u w:val="single"/>
        </w:rPr>
        <w:t>Hjerteglykosider</w:t>
      </w:r>
    </w:p>
    <w:p w14:paraId="20342521" w14:textId="77777777" w:rsidR="00C73700" w:rsidRPr="00AA4AD7" w:rsidRDefault="00C73700" w:rsidP="00C70C18">
      <w:pPr>
        <w:ind w:left="851"/>
        <w:rPr>
          <w:sz w:val="24"/>
          <w:szCs w:val="24"/>
        </w:rPr>
      </w:pPr>
      <w:proofErr w:type="spellStart"/>
      <w:r w:rsidRPr="00AA4AD7">
        <w:rPr>
          <w:sz w:val="24"/>
          <w:szCs w:val="24"/>
        </w:rPr>
        <w:t>Digoxin</w:t>
      </w:r>
      <w:proofErr w:type="spellEnd"/>
      <w:r w:rsidRPr="00AA4AD7">
        <w:rPr>
          <w:sz w:val="24"/>
          <w:szCs w:val="24"/>
        </w:rPr>
        <w:t xml:space="preserve"> (hjerteglykosider) toksicitet kan blive fremskyndet af </w:t>
      </w:r>
      <w:proofErr w:type="spellStart"/>
      <w:r w:rsidRPr="00AA4AD7">
        <w:rPr>
          <w:sz w:val="24"/>
          <w:szCs w:val="24"/>
        </w:rPr>
        <w:t>kortikosteroider</w:t>
      </w:r>
      <w:proofErr w:type="spellEnd"/>
      <w:r w:rsidRPr="00AA4AD7">
        <w:rPr>
          <w:sz w:val="24"/>
          <w:szCs w:val="24"/>
        </w:rPr>
        <w:t xml:space="preserve"> via virkningen på elektrolytubalancen (kaliummangel).</w:t>
      </w:r>
    </w:p>
    <w:p w14:paraId="0B8121C8" w14:textId="77777777" w:rsidR="00C73700" w:rsidRPr="00AA4AD7" w:rsidRDefault="00C73700" w:rsidP="00C70C18">
      <w:pPr>
        <w:ind w:left="851"/>
        <w:rPr>
          <w:sz w:val="24"/>
          <w:szCs w:val="24"/>
          <w:lang w:val="sv-SE"/>
        </w:rPr>
      </w:pPr>
    </w:p>
    <w:p w14:paraId="73F9B15F" w14:textId="77777777" w:rsidR="00C73700" w:rsidRPr="00AA4AD7" w:rsidRDefault="00C73700" w:rsidP="00C70C18">
      <w:pPr>
        <w:ind w:left="851"/>
        <w:rPr>
          <w:sz w:val="24"/>
          <w:szCs w:val="24"/>
          <w:u w:val="single"/>
        </w:rPr>
      </w:pPr>
      <w:r w:rsidRPr="00AA4AD7">
        <w:rPr>
          <w:sz w:val="24"/>
          <w:szCs w:val="24"/>
          <w:u w:val="single"/>
        </w:rPr>
        <w:t>Kalium-</w:t>
      </w:r>
      <w:proofErr w:type="spellStart"/>
      <w:r w:rsidRPr="00AA4AD7">
        <w:rPr>
          <w:sz w:val="24"/>
          <w:szCs w:val="24"/>
          <w:u w:val="single"/>
        </w:rPr>
        <w:t>depleterende</w:t>
      </w:r>
      <w:proofErr w:type="spellEnd"/>
      <w:r w:rsidRPr="00AA4AD7">
        <w:rPr>
          <w:sz w:val="24"/>
          <w:szCs w:val="24"/>
          <w:u w:val="single"/>
        </w:rPr>
        <w:t xml:space="preserve"> </w:t>
      </w:r>
      <w:proofErr w:type="spellStart"/>
      <w:r w:rsidRPr="00AA4AD7">
        <w:rPr>
          <w:sz w:val="24"/>
          <w:szCs w:val="24"/>
          <w:u w:val="single"/>
        </w:rPr>
        <w:t>diuretika</w:t>
      </w:r>
      <w:proofErr w:type="spellEnd"/>
      <w:r w:rsidRPr="00AA4AD7">
        <w:rPr>
          <w:sz w:val="24"/>
          <w:szCs w:val="24"/>
          <w:u w:val="single"/>
        </w:rPr>
        <w:t xml:space="preserve"> eller laksativer</w:t>
      </w:r>
    </w:p>
    <w:p w14:paraId="4D1680CC" w14:textId="77777777" w:rsidR="00C73700" w:rsidRPr="00AA4AD7" w:rsidRDefault="00C73700" w:rsidP="00C70C18">
      <w:pPr>
        <w:ind w:left="851"/>
        <w:rPr>
          <w:sz w:val="24"/>
          <w:szCs w:val="24"/>
        </w:rPr>
      </w:pPr>
      <w:r w:rsidRPr="00AA4AD7">
        <w:rPr>
          <w:sz w:val="24"/>
          <w:szCs w:val="24"/>
        </w:rPr>
        <w:t xml:space="preserve">Når </w:t>
      </w:r>
      <w:proofErr w:type="spellStart"/>
      <w:r w:rsidRPr="00AA4AD7">
        <w:rPr>
          <w:sz w:val="24"/>
          <w:szCs w:val="24"/>
        </w:rPr>
        <w:t>kortikosteroider</w:t>
      </w:r>
      <w:proofErr w:type="spellEnd"/>
      <w:r w:rsidRPr="00AA4AD7">
        <w:rPr>
          <w:sz w:val="24"/>
          <w:szCs w:val="24"/>
        </w:rPr>
        <w:t xml:space="preserve"> administreres samtidigt med kalium-</w:t>
      </w:r>
      <w:proofErr w:type="spellStart"/>
      <w:r w:rsidRPr="00AA4AD7">
        <w:rPr>
          <w:sz w:val="24"/>
          <w:szCs w:val="24"/>
        </w:rPr>
        <w:t>depleterende</w:t>
      </w:r>
      <w:proofErr w:type="spellEnd"/>
      <w:r w:rsidRPr="00AA4AD7">
        <w:rPr>
          <w:sz w:val="24"/>
          <w:szCs w:val="24"/>
        </w:rPr>
        <w:t xml:space="preserve"> </w:t>
      </w:r>
      <w:proofErr w:type="spellStart"/>
      <w:r w:rsidRPr="00AA4AD7">
        <w:rPr>
          <w:sz w:val="24"/>
          <w:szCs w:val="24"/>
        </w:rPr>
        <w:t>diuretika</w:t>
      </w:r>
      <w:proofErr w:type="spellEnd"/>
      <w:r w:rsidRPr="00AA4AD7">
        <w:rPr>
          <w:sz w:val="24"/>
          <w:szCs w:val="24"/>
        </w:rPr>
        <w:t xml:space="preserve"> eller laksativer, skal patienten overvåges nøje for udvikling af </w:t>
      </w:r>
      <w:proofErr w:type="spellStart"/>
      <w:r w:rsidRPr="00AA4AD7">
        <w:rPr>
          <w:sz w:val="24"/>
          <w:szCs w:val="24"/>
        </w:rPr>
        <w:t>hypokaliæmi</w:t>
      </w:r>
      <w:proofErr w:type="spellEnd"/>
      <w:r w:rsidRPr="00AA4AD7">
        <w:rPr>
          <w:sz w:val="24"/>
          <w:szCs w:val="24"/>
        </w:rPr>
        <w:t xml:space="preserve"> på grund af øget kaliumudskillelse.</w:t>
      </w:r>
    </w:p>
    <w:p w14:paraId="7357F28A" w14:textId="77777777" w:rsidR="00C73700" w:rsidRPr="00AA4AD7" w:rsidRDefault="00C73700" w:rsidP="00C70C18">
      <w:pPr>
        <w:ind w:left="851"/>
        <w:rPr>
          <w:sz w:val="24"/>
          <w:szCs w:val="24"/>
          <w:lang w:val="sv-SE"/>
        </w:rPr>
      </w:pPr>
    </w:p>
    <w:p w14:paraId="10008F92" w14:textId="77777777" w:rsidR="00C73700" w:rsidRPr="00AA4AD7" w:rsidRDefault="00C73700" w:rsidP="00C70C18">
      <w:pPr>
        <w:ind w:left="851"/>
        <w:rPr>
          <w:sz w:val="24"/>
          <w:szCs w:val="24"/>
          <w:u w:val="single"/>
        </w:rPr>
      </w:pPr>
      <w:proofErr w:type="spellStart"/>
      <w:r w:rsidRPr="00AA4AD7">
        <w:rPr>
          <w:sz w:val="24"/>
          <w:szCs w:val="24"/>
          <w:u w:val="single"/>
        </w:rPr>
        <w:t>Coumarin-antikoagulantia</w:t>
      </w:r>
      <w:proofErr w:type="spellEnd"/>
    </w:p>
    <w:p w14:paraId="00909C33" w14:textId="77777777" w:rsidR="00C73700" w:rsidRPr="00AA4AD7" w:rsidRDefault="00C73700" w:rsidP="00C70C18">
      <w:pPr>
        <w:ind w:left="851"/>
        <w:rPr>
          <w:sz w:val="24"/>
          <w:szCs w:val="24"/>
        </w:rPr>
      </w:pPr>
      <w:r w:rsidRPr="00AA4AD7">
        <w:rPr>
          <w:sz w:val="24"/>
          <w:szCs w:val="24"/>
        </w:rPr>
        <w:t xml:space="preserve">Virkningen af </w:t>
      </w:r>
      <w:proofErr w:type="spellStart"/>
      <w:r w:rsidRPr="00AA4AD7">
        <w:rPr>
          <w:sz w:val="24"/>
          <w:szCs w:val="24"/>
        </w:rPr>
        <w:t>coumarin-antikoagulantia</w:t>
      </w:r>
      <w:proofErr w:type="spellEnd"/>
      <w:r w:rsidRPr="00AA4AD7">
        <w:rPr>
          <w:sz w:val="24"/>
          <w:szCs w:val="24"/>
        </w:rPr>
        <w:t xml:space="preserve"> kan blive ændret ved samtidig behandling med </w:t>
      </w:r>
      <w:proofErr w:type="spellStart"/>
      <w:r w:rsidRPr="00AA4AD7">
        <w:rPr>
          <w:sz w:val="24"/>
          <w:szCs w:val="24"/>
        </w:rPr>
        <w:t>kortikosteroider</w:t>
      </w:r>
      <w:proofErr w:type="spellEnd"/>
      <w:r w:rsidRPr="00AA4AD7">
        <w:rPr>
          <w:sz w:val="24"/>
          <w:szCs w:val="24"/>
        </w:rPr>
        <w:t xml:space="preserve">. </w:t>
      </w:r>
      <w:proofErr w:type="spellStart"/>
      <w:r w:rsidRPr="00AA4AD7">
        <w:rPr>
          <w:sz w:val="24"/>
          <w:szCs w:val="24"/>
        </w:rPr>
        <w:t>Protrombintid</w:t>
      </w:r>
      <w:proofErr w:type="spellEnd"/>
      <w:r w:rsidRPr="00AA4AD7">
        <w:rPr>
          <w:sz w:val="24"/>
          <w:szCs w:val="24"/>
        </w:rPr>
        <w:t xml:space="preserve"> skal kontrolleres hyppigt hos patienter, som får </w:t>
      </w:r>
      <w:proofErr w:type="spellStart"/>
      <w:r w:rsidRPr="00AA4AD7">
        <w:rPr>
          <w:sz w:val="24"/>
          <w:szCs w:val="24"/>
        </w:rPr>
        <w:t>kortikosteroider</w:t>
      </w:r>
      <w:proofErr w:type="spellEnd"/>
      <w:r w:rsidRPr="00AA4AD7">
        <w:rPr>
          <w:sz w:val="24"/>
          <w:szCs w:val="24"/>
        </w:rPr>
        <w:t xml:space="preserve"> og </w:t>
      </w:r>
      <w:proofErr w:type="spellStart"/>
      <w:r w:rsidRPr="00AA4AD7">
        <w:rPr>
          <w:sz w:val="24"/>
          <w:szCs w:val="24"/>
        </w:rPr>
        <w:t>coumarin-antikoagulantia</w:t>
      </w:r>
      <w:proofErr w:type="spellEnd"/>
      <w:r w:rsidRPr="00AA4AD7">
        <w:rPr>
          <w:sz w:val="24"/>
          <w:szCs w:val="24"/>
        </w:rPr>
        <w:t xml:space="preserve"> på samme tid, for at undgå spontane blødninger. Det kan være nødvendigt at justere dosis af </w:t>
      </w:r>
      <w:proofErr w:type="spellStart"/>
      <w:r w:rsidRPr="00AA4AD7">
        <w:rPr>
          <w:sz w:val="24"/>
          <w:szCs w:val="24"/>
        </w:rPr>
        <w:t>antikoagulanten</w:t>
      </w:r>
      <w:proofErr w:type="spellEnd"/>
      <w:r w:rsidRPr="00AA4AD7">
        <w:rPr>
          <w:sz w:val="24"/>
          <w:szCs w:val="24"/>
        </w:rPr>
        <w:t xml:space="preserve"> i tilfælde af samtidig brug.</w:t>
      </w:r>
    </w:p>
    <w:p w14:paraId="46C500EE" w14:textId="77777777" w:rsidR="00C73700" w:rsidRPr="00AA4AD7" w:rsidRDefault="00C73700" w:rsidP="00C70C18">
      <w:pPr>
        <w:ind w:left="851"/>
        <w:rPr>
          <w:sz w:val="24"/>
          <w:szCs w:val="24"/>
          <w:lang w:val="sv-SE"/>
        </w:rPr>
      </w:pPr>
    </w:p>
    <w:p w14:paraId="0EC19158" w14:textId="77777777" w:rsidR="00C73700" w:rsidRPr="00AA4AD7" w:rsidRDefault="00C73700" w:rsidP="00C70C18">
      <w:pPr>
        <w:ind w:left="851"/>
        <w:rPr>
          <w:rFonts w:eastAsiaTheme="minorHAnsi"/>
          <w:sz w:val="24"/>
          <w:szCs w:val="24"/>
          <w:u w:val="single"/>
        </w:rPr>
      </w:pPr>
      <w:r w:rsidRPr="00AA4AD7">
        <w:rPr>
          <w:sz w:val="24"/>
          <w:szCs w:val="24"/>
          <w:u w:val="single"/>
        </w:rPr>
        <w:t xml:space="preserve">Atropin eller andre </w:t>
      </w:r>
      <w:proofErr w:type="spellStart"/>
      <w:r w:rsidRPr="00AA4AD7">
        <w:rPr>
          <w:sz w:val="24"/>
          <w:szCs w:val="24"/>
          <w:u w:val="single"/>
        </w:rPr>
        <w:t>antikolinergika</w:t>
      </w:r>
      <w:proofErr w:type="spellEnd"/>
    </w:p>
    <w:p w14:paraId="32F1849B" w14:textId="77777777" w:rsidR="00C73700" w:rsidRPr="00AA4AD7" w:rsidRDefault="00C73700" w:rsidP="00C70C18">
      <w:pPr>
        <w:ind w:left="851"/>
        <w:rPr>
          <w:sz w:val="24"/>
          <w:szCs w:val="24"/>
        </w:rPr>
      </w:pPr>
      <w:r w:rsidRPr="00AA4AD7">
        <w:rPr>
          <w:sz w:val="24"/>
          <w:szCs w:val="24"/>
        </w:rPr>
        <w:t xml:space="preserve">Ved samtidig brug af </w:t>
      </w:r>
      <w:proofErr w:type="spellStart"/>
      <w:r w:rsidRPr="00AA4AD7">
        <w:rPr>
          <w:sz w:val="24"/>
          <w:szCs w:val="24"/>
        </w:rPr>
        <w:t>glukokortikoider</w:t>
      </w:r>
      <w:proofErr w:type="spellEnd"/>
      <w:r w:rsidRPr="00AA4AD7">
        <w:rPr>
          <w:sz w:val="24"/>
          <w:szCs w:val="24"/>
        </w:rPr>
        <w:t xml:space="preserve"> og atropin eller andre </w:t>
      </w:r>
      <w:proofErr w:type="spellStart"/>
      <w:r w:rsidRPr="00AA4AD7">
        <w:rPr>
          <w:sz w:val="24"/>
          <w:szCs w:val="24"/>
        </w:rPr>
        <w:t>antikolinergika</w:t>
      </w:r>
      <w:proofErr w:type="spellEnd"/>
      <w:r w:rsidRPr="00AA4AD7">
        <w:rPr>
          <w:sz w:val="24"/>
          <w:szCs w:val="24"/>
        </w:rPr>
        <w:t xml:space="preserve"> kan det </w:t>
      </w:r>
      <w:proofErr w:type="spellStart"/>
      <w:r w:rsidRPr="00AA4AD7">
        <w:rPr>
          <w:sz w:val="24"/>
          <w:szCs w:val="24"/>
        </w:rPr>
        <w:t>intraokulære</w:t>
      </w:r>
      <w:proofErr w:type="spellEnd"/>
      <w:r w:rsidRPr="00AA4AD7">
        <w:rPr>
          <w:sz w:val="24"/>
          <w:szCs w:val="24"/>
        </w:rPr>
        <w:t xml:space="preserve"> tryk blive forøget.</w:t>
      </w:r>
    </w:p>
    <w:p w14:paraId="76790B84" w14:textId="77777777" w:rsidR="00C73700" w:rsidRPr="00AA4AD7" w:rsidRDefault="00C73700" w:rsidP="00C70C18">
      <w:pPr>
        <w:ind w:left="851"/>
        <w:rPr>
          <w:sz w:val="24"/>
          <w:szCs w:val="24"/>
          <w:lang w:val="sv-SE"/>
        </w:rPr>
      </w:pPr>
    </w:p>
    <w:p w14:paraId="1CBBC5A9" w14:textId="77777777" w:rsidR="00C73700" w:rsidRPr="00AA4AD7" w:rsidRDefault="00C73700" w:rsidP="00C70C18">
      <w:pPr>
        <w:ind w:left="851"/>
        <w:rPr>
          <w:sz w:val="24"/>
          <w:szCs w:val="24"/>
          <w:u w:val="single"/>
        </w:rPr>
      </w:pPr>
      <w:r w:rsidRPr="00AA4AD7">
        <w:rPr>
          <w:sz w:val="24"/>
          <w:szCs w:val="24"/>
          <w:u w:val="single"/>
        </w:rPr>
        <w:t>Non</w:t>
      </w:r>
      <w:r w:rsidRPr="00AA4AD7">
        <w:rPr>
          <w:sz w:val="24"/>
          <w:szCs w:val="24"/>
          <w:u w:val="single"/>
        </w:rPr>
        <w:noBreakHyphen/>
      </w:r>
      <w:proofErr w:type="spellStart"/>
      <w:r w:rsidRPr="00AA4AD7">
        <w:rPr>
          <w:sz w:val="24"/>
          <w:szCs w:val="24"/>
          <w:u w:val="single"/>
        </w:rPr>
        <w:t>depolariserende</w:t>
      </w:r>
      <w:proofErr w:type="spellEnd"/>
      <w:r w:rsidRPr="00AA4AD7">
        <w:rPr>
          <w:sz w:val="24"/>
          <w:szCs w:val="24"/>
          <w:u w:val="single"/>
        </w:rPr>
        <w:t xml:space="preserve"> </w:t>
      </w:r>
      <w:proofErr w:type="spellStart"/>
      <w:r w:rsidRPr="00AA4AD7">
        <w:rPr>
          <w:sz w:val="24"/>
          <w:szCs w:val="24"/>
          <w:u w:val="single"/>
        </w:rPr>
        <w:t>muskelrelaksantia</w:t>
      </w:r>
      <w:proofErr w:type="spellEnd"/>
    </w:p>
    <w:p w14:paraId="6A9A9DDD" w14:textId="77777777" w:rsidR="00C73700" w:rsidRPr="00AA4AD7" w:rsidRDefault="00C73700" w:rsidP="00C70C18">
      <w:pPr>
        <w:ind w:left="851"/>
        <w:rPr>
          <w:sz w:val="24"/>
          <w:szCs w:val="24"/>
        </w:rPr>
      </w:pPr>
      <w:r w:rsidRPr="00AA4AD7">
        <w:rPr>
          <w:sz w:val="24"/>
          <w:szCs w:val="24"/>
        </w:rPr>
        <w:t>Forlænget muskelrelaksation kan forekomme, hvis der bruges non</w:t>
      </w:r>
      <w:r w:rsidRPr="00AA4AD7">
        <w:rPr>
          <w:sz w:val="24"/>
          <w:szCs w:val="24"/>
        </w:rPr>
        <w:noBreakHyphen/>
      </w:r>
      <w:proofErr w:type="spellStart"/>
      <w:r w:rsidRPr="00AA4AD7">
        <w:rPr>
          <w:sz w:val="24"/>
          <w:szCs w:val="24"/>
        </w:rPr>
        <w:t>depolariserende</w:t>
      </w:r>
      <w:proofErr w:type="spellEnd"/>
      <w:r w:rsidRPr="00AA4AD7">
        <w:rPr>
          <w:sz w:val="24"/>
          <w:szCs w:val="24"/>
        </w:rPr>
        <w:t xml:space="preserve"> </w:t>
      </w:r>
      <w:proofErr w:type="spellStart"/>
      <w:r w:rsidRPr="00AA4AD7">
        <w:rPr>
          <w:sz w:val="24"/>
          <w:szCs w:val="24"/>
        </w:rPr>
        <w:t>muskelrelaksantia</w:t>
      </w:r>
      <w:proofErr w:type="spellEnd"/>
      <w:r w:rsidRPr="00AA4AD7">
        <w:rPr>
          <w:sz w:val="24"/>
          <w:szCs w:val="24"/>
        </w:rPr>
        <w:t xml:space="preserve"> samtidigt med </w:t>
      </w:r>
      <w:proofErr w:type="spellStart"/>
      <w:r w:rsidRPr="00AA4AD7">
        <w:rPr>
          <w:sz w:val="24"/>
          <w:szCs w:val="24"/>
        </w:rPr>
        <w:t>glukokortikoider</w:t>
      </w:r>
      <w:proofErr w:type="spellEnd"/>
      <w:r w:rsidRPr="00AA4AD7">
        <w:rPr>
          <w:sz w:val="24"/>
          <w:szCs w:val="24"/>
        </w:rPr>
        <w:t>.</w:t>
      </w:r>
    </w:p>
    <w:p w14:paraId="48A70D56" w14:textId="77777777" w:rsidR="00C73700" w:rsidRPr="00AA4AD7" w:rsidRDefault="00C73700" w:rsidP="00C70C18">
      <w:pPr>
        <w:ind w:left="851"/>
        <w:rPr>
          <w:sz w:val="24"/>
          <w:szCs w:val="24"/>
          <w:lang w:val="sv-SE"/>
        </w:rPr>
      </w:pPr>
    </w:p>
    <w:p w14:paraId="4BB78537" w14:textId="77777777" w:rsidR="00C73700" w:rsidRPr="00AA4AD7" w:rsidRDefault="00C73700" w:rsidP="00C70C18">
      <w:pPr>
        <w:ind w:left="851"/>
        <w:rPr>
          <w:sz w:val="24"/>
          <w:szCs w:val="24"/>
          <w:u w:val="single"/>
        </w:rPr>
      </w:pPr>
      <w:proofErr w:type="spellStart"/>
      <w:r w:rsidRPr="00AA4AD7">
        <w:rPr>
          <w:sz w:val="24"/>
          <w:szCs w:val="24"/>
          <w:u w:val="single"/>
        </w:rPr>
        <w:t>Praziquantel</w:t>
      </w:r>
      <w:proofErr w:type="spellEnd"/>
    </w:p>
    <w:p w14:paraId="5A7E7B2D" w14:textId="77777777" w:rsidR="00C73700" w:rsidRPr="00AA4AD7" w:rsidRDefault="00C73700" w:rsidP="00C70C18">
      <w:pPr>
        <w:ind w:left="851"/>
        <w:rPr>
          <w:sz w:val="24"/>
          <w:szCs w:val="24"/>
        </w:rPr>
      </w:pPr>
      <w:proofErr w:type="spellStart"/>
      <w:r w:rsidRPr="00AA4AD7">
        <w:rPr>
          <w:sz w:val="24"/>
          <w:szCs w:val="24"/>
        </w:rPr>
        <w:t>Kortikosteroider</w:t>
      </w:r>
      <w:proofErr w:type="spellEnd"/>
      <w:r w:rsidRPr="00AA4AD7">
        <w:rPr>
          <w:sz w:val="24"/>
          <w:szCs w:val="24"/>
        </w:rPr>
        <w:t xml:space="preserve"> kan reducere koncentrationen af </w:t>
      </w:r>
      <w:proofErr w:type="spellStart"/>
      <w:r w:rsidRPr="00AA4AD7">
        <w:rPr>
          <w:sz w:val="24"/>
          <w:szCs w:val="24"/>
        </w:rPr>
        <w:t>praziquantel</w:t>
      </w:r>
      <w:proofErr w:type="spellEnd"/>
      <w:r w:rsidRPr="00AA4AD7">
        <w:rPr>
          <w:sz w:val="24"/>
          <w:szCs w:val="24"/>
        </w:rPr>
        <w:t xml:space="preserve"> i blodet.</w:t>
      </w:r>
    </w:p>
    <w:p w14:paraId="41485247" w14:textId="77777777" w:rsidR="00C73700" w:rsidRPr="00AA4AD7" w:rsidRDefault="00C73700" w:rsidP="00C70C18">
      <w:pPr>
        <w:ind w:left="851"/>
        <w:rPr>
          <w:sz w:val="24"/>
          <w:szCs w:val="24"/>
          <w:lang w:val="sv-SE"/>
        </w:rPr>
      </w:pPr>
    </w:p>
    <w:p w14:paraId="0E893AF9" w14:textId="77777777" w:rsidR="00C73700" w:rsidRPr="00AA4AD7" w:rsidRDefault="00C73700" w:rsidP="00C70C18">
      <w:pPr>
        <w:ind w:left="851"/>
        <w:rPr>
          <w:sz w:val="24"/>
          <w:szCs w:val="24"/>
          <w:u w:val="single"/>
        </w:rPr>
      </w:pPr>
      <w:proofErr w:type="spellStart"/>
      <w:r w:rsidRPr="00AA4AD7">
        <w:rPr>
          <w:sz w:val="24"/>
          <w:szCs w:val="24"/>
          <w:u w:val="single"/>
        </w:rPr>
        <w:t>Chloroquin</w:t>
      </w:r>
      <w:proofErr w:type="spellEnd"/>
      <w:r w:rsidRPr="00AA4AD7">
        <w:rPr>
          <w:sz w:val="24"/>
          <w:szCs w:val="24"/>
          <w:u w:val="single"/>
        </w:rPr>
        <w:t xml:space="preserve">, </w:t>
      </w:r>
      <w:proofErr w:type="spellStart"/>
      <w:r w:rsidRPr="00AA4AD7">
        <w:rPr>
          <w:sz w:val="24"/>
          <w:szCs w:val="24"/>
          <w:u w:val="single"/>
        </w:rPr>
        <w:t>hydroxychloroquin</w:t>
      </w:r>
      <w:proofErr w:type="spellEnd"/>
      <w:r w:rsidRPr="00AA4AD7">
        <w:rPr>
          <w:sz w:val="24"/>
          <w:szCs w:val="24"/>
          <w:u w:val="single"/>
        </w:rPr>
        <w:t xml:space="preserve"> og </w:t>
      </w:r>
      <w:proofErr w:type="spellStart"/>
      <w:r w:rsidRPr="00AA4AD7">
        <w:rPr>
          <w:sz w:val="24"/>
          <w:szCs w:val="24"/>
          <w:u w:val="single"/>
        </w:rPr>
        <w:t>mefloquin</w:t>
      </w:r>
      <w:proofErr w:type="spellEnd"/>
    </w:p>
    <w:p w14:paraId="41A81961" w14:textId="77777777" w:rsidR="00C73700" w:rsidRPr="00AA4AD7" w:rsidRDefault="00C73700" w:rsidP="00C70C18">
      <w:pPr>
        <w:ind w:left="851"/>
        <w:rPr>
          <w:sz w:val="24"/>
          <w:szCs w:val="24"/>
        </w:rPr>
      </w:pPr>
      <w:r w:rsidRPr="00AA4AD7">
        <w:rPr>
          <w:sz w:val="24"/>
          <w:szCs w:val="24"/>
        </w:rPr>
        <w:t xml:space="preserve">Der er en øget risiko for </w:t>
      </w:r>
      <w:proofErr w:type="spellStart"/>
      <w:r w:rsidRPr="00AA4AD7">
        <w:rPr>
          <w:sz w:val="24"/>
          <w:szCs w:val="24"/>
        </w:rPr>
        <w:t>myopatier</w:t>
      </w:r>
      <w:proofErr w:type="spellEnd"/>
      <w:r w:rsidRPr="00AA4AD7">
        <w:rPr>
          <w:sz w:val="24"/>
          <w:szCs w:val="24"/>
        </w:rPr>
        <w:t xml:space="preserve"> og </w:t>
      </w:r>
      <w:proofErr w:type="spellStart"/>
      <w:r w:rsidRPr="00AA4AD7">
        <w:rPr>
          <w:sz w:val="24"/>
          <w:szCs w:val="24"/>
        </w:rPr>
        <w:t>kardiomyopatier</w:t>
      </w:r>
      <w:proofErr w:type="spellEnd"/>
      <w:r w:rsidRPr="00AA4AD7">
        <w:rPr>
          <w:sz w:val="24"/>
          <w:szCs w:val="24"/>
        </w:rPr>
        <w:t xml:space="preserve">, når </w:t>
      </w:r>
      <w:proofErr w:type="spellStart"/>
      <w:r w:rsidRPr="00AA4AD7">
        <w:rPr>
          <w:sz w:val="24"/>
          <w:szCs w:val="24"/>
        </w:rPr>
        <w:t>dexametason</w:t>
      </w:r>
      <w:proofErr w:type="spellEnd"/>
      <w:r w:rsidRPr="00AA4AD7">
        <w:rPr>
          <w:sz w:val="24"/>
          <w:szCs w:val="24"/>
        </w:rPr>
        <w:t xml:space="preserve"> bruges samtidigt med </w:t>
      </w:r>
      <w:proofErr w:type="spellStart"/>
      <w:r w:rsidRPr="00AA4AD7">
        <w:rPr>
          <w:sz w:val="24"/>
          <w:szCs w:val="24"/>
        </w:rPr>
        <w:t>chloroquin</w:t>
      </w:r>
      <w:proofErr w:type="spellEnd"/>
      <w:r w:rsidRPr="00AA4AD7">
        <w:rPr>
          <w:sz w:val="24"/>
          <w:szCs w:val="24"/>
        </w:rPr>
        <w:t xml:space="preserve">, </w:t>
      </w:r>
      <w:proofErr w:type="spellStart"/>
      <w:r w:rsidRPr="00AA4AD7">
        <w:rPr>
          <w:sz w:val="24"/>
          <w:szCs w:val="24"/>
        </w:rPr>
        <w:t>hydroxychloroquin</w:t>
      </w:r>
      <w:proofErr w:type="spellEnd"/>
      <w:r w:rsidRPr="00AA4AD7">
        <w:rPr>
          <w:sz w:val="24"/>
          <w:szCs w:val="24"/>
        </w:rPr>
        <w:t xml:space="preserve"> og </w:t>
      </w:r>
      <w:proofErr w:type="spellStart"/>
      <w:r w:rsidRPr="00AA4AD7">
        <w:rPr>
          <w:sz w:val="24"/>
          <w:szCs w:val="24"/>
        </w:rPr>
        <w:t>mefloquin</w:t>
      </w:r>
      <w:proofErr w:type="spellEnd"/>
      <w:r w:rsidRPr="00AA4AD7">
        <w:rPr>
          <w:sz w:val="24"/>
          <w:szCs w:val="24"/>
        </w:rPr>
        <w:t>.</w:t>
      </w:r>
    </w:p>
    <w:p w14:paraId="68E27D8B" w14:textId="77777777" w:rsidR="00C73700" w:rsidRPr="00AA4AD7" w:rsidRDefault="00C73700" w:rsidP="00C70C18">
      <w:pPr>
        <w:ind w:left="851"/>
        <w:rPr>
          <w:sz w:val="24"/>
          <w:szCs w:val="24"/>
        </w:rPr>
      </w:pPr>
    </w:p>
    <w:p w14:paraId="53F73F7F" w14:textId="77777777" w:rsidR="00C73700" w:rsidRPr="00AA4AD7" w:rsidRDefault="00C73700" w:rsidP="00C70C18">
      <w:pPr>
        <w:ind w:left="851"/>
        <w:rPr>
          <w:sz w:val="24"/>
          <w:szCs w:val="24"/>
          <w:u w:val="single"/>
        </w:rPr>
      </w:pPr>
      <w:proofErr w:type="spellStart"/>
      <w:r w:rsidRPr="00AA4AD7">
        <w:rPr>
          <w:sz w:val="24"/>
          <w:szCs w:val="24"/>
          <w:u w:val="single"/>
        </w:rPr>
        <w:t>Fluorquinoloner</w:t>
      </w:r>
      <w:proofErr w:type="spellEnd"/>
    </w:p>
    <w:p w14:paraId="4F4BCA98" w14:textId="77777777" w:rsidR="00C73700" w:rsidRPr="00AA4AD7" w:rsidRDefault="00C73700" w:rsidP="00C70C18">
      <w:pPr>
        <w:ind w:left="851"/>
        <w:rPr>
          <w:sz w:val="24"/>
          <w:szCs w:val="24"/>
        </w:rPr>
      </w:pPr>
      <w:r w:rsidRPr="00AA4AD7">
        <w:rPr>
          <w:sz w:val="24"/>
          <w:szCs w:val="24"/>
        </w:rPr>
        <w:t xml:space="preserve">Anvendelse samtidigt med </w:t>
      </w:r>
      <w:proofErr w:type="spellStart"/>
      <w:r w:rsidRPr="00AA4AD7">
        <w:rPr>
          <w:sz w:val="24"/>
          <w:szCs w:val="24"/>
        </w:rPr>
        <w:t>fluorquinoloner</w:t>
      </w:r>
      <w:proofErr w:type="spellEnd"/>
      <w:r w:rsidRPr="00AA4AD7">
        <w:rPr>
          <w:sz w:val="24"/>
          <w:szCs w:val="24"/>
        </w:rPr>
        <w:t xml:space="preserve"> kan øge risikoen for </w:t>
      </w:r>
      <w:proofErr w:type="spellStart"/>
      <w:r w:rsidRPr="00AA4AD7">
        <w:rPr>
          <w:sz w:val="24"/>
          <w:szCs w:val="24"/>
        </w:rPr>
        <w:t>senerelaterede</w:t>
      </w:r>
      <w:proofErr w:type="spellEnd"/>
      <w:r w:rsidRPr="00AA4AD7">
        <w:rPr>
          <w:sz w:val="24"/>
          <w:szCs w:val="24"/>
        </w:rPr>
        <w:t xml:space="preserve"> symptomer.</w:t>
      </w:r>
    </w:p>
    <w:p w14:paraId="29A812CB" w14:textId="77777777" w:rsidR="00C73700" w:rsidRPr="00AA4AD7" w:rsidRDefault="00C73700" w:rsidP="00C70C18">
      <w:pPr>
        <w:ind w:left="851"/>
        <w:rPr>
          <w:sz w:val="24"/>
          <w:szCs w:val="24"/>
        </w:rPr>
      </w:pPr>
    </w:p>
    <w:p w14:paraId="2FE5CCF7" w14:textId="77777777" w:rsidR="00C73700" w:rsidRPr="00AA4AD7" w:rsidRDefault="00C73700" w:rsidP="00C70C18">
      <w:pPr>
        <w:ind w:left="851"/>
        <w:rPr>
          <w:sz w:val="24"/>
          <w:szCs w:val="24"/>
          <w:u w:val="single"/>
        </w:rPr>
      </w:pPr>
      <w:proofErr w:type="spellStart"/>
      <w:r w:rsidRPr="00AA4AD7">
        <w:rPr>
          <w:sz w:val="24"/>
          <w:szCs w:val="24"/>
          <w:u w:val="single"/>
        </w:rPr>
        <w:t>Immunsuppressiva</w:t>
      </w:r>
      <w:proofErr w:type="spellEnd"/>
    </w:p>
    <w:p w14:paraId="1DF4E3B1" w14:textId="77777777" w:rsidR="00C73700" w:rsidRPr="00AA4AD7" w:rsidRDefault="00C73700" w:rsidP="00C70C18">
      <w:pPr>
        <w:ind w:left="851"/>
        <w:rPr>
          <w:sz w:val="24"/>
          <w:szCs w:val="24"/>
        </w:rPr>
      </w:pPr>
      <w:r w:rsidRPr="00AA4AD7">
        <w:rPr>
          <w:sz w:val="24"/>
          <w:szCs w:val="24"/>
        </w:rPr>
        <w:t xml:space="preserve">Ved administration sammen med andre </w:t>
      </w:r>
      <w:proofErr w:type="spellStart"/>
      <w:r w:rsidRPr="00AA4AD7">
        <w:rPr>
          <w:sz w:val="24"/>
          <w:szCs w:val="24"/>
        </w:rPr>
        <w:t>immunsuppressiva</w:t>
      </w:r>
      <w:proofErr w:type="spellEnd"/>
      <w:r w:rsidRPr="00AA4AD7">
        <w:rPr>
          <w:sz w:val="24"/>
          <w:szCs w:val="24"/>
        </w:rPr>
        <w:t xml:space="preserve"> er der en øget modtagelighed over for infektioner og mulighed for forværring eller manifestation af latente infektioner. Ved kombination med </w:t>
      </w:r>
      <w:proofErr w:type="spellStart"/>
      <w:r w:rsidRPr="00AA4AD7">
        <w:rPr>
          <w:sz w:val="24"/>
          <w:szCs w:val="24"/>
        </w:rPr>
        <w:t>ciclosporin</w:t>
      </w:r>
      <w:proofErr w:type="spellEnd"/>
      <w:r w:rsidRPr="00AA4AD7">
        <w:rPr>
          <w:sz w:val="24"/>
          <w:szCs w:val="24"/>
        </w:rPr>
        <w:t xml:space="preserve"> øges niveauet af </w:t>
      </w:r>
      <w:proofErr w:type="spellStart"/>
      <w:r w:rsidRPr="00AA4AD7">
        <w:rPr>
          <w:sz w:val="24"/>
          <w:szCs w:val="24"/>
        </w:rPr>
        <w:t>ciclosporin</w:t>
      </w:r>
      <w:proofErr w:type="spellEnd"/>
      <w:r w:rsidRPr="00AA4AD7">
        <w:rPr>
          <w:sz w:val="24"/>
          <w:szCs w:val="24"/>
        </w:rPr>
        <w:t xml:space="preserve"> i blodet desuden, og der er også en øget risiko for cerebrale krampeanfald.</w:t>
      </w:r>
    </w:p>
    <w:p w14:paraId="56CFCD79" w14:textId="77777777" w:rsidR="00C73700" w:rsidRPr="00AA4AD7" w:rsidRDefault="00C73700" w:rsidP="00C70C18">
      <w:pPr>
        <w:ind w:left="851"/>
        <w:rPr>
          <w:sz w:val="24"/>
          <w:szCs w:val="24"/>
        </w:rPr>
      </w:pPr>
    </w:p>
    <w:p w14:paraId="7D0A826E" w14:textId="77777777" w:rsidR="00C73700" w:rsidRPr="00AA4AD7" w:rsidRDefault="00C73700" w:rsidP="00C70C18">
      <w:pPr>
        <w:ind w:left="851"/>
        <w:rPr>
          <w:sz w:val="24"/>
          <w:szCs w:val="24"/>
          <w:u w:val="single"/>
        </w:rPr>
      </w:pPr>
      <w:r w:rsidRPr="00AA4AD7">
        <w:rPr>
          <w:sz w:val="24"/>
          <w:szCs w:val="24"/>
          <w:u w:val="single"/>
        </w:rPr>
        <w:t>Virkning på analysemetoder</w:t>
      </w:r>
    </w:p>
    <w:p w14:paraId="173AB03F" w14:textId="77777777" w:rsidR="00C73700" w:rsidRPr="00AA4AD7" w:rsidRDefault="00C73700" w:rsidP="00C70C18">
      <w:pPr>
        <w:ind w:left="851"/>
        <w:rPr>
          <w:sz w:val="24"/>
          <w:szCs w:val="24"/>
        </w:rPr>
      </w:pPr>
      <w:r w:rsidRPr="00AA4AD7">
        <w:rPr>
          <w:sz w:val="24"/>
          <w:szCs w:val="24"/>
        </w:rPr>
        <w:t xml:space="preserve">Efter administration af </w:t>
      </w:r>
      <w:proofErr w:type="spellStart"/>
      <w:r w:rsidRPr="00AA4AD7">
        <w:rPr>
          <w:sz w:val="24"/>
          <w:szCs w:val="24"/>
        </w:rPr>
        <w:t>protirelin</w:t>
      </w:r>
      <w:proofErr w:type="spellEnd"/>
      <w:r w:rsidRPr="00AA4AD7">
        <w:rPr>
          <w:sz w:val="24"/>
          <w:szCs w:val="24"/>
        </w:rPr>
        <w:t xml:space="preserve"> kan stigning i det </w:t>
      </w:r>
      <w:proofErr w:type="spellStart"/>
      <w:r w:rsidRPr="00AA4AD7">
        <w:rPr>
          <w:sz w:val="24"/>
          <w:szCs w:val="24"/>
        </w:rPr>
        <w:t>tyroideastimulerende</w:t>
      </w:r>
      <w:proofErr w:type="spellEnd"/>
      <w:r w:rsidRPr="00AA4AD7">
        <w:rPr>
          <w:sz w:val="24"/>
          <w:szCs w:val="24"/>
        </w:rPr>
        <w:t xml:space="preserve"> hormon (THS) blive reduceret.</w:t>
      </w:r>
    </w:p>
    <w:p w14:paraId="41882526" w14:textId="77777777" w:rsidR="00C73700" w:rsidRPr="00AA4AD7" w:rsidRDefault="00C73700" w:rsidP="00C70C18">
      <w:pPr>
        <w:ind w:left="851"/>
        <w:rPr>
          <w:sz w:val="24"/>
          <w:szCs w:val="24"/>
          <w:lang w:val="sv-SE"/>
        </w:rPr>
      </w:pPr>
    </w:p>
    <w:p w14:paraId="1F05E87E" w14:textId="77777777" w:rsidR="00C73700" w:rsidRPr="00AA4AD7" w:rsidRDefault="00C73700" w:rsidP="00C70C18">
      <w:pPr>
        <w:ind w:left="851"/>
        <w:rPr>
          <w:sz w:val="24"/>
          <w:szCs w:val="24"/>
        </w:rPr>
      </w:pPr>
      <w:r w:rsidRPr="00AA4AD7">
        <w:rPr>
          <w:sz w:val="24"/>
          <w:szCs w:val="24"/>
        </w:rPr>
        <w:t>Hudreaktioner ved allergitest kan blive undertrykt.</w:t>
      </w:r>
    </w:p>
    <w:p w14:paraId="03B9749E" w14:textId="77777777" w:rsidR="009260DE" w:rsidRPr="00AA4AD7" w:rsidRDefault="009260DE" w:rsidP="009260DE">
      <w:pPr>
        <w:tabs>
          <w:tab w:val="left" w:pos="851"/>
        </w:tabs>
        <w:ind w:left="851"/>
        <w:rPr>
          <w:sz w:val="24"/>
          <w:szCs w:val="24"/>
        </w:rPr>
      </w:pPr>
    </w:p>
    <w:p w14:paraId="7CBB7237" w14:textId="77777777" w:rsidR="009260DE" w:rsidRPr="00AA4AD7" w:rsidRDefault="009260DE" w:rsidP="009260DE">
      <w:pPr>
        <w:tabs>
          <w:tab w:val="left" w:pos="851"/>
        </w:tabs>
        <w:ind w:left="851" w:hanging="851"/>
        <w:rPr>
          <w:b/>
          <w:sz w:val="24"/>
          <w:szCs w:val="24"/>
        </w:rPr>
      </w:pPr>
      <w:r w:rsidRPr="00AA4AD7">
        <w:rPr>
          <w:b/>
          <w:sz w:val="24"/>
          <w:szCs w:val="24"/>
        </w:rPr>
        <w:t>4.6</w:t>
      </w:r>
      <w:r w:rsidRPr="00AA4AD7">
        <w:rPr>
          <w:b/>
          <w:sz w:val="24"/>
          <w:szCs w:val="24"/>
        </w:rPr>
        <w:tab/>
      </w:r>
      <w:r w:rsidR="0071241E" w:rsidRPr="00AA4AD7">
        <w:rPr>
          <w:b/>
          <w:sz w:val="24"/>
          <w:szCs w:val="24"/>
        </w:rPr>
        <w:t>Fertilitet, g</w:t>
      </w:r>
      <w:r w:rsidRPr="00AA4AD7">
        <w:rPr>
          <w:b/>
          <w:sz w:val="24"/>
          <w:szCs w:val="24"/>
        </w:rPr>
        <w:t>raviditet og amning</w:t>
      </w:r>
    </w:p>
    <w:p w14:paraId="6B2E9C93" w14:textId="77777777" w:rsidR="00C73700" w:rsidRPr="00AA4AD7" w:rsidRDefault="00C73700" w:rsidP="0016497E">
      <w:pPr>
        <w:widowControl w:val="0"/>
        <w:autoSpaceDE w:val="0"/>
        <w:autoSpaceDN w:val="0"/>
        <w:adjustRightInd w:val="0"/>
        <w:ind w:left="851"/>
        <w:rPr>
          <w:sz w:val="24"/>
          <w:szCs w:val="24"/>
        </w:rPr>
      </w:pPr>
    </w:p>
    <w:p w14:paraId="7639B34D" w14:textId="77777777" w:rsidR="00C73700" w:rsidRPr="00AA4AD7" w:rsidRDefault="00C73700" w:rsidP="00C70C18">
      <w:pPr>
        <w:autoSpaceDE w:val="0"/>
        <w:autoSpaceDN w:val="0"/>
        <w:adjustRightInd w:val="0"/>
        <w:ind w:left="851"/>
        <w:rPr>
          <w:iCs/>
          <w:sz w:val="24"/>
          <w:szCs w:val="24"/>
          <w:u w:val="single"/>
        </w:rPr>
      </w:pPr>
      <w:r w:rsidRPr="00AA4AD7">
        <w:rPr>
          <w:iCs/>
          <w:sz w:val="24"/>
          <w:szCs w:val="24"/>
          <w:u w:val="single"/>
        </w:rPr>
        <w:t>Graviditet</w:t>
      </w:r>
    </w:p>
    <w:p w14:paraId="1EA09393" w14:textId="77777777" w:rsidR="00C73700" w:rsidRPr="00AA4AD7" w:rsidRDefault="00C73700" w:rsidP="00C70C18">
      <w:pPr>
        <w:autoSpaceDE w:val="0"/>
        <w:autoSpaceDN w:val="0"/>
        <w:adjustRightInd w:val="0"/>
        <w:ind w:left="851"/>
        <w:rPr>
          <w:sz w:val="24"/>
          <w:szCs w:val="24"/>
        </w:rPr>
      </w:pPr>
      <w:proofErr w:type="spellStart"/>
      <w:r w:rsidRPr="00AA4AD7">
        <w:rPr>
          <w:sz w:val="24"/>
          <w:szCs w:val="24"/>
        </w:rPr>
        <w:t>Dexametason</w:t>
      </w:r>
      <w:proofErr w:type="spellEnd"/>
      <w:r w:rsidRPr="00AA4AD7">
        <w:rPr>
          <w:sz w:val="24"/>
          <w:szCs w:val="24"/>
        </w:rPr>
        <w:t xml:space="preserve"> krydser placenta.</w:t>
      </w:r>
    </w:p>
    <w:p w14:paraId="114A38F6" w14:textId="77777777" w:rsidR="00C73700" w:rsidRPr="00AA4AD7" w:rsidRDefault="00C73700" w:rsidP="00C70C18">
      <w:pPr>
        <w:autoSpaceDE w:val="0"/>
        <w:autoSpaceDN w:val="0"/>
        <w:adjustRightInd w:val="0"/>
        <w:ind w:left="851"/>
        <w:rPr>
          <w:sz w:val="24"/>
          <w:szCs w:val="24"/>
        </w:rPr>
      </w:pPr>
      <w:r w:rsidRPr="00AA4AD7">
        <w:rPr>
          <w:sz w:val="24"/>
          <w:szCs w:val="24"/>
        </w:rPr>
        <w:t xml:space="preserve">Under graviditet, især i det første trimester, må anvendelse af </w:t>
      </w:r>
      <w:proofErr w:type="spellStart"/>
      <w:r w:rsidRPr="00AA4AD7">
        <w:rPr>
          <w:sz w:val="24"/>
          <w:szCs w:val="24"/>
        </w:rPr>
        <w:t>dexametason</w:t>
      </w:r>
      <w:proofErr w:type="spellEnd"/>
      <w:r w:rsidRPr="00AA4AD7">
        <w:rPr>
          <w:sz w:val="24"/>
          <w:szCs w:val="24"/>
        </w:rPr>
        <w:t xml:space="preserve"> kun overvejes efter en omhyggelig vurdering af benefit/</w:t>
      </w:r>
      <w:proofErr w:type="spellStart"/>
      <w:r w:rsidRPr="00AA4AD7">
        <w:rPr>
          <w:sz w:val="24"/>
          <w:szCs w:val="24"/>
        </w:rPr>
        <w:t>risk</w:t>
      </w:r>
      <w:proofErr w:type="spellEnd"/>
      <w:r w:rsidRPr="00AA4AD7">
        <w:rPr>
          <w:sz w:val="24"/>
          <w:szCs w:val="24"/>
        </w:rPr>
        <w:t xml:space="preserve">-forholdet. </w:t>
      </w:r>
      <w:proofErr w:type="spellStart"/>
      <w:r w:rsidRPr="00AA4AD7">
        <w:rPr>
          <w:sz w:val="24"/>
          <w:szCs w:val="24"/>
        </w:rPr>
        <w:t>Kortikosteroider</w:t>
      </w:r>
      <w:proofErr w:type="spellEnd"/>
      <w:r w:rsidRPr="00AA4AD7">
        <w:rPr>
          <w:sz w:val="24"/>
          <w:szCs w:val="24"/>
        </w:rPr>
        <w:t xml:space="preserve"> må kun ordineres, når fordelene for moderen og barnet opvejer risiciene.</w:t>
      </w:r>
    </w:p>
    <w:p w14:paraId="6777DE93" w14:textId="77777777" w:rsidR="00C73700" w:rsidRPr="00AA4AD7" w:rsidRDefault="00C73700" w:rsidP="00C70C18">
      <w:pPr>
        <w:autoSpaceDE w:val="0"/>
        <w:autoSpaceDN w:val="0"/>
        <w:adjustRightInd w:val="0"/>
        <w:ind w:left="851"/>
        <w:rPr>
          <w:sz w:val="24"/>
          <w:szCs w:val="24"/>
          <w:lang w:val="sv-SE"/>
        </w:rPr>
      </w:pPr>
    </w:p>
    <w:p w14:paraId="7CA2A9DB" w14:textId="77777777" w:rsidR="00C73700" w:rsidRPr="00AA4AD7" w:rsidRDefault="00C73700" w:rsidP="00C70C18">
      <w:pPr>
        <w:autoSpaceDE w:val="0"/>
        <w:autoSpaceDN w:val="0"/>
        <w:adjustRightInd w:val="0"/>
        <w:ind w:left="851"/>
        <w:rPr>
          <w:sz w:val="24"/>
          <w:szCs w:val="24"/>
        </w:rPr>
      </w:pPr>
      <w:r w:rsidRPr="00AA4AD7">
        <w:rPr>
          <w:sz w:val="24"/>
          <w:szCs w:val="24"/>
        </w:rPr>
        <w:t xml:space="preserve">Ved administration i længere perioder eller gentagne gange under graviditeten kan </w:t>
      </w:r>
      <w:proofErr w:type="spellStart"/>
      <w:r w:rsidRPr="00AA4AD7">
        <w:rPr>
          <w:sz w:val="24"/>
          <w:szCs w:val="24"/>
        </w:rPr>
        <w:t>kortikosteroider</w:t>
      </w:r>
      <w:proofErr w:type="spellEnd"/>
      <w:r w:rsidRPr="00AA4AD7">
        <w:rPr>
          <w:sz w:val="24"/>
          <w:szCs w:val="24"/>
        </w:rPr>
        <w:t xml:space="preserve"> øge risikoen for intrauterin væksthæmning.</w:t>
      </w:r>
    </w:p>
    <w:p w14:paraId="075B2B73" w14:textId="77777777" w:rsidR="00C73700" w:rsidRPr="00AA4AD7" w:rsidRDefault="00C73700" w:rsidP="00C70C18">
      <w:pPr>
        <w:autoSpaceDE w:val="0"/>
        <w:autoSpaceDN w:val="0"/>
        <w:adjustRightInd w:val="0"/>
        <w:ind w:left="851"/>
        <w:rPr>
          <w:sz w:val="24"/>
          <w:szCs w:val="24"/>
          <w:lang w:val="sv-SE"/>
        </w:rPr>
      </w:pPr>
    </w:p>
    <w:p w14:paraId="4F9E9C0A" w14:textId="77777777" w:rsidR="00C73700" w:rsidRPr="00AA4AD7" w:rsidRDefault="00C73700" w:rsidP="00C70C18">
      <w:pPr>
        <w:autoSpaceDE w:val="0"/>
        <w:autoSpaceDN w:val="0"/>
        <w:adjustRightInd w:val="0"/>
        <w:ind w:left="851"/>
        <w:rPr>
          <w:sz w:val="24"/>
          <w:szCs w:val="24"/>
        </w:rPr>
      </w:pPr>
      <w:r w:rsidRPr="00AA4AD7">
        <w:rPr>
          <w:sz w:val="24"/>
          <w:szCs w:val="24"/>
        </w:rPr>
        <w:t xml:space="preserve">Administration af </w:t>
      </w:r>
      <w:proofErr w:type="spellStart"/>
      <w:r w:rsidRPr="00AA4AD7">
        <w:rPr>
          <w:sz w:val="24"/>
          <w:szCs w:val="24"/>
        </w:rPr>
        <w:t>kortikosteroider</w:t>
      </w:r>
      <w:proofErr w:type="spellEnd"/>
      <w:r w:rsidRPr="00AA4AD7">
        <w:rPr>
          <w:sz w:val="24"/>
          <w:szCs w:val="24"/>
        </w:rPr>
        <w:t xml:space="preserve"> til drægtige dyr kan medføre fosterskader som for eksempel ganespalte, intrauterin væksthæmning og virkninger af hjernens vækst og udvikling. Der er ingen dokumentation for, at </w:t>
      </w:r>
      <w:proofErr w:type="spellStart"/>
      <w:r w:rsidRPr="00AA4AD7">
        <w:rPr>
          <w:sz w:val="24"/>
          <w:szCs w:val="24"/>
        </w:rPr>
        <w:t>kortikosteroider</w:t>
      </w:r>
      <w:proofErr w:type="spellEnd"/>
      <w:r w:rsidRPr="00AA4AD7">
        <w:rPr>
          <w:sz w:val="24"/>
          <w:szCs w:val="24"/>
        </w:rPr>
        <w:t xml:space="preserve"> medfører en øget risiko for medfødte abnormiteter såsom læbe/ganespalte hos mennesker (se pkt. 5.3).</w:t>
      </w:r>
    </w:p>
    <w:p w14:paraId="12D50D7E" w14:textId="77777777" w:rsidR="00C73700" w:rsidRPr="00AA4AD7" w:rsidRDefault="00C73700" w:rsidP="00C70C18">
      <w:pPr>
        <w:autoSpaceDE w:val="0"/>
        <w:autoSpaceDN w:val="0"/>
        <w:adjustRightInd w:val="0"/>
        <w:ind w:left="851"/>
        <w:rPr>
          <w:sz w:val="24"/>
          <w:szCs w:val="24"/>
          <w:lang w:val="sv-SE"/>
        </w:rPr>
      </w:pPr>
    </w:p>
    <w:p w14:paraId="127356CB" w14:textId="77777777" w:rsidR="00C73700" w:rsidRPr="00AA4AD7" w:rsidRDefault="00C73700" w:rsidP="00C70C18">
      <w:pPr>
        <w:autoSpaceDE w:val="0"/>
        <w:autoSpaceDN w:val="0"/>
        <w:adjustRightInd w:val="0"/>
        <w:ind w:left="851"/>
        <w:rPr>
          <w:sz w:val="24"/>
          <w:szCs w:val="24"/>
        </w:rPr>
      </w:pPr>
      <w:r w:rsidRPr="00AA4AD7">
        <w:rPr>
          <w:sz w:val="24"/>
          <w:szCs w:val="24"/>
        </w:rPr>
        <w:t xml:space="preserve">Hvis der administreres </w:t>
      </w:r>
      <w:proofErr w:type="spellStart"/>
      <w:r w:rsidRPr="00AA4AD7">
        <w:rPr>
          <w:sz w:val="24"/>
          <w:szCs w:val="24"/>
        </w:rPr>
        <w:t>glukokortikosteroider</w:t>
      </w:r>
      <w:proofErr w:type="spellEnd"/>
      <w:r w:rsidRPr="00AA4AD7">
        <w:rPr>
          <w:sz w:val="24"/>
          <w:szCs w:val="24"/>
        </w:rPr>
        <w:t xml:space="preserve"> i slutningen af graviditeten, er fosteret i risiko for binyrebarkatrofi, hvilket kan nødvendiggøre en substitutionsbehandling til den nyfødte, som skal nedtrappes. Studier har vist en øget risiko for hypoglykæmi hos nyfødte efter kortvarig </w:t>
      </w:r>
      <w:proofErr w:type="spellStart"/>
      <w:r w:rsidRPr="00AA4AD7">
        <w:rPr>
          <w:sz w:val="24"/>
          <w:szCs w:val="24"/>
        </w:rPr>
        <w:t>antenatal</w:t>
      </w:r>
      <w:proofErr w:type="spellEnd"/>
      <w:r w:rsidRPr="00AA4AD7">
        <w:rPr>
          <w:sz w:val="24"/>
          <w:szCs w:val="24"/>
        </w:rPr>
        <w:t xml:space="preserve"> administration af </w:t>
      </w:r>
      <w:proofErr w:type="spellStart"/>
      <w:r w:rsidRPr="00AA4AD7">
        <w:rPr>
          <w:sz w:val="24"/>
          <w:szCs w:val="24"/>
        </w:rPr>
        <w:t>kortikosteroider</w:t>
      </w:r>
      <w:proofErr w:type="spellEnd"/>
      <w:r w:rsidRPr="00AA4AD7">
        <w:rPr>
          <w:sz w:val="24"/>
          <w:szCs w:val="24"/>
        </w:rPr>
        <w:t xml:space="preserve">, herunder </w:t>
      </w:r>
      <w:proofErr w:type="spellStart"/>
      <w:r w:rsidRPr="00AA4AD7">
        <w:rPr>
          <w:sz w:val="24"/>
          <w:szCs w:val="24"/>
        </w:rPr>
        <w:t>dexametason</w:t>
      </w:r>
      <w:proofErr w:type="spellEnd"/>
      <w:r w:rsidRPr="00AA4AD7">
        <w:rPr>
          <w:sz w:val="24"/>
          <w:szCs w:val="24"/>
        </w:rPr>
        <w:t>, til kvinder med risiko for sen præmatur fødsel.</w:t>
      </w:r>
    </w:p>
    <w:p w14:paraId="6DD5702D" w14:textId="77777777" w:rsidR="00C73700" w:rsidRPr="00AA4AD7" w:rsidRDefault="00C73700" w:rsidP="00C70C18">
      <w:pPr>
        <w:autoSpaceDE w:val="0"/>
        <w:autoSpaceDN w:val="0"/>
        <w:adjustRightInd w:val="0"/>
        <w:ind w:left="851"/>
        <w:rPr>
          <w:sz w:val="24"/>
          <w:szCs w:val="24"/>
          <w:lang w:val="sv-SE"/>
        </w:rPr>
      </w:pPr>
    </w:p>
    <w:p w14:paraId="303D64A9" w14:textId="77777777" w:rsidR="00C73700" w:rsidRPr="00AA4AD7" w:rsidRDefault="00C73700" w:rsidP="00C70C18">
      <w:pPr>
        <w:autoSpaceDE w:val="0"/>
        <w:autoSpaceDN w:val="0"/>
        <w:adjustRightInd w:val="0"/>
        <w:ind w:left="851"/>
        <w:rPr>
          <w:iCs/>
          <w:sz w:val="24"/>
          <w:szCs w:val="24"/>
          <w:u w:val="single"/>
        </w:rPr>
      </w:pPr>
      <w:r w:rsidRPr="00AA4AD7">
        <w:rPr>
          <w:iCs/>
          <w:sz w:val="24"/>
          <w:szCs w:val="24"/>
          <w:u w:val="single"/>
        </w:rPr>
        <w:t>Amning</w:t>
      </w:r>
    </w:p>
    <w:p w14:paraId="3E4B7A0A" w14:textId="77777777" w:rsidR="00C73700" w:rsidRPr="00AA4AD7" w:rsidRDefault="00C73700" w:rsidP="00C70C18">
      <w:pPr>
        <w:autoSpaceDE w:val="0"/>
        <w:autoSpaceDN w:val="0"/>
        <w:adjustRightInd w:val="0"/>
        <w:ind w:left="851"/>
        <w:rPr>
          <w:sz w:val="24"/>
          <w:szCs w:val="24"/>
        </w:rPr>
      </w:pPr>
      <w:proofErr w:type="spellStart"/>
      <w:r w:rsidRPr="00AA4AD7">
        <w:rPr>
          <w:sz w:val="24"/>
          <w:szCs w:val="24"/>
        </w:rPr>
        <w:t>Dexametason</w:t>
      </w:r>
      <w:proofErr w:type="spellEnd"/>
      <w:r w:rsidRPr="00AA4AD7">
        <w:rPr>
          <w:sz w:val="24"/>
          <w:szCs w:val="24"/>
        </w:rPr>
        <w:t xml:space="preserve"> udskilles i modermælken. Der er aldrig blevet rapporteret skader på spædbørn.</w:t>
      </w:r>
    </w:p>
    <w:p w14:paraId="7095B8E2" w14:textId="77777777" w:rsidR="00C73700" w:rsidRPr="00AA4AD7" w:rsidRDefault="00C73700" w:rsidP="00C70C18">
      <w:pPr>
        <w:autoSpaceDE w:val="0"/>
        <w:autoSpaceDN w:val="0"/>
        <w:adjustRightInd w:val="0"/>
        <w:ind w:left="851"/>
        <w:rPr>
          <w:sz w:val="24"/>
          <w:szCs w:val="24"/>
          <w:lang w:val="sv-SE"/>
        </w:rPr>
      </w:pPr>
    </w:p>
    <w:p w14:paraId="3AE29B7B" w14:textId="77777777" w:rsidR="00C73700" w:rsidRPr="00AA4AD7" w:rsidRDefault="00C73700" w:rsidP="00C70C18">
      <w:pPr>
        <w:autoSpaceDE w:val="0"/>
        <w:autoSpaceDN w:val="0"/>
        <w:adjustRightInd w:val="0"/>
        <w:ind w:left="851"/>
        <w:rPr>
          <w:sz w:val="24"/>
          <w:szCs w:val="24"/>
        </w:rPr>
      </w:pPr>
      <w:proofErr w:type="spellStart"/>
      <w:r w:rsidRPr="00AA4AD7">
        <w:rPr>
          <w:sz w:val="24"/>
          <w:szCs w:val="24"/>
        </w:rPr>
        <w:t>Dexametasonfosfat</w:t>
      </w:r>
      <w:proofErr w:type="spellEnd"/>
      <w:r w:rsidRPr="00AA4AD7">
        <w:rPr>
          <w:sz w:val="24"/>
          <w:szCs w:val="24"/>
        </w:rPr>
        <w:t xml:space="preserve"> skal bruges med forsigtighed hos kvinder, der ammer, og kun, når det er strengt nødvendigt. Der skal foretages en omhyggelig vurdering af de mulige fordele og tilknyttede risici ved behandlingen for den enkelte patient.</w:t>
      </w:r>
    </w:p>
    <w:p w14:paraId="22738E62" w14:textId="77777777" w:rsidR="00C73700" w:rsidRPr="00AA4AD7" w:rsidRDefault="00C73700" w:rsidP="00C70C18">
      <w:pPr>
        <w:autoSpaceDE w:val="0"/>
        <w:autoSpaceDN w:val="0"/>
        <w:adjustRightInd w:val="0"/>
        <w:ind w:left="851"/>
        <w:rPr>
          <w:sz w:val="24"/>
          <w:szCs w:val="24"/>
          <w:lang w:val="sv-SE"/>
        </w:rPr>
      </w:pPr>
    </w:p>
    <w:p w14:paraId="462A1121" w14:textId="77777777" w:rsidR="00C73700" w:rsidRPr="00AA4AD7" w:rsidRDefault="00C73700" w:rsidP="00C70C18">
      <w:pPr>
        <w:autoSpaceDE w:val="0"/>
        <w:autoSpaceDN w:val="0"/>
        <w:adjustRightInd w:val="0"/>
        <w:ind w:left="851"/>
        <w:rPr>
          <w:sz w:val="24"/>
          <w:szCs w:val="24"/>
        </w:rPr>
      </w:pPr>
      <w:r w:rsidRPr="00AA4AD7">
        <w:rPr>
          <w:sz w:val="24"/>
          <w:szCs w:val="24"/>
        </w:rPr>
        <w:t>Hvis der er brug for høje doser til behandling af en sygdom, bør amning ophøre.</w:t>
      </w:r>
    </w:p>
    <w:p w14:paraId="76CC420C" w14:textId="77777777" w:rsidR="009260DE" w:rsidRPr="00AA4AD7" w:rsidRDefault="009260DE" w:rsidP="009260DE">
      <w:pPr>
        <w:tabs>
          <w:tab w:val="left" w:pos="851"/>
        </w:tabs>
        <w:ind w:left="851"/>
        <w:rPr>
          <w:sz w:val="24"/>
          <w:szCs w:val="24"/>
        </w:rPr>
      </w:pPr>
    </w:p>
    <w:p w14:paraId="150EB15C" w14:textId="77777777" w:rsidR="009260DE" w:rsidRPr="00AA4AD7" w:rsidRDefault="009260DE" w:rsidP="009260DE">
      <w:pPr>
        <w:tabs>
          <w:tab w:val="left" w:pos="851"/>
        </w:tabs>
        <w:ind w:left="851" w:hanging="851"/>
        <w:rPr>
          <w:b/>
          <w:sz w:val="24"/>
          <w:szCs w:val="24"/>
        </w:rPr>
      </w:pPr>
      <w:r w:rsidRPr="00AA4AD7">
        <w:rPr>
          <w:b/>
          <w:sz w:val="24"/>
          <w:szCs w:val="24"/>
        </w:rPr>
        <w:t>4.7</w:t>
      </w:r>
      <w:r w:rsidRPr="00AA4AD7">
        <w:rPr>
          <w:b/>
          <w:sz w:val="24"/>
          <w:szCs w:val="24"/>
        </w:rPr>
        <w:tab/>
        <w:t xml:space="preserve">Virkning på evnen til at føre motorkøretøj </w:t>
      </w:r>
      <w:r w:rsidR="0071241E" w:rsidRPr="00AA4AD7">
        <w:rPr>
          <w:b/>
          <w:sz w:val="24"/>
          <w:szCs w:val="24"/>
        </w:rPr>
        <w:t>og</w:t>
      </w:r>
      <w:r w:rsidRPr="00AA4AD7">
        <w:rPr>
          <w:b/>
          <w:sz w:val="24"/>
          <w:szCs w:val="24"/>
        </w:rPr>
        <w:t xml:space="preserve"> betjene maskiner</w:t>
      </w:r>
    </w:p>
    <w:p w14:paraId="09096F1C" w14:textId="77777777" w:rsidR="00C73700" w:rsidRPr="00AA4AD7" w:rsidRDefault="00C73700" w:rsidP="00C70C18">
      <w:pPr>
        <w:widowControl w:val="0"/>
        <w:autoSpaceDE w:val="0"/>
        <w:autoSpaceDN w:val="0"/>
        <w:adjustRightInd w:val="0"/>
        <w:ind w:left="851"/>
        <w:rPr>
          <w:sz w:val="24"/>
          <w:szCs w:val="24"/>
        </w:rPr>
      </w:pPr>
      <w:r w:rsidRPr="00AA4AD7">
        <w:rPr>
          <w:sz w:val="24"/>
          <w:szCs w:val="24"/>
        </w:rPr>
        <w:t>Ikke mærkning</w:t>
      </w:r>
    </w:p>
    <w:p w14:paraId="49F8380C" w14:textId="278EB93A" w:rsidR="00C73700" w:rsidRPr="00AA4AD7" w:rsidRDefault="00C73700" w:rsidP="00C70C18">
      <w:pPr>
        <w:widowControl w:val="0"/>
        <w:autoSpaceDE w:val="0"/>
        <w:autoSpaceDN w:val="0"/>
        <w:adjustRightInd w:val="0"/>
        <w:ind w:left="851"/>
        <w:rPr>
          <w:sz w:val="24"/>
          <w:szCs w:val="24"/>
        </w:rPr>
      </w:pPr>
      <w:proofErr w:type="spellStart"/>
      <w:r w:rsidRPr="00AA4AD7">
        <w:rPr>
          <w:sz w:val="24"/>
          <w:szCs w:val="24"/>
        </w:rPr>
        <w:t>Dexamethasone</w:t>
      </w:r>
      <w:proofErr w:type="spellEnd"/>
      <w:r w:rsidRPr="00AA4AD7">
        <w:rPr>
          <w:sz w:val="24"/>
          <w:szCs w:val="24"/>
        </w:rPr>
        <w:t xml:space="preserve"> </w:t>
      </w:r>
      <w:proofErr w:type="spellStart"/>
      <w:r w:rsidRPr="00AA4AD7">
        <w:rPr>
          <w:sz w:val="24"/>
          <w:szCs w:val="24"/>
        </w:rPr>
        <w:t>phosphate</w:t>
      </w:r>
      <w:proofErr w:type="spellEnd"/>
      <w:r w:rsidRPr="00AA4AD7">
        <w:rPr>
          <w:sz w:val="24"/>
          <w:szCs w:val="24"/>
        </w:rPr>
        <w:t xml:space="preserve"> </w:t>
      </w:r>
      <w:r w:rsidR="009816BE">
        <w:rPr>
          <w:sz w:val="24"/>
          <w:szCs w:val="24"/>
        </w:rPr>
        <w:t>"</w:t>
      </w:r>
      <w:proofErr w:type="spellStart"/>
      <w:r w:rsidR="009816BE">
        <w:rPr>
          <w:sz w:val="24"/>
          <w:szCs w:val="24"/>
        </w:rPr>
        <w:t>Accord</w:t>
      </w:r>
      <w:proofErr w:type="spellEnd"/>
      <w:r w:rsidR="009816BE">
        <w:rPr>
          <w:sz w:val="24"/>
          <w:szCs w:val="24"/>
        </w:rPr>
        <w:t>"</w:t>
      </w:r>
      <w:r w:rsidRPr="00AA4AD7">
        <w:rPr>
          <w:sz w:val="24"/>
          <w:szCs w:val="24"/>
        </w:rPr>
        <w:t xml:space="preserve"> påvirker ikke eller kun i ubetydelig grad evnen til at føre motorkøretøj og betjene maskiner. Det samme gælder arbejde i farlige miljøer.</w:t>
      </w:r>
    </w:p>
    <w:p w14:paraId="549FB4E1" w14:textId="77777777" w:rsidR="009260DE" w:rsidRPr="00AA4AD7" w:rsidRDefault="009260DE" w:rsidP="009260DE">
      <w:pPr>
        <w:tabs>
          <w:tab w:val="left" w:pos="851"/>
        </w:tabs>
        <w:ind w:left="851"/>
        <w:rPr>
          <w:sz w:val="24"/>
          <w:szCs w:val="24"/>
        </w:rPr>
      </w:pPr>
    </w:p>
    <w:p w14:paraId="0DEAF32F" w14:textId="77777777" w:rsidR="009260DE" w:rsidRPr="00AA4AD7" w:rsidRDefault="009260DE" w:rsidP="009260DE">
      <w:pPr>
        <w:tabs>
          <w:tab w:val="left" w:pos="851"/>
        </w:tabs>
        <w:ind w:left="851" w:hanging="851"/>
        <w:rPr>
          <w:b/>
          <w:sz w:val="24"/>
          <w:szCs w:val="24"/>
        </w:rPr>
      </w:pPr>
      <w:r w:rsidRPr="00AA4AD7">
        <w:rPr>
          <w:b/>
          <w:sz w:val="24"/>
          <w:szCs w:val="24"/>
        </w:rPr>
        <w:t>4.8</w:t>
      </w:r>
      <w:r w:rsidRPr="00AA4AD7">
        <w:rPr>
          <w:b/>
          <w:sz w:val="24"/>
          <w:szCs w:val="24"/>
        </w:rPr>
        <w:tab/>
        <w:t>Bivirkninger</w:t>
      </w:r>
    </w:p>
    <w:p w14:paraId="7CBB2E2D" w14:textId="77777777" w:rsidR="00C73700" w:rsidRPr="00AA4AD7" w:rsidRDefault="00C73700" w:rsidP="00C70C18">
      <w:pPr>
        <w:autoSpaceDE w:val="0"/>
        <w:autoSpaceDN w:val="0"/>
        <w:adjustRightInd w:val="0"/>
        <w:ind w:left="851"/>
        <w:rPr>
          <w:sz w:val="24"/>
          <w:szCs w:val="24"/>
        </w:rPr>
      </w:pPr>
      <w:r w:rsidRPr="00AA4AD7">
        <w:rPr>
          <w:sz w:val="24"/>
          <w:szCs w:val="24"/>
        </w:rPr>
        <w:t xml:space="preserve">Risikoen for bivirkninger er lav under kortvarig behandling med </w:t>
      </w:r>
      <w:proofErr w:type="spellStart"/>
      <w:r w:rsidRPr="00AA4AD7">
        <w:rPr>
          <w:sz w:val="24"/>
          <w:szCs w:val="24"/>
        </w:rPr>
        <w:t>dexametason</w:t>
      </w:r>
      <w:proofErr w:type="spellEnd"/>
      <w:r w:rsidRPr="00AA4AD7">
        <w:rPr>
          <w:sz w:val="24"/>
          <w:szCs w:val="24"/>
        </w:rPr>
        <w:t xml:space="preserve">. I tilfælde af kortvarig parenteral behandling med høje doser skal der dog tages højde for risikoen for elektrolytforandringer, ødem, mulig stigning i blodtryk, hjerteinsufficiens, </w:t>
      </w:r>
      <w:proofErr w:type="spellStart"/>
      <w:r w:rsidRPr="00AA4AD7">
        <w:rPr>
          <w:sz w:val="24"/>
          <w:szCs w:val="24"/>
        </w:rPr>
        <w:t>hjertearytmier</w:t>
      </w:r>
      <w:proofErr w:type="spellEnd"/>
      <w:r w:rsidRPr="00AA4AD7">
        <w:rPr>
          <w:sz w:val="24"/>
          <w:szCs w:val="24"/>
        </w:rPr>
        <w:t xml:space="preserve"> eller krampeanfald. Desuden skal der forventes kliniske manifestationer af infektion. Klinikerne skal være opmærksomme på muligheden for mave-tarm-sår, som ofte er stressrelateret, og som kan være forholdsvis asymptomatisk under behandling med </w:t>
      </w:r>
      <w:proofErr w:type="spellStart"/>
      <w:r w:rsidRPr="00AA4AD7">
        <w:rPr>
          <w:sz w:val="24"/>
          <w:szCs w:val="24"/>
        </w:rPr>
        <w:t>kortikosteroider</w:t>
      </w:r>
      <w:proofErr w:type="spellEnd"/>
      <w:r w:rsidRPr="00AA4AD7">
        <w:rPr>
          <w:sz w:val="24"/>
          <w:szCs w:val="24"/>
        </w:rPr>
        <w:t>, samt en reduktion i glukosetolerance.</w:t>
      </w:r>
    </w:p>
    <w:p w14:paraId="33E75F6C" w14:textId="77777777" w:rsidR="00C73700" w:rsidRPr="00AA4AD7" w:rsidRDefault="00C73700" w:rsidP="00C70C18">
      <w:pPr>
        <w:autoSpaceDE w:val="0"/>
        <w:autoSpaceDN w:val="0"/>
        <w:adjustRightInd w:val="0"/>
        <w:ind w:left="851"/>
        <w:rPr>
          <w:sz w:val="24"/>
          <w:szCs w:val="24"/>
          <w:lang w:val="sv-SE"/>
        </w:rPr>
      </w:pPr>
    </w:p>
    <w:p w14:paraId="4E447B70" w14:textId="77777777" w:rsidR="00C73700" w:rsidRPr="00AA4AD7" w:rsidRDefault="00C73700" w:rsidP="00C70C18">
      <w:pPr>
        <w:autoSpaceDE w:val="0"/>
        <w:autoSpaceDN w:val="0"/>
        <w:adjustRightInd w:val="0"/>
        <w:ind w:left="851"/>
        <w:rPr>
          <w:sz w:val="24"/>
          <w:szCs w:val="24"/>
        </w:rPr>
      </w:pPr>
      <w:r w:rsidRPr="00AA4AD7">
        <w:rPr>
          <w:sz w:val="24"/>
          <w:szCs w:val="24"/>
        </w:rPr>
        <w:lastRenderedPageBreak/>
        <w:t>Forekomsten af forudsigelige bivirkninger, herunder hypotalamus-hypofyse-</w:t>
      </w:r>
      <w:proofErr w:type="spellStart"/>
      <w:r w:rsidRPr="00AA4AD7">
        <w:rPr>
          <w:sz w:val="24"/>
          <w:szCs w:val="24"/>
        </w:rPr>
        <w:t>adrenal</w:t>
      </w:r>
      <w:proofErr w:type="spellEnd"/>
      <w:r w:rsidRPr="00AA4AD7">
        <w:rPr>
          <w:sz w:val="24"/>
          <w:szCs w:val="24"/>
        </w:rPr>
        <w:t xml:space="preserve"> suppression, korrelerer med lægemidlets relative styrke, dosis, timingen af administration og behandlingens varighed (se pkt. 4.4).</w:t>
      </w:r>
    </w:p>
    <w:p w14:paraId="34406349" w14:textId="77777777" w:rsidR="00C73700" w:rsidRPr="00AA4AD7" w:rsidRDefault="00C73700" w:rsidP="00C70C18">
      <w:pPr>
        <w:autoSpaceDE w:val="0"/>
        <w:autoSpaceDN w:val="0"/>
        <w:adjustRightInd w:val="0"/>
        <w:ind w:left="851"/>
        <w:rPr>
          <w:sz w:val="24"/>
          <w:szCs w:val="24"/>
          <w:lang w:val="sv-SE"/>
        </w:rPr>
      </w:pPr>
    </w:p>
    <w:p w14:paraId="252DBB11" w14:textId="77777777" w:rsidR="00C73700" w:rsidRPr="00AA4AD7" w:rsidRDefault="00C73700" w:rsidP="00C70C18">
      <w:pPr>
        <w:autoSpaceDE w:val="0"/>
        <w:autoSpaceDN w:val="0"/>
        <w:adjustRightInd w:val="0"/>
        <w:ind w:left="851"/>
        <w:rPr>
          <w:sz w:val="24"/>
          <w:szCs w:val="24"/>
        </w:rPr>
      </w:pPr>
      <w:r w:rsidRPr="00AA4AD7">
        <w:rPr>
          <w:sz w:val="24"/>
          <w:szCs w:val="24"/>
        </w:rPr>
        <w:t>Hyppigheden af bivirkningerne er anført efter følgende konvention:</w:t>
      </w:r>
    </w:p>
    <w:p w14:paraId="666E42F4" w14:textId="77777777" w:rsidR="00C73700" w:rsidRPr="00AA4AD7" w:rsidRDefault="00C73700" w:rsidP="00C70C18">
      <w:pPr>
        <w:widowControl w:val="0"/>
        <w:autoSpaceDE w:val="0"/>
        <w:autoSpaceDN w:val="0"/>
        <w:adjustRightInd w:val="0"/>
        <w:ind w:left="851"/>
        <w:rPr>
          <w:sz w:val="24"/>
          <w:szCs w:val="24"/>
        </w:rPr>
      </w:pPr>
    </w:p>
    <w:p w14:paraId="2F0B8B4B" w14:textId="77777777" w:rsidR="00C73700" w:rsidRPr="00AA4AD7" w:rsidRDefault="00C73700" w:rsidP="00C70C18">
      <w:pPr>
        <w:autoSpaceDE w:val="0"/>
        <w:autoSpaceDN w:val="0"/>
        <w:adjustRightInd w:val="0"/>
        <w:ind w:left="851"/>
        <w:rPr>
          <w:sz w:val="24"/>
          <w:szCs w:val="24"/>
        </w:rPr>
      </w:pPr>
      <w:r w:rsidRPr="00AA4AD7">
        <w:rPr>
          <w:sz w:val="24"/>
          <w:szCs w:val="24"/>
        </w:rPr>
        <w:t>Meget almindelig (≥1/10)</w:t>
      </w:r>
    </w:p>
    <w:p w14:paraId="68EB915D" w14:textId="77777777" w:rsidR="00C73700" w:rsidRPr="00AA4AD7" w:rsidRDefault="00C73700" w:rsidP="00C70C18">
      <w:pPr>
        <w:autoSpaceDE w:val="0"/>
        <w:autoSpaceDN w:val="0"/>
        <w:adjustRightInd w:val="0"/>
        <w:ind w:left="851"/>
        <w:rPr>
          <w:sz w:val="24"/>
          <w:szCs w:val="24"/>
        </w:rPr>
      </w:pPr>
      <w:r w:rsidRPr="00AA4AD7">
        <w:rPr>
          <w:sz w:val="24"/>
          <w:szCs w:val="24"/>
        </w:rPr>
        <w:t>Almindelig (≥1/100 til &lt;1/10)</w:t>
      </w:r>
    </w:p>
    <w:p w14:paraId="303483D0" w14:textId="77777777" w:rsidR="00C73700" w:rsidRPr="00AA4AD7" w:rsidRDefault="00C73700" w:rsidP="00C70C18">
      <w:pPr>
        <w:autoSpaceDE w:val="0"/>
        <w:autoSpaceDN w:val="0"/>
        <w:adjustRightInd w:val="0"/>
        <w:ind w:left="851"/>
        <w:rPr>
          <w:sz w:val="24"/>
          <w:szCs w:val="24"/>
        </w:rPr>
      </w:pPr>
      <w:r w:rsidRPr="00AA4AD7">
        <w:rPr>
          <w:sz w:val="24"/>
          <w:szCs w:val="24"/>
        </w:rPr>
        <w:t>Ikke almindelig (≥1/1.000 til &lt;1/100)</w:t>
      </w:r>
    </w:p>
    <w:p w14:paraId="69B19309" w14:textId="77777777" w:rsidR="00C73700" w:rsidRPr="00AA4AD7" w:rsidRDefault="00C73700" w:rsidP="00C70C18">
      <w:pPr>
        <w:autoSpaceDE w:val="0"/>
        <w:autoSpaceDN w:val="0"/>
        <w:adjustRightInd w:val="0"/>
        <w:ind w:left="851"/>
        <w:rPr>
          <w:sz w:val="24"/>
          <w:szCs w:val="24"/>
        </w:rPr>
      </w:pPr>
      <w:r w:rsidRPr="00AA4AD7">
        <w:rPr>
          <w:sz w:val="24"/>
          <w:szCs w:val="24"/>
        </w:rPr>
        <w:t>Sjælden (≥1/10.000 til &lt;1/1.000)</w:t>
      </w:r>
    </w:p>
    <w:p w14:paraId="5C629D41" w14:textId="77777777" w:rsidR="00C73700" w:rsidRPr="00AA4AD7" w:rsidRDefault="00C73700" w:rsidP="00C70C18">
      <w:pPr>
        <w:autoSpaceDE w:val="0"/>
        <w:autoSpaceDN w:val="0"/>
        <w:adjustRightInd w:val="0"/>
        <w:ind w:left="851"/>
        <w:rPr>
          <w:sz w:val="24"/>
          <w:szCs w:val="24"/>
        </w:rPr>
      </w:pPr>
      <w:r w:rsidRPr="00AA4AD7">
        <w:rPr>
          <w:sz w:val="24"/>
          <w:szCs w:val="24"/>
        </w:rPr>
        <w:t xml:space="preserve">Meget sjælden (&lt;1/10.000), </w:t>
      </w:r>
    </w:p>
    <w:p w14:paraId="4E37B069" w14:textId="77777777" w:rsidR="00C73700" w:rsidRPr="00AA4AD7" w:rsidRDefault="00C73700" w:rsidP="00C70C18">
      <w:pPr>
        <w:autoSpaceDE w:val="0"/>
        <w:autoSpaceDN w:val="0"/>
        <w:adjustRightInd w:val="0"/>
        <w:ind w:left="851"/>
        <w:rPr>
          <w:sz w:val="24"/>
          <w:szCs w:val="24"/>
        </w:rPr>
      </w:pPr>
      <w:r w:rsidRPr="00AA4AD7">
        <w:rPr>
          <w:sz w:val="24"/>
          <w:szCs w:val="24"/>
        </w:rPr>
        <w:t>Ikke kendt (kan ikke estimeres ud fra forhåndenværende data).</w:t>
      </w:r>
    </w:p>
    <w:p w14:paraId="49779844" w14:textId="77777777" w:rsidR="00C73700" w:rsidRPr="00AA4AD7" w:rsidRDefault="00C73700" w:rsidP="00C73700">
      <w:pPr>
        <w:tabs>
          <w:tab w:val="left" w:pos="1304"/>
        </w:tabs>
        <w:autoSpaceDE w:val="0"/>
        <w:autoSpaceDN w:val="0"/>
        <w:adjustRightInd w:val="0"/>
        <w:rPr>
          <w:sz w:val="24"/>
          <w:szCs w:val="24"/>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1350"/>
        <w:gridCol w:w="5104"/>
      </w:tblGrid>
      <w:tr w:rsidR="00C73700" w:rsidRPr="00AA4AD7" w14:paraId="609E5B77" w14:textId="77777777" w:rsidTr="00C70C18">
        <w:trPr>
          <w:tblHeader/>
        </w:trPr>
        <w:tc>
          <w:tcPr>
            <w:tcW w:w="1650" w:type="pct"/>
            <w:tcBorders>
              <w:top w:val="single" w:sz="4" w:space="0" w:color="auto"/>
              <w:left w:val="single" w:sz="4" w:space="0" w:color="auto"/>
              <w:bottom w:val="single" w:sz="4" w:space="0" w:color="auto"/>
              <w:right w:val="single" w:sz="4" w:space="0" w:color="auto"/>
            </w:tcBorders>
            <w:hideMark/>
          </w:tcPr>
          <w:p w14:paraId="0C1946AB" w14:textId="77777777" w:rsidR="00C73700" w:rsidRPr="00AA4AD7" w:rsidRDefault="00C73700">
            <w:pPr>
              <w:tabs>
                <w:tab w:val="left" w:pos="1304"/>
              </w:tabs>
              <w:autoSpaceDE w:val="0"/>
              <w:autoSpaceDN w:val="0"/>
              <w:adjustRightInd w:val="0"/>
              <w:rPr>
                <w:b/>
                <w:sz w:val="24"/>
                <w:szCs w:val="24"/>
              </w:rPr>
            </w:pPr>
            <w:r w:rsidRPr="00AA4AD7">
              <w:rPr>
                <w:b/>
                <w:sz w:val="24"/>
                <w:szCs w:val="24"/>
              </w:rPr>
              <w:t>Systemorganklasse</w:t>
            </w:r>
          </w:p>
        </w:tc>
        <w:tc>
          <w:tcPr>
            <w:tcW w:w="698" w:type="pct"/>
            <w:tcBorders>
              <w:top w:val="single" w:sz="4" w:space="0" w:color="auto"/>
              <w:left w:val="single" w:sz="4" w:space="0" w:color="auto"/>
              <w:bottom w:val="single" w:sz="4" w:space="0" w:color="auto"/>
              <w:right w:val="single" w:sz="4" w:space="0" w:color="auto"/>
            </w:tcBorders>
            <w:hideMark/>
          </w:tcPr>
          <w:p w14:paraId="40B8B90E" w14:textId="77777777" w:rsidR="00C73700" w:rsidRPr="00AA4AD7" w:rsidRDefault="00C73700">
            <w:pPr>
              <w:tabs>
                <w:tab w:val="left" w:pos="1304"/>
              </w:tabs>
              <w:autoSpaceDE w:val="0"/>
              <w:autoSpaceDN w:val="0"/>
              <w:adjustRightInd w:val="0"/>
              <w:rPr>
                <w:b/>
                <w:sz w:val="24"/>
                <w:szCs w:val="24"/>
              </w:rPr>
            </w:pPr>
            <w:r w:rsidRPr="00AA4AD7">
              <w:rPr>
                <w:b/>
                <w:sz w:val="24"/>
                <w:szCs w:val="24"/>
              </w:rPr>
              <w:t>Hyppighed</w:t>
            </w:r>
          </w:p>
        </w:tc>
        <w:tc>
          <w:tcPr>
            <w:tcW w:w="2652" w:type="pct"/>
            <w:tcBorders>
              <w:top w:val="single" w:sz="4" w:space="0" w:color="auto"/>
              <w:left w:val="single" w:sz="4" w:space="0" w:color="auto"/>
              <w:bottom w:val="single" w:sz="4" w:space="0" w:color="auto"/>
              <w:right w:val="single" w:sz="4" w:space="0" w:color="auto"/>
            </w:tcBorders>
            <w:hideMark/>
          </w:tcPr>
          <w:p w14:paraId="09A02B00" w14:textId="77777777" w:rsidR="00C73700" w:rsidRPr="00AA4AD7" w:rsidRDefault="00C73700">
            <w:pPr>
              <w:tabs>
                <w:tab w:val="left" w:pos="1304"/>
              </w:tabs>
              <w:autoSpaceDE w:val="0"/>
              <w:autoSpaceDN w:val="0"/>
              <w:adjustRightInd w:val="0"/>
              <w:rPr>
                <w:b/>
                <w:sz w:val="24"/>
                <w:szCs w:val="24"/>
              </w:rPr>
            </w:pPr>
            <w:r w:rsidRPr="00AA4AD7">
              <w:rPr>
                <w:b/>
                <w:sz w:val="24"/>
                <w:szCs w:val="24"/>
              </w:rPr>
              <w:t>Bivirkninger</w:t>
            </w:r>
          </w:p>
        </w:tc>
      </w:tr>
      <w:tr w:rsidR="00C73700" w:rsidRPr="00AA4AD7" w14:paraId="4C69AE94" w14:textId="77777777" w:rsidTr="00C70C18">
        <w:tc>
          <w:tcPr>
            <w:tcW w:w="1650" w:type="pct"/>
            <w:tcBorders>
              <w:top w:val="single" w:sz="4" w:space="0" w:color="auto"/>
              <w:left w:val="single" w:sz="4" w:space="0" w:color="auto"/>
              <w:bottom w:val="single" w:sz="4" w:space="0" w:color="auto"/>
              <w:right w:val="single" w:sz="4" w:space="0" w:color="auto"/>
            </w:tcBorders>
            <w:hideMark/>
          </w:tcPr>
          <w:p w14:paraId="3627D479" w14:textId="77777777" w:rsidR="00C73700" w:rsidRPr="00AA4AD7" w:rsidRDefault="00C73700">
            <w:pPr>
              <w:tabs>
                <w:tab w:val="left" w:pos="1304"/>
              </w:tabs>
              <w:autoSpaceDE w:val="0"/>
              <w:autoSpaceDN w:val="0"/>
              <w:adjustRightInd w:val="0"/>
              <w:rPr>
                <w:sz w:val="24"/>
                <w:szCs w:val="24"/>
              </w:rPr>
            </w:pPr>
            <w:r w:rsidRPr="00AA4AD7">
              <w:rPr>
                <w:sz w:val="24"/>
                <w:szCs w:val="24"/>
              </w:rPr>
              <w:t>Infektioner og parasitære sygdomme</w:t>
            </w:r>
          </w:p>
        </w:tc>
        <w:tc>
          <w:tcPr>
            <w:tcW w:w="698" w:type="pct"/>
            <w:tcBorders>
              <w:top w:val="single" w:sz="4" w:space="0" w:color="auto"/>
              <w:left w:val="single" w:sz="4" w:space="0" w:color="auto"/>
              <w:bottom w:val="single" w:sz="4" w:space="0" w:color="auto"/>
              <w:right w:val="single" w:sz="4" w:space="0" w:color="auto"/>
            </w:tcBorders>
            <w:hideMark/>
          </w:tcPr>
          <w:p w14:paraId="310F038B" w14:textId="77777777" w:rsidR="00C73700" w:rsidRPr="00AA4AD7" w:rsidRDefault="00C73700">
            <w:pPr>
              <w:tabs>
                <w:tab w:val="left" w:pos="1304"/>
              </w:tabs>
              <w:autoSpaceDE w:val="0"/>
              <w:autoSpaceDN w:val="0"/>
              <w:adjustRightInd w:val="0"/>
              <w:rPr>
                <w:sz w:val="24"/>
                <w:szCs w:val="24"/>
              </w:rPr>
            </w:pPr>
            <w:r w:rsidRPr="00AA4AD7">
              <w:rPr>
                <w:sz w:val="24"/>
                <w:szCs w:val="24"/>
              </w:rPr>
              <w:t>Ikke kendt</w:t>
            </w:r>
          </w:p>
        </w:tc>
        <w:tc>
          <w:tcPr>
            <w:tcW w:w="2652" w:type="pct"/>
            <w:tcBorders>
              <w:top w:val="single" w:sz="4" w:space="0" w:color="auto"/>
              <w:left w:val="single" w:sz="4" w:space="0" w:color="auto"/>
              <w:bottom w:val="single" w:sz="4" w:space="0" w:color="auto"/>
              <w:right w:val="single" w:sz="4" w:space="0" w:color="auto"/>
            </w:tcBorders>
            <w:hideMark/>
          </w:tcPr>
          <w:p w14:paraId="2807C051" w14:textId="77777777" w:rsidR="00C73700" w:rsidRPr="00AA4AD7" w:rsidRDefault="00C73700">
            <w:pPr>
              <w:tabs>
                <w:tab w:val="left" w:pos="1304"/>
              </w:tabs>
              <w:autoSpaceDE w:val="0"/>
              <w:autoSpaceDN w:val="0"/>
              <w:adjustRightInd w:val="0"/>
              <w:rPr>
                <w:sz w:val="24"/>
                <w:szCs w:val="24"/>
              </w:rPr>
            </w:pPr>
            <w:r w:rsidRPr="00AA4AD7">
              <w:rPr>
                <w:sz w:val="24"/>
                <w:szCs w:val="24"/>
              </w:rPr>
              <w:t xml:space="preserve">Maskering af infektioner, manifestation, </w:t>
            </w:r>
            <w:proofErr w:type="spellStart"/>
            <w:r w:rsidRPr="00AA4AD7">
              <w:rPr>
                <w:sz w:val="24"/>
                <w:szCs w:val="24"/>
              </w:rPr>
              <w:t>eksacerbation</w:t>
            </w:r>
            <w:proofErr w:type="spellEnd"/>
            <w:r w:rsidRPr="00AA4AD7">
              <w:rPr>
                <w:sz w:val="24"/>
                <w:szCs w:val="24"/>
              </w:rPr>
              <w:t xml:space="preserve"> eller reaktivering af virusinfektioner, svampeinfektioner, infektioner med bakterier og parasitter samt opportunistiske infektioner, aktivering af </w:t>
            </w:r>
            <w:proofErr w:type="spellStart"/>
            <w:r w:rsidRPr="00AA4AD7">
              <w:rPr>
                <w:sz w:val="24"/>
                <w:szCs w:val="24"/>
              </w:rPr>
              <w:t>strongyloidiasis</w:t>
            </w:r>
            <w:proofErr w:type="spellEnd"/>
            <w:r w:rsidRPr="00AA4AD7">
              <w:rPr>
                <w:sz w:val="24"/>
                <w:szCs w:val="24"/>
              </w:rPr>
              <w:t xml:space="preserve"> (se pkt. 4.4).</w:t>
            </w:r>
          </w:p>
        </w:tc>
      </w:tr>
      <w:tr w:rsidR="00C73700" w:rsidRPr="00AA4AD7" w14:paraId="25294AE5" w14:textId="77777777" w:rsidTr="00C70C18">
        <w:tc>
          <w:tcPr>
            <w:tcW w:w="1650" w:type="pct"/>
            <w:tcBorders>
              <w:top w:val="single" w:sz="4" w:space="0" w:color="auto"/>
              <w:left w:val="single" w:sz="4" w:space="0" w:color="auto"/>
              <w:bottom w:val="single" w:sz="4" w:space="0" w:color="auto"/>
              <w:right w:val="single" w:sz="4" w:space="0" w:color="auto"/>
            </w:tcBorders>
            <w:hideMark/>
          </w:tcPr>
          <w:p w14:paraId="0D5B44BA" w14:textId="77777777" w:rsidR="00C73700" w:rsidRPr="00AA4AD7" w:rsidRDefault="00C73700">
            <w:pPr>
              <w:tabs>
                <w:tab w:val="left" w:pos="1304"/>
              </w:tabs>
              <w:autoSpaceDE w:val="0"/>
              <w:autoSpaceDN w:val="0"/>
              <w:adjustRightInd w:val="0"/>
              <w:rPr>
                <w:sz w:val="24"/>
                <w:szCs w:val="24"/>
              </w:rPr>
            </w:pPr>
            <w:r w:rsidRPr="00AA4AD7">
              <w:rPr>
                <w:sz w:val="24"/>
                <w:szCs w:val="24"/>
              </w:rPr>
              <w:t>Blod og lymfesystem</w:t>
            </w:r>
          </w:p>
        </w:tc>
        <w:tc>
          <w:tcPr>
            <w:tcW w:w="698" w:type="pct"/>
            <w:tcBorders>
              <w:top w:val="single" w:sz="4" w:space="0" w:color="auto"/>
              <w:left w:val="single" w:sz="4" w:space="0" w:color="auto"/>
              <w:bottom w:val="single" w:sz="4" w:space="0" w:color="auto"/>
              <w:right w:val="single" w:sz="4" w:space="0" w:color="auto"/>
            </w:tcBorders>
            <w:hideMark/>
          </w:tcPr>
          <w:p w14:paraId="016848B3" w14:textId="77777777" w:rsidR="00C73700" w:rsidRPr="00AA4AD7" w:rsidRDefault="00C73700">
            <w:pPr>
              <w:tabs>
                <w:tab w:val="left" w:pos="1304"/>
              </w:tabs>
              <w:autoSpaceDE w:val="0"/>
              <w:autoSpaceDN w:val="0"/>
              <w:adjustRightInd w:val="0"/>
              <w:rPr>
                <w:sz w:val="24"/>
                <w:szCs w:val="24"/>
              </w:rPr>
            </w:pPr>
            <w:r w:rsidRPr="00AA4AD7">
              <w:rPr>
                <w:sz w:val="24"/>
                <w:szCs w:val="24"/>
              </w:rPr>
              <w:t>Ikke kendt</w:t>
            </w:r>
          </w:p>
        </w:tc>
        <w:tc>
          <w:tcPr>
            <w:tcW w:w="2652" w:type="pct"/>
            <w:tcBorders>
              <w:top w:val="single" w:sz="4" w:space="0" w:color="auto"/>
              <w:left w:val="single" w:sz="4" w:space="0" w:color="auto"/>
              <w:bottom w:val="single" w:sz="4" w:space="0" w:color="auto"/>
              <w:right w:val="single" w:sz="4" w:space="0" w:color="auto"/>
            </w:tcBorders>
            <w:hideMark/>
          </w:tcPr>
          <w:p w14:paraId="18B9A630" w14:textId="77777777" w:rsidR="00C73700" w:rsidRPr="00AA4AD7" w:rsidRDefault="00C73700">
            <w:pPr>
              <w:tabs>
                <w:tab w:val="left" w:pos="1304"/>
              </w:tabs>
              <w:autoSpaceDE w:val="0"/>
              <w:autoSpaceDN w:val="0"/>
              <w:adjustRightInd w:val="0"/>
              <w:rPr>
                <w:sz w:val="24"/>
                <w:szCs w:val="24"/>
              </w:rPr>
            </w:pPr>
            <w:r w:rsidRPr="00AA4AD7">
              <w:rPr>
                <w:sz w:val="24"/>
                <w:szCs w:val="24"/>
              </w:rPr>
              <w:t xml:space="preserve">Moderat leukocytose, </w:t>
            </w:r>
            <w:proofErr w:type="spellStart"/>
            <w:r w:rsidRPr="00AA4AD7">
              <w:rPr>
                <w:sz w:val="24"/>
                <w:szCs w:val="24"/>
              </w:rPr>
              <w:t>lymfopeni</w:t>
            </w:r>
            <w:proofErr w:type="spellEnd"/>
            <w:r w:rsidRPr="00AA4AD7">
              <w:rPr>
                <w:sz w:val="24"/>
                <w:szCs w:val="24"/>
              </w:rPr>
              <w:t xml:space="preserve">, </w:t>
            </w:r>
            <w:proofErr w:type="spellStart"/>
            <w:r w:rsidRPr="00AA4AD7">
              <w:rPr>
                <w:sz w:val="24"/>
                <w:szCs w:val="24"/>
              </w:rPr>
              <w:t>eosinopeni</w:t>
            </w:r>
            <w:proofErr w:type="spellEnd"/>
            <w:r w:rsidRPr="00AA4AD7">
              <w:rPr>
                <w:sz w:val="24"/>
                <w:szCs w:val="24"/>
              </w:rPr>
              <w:t xml:space="preserve">, </w:t>
            </w:r>
            <w:proofErr w:type="spellStart"/>
            <w:r w:rsidRPr="00AA4AD7">
              <w:rPr>
                <w:sz w:val="24"/>
                <w:szCs w:val="24"/>
              </w:rPr>
              <w:t>polycytæmi</w:t>
            </w:r>
            <w:proofErr w:type="spellEnd"/>
          </w:p>
        </w:tc>
      </w:tr>
      <w:tr w:rsidR="00C73700" w:rsidRPr="00AA4AD7" w14:paraId="5003C2E0" w14:textId="77777777" w:rsidTr="00C70C18">
        <w:tc>
          <w:tcPr>
            <w:tcW w:w="1650" w:type="pct"/>
            <w:tcBorders>
              <w:top w:val="single" w:sz="4" w:space="0" w:color="auto"/>
              <w:left w:val="single" w:sz="4" w:space="0" w:color="auto"/>
              <w:bottom w:val="single" w:sz="4" w:space="0" w:color="auto"/>
              <w:right w:val="single" w:sz="4" w:space="0" w:color="auto"/>
            </w:tcBorders>
            <w:hideMark/>
          </w:tcPr>
          <w:p w14:paraId="3C2AEECC" w14:textId="77777777" w:rsidR="00C73700" w:rsidRPr="00AA4AD7" w:rsidRDefault="00C73700">
            <w:pPr>
              <w:tabs>
                <w:tab w:val="left" w:pos="1304"/>
              </w:tabs>
              <w:autoSpaceDE w:val="0"/>
              <w:autoSpaceDN w:val="0"/>
              <w:adjustRightInd w:val="0"/>
              <w:rPr>
                <w:sz w:val="24"/>
                <w:szCs w:val="24"/>
              </w:rPr>
            </w:pPr>
            <w:r w:rsidRPr="00AA4AD7">
              <w:rPr>
                <w:sz w:val="24"/>
                <w:szCs w:val="24"/>
              </w:rPr>
              <w:t>Immunsystemet</w:t>
            </w:r>
          </w:p>
        </w:tc>
        <w:tc>
          <w:tcPr>
            <w:tcW w:w="698" w:type="pct"/>
            <w:tcBorders>
              <w:top w:val="single" w:sz="4" w:space="0" w:color="auto"/>
              <w:left w:val="single" w:sz="4" w:space="0" w:color="auto"/>
              <w:bottom w:val="single" w:sz="4" w:space="0" w:color="auto"/>
              <w:right w:val="single" w:sz="4" w:space="0" w:color="auto"/>
            </w:tcBorders>
            <w:hideMark/>
          </w:tcPr>
          <w:p w14:paraId="5617E1C3" w14:textId="77777777" w:rsidR="00C73700" w:rsidRPr="00AA4AD7" w:rsidRDefault="00C73700">
            <w:pPr>
              <w:tabs>
                <w:tab w:val="left" w:pos="1304"/>
              </w:tabs>
              <w:autoSpaceDE w:val="0"/>
              <w:autoSpaceDN w:val="0"/>
              <w:adjustRightInd w:val="0"/>
              <w:rPr>
                <w:sz w:val="24"/>
                <w:szCs w:val="24"/>
              </w:rPr>
            </w:pPr>
            <w:r w:rsidRPr="00AA4AD7">
              <w:rPr>
                <w:sz w:val="24"/>
                <w:szCs w:val="24"/>
              </w:rPr>
              <w:t>Ikke kendt</w:t>
            </w:r>
          </w:p>
        </w:tc>
        <w:tc>
          <w:tcPr>
            <w:tcW w:w="2652" w:type="pct"/>
            <w:tcBorders>
              <w:top w:val="single" w:sz="4" w:space="0" w:color="auto"/>
              <w:left w:val="single" w:sz="4" w:space="0" w:color="auto"/>
              <w:bottom w:val="single" w:sz="4" w:space="0" w:color="auto"/>
              <w:right w:val="single" w:sz="4" w:space="0" w:color="auto"/>
            </w:tcBorders>
            <w:hideMark/>
          </w:tcPr>
          <w:p w14:paraId="6D3CC94F" w14:textId="77777777" w:rsidR="00C73700" w:rsidRPr="00AA4AD7" w:rsidRDefault="00C73700">
            <w:pPr>
              <w:tabs>
                <w:tab w:val="left" w:pos="1304"/>
              </w:tabs>
              <w:autoSpaceDE w:val="0"/>
              <w:autoSpaceDN w:val="0"/>
              <w:adjustRightInd w:val="0"/>
              <w:rPr>
                <w:sz w:val="24"/>
                <w:szCs w:val="24"/>
              </w:rPr>
            </w:pPr>
            <w:r w:rsidRPr="00AA4AD7">
              <w:rPr>
                <w:sz w:val="24"/>
                <w:szCs w:val="24"/>
              </w:rPr>
              <w:t xml:space="preserve">Overfølsomhedsreaktioner (fx lægemiddelinduceret </w:t>
            </w:r>
            <w:proofErr w:type="spellStart"/>
            <w:r w:rsidRPr="00AA4AD7">
              <w:rPr>
                <w:sz w:val="24"/>
                <w:szCs w:val="24"/>
              </w:rPr>
              <w:t>exanthem</w:t>
            </w:r>
            <w:proofErr w:type="spellEnd"/>
            <w:r w:rsidRPr="00AA4AD7">
              <w:rPr>
                <w:sz w:val="24"/>
                <w:szCs w:val="24"/>
              </w:rPr>
              <w:t xml:space="preserve">), svære </w:t>
            </w:r>
            <w:proofErr w:type="spellStart"/>
            <w:r w:rsidRPr="00AA4AD7">
              <w:rPr>
                <w:sz w:val="24"/>
                <w:szCs w:val="24"/>
              </w:rPr>
              <w:t>anafylaktiske</w:t>
            </w:r>
            <w:proofErr w:type="spellEnd"/>
            <w:r w:rsidRPr="00AA4AD7">
              <w:rPr>
                <w:sz w:val="24"/>
                <w:szCs w:val="24"/>
              </w:rPr>
              <w:t xml:space="preserve"> reaktioner, såsom </w:t>
            </w:r>
            <w:proofErr w:type="spellStart"/>
            <w:r w:rsidRPr="00AA4AD7">
              <w:rPr>
                <w:sz w:val="24"/>
                <w:szCs w:val="24"/>
              </w:rPr>
              <w:t>arytmier</w:t>
            </w:r>
            <w:proofErr w:type="spellEnd"/>
            <w:r w:rsidRPr="00AA4AD7">
              <w:rPr>
                <w:sz w:val="24"/>
                <w:szCs w:val="24"/>
              </w:rPr>
              <w:t xml:space="preserve">, </w:t>
            </w:r>
            <w:proofErr w:type="spellStart"/>
            <w:r w:rsidRPr="00AA4AD7">
              <w:rPr>
                <w:sz w:val="24"/>
                <w:szCs w:val="24"/>
              </w:rPr>
              <w:t>bronkospasmer</w:t>
            </w:r>
            <w:proofErr w:type="spellEnd"/>
            <w:r w:rsidRPr="00AA4AD7">
              <w:rPr>
                <w:sz w:val="24"/>
                <w:szCs w:val="24"/>
              </w:rPr>
              <w:t>, hypertension eller hypotension, kredsløbskollaps, hjertestop, svækkelse af immunsystemet.</w:t>
            </w:r>
          </w:p>
        </w:tc>
      </w:tr>
      <w:tr w:rsidR="00C73700" w:rsidRPr="00AA4AD7" w14:paraId="76C81A3E" w14:textId="77777777" w:rsidTr="00C70C18">
        <w:tc>
          <w:tcPr>
            <w:tcW w:w="1650" w:type="pct"/>
            <w:tcBorders>
              <w:top w:val="single" w:sz="4" w:space="0" w:color="auto"/>
              <w:left w:val="single" w:sz="4" w:space="0" w:color="auto"/>
              <w:bottom w:val="single" w:sz="4" w:space="0" w:color="auto"/>
              <w:right w:val="single" w:sz="4" w:space="0" w:color="auto"/>
            </w:tcBorders>
            <w:hideMark/>
          </w:tcPr>
          <w:p w14:paraId="3B57E9DC" w14:textId="77777777" w:rsidR="00C73700" w:rsidRPr="00AA4AD7" w:rsidRDefault="00C73700">
            <w:pPr>
              <w:tabs>
                <w:tab w:val="left" w:pos="1304"/>
              </w:tabs>
              <w:autoSpaceDE w:val="0"/>
              <w:autoSpaceDN w:val="0"/>
              <w:adjustRightInd w:val="0"/>
              <w:rPr>
                <w:sz w:val="24"/>
                <w:szCs w:val="24"/>
              </w:rPr>
            </w:pPr>
            <w:r w:rsidRPr="00AA4AD7">
              <w:rPr>
                <w:sz w:val="24"/>
                <w:szCs w:val="24"/>
              </w:rPr>
              <w:t>Det endokrine system</w:t>
            </w:r>
          </w:p>
        </w:tc>
        <w:tc>
          <w:tcPr>
            <w:tcW w:w="698" w:type="pct"/>
            <w:tcBorders>
              <w:top w:val="single" w:sz="4" w:space="0" w:color="auto"/>
              <w:left w:val="single" w:sz="4" w:space="0" w:color="auto"/>
              <w:bottom w:val="single" w:sz="4" w:space="0" w:color="auto"/>
              <w:right w:val="single" w:sz="4" w:space="0" w:color="auto"/>
            </w:tcBorders>
            <w:hideMark/>
          </w:tcPr>
          <w:p w14:paraId="36B378A3" w14:textId="77777777" w:rsidR="00C73700" w:rsidRPr="00AA4AD7" w:rsidRDefault="00C73700">
            <w:pPr>
              <w:tabs>
                <w:tab w:val="left" w:pos="1304"/>
              </w:tabs>
              <w:autoSpaceDE w:val="0"/>
              <w:autoSpaceDN w:val="0"/>
              <w:adjustRightInd w:val="0"/>
              <w:rPr>
                <w:sz w:val="24"/>
                <w:szCs w:val="24"/>
              </w:rPr>
            </w:pPr>
            <w:r w:rsidRPr="00AA4AD7">
              <w:rPr>
                <w:sz w:val="24"/>
                <w:szCs w:val="24"/>
              </w:rPr>
              <w:t>Ikke kendt</w:t>
            </w:r>
          </w:p>
        </w:tc>
        <w:tc>
          <w:tcPr>
            <w:tcW w:w="2652" w:type="pct"/>
            <w:tcBorders>
              <w:top w:val="single" w:sz="4" w:space="0" w:color="auto"/>
              <w:left w:val="single" w:sz="4" w:space="0" w:color="auto"/>
              <w:bottom w:val="single" w:sz="4" w:space="0" w:color="auto"/>
              <w:right w:val="single" w:sz="4" w:space="0" w:color="auto"/>
            </w:tcBorders>
            <w:hideMark/>
          </w:tcPr>
          <w:p w14:paraId="1E27C548" w14:textId="77777777" w:rsidR="00C73700" w:rsidRPr="00AA4AD7" w:rsidRDefault="00C73700">
            <w:pPr>
              <w:tabs>
                <w:tab w:val="left" w:pos="1304"/>
              </w:tabs>
              <w:autoSpaceDE w:val="0"/>
              <w:autoSpaceDN w:val="0"/>
              <w:adjustRightInd w:val="0"/>
              <w:rPr>
                <w:sz w:val="24"/>
                <w:szCs w:val="24"/>
              </w:rPr>
            </w:pPr>
            <w:proofErr w:type="spellStart"/>
            <w:r w:rsidRPr="00AA4AD7">
              <w:rPr>
                <w:sz w:val="24"/>
                <w:szCs w:val="24"/>
              </w:rPr>
              <w:t>Cushings</w:t>
            </w:r>
            <w:proofErr w:type="spellEnd"/>
            <w:r w:rsidRPr="00AA4AD7">
              <w:rPr>
                <w:sz w:val="24"/>
                <w:szCs w:val="24"/>
              </w:rPr>
              <w:t xml:space="preserve"> syndrom (typiske symptomer: måneansigt, central fedme og </w:t>
            </w:r>
            <w:proofErr w:type="spellStart"/>
            <w:r w:rsidRPr="00AA4AD7">
              <w:rPr>
                <w:sz w:val="24"/>
                <w:szCs w:val="24"/>
              </w:rPr>
              <w:t>plethora</w:t>
            </w:r>
            <w:proofErr w:type="spellEnd"/>
            <w:r w:rsidRPr="00AA4AD7">
              <w:rPr>
                <w:sz w:val="24"/>
                <w:szCs w:val="24"/>
              </w:rPr>
              <w:t xml:space="preserve">), </w:t>
            </w:r>
            <w:proofErr w:type="spellStart"/>
            <w:r w:rsidRPr="00AA4AD7">
              <w:rPr>
                <w:sz w:val="24"/>
                <w:szCs w:val="24"/>
              </w:rPr>
              <w:t>adrenal</w:t>
            </w:r>
            <w:proofErr w:type="spellEnd"/>
            <w:r w:rsidRPr="00AA4AD7">
              <w:rPr>
                <w:sz w:val="24"/>
                <w:szCs w:val="24"/>
              </w:rPr>
              <w:t xml:space="preserve"> suppression (se pkt. 4.4).</w:t>
            </w:r>
          </w:p>
        </w:tc>
      </w:tr>
      <w:tr w:rsidR="00C73700" w:rsidRPr="00AA4AD7" w14:paraId="5E771EE9" w14:textId="77777777" w:rsidTr="00C70C18">
        <w:tc>
          <w:tcPr>
            <w:tcW w:w="1650" w:type="pct"/>
            <w:tcBorders>
              <w:top w:val="single" w:sz="4" w:space="0" w:color="auto"/>
              <w:left w:val="single" w:sz="4" w:space="0" w:color="auto"/>
              <w:bottom w:val="single" w:sz="4" w:space="0" w:color="auto"/>
              <w:right w:val="single" w:sz="4" w:space="0" w:color="auto"/>
            </w:tcBorders>
            <w:hideMark/>
          </w:tcPr>
          <w:p w14:paraId="75A3BA7A" w14:textId="77777777" w:rsidR="00C73700" w:rsidRPr="00AA4AD7" w:rsidRDefault="00C73700">
            <w:pPr>
              <w:tabs>
                <w:tab w:val="left" w:pos="1304"/>
              </w:tabs>
              <w:autoSpaceDE w:val="0"/>
              <w:autoSpaceDN w:val="0"/>
              <w:adjustRightInd w:val="0"/>
              <w:rPr>
                <w:sz w:val="24"/>
                <w:szCs w:val="24"/>
              </w:rPr>
            </w:pPr>
            <w:r w:rsidRPr="00AA4AD7">
              <w:rPr>
                <w:sz w:val="24"/>
                <w:szCs w:val="24"/>
              </w:rPr>
              <w:t>Metabolisme og ernæring</w:t>
            </w:r>
          </w:p>
        </w:tc>
        <w:tc>
          <w:tcPr>
            <w:tcW w:w="698" w:type="pct"/>
            <w:tcBorders>
              <w:top w:val="single" w:sz="4" w:space="0" w:color="auto"/>
              <w:left w:val="single" w:sz="4" w:space="0" w:color="auto"/>
              <w:bottom w:val="single" w:sz="4" w:space="0" w:color="auto"/>
              <w:right w:val="single" w:sz="4" w:space="0" w:color="auto"/>
            </w:tcBorders>
            <w:hideMark/>
          </w:tcPr>
          <w:p w14:paraId="2535C133" w14:textId="77777777" w:rsidR="00C73700" w:rsidRPr="00AA4AD7" w:rsidRDefault="00C73700">
            <w:pPr>
              <w:tabs>
                <w:tab w:val="left" w:pos="1304"/>
              </w:tabs>
              <w:autoSpaceDE w:val="0"/>
              <w:autoSpaceDN w:val="0"/>
              <w:adjustRightInd w:val="0"/>
              <w:rPr>
                <w:sz w:val="24"/>
                <w:szCs w:val="24"/>
              </w:rPr>
            </w:pPr>
            <w:r w:rsidRPr="00AA4AD7">
              <w:rPr>
                <w:sz w:val="24"/>
                <w:szCs w:val="24"/>
              </w:rPr>
              <w:t>Ikke kendt</w:t>
            </w:r>
          </w:p>
        </w:tc>
        <w:tc>
          <w:tcPr>
            <w:tcW w:w="2652" w:type="pct"/>
            <w:tcBorders>
              <w:top w:val="single" w:sz="4" w:space="0" w:color="auto"/>
              <w:left w:val="single" w:sz="4" w:space="0" w:color="auto"/>
              <w:bottom w:val="single" w:sz="4" w:space="0" w:color="auto"/>
              <w:right w:val="single" w:sz="4" w:space="0" w:color="auto"/>
            </w:tcBorders>
            <w:hideMark/>
          </w:tcPr>
          <w:p w14:paraId="1A418424" w14:textId="77777777" w:rsidR="00C73700" w:rsidRPr="00AA4AD7" w:rsidRDefault="00C73700">
            <w:pPr>
              <w:tabs>
                <w:tab w:val="left" w:pos="1304"/>
              </w:tabs>
              <w:autoSpaceDE w:val="0"/>
              <w:autoSpaceDN w:val="0"/>
              <w:adjustRightInd w:val="0"/>
              <w:rPr>
                <w:sz w:val="24"/>
                <w:szCs w:val="24"/>
              </w:rPr>
            </w:pPr>
            <w:r w:rsidRPr="00AA4AD7">
              <w:rPr>
                <w:sz w:val="24"/>
                <w:szCs w:val="24"/>
              </w:rPr>
              <w:t xml:space="preserve">Natriumretention med ødem, øget kaliumtab (risiko for </w:t>
            </w:r>
            <w:proofErr w:type="spellStart"/>
            <w:r w:rsidRPr="00AA4AD7">
              <w:rPr>
                <w:sz w:val="24"/>
                <w:szCs w:val="24"/>
              </w:rPr>
              <w:t>arytmier</w:t>
            </w:r>
            <w:proofErr w:type="spellEnd"/>
            <w:r w:rsidRPr="00AA4AD7">
              <w:rPr>
                <w:sz w:val="24"/>
                <w:szCs w:val="24"/>
              </w:rPr>
              <w:t xml:space="preserve">), vægtstigning, reduceret glukosetolerance, diabetes mellitus, </w:t>
            </w:r>
            <w:proofErr w:type="spellStart"/>
            <w:r w:rsidRPr="00AA4AD7">
              <w:rPr>
                <w:sz w:val="24"/>
                <w:szCs w:val="24"/>
              </w:rPr>
              <w:t>hyperkolesterolæmi</w:t>
            </w:r>
            <w:proofErr w:type="spellEnd"/>
            <w:r w:rsidRPr="00AA4AD7">
              <w:rPr>
                <w:sz w:val="24"/>
                <w:szCs w:val="24"/>
              </w:rPr>
              <w:t xml:space="preserve"> og </w:t>
            </w:r>
            <w:proofErr w:type="spellStart"/>
            <w:r w:rsidRPr="00AA4AD7">
              <w:rPr>
                <w:sz w:val="24"/>
                <w:szCs w:val="24"/>
              </w:rPr>
              <w:t>hypertriglyceridæmi</w:t>
            </w:r>
            <w:proofErr w:type="spellEnd"/>
            <w:r w:rsidRPr="00AA4AD7">
              <w:rPr>
                <w:sz w:val="24"/>
                <w:szCs w:val="24"/>
              </w:rPr>
              <w:t>, øget appetit</w:t>
            </w:r>
          </w:p>
        </w:tc>
      </w:tr>
      <w:tr w:rsidR="00C73700" w:rsidRPr="00AA4AD7" w14:paraId="2640CE09" w14:textId="77777777" w:rsidTr="00C70C18">
        <w:tc>
          <w:tcPr>
            <w:tcW w:w="1650" w:type="pct"/>
            <w:tcBorders>
              <w:top w:val="single" w:sz="4" w:space="0" w:color="auto"/>
              <w:left w:val="single" w:sz="4" w:space="0" w:color="auto"/>
              <w:bottom w:val="single" w:sz="4" w:space="0" w:color="auto"/>
              <w:right w:val="single" w:sz="4" w:space="0" w:color="auto"/>
            </w:tcBorders>
            <w:hideMark/>
          </w:tcPr>
          <w:p w14:paraId="1AE9B593" w14:textId="77777777" w:rsidR="00C73700" w:rsidRPr="00AA4AD7" w:rsidRDefault="00C73700">
            <w:pPr>
              <w:tabs>
                <w:tab w:val="left" w:pos="1304"/>
              </w:tabs>
              <w:autoSpaceDE w:val="0"/>
              <w:autoSpaceDN w:val="0"/>
              <w:adjustRightInd w:val="0"/>
              <w:rPr>
                <w:sz w:val="24"/>
                <w:szCs w:val="24"/>
              </w:rPr>
            </w:pPr>
            <w:r w:rsidRPr="00AA4AD7">
              <w:rPr>
                <w:sz w:val="24"/>
                <w:szCs w:val="24"/>
              </w:rPr>
              <w:t>Psykiske forstyrrelser</w:t>
            </w:r>
          </w:p>
        </w:tc>
        <w:tc>
          <w:tcPr>
            <w:tcW w:w="698" w:type="pct"/>
            <w:tcBorders>
              <w:top w:val="single" w:sz="4" w:space="0" w:color="auto"/>
              <w:left w:val="single" w:sz="4" w:space="0" w:color="auto"/>
              <w:bottom w:val="single" w:sz="4" w:space="0" w:color="auto"/>
              <w:right w:val="single" w:sz="4" w:space="0" w:color="auto"/>
            </w:tcBorders>
            <w:hideMark/>
          </w:tcPr>
          <w:p w14:paraId="12E79595" w14:textId="77777777" w:rsidR="00C73700" w:rsidRPr="00AA4AD7" w:rsidRDefault="00C73700">
            <w:pPr>
              <w:tabs>
                <w:tab w:val="left" w:pos="1304"/>
              </w:tabs>
              <w:autoSpaceDE w:val="0"/>
              <w:autoSpaceDN w:val="0"/>
              <w:adjustRightInd w:val="0"/>
              <w:rPr>
                <w:sz w:val="24"/>
                <w:szCs w:val="24"/>
              </w:rPr>
            </w:pPr>
            <w:r w:rsidRPr="00AA4AD7">
              <w:rPr>
                <w:sz w:val="24"/>
                <w:szCs w:val="24"/>
              </w:rPr>
              <w:t>Ikke kendt</w:t>
            </w:r>
          </w:p>
        </w:tc>
        <w:tc>
          <w:tcPr>
            <w:tcW w:w="2652" w:type="pct"/>
            <w:tcBorders>
              <w:top w:val="single" w:sz="4" w:space="0" w:color="auto"/>
              <w:left w:val="single" w:sz="4" w:space="0" w:color="auto"/>
              <w:bottom w:val="single" w:sz="4" w:space="0" w:color="auto"/>
              <w:right w:val="single" w:sz="4" w:space="0" w:color="auto"/>
            </w:tcBorders>
            <w:hideMark/>
          </w:tcPr>
          <w:p w14:paraId="59622C0D" w14:textId="77777777" w:rsidR="00C73700" w:rsidRPr="00AA4AD7" w:rsidRDefault="00C73700">
            <w:pPr>
              <w:tabs>
                <w:tab w:val="left" w:pos="1304"/>
              </w:tabs>
              <w:autoSpaceDE w:val="0"/>
              <w:autoSpaceDN w:val="0"/>
              <w:adjustRightInd w:val="0"/>
              <w:rPr>
                <w:sz w:val="24"/>
                <w:szCs w:val="24"/>
              </w:rPr>
            </w:pPr>
            <w:r w:rsidRPr="00AA4AD7">
              <w:rPr>
                <w:sz w:val="24"/>
                <w:szCs w:val="24"/>
              </w:rPr>
              <w:t>Depressioner, irritation, eufori, øget energiniveau, psykoser, mani, hallucinationer, affektlabilitet, angstfølelse, søvnforstyrrelser, selvmordstendens</w:t>
            </w:r>
          </w:p>
        </w:tc>
      </w:tr>
      <w:tr w:rsidR="00C73700" w:rsidRPr="00AA4AD7" w14:paraId="29C76633" w14:textId="77777777" w:rsidTr="00C70C18">
        <w:tc>
          <w:tcPr>
            <w:tcW w:w="1650" w:type="pct"/>
            <w:tcBorders>
              <w:top w:val="single" w:sz="4" w:space="0" w:color="auto"/>
              <w:left w:val="single" w:sz="4" w:space="0" w:color="auto"/>
              <w:bottom w:val="single" w:sz="4" w:space="0" w:color="auto"/>
              <w:right w:val="single" w:sz="4" w:space="0" w:color="auto"/>
            </w:tcBorders>
            <w:hideMark/>
          </w:tcPr>
          <w:p w14:paraId="1F2CE48C" w14:textId="77777777" w:rsidR="00C73700" w:rsidRPr="00AA4AD7" w:rsidRDefault="00C73700">
            <w:pPr>
              <w:tabs>
                <w:tab w:val="left" w:pos="1304"/>
              </w:tabs>
              <w:autoSpaceDE w:val="0"/>
              <w:autoSpaceDN w:val="0"/>
              <w:adjustRightInd w:val="0"/>
              <w:rPr>
                <w:sz w:val="24"/>
                <w:szCs w:val="24"/>
              </w:rPr>
            </w:pPr>
            <w:r w:rsidRPr="00AA4AD7">
              <w:rPr>
                <w:sz w:val="24"/>
                <w:szCs w:val="24"/>
              </w:rPr>
              <w:t>Nervesystemet</w:t>
            </w:r>
          </w:p>
        </w:tc>
        <w:tc>
          <w:tcPr>
            <w:tcW w:w="698" w:type="pct"/>
            <w:tcBorders>
              <w:top w:val="single" w:sz="4" w:space="0" w:color="auto"/>
              <w:left w:val="single" w:sz="4" w:space="0" w:color="auto"/>
              <w:bottom w:val="single" w:sz="4" w:space="0" w:color="auto"/>
              <w:right w:val="single" w:sz="4" w:space="0" w:color="auto"/>
            </w:tcBorders>
            <w:hideMark/>
          </w:tcPr>
          <w:p w14:paraId="184887F5" w14:textId="77777777" w:rsidR="00C73700" w:rsidRPr="00AA4AD7" w:rsidRDefault="00C73700">
            <w:pPr>
              <w:tabs>
                <w:tab w:val="left" w:pos="1304"/>
              </w:tabs>
              <w:autoSpaceDE w:val="0"/>
              <w:autoSpaceDN w:val="0"/>
              <w:adjustRightInd w:val="0"/>
              <w:rPr>
                <w:sz w:val="24"/>
                <w:szCs w:val="24"/>
              </w:rPr>
            </w:pPr>
            <w:r w:rsidRPr="00AA4AD7">
              <w:rPr>
                <w:sz w:val="24"/>
                <w:szCs w:val="24"/>
              </w:rPr>
              <w:t>Ikke kendt</w:t>
            </w:r>
          </w:p>
        </w:tc>
        <w:tc>
          <w:tcPr>
            <w:tcW w:w="2652" w:type="pct"/>
            <w:tcBorders>
              <w:top w:val="single" w:sz="4" w:space="0" w:color="auto"/>
              <w:left w:val="single" w:sz="4" w:space="0" w:color="auto"/>
              <w:bottom w:val="single" w:sz="4" w:space="0" w:color="auto"/>
              <w:right w:val="single" w:sz="4" w:space="0" w:color="auto"/>
            </w:tcBorders>
            <w:hideMark/>
          </w:tcPr>
          <w:p w14:paraId="31948537" w14:textId="77777777" w:rsidR="00C73700" w:rsidRPr="00AA4AD7" w:rsidRDefault="00C73700">
            <w:pPr>
              <w:tabs>
                <w:tab w:val="left" w:pos="1304"/>
              </w:tabs>
              <w:autoSpaceDE w:val="0"/>
              <w:autoSpaceDN w:val="0"/>
              <w:adjustRightInd w:val="0"/>
              <w:rPr>
                <w:sz w:val="24"/>
                <w:szCs w:val="24"/>
              </w:rPr>
            </w:pPr>
            <w:proofErr w:type="spellStart"/>
            <w:r w:rsidRPr="00AA4AD7">
              <w:rPr>
                <w:sz w:val="24"/>
                <w:szCs w:val="24"/>
              </w:rPr>
              <w:t>Pseudotumour</w:t>
            </w:r>
            <w:proofErr w:type="spellEnd"/>
            <w:r w:rsidRPr="00AA4AD7">
              <w:rPr>
                <w:sz w:val="24"/>
                <w:szCs w:val="24"/>
              </w:rPr>
              <w:t xml:space="preserve"> </w:t>
            </w:r>
            <w:proofErr w:type="spellStart"/>
            <w:r w:rsidRPr="00AA4AD7">
              <w:rPr>
                <w:sz w:val="24"/>
                <w:szCs w:val="24"/>
              </w:rPr>
              <w:t>cerebri</w:t>
            </w:r>
            <w:proofErr w:type="spellEnd"/>
            <w:r w:rsidRPr="00AA4AD7">
              <w:rPr>
                <w:sz w:val="24"/>
                <w:szCs w:val="24"/>
              </w:rPr>
              <w:t>, manifestation af latent epilepsi, øget sandsynlighed for krampeanfald i tilfælde af manifest epilepsi.</w:t>
            </w:r>
          </w:p>
        </w:tc>
      </w:tr>
      <w:tr w:rsidR="00C73700" w:rsidRPr="00AA4AD7" w14:paraId="428FEE3A" w14:textId="77777777" w:rsidTr="00C70C18">
        <w:tc>
          <w:tcPr>
            <w:tcW w:w="1650" w:type="pct"/>
            <w:tcBorders>
              <w:top w:val="single" w:sz="4" w:space="0" w:color="auto"/>
              <w:left w:val="single" w:sz="4" w:space="0" w:color="auto"/>
              <w:bottom w:val="single" w:sz="4" w:space="0" w:color="auto"/>
              <w:right w:val="single" w:sz="4" w:space="0" w:color="auto"/>
            </w:tcBorders>
            <w:hideMark/>
          </w:tcPr>
          <w:p w14:paraId="61A8767C" w14:textId="77777777" w:rsidR="00C73700" w:rsidRPr="00AA4AD7" w:rsidRDefault="00C73700">
            <w:pPr>
              <w:tabs>
                <w:tab w:val="left" w:pos="1304"/>
              </w:tabs>
              <w:autoSpaceDE w:val="0"/>
              <w:autoSpaceDN w:val="0"/>
              <w:adjustRightInd w:val="0"/>
              <w:rPr>
                <w:sz w:val="24"/>
                <w:szCs w:val="24"/>
              </w:rPr>
            </w:pPr>
            <w:r w:rsidRPr="00AA4AD7">
              <w:rPr>
                <w:sz w:val="24"/>
                <w:szCs w:val="24"/>
              </w:rPr>
              <w:t>Øjne</w:t>
            </w:r>
          </w:p>
        </w:tc>
        <w:tc>
          <w:tcPr>
            <w:tcW w:w="698" w:type="pct"/>
            <w:tcBorders>
              <w:top w:val="single" w:sz="4" w:space="0" w:color="auto"/>
              <w:left w:val="single" w:sz="4" w:space="0" w:color="auto"/>
              <w:bottom w:val="single" w:sz="4" w:space="0" w:color="auto"/>
              <w:right w:val="single" w:sz="4" w:space="0" w:color="auto"/>
            </w:tcBorders>
            <w:hideMark/>
          </w:tcPr>
          <w:p w14:paraId="16D66996" w14:textId="77777777" w:rsidR="00C73700" w:rsidRPr="00AA4AD7" w:rsidRDefault="00C73700">
            <w:pPr>
              <w:tabs>
                <w:tab w:val="left" w:pos="1304"/>
              </w:tabs>
              <w:autoSpaceDE w:val="0"/>
              <w:autoSpaceDN w:val="0"/>
              <w:adjustRightInd w:val="0"/>
              <w:rPr>
                <w:sz w:val="24"/>
                <w:szCs w:val="24"/>
              </w:rPr>
            </w:pPr>
            <w:r w:rsidRPr="00AA4AD7">
              <w:rPr>
                <w:sz w:val="24"/>
                <w:szCs w:val="24"/>
              </w:rPr>
              <w:t>Ikke kendt</w:t>
            </w:r>
          </w:p>
        </w:tc>
        <w:tc>
          <w:tcPr>
            <w:tcW w:w="2652" w:type="pct"/>
            <w:tcBorders>
              <w:top w:val="single" w:sz="4" w:space="0" w:color="auto"/>
              <w:left w:val="single" w:sz="4" w:space="0" w:color="auto"/>
              <w:bottom w:val="single" w:sz="4" w:space="0" w:color="auto"/>
              <w:right w:val="single" w:sz="4" w:space="0" w:color="auto"/>
            </w:tcBorders>
            <w:hideMark/>
          </w:tcPr>
          <w:p w14:paraId="3A9D609B" w14:textId="77777777" w:rsidR="00C73700" w:rsidRPr="00AA4AD7" w:rsidRDefault="00C73700">
            <w:pPr>
              <w:tabs>
                <w:tab w:val="left" w:pos="1304"/>
              </w:tabs>
              <w:autoSpaceDE w:val="0"/>
              <w:autoSpaceDN w:val="0"/>
              <w:adjustRightInd w:val="0"/>
              <w:rPr>
                <w:sz w:val="24"/>
                <w:szCs w:val="24"/>
              </w:rPr>
            </w:pPr>
            <w:r w:rsidRPr="00AA4AD7">
              <w:rPr>
                <w:sz w:val="24"/>
                <w:szCs w:val="24"/>
              </w:rPr>
              <w:t xml:space="preserve">Katarakt, især med </w:t>
            </w:r>
            <w:proofErr w:type="spellStart"/>
            <w:r w:rsidRPr="00AA4AD7">
              <w:rPr>
                <w:sz w:val="24"/>
                <w:szCs w:val="24"/>
              </w:rPr>
              <w:t>posterior</w:t>
            </w:r>
            <w:proofErr w:type="spellEnd"/>
            <w:r w:rsidRPr="00AA4AD7">
              <w:rPr>
                <w:sz w:val="24"/>
                <w:szCs w:val="24"/>
              </w:rPr>
              <w:t xml:space="preserve"> </w:t>
            </w:r>
            <w:proofErr w:type="spellStart"/>
            <w:r w:rsidRPr="00AA4AD7">
              <w:rPr>
                <w:sz w:val="24"/>
                <w:szCs w:val="24"/>
              </w:rPr>
              <w:t>subkapsulær</w:t>
            </w:r>
            <w:proofErr w:type="spellEnd"/>
            <w:r w:rsidRPr="00AA4AD7">
              <w:rPr>
                <w:sz w:val="24"/>
                <w:szCs w:val="24"/>
              </w:rPr>
              <w:t xml:space="preserve"> opacitet, </w:t>
            </w:r>
            <w:proofErr w:type="spellStart"/>
            <w:r w:rsidRPr="00AA4AD7">
              <w:rPr>
                <w:sz w:val="24"/>
                <w:szCs w:val="24"/>
              </w:rPr>
              <w:t>glaukom</w:t>
            </w:r>
            <w:proofErr w:type="spellEnd"/>
            <w:r w:rsidRPr="00AA4AD7">
              <w:rPr>
                <w:sz w:val="24"/>
                <w:szCs w:val="24"/>
              </w:rPr>
              <w:t xml:space="preserve">, forværring af symptomer i tilfælde af hornhindesår, øget risiko for virus-, svampe- og bakterieinfektioner i øjet, forværring af bakterieinflammation i hornhinde, </w:t>
            </w:r>
            <w:proofErr w:type="spellStart"/>
            <w:r w:rsidRPr="00AA4AD7">
              <w:rPr>
                <w:sz w:val="24"/>
                <w:szCs w:val="24"/>
              </w:rPr>
              <w:t>ptose</w:t>
            </w:r>
            <w:proofErr w:type="spellEnd"/>
            <w:r w:rsidRPr="00AA4AD7">
              <w:rPr>
                <w:sz w:val="24"/>
                <w:szCs w:val="24"/>
              </w:rPr>
              <w:t xml:space="preserve">, </w:t>
            </w:r>
            <w:proofErr w:type="spellStart"/>
            <w:r w:rsidRPr="00AA4AD7">
              <w:rPr>
                <w:sz w:val="24"/>
                <w:szCs w:val="24"/>
              </w:rPr>
              <w:t>mydriasis</w:t>
            </w:r>
            <w:proofErr w:type="spellEnd"/>
            <w:r w:rsidRPr="00AA4AD7">
              <w:rPr>
                <w:sz w:val="24"/>
                <w:szCs w:val="24"/>
              </w:rPr>
              <w:t xml:space="preserve">, </w:t>
            </w:r>
            <w:proofErr w:type="spellStart"/>
            <w:r w:rsidRPr="00AA4AD7">
              <w:rPr>
                <w:sz w:val="24"/>
                <w:szCs w:val="24"/>
              </w:rPr>
              <w:t>chemosis</w:t>
            </w:r>
            <w:proofErr w:type="spellEnd"/>
            <w:r w:rsidRPr="00AA4AD7">
              <w:rPr>
                <w:sz w:val="24"/>
                <w:szCs w:val="24"/>
              </w:rPr>
              <w:t xml:space="preserve">, </w:t>
            </w:r>
            <w:proofErr w:type="spellStart"/>
            <w:r w:rsidRPr="00AA4AD7">
              <w:rPr>
                <w:sz w:val="24"/>
                <w:szCs w:val="24"/>
              </w:rPr>
              <w:t>iatrogen</w:t>
            </w:r>
            <w:proofErr w:type="spellEnd"/>
            <w:r w:rsidRPr="00AA4AD7">
              <w:rPr>
                <w:sz w:val="24"/>
                <w:szCs w:val="24"/>
              </w:rPr>
              <w:t xml:space="preserve"> </w:t>
            </w:r>
            <w:proofErr w:type="spellStart"/>
            <w:r w:rsidRPr="00AA4AD7">
              <w:rPr>
                <w:sz w:val="24"/>
                <w:szCs w:val="24"/>
              </w:rPr>
              <w:t>skleral</w:t>
            </w:r>
            <w:proofErr w:type="spellEnd"/>
            <w:r w:rsidRPr="00AA4AD7">
              <w:rPr>
                <w:sz w:val="24"/>
                <w:szCs w:val="24"/>
              </w:rPr>
              <w:t xml:space="preserve"> perforation, </w:t>
            </w:r>
            <w:proofErr w:type="spellStart"/>
            <w:r w:rsidRPr="00AA4AD7">
              <w:rPr>
                <w:sz w:val="24"/>
                <w:szCs w:val="24"/>
              </w:rPr>
              <w:t>korioretinopati</w:t>
            </w:r>
            <w:proofErr w:type="spellEnd"/>
            <w:r w:rsidRPr="00AA4AD7">
              <w:rPr>
                <w:sz w:val="24"/>
                <w:szCs w:val="24"/>
              </w:rPr>
              <w:t xml:space="preserve">. I sjældne tilfælde, reversibel </w:t>
            </w:r>
            <w:proofErr w:type="spellStart"/>
            <w:r w:rsidRPr="00AA4AD7">
              <w:rPr>
                <w:sz w:val="24"/>
                <w:szCs w:val="24"/>
              </w:rPr>
              <w:t>eksoftalmi</w:t>
            </w:r>
            <w:proofErr w:type="spellEnd"/>
            <w:r w:rsidRPr="00AA4AD7">
              <w:rPr>
                <w:sz w:val="24"/>
                <w:szCs w:val="24"/>
              </w:rPr>
              <w:t>. Sløret syn (se også pkt. 4.4).</w:t>
            </w:r>
          </w:p>
        </w:tc>
      </w:tr>
      <w:tr w:rsidR="00C73700" w:rsidRPr="00AA4AD7" w14:paraId="7F337591" w14:textId="77777777" w:rsidTr="00C70C18">
        <w:tc>
          <w:tcPr>
            <w:tcW w:w="1650" w:type="pct"/>
            <w:tcBorders>
              <w:top w:val="single" w:sz="4" w:space="0" w:color="auto"/>
              <w:left w:val="single" w:sz="4" w:space="0" w:color="auto"/>
              <w:bottom w:val="single" w:sz="4" w:space="0" w:color="auto"/>
              <w:right w:val="single" w:sz="4" w:space="0" w:color="auto"/>
            </w:tcBorders>
            <w:hideMark/>
          </w:tcPr>
          <w:p w14:paraId="26B311B2" w14:textId="77777777" w:rsidR="00C73700" w:rsidRPr="00AA4AD7" w:rsidRDefault="00C73700">
            <w:pPr>
              <w:tabs>
                <w:tab w:val="left" w:pos="1304"/>
              </w:tabs>
              <w:autoSpaceDE w:val="0"/>
              <w:autoSpaceDN w:val="0"/>
              <w:adjustRightInd w:val="0"/>
              <w:rPr>
                <w:sz w:val="24"/>
                <w:szCs w:val="24"/>
              </w:rPr>
            </w:pPr>
            <w:r w:rsidRPr="00AA4AD7">
              <w:rPr>
                <w:sz w:val="24"/>
                <w:szCs w:val="24"/>
              </w:rPr>
              <w:lastRenderedPageBreak/>
              <w:t>Hjerte</w:t>
            </w:r>
          </w:p>
        </w:tc>
        <w:tc>
          <w:tcPr>
            <w:tcW w:w="698" w:type="pct"/>
            <w:tcBorders>
              <w:top w:val="single" w:sz="4" w:space="0" w:color="auto"/>
              <w:left w:val="single" w:sz="4" w:space="0" w:color="auto"/>
              <w:bottom w:val="single" w:sz="4" w:space="0" w:color="auto"/>
              <w:right w:val="single" w:sz="4" w:space="0" w:color="auto"/>
            </w:tcBorders>
            <w:hideMark/>
          </w:tcPr>
          <w:p w14:paraId="3EBA9F59" w14:textId="77777777" w:rsidR="00C73700" w:rsidRPr="00AA4AD7" w:rsidRDefault="00C73700">
            <w:pPr>
              <w:tabs>
                <w:tab w:val="left" w:pos="1304"/>
              </w:tabs>
              <w:autoSpaceDE w:val="0"/>
              <w:autoSpaceDN w:val="0"/>
              <w:adjustRightInd w:val="0"/>
              <w:rPr>
                <w:sz w:val="24"/>
                <w:szCs w:val="24"/>
              </w:rPr>
            </w:pPr>
            <w:r w:rsidRPr="00AA4AD7">
              <w:rPr>
                <w:sz w:val="24"/>
                <w:szCs w:val="24"/>
              </w:rPr>
              <w:t>Ikke kendt</w:t>
            </w:r>
          </w:p>
        </w:tc>
        <w:tc>
          <w:tcPr>
            <w:tcW w:w="2652" w:type="pct"/>
            <w:tcBorders>
              <w:top w:val="single" w:sz="4" w:space="0" w:color="auto"/>
              <w:left w:val="single" w:sz="4" w:space="0" w:color="auto"/>
              <w:bottom w:val="single" w:sz="4" w:space="0" w:color="auto"/>
              <w:right w:val="single" w:sz="4" w:space="0" w:color="auto"/>
            </w:tcBorders>
            <w:hideMark/>
          </w:tcPr>
          <w:p w14:paraId="187FF054" w14:textId="77777777" w:rsidR="00C73700" w:rsidRPr="00AA4AD7" w:rsidRDefault="00C73700">
            <w:pPr>
              <w:tabs>
                <w:tab w:val="left" w:pos="1304"/>
              </w:tabs>
              <w:autoSpaceDE w:val="0"/>
              <w:autoSpaceDN w:val="0"/>
              <w:adjustRightInd w:val="0"/>
              <w:rPr>
                <w:sz w:val="24"/>
                <w:szCs w:val="24"/>
              </w:rPr>
            </w:pPr>
            <w:proofErr w:type="spellStart"/>
            <w:r w:rsidRPr="00AA4AD7">
              <w:rPr>
                <w:sz w:val="24"/>
                <w:szCs w:val="24"/>
              </w:rPr>
              <w:t>Hypertrofisk</w:t>
            </w:r>
            <w:proofErr w:type="spellEnd"/>
            <w:r w:rsidRPr="00AA4AD7">
              <w:rPr>
                <w:sz w:val="24"/>
                <w:szCs w:val="24"/>
              </w:rPr>
              <w:t xml:space="preserve"> </w:t>
            </w:r>
            <w:proofErr w:type="spellStart"/>
            <w:r w:rsidRPr="00AA4AD7">
              <w:rPr>
                <w:sz w:val="24"/>
                <w:szCs w:val="24"/>
              </w:rPr>
              <w:t>kardiomyopati</w:t>
            </w:r>
            <w:proofErr w:type="spellEnd"/>
            <w:r w:rsidRPr="00AA4AD7">
              <w:rPr>
                <w:sz w:val="24"/>
                <w:szCs w:val="24"/>
              </w:rPr>
              <w:t xml:space="preserve"> hos præmature spædbørn (se pkt. 4.4).</w:t>
            </w:r>
          </w:p>
        </w:tc>
      </w:tr>
      <w:tr w:rsidR="00C73700" w:rsidRPr="00AA4AD7" w14:paraId="2567C00F" w14:textId="77777777" w:rsidTr="00C70C18">
        <w:tc>
          <w:tcPr>
            <w:tcW w:w="1650" w:type="pct"/>
            <w:tcBorders>
              <w:top w:val="single" w:sz="4" w:space="0" w:color="auto"/>
              <w:left w:val="single" w:sz="4" w:space="0" w:color="auto"/>
              <w:bottom w:val="single" w:sz="4" w:space="0" w:color="auto"/>
              <w:right w:val="single" w:sz="4" w:space="0" w:color="auto"/>
            </w:tcBorders>
            <w:hideMark/>
          </w:tcPr>
          <w:p w14:paraId="74323E93" w14:textId="77777777" w:rsidR="00C73700" w:rsidRPr="00AA4AD7" w:rsidRDefault="00C73700">
            <w:pPr>
              <w:tabs>
                <w:tab w:val="left" w:pos="1304"/>
              </w:tabs>
              <w:autoSpaceDE w:val="0"/>
              <w:autoSpaceDN w:val="0"/>
              <w:adjustRightInd w:val="0"/>
              <w:rPr>
                <w:sz w:val="24"/>
                <w:szCs w:val="24"/>
              </w:rPr>
            </w:pPr>
            <w:proofErr w:type="spellStart"/>
            <w:r w:rsidRPr="00AA4AD7">
              <w:rPr>
                <w:sz w:val="24"/>
                <w:szCs w:val="24"/>
              </w:rPr>
              <w:t>Vaskulære</w:t>
            </w:r>
            <w:proofErr w:type="spellEnd"/>
            <w:r w:rsidRPr="00AA4AD7">
              <w:rPr>
                <w:sz w:val="24"/>
                <w:szCs w:val="24"/>
              </w:rPr>
              <w:t xml:space="preserve"> sygdomme</w:t>
            </w:r>
          </w:p>
        </w:tc>
        <w:tc>
          <w:tcPr>
            <w:tcW w:w="698" w:type="pct"/>
            <w:tcBorders>
              <w:top w:val="single" w:sz="4" w:space="0" w:color="auto"/>
              <w:left w:val="single" w:sz="4" w:space="0" w:color="auto"/>
              <w:bottom w:val="single" w:sz="4" w:space="0" w:color="auto"/>
              <w:right w:val="single" w:sz="4" w:space="0" w:color="auto"/>
            </w:tcBorders>
            <w:hideMark/>
          </w:tcPr>
          <w:p w14:paraId="469773D4" w14:textId="77777777" w:rsidR="00C73700" w:rsidRPr="00AA4AD7" w:rsidRDefault="00C73700">
            <w:pPr>
              <w:tabs>
                <w:tab w:val="left" w:pos="1304"/>
              </w:tabs>
              <w:autoSpaceDE w:val="0"/>
              <w:autoSpaceDN w:val="0"/>
              <w:adjustRightInd w:val="0"/>
              <w:rPr>
                <w:sz w:val="24"/>
                <w:szCs w:val="24"/>
              </w:rPr>
            </w:pPr>
            <w:r w:rsidRPr="00AA4AD7">
              <w:rPr>
                <w:sz w:val="24"/>
                <w:szCs w:val="24"/>
              </w:rPr>
              <w:t>Ikke kendt</w:t>
            </w:r>
          </w:p>
        </w:tc>
        <w:tc>
          <w:tcPr>
            <w:tcW w:w="2652" w:type="pct"/>
            <w:tcBorders>
              <w:top w:val="single" w:sz="4" w:space="0" w:color="auto"/>
              <w:left w:val="single" w:sz="4" w:space="0" w:color="auto"/>
              <w:bottom w:val="single" w:sz="4" w:space="0" w:color="auto"/>
              <w:right w:val="single" w:sz="4" w:space="0" w:color="auto"/>
            </w:tcBorders>
            <w:hideMark/>
          </w:tcPr>
          <w:p w14:paraId="3B43718B" w14:textId="77777777" w:rsidR="00C73700" w:rsidRPr="00AA4AD7" w:rsidRDefault="00C73700">
            <w:pPr>
              <w:tabs>
                <w:tab w:val="left" w:pos="1304"/>
              </w:tabs>
              <w:autoSpaceDE w:val="0"/>
              <w:autoSpaceDN w:val="0"/>
              <w:adjustRightInd w:val="0"/>
              <w:rPr>
                <w:sz w:val="24"/>
                <w:szCs w:val="24"/>
              </w:rPr>
            </w:pPr>
            <w:r w:rsidRPr="00AA4AD7">
              <w:rPr>
                <w:sz w:val="24"/>
                <w:szCs w:val="24"/>
              </w:rPr>
              <w:t xml:space="preserve">Hypertension, øget risiko for arteriosklerose og trombose, </w:t>
            </w:r>
            <w:proofErr w:type="spellStart"/>
            <w:r w:rsidRPr="00AA4AD7">
              <w:rPr>
                <w:sz w:val="24"/>
                <w:szCs w:val="24"/>
              </w:rPr>
              <w:t>vaskulit</w:t>
            </w:r>
            <w:proofErr w:type="spellEnd"/>
            <w:r w:rsidRPr="00AA4AD7">
              <w:rPr>
                <w:sz w:val="24"/>
                <w:szCs w:val="24"/>
              </w:rPr>
              <w:t xml:space="preserve"> (også som abstinenssyndrom efter langvarig behandling), øget kapillærskørhed.</w:t>
            </w:r>
          </w:p>
        </w:tc>
      </w:tr>
      <w:tr w:rsidR="00C73700" w:rsidRPr="00AA4AD7" w14:paraId="2DB8DA28" w14:textId="77777777" w:rsidTr="00C70C18">
        <w:tc>
          <w:tcPr>
            <w:tcW w:w="1650" w:type="pct"/>
            <w:tcBorders>
              <w:top w:val="single" w:sz="4" w:space="0" w:color="auto"/>
              <w:left w:val="single" w:sz="4" w:space="0" w:color="auto"/>
              <w:bottom w:val="single" w:sz="4" w:space="0" w:color="auto"/>
              <w:right w:val="single" w:sz="4" w:space="0" w:color="auto"/>
            </w:tcBorders>
            <w:hideMark/>
          </w:tcPr>
          <w:p w14:paraId="183FBBC5" w14:textId="77777777" w:rsidR="00C73700" w:rsidRPr="00AA4AD7" w:rsidRDefault="00C73700">
            <w:pPr>
              <w:tabs>
                <w:tab w:val="left" w:pos="1304"/>
              </w:tabs>
              <w:autoSpaceDE w:val="0"/>
              <w:autoSpaceDN w:val="0"/>
              <w:adjustRightInd w:val="0"/>
              <w:rPr>
                <w:sz w:val="24"/>
                <w:szCs w:val="24"/>
              </w:rPr>
            </w:pPr>
            <w:r w:rsidRPr="00AA4AD7">
              <w:rPr>
                <w:sz w:val="24"/>
                <w:szCs w:val="24"/>
              </w:rPr>
              <w:t>Mave-tarm-kanalen</w:t>
            </w:r>
          </w:p>
        </w:tc>
        <w:tc>
          <w:tcPr>
            <w:tcW w:w="698" w:type="pct"/>
            <w:tcBorders>
              <w:top w:val="single" w:sz="4" w:space="0" w:color="auto"/>
              <w:left w:val="single" w:sz="4" w:space="0" w:color="auto"/>
              <w:bottom w:val="single" w:sz="4" w:space="0" w:color="auto"/>
              <w:right w:val="single" w:sz="4" w:space="0" w:color="auto"/>
            </w:tcBorders>
            <w:hideMark/>
          </w:tcPr>
          <w:p w14:paraId="60133082" w14:textId="77777777" w:rsidR="00C73700" w:rsidRPr="00AA4AD7" w:rsidRDefault="00C73700">
            <w:pPr>
              <w:tabs>
                <w:tab w:val="left" w:pos="1304"/>
              </w:tabs>
              <w:autoSpaceDE w:val="0"/>
              <w:autoSpaceDN w:val="0"/>
              <w:adjustRightInd w:val="0"/>
              <w:rPr>
                <w:sz w:val="24"/>
                <w:szCs w:val="24"/>
              </w:rPr>
            </w:pPr>
            <w:r w:rsidRPr="00AA4AD7">
              <w:rPr>
                <w:sz w:val="24"/>
                <w:szCs w:val="24"/>
              </w:rPr>
              <w:t>Ikke kendt</w:t>
            </w:r>
          </w:p>
        </w:tc>
        <w:tc>
          <w:tcPr>
            <w:tcW w:w="2652" w:type="pct"/>
            <w:tcBorders>
              <w:top w:val="single" w:sz="4" w:space="0" w:color="auto"/>
              <w:left w:val="single" w:sz="4" w:space="0" w:color="auto"/>
              <w:bottom w:val="single" w:sz="4" w:space="0" w:color="auto"/>
              <w:right w:val="single" w:sz="4" w:space="0" w:color="auto"/>
            </w:tcBorders>
            <w:hideMark/>
          </w:tcPr>
          <w:p w14:paraId="5B38D10E" w14:textId="77777777" w:rsidR="00C73700" w:rsidRPr="00AA4AD7" w:rsidRDefault="00C73700">
            <w:pPr>
              <w:tabs>
                <w:tab w:val="left" w:pos="1304"/>
              </w:tabs>
              <w:autoSpaceDE w:val="0"/>
              <w:autoSpaceDN w:val="0"/>
              <w:adjustRightInd w:val="0"/>
              <w:rPr>
                <w:sz w:val="24"/>
                <w:szCs w:val="24"/>
              </w:rPr>
            </w:pPr>
            <w:r w:rsidRPr="00AA4AD7">
              <w:rPr>
                <w:sz w:val="24"/>
                <w:szCs w:val="24"/>
              </w:rPr>
              <w:t xml:space="preserve">Mave-tarm-sår, mave-tarm-blødning, </w:t>
            </w:r>
            <w:proofErr w:type="spellStart"/>
            <w:r w:rsidRPr="00AA4AD7">
              <w:rPr>
                <w:sz w:val="24"/>
                <w:szCs w:val="24"/>
              </w:rPr>
              <w:t>pankreatitis</w:t>
            </w:r>
            <w:proofErr w:type="spellEnd"/>
            <w:r w:rsidRPr="00AA4AD7">
              <w:rPr>
                <w:sz w:val="24"/>
                <w:szCs w:val="24"/>
              </w:rPr>
              <w:t>, mavegener.</w:t>
            </w:r>
          </w:p>
        </w:tc>
      </w:tr>
      <w:tr w:rsidR="00C73700" w:rsidRPr="00AA4AD7" w14:paraId="041AB2C7" w14:textId="77777777" w:rsidTr="00C70C18">
        <w:tc>
          <w:tcPr>
            <w:tcW w:w="1650" w:type="pct"/>
            <w:tcBorders>
              <w:top w:val="single" w:sz="4" w:space="0" w:color="auto"/>
              <w:left w:val="single" w:sz="4" w:space="0" w:color="auto"/>
              <w:bottom w:val="single" w:sz="4" w:space="0" w:color="auto"/>
              <w:right w:val="single" w:sz="4" w:space="0" w:color="auto"/>
            </w:tcBorders>
            <w:hideMark/>
          </w:tcPr>
          <w:p w14:paraId="279602BB" w14:textId="77777777" w:rsidR="00C73700" w:rsidRPr="00AA4AD7" w:rsidRDefault="00C73700">
            <w:pPr>
              <w:tabs>
                <w:tab w:val="left" w:pos="1304"/>
              </w:tabs>
              <w:autoSpaceDE w:val="0"/>
              <w:autoSpaceDN w:val="0"/>
              <w:adjustRightInd w:val="0"/>
              <w:rPr>
                <w:sz w:val="24"/>
                <w:szCs w:val="24"/>
              </w:rPr>
            </w:pPr>
            <w:r w:rsidRPr="00AA4AD7">
              <w:rPr>
                <w:sz w:val="24"/>
                <w:szCs w:val="24"/>
              </w:rPr>
              <w:t>Hud og subkutane væv</w:t>
            </w:r>
          </w:p>
        </w:tc>
        <w:tc>
          <w:tcPr>
            <w:tcW w:w="698" w:type="pct"/>
            <w:tcBorders>
              <w:top w:val="single" w:sz="4" w:space="0" w:color="auto"/>
              <w:left w:val="single" w:sz="4" w:space="0" w:color="auto"/>
              <w:bottom w:val="single" w:sz="4" w:space="0" w:color="auto"/>
              <w:right w:val="single" w:sz="4" w:space="0" w:color="auto"/>
            </w:tcBorders>
            <w:hideMark/>
          </w:tcPr>
          <w:p w14:paraId="40F37D60" w14:textId="77777777" w:rsidR="00C73700" w:rsidRPr="00AA4AD7" w:rsidRDefault="00C73700">
            <w:pPr>
              <w:tabs>
                <w:tab w:val="left" w:pos="1304"/>
              </w:tabs>
              <w:autoSpaceDE w:val="0"/>
              <w:autoSpaceDN w:val="0"/>
              <w:adjustRightInd w:val="0"/>
              <w:rPr>
                <w:sz w:val="24"/>
                <w:szCs w:val="24"/>
              </w:rPr>
            </w:pPr>
            <w:r w:rsidRPr="00AA4AD7">
              <w:rPr>
                <w:sz w:val="24"/>
                <w:szCs w:val="24"/>
              </w:rPr>
              <w:t>Ikke kendt</w:t>
            </w:r>
          </w:p>
        </w:tc>
        <w:tc>
          <w:tcPr>
            <w:tcW w:w="2652" w:type="pct"/>
            <w:tcBorders>
              <w:top w:val="single" w:sz="4" w:space="0" w:color="auto"/>
              <w:left w:val="single" w:sz="4" w:space="0" w:color="auto"/>
              <w:bottom w:val="single" w:sz="4" w:space="0" w:color="auto"/>
              <w:right w:val="single" w:sz="4" w:space="0" w:color="auto"/>
            </w:tcBorders>
            <w:hideMark/>
          </w:tcPr>
          <w:p w14:paraId="581DA39D" w14:textId="77777777" w:rsidR="00C73700" w:rsidRPr="00AA4AD7" w:rsidRDefault="00C73700">
            <w:pPr>
              <w:tabs>
                <w:tab w:val="left" w:pos="1304"/>
              </w:tabs>
              <w:autoSpaceDE w:val="0"/>
              <w:autoSpaceDN w:val="0"/>
              <w:adjustRightInd w:val="0"/>
              <w:rPr>
                <w:sz w:val="24"/>
                <w:szCs w:val="24"/>
              </w:rPr>
            </w:pPr>
            <w:proofErr w:type="spellStart"/>
            <w:r w:rsidRPr="00AA4AD7">
              <w:rPr>
                <w:sz w:val="24"/>
                <w:szCs w:val="24"/>
              </w:rPr>
              <w:t>Striae</w:t>
            </w:r>
            <w:proofErr w:type="spellEnd"/>
            <w:r w:rsidRPr="00AA4AD7">
              <w:rPr>
                <w:sz w:val="24"/>
                <w:szCs w:val="24"/>
              </w:rPr>
              <w:t xml:space="preserve"> </w:t>
            </w:r>
            <w:proofErr w:type="spellStart"/>
            <w:r w:rsidRPr="00AA4AD7">
              <w:rPr>
                <w:sz w:val="24"/>
                <w:szCs w:val="24"/>
              </w:rPr>
              <w:t>rubra</w:t>
            </w:r>
            <w:proofErr w:type="spellEnd"/>
            <w:r w:rsidRPr="00AA4AD7">
              <w:rPr>
                <w:sz w:val="24"/>
                <w:szCs w:val="24"/>
              </w:rPr>
              <w:t xml:space="preserve">, atrofi, </w:t>
            </w:r>
            <w:proofErr w:type="spellStart"/>
            <w:r w:rsidRPr="00AA4AD7">
              <w:rPr>
                <w:sz w:val="24"/>
                <w:szCs w:val="24"/>
              </w:rPr>
              <w:t>teleangiektasier</w:t>
            </w:r>
            <w:proofErr w:type="spellEnd"/>
            <w:r w:rsidRPr="00AA4AD7">
              <w:rPr>
                <w:sz w:val="24"/>
                <w:szCs w:val="24"/>
              </w:rPr>
              <w:t xml:space="preserve">, </w:t>
            </w:r>
            <w:proofErr w:type="spellStart"/>
            <w:r w:rsidRPr="00AA4AD7">
              <w:rPr>
                <w:sz w:val="24"/>
                <w:szCs w:val="24"/>
              </w:rPr>
              <w:t>petekkier</w:t>
            </w:r>
            <w:proofErr w:type="spellEnd"/>
            <w:r w:rsidRPr="00AA4AD7">
              <w:rPr>
                <w:sz w:val="24"/>
                <w:szCs w:val="24"/>
              </w:rPr>
              <w:t xml:space="preserve">, </w:t>
            </w:r>
            <w:proofErr w:type="spellStart"/>
            <w:r w:rsidRPr="00AA4AD7">
              <w:rPr>
                <w:sz w:val="24"/>
                <w:szCs w:val="24"/>
              </w:rPr>
              <w:t>ekkymoser</w:t>
            </w:r>
            <w:proofErr w:type="spellEnd"/>
            <w:r w:rsidRPr="00AA4AD7">
              <w:rPr>
                <w:sz w:val="24"/>
                <w:szCs w:val="24"/>
              </w:rPr>
              <w:t xml:space="preserve">, </w:t>
            </w:r>
            <w:proofErr w:type="spellStart"/>
            <w:r w:rsidRPr="00AA4AD7">
              <w:rPr>
                <w:sz w:val="24"/>
                <w:szCs w:val="24"/>
              </w:rPr>
              <w:t>hypertrichose</w:t>
            </w:r>
            <w:proofErr w:type="spellEnd"/>
            <w:r w:rsidRPr="00AA4AD7">
              <w:rPr>
                <w:sz w:val="24"/>
                <w:szCs w:val="24"/>
              </w:rPr>
              <w:t xml:space="preserve">, steroidinduceret akne, </w:t>
            </w:r>
            <w:proofErr w:type="spellStart"/>
            <w:r w:rsidRPr="00AA4AD7">
              <w:rPr>
                <w:sz w:val="24"/>
                <w:szCs w:val="24"/>
              </w:rPr>
              <w:t>rosacea</w:t>
            </w:r>
            <w:proofErr w:type="spellEnd"/>
            <w:r w:rsidRPr="00AA4AD7">
              <w:rPr>
                <w:sz w:val="24"/>
                <w:szCs w:val="24"/>
              </w:rPr>
              <w:t xml:space="preserve">-lignende (perioral) </w:t>
            </w:r>
            <w:proofErr w:type="spellStart"/>
            <w:r w:rsidRPr="00AA4AD7">
              <w:rPr>
                <w:sz w:val="24"/>
                <w:szCs w:val="24"/>
              </w:rPr>
              <w:t>dermatitis</w:t>
            </w:r>
            <w:proofErr w:type="spellEnd"/>
            <w:r w:rsidRPr="00AA4AD7">
              <w:rPr>
                <w:sz w:val="24"/>
                <w:szCs w:val="24"/>
              </w:rPr>
              <w:t>, ændringer i hudpigmentering.</w:t>
            </w:r>
          </w:p>
        </w:tc>
      </w:tr>
      <w:tr w:rsidR="00C73700" w:rsidRPr="00AA4AD7" w14:paraId="64B3720A" w14:textId="77777777" w:rsidTr="00C70C18">
        <w:tc>
          <w:tcPr>
            <w:tcW w:w="1650" w:type="pct"/>
            <w:tcBorders>
              <w:top w:val="single" w:sz="4" w:space="0" w:color="auto"/>
              <w:left w:val="single" w:sz="4" w:space="0" w:color="auto"/>
              <w:bottom w:val="single" w:sz="4" w:space="0" w:color="auto"/>
              <w:right w:val="single" w:sz="4" w:space="0" w:color="auto"/>
            </w:tcBorders>
            <w:hideMark/>
          </w:tcPr>
          <w:p w14:paraId="0F492F9F" w14:textId="77777777" w:rsidR="00C73700" w:rsidRPr="00AA4AD7" w:rsidRDefault="00C73700">
            <w:pPr>
              <w:tabs>
                <w:tab w:val="left" w:pos="1304"/>
              </w:tabs>
              <w:autoSpaceDE w:val="0"/>
              <w:autoSpaceDN w:val="0"/>
              <w:adjustRightInd w:val="0"/>
              <w:rPr>
                <w:sz w:val="24"/>
                <w:szCs w:val="24"/>
              </w:rPr>
            </w:pPr>
            <w:r w:rsidRPr="00AA4AD7">
              <w:rPr>
                <w:sz w:val="24"/>
                <w:szCs w:val="24"/>
              </w:rPr>
              <w:t>Knogler, led, muskler og bindevæv</w:t>
            </w:r>
          </w:p>
        </w:tc>
        <w:tc>
          <w:tcPr>
            <w:tcW w:w="698" w:type="pct"/>
            <w:tcBorders>
              <w:top w:val="single" w:sz="4" w:space="0" w:color="auto"/>
              <w:left w:val="single" w:sz="4" w:space="0" w:color="auto"/>
              <w:bottom w:val="single" w:sz="4" w:space="0" w:color="auto"/>
              <w:right w:val="single" w:sz="4" w:space="0" w:color="auto"/>
            </w:tcBorders>
            <w:hideMark/>
          </w:tcPr>
          <w:p w14:paraId="05B4AA80" w14:textId="77777777" w:rsidR="00C73700" w:rsidRPr="00AA4AD7" w:rsidRDefault="00C73700">
            <w:pPr>
              <w:tabs>
                <w:tab w:val="left" w:pos="1304"/>
              </w:tabs>
              <w:autoSpaceDE w:val="0"/>
              <w:autoSpaceDN w:val="0"/>
              <w:adjustRightInd w:val="0"/>
              <w:rPr>
                <w:sz w:val="24"/>
                <w:szCs w:val="24"/>
              </w:rPr>
            </w:pPr>
            <w:r w:rsidRPr="00AA4AD7">
              <w:rPr>
                <w:sz w:val="24"/>
                <w:szCs w:val="24"/>
              </w:rPr>
              <w:t>Ikke kendt</w:t>
            </w:r>
          </w:p>
        </w:tc>
        <w:tc>
          <w:tcPr>
            <w:tcW w:w="2652" w:type="pct"/>
            <w:tcBorders>
              <w:top w:val="single" w:sz="4" w:space="0" w:color="auto"/>
              <w:left w:val="single" w:sz="4" w:space="0" w:color="auto"/>
              <w:bottom w:val="single" w:sz="4" w:space="0" w:color="auto"/>
              <w:right w:val="single" w:sz="4" w:space="0" w:color="auto"/>
            </w:tcBorders>
            <w:hideMark/>
          </w:tcPr>
          <w:p w14:paraId="7EFDABC4" w14:textId="77777777" w:rsidR="00C73700" w:rsidRPr="00AA4AD7" w:rsidRDefault="00C73700">
            <w:pPr>
              <w:tabs>
                <w:tab w:val="left" w:pos="1304"/>
              </w:tabs>
              <w:autoSpaceDE w:val="0"/>
              <w:autoSpaceDN w:val="0"/>
              <w:adjustRightInd w:val="0"/>
              <w:rPr>
                <w:sz w:val="24"/>
                <w:szCs w:val="24"/>
              </w:rPr>
            </w:pPr>
            <w:proofErr w:type="spellStart"/>
            <w:r w:rsidRPr="00AA4AD7">
              <w:rPr>
                <w:sz w:val="24"/>
                <w:szCs w:val="24"/>
              </w:rPr>
              <w:t>Myopati</w:t>
            </w:r>
            <w:proofErr w:type="spellEnd"/>
            <w:r w:rsidRPr="00AA4AD7">
              <w:rPr>
                <w:sz w:val="24"/>
                <w:szCs w:val="24"/>
              </w:rPr>
              <w:t xml:space="preserve">, muskelatrofi og -svaghed, steroidinduceret </w:t>
            </w:r>
            <w:proofErr w:type="spellStart"/>
            <w:r w:rsidRPr="00AA4AD7">
              <w:rPr>
                <w:sz w:val="24"/>
                <w:szCs w:val="24"/>
              </w:rPr>
              <w:t>myopati</w:t>
            </w:r>
            <w:proofErr w:type="spellEnd"/>
            <w:r w:rsidRPr="00AA4AD7">
              <w:rPr>
                <w:sz w:val="24"/>
                <w:szCs w:val="24"/>
              </w:rPr>
              <w:t xml:space="preserve">, osteoporose (dosisafhængig også mulig efter kun kortvarig behandling), aseptisk knoglenekrose, </w:t>
            </w:r>
            <w:proofErr w:type="spellStart"/>
            <w:r w:rsidRPr="00AA4AD7">
              <w:rPr>
                <w:sz w:val="24"/>
                <w:szCs w:val="24"/>
              </w:rPr>
              <w:t>senerelaterede</w:t>
            </w:r>
            <w:proofErr w:type="spellEnd"/>
            <w:r w:rsidRPr="00AA4AD7">
              <w:rPr>
                <w:sz w:val="24"/>
                <w:szCs w:val="24"/>
              </w:rPr>
              <w:t xml:space="preserve"> symptomer, </w:t>
            </w:r>
            <w:proofErr w:type="spellStart"/>
            <w:r w:rsidRPr="00AA4AD7">
              <w:rPr>
                <w:sz w:val="24"/>
                <w:szCs w:val="24"/>
              </w:rPr>
              <w:t>tendinitis</w:t>
            </w:r>
            <w:proofErr w:type="spellEnd"/>
            <w:r w:rsidRPr="00AA4AD7">
              <w:rPr>
                <w:sz w:val="24"/>
                <w:szCs w:val="24"/>
              </w:rPr>
              <w:t xml:space="preserve">, </w:t>
            </w:r>
            <w:proofErr w:type="spellStart"/>
            <w:r w:rsidRPr="00AA4AD7">
              <w:rPr>
                <w:sz w:val="24"/>
                <w:szCs w:val="24"/>
              </w:rPr>
              <w:t>seneruptur</w:t>
            </w:r>
            <w:proofErr w:type="spellEnd"/>
            <w:r w:rsidRPr="00AA4AD7">
              <w:rPr>
                <w:sz w:val="24"/>
                <w:szCs w:val="24"/>
              </w:rPr>
              <w:t xml:space="preserve">, </w:t>
            </w:r>
            <w:proofErr w:type="spellStart"/>
            <w:r w:rsidRPr="00AA4AD7">
              <w:rPr>
                <w:sz w:val="24"/>
                <w:szCs w:val="24"/>
              </w:rPr>
              <w:t>epidural</w:t>
            </w:r>
            <w:proofErr w:type="spellEnd"/>
            <w:r w:rsidRPr="00AA4AD7">
              <w:rPr>
                <w:sz w:val="24"/>
                <w:szCs w:val="24"/>
              </w:rPr>
              <w:t xml:space="preserve"> </w:t>
            </w:r>
            <w:proofErr w:type="spellStart"/>
            <w:r w:rsidRPr="00AA4AD7">
              <w:rPr>
                <w:sz w:val="24"/>
                <w:szCs w:val="24"/>
              </w:rPr>
              <w:t>lipomatose</w:t>
            </w:r>
            <w:proofErr w:type="spellEnd"/>
            <w:r w:rsidRPr="00AA4AD7">
              <w:rPr>
                <w:sz w:val="24"/>
                <w:szCs w:val="24"/>
              </w:rPr>
              <w:t>, væksthæmning hos børn.</w:t>
            </w:r>
          </w:p>
        </w:tc>
      </w:tr>
      <w:tr w:rsidR="00C73700" w:rsidRPr="00AA4AD7" w14:paraId="10A82A21" w14:textId="77777777" w:rsidTr="00C70C18">
        <w:tc>
          <w:tcPr>
            <w:tcW w:w="1650" w:type="pct"/>
            <w:tcBorders>
              <w:top w:val="single" w:sz="4" w:space="0" w:color="auto"/>
              <w:left w:val="single" w:sz="4" w:space="0" w:color="auto"/>
              <w:bottom w:val="single" w:sz="4" w:space="0" w:color="auto"/>
              <w:right w:val="single" w:sz="4" w:space="0" w:color="auto"/>
            </w:tcBorders>
            <w:hideMark/>
          </w:tcPr>
          <w:p w14:paraId="532AE2F1" w14:textId="77777777" w:rsidR="00C73700" w:rsidRPr="00AA4AD7" w:rsidRDefault="00C73700">
            <w:pPr>
              <w:tabs>
                <w:tab w:val="left" w:pos="1304"/>
              </w:tabs>
              <w:autoSpaceDE w:val="0"/>
              <w:autoSpaceDN w:val="0"/>
              <w:adjustRightInd w:val="0"/>
              <w:rPr>
                <w:sz w:val="24"/>
                <w:szCs w:val="24"/>
              </w:rPr>
            </w:pPr>
            <w:r w:rsidRPr="00AA4AD7">
              <w:rPr>
                <w:sz w:val="24"/>
                <w:szCs w:val="24"/>
              </w:rPr>
              <w:t>Det reproduktive system og mammae</w:t>
            </w:r>
          </w:p>
        </w:tc>
        <w:tc>
          <w:tcPr>
            <w:tcW w:w="698" w:type="pct"/>
            <w:tcBorders>
              <w:top w:val="single" w:sz="4" w:space="0" w:color="auto"/>
              <w:left w:val="single" w:sz="4" w:space="0" w:color="auto"/>
              <w:bottom w:val="single" w:sz="4" w:space="0" w:color="auto"/>
              <w:right w:val="single" w:sz="4" w:space="0" w:color="auto"/>
            </w:tcBorders>
            <w:hideMark/>
          </w:tcPr>
          <w:p w14:paraId="2F511450" w14:textId="77777777" w:rsidR="00C73700" w:rsidRPr="00AA4AD7" w:rsidRDefault="00C73700">
            <w:pPr>
              <w:tabs>
                <w:tab w:val="left" w:pos="1304"/>
              </w:tabs>
              <w:autoSpaceDE w:val="0"/>
              <w:autoSpaceDN w:val="0"/>
              <w:adjustRightInd w:val="0"/>
              <w:rPr>
                <w:sz w:val="24"/>
                <w:szCs w:val="24"/>
              </w:rPr>
            </w:pPr>
            <w:r w:rsidRPr="00AA4AD7">
              <w:rPr>
                <w:sz w:val="24"/>
                <w:szCs w:val="24"/>
              </w:rPr>
              <w:t>Ikke kendt</w:t>
            </w:r>
          </w:p>
        </w:tc>
        <w:tc>
          <w:tcPr>
            <w:tcW w:w="2652" w:type="pct"/>
            <w:tcBorders>
              <w:top w:val="single" w:sz="4" w:space="0" w:color="auto"/>
              <w:left w:val="single" w:sz="4" w:space="0" w:color="auto"/>
              <w:bottom w:val="single" w:sz="4" w:space="0" w:color="auto"/>
              <w:right w:val="single" w:sz="4" w:space="0" w:color="auto"/>
            </w:tcBorders>
            <w:hideMark/>
          </w:tcPr>
          <w:p w14:paraId="548515F5" w14:textId="77777777" w:rsidR="00C73700" w:rsidRPr="00AA4AD7" w:rsidRDefault="00C73700">
            <w:pPr>
              <w:tabs>
                <w:tab w:val="left" w:pos="1304"/>
              </w:tabs>
              <w:autoSpaceDE w:val="0"/>
              <w:autoSpaceDN w:val="0"/>
              <w:adjustRightInd w:val="0"/>
              <w:rPr>
                <w:sz w:val="24"/>
                <w:szCs w:val="24"/>
              </w:rPr>
            </w:pPr>
            <w:r w:rsidRPr="00AA4AD7">
              <w:rPr>
                <w:sz w:val="24"/>
                <w:szCs w:val="24"/>
              </w:rPr>
              <w:t xml:space="preserve">Forstyrrelser i udskillelse af kønshormon (som medfører uregelmæssig menstruation op til </w:t>
            </w:r>
            <w:proofErr w:type="spellStart"/>
            <w:r w:rsidRPr="00AA4AD7">
              <w:rPr>
                <w:sz w:val="24"/>
                <w:szCs w:val="24"/>
              </w:rPr>
              <w:t>amenorré</w:t>
            </w:r>
            <w:proofErr w:type="spellEnd"/>
            <w:r w:rsidRPr="00AA4AD7">
              <w:rPr>
                <w:sz w:val="24"/>
                <w:szCs w:val="24"/>
              </w:rPr>
              <w:t xml:space="preserve">, </w:t>
            </w:r>
            <w:proofErr w:type="spellStart"/>
            <w:r w:rsidRPr="00AA4AD7">
              <w:rPr>
                <w:sz w:val="24"/>
                <w:szCs w:val="24"/>
              </w:rPr>
              <w:t>hirsutisme</w:t>
            </w:r>
            <w:proofErr w:type="spellEnd"/>
            <w:r w:rsidRPr="00AA4AD7">
              <w:rPr>
                <w:sz w:val="24"/>
                <w:szCs w:val="24"/>
              </w:rPr>
              <w:t>, impotens).</w:t>
            </w:r>
          </w:p>
        </w:tc>
      </w:tr>
      <w:tr w:rsidR="00C73700" w:rsidRPr="00AA4AD7" w14:paraId="21FC410A" w14:textId="77777777" w:rsidTr="00C70C18">
        <w:tc>
          <w:tcPr>
            <w:tcW w:w="1650" w:type="pct"/>
            <w:tcBorders>
              <w:top w:val="single" w:sz="4" w:space="0" w:color="auto"/>
              <w:left w:val="single" w:sz="4" w:space="0" w:color="auto"/>
              <w:bottom w:val="single" w:sz="4" w:space="0" w:color="auto"/>
              <w:right w:val="single" w:sz="4" w:space="0" w:color="auto"/>
            </w:tcBorders>
            <w:hideMark/>
          </w:tcPr>
          <w:p w14:paraId="1E64EA77" w14:textId="77777777" w:rsidR="00C73700" w:rsidRPr="00AA4AD7" w:rsidRDefault="00C73700">
            <w:pPr>
              <w:tabs>
                <w:tab w:val="left" w:pos="1304"/>
              </w:tabs>
              <w:autoSpaceDE w:val="0"/>
              <w:autoSpaceDN w:val="0"/>
              <w:adjustRightInd w:val="0"/>
              <w:rPr>
                <w:sz w:val="24"/>
                <w:szCs w:val="24"/>
              </w:rPr>
            </w:pPr>
            <w:r w:rsidRPr="00AA4AD7">
              <w:rPr>
                <w:sz w:val="24"/>
                <w:szCs w:val="24"/>
              </w:rPr>
              <w:t>Almene symptomer og reaktioner på administrationsstedet</w:t>
            </w:r>
          </w:p>
        </w:tc>
        <w:tc>
          <w:tcPr>
            <w:tcW w:w="698" w:type="pct"/>
            <w:tcBorders>
              <w:top w:val="single" w:sz="4" w:space="0" w:color="auto"/>
              <w:left w:val="single" w:sz="4" w:space="0" w:color="auto"/>
              <w:bottom w:val="single" w:sz="4" w:space="0" w:color="auto"/>
              <w:right w:val="single" w:sz="4" w:space="0" w:color="auto"/>
            </w:tcBorders>
            <w:hideMark/>
          </w:tcPr>
          <w:p w14:paraId="20838CBB" w14:textId="77777777" w:rsidR="00C73700" w:rsidRPr="00AA4AD7" w:rsidRDefault="00C73700">
            <w:pPr>
              <w:tabs>
                <w:tab w:val="left" w:pos="1304"/>
              </w:tabs>
              <w:autoSpaceDE w:val="0"/>
              <w:autoSpaceDN w:val="0"/>
              <w:adjustRightInd w:val="0"/>
              <w:rPr>
                <w:sz w:val="24"/>
                <w:szCs w:val="24"/>
              </w:rPr>
            </w:pPr>
            <w:r w:rsidRPr="00AA4AD7">
              <w:rPr>
                <w:sz w:val="24"/>
                <w:szCs w:val="24"/>
              </w:rPr>
              <w:t>Ikke kendt</w:t>
            </w:r>
          </w:p>
        </w:tc>
        <w:tc>
          <w:tcPr>
            <w:tcW w:w="2652" w:type="pct"/>
            <w:tcBorders>
              <w:top w:val="single" w:sz="4" w:space="0" w:color="auto"/>
              <w:left w:val="single" w:sz="4" w:space="0" w:color="auto"/>
              <w:bottom w:val="single" w:sz="4" w:space="0" w:color="auto"/>
              <w:right w:val="single" w:sz="4" w:space="0" w:color="auto"/>
            </w:tcBorders>
            <w:hideMark/>
          </w:tcPr>
          <w:p w14:paraId="71BAAFEE" w14:textId="77777777" w:rsidR="00C73700" w:rsidRPr="00AA4AD7" w:rsidRDefault="00C73700">
            <w:pPr>
              <w:tabs>
                <w:tab w:val="left" w:pos="1304"/>
              </w:tabs>
              <w:autoSpaceDE w:val="0"/>
              <w:autoSpaceDN w:val="0"/>
              <w:adjustRightInd w:val="0"/>
              <w:rPr>
                <w:sz w:val="24"/>
                <w:szCs w:val="24"/>
              </w:rPr>
            </w:pPr>
            <w:r w:rsidRPr="00AA4AD7">
              <w:rPr>
                <w:sz w:val="24"/>
                <w:szCs w:val="24"/>
              </w:rPr>
              <w:t>Forsinket sårheling.</w:t>
            </w:r>
          </w:p>
        </w:tc>
      </w:tr>
    </w:tbl>
    <w:p w14:paraId="6557CE9C" w14:textId="77777777" w:rsidR="00C73700" w:rsidRPr="00AA4AD7" w:rsidRDefault="00C73700" w:rsidP="00C70C18">
      <w:pPr>
        <w:autoSpaceDE w:val="0"/>
        <w:autoSpaceDN w:val="0"/>
        <w:adjustRightInd w:val="0"/>
        <w:ind w:left="851"/>
        <w:rPr>
          <w:sz w:val="24"/>
          <w:szCs w:val="24"/>
          <w:lang w:val="en-US"/>
        </w:rPr>
      </w:pPr>
    </w:p>
    <w:p w14:paraId="749E166D" w14:textId="77777777" w:rsidR="00C73700" w:rsidRPr="00AA4AD7" w:rsidRDefault="00C73700" w:rsidP="00C70C18">
      <w:pPr>
        <w:autoSpaceDE w:val="0"/>
        <w:autoSpaceDN w:val="0"/>
        <w:adjustRightInd w:val="0"/>
        <w:ind w:left="851"/>
        <w:rPr>
          <w:sz w:val="24"/>
          <w:szCs w:val="24"/>
        </w:rPr>
      </w:pPr>
      <w:r w:rsidRPr="00AA4AD7">
        <w:rPr>
          <w:sz w:val="24"/>
          <w:szCs w:val="24"/>
        </w:rPr>
        <w:t xml:space="preserve">Lokal anvendelse: Der er mulighed for lokale irritationer og intolerancer (varmefølelse, forholdsvis persisterende smerter). Udvikling af hudatrofi og atrofi af subkutant væv på injektionsstedet kan ikke udelukkes, hvis </w:t>
      </w:r>
      <w:proofErr w:type="spellStart"/>
      <w:r w:rsidRPr="00AA4AD7">
        <w:rPr>
          <w:sz w:val="24"/>
          <w:szCs w:val="24"/>
        </w:rPr>
        <w:t>kortikosteroiderne</w:t>
      </w:r>
      <w:proofErr w:type="spellEnd"/>
      <w:r w:rsidRPr="00AA4AD7">
        <w:rPr>
          <w:sz w:val="24"/>
          <w:szCs w:val="24"/>
        </w:rPr>
        <w:t xml:space="preserve"> ikke injiceres omhyggeligt ind i </w:t>
      </w:r>
      <w:proofErr w:type="spellStart"/>
      <w:r w:rsidRPr="00AA4AD7">
        <w:rPr>
          <w:sz w:val="24"/>
          <w:szCs w:val="24"/>
        </w:rPr>
        <w:t>ledkaviteten</w:t>
      </w:r>
      <w:proofErr w:type="spellEnd"/>
      <w:r w:rsidRPr="00AA4AD7">
        <w:rPr>
          <w:sz w:val="24"/>
          <w:szCs w:val="24"/>
        </w:rPr>
        <w:t>.</w:t>
      </w:r>
    </w:p>
    <w:p w14:paraId="6FCF590B" w14:textId="77777777" w:rsidR="00C73700" w:rsidRPr="00AA4AD7" w:rsidRDefault="00C73700" w:rsidP="00C70C18">
      <w:pPr>
        <w:autoSpaceDE w:val="0"/>
        <w:autoSpaceDN w:val="0"/>
        <w:adjustRightInd w:val="0"/>
        <w:ind w:left="851"/>
        <w:rPr>
          <w:sz w:val="24"/>
          <w:szCs w:val="24"/>
          <w:lang w:val="sv-SE"/>
        </w:rPr>
      </w:pPr>
    </w:p>
    <w:p w14:paraId="0097E82C" w14:textId="77777777" w:rsidR="00C73700" w:rsidRPr="00AA4AD7" w:rsidRDefault="00C73700" w:rsidP="00C70C18">
      <w:pPr>
        <w:autoSpaceDE w:val="0"/>
        <w:autoSpaceDN w:val="0"/>
        <w:adjustRightInd w:val="0"/>
        <w:ind w:left="851"/>
        <w:rPr>
          <w:sz w:val="24"/>
          <w:szCs w:val="24"/>
          <w:u w:val="single"/>
        </w:rPr>
      </w:pPr>
      <w:r w:rsidRPr="00AA4AD7">
        <w:rPr>
          <w:sz w:val="24"/>
          <w:szCs w:val="24"/>
          <w:u w:val="single"/>
        </w:rPr>
        <w:t>Indberetning af formodede bivirkninger</w:t>
      </w:r>
    </w:p>
    <w:p w14:paraId="5EB2861F" w14:textId="77777777" w:rsidR="00C73700" w:rsidRPr="00AA4AD7" w:rsidRDefault="00C73700" w:rsidP="00C70C18">
      <w:pPr>
        <w:autoSpaceDE w:val="0"/>
        <w:autoSpaceDN w:val="0"/>
        <w:adjustRightInd w:val="0"/>
        <w:ind w:left="851"/>
        <w:rPr>
          <w:sz w:val="24"/>
          <w:szCs w:val="24"/>
        </w:rPr>
      </w:pPr>
      <w:r w:rsidRPr="00AA4AD7">
        <w:rPr>
          <w:sz w:val="24"/>
          <w:szCs w:val="24"/>
        </w:rPr>
        <w:t>Når lægemidlet er godkendt, er indberetning af formodede bivirkninger vigtig. Det muliggør løbende overvågning af benefit/</w:t>
      </w:r>
      <w:proofErr w:type="spellStart"/>
      <w:r w:rsidRPr="00AA4AD7">
        <w:rPr>
          <w:sz w:val="24"/>
          <w:szCs w:val="24"/>
        </w:rPr>
        <w:t>risk</w:t>
      </w:r>
      <w:proofErr w:type="spellEnd"/>
      <w:r w:rsidRPr="00AA4AD7">
        <w:rPr>
          <w:sz w:val="24"/>
          <w:szCs w:val="24"/>
        </w:rPr>
        <w:t xml:space="preserve">-forholdet for lægemidlet. Sundhedspersoner anmodes om at indberette alle formodede bivirkninger via: </w:t>
      </w:r>
    </w:p>
    <w:p w14:paraId="01D03E90" w14:textId="77777777" w:rsidR="00C73700" w:rsidRPr="00AA4AD7" w:rsidRDefault="00C73700" w:rsidP="00C70C18">
      <w:pPr>
        <w:widowControl w:val="0"/>
        <w:autoSpaceDE w:val="0"/>
        <w:autoSpaceDN w:val="0"/>
        <w:adjustRightInd w:val="0"/>
        <w:ind w:left="851"/>
        <w:rPr>
          <w:sz w:val="24"/>
          <w:szCs w:val="24"/>
        </w:rPr>
      </w:pPr>
    </w:p>
    <w:p w14:paraId="2CFCDD73" w14:textId="77777777" w:rsidR="00C73700" w:rsidRPr="00AA4AD7" w:rsidRDefault="00C73700" w:rsidP="00C70C18">
      <w:pPr>
        <w:widowControl w:val="0"/>
        <w:autoSpaceDE w:val="0"/>
        <w:autoSpaceDN w:val="0"/>
        <w:adjustRightInd w:val="0"/>
        <w:ind w:left="851"/>
        <w:rPr>
          <w:sz w:val="24"/>
          <w:szCs w:val="24"/>
        </w:rPr>
      </w:pPr>
      <w:r w:rsidRPr="00AA4AD7">
        <w:rPr>
          <w:sz w:val="24"/>
          <w:szCs w:val="24"/>
        </w:rPr>
        <w:t>Lægemiddelstyrelsen</w:t>
      </w:r>
    </w:p>
    <w:p w14:paraId="7BC85506" w14:textId="77777777" w:rsidR="00C73700" w:rsidRPr="00AA4AD7" w:rsidRDefault="00C73700" w:rsidP="00C70C18">
      <w:pPr>
        <w:widowControl w:val="0"/>
        <w:autoSpaceDE w:val="0"/>
        <w:autoSpaceDN w:val="0"/>
        <w:adjustRightInd w:val="0"/>
        <w:ind w:left="851"/>
        <w:rPr>
          <w:sz w:val="24"/>
          <w:szCs w:val="24"/>
        </w:rPr>
      </w:pPr>
      <w:r w:rsidRPr="00AA4AD7">
        <w:rPr>
          <w:sz w:val="24"/>
          <w:szCs w:val="24"/>
        </w:rPr>
        <w:t>Axel Heides Gade 1</w:t>
      </w:r>
    </w:p>
    <w:p w14:paraId="4F72CCA0" w14:textId="77777777" w:rsidR="00C73700" w:rsidRPr="00AA4AD7" w:rsidRDefault="00C73700" w:rsidP="00C70C18">
      <w:pPr>
        <w:widowControl w:val="0"/>
        <w:autoSpaceDE w:val="0"/>
        <w:autoSpaceDN w:val="0"/>
        <w:adjustRightInd w:val="0"/>
        <w:ind w:left="851"/>
        <w:rPr>
          <w:sz w:val="24"/>
          <w:szCs w:val="24"/>
        </w:rPr>
      </w:pPr>
      <w:r w:rsidRPr="00AA4AD7">
        <w:rPr>
          <w:sz w:val="24"/>
          <w:szCs w:val="24"/>
        </w:rPr>
        <w:t>DK-2300 København S</w:t>
      </w:r>
    </w:p>
    <w:p w14:paraId="0221034D" w14:textId="77777777" w:rsidR="00C73700" w:rsidRPr="00AA4AD7" w:rsidRDefault="00C73700" w:rsidP="00C70C18">
      <w:pPr>
        <w:widowControl w:val="0"/>
        <w:autoSpaceDE w:val="0"/>
        <w:autoSpaceDN w:val="0"/>
        <w:adjustRightInd w:val="0"/>
        <w:ind w:left="851"/>
        <w:rPr>
          <w:sz w:val="24"/>
          <w:szCs w:val="24"/>
        </w:rPr>
      </w:pPr>
      <w:r w:rsidRPr="00AA4AD7">
        <w:rPr>
          <w:sz w:val="24"/>
          <w:szCs w:val="24"/>
        </w:rPr>
        <w:t xml:space="preserve">Websted: </w:t>
      </w:r>
      <w:hyperlink r:id="rId8" w:history="1">
        <w:r w:rsidRPr="00AA4AD7">
          <w:rPr>
            <w:rStyle w:val="Hyperlink"/>
            <w:sz w:val="24"/>
            <w:szCs w:val="24"/>
          </w:rPr>
          <w:t>www.meldenbivirkning.dk</w:t>
        </w:r>
      </w:hyperlink>
      <w:r w:rsidRPr="00AA4AD7">
        <w:rPr>
          <w:sz w:val="24"/>
          <w:szCs w:val="24"/>
        </w:rPr>
        <w:t xml:space="preserve"> </w:t>
      </w:r>
    </w:p>
    <w:p w14:paraId="0F3C6594" w14:textId="77777777" w:rsidR="009260DE" w:rsidRPr="00AA4AD7" w:rsidRDefault="009260DE" w:rsidP="00A10294">
      <w:pPr>
        <w:tabs>
          <w:tab w:val="left" w:pos="851"/>
        </w:tabs>
        <w:ind w:left="851"/>
        <w:rPr>
          <w:sz w:val="24"/>
          <w:szCs w:val="24"/>
        </w:rPr>
      </w:pPr>
    </w:p>
    <w:p w14:paraId="1B11A101" w14:textId="77777777" w:rsidR="009260DE" w:rsidRPr="00AA4AD7" w:rsidRDefault="009260DE" w:rsidP="009260DE">
      <w:pPr>
        <w:tabs>
          <w:tab w:val="left" w:pos="851"/>
        </w:tabs>
        <w:ind w:left="851" w:hanging="851"/>
        <w:rPr>
          <w:b/>
          <w:sz w:val="24"/>
          <w:szCs w:val="24"/>
        </w:rPr>
      </w:pPr>
      <w:r w:rsidRPr="00AA4AD7">
        <w:rPr>
          <w:b/>
          <w:sz w:val="24"/>
          <w:szCs w:val="24"/>
        </w:rPr>
        <w:t>4.9</w:t>
      </w:r>
      <w:r w:rsidRPr="00AA4AD7">
        <w:rPr>
          <w:b/>
          <w:sz w:val="24"/>
          <w:szCs w:val="24"/>
        </w:rPr>
        <w:tab/>
        <w:t>Overdosering</w:t>
      </w:r>
    </w:p>
    <w:p w14:paraId="34012F5F" w14:textId="77777777" w:rsidR="0016497E" w:rsidRPr="00AA4AD7" w:rsidRDefault="0016497E" w:rsidP="00C70C18">
      <w:pPr>
        <w:autoSpaceDE w:val="0"/>
        <w:autoSpaceDN w:val="0"/>
        <w:adjustRightInd w:val="0"/>
        <w:ind w:left="851"/>
        <w:rPr>
          <w:i/>
          <w:sz w:val="24"/>
          <w:szCs w:val="24"/>
        </w:rPr>
      </w:pPr>
    </w:p>
    <w:p w14:paraId="05E0BB4A" w14:textId="7F5326B7" w:rsidR="00C73700" w:rsidRPr="00AA4AD7" w:rsidRDefault="00C73700" w:rsidP="00C70C18">
      <w:pPr>
        <w:autoSpaceDE w:val="0"/>
        <w:autoSpaceDN w:val="0"/>
        <w:adjustRightInd w:val="0"/>
        <w:ind w:left="851"/>
        <w:rPr>
          <w:i/>
          <w:iCs/>
          <w:sz w:val="24"/>
          <w:szCs w:val="24"/>
        </w:rPr>
      </w:pPr>
      <w:r w:rsidRPr="00AA4AD7">
        <w:rPr>
          <w:i/>
          <w:sz w:val="24"/>
          <w:szCs w:val="24"/>
        </w:rPr>
        <w:t>Symptomer:</w:t>
      </w:r>
    </w:p>
    <w:p w14:paraId="197DC3A0" w14:textId="77777777" w:rsidR="00C73700" w:rsidRPr="00AA4AD7" w:rsidRDefault="00C73700" w:rsidP="00C70C18">
      <w:pPr>
        <w:autoSpaceDE w:val="0"/>
        <w:autoSpaceDN w:val="0"/>
        <w:adjustRightInd w:val="0"/>
        <w:ind w:left="851"/>
        <w:rPr>
          <w:sz w:val="24"/>
          <w:szCs w:val="24"/>
        </w:rPr>
      </w:pPr>
      <w:r w:rsidRPr="00AA4AD7">
        <w:rPr>
          <w:sz w:val="24"/>
          <w:szCs w:val="24"/>
        </w:rPr>
        <w:t xml:space="preserve">Der er aldrig blevet rapporteret om akut </w:t>
      </w:r>
      <w:proofErr w:type="spellStart"/>
      <w:r w:rsidRPr="00AA4AD7">
        <w:rPr>
          <w:sz w:val="24"/>
          <w:szCs w:val="24"/>
        </w:rPr>
        <w:t>intoksikation</w:t>
      </w:r>
      <w:proofErr w:type="spellEnd"/>
      <w:r w:rsidRPr="00AA4AD7">
        <w:rPr>
          <w:sz w:val="24"/>
          <w:szCs w:val="24"/>
        </w:rPr>
        <w:t xml:space="preserve"> med </w:t>
      </w:r>
      <w:proofErr w:type="spellStart"/>
      <w:r w:rsidRPr="00AA4AD7">
        <w:rPr>
          <w:sz w:val="24"/>
          <w:szCs w:val="24"/>
        </w:rPr>
        <w:t>dexametason</w:t>
      </w:r>
      <w:proofErr w:type="spellEnd"/>
      <w:r w:rsidRPr="00AA4AD7">
        <w:rPr>
          <w:sz w:val="24"/>
          <w:szCs w:val="24"/>
        </w:rPr>
        <w:t>. I tilfælde af kronisk overdosering kan der forventes intensiverede bivirkninger (se pkt. 4.8), især i forbindelse med det endokrine system, metabolismen og elektrolytbalancen.</w:t>
      </w:r>
    </w:p>
    <w:p w14:paraId="08C69E61" w14:textId="77777777" w:rsidR="00C73700" w:rsidRPr="00AA4AD7" w:rsidRDefault="00C73700" w:rsidP="00C70C18">
      <w:pPr>
        <w:autoSpaceDE w:val="0"/>
        <w:autoSpaceDN w:val="0"/>
        <w:adjustRightInd w:val="0"/>
        <w:ind w:left="851"/>
        <w:rPr>
          <w:sz w:val="24"/>
          <w:szCs w:val="24"/>
        </w:rPr>
      </w:pPr>
      <w:r w:rsidRPr="00AA4AD7">
        <w:rPr>
          <w:sz w:val="24"/>
          <w:szCs w:val="24"/>
        </w:rPr>
        <w:t xml:space="preserve">Der findes intet </w:t>
      </w:r>
      <w:proofErr w:type="spellStart"/>
      <w:r w:rsidRPr="00AA4AD7">
        <w:rPr>
          <w:sz w:val="24"/>
          <w:szCs w:val="24"/>
        </w:rPr>
        <w:t>antidot</w:t>
      </w:r>
      <w:proofErr w:type="spellEnd"/>
      <w:r w:rsidRPr="00AA4AD7">
        <w:rPr>
          <w:sz w:val="24"/>
          <w:szCs w:val="24"/>
        </w:rPr>
        <w:t xml:space="preserve">. Behandling er sandsynligvis ikke indiceret for reaktioner, der skyldes kronisk forgiftning, medmindre patienten har en lidelse, som ville gøre patienten usædvanligt modtagelig over for bivirkninger fra </w:t>
      </w:r>
      <w:proofErr w:type="spellStart"/>
      <w:r w:rsidRPr="00AA4AD7">
        <w:rPr>
          <w:sz w:val="24"/>
          <w:szCs w:val="24"/>
        </w:rPr>
        <w:t>kortikosteroider</w:t>
      </w:r>
      <w:proofErr w:type="spellEnd"/>
      <w:r w:rsidRPr="00AA4AD7">
        <w:rPr>
          <w:sz w:val="24"/>
          <w:szCs w:val="24"/>
        </w:rPr>
        <w:t>. I dette tilfælde skal der iværksættes symptomatisk behandling efter behov.</w:t>
      </w:r>
    </w:p>
    <w:p w14:paraId="46B6AD21" w14:textId="77777777" w:rsidR="00C73700" w:rsidRPr="00AA4AD7" w:rsidRDefault="00C73700" w:rsidP="00C70C18">
      <w:pPr>
        <w:autoSpaceDE w:val="0"/>
        <w:autoSpaceDN w:val="0"/>
        <w:adjustRightInd w:val="0"/>
        <w:ind w:left="851"/>
        <w:rPr>
          <w:sz w:val="24"/>
          <w:szCs w:val="24"/>
          <w:lang w:val="sv-SE"/>
        </w:rPr>
      </w:pPr>
    </w:p>
    <w:p w14:paraId="0E5A6CB9" w14:textId="2C8310C7" w:rsidR="009260DE" w:rsidRPr="00AA4AD7" w:rsidRDefault="00C73700" w:rsidP="0016497E">
      <w:pPr>
        <w:autoSpaceDE w:val="0"/>
        <w:autoSpaceDN w:val="0"/>
        <w:adjustRightInd w:val="0"/>
        <w:ind w:left="851"/>
        <w:rPr>
          <w:sz w:val="24"/>
          <w:szCs w:val="24"/>
        </w:rPr>
      </w:pPr>
      <w:proofErr w:type="spellStart"/>
      <w:r w:rsidRPr="00AA4AD7">
        <w:rPr>
          <w:sz w:val="24"/>
          <w:szCs w:val="24"/>
        </w:rPr>
        <w:lastRenderedPageBreak/>
        <w:t>Anafylaktiske</w:t>
      </w:r>
      <w:proofErr w:type="spellEnd"/>
      <w:r w:rsidRPr="00AA4AD7">
        <w:rPr>
          <w:sz w:val="24"/>
          <w:szCs w:val="24"/>
        </w:rPr>
        <w:t xml:space="preserve"> reaktioner og overfølsomhedsreaktioner kan behandles med adrenalin, kunstig ventilation med overtryk og </w:t>
      </w:r>
      <w:proofErr w:type="spellStart"/>
      <w:r w:rsidRPr="00AA4AD7">
        <w:rPr>
          <w:sz w:val="24"/>
          <w:szCs w:val="24"/>
        </w:rPr>
        <w:t>aminofyllin</w:t>
      </w:r>
      <w:proofErr w:type="spellEnd"/>
      <w:r w:rsidRPr="00AA4AD7">
        <w:rPr>
          <w:sz w:val="24"/>
          <w:szCs w:val="24"/>
        </w:rPr>
        <w:t>.</w:t>
      </w:r>
    </w:p>
    <w:p w14:paraId="3E09A204" w14:textId="77777777" w:rsidR="009260DE" w:rsidRPr="00AA4AD7" w:rsidRDefault="009260DE" w:rsidP="009260DE">
      <w:pPr>
        <w:tabs>
          <w:tab w:val="left" w:pos="851"/>
        </w:tabs>
        <w:ind w:left="851"/>
        <w:rPr>
          <w:sz w:val="24"/>
          <w:szCs w:val="24"/>
        </w:rPr>
      </w:pPr>
    </w:p>
    <w:p w14:paraId="12993EC2" w14:textId="77777777" w:rsidR="009260DE" w:rsidRPr="00AA4AD7" w:rsidRDefault="009260DE" w:rsidP="009260DE">
      <w:pPr>
        <w:tabs>
          <w:tab w:val="left" w:pos="851"/>
        </w:tabs>
        <w:ind w:left="851" w:hanging="851"/>
        <w:rPr>
          <w:b/>
          <w:sz w:val="24"/>
          <w:szCs w:val="24"/>
        </w:rPr>
      </w:pPr>
      <w:r w:rsidRPr="00AA4AD7">
        <w:rPr>
          <w:b/>
          <w:sz w:val="24"/>
          <w:szCs w:val="24"/>
        </w:rPr>
        <w:t>4.10</w:t>
      </w:r>
      <w:r w:rsidRPr="00AA4AD7">
        <w:rPr>
          <w:b/>
          <w:sz w:val="24"/>
          <w:szCs w:val="24"/>
        </w:rPr>
        <w:tab/>
        <w:t>Udlevering</w:t>
      </w:r>
    </w:p>
    <w:p w14:paraId="1C096102" w14:textId="7045CA66" w:rsidR="009260DE" w:rsidRPr="00AA4AD7" w:rsidRDefault="0016497E" w:rsidP="009260DE">
      <w:pPr>
        <w:tabs>
          <w:tab w:val="left" w:pos="851"/>
        </w:tabs>
        <w:ind w:left="851"/>
        <w:rPr>
          <w:sz w:val="24"/>
          <w:szCs w:val="24"/>
        </w:rPr>
      </w:pPr>
      <w:r w:rsidRPr="00AA4AD7">
        <w:rPr>
          <w:sz w:val="24"/>
          <w:szCs w:val="24"/>
        </w:rPr>
        <w:t>B</w:t>
      </w:r>
    </w:p>
    <w:p w14:paraId="2EDB5CF9" w14:textId="77777777" w:rsidR="009260DE" w:rsidRPr="00AA4AD7" w:rsidRDefault="009260DE" w:rsidP="009260DE">
      <w:pPr>
        <w:tabs>
          <w:tab w:val="left" w:pos="851"/>
        </w:tabs>
        <w:ind w:left="851"/>
        <w:rPr>
          <w:sz w:val="24"/>
          <w:szCs w:val="24"/>
        </w:rPr>
      </w:pPr>
    </w:p>
    <w:p w14:paraId="308A8EBB" w14:textId="77777777" w:rsidR="009260DE" w:rsidRPr="00AA4AD7" w:rsidRDefault="009260DE" w:rsidP="009260DE">
      <w:pPr>
        <w:tabs>
          <w:tab w:val="left" w:pos="851"/>
        </w:tabs>
        <w:ind w:left="851"/>
        <w:rPr>
          <w:sz w:val="24"/>
          <w:szCs w:val="24"/>
        </w:rPr>
      </w:pPr>
    </w:p>
    <w:p w14:paraId="4E926058" w14:textId="77777777" w:rsidR="009260DE" w:rsidRPr="00AA4AD7" w:rsidRDefault="009260DE" w:rsidP="009260DE">
      <w:pPr>
        <w:tabs>
          <w:tab w:val="left" w:pos="851"/>
        </w:tabs>
        <w:ind w:left="851" w:hanging="851"/>
        <w:rPr>
          <w:b/>
          <w:sz w:val="24"/>
          <w:szCs w:val="24"/>
        </w:rPr>
      </w:pPr>
      <w:r w:rsidRPr="00AA4AD7">
        <w:rPr>
          <w:b/>
          <w:sz w:val="24"/>
          <w:szCs w:val="24"/>
        </w:rPr>
        <w:t>5.</w:t>
      </w:r>
      <w:r w:rsidRPr="00AA4AD7">
        <w:rPr>
          <w:b/>
          <w:sz w:val="24"/>
          <w:szCs w:val="24"/>
        </w:rPr>
        <w:tab/>
        <w:t>FARMAKOLOGISKE EGENSKABER</w:t>
      </w:r>
    </w:p>
    <w:p w14:paraId="6086E396" w14:textId="77777777" w:rsidR="009260DE" w:rsidRPr="00AA4AD7" w:rsidRDefault="009260DE" w:rsidP="009260DE">
      <w:pPr>
        <w:tabs>
          <w:tab w:val="left" w:pos="851"/>
        </w:tabs>
        <w:ind w:left="851"/>
        <w:rPr>
          <w:sz w:val="24"/>
          <w:szCs w:val="24"/>
        </w:rPr>
      </w:pPr>
    </w:p>
    <w:p w14:paraId="31D5E69B" w14:textId="77777777" w:rsidR="009260DE" w:rsidRPr="00AA4AD7" w:rsidRDefault="009260DE" w:rsidP="009260DE">
      <w:pPr>
        <w:tabs>
          <w:tab w:val="num" w:pos="851"/>
        </w:tabs>
        <w:ind w:left="851" w:hanging="851"/>
        <w:rPr>
          <w:b/>
          <w:sz w:val="24"/>
          <w:szCs w:val="24"/>
        </w:rPr>
      </w:pPr>
      <w:r w:rsidRPr="00AA4AD7">
        <w:rPr>
          <w:b/>
          <w:sz w:val="24"/>
          <w:szCs w:val="24"/>
        </w:rPr>
        <w:t>5.1</w:t>
      </w:r>
      <w:r w:rsidRPr="00AA4AD7">
        <w:rPr>
          <w:b/>
          <w:sz w:val="24"/>
          <w:szCs w:val="24"/>
        </w:rPr>
        <w:tab/>
      </w:r>
      <w:proofErr w:type="spellStart"/>
      <w:r w:rsidRPr="00AA4AD7">
        <w:rPr>
          <w:b/>
          <w:sz w:val="24"/>
          <w:szCs w:val="24"/>
        </w:rPr>
        <w:t>Farmakodynamiske</w:t>
      </w:r>
      <w:proofErr w:type="spellEnd"/>
      <w:r w:rsidRPr="00AA4AD7">
        <w:rPr>
          <w:b/>
          <w:sz w:val="24"/>
          <w:szCs w:val="24"/>
        </w:rPr>
        <w:t xml:space="preserve"> egenskaber</w:t>
      </w:r>
    </w:p>
    <w:p w14:paraId="04EA0FB4" w14:textId="77777777" w:rsidR="00C73700" w:rsidRPr="00AA4AD7" w:rsidRDefault="00C73700" w:rsidP="00C70C18">
      <w:pPr>
        <w:autoSpaceDE w:val="0"/>
        <w:autoSpaceDN w:val="0"/>
        <w:adjustRightInd w:val="0"/>
        <w:ind w:left="851"/>
        <w:rPr>
          <w:color w:val="000000"/>
          <w:sz w:val="24"/>
          <w:szCs w:val="24"/>
        </w:rPr>
      </w:pPr>
      <w:proofErr w:type="spellStart"/>
      <w:r w:rsidRPr="00AA4AD7">
        <w:rPr>
          <w:color w:val="000000"/>
          <w:sz w:val="24"/>
          <w:szCs w:val="24"/>
        </w:rPr>
        <w:t>Farmakoterapeutisk</w:t>
      </w:r>
      <w:proofErr w:type="spellEnd"/>
      <w:r w:rsidRPr="00AA4AD7">
        <w:rPr>
          <w:color w:val="000000"/>
          <w:sz w:val="24"/>
          <w:szCs w:val="24"/>
        </w:rPr>
        <w:t xml:space="preserve"> klassifikation: </w:t>
      </w:r>
      <w:proofErr w:type="spellStart"/>
      <w:r w:rsidRPr="00AA4AD7">
        <w:rPr>
          <w:color w:val="000000"/>
          <w:sz w:val="24"/>
          <w:szCs w:val="24"/>
        </w:rPr>
        <w:t>Glukokortikoider</w:t>
      </w:r>
      <w:proofErr w:type="spellEnd"/>
      <w:r w:rsidRPr="00AA4AD7">
        <w:rPr>
          <w:color w:val="000000"/>
          <w:sz w:val="24"/>
          <w:szCs w:val="24"/>
        </w:rPr>
        <w:t>, ATC</w:t>
      </w:r>
      <w:r w:rsidRPr="00AA4AD7">
        <w:rPr>
          <w:color w:val="000000"/>
          <w:sz w:val="24"/>
          <w:szCs w:val="24"/>
        </w:rPr>
        <w:noBreakHyphen/>
        <w:t>kode: H02AB02</w:t>
      </w:r>
    </w:p>
    <w:p w14:paraId="22692DBB" w14:textId="77777777" w:rsidR="00C73700" w:rsidRPr="00AA4AD7" w:rsidRDefault="00C73700" w:rsidP="00C70C18">
      <w:pPr>
        <w:autoSpaceDE w:val="0"/>
        <w:autoSpaceDN w:val="0"/>
        <w:adjustRightInd w:val="0"/>
        <w:ind w:left="851"/>
        <w:rPr>
          <w:color w:val="000000"/>
          <w:sz w:val="24"/>
          <w:szCs w:val="24"/>
          <w:lang w:val="sv-SE"/>
        </w:rPr>
      </w:pPr>
    </w:p>
    <w:p w14:paraId="380C2165" w14:textId="77777777" w:rsidR="00C73700" w:rsidRPr="00AA4AD7" w:rsidRDefault="00C73700" w:rsidP="00C70C18">
      <w:pPr>
        <w:autoSpaceDE w:val="0"/>
        <w:autoSpaceDN w:val="0"/>
        <w:adjustRightInd w:val="0"/>
        <w:ind w:left="851"/>
        <w:rPr>
          <w:color w:val="000000"/>
          <w:sz w:val="24"/>
          <w:szCs w:val="24"/>
          <w:u w:val="single"/>
        </w:rPr>
      </w:pPr>
      <w:proofErr w:type="spellStart"/>
      <w:r w:rsidRPr="00AA4AD7">
        <w:rPr>
          <w:color w:val="000000"/>
          <w:sz w:val="24"/>
          <w:szCs w:val="24"/>
          <w:u w:val="single"/>
        </w:rPr>
        <w:t>Farmakodynamisk</w:t>
      </w:r>
      <w:proofErr w:type="spellEnd"/>
      <w:r w:rsidRPr="00AA4AD7">
        <w:rPr>
          <w:color w:val="000000"/>
          <w:sz w:val="24"/>
          <w:szCs w:val="24"/>
          <w:u w:val="single"/>
        </w:rPr>
        <w:t xml:space="preserve"> virkning</w:t>
      </w:r>
    </w:p>
    <w:p w14:paraId="4469FDF4" w14:textId="77777777" w:rsidR="00C73700" w:rsidRPr="00AA4AD7" w:rsidRDefault="00C73700" w:rsidP="00C70C18">
      <w:pPr>
        <w:autoSpaceDE w:val="0"/>
        <w:autoSpaceDN w:val="0"/>
        <w:adjustRightInd w:val="0"/>
        <w:ind w:left="851"/>
        <w:rPr>
          <w:color w:val="000000"/>
          <w:sz w:val="24"/>
          <w:szCs w:val="24"/>
        </w:rPr>
      </w:pPr>
      <w:proofErr w:type="spellStart"/>
      <w:r w:rsidRPr="00AA4AD7">
        <w:rPr>
          <w:color w:val="000000"/>
          <w:sz w:val="24"/>
          <w:szCs w:val="24"/>
        </w:rPr>
        <w:t>Dexametason</w:t>
      </w:r>
      <w:proofErr w:type="spellEnd"/>
      <w:r w:rsidRPr="00AA4AD7">
        <w:rPr>
          <w:color w:val="000000"/>
          <w:sz w:val="24"/>
          <w:szCs w:val="24"/>
        </w:rPr>
        <w:t xml:space="preserve"> er et </w:t>
      </w:r>
      <w:proofErr w:type="spellStart"/>
      <w:r w:rsidRPr="00AA4AD7">
        <w:rPr>
          <w:color w:val="000000"/>
          <w:sz w:val="24"/>
          <w:szCs w:val="24"/>
        </w:rPr>
        <w:t>monofluorineret</w:t>
      </w:r>
      <w:proofErr w:type="spellEnd"/>
      <w:r w:rsidRPr="00AA4AD7">
        <w:rPr>
          <w:color w:val="000000"/>
          <w:sz w:val="24"/>
          <w:szCs w:val="24"/>
        </w:rPr>
        <w:t xml:space="preserve"> </w:t>
      </w:r>
      <w:proofErr w:type="spellStart"/>
      <w:r w:rsidRPr="00AA4AD7">
        <w:rPr>
          <w:color w:val="000000"/>
          <w:sz w:val="24"/>
          <w:szCs w:val="24"/>
        </w:rPr>
        <w:t>glukokortikoid</w:t>
      </w:r>
      <w:proofErr w:type="spellEnd"/>
      <w:r w:rsidRPr="00AA4AD7">
        <w:rPr>
          <w:color w:val="000000"/>
          <w:sz w:val="24"/>
          <w:szCs w:val="24"/>
        </w:rPr>
        <w:t xml:space="preserve"> med udtalte antiallergiske, antiinflammatoriske og membranstabiliserende egenskaber og virkninger på kulhydrat-, protein- og fedtmetabolismen.</w:t>
      </w:r>
    </w:p>
    <w:p w14:paraId="31404073" w14:textId="77777777" w:rsidR="00C73700" w:rsidRPr="00AA4AD7" w:rsidRDefault="00C73700" w:rsidP="00C70C18">
      <w:pPr>
        <w:autoSpaceDE w:val="0"/>
        <w:autoSpaceDN w:val="0"/>
        <w:adjustRightInd w:val="0"/>
        <w:ind w:left="851"/>
        <w:rPr>
          <w:color w:val="000000"/>
          <w:sz w:val="24"/>
          <w:szCs w:val="24"/>
          <w:lang w:val="sv-SE"/>
        </w:rPr>
      </w:pPr>
    </w:p>
    <w:p w14:paraId="08F54835" w14:textId="77777777" w:rsidR="00C73700" w:rsidRPr="00AA4AD7" w:rsidRDefault="00C73700" w:rsidP="00C70C18">
      <w:pPr>
        <w:autoSpaceDE w:val="0"/>
        <w:autoSpaceDN w:val="0"/>
        <w:adjustRightInd w:val="0"/>
        <w:ind w:left="851"/>
        <w:rPr>
          <w:color w:val="000000"/>
          <w:sz w:val="24"/>
          <w:szCs w:val="24"/>
        </w:rPr>
      </w:pPr>
      <w:proofErr w:type="spellStart"/>
      <w:r w:rsidRPr="00AA4AD7">
        <w:rPr>
          <w:color w:val="000000"/>
          <w:sz w:val="24"/>
          <w:szCs w:val="24"/>
        </w:rPr>
        <w:t>Dexametason</w:t>
      </w:r>
      <w:proofErr w:type="spellEnd"/>
      <w:r w:rsidRPr="00AA4AD7">
        <w:rPr>
          <w:color w:val="000000"/>
          <w:sz w:val="24"/>
          <w:szCs w:val="24"/>
        </w:rPr>
        <w:t xml:space="preserve"> har de samme mekanismer og virkninger som andre grundlæggende </w:t>
      </w:r>
      <w:proofErr w:type="spellStart"/>
      <w:r w:rsidRPr="00AA4AD7">
        <w:rPr>
          <w:color w:val="000000"/>
          <w:sz w:val="24"/>
          <w:szCs w:val="24"/>
        </w:rPr>
        <w:t>glukokortikoider</w:t>
      </w:r>
      <w:proofErr w:type="spellEnd"/>
      <w:r w:rsidRPr="00AA4AD7">
        <w:rPr>
          <w:color w:val="000000"/>
          <w:sz w:val="24"/>
          <w:szCs w:val="24"/>
        </w:rPr>
        <w:t xml:space="preserve"> og er blandt de mest aktive i sin klasse.</w:t>
      </w:r>
    </w:p>
    <w:p w14:paraId="44DFD738" w14:textId="77777777" w:rsidR="00C73700" w:rsidRPr="00AA4AD7" w:rsidRDefault="00C73700" w:rsidP="00C70C18">
      <w:pPr>
        <w:autoSpaceDE w:val="0"/>
        <w:autoSpaceDN w:val="0"/>
        <w:adjustRightInd w:val="0"/>
        <w:ind w:left="851"/>
        <w:rPr>
          <w:color w:val="000000"/>
          <w:sz w:val="24"/>
          <w:szCs w:val="24"/>
        </w:rPr>
      </w:pPr>
      <w:proofErr w:type="spellStart"/>
      <w:r w:rsidRPr="00AA4AD7">
        <w:rPr>
          <w:color w:val="000000"/>
          <w:sz w:val="24"/>
          <w:szCs w:val="24"/>
        </w:rPr>
        <w:t>Dexametason</w:t>
      </w:r>
      <w:proofErr w:type="spellEnd"/>
      <w:r w:rsidRPr="00AA4AD7">
        <w:rPr>
          <w:color w:val="000000"/>
          <w:sz w:val="24"/>
          <w:szCs w:val="24"/>
        </w:rPr>
        <w:t xml:space="preserve"> har ca. 7,5 gange større </w:t>
      </w:r>
      <w:proofErr w:type="spellStart"/>
      <w:r w:rsidRPr="00AA4AD7">
        <w:rPr>
          <w:color w:val="000000"/>
          <w:sz w:val="24"/>
          <w:szCs w:val="24"/>
        </w:rPr>
        <w:t>glukokortikoid</w:t>
      </w:r>
      <w:proofErr w:type="spellEnd"/>
      <w:r w:rsidRPr="00AA4AD7">
        <w:rPr>
          <w:color w:val="000000"/>
          <w:sz w:val="24"/>
          <w:szCs w:val="24"/>
        </w:rPr>
        <w:t xml:space="preserve"> virkning end </w:t>
      </w:r>
      <w:proofErr w:type="spellStart"/>
      <w:r w:rsidRPr="00AA4AD7">
        <w:rPr>
          <w:color w:val="000000"/>
          <w:sz w:val="24"/>
          <w:szCs w:val="24"/>
        </w:rPr>
        <w:t>prednisolon</w:t>
      </w:r>
      <w:proofErr w:type="spellEnd"/>
      <w:r w:rsidRPr="00AA4AD7">
        <w:rPr>
          <w:color w:val="000000"/>
          <w:sz w:val="24"/>
          <w:szCs w:val="24"/>
        </w:rPr>
        <w:t xml:space="preserve"> og </w:t>
      </w:r>
      <w:proofErr w:type="spellStart"/>
      <w:r w:rsidRPr="00AA4AD7">
        <w:rPr>
          <w:color w:val="000000"/>
          <w:sz w:val="24"/>
          <w:szCs w:val="24"/>
        </w:rPr>
        <w:t>prednison</w:t>
      </w:r>
      <w:proofErr w:type="spellEnd"/>
      <w:r w:rsidRPr="00AA4AD7">
        <w:rPr>
          <w:color w:val="000000"/>
          <w:sz w:val="24"/>
          <w:szCs w:val="24"/>
        </w:rPr>
        <w:t xml:space="preserve">, og sammenlignet med </w:t>
      </w:r>
      <w:proofErr w:type="spellStart"/>
      <w:r w:rsidRPr="00AA4AD7">
        <w:rPr>
          <w:color w:val="000000"/>
          <w:sz w:val="24"/>
          <w:szCs w:val="24"/>
        </w:rPr>
        <w:t>hydrokortison</w:t>
      </w:r>
      <w:proofErr w:type="spellEnd"/>
      <w:r w:rsidRPr="00AA4AD7">
        <w:rPr>
          <w:color w:val="000000"/>
          <w:sz w:val="24"/>
          <w:szCs w:val="24"/>
        </w:rPr>
        <w:t xml:space="preserve"> har det en 30 gange større virkning. Der er ingen </w:t>
      </w:r>
      <w:proofErr w:type="spellStart"/>
      <w:r w:rsidRPr="00AA4AD7">
        <w:rPr>
          <w:color w:val="000000"/>
          <w:sz w:val="24"/>
          <w:szCs w:val="24"/>
        </w:rPr>
        <w:t>mineralkortikoide</w:t>
      </w:r>
      <w:proofErr w:type="spellEnd"/>
      <w:r w:rsidRPr="00AA4AD7">
        <w:rPr>
          <w:color w:val="000000"/>
          <w:sz w:val="24"/>
          <w:szCs w:val="24"/>
        </w:rPr>
        <w:t xml:space="preserve"> virkninger.</w:t>
      </w:r>
    </w:p>
    <w:p w14:paraId="5A506180" w14:textId="77777777" w:rsidR="00C73700" w:rsidRPr="00AA4AD7" w:rsidRDefault="00C73700" w:rsidP="00C70C18">
      <w:pPr>
        <w:autoSpaceDE w:val="0"/>
        <w:autoSpaceDN w:val="0"/>
        <w:adjustRightInd w:val="0"/>
        <w:ind w:left="851"/>
        <w:rPr>
          <w:color w:val="000000"/>
          <w:sz w:val="24"/>
          <w:szCs w:val="24"/>
          <w:lang w:val="sv-SE"/>
        </w:rPr>
      </w:pPr>
    </w:p>
    <w:p w14:paraId="58B94364" w14:textId="77777777" w:rsidR="00C73700" w:rsidRPr="00AA4AD7" w:rsidRDefault="00C73700" w:rsidP="00C70C18">
      <w:pPr>
        <w:autoSpaceDE w:val="0"/>
        <w:autoSpaceDN w:val="0"/>
        <w:adjustRightInd w:val="0"/>
        <w:ind w:left="851"/>
        <w:rPr>
          <w:color w:val="000000"/>
          <w:sz w:val="24"/>
          <w:szCs w:val="24"/>
        </w:rPr>
      </w:pPr>
      <w:r w:rsidRPr="00AA4AD7">
        <w:rPr>
          <w:color w:val="000000"/>
          <w:sz w:val="24"/>
          <w:szCs w:val="24"/>
        </w:rPr>
        <w:t xml:space="preserve">Den biologiske virkning ved </w:t>
      </w:r>
      <w:proofErr w:type="spellStart"/>
      <w:r w:rsidRPr="00AA4AD7">
        <w:rPr>
          <w:color w:val="000000"/>
          <w:sz w:val="24"/>
          <w:szCs w:val="24"/>
        </w:rPr>
        <w:t>glukokortikoider</w:t>
      </w:r>
      <w:proofErr w:type="spellEnd"/>
      <w:r w:rsidRPr="00AA4AD7">
        <w:rPr>
          <w:color w:val="000000"/>
          <w:sz w:val="24"/>
          <w:szCs w:val="24"/>
        </w:rPr>
        <w:t xml:space="preserve"> såsom </w:t>
      </w:r>
      <w:proofErr w:type="spellStart"/>
      <w:r w:rsidRPr="00AA4AD7">
        <w:rPr>
          <w:color w:val="000000"/>
          <w:sz w:val="24"/>
          <w:szCs w:val="24"/>
        </w:rPr>
        <w:t>dexametason</w:t>
      </w:r>
      <w:proofErr w:type="spellEnd"/>
      <w:r w:rsidRPr="00AA4AD7">
        <w:rPr>
          <w:color w:val="000000"/>
          <w:sz w:val="24"/>
          <w:szCs w:val="24"/>
        </w:rPr>
        <w:t xml:space="preserve"> stammer fra aktivering af transskriptionen af </w:t>
      </w:r>
      <w:proofErr w:type="spellStart"/>
      <w:r w:rsidRPr="00AA4AD7">
        <w:rPr>
          <w:color w:val="000000"/>
          <w:sz w:val="24"/>
          <w:szCs w:val="24"/>
        </w:rPr>
        <w:t>kortikosteroid</w:t>
      </w:r>
      <w:proofErr w:type="spellEnd"/>
      <w:r w:rsidRPr="00AA4AD7">
        <w:rPr>
          <w:color w:val="000000"/>
          <w:sz w:val="24"/>
          <w:szCs w:val="24"/>
        </w:rPr>
        <w:t xml:space="preserve">-følsomme gener. De antiinflammatoriske, immunsuppressive og </w:t>
      </w:r>
      <w:proofErr w:type="spellStart"/>
      <w:r w:rsidRPr="00AA4AD7">
        <w:rPr>
          <w:color w:val="000000"/>
          <w:sz w:val="24"/>
          <w:szCs w:val="24"/>
        </w:rPr>
        <w:t>antiproliferative</w:t>
      </w:r>
      <w:proofErr w:type="spellEnd"/>
      <w:r w:rsidRPr="00AA4AD7">
        <w:rPr>
          <w:color w:val="000000"/>
          <w:sz w:val="24"/>
          <w:szCs w:val="24"/>
        </w:rPr>
        <w:t xml:space="preserve"> virkninger fremkaldes, sammen med andre mekanismer, af reduceret dannelse, frigivelse og aktivitet af inflammatoriske </w:t>
      </w:r>
      <w:proofErr w:type="spellStart"/>
      <w:r w:rsidRPr="00AA4AD7">
        <w:rPr>
          <w:color w:val="000000"/>
          <w:sz w:val="24"/>
          <w:szCs w:val="24"/>
        </w:rPr>
        <w:t>mediatorer</w:t>
      </w:r>
      <w:proofErr w:type="spellEnd"/>
      <w:r w:rsidRPr="00AA4AD7">
        <w:rPr>
          <w:color w:val="000000"/>
          <w:sz w:val="24"/>
          <w:szCs w:val="24"/>
        </w:rPr>
        <w:t>, ved hæmning af de specifikke funktioner og migration af inflammatoriske celler. Desuden kan virkningen af sensibiliserede T</w:t>
      </w:r>
      <w:r w:rsidRPr="00AA4AD7">
        <w:rPr>
          <w:color w:val="000000"/>
          <w:sz w:val="24"/>
          <w:szCs w:val="24"/>
        </w:rPr>
        <w:noBreakHyphen/>
        <w:t xml:space="preserve">lymfocytter og makrofager på målceller blive forhindret af </w:t>
      </w:r>
      <w:proofErr w:type="spellStart"/>
      <w:r w:rsidRPr="00AA4AD7">
        <w:rPr>
          <w:color w:val="000000"/>
          <w:sz w:val="24"/>
          <w:szCs w:val="24"/>
        </w:rPr>
        <w:t>kortikosteroider</w:t>
      </w:r>
      <w:proofErr w:type="spellEnd"/>
      <w:r w:rsidRPr="00AA4AD7">
        <w:rPr>
          <w:color w:val="000000"/>
          <w:sz w:val="24"/>
          <w:szCs w:val="24"/>
        </w:rPr>
        <w:t>.</w:t>
      </w:r>
    </w:p>
    <w:p w14:paraId="565B2FA4" w14:textId="77777777" w:rsidR="00C73700" w:rsidRPr="00AA4AD7" w:rsidRDefault="00C73700" w:rsidP="00C70C18">
      <w:pPr>
        <w:autoSpaceDE w:val="0"/>
        <w:autoSpaceDN w:val="0"/>
        <w:adjustRightInd w:val="0"/>
        <w:ind w:left="851"/>
        <w:rPr>
          <w:color w:val="000000"/>
          <w:sz w:val="24"/>
          <w:szCs w:val="24"/>
          <w:lang w:val="sv-SE"/>
        </w:rPr>
      </w:pPr>
    </w:p>
    <w:p w14:paraId="033F7807" w14:textId="77777777" w:rsidR="00C73700" w:rsidRPr="00AA4AD7" w:rsidRDefault="00C73700" w:rsidP="00C70C18">
      <w:pPr>
        <w:autoSpaceDE w:val="0"/>
        <w:autoSpaceDN w:val="0"/>
        <w:adjustRightInd w:val="0"/>
        <w:ind w:left="851"/>
        <w:rPr>
          <w:color w:val="000000"/>
          <w:sz w:val="24"/>
          <w:szCs w:val="24"/>
        </w:rPr>
      </w:pPr>
      <w:r w:rsidRPr="00AA4AD7">
        <w:rPr>
          <w:color w:val="000000"/>
          <w:sz w:val="24"/>
          <w:szCs w:val="24"/>
        </w:rPr>
        <w:t xml:space="preserve">Hvis der er behov for længerevarende </w:t>
      </w:r>
      <w:proofErr w:type="spellStart"/>
      <w:r w:rsidRPr="00AA4AD7">
        <w:rPr>
          <w:color w:val="000000"/>
          <w:sz w:val="24"/>
          <w:szCs w:val="24"/>
        </w:rPr>
        <w:t>kortikoidbehandling</w:t>
      </w:r>
      <w:proofErr w:type="spellEnd"/>
      <w:r w:rsidRPr="00AA4AD7">
        <w:rPr>
          <w:color w:val="000000"/>
          <w:sz w:val="24"/>
          <w:szCs w:val="24"/>
        </w:rPr>
        <w:t xml:space="preserve">, skal der tages højde for den mulige induktion af forbigående binyrebarkinsufficiens. Undertrykkelse af </w:t>
      </w:r>
      <w:proofErr w:type="spellStart"/>
      <w:r w:rsidRPr="00AA4AD7">
        <w:rPr>
          <w:color w:val="000000"/>
          <w:sz w:val="24"/>
          <w:szCs w:val="24"/>
        </w:rPr>
        <w:t>hypotalamiske</w:t>
      </w:r>
      <w:proofErr w:type="spellEnd"/>
      <w:r w:rsidRPr="00AA4AD7">
        <w:rPr>
          <w:color w:val="000000"/>
          <w:sz w:val="24"/>
          <w:szCs w:val="24"/>
        </w:rPr>
        <w:t>-hypofyse-binyrebark-aksen afhænger til dels af individuelle faktorer.</w:t>
      </w:r>
    </w:p>
    <w:p w14:paraId="34EC6907" w14:textId="77777777" w:rsidR="00C73700" w:rsidRPr="00AA4AD7" w:rsidRDefault="00C73700" w:rsidP="00C70C18">
      <w:pPr>
        <w:autoSpaceDE w:val="0"/>
        <w:autoSpaceDN w:val="0"/>
        <w:adjustRightInd w:val="0"/>
        <w:ind w:left="851"/>
        <w:rPr>
          <w:i/>
          <w:iCs/>
          <w:color w:val="000000"/>
          <w:sz w:val="24"/>
          <w:szCs w:val="24"/>
          <w:lang w:val="sv-SE"/>
        </w:rPr>
      </w:pPr>
    </w:p>
    <w:p w14:paraId="6C860C22" w14:textId="77777777" w:rsidR="00C73700" w:rsidRPr="00AA4AD7" w:rsidRDefault="00C73700" w:rsidP="00C70C18">
      <w:pPr>
        <w:autoSpaceDE w:val="0"/>
        <w:autoSpaceDN w:val="0"/>
        <w:adjustRightInd w:val="0"/>
        <w:ind w:left="851"/>
        <w:rPr>
          <w:iCs/>
          <w:color w:val="000000"/>
          <w:sz w:val="24"/>
          <w:szCs w:val="24"/>
          <w:u w:val="single"/>
        </w:rPr>
      </w:pPr>
      <w:r w:rsidRPr="00AA4AD7">
        <w:rPr>
          <w:iCs/>
          <w:color w:val="000000"/>
          <w:sz w:val="24"/>
          <w:szCs w:val="24"/>
          <w:u w:val="single"/>
        </w:rPr>
        <w:t>Klinisk virkning og sikkerhed – COVID</w:t>
      </w:r>
      <w:r w:rsidRPr="00AA4AD7">
        <w:rPr>
          <w:iCs/>
          <w:color w:val="000000"/>
          <w:sz w:val="24"/>
          <w:szCs w:val="24"/>
          <w:u w:val="single"/>
        </w:rPr>
        <w:noBreakHyphen/>
        <w:t>19</w:t>
      </w:r>
    </w:p>
    <w:p w14:paraId="6D8C55FB" w14:textId="77777777" w:rsidR="00C73700" w:rsidRPr="00AA4AD7" w:rsidRDefault="00C73700" w:rsidP="00C70C18">
      <w:pPr>
        <w:autoSpaceDE w:val="0"/>
        <w:autoSpaceDN w:val="0"/>
        <w:adjustRightInd w:val="0"/>
        <w:ind w:left="851"/>
        <w:rPr>
          <w:color w:val="000000"/>
          <w:sz w:val="24"/>
          <w:szCs w:val="24"/>
          <w:lang w:val="sv-SE"/>
        </w:rPr>
      </w:pPr>
    </w:p>
    <w:p w14:paraId="3BCB7219" w14:textId="77777777" w:rsidR="00C73700" w:rsidRPr="00AA4AD7" w:rsidRDefault="00C73700" w:rsidP="00C70C18">
      <w:pPr>
        <w:autoSpaceDE w:val="0"/>
        <w:autoSpaceDN w:val="0"/>
        <w:adjustRightInd w:val="0"/>
        <w:ind w:left="851"/>
        <w:rPr>
          <w:color w:val="000000"/>
          <w:sz w:val="24"/>
          <w:szCs w:val="24"/>
        </w:rPr>
      </w:pPr>
      <w:r w:rsidRPr="00AA4AD7">
        <w:rPr>
          <w:color w:val="000000"/>
          <w:sz w:val="24"/>
          <w:szCs w:val="24"/>
        </w:rPr>
        <w:t>Klinisk virkning</w:t>
      </w:r>
    </w:p>
    <w:p w14:paraId="06E502ED" w14:textId="77777777" w:rsidR="00C73700" w:rsidRPr="00AA4AD7" w:rsidRDefault="00C73700" w:rsidP="00C70C18">
      <w:pPr>
        <w:autoSpaceDE w:val="0"/>
        <w:autoSpaceDN w:val="0"/>
        <w:adjustRightInd w:val="0"/>
        <w:ind w:left="851"/>
        <w:rPr>
          <w:color w:val="000000"/>
          <w:sz w:val="24"/>
          <w:szCs w:val="24"/>
        </w:rPr>
      </w:pPr>
      <w:r w:rsidRPr="00AA4AD7">
        <w:rPr>
          <w:color w:val="000000"/>
          <w:sz w:val="24"/>
          <w:szCs w:val="24"/>
        </w:rPr>
        <w:t>RECOVERY-forsøget (</w:t>
      </w:r>
      <w:proofErr w:type="spellStart"/>
      <w:r w:rsidRPr="00AA4AD7">
        <w:rPr>
          <w:color w:val="000000"/>
          <w:sz w:val="24"/>
          <w:szCs w:val="24"/>
        </w:rPr>
        <w:t>Randomised</w:t>
      </w:r>
      <w:proofErr w:type="spellEnd"/>
      <w:r w:rsidRPr="00AA4AD7">
        <w:rPr>
          <w:color w:val="000000"/>
          <w:sz w:val="24"/>
          <w:szCs w:val="24"/>
        </w:rPr>
        <w:t xml:space="preserve"> Evaluation of COVid-19 </w:t>
      </w:r>
      <w:proofErr w:type="spellStart"/>
      <w:proofErr w:type="gramStart"/>
      <w:r w:rsidRPr="00AA4AD7">
        <w:rPr>
          <w:color w:val="000000"/>
          <w:sz w:val="24"/>
          <w:szCs w:val="24"/>
        </w:rPr>
        <w:t>thERapY</w:t>
      </w:r>
      <w:proofErr w:type="spellEnd"/>
      <w:r w:rsidRPr="00AA4AD7">
        <w:rPr>
          <w:color w:val="000000"/>
          <w:sz w:val="24"/>
          <w:szCs w:val="24"/>
        </w:rPr>
        <w:t>)</w:t>
      </w:r>
      <w:r w:rsidRPr="00AA4AD7">
        <w:rPr>
          <w:color w:val="0000FF"/>
          <w:sz w:val="24"/>
          <w:szCs w:val="24"/>
          <w:vertAlign w:val="subscript"/>
        </w:rPr>
        <w:t>[</w:t>
      </w:r>
      <w:proofErr w:type="gramEnd"/>
      <w:r w:rsidRPr="00AA4AD7">
        <w:rPr>
          <w:color w:val="0000FF"/>
          <w:sz w:val="24"/>
          <w:szCs w:val="24"/>
          <w:vertAlign w:val="subscript"/>
        </w:rPr>
        <w:t xml:space="preserve">1] </w:t>
      </w:r>
      <w:r w:rsidRPr="00AA4AD7">
        <w:rPr>
          <w:color w:val="000000"/>
          <w:sz w:val="24"/>
          <w:szCs w:val="24"/>
        </w:rPr>
        <w:t xml:space="preserve">er et </w:t>
      </w:r>
      <w:proofErr w:type="spellStart"/>
      <w:r w:rsidRPr="00AA4AD7">
        <w:rPr>
          <w:color w:val="000000"/>
          <w:sz w:val="24"/>
          <w:szCs w:val="24"/>
        </w:rPr>
        <w:t>investigator</w:t>
      </w:r>
      <w:proofErr w:type="spellEnd"/>
      <w:r w:rsidRPr="00AA4AD7">
        <w:rPr>
          <w:color w:val="000000"/>
          <w:sz w:val="24"/>
          <w:szCs w:val="24"/>
        </w:rPr>
        <w:t>-initieret, individuelt randomiseret, kontrolleret, åbent, adaptivt platformstudie til evaluering af virkningen af potentielle behandlinger hos patienter, som er hospitalsindlagt med COVID-19.</w:t>
      </w:r>
    </w:p>
    <w:p w14:paraId="1AADE969" w14:textId="77777777" w:rsidR="00C73700" w:rsidRPr="00AA4AD7" w:rsidRDefault="00C73700" w:rsidP="00C70C18">
      <w:pPr>
        <w:autoSpaceDE w:val="0"/>
        <w:autoSpaceDN w:val="0"/>
        <w:adjustRightInd w:val="0"/>
        <w:ind w:left="851"/>
        <w:rPr>
          <w:color w:val="000000"/>
          <w:sz w:val="24"/>
          <w:szCs w:val="24"/>
          <w:lang w:val="sv-SE"/>
        </w:rPr>
      </w:pPr>
    </w:p>
    <w:p w14:paraId="1CE0142C" w14:textId="77777777" w:rsidR="00C73700" w:rsidRPr="00AA4AD7" w:rsidRDefault="00C73700" w:rsidP="00C70C18">
      <w:pPr>
        <w:autoSpaceDE w:val="0"/>
        <w:autoSpaceDN w:val="0"/>
        <w:adjustRightInd w:val="0"/>
        <w:ind w:left="851"/>
        <w:rPr>
          <w:color w:val="000000"/>
          <w:sz w:val="24"/>
          <w:szCs w:val="24"/>
        </w:rPr>
      </w:pPr>
      <w:r w:rsidRPr="00AA4AD7">
        <w:rPr>
          <w:color w:val="000000"/>
          <w:sz w:val="24"/>
          <w:szCs w:val="24"/>
        </w:rPr>
        <w:t xml:space="preserve">Forsøget blev udført på 176 hospitaler i Storbritannien. 6.425 patienter blev randomiseret til at få enten </w:t>
      </w:r>
      <w:proofErr w:type="spellStart"/>
      <w:r w:rsidRPr="00AA4AD7">
        <w:rPr>
          <w:color w:val="000000"/>
          <w:sz w:val="24"/>
          <w:szCs w:val="24"/>
        </w:rPr>
        <w:t>dexametason</w:t>
      </w:r>
      <w:proofErr w:type="spellEnd"/>
      <w:r w:rsidRPr="00AA4AD7">
        <w:rPr>
          <w:color w:val="000000"/>
          <w:sz w:val="24"/>
          <w:szCs w:val="24"/>
        </w:rPr>
        <w:t xml:space="preserve"> (2.104 patienter) eller sædvanlig pleje alene (4.321 patienter). 89 % af patienterne havde laboratoriebekræftet SARS</w:t>
      </w:r>
      <w:r w:rsidRPr="00AA4AD7">
        <w:rPr>
          <w:color w:val="000000"/>
          <w:sz w:val="24"/>
          <w:szCs w:val="24"/>
        </w:rPr>
        <w:noBreakHyphen/>
        <w:t>CoV</w:t>
      </w:r>
      <w:r w:rsidRPr="00AA4AD7">
        <w:rPr>
          <w:color w:val="000000"/>
          <w:sz w:val="24"/>
          <w:szCs w:val="24"/>
        </w:rPr>
        <w:noBreakHyphen/>
        <w:t>2-infektion.</w:t>
      </w:r>
    </w:p>
    <w:p w14:paraId="5B72AA35" w14:textId="77777777" w:rsidR="00C73700" w:rsidRPr="00AA4AD7" w:rsidRDefault="00C73700" w:rsidP="00C70C18">
      <w:pPr>
        <w:autoSpaceDE w:val="0"/>
        <w:autoSpaceDN w:val="0"/>
        <w:adjustRightInd w:val="0"/>
        <w:ind w:left="851"/>
        <w:rPr>
          <w:color w:val="000000"/>
          <w:sz w:val="24"/>
          <w:szCs w:val="24"/>
        </w:rPr>
      </w:pPr>
      <w:r w:rsidRPr="00AA4AD7">
        <w:rPr>
          <w:color w:val="000000"/>
          <w:sz w:val="24"/>
          <w:szCs w:val="24"/>
        </w:rPr>
        <w:t xml:space="preserve">Ved </w:t>
      </w:r>
      <w:proofErr w:type="spellStart"/>
      <w:r w:rsidRPr="00AA4AD7">
        <w:rPr>
          <w:color w:val="000000"/>
          <w:sz w:val="24"/>
          <w:szCs w:val="24"/>
        </w:rPr>
        <w:t>randomiseringen</w:t>
      </w:r>
      <w:proofErr w:type="spellEnd"/>
      <w:r w:rsidRPr="00AA4AD7">
        <w:rPr>
          <w:color w:val="000000"/>
          <w:sz w:val="24"/>
          <w:szCs w:val="24"/>
        </w:rPr>
        <w:t xml:space="preserve"> fik 16 % af patienterne invasiv mekanisk ventilation eller </w:t>
      </w:r>
      <w:proofErr w:type="spellStart"/>
      <w:r w:rsidRPr="00AA4AD7">
        <w:rPr>
          <w:color w:val="000000"/>
          <w:sz w:val="24"/>
          <w:szCs w:val="24"/>
        </w:rPr>
        <w:t>ekstrakorporeal</w:t>
      </w:r>
      <w:proofErr w:type="spellEnd"/>
      <w:r w:rsidRPr="00AA4AD7">
        <w:rPr>
          <w:color w:val="000000"/>
          <w:sz w:val="24"/>
          <w:szCs w:val="24"/>
        </w:rPr>
        <w:t xml:space="preserve"> </w:t>
      </w:r>
      <w:proofErr w:type="spellStart"/>
      <w:r w:rsidRPr="00AA4AD7">
        <w:rPr>
          <w:color w:val="000000"/>
          <w:sz w:val="24"/>
          <w:szCs w:val="24"/>
        </w:rPr>
        <w:t>membranoxygenering</w:t>
      </w:r>
      <w:proofErr w:type="spellEnd"/>
      <w:r w:rsidRPr="00AA4AD7">
        <w:rPr>
          <w:color w:val="000000"/>
          <w:sz w:val="24"/>
          <w:szCs w:val="24"/>
        </w:rPr>
        <w:t>, 60 % fik kun ilt (med eller uden non</w:t>
      </w:r>
      <w:r w:rsidRPr="00AA4AD7">
        <w:rPr>
          <w:color w:val="000000"/>
          <w:sz w:val="24"/>
          <w:szCs w:val="24"/>
        </w:rPr>
        <w:noBreakHyphen/>
        <w:t>invasiv ventilation), og 24 % fik ingen af delene.</w:t>
      </w:r>
    </w:p>
    <w:p w14:paraId="58F8A55E" w14:textId="77777777" w:rsidR="00C73700" w:rsidRPr="00AA4AD7" w:rsidRDefault="00C73700" w:rsidP="00C70C18">
      <w:pPr>
        <w:autoSpaceDE w:val="0"/>
        <w:autoSpaceDN w:val="0"/>
        <w:adjustRightInd w:val="0"/>
        <w:ind w:left="851"/>
        <w:rPr>
          <w:color w:val="000000"/>
          <w:sz w:val="24"/>
          <w:szCs w:val="24"/>
          <w:lang w:val="sv-SE"/>
        </w:rPr>
      </w:pPr>
    </w:p>
    <w:p w14:paraId="55ECF97D" w14:textId="77777777" w:rsidR="00C73700" w:rsidRPr="00AA4AD7" w:rsidRDefault="00C73700" w:rsidP="00C70C18">
      <w:pPr>
        <w:autoSpaceDE w:val="0"/>
        <w:autoSpaceDN w:val="0"/>
        <w:adjustRightInd w:val="0"/>
        <w:ind w:left="851"/>
        <w:rPr>
          <w:sz w:val="24"/>
          <w:szCs w:val="24"/>
        </w:rPr>
      </w:pPr>
      <w:r w:rsidRPr="00AA4AD7">
        <w:rPr>
          <w:sz w:val="24"/>
          <w:szCs w:val="24"/>
        </w:rPr>
        <w:lastRenderedPageBreak/>
        <w:t>Patienternes gennemsnitsalder var 66,1+/-15,7 år. 36 % af patienterne var kvinder. 24 % af patienterne havde diabetes i anamnesen, 27 % havde hjertesygdom, og 21 % havde kronisk lungesygdom.</w:t>
      </w:r>
    </w:p>
    <w:p w14:paraId="7F2C114A" w14:textId="77777777" w:rsidR="00C73700" w:rsidRPr="00AA4AD7" w:rsidRDefault="00C73700" w:rsidP="00C70C18">
      <w:pPr>
        <w:autoSpaceDE w:val="0"/>
        <w:autoSpaceDN w:val="0"/>
        <w:adjustRightInd w:val="0"/>
        <w:ind w:left="851"/>
        <w:rPr>
          <w:bCs/>
          <w:sz w:val="24"/>
          <w:szCs w:val="24"/>
          <w:lang w:val="sv-SE"/>
        </w:rPr>
      </w:pPr>
    </w:p>
    <w:p w14:paraId="58A03EC4" w14:textId="77777777" w:rsidR="00C73700" w:rsidRPr="00AA4AD7" w:rsidRDefault="00C73700" w:rsidP="00C70C18">
      <w:pPr>
        <w:autoSpaceDE w:val="0"/>
        <w:autoSpaceDN w:val="0"/>
        <w:adjustRightInd w:val="0"/>
        <w:ind w:left="851"/>
        <w:rPr>
          <w:bCs/>
          <w:sz w:val="24"/>
          <w:szCs w:val="24"/>
          <w:u w:val="single"/>
        </w:rPr>
      </w:pPr>
      <w:r w:rsidRPr="00AA4AD7">
        <w:rPr>
          <w:bCs/>
          <w:sz w:val="24"/>
          <w:szCs w:val="24"/>
          <w:u w:val="single"/>
        </w:rPr>
        <w:t>Primært endepunkt</w:t>
      </w:r>
    </w:p>
    <w:p w14:paraId="1694BAD9" w14:textId="77777777" w:rsidR="00C73700" w:rsidRPr="00AA4AD7" w:rsidRDefault="00C73700" w:rsidP="00C70C18">
      <w:pPr>
        <w:autoSpaceDE w:val="0"/>
        <w:autoSpaceDN w:val="0"/>
        <w:adjustRightInd w:val="0"/>
        <w:ind w:left="851"/>
        <w:rPr>
          <w:sz w:val="24"/>
          <w:szCs w:val="24"/>
        </w:rPr>
      </w:pPr>
      <w:r w:rsidRPr="00AA4AD7">
        <w:rPr>
          <w:sz w:val="24"/>
          <w:szCs w:val="24"/>
        </w:rPr>
        <w:t xml:space="preserve">Mortalitet efter 28 dage var signifikant lavere i </w:t>
      </w:r>
      <w:proofErr w:type="spellStart"/>
      <w:r w:rsidRPr="00AA4AD7">
        <w:rPr>
          <w:sz w:val="24"/>
          <w:szCs w:val="24"/>
        </w:rPr>
        <w:t>dexametason</w:t>
      </w:r>
      <w:proofErr w:type="spellEnd"/>
      <w:r w:rsidRPr="00AA4AD7">
        <w:rPr>
          <w:sz w:val="24"/>
          <w:szCs w:val="24"/>
        </w:rPr>
        <w:t>-gruppen end i gruppen der fik almindelig pleje, med rapporterede dødsfald hos henholdsvis 482 ud af 2.104 patienter (22,9 %) og 1.110 ud af 4.321 patienter (25,7 %) (rate ratio 0,83; 95 % konfidensinterval [CI] 0,75 til 0,93; P &lt;0,001).</w:t>
      </w:r>
    </w:p>
    <w:p w14:paraId="62D0E1E9" w14:textId="77777777" w:rsidR="00C73700" w:rsidRPr="00AA4AD7" w:rsidRDefault="00C73700" w:rsidP="00C70C18">
      <w:pPr>
        <w:autoSpaceDE w:val="0"/>
        <w:autoSpaceDN w:val="0"/>
        <w:adjustRightInd w:val="0"/>
        <w:ind w:left="851"/>
        <w:rPr>
          <w:sz w:val="24"/>
          <w:szCs w:val="24"/>
          <w:lang w:val="sv-SE"/>
        </w:rPr>
      </w:pPr>
    </w:p>
    <w:p w14:paraId="027781A3" w14:textId="77777777" w:rsidR="00C73700" w:rsidRPr="00AA4AD7" w:rsidRDefault="00C73700" w:rsidP="00C70C18">
      <w:pPr>
        <w:autoSpaceDE w:val="0"/>
        <w:autoSpaceDN w:val="0"/>
        <w:adjustRightInd w:val="0"/>
        <w:ind w:left="851"/>
        <w:rPr>
          <w:sz w:val="24"/>
          <w:szCs w:val="24"/>
        </w:rPr>
      </w:pPr>
      <w:r w:rsidRPr="00AA4AD7">
        <w:rPr>
          <w:sz w:val="24"/>
          <w:szCs w:val="24"/>
        </w:rPr>
        <w:t xml:space="preserve">I </w:t>
      </w:r>
      <w:proofErr w:type="spellStart"/>
      <w:r w:rsidRPr="00AA4AD7">
        <w:rPr>
          <w:sz w:val="24"/>
          <w:szCs w:val="24"/>
        </w:rPr>
        <w:t>dexametason</w:t>
      </w:r>
      <w:proofErr w:type="spellEnd"/>
      <w:r w:rsidRPr="00AA4AD7">
        <w:rPr>
          <w:sz w:val="24"/>
          <w:szCs w:val="24"/>
        </w:rPr>
        <w:t xml:space="preserve">-gruppen var </w:t>
      </w:r>
      <w:proofErr w:type="spellStart"/>
      <w:r w:rsidRPr="00AA4AD7">
        <w:rPr>
          <w:sz w:val="24"/>
          <w:szCs w:val="24"/>
        </w:rPr>
        <w:t>incidensen</w:t>
      </w:r>
      <w:proofErr w:type="spellEnd"/>
      <w:r w:rsidRPr="00AA4AD7">
        <w:rPr>
          <w:sz w:val="24"/>
          <w:szCs w:val="24"/>
        </w:rPr>
        <w:t xml:space="preserve"> af dødsfald lavere end i gruppen, der fik almindelig pleje, blandt patienter, der fik invasiv mekanisk ventilation (29,3 % kontra 41,4 %; rate ratio 0,64; 95 % CI 0,51 til 0,81), og hos dem, der fik supplerende ilt uden invasiv mekanisk ventilation (23,3 % kontra 26,2 %; rate ratio 0,82; 95 % CI 0,72 til 0,94).</w:t>
      </w:r>
    </w:p>
    <w:p w14:paraId="3DB50376" w14:textId="77777777" w:rsidR="00C73700" w:rsidRPr="00AA4AD7" w:rsidRDefault="00C73700" w:rsidP="00C70C18">
      <w:pPr>
        <w:autoSpaceDE w:val="0"/>
        <w:autoSpaceDN w:val="0"/>
        <w:adjustRightInd w:val="0"/>
        <w:ind w:left="851"/>
        <w:rPr>
          <w:sz w:val="24"/>
          <w:szCs w:val="24"/>
          <w:lang w:val="sv-SE"/>
        </w:rPr>
      </w:pPr>
    </w:p>
    <w:p w14:paraId="64529704" w14:textId="77777777" w:rsidR="00C73700" w:rsidRPr="00AA4AD7" w:rsidRDefault="00C73700" w:rsidP="00C70C18">
      <w:pPr>
        <w:autoSpaceDE w:val="0"/>
        <w:autoSpaceDN w:val="0"/>
        <w:adjustRightInd w:val="0"/>
        <w:ind w:left="851"/>
        <w:rPr>
          <w:sz w:val="24"/>
          <w:szCs w:val="24"/>
        </w:rPr>
      </w:pPr>
      <w:r w:rsidRPr="00AA4AD7">
        <w:rPr>
          <w:sz w:val="24"/>
          <w:szCs w:val="24"/>
        </w:rPr>
        <w:t xml:space="preserve">Der var ingen tydelig virkning af </w:t>
      </w:r>
      <w:proofErr w:type="spellStart"/>
      <w:r w:rsidRPr="00AA4AD7">
        <w:rPr>
          <w:sz w:val="24"/>
          <w:szCs w:val="24"/>
        </w:rPr>
        <w:t>dexametason</w:t>
      </w:r>
      <w:proofErr w:type="spellEnd"/>
      <w:r w:rsidRPr="00AA4AD7">
        <w:rPr>
          <w:sz w:val="24"/>
          <w:szCs w:val="24"/>
        </w:rPr>
        <w:t xml:space="preserve"> hos patienter, som ikke fik respirationsstøtte ved </w:t>
      </w:r>
      <w:proofErr w:type="spellStart"/>
      <w:r w:rsidRPr="00AA4AD7">
        <w:rPr>
          <w:sz w:val="24"/>
          <w:szCs w:val="24"/>
        </w:rPr>
        <w:t>randomisering</w:t>
      </w:r>
      <w:proofErr w:type="spellEnd"/>
      <w:r w:rsidRPr="00AA4AD7">
        <w:rPr>
          <w:sz w:val="24"/>
          <w:szCs w:val="24"/>
        </w:rPr>
        <w:t xml:space="preserve"> (17,8 % kontra 14,0 %; rate ratio 1,19; 95 % CI 0,91 til 1,55).</w:t>
      </w:r>
    </w:p>
    <w:p w14:paraId="4F785A6E" w14:textId="77777777" w:rsidR="00C73700" w:rsidRPr="00AA4AD7" w:rsidRDefault="00C73700" w:rsidP="00C70C18">
      <w:pPr>
        <w:autoSpaceDE w:val="0"/>
        <w:autoSpaceDN w:val="0"/>
        <w:adjustRightInd w:val="0"/>
        <w:ind w:left="851"/>
        <w:rPr>
          <w:bCs/>
          <w:sz w:val="24"/>
          <w:szCs w:val="24"/>
          <w:lang w:val="sv-SE"/>
        </w:rPr>
      </w:pPr>
    </w:p>
    <w:p w14:paraId="57320FF7" w14:textId="77777777" w:rsidR="00C73700" w:rsidRPr="00AA4AD7" w:rsidRDefault="00C73700" w:rsidP="00C70C18">
      <w:pPr>
        <w:autoSpaceDE w:val="0"/>
        <w:autoSpaceDN w:val="0"/>
        <w:adjustRightInd w:val="0"/>
        <w:ind w:left="851"/>
        <w:rPr>
          <w:bCs/>
          <w:sz w:val="24"/>
          <w:szCs w:val="24"/>
          <w:u w:val="single"/>
        </w:rPr>
      </w:pPr>
      <w:r w:rsidRPr="00AA4AD7">
        <w:rPr>
          <w:bCs/>
          <w:sz w:val="24"/>
          <w:szCs w:val="24"/>
          <w:u w:val="single"/>
        </w:rPr>
        <w:t>Sekundære endepunkter</w:t>
      </w:r>
    </w:p>
    <w:p w14:paraId="369B670D" w14:textId="77777777" w:rsidR="00C73700" w:rsidRPr="00AA4AD7" w:rsidRDefault="00C73700" w:rsidP="00C70C18">
      <w:pPr>
        <w:autoSpaceDE w:val="0"/>
        <w:autoSpaceDN w:val="0"/>
        <w:adjustRightInd w:val="0"/>
        <w:ind w:left="851"/>
        <w:rPr>
          <w:sz w:val="24"/>
          <w:szCs w:val="24"/>
        </w:rPr>
      </w:pPr>
      <w:r w:rsidRPr="00AA4AD7">
        <w:rPr>
          <w:sz w:val="24"/>
          <w:szCs w:val="24"/>
        </w:rPr>
        <w:t xml:space="preserve">Patienter i </w:t>
      </w:r>
      <w:proofErr w:type="spellStart"/>
      <w:r w:rsidRPr="00AA4AD7">
        <w:rPr>
          <w:sz w:val="24"/>
          <w:szCs w:val="24"/>
        </w:rPr>
        <w:t>dexametason</w:t>
      </w:r>
      <w:proofErr w:type="spellEnd"/>
      <w:r w:rsidRPr="00AA4AD7">
        <w:rPr>
          <w:sz w:val="24"/>
          <w:szCs w:val="24"/>
        </w:rPr>
        <w:t>-gruppen havde et kortere hospitalsophold end dem i gruppen, der fik almindelig pleje (median 12 dage kontra 13 dage) og en større sandsynlighed for at blive udskrevet i live inden for 28 dage (rate ratio 1,10; 95 % CI 1,03 til 1,17).</w:t>
      </w:r>
    </w:p>
    <w:p w14:paraId="02CD1BEB" w14:textId="77777777" w:rsidR="00C73700" w:rsidRPr="00AA4AD7" w:rsidRDefault="00C73700" w:rsidP="00C70C18">
      <w:pPr>
        <w:autoSpaceDE w:val="0"/>
        <w:autoSpaceDN w:val="0"/>
        <w:adjustRightInd w:val="0"/>
        <w:ind w:left="851"/>
        <w:rPr>
          <w:sz w:val="24"/>
          <w:szCs w:val="24"/>
        </w:rPr>
      </w:pPr>
      <w:r w:rsidRPr="00AA4AD7">
        <w:rPr>
          <w:sz w:val="24"/>
          <w:szCs w:val="24"/>
        </w:rPr>
        <w:t xml:space="preserve">I overensstemmelse med det primære endepunkt blev den største virkning vedrørende udskrivning inden for 28 dage set blandt patienter, som fik invasiv mekanisk ventilation ved </w:t>
      </w:r>
      <w:proofErr w:type="spellStart"/>
      <w:r w:rsidRPr="00AA4AD7">
        <w:rPr>
          <w:sz w:val="24"/>
          <w:szCs w:val="24"/>
        </w:rPr>
        <w:t>randomisering</w:t>
      </w:r>
      <w:proofErr w:type="spellEnd"/>
      <w:r w:rsidRPr="00AA4AD7">
        <w:rPr>
          <w:sz w:val="24"/>
          <w:szCs w:val="24"/>
        </w:rPr>
        <w:t xml:space="preserve"> (rate ratio 1,48; 95 % CI 1,16 til 1,90), efterfulgt af ilt alene (rate ratio 1,15; 95 % CI 1,06 til 1,24), uden gavnlig virkning hos patienter, som ikke fik ilt (rate ratio 0,96; 95 % CI 0,85 til 1,08).</w:t>
      </w:r>
    </w:p>
    <w:p w14:paraId="11B4B0B5" w14:textId="77777777" w:rsidR="00C73700" w:rsidRPr="00AA4AD7" w:rsidRDefault="00C73700" w:rsidP="00C73700">
      <w:pPr>
        <w:tabs>
          <w:tab w:val="left" w:pos="720"/>
        </w:tabs>
        <w:autoSpaceDE w:val="0"/>
        <w:autoSpaceDN w:val="0"/>
        <w:adjustRightInd w:val="0"/>
        <w:rPr>
          <w:sz w:val="24"/>
          <w:szCs w:val="24"/>
          <w:lang w:val="sv-SE"/>
        </w:rPr>
      </w:pPr>
    </w:p>
    <w:tbl>
      <w:tblPr>
        <w:tblStyle w:val="Tabel-Gitter"/>
        <w:tblW w:w="5000" w:type="pct"/>
        <w:tblInd w:w="0" w:type="dxa"/>
        <w:tblBorders>
          <w:insideH w:val="none" w:sz="0" w:space="0" w:color="auto"/>
          <w:insideV w:val="none" w:sz="0" w:space="0" w:color="auto"/>
        </w:tblBorders>
        <w:tblLook w:val="04A0" w:firstRow="1" w:lastRow="0" w:firstColumn="1" w:lastColumn="0" w:noHBand="0" w:noVBand="1"/>
      </w:tblPr>
      <w:tblGrid>
        <w:gridCol w:w="4364"/>
        <w:gridCol w:w="1808"/>
        <w:gridCol w:w="1808"/>
        <w:gridCol w:w="1648"/>
      </w:tblGrid>
      <w:tr w:rsidR="00C73700" w:rsidRPr="00C657C7" w14:paraId="586DC191" w14:textId="77777777" w:rsidTr="00C70C18">
        <w:tc>
          <w:tcPr>
            <w:tcW w:w="2266" w:type="pct"/>
            <w:tcBorders>
              <w:top w:val="single" w:sz="4" w:space="0" w:color="auto"/>
              <w:left w:val="single" w:sz="4" w:space="0" w:color="auto"/>
              <w:bottom w:val="nil"/>
              <w:right w:val="nil"/>
            </w:tcBorders>
            <w:hideMark/>
          </w:tcPr>
          <w:p w14:paraId="5BEBDB48" w14:textId="77777777" w:rsidR="00C73700" w:rsidRPr="00AA4AD7" w:rsidRDefault="00C73700">
            <w:pPr>
              <w:tabs>
                <w:tab w:val="left" w:pos="720"/>
              </w:tabs>
              <w:autoSpaceDE w:val="0"/>
              <w:autoSpaceDN w:val="0"/>
              <w:adjustRightInd w:val="0"/>
              <w:rPr>
                <w:b/>
                <w:bCs/>
                <w:sz w:val="24"/>
                <w:szCs w:val="24"/>
              </w:rPr>
            </w:pPr>
            <w:r w:rsidRPr="00AA4AD7">
              <w:rPr>
                <w:b/>
                <w:sz w:val="24"/>
                <w:szCs w:val="24"/>
              </w:rPr>
              <w:t>Resultat</w:t>
            </w:r>
          </w:p>
        </w:tc>
        <w:tc>
          <w:tcPr>
            <w:tcW w:w="939" w:type="pct"/>
            <w:tcBorders>
              <w:top w:val="single" w:sz="4" w:space="0" w:color="auto"/>
              <w:left w:val="nil"/>
              <w:bottom w:val="nil"/>
              <w:right w:val="nil"/>
            </w:tcBorders>
            <w:hideMark/>
          </w:tcPr>
          <w:p w14:paraId="02484D99" w14:textId="77777777" w:rsidR="00C73700" w:rsidRPr="00AA4AD7" w:rsidRDefault="00C73700">
            <w:pPr>
              <w:tabs>
                <w:tab w:val="left" w:pos="720"/>
              </w:tabs>
              <w:autoSpaceDE w:val="0"/>
              <w:autoSpaceDN w:val="0"/>
              <w:adjustRightInd w:val="0"/>
              <w:rPr>
                <w:b/>
                <w:bCs/>
                <w:sz w:val="24"/>
                <w:szCs w:val="24"/>
              </w:rPr>
            </w:pPr>
            <w:proofErr w:type="spellStart"/>
            <w:r w:rsidRPr="00AA4AD7">
              <w:rPr>
                <w:b/>
                <w:sz w:val="24"/>
                <w:szCs w:val="24"/>
              </w:rPr>
              <w:t>Dexametason</w:t>
            </w:r>
            <w:proofErr w:type="spellEnd"/>
            <w:r w:rsidRPr="00AA4AD7">
              <w:rPr>
                <w:b/>
                <w:sz w:val="24"/>
                <w:szCs w:val="24"/>
              </w:rPr>
              <w:br/>
              <w:t>(N = 2.104)</w:t>
            </w:r>
          </w:p>
        </w:tc>
        <w:tc>
          <w:tcPr>
            <w:tcW w:w="939" w:type="pct"/>
            <w:tcBorders>
              <w:top w:val="single" w:sz="4" w:space="0" w:color="auto"/>
              <w:left w:val="nil"/>
              <w:bottom w:val="nil"/>
              <w:right w:val="nil"/>
            </w:tcBorders>
            <w:hideMark/>
          </w:tcPr>
          <w:p w14:paraId="2AD5A466" w14:textId="77777777" w:rsidR="00C73700" w:rsidRPr="00AA4AD7" w:rsidRDefault="00C73700">
            <w:pPr>
              <w:tabs>
                <w:tab w:val="left" w:pos="720"/>
              </w:tabs>
              <w:autoSpaceDE w:val="0"/>
              <w:autoSpaceDN w:val="0"/>
              <w:adjustRightInd w:val="0"/>
              <w:rPr>
                <w:b/>
                <w:bCs/>
                <w:sz w:val="24"/>
                <w:szCs w:val="24"/>
              </w:rPr>
            </w:pPr>
            <w:r w:rsidRPr="00AA4AD7">
              <w:rPr>
                <w:b/>
                <w:bCs/>
                <w:sz w:val="24"/>
                <w:szCs w:val="24"/>
              </w:rPr>
              <w:t>Almindelig pleje</w:t>
            </w:r>
            <w:r w:rsidRPr="00AA4AD7">
              <w:rPr>
                <w:b/>
                <w:sz w:val="24"/>
                <w:szCs w:val="24"/>
              </w:rPr>
              <w:br/>
              <w:t>(N = 4.321)</w:t>
            </w:r>
            <w:r w:rsidRPr="00AA4AD7">
              <w:rPr>
                <w:b/>
                <w:sz w:val="24"/>
                <w:szCs w:val="24"/>
              </w:rPr>
              <w:br/>
            </w:r>
            <w:r w:rsidRPr="00AA4AD7">
              <w:rPr>
                <w:i/>
                <w:sz w:val="24"/>
                <w:szCs w:val="24"/>
              </w:rPr>
              <w:t>antal/samlet antal patienter (%)</w:t>
            </w:r>
          </w:p>
        </w:tc>
        <w:tc>
          <w:tcPr>
            <w:tcW w:w="857" w:type="pct"/>
            <w:tcBorders>
              <w:top w:val="single" w:sz="4" w:space="0" w:color="auto"/>
              <w:left w:val="nil"/>
              <w:bottom w:val="nil"/>
              <w:right w:val="single" w:sz="4" w:space="0" w:color="auto"/>
            </w:tcBorders>
            <w:hideMark/>
          </w:tcPr>
          <w:p w14:paraId="6110B146" w14:textId="77777777" w:rsidR="00C73700" w:rsidRPr="00AA4AD7" w:rsidRDefault="00C73700">
            <w:pPr>
              <w:tabs>
                <w:tab w:val="left" w:pos="720"/>
              </w:tabs>
              <w:autoSpaceDE w:val="0"/>
              <w:autoSpaceDN w:val="0"/>
              <w:adjustRightInd w:val="0"/>
              <w:rPr>
                <w:b/>
                <w:bCs/>
                <w:sz w:val="24"/>
                <w:szCs w:val="24"/>
                <w:lang w:val="en-US"/>
              </w:rPr>
            </w:pPr>
            <w:r w:rsidRPr="00AA4AD7">
              <w:rPr>
                <w:b/>
                <w:sz w:val="24"/>
                <w:szCs w:val="24"/>
                <w:lang w:val="en-US"/>
              </w:rPr>
              <w:t xml:space="preserve">Rate </w:t>
            </w:r>
            <w:proofErr w:type="spellStart"/>
            <w:r w:rsidRPr="00AA4AD7">
              <w:rPr>
                <w:b/>
                <w:sz w:val="24"/>
                <w:szCs w:val="24"/>
                <w:lang w:val="en-US"/>
              </w:rPr>
              <w:t>eller</w:t>
            </w:r>
            <w:proofErr w:type="spellEnd"/>
            <w:r w:rsidRPr="00AA4AD7">
              <w:rPr>
                <w:b/>
                <w:sz w:val="24"/>
                <w:szCs w:val="24"/>
                <w:lang w:val="en-US"/>
              </w:rPr>
              <w:t xml:space="preserve"> risk ratio</w:t>
            </w:r>
            <w:r w:rsidRPr="00AA4AD7">
              <w:rPr>
                <w:b/>
                <w:sz w:val="24"/>
                <w:szCs w:val="24"/>
                <w:lang w:val="en-US"/>
              </w:rPr>
              <w:br/>
              <w:t>(95 % </w:t>
            </w:r>
            <w:proofErr w:type="gramStart"/>
            <w:r w:rsidRPr="00AA4AD7">
              <w:rPr>
                <w:b/>
                <w:sz w:val="24"/>
                <w:szCs w:val="24"/>
                <w:lang w:val="en-US"/>
              </w:rPr>
              <w:t>CI)*</w:t>
            </w:r>
            <w:proofErr w:type="gramEnd"/>
          </w:p>
        </w:tc>
      </w:tr>
      <w:tr w:rsidR="00C73700" w:rsidRPr="00AA4AD7" w14:paraId="7F95E54C" w14:textId="77777777" w:rsidTr="00C70C18">
        <w:tc>
          <w:tcPr>
            <w:tcW w:w="2266" w:type="pct"/>
            <w:tcBorders>
              <w:top w:val="nil"/>
              <w:left w:val="single" w:sz="4" w:space="0" w:color="auto"/>
              <w:bottom w:val="nil"/>
              <w:right w:val="nil"/>
            </w:tcBorders>
            <w:shd w:val="clear" w:color="auto" w:fill="FBE4D5" w:themeFill="accent2" w:themeFillTint="33"/>
            <w:hideMark/>
          </w:tcPr>
          <w:p w14:paraId="05A7AA2D" w14:textId="77777777" w:rsidR="00C73700" w:rsidRPr="00AA4AD7" w:rsidRDefault="00C73700">
            <w:pPr>
              <w:tabs>
                <w:tab w:val="left" w:pos="720"/>
              </w:tabs>
              <w:autoSpaceDE w:val="0"/>
              <w:autoSpaceDN w:val="0"/>
              <w:adjustRightInd w:val="0"/>
              <w:rPr>
                <w:b/>
                <w:bCs/>
                <w:sz w:val="24"/>
                <w:szCs w:val="24"/>
              </w:rPr>
            </w:pPr>
            <w:r w:rsidRPr="00AA4AD7">
              <w:rPr>
                <w:b/>
                <w:sz w:val="24"/>
                <w:szCs w:val="24"/>
              </w:rPr>
              <w:t>Primært resultat</w:t>
            </w:r>
          </w:p>
        </w:tc>
        <w:tc>
          <w:tcPr>
            <w:tcW w:w="939" w:type="pct"/>
            <w:tcBorders>
              <w:top w:val="nil"/>
              <w:left w:val="nil"/>
              <w:bottom w:val="nil"/>
              <w:right w:val="nil"/>
            </w:tcBorders>
            <w:shd w:val="clear" w:color="auto" w:fill="FBE4D5" w:themeFill="accent2" w:themeFillTint="33"/>
          </w:tcPr>
          <w:p w14:paraId="0C38334D" w14:textId="77777777" w:rsidR="00C73700" w:rsidRPr="00AA4AD7" w:rsidRDefault="00C73700">
            <w:pPr>
              <w:tabs>
                <w:tab w:val="left" w:pos="720"/>
              </w:tabs>
              <w:autoSpaceDE w:val="0"/>
              <w:autoSpaceDN w:val="0"/>
              <w:adjustRightInd w:val="0"/>
              <w:rPr>
                <w:sz w:val="24"/>
                <w:szCs w:val="24"/>
                <w:lang w:val="en-US"/>
              </w:rPr>
            </w:pPr>
          </w:p>
        </w:tc>
        <w:tc>
          <w:tcPr>
            <w:tcW w:w="939" w:type="pct"/>
            <w:tcBorders>
              <w:top w:val="nil"/>
              <w:left w:val="nil"/>
              <w:bottom w:val="nil"/>
              <w:right w:val="nil"/>
            </w:tcBorders>
            <w:shd w:val="clear" w:color="auto" w:fill="FBE4D5" w:themeFill="accent2" w:themeFillTint="33"/>
          </w:tcPr>
          <w:p w14:paraId="6314D83A" w14:textId="77777777" w:rsidR="00C73700" w:rsidRPr="00AA4AD7" w:rsidRDefault="00C73700">
            <w:pPr>
              <w:tabs>
                <w:tab w:val="left" w:pos="720"/>
              </w:tabs>
              <w:autoSpaceDE w:val="0"/>
              <w:autoSpaceDN w:val="0"/>
              <w:adjustRightInd w:val="0"/>
              <w:rPr>
                <w:sz w:val="24"/>
                <w:szCs w:val="24"/>
                <w:lang w:val="en-US"/>
              </w:rPr>
            </w:pPr>
          </w:p>
        </w:tc>
        <w:tc>
          <w:tcPr>
            <w:tcW w:w="857" w:type="pct"/>
            <w:tcBorders>
              <w:top w:val="nil"/>
              <w:left w:val="nil"/>
              <w:bottom w:val="nil"/>
              <w:right w:val="single" w:sz="4" w:space="0" w:color="auto"/>
            </w:tcBorders>
            <w:shd w:val="clear" w:color="auto" w:fill="FBE4D5" w:themeFill="accent2" w:themeFillTint="33"/>
          </w:tcPr>
          <w:p w14:paraId="31B81F4F" w14:textId="77777777" w:rsidR="00C73700" w:rsidRPr="00AA4AD7" w:rsidRDefault="00C73700">
            <w:pPr>
              <w:tabs>
                <w:tab w:val="left" w:pos="720"/>
              </w:tabs>
              <w:autoSpaceDE w:val="0"/>
              <w:autoSpaceDN w:val="0"/>
              <w:adjustRightInd w:val="0"/>
              <w:rPr>
                <w:sz w:val="24"/>
                <w:szCs w:val="24"/>
                <w:lang w:val="en-US"/>
              </w:rPr>
            </w:pPr>
          </w:p>
        </w:tc>
      </w:tr>
      <w:tr w:rsidR="00C73700" w:rsidRPr="00AA4AD7" w14:paraId="6FEE1B89" w14:textId="77777777" w:rsidTr="00C70C18">
        <w:tc>
          <w:tcPr>
            <w:tcW w:w="2266" w:type="pct"/>
            <w:tcBorders>
              <w:top w:val="nil"/>
              <w:left w:val="single" w:sz="4" w:space="0" w:color="auto"/>
              <w:bottom w:val="nil"/>
              <w:right w:val="nil"/>
            </w:tcBorders>
            <w:hideMark/>
          </w:tcPr>
          <w:p w14:paraId="348A9F61" w14:textId="77777777" w:rsidR="00C73700" w:rsidRPr="00AA4AD7" w:rsidRDefault="00C73700">
            <w:pPr>
              <w:tabs>
                <w:tab w:val="left" w:pos="720"/>
              </w:tabs>
              <w:autoSpaceDE w:val="0"/>
              <w:autoSpaceDN w:val="0"/>
              <w:adjustRightInd w:val="0"/>
              <w:rPr>
                <w:sz w:val="24"/>
                <w:szCs w:val="24"/>
              </w:rPr>
            </w:pPr>
            <w:r w:rsidRPr="00AA4AD7">
              <w:rPr>
                <w:sz w:val="24"/>
                <w:szCs w:val="24"/>
              </w:rPr>
              <w:t>Mortalitet efter 28 dage</w:t>
            </w:r>
          </w:p>
        </w:tc>
        <w:tc>
          <w:tcPr>
            <w:tcW w:w="939" w:type="pct"/>
            <w:tcBorders>
              <w:top w:val="nil"/>
              <w:left w:val="nil"/>
              <w:bottom w:val="nil"/>
              <w:right w:val="nil"/>
            </w:tcBorders>
            <w:hideMark/>
          </w:tcPr>
          <w:p w14:paraId="45110F00" w14:textId="77777777" w:rsidR="00C73700" w:rsidRPr="00AA4AD7" w:rsidRDefault="00C73700">
            <w:pPr>
              <w:tabs>
                <w:tab w:val="left" w:pos="720"/>
              </w:tabs>
              <w:autoSpaceDE w:val="0"/>
              <w:autoSpaceDN w:val="0"/>
              <w:adjustRightInd w:val="0"/>
              <w:rPr>
                <w:sz w:val="24"/>
                <w:szCs w:val="24"/>
              </w:rPr>
            </w:pPr>
            <w:r w:rsidRPr="00AA4AD7">
              <w:rPr>
                <w:sz w:val="24"/>
                <w:szCs w:val="24"/>
              </w:rPr>
              <w:t>482/2.104 (22,9)</w:t>
            </w:r>
          </w:p>
        </w:tc>
        <w:tc>
          <w:tcPr>
            <w:tcW w:w="939" w:type="pct"/>
            <w:tcBorders>
              <w:top w:val="nil"/>
              <w:left w:val="nil"/>
              <w:bottom w:val="nil"/>
              <w:right w:val="nil"/>
            </w:tcBorders>
            <w:hideMark/>
          </w:tcPr>
          <w:p w14:paraId="3A7946C5" w14:textId="77777777" w:rsidR="00C73700" w:rsidRPr="00AA4AD7" w:rsidRDefault="00C73700">
            <w:pPr>
              <w:tabs>
                <w:tab w:val="left" w:pos="720"/>
              </w:tabs>
              <w:autoSpaceDE w:val="0"/>
              <w:autoSpaceDN w:val="0"/>
              <w:adjustRightInd w:val="0"/>
              <w:rPr>
                <w:sz w:val="24"/>
                <w:szCs w:val="24"/>
              </w:rPr>
            </w:pPr>
            <w:r w:rsidRPr="00AA4AD7">
              <w:rPr>
                <w:sz w:val="24"/>
                <w:szCs w:val="24"/>
              </w:rPr>
              <w:t>1.110/4.321 (25,7)</w:t>
            </w:r>
          </w:p>
        </w:tc>
        <w:tc>
          <w:tcPr>
            <w:tcW w:w="857" w:type="pct"/>
            <w:tcBorders>
              <w:top w:val="nil"/>
              <w:left w:val="nil"/>
              <w:bottom w:val="nil"/>
              <w:right w:val="single" w:sz="4" w:space="0" w:color="auto"/>
            </w:tcBorders>
            <w:hideMark/>
          </w:tcPr>
          <w:p w14:paraId="599CD040" w14:textId="77777777" w:rsidR="00C73700" w:rsidRPr="00AA4AD7" w:rsidRDefault="00C73700">
            <w:pPr>
              <w:tabs>
                <w:tab w:val="left" w:pos="720"/>
              </w:tabs>
              <w:autoSpaceDE w:val="0"/>
              <w:autoSpaceDN w:val="0"/>
              <w:adjustRightInd w:val="0"/>
              <w:rPr>
                <w:sz w:val="24"/>
                <w:szCs w:val="24"/>
              </w:rPr>
            </w:pPr>
            <w:r w:rsidRPr="00AA4AD7">
              <w:rPr>
                <w:sz w:val="24"/>
                <w:szCs w:val="24"/>
              </w:rPr>
              <w:t>0,83 (0,75</w:t>
            </w:r>
            <w:r w:rsidRPr="00AA4AD7">
              <w:rPr>
                <w:sz w:val="24"/>
                <w:szCs w:val="24"/>
              </w:rPr>
              <w:noBreakHyphen/>
              <w:t>0,93)</w:t>
            </w:r>
          </w:p>
        </w:tc>
      </w:tr>
      <w:tr w:rsidR="00C73700" w:rsidRPr="00AA4AD7" w14:paraId="32706D8D" w14:textId="77777777" w:rsidTr="00C70C18">
        <w:tc>
          <w:tcPr>
            <w:tcW w:w="2266" w:type="pct"/>
            <w:tcBorders>
              <w:top w:val="nil"/>
              <w:left w:val="single" w:sz="4" w:space="0" w:color="auto"/>
              <w:bottom w:val="nil"/>
              <w:right w:val="nil"/>
            </w:tcBorders>
            <w:shd w:val="clear" w:color="auto" w:fill="FBE4D5" w:themeFill="accent2" w:themeFillTint="33"/>
            <w:hideMark/>
          </w:tcPr>
          <w:p w14:paraId="1CA35361" w14:textId="77777777" w:rsidR="00C73700" w:rsidRPr="00AA4AD7" w:rsidRDefault="00C73700">
            <w:pPr>
              <w:tabs>
                <w:tab w:val="left" w:pos="720"/>
              </w:tabs>
              <w:autoSpaceDE w:val="0"/>
              <w:autoSpaceDN w:val="0"/>
              <w:adjustRightInd w:val="0"/>
              <w:rPr>
                <w:b/>
                <w:bCs/>
                <w:sz w:val="24"/>
                <w:szCs w:val="24"/>
              </w:rPr>
            </w:pPr>
            <w:r w:rsidRPr="00AA4AD7">
              <w:rPr>
                <w:b/>
                <w:sz w:val="24"/>
                <w:szCs w:val="24"/>
              </w:rPr>
              <w:t>Sekundære resultater</w:t>
            </w:r>
          </w:p>
        </w:tc>
        <w:tc>
          <w:tcPr>
            <w:tcW w:w="939" w:type="pct"/>
            <w:tcBorders>
              <w:top w:val="nil"/>
              <w:left w:val="nil"/>
              <w:bottom w:val="nil"/>
              <w:right w:val="nil"/>
            </w:tcBorders>
            <w:shd w:val="clear" w:color="auto" w:fill="FBE4D5" w:themeFill="accent2" w:themeFillTint="33"/>
          </w:tcPr>
          <w:p w14:paraId="40C26669" w14:textId="77777777" w:rsidR="00C73700" w:rsidRPr="00AA4AD7" w:rsidRDefault="00C73700">
            <w:pPr>
              <w:tabs>
                <w:tab w:val="left" w:pos="720"/>
              </w:tabs>
              <w:autoSpaceDE w:val="0"/>
              <w:autoSpaceDN w:val="0"/>
              <w:adjustRightInd w:val="0"/>
              <w:rPr>
                <w:sz w:val="24"/>
                <w:szCs w:val="24"/>
                <w:lang w:val="en-US"/>
              </w:rPr>
            </w:pPr>
          </w:p>
        </w:tc>
        <w:tc>
          <w:tcPr>
            <w:tcW w:w="939" w:type="pct"/>
            <w:tcBorders>
              <w:top w:val="nil"/>
              <w:left w:val="nil"/>
              <w:bottom w:val="nil"/>
              <w:right w:val="nil"/>
            </w:tcBorders>
            <w:shd w:val="clear" w:color="auto" w:fill="FBE4D5" w:themeFill="accent2" w:themeFillTint="33"/>
          </w:tcPr>
          <w:p w14:paraId="7CDFB07E" w14:textId="77777777" w:rsidR="00C73700" w:rsidRPr="00AA4AD7" w:rsidRDefault="00C73700">
            <w:pPr>
              <w:tabs>
                <w:tab w:val="left" w:pos="720"/>
              </w:tabs>
              <w:autoSpaceDE w:val="0"/>
              <w:autoSpaceDN w:val="0"/>
              <w:adjustRightInd w:val="0"/>
              <w:rPr>
                <w:sz w:val="24"/>
                <w:szCs w:val="24"/>
                <w:lang w:val="en-US"/>
              </w:rPr>
            </w:pPr>
          </w:p>
        </w:tc>
        <w:tc>
          <w:tcPr>
            <w:tcW w:w="857" w:type="pct"/>
            <w:tcBorders>
              <w:top w:val="nil"/>
              <w:left w:val="nil"/>
              <w:bottom w:val="nil"/>
              <w:right w:val="single" w:sz="4" w:space="0" w:color="auto"/>
            </w:tcBorders>
            <w:shd w:val="clear" w:color="auto" w:fill="FBE4D5" w:themeFill="accent2" w:themeFillTint="33"/>
          </w:tcPr>
          <w:p w14:paraId="2C82D69F" w14:textId="77777777" w:rsidR="00C73700" w:rsidRPr="00AA4AD7" w:rsidRDefault="00C73700">
            <w:pPr>
              <w:tabs>
                <w:tab w:val="left" w:pos="720"/>
              </w:tabs>
              <w:autoSpaceDE w:val="0"/>
              <w:autoSpaceDN w:val="0"/>
              <w:adjustRightInd w:val="0"/>
              <w:rPr>
                <w:sz w:val="24"/>
                <w:szCs w:val="24"/>
                <w:lang w:val="en-US"/>
              </w:rPr>
            </w:pPr>
          </w:p>
        </w:tc>
      </w:tr>
      <w:tr w:rsidR="00C73700" w:rsidRPr="00AA4AD7" w14:paraId="358935E2" w14:textId="77777777" w:rsidTr="00C70C18">
        <w:tc>
          <w:tcPr>
            <w:tcW w:w="2266" w:type="pct"/>
            <w:tcBorders>
              <w:top w:val="nil"/>
              <w:left w:val="single" w:sz="4" w:space="0" w:color="auto"/>
              <w:bottom w:val="nil"/>
              <w:right w:val="nil"/>
            </w:tcBorders>
            <w:hideMark/>
          </w:tcPr>
          <w:p w14:paraId="1E278142" w14:textId="77777777" w:rsidR="00C73700" w:rsidRPr="00AA4AD7" w:rsidRDefault="00C73700">
            <w:pPr>
              <w:tabs>
                <w:tab w:val="left" w:pos="720"/>
              </w:tabs>
              <w:autoSpaceDE w:val="0"/>
              <w:autoSpaceDN w:val="0"/>
              <w:adjustRightInd w:val="0"/>
              <w:rPr>
                <w:sz w:val="24"/>
                <w:szCs w:val="24"/>
              </w:rPr>
            </w:pPr>
            <w:r w:rsidRPr="00AA4AD7">
              <w:rPr>
                <w:sz w:val="24"/>
                <w:szCs w:val="24"/>
              </w:rPr>
              <w:t>Udskrevet fra hospitalet inden for 28 dage</w:t>
            </w:r>
          </w:p>
        </w:tc>
        <w:tc>
          <w:tcPr>
            <w:tcW w:w="939" w:type="pct"/>
            <w:tcBorders>
              <w:top w:val="nil"/>
              <w:left w:val="nil"/>
              <w:bottom w:val="nil"/>
              <w:right w:val="nil"/>
            </w:tcBorders>
            <w:hideMark/>
          </w:tcPr>
          <w:p w14:paraId="6C967BF1" w14:textId="77777777" w:rsidR="00C73700" w:rsidRPr="00AA4AD7" w:rsidRDefault="00C73700">
            <w:pPr>
              <w:tabs>
                <w:tab w:val="left" w:pos="720"/>
              </w:tabs>
              <w:autoSpaceDE w:val="0"/>
              <w:autoSpaceDN w:val="0"/>
              <w:adjustRightInd w:val="0"/>
              <w:rPr>
                <w:sz w:val="24"/>
                <w:szCs w:val="24"/>
              </w:rPr>
            </w:pPr>
            <w:r w:rsidRPr="00AA4AD7">
              <w:rPr>
                <w:sz w:val="24"/>
                <w:szCs w:val="24"/>
              </w:rPr>
              <w:t>1.413/2.104 (67,2)</w:t>
            </w:r>
          </w:p>
        </w:tc>
        <w:tc>
          <w:tcPr>
            <w:tcW w:w="939" w:type="pct"/>
            <w:tcBorders>
              <w:top w:val="nil"/>
              <w:left w:val="nil"/>
              <w:bottom w:val="nil"/>
              <w:right w:val="nil"/>
            </w:tcBorders>
            <w:hideMark/>
          </w:tcPr>
          <w:p w14:paraId="641DCAE1" w14:textId="77777777" w:rsidR="00C73700" w:rsidRPr="00AA4AD7" w:rsidRDefault="00C73700">
            <w:pPr>
              <w:tabs>
                <w:tab w:val="left" w:pos="720"/>
              </w:tabs>
              <w:autoSpaceDE w:val="0"/>
              <w:autoSpaceDN w:val="0"/>
              <w:bidi/>
              <w:adjustRightInd w:val="0"/>
              <w:jc w:val="right"/>
              <w:rPr>
                <w:sz w:val="24"/>
                <w:szCs w:val="24"/>
              </w:rPr>
            </w:pPr>
            <w:r w:rsidRPr="00AA4AD7">
              <w:rPr>
                <w:sz w:val="24"/>
                <w:szCs w:val="24"/>
              </w:rPr>
              <w:t>2.745/4.321 (63,5)</w:t>
            </w:r>
          </w:p>
        </w:tc>
        <w:tc>
          <w:tcPr>
            <w:tcW w:w="857" w:type="pct"/>
            <w:tcBorders>
              <w:top w:val="nil"/>
              <w:left w:val="nil"/>
              <w:bottom w:val="nil"/>
              <w:right w:val="single" w:sz="4" w:space="0" w:color="auto"/>
            </w:tcBorders>
            <w:hideMark/>
          </w:tcPr>
          <w:p w14:paraId="65FCFD2B" w14:textId="77777777" w:rsidR="00C73700" w:rsidRPr="00AA4AD7" w:rsidRDefault="00C73700">
            <w:pPr>
              <w:tabs>
                <w:tab w:val="left" w:pos="720"/>
              </w:tabs>
              <w:autoSpaceDE w:val="0"/>
              <w:autoSpaceDN w:val="0"/>
              <w:adjustRightInd w:val="0"/>
              <w:rPr>
                <w:sz w:val="24"/>
                <w:szCs w:val="24"/>
              </w:rPr>
            </w:pPr>
            <w:r w:rsidRPr="00AA4AD7">
              <w:rPr>
                <w:sz w:val="24"/>
                <w:szCs w:val="24"/>
              </w:rPr>
              <w:t>1,10 (1,03</w:t>
            </w:r>
            <w:r w:rsidRPr="00AA4AD7">
              <w:rPr>
                <w:sz w:val="24"/>
                <w:szCs w:val="24"/>
              </w:rPr>
              <w:noBreakHyphen/>
              <w:t>1,17)</w:t>
            </w:r>
          </w:p>
        </w:tc>
      </w:tr>
      <w:tr w:rsidR="00C73700" w:rsidRPr="00AA4AD7" w14:paraId="2DB32578" w14:textId="77777777" w:rsidTr="00C70C18">
        <w:tc>
          <w:tcPr>
            <w:tcW w:w="2266" w:type="pct"/>
            <w:tcBorders>
              <w:top w:val="nil"/>
              <w:left w:val="single" w:sz="4" w:space="0" w:color="auto"/>
              <w:bottom w:val="nil"/>
              <w:right w:val="nil"/>
            </w:tcBorders>
            <w:shd w:val="clear" w:color="auto" w:fill="FBE4D5" w:themeFill="accent2" w:themeFillTint="33"/>
            <w:hideMark/>
          </w:tcPr>
          <w:p w14:paraId="6BE50214" w14:textId="77777777" w:rsidR="00C73700" w:rsidRPr="00AA4AD7" w:rsidRDefault="00C73700">
            <w:pPr>
              <w:tabs>
                <w:tab w:val="left" w:pos="720"/>
              </w:tabs>
              <w:autoSpaceDE w:val="0"/>
              <w:autoSpaceDN w:val="0"/>
              <w:adjustRightInd w:val="0"/>
              <w:rPr>
                <w:sz w:val="24"/>
                <w:szCs w:val="24"/>
              </w:rPr>
            </w:pPr>
            <w:r w:rsidRPr="00AA4AD7">
              <w:rPr>
                <w:sz w:val="24"/>
                <w:szCs w:val="24"/>
              </w:rPr>
              <w:t>Invasiv mekanisk ventilation eller dødsfald†</w:t>
            </w:r>
          </w:p>
        </w:tc>
        <w:tc>
          <w:tcPr>
            <w:tcW w:w="939" w:type="pct"/>
            <w:tcBorders>
              <w:top w:val="nil"/>
              <w:left w:val="nil"/>
              <w:bottom w:val="nil"/>
              <w:right w:val="nil"/>
            </w:tcBorders>
            <w:shd w:val="clear" w:color="auto" w:fill="FBE4D5" w:themeFill="accent2" w:themeFillTint="33"/>
            <w:hideMark/>
          </w:tcPr>
          <w:p w14:paraId="4B8DB772" w14:textId="77777777" w:rsidR="00C73700" w:rsidRPr="00AA4AD7" w:rsidRDefault="00C73700">
            <w:pPr>
              <w:tabs>
                <w:tab w:val="left" w:pos="720"/>
              </w:tabs>
              <w:autoSpaceDE w:val="0"/>
              <w:autoSpaceDN w:val="0"/>
              <w:adjustRightInd w:val="0"/>
              <w:rPr>
                <w:sz w:val="24"/>
                <w:szCs w:val="24"/>
              </w:rPr>
            </w:pPr>
            <w:r w:rsidRPr="00AA4AD7">
              <w:rPr>
                <w:sz w:val="24"/>
                <w:szCs w:val="24"/>
              </w:rPr>
              <w:t>456/1.780 (25,6)</w:t>
            </w:r>
          </w:p>
        </w:tc>
        <w:tc>
          <w:tcPr>
            <w:tcW w:w="939" w:type="pct"/>
            <w:tcBorders>
              <w:top w:val="nil"/>
              <w:left w:val="nil"/>
              <w:bottom w:val="nil"/>
              <w:right w:val="nil"/>
            </w:tcBorders>
            <w:shd w:val="clear" w:color="auto" w:fill="FBE4D5" w:themeFill="accent2" w:themeFillTint="33"/>
            <w:hideMark/>
          </w:tcPr>
          <w:p w14:paraId="16C365C3" w14:textId="77777777" w:rsidR="00C73700" w:rsidRPr="00AA4AD7" w:rsidRDefault="00C73700">
            <w:pPr>
              <w:tabs>
                <w:tab w:val="left" w:pos="720"/>
              </w:tabs>
              <w:autoSpaceDE w:val="0"/>
              <w:autoSpaceDN w:val="0"/>
              <w:adjustRightInd w:val="0"/>
              <w:rPr>
                <w:sz w:val="24"/>
                <w:szCs w:val="24"/>
              </w:rPr>
            </w:pPr>
            <w:r w:rsidRPr="00AA4AD7">
              <w:rPr>
                <w:sz w:val="24"/>
                <w:szCs w:val="24"/>
              </w:rPr>
              <w:t>994/3.638 (27,3)</w:t>
            </w:r>
          </w:p>
        </w:tc>
        <w:tc>
          <w:tcPr>
            <w:tcW w:w="857" w:type="pct"/>
            <w:tcBorders>
              <w:top w:val="nil"/>
              <w:left w:val="nil"/>
              <w:bottom w:val="nil"/>
              <w:right w:val="single" w:sz="4" w:space="0" w:color="auto"/>
            </w:tcBorders>
            <w:shd w:val="clear" w:color="auto" w:fill="FBE4D5" w:themeFill="accent2" w:themeFillTint="33"/>
            <w:hideMark/>
          </w:tcPr>
          <w:p w14:paraId="6123990B" w14:textId="77777777" w:rsidR="00C73700" w:rsidRPr="00AA4AD7" w:rsidRDefault="00C73700">
            <w:pPr>
              <w:tabs>
                <w:tab w:val="left" w:pos="720"/>
              </w:tabs>
              <w:autoSpaceDE w:val="0"/>
              <w:autoSpaceDN w:val="0"/>
              <w:adjustRightInd w:val="0"/>
              <w:rPr>
                <w:sz w:val="24"/>
                <w:szCs w:val="24"/>
              </w:rPr>
            </w:pPr>
            <w:r w:rsidRPr="00AA4AD7">
              <w:rPr>
                <w:sz w:val="24"/>
                <w:szCs w:val="24"/>
              </w:rPr>
              <w:t>0,92 (0,84</w:t>
            </w:r>
            <w:r w:rsidRPr="00AA4AD7">
              <w:rPr>
                <w:sz w:val="24"/>
                <w:szCs w:val="24"/>
              </w:rPr>
              <w:noBreakHyphen/>
              <w:t>1,01)</w:t>
            </w:r>
          </w:p>
        </w:tc>
      </w:tr>
      <w:tr w:rsidR="00C73700" w:rsidRPr="00AA4AD7" w14:paraId="77956C59" w14:textId="77777777" w:rsidTr="00C70C18">
        <w:tc>
          <w:tcPr>
            <w:tcW w:w="2266" w:type="pct"/>
            <w:tcBorders>
              <w:top w:val="nil"/>
              <w:left w:val="single" w:sz="4" w:space="0" w:color="auto"/>
              <w:bottom w:val="nil"/>
              <w:right w:val="nil"/>
            </w:tcBorders>
            <w:hideMark/>
          </w:tcPr>
          <w:p w14:paraId="4CB14AB4" w14:textId="77777777" w:rsidR="00C73700" w:rsidRPr="00AA4AD7" w:rsidRDefault="00C73700">
            <w:pPr>
              <w:tabs>
                <w:tab w:val="left" w:pos="720"/>
              </w:tabs>
              <w:autoSpaceDE w:val="0"/>
              <w:autoSpaceDN w:val="0"/>
              <w:adjustRightInd w:val="0"/>
              <w:ind w:left="187"/>
              <w:rPr>
                <w:sz w:val="24"/>
                <w:szCs w:val="24"/>
              </w:rPr>
            </w:pPr>
            <w:r w:rsidRPr="00AA4AD7">
              <w:rPr>
                <w:sz w:val="24"/>
                <w:szCs w:val="24"/>
              </w:rPr>
              <w:t>Invasiv mekanisk ventilation</w:t>
            </w:r>
          </w:p>
        </w:tc>
        <w:tc>
          <w:tcPr>
            <w:tcW w:w="939" w:type="pct"/>
            <w:tcBorders>
              <w:top w:val="nil"/>
              <w:left w:val="nil"/>
              <w:bottom w:val="nil"/>
              <w:right w:val="nil"/>
            </w:tcBorders>
            <w:hideMark/>
          </w:tcPr>
          <w:p w14:paraId="488BBAA0" w14:textId="77777777" w:rsidR="00C73700" w:rsidRPr="00AA4AD7" w:rsidRDefault="00C73700">
            <w:pPr>
              <w:tabs>
                <w:tab w:val="left" w:pos="720"/>
              </w:tabs>
              <w:autoSpaceDE w:val="0"/>
              <w:autoSpaceDN w:val="0"/>
              <w:adjustRightInd w:val="0"/>
              <w:rPr>
                <w:sz w:val="24"/>
                <w:szCs w:val="24"/>
              </w:rPr>
            </w:pPr>
            <w:r w:rsidRPr="00AA4AD7">
              <w:rPr>
                <w:sz w:val="24"/>
                <w:szCs w:val="24"/>
              </w:rPr>
              <w:t>102/1.780 (5,7)</w:t>
            </w:r>
          </w:p>
        </w:tc>
        <w:tc>
          <w:tcPr>
            <w:tcW w:w="939" w:type="pct"/>
            <w:tcBorders>
              <w:top w:val="nil"/>
              <w:left w:val="nil"/>
              <w:bottom w:val="nil"/>
              <w:right w:val="nil"/>
            </w:tcBorders>
            <w:hideMark/>
          </w:tcPr>
          <w:p w14:paraId="338360CC" w14:textId="77777777" w:rsidR="00C73700" w:rsidRPr="00AA4AD7" w:rsidRDefault="00C73700">
            <w:pPr>
              <w:tabs>
                <w:tab w:val="left" w:pos="720"/>
              </w:tabs>
              <w:autoSpaceDE w:val="0"/>
              <w:autoSpaceDN w:val="0"/>
              <w:adjustRightInd w:val="0"/>
              <w:rPr>
                <w:sz w:val="24"/>
                <w:szCs w:val="24"/>
              </w:rPr>
            </w:pPr>
            <w:r w:rsidRPr="00AA4AD7">
              <w:rPr>
                <w:sz w:val="24"/>
                <w:szCs w:val="24"/>
              </w:rPr>
              <w:t>285/3.638 (7,8)</w:t>
            </w:r>
          </w:p>
        </w:tc>
        <w:tc>
          <w:tcPr>
            <w:tcW w:w="857" w:type="pct"/>
            <w:tcBorders>
              <w:top w:val="nil"/>
              <w:left w:val="nil"/>
              <w:bottom w:val="nil"/>
              <w:right w:val="single" w:sz="4" w:space="0" w:color="auto"/>
            </w:tcBorders>
            <w:hideMark/>
          </w:tcPr>
          <w:p w14:paraId="52252F53" w14:textId="77777777" w:rsidR="00C73700" w:rsidRPr="00AA4AD7" w:rsidRDefault="00C73700">
            <w:pPr>
              <w:tabs>
                <w:tab w:val="left" w:pos="720"/>
              </w:tabs>
              <w:autoSpaceDE w:val="0"/>
              <w:autoSpaceDN w:val="0"/>
              <w:adjustRightInd w:val="0"/>
              <w:rPr>
                <w:sz w:val="24"/>
                <w:szCs w:val="24"/>
              </w:rPr>
            </w:pPr>
            <w:r w:rsidRPr="00AA4AD7">
              <w:rPr>
                <w:sz w:val="24"/>
                <w:szCs w:val="24"/>
              </w:rPr>
              <w:t>0,77 (0,62</w:t>
            </w:r>
            <w:r w:rsidRPr="00AA4AD7">
              <w:rPr>
                <w:sz w:val="24"/>
                <w:szCs w:val="24"/>
              </w:rPr>
              <w:noBreakHyphen/>
              <w:t>0,95)</w:t>
            </w:r>
          </w:p>
        </w:tc>
      </w:tr>
      <w:tr w:rsidR="00C73700" w:rsidRPr="00AA4AD7" w14:paraId="72C1782C" w14:textId="77777777" w:rsidTr="00C70C18">
        <w:tc>
          <w:tcPr>
            <w:tcW w:w="2266" w:type="pct"/>
            <w:tcBorders>
              <w:top w:val="nil"/>
              <w:left w:val="single" w:sz="4" w:space="0" w:color="auto"/>
              <w:bottom w:val="single" w:sz="4" w:space="0" w:color="auto"/>
              <w:right w:val="nil"/>
            </w:tcBorders>
            <w:shd w:val="clear" w:color="auto" w:fill="FBE4D5" w:themeFill="accent2" w:themeFillTint="33"/>
            <w:hideMark/>
          </w:tcPr>
          <w:p w14:paraId="3A6A936F" w14:textId="77777777" w:rsidR="00C73700" w:rsidRPr="00AA4AD7" w:rsidRDefault="00C73700">
            <w:pPr>
              <w:tabs>
                <w:tab w:val="left" w:pos="720"/>
              </w:tabs>
              <w:autoSpaceDE w:val="0"/>
              <w:autoSpaceDN w:val="0"/>
              <w:adjustRightInd w:val="0"/>
              <w:ind w:left="187"/>
              <w:rPr>
                <w:sz w:val="24"/>
                <w:szCs w:val="24"/>
              </w:rPr>
            </w:pPr>
            <w:r w:rsidRPr="00AA4AD7">
              <w:rPr>
                <w:sz w:val="24"/>
                <w:szCs w:val="24"/>
              </w:rPr>
              <w:t>Dødsfald</w:t>
            </w:r>
          </w:p>
        </w:tc>
        <w:tc>
          <w:tcPr>
            <w:tcW w:w="939" w:type="pct"/>
            <w:tcBorders>
              <w:top w:val="nil"/>
              <w:left w:val="nil"/>
              <w:bottom w:val="single" w:sz="4" w:space="0" w:color="auto"/>
              <w:right w:val="nil"/>
            </w:tcBorders>
            <w:shd w:val="clear" w:color="auto" w:fill="FBE4D5" w:themeFill="accent2" w:themeFillTint="33"/>
            <w:hideMark/>
          </w:tcPr>
          <w:p w14:paraId="25A6E1F7" w14:textId="77777777" w:rsidR="00C73700" w:rsidRPr="00AA4AD7" w:rsidRDefault="00C73700">
            <w:pPr>
              <w:tabs>
                <w:tab w:val="left" w:pos="720"/>
              </w:tabs>
              <w:autoSpaceDE w:val="0"/>
              <w:autoSpaceDN w:val="0"/>
              <w:adjustRightInd w:val="0"/>
              <w:rPr>
                <w:sz w:val="24"/>
                <w:szCs w:val="24"/>
              </w:rPr>
            </w:pPr>
            <w:r w:rsidRPr="00AA4AD7">
              <w:rPr>
                <w:sz w:val="24"/>
                <w:szCs w:val="24"/>
              </w:rPr>
              <w:t>387/1.780 (21,7)</w:t>
            </w:r>
          </w:p>
        </w:tc>
        <w:tc>
          <w:tcPr>
            <w:tcW w:w="939" w:type="pct"/>
            <w:tcBorders>
              <w:top w:val="nil"/>
              <w:left w:val="nil"/>
              <w:bottom w:val="single" w:sz="4" w:space="0" w:color="auto"/>
              <w:right w:val="nil"/>
            </w:tcBorders>
            <w:shd w:val="clear" w:color="auto" w:fill="FBE4D5" w:themeFill="accent2" w:themeFillTint="33"/>
            <w:hideMark/>
          </w:tcPr>
          <w:p w14:paraId="0E379601" w14:textId="77777777" w:rsidR="00C73700" w:rsidRPr="00AA4AD7" w:rsidRDefault="00C73700">
            <w:pPr>
              <w:tabs>
                <w:tab w:val="left" w:pos="720"/>
              </w:tabs>
              <w:autoSpaceDE w:val="0"/>
              <w:autoSpaceDN w:val="0"/>
              <w:adjustRightInd w:val="0"/>
              <w:rPr>
                <w:sz w:val="24"/>
                <w:szCs w:val="24"/>
              </w:rPr>
            </w:pPr>
            <w:r w:rsidRPr="00AA4AD7">
              <w:rPr>
                <w:sz w:val="24"/>
                <w:szCs w:val="24"/>
              </w:rPr>
              <w:t>827/3638 (22,7)</w:t>
            </w:r>
          </w:p>
        </w:tc>
        <w:tc>
          <w:tcPr>
            <w:tcW w:w="857" w:type="pct"/>
            <w:tcBorders>
              <w:top w:val="nil"/>
              <w:left w:val="nil"/>
              <w:bottom w:val="single" w:sz="4" w:space="0" w:color="auto"/>
              <w:right w:val="single" w:sz="4" w:space="0" w:color="auto"/>
            </w:tcBorders>
            <w:shd w:val="clear" w:color="auto" w:fill="FBE4D5" w:themeFill="accent2" w:themeFillTint="33"/>
            <w:hideMark/>
          </w:tcPr>
          <w:p w14:paraId="05824C9B" w14:textId="77777777" w:rsidR="00C73700" w:rsidRPr="00AA4AD7" w:rsidRDefault="00C73700">
            <w:pPr>
              <w:tabs>
                <w:tab w:val="left" w:pos="720"/>
              </w:tabs>
              <w:autoSpaceDE w:val="0"/>
              <w:autoSpaceDN w:val="0"/>
              <w:adjustRightInd w:val="0"/>
              <w:rPr>
                <w:sz w:val="24"/>
                <w:szCs w:val="24"/>
              </w:rPr>
            </w:pPr>
            <w:r w:rsidRPr="00AA4AD7">
              <w:rPr>
                <w:sz w:val="24"/>
                <w:szCs w:val="24"/>
              </w:rPr>
              <w:t>0,93 (0,84</w:t>
            </w:r>
            <w:r w:rsidRPr="00AA4AD7">
              <w:rPr>
                <w:sz w:val="24"/>
                <w:szCs w:val="24"/>
              </w:rPr>
              <w:noBreakHyphen/>
              <w:t>1,03)</w:t>
            </w:r>
          </w:p>
        </w:tc>
      </w:tr>
    </w:tbl>
    <w:p w14:paraId="032C3416" w14:textId="2D76F9B0" w:rsidR="00C73700" w:rsidRPr="00AA4AD7" w:rsidRDefault="00C73700" w:rsidP="0016497E">
      <w:pPr>
        <w:pStyle w:val="Default"/>
        <w:ind w:left="284" w:hanging="284"/>
        <w:rPr>
          <w:color w:val="auto"/>
        </w:rPr>
      </w:pPr>
      <w:r w:rsidRPr="00AA4AD7">
        <w:rPr>
          <w:color w:val="auto"/>
        </w:rPr>
        <w:t>*</w:t>
      </w:r>
      <w:r w:rsidR="0016497E" w:rsidRPr="00AA4AD7">
        <w:rPr>
          <w:color w:val="auto"/>
        </w:rPr>
        <w:tab/>
      </w:r>
      <w:r w:rsidRPr="00AA4AD7">
        <w:rPr>
          <w:color w:val="auto"/>
        </w:rPr>
        <w:t>Rate ratio er blevet justeret for alder for så vidt angår resultaterne af 28</w:t>
      </w:r>
      <w:r w:rsidRPr="00AA4AD7">
        <w:rPr>
          <w:color w:val="auto"/>
        </w:rPr>
        <w:noBreakHyphen/>
        <w:t>dages mortalitet og udskrivning fra hospitalet. Risk ratio er blevet justeret for alder for så vidt angår resultaterne af modtagelse af invasiv mekanisk ventilation eller dødsfald og dets underkomponenter.</w:t>
      </w:r>
    </w:p>
    <w:p w14:paraId="51D6EC75" w14:textId="4855A4BC" w:rsidR="00C73700" w:rsidRPr="00AA4AD7" w:rsidRDefault="00C73700" w:rsidP="0016497E">
      <w:pPr>
        <w:pStyle w:val="Default"/>
        <w:ind w:left="284" w:hanging="284"/>
        <w:rPr>
          <w:color w:val="auto"/>
        </w:rPr>
      </w:pPr>
      <w:r w:rsidRPr="00AA4AD7">
        <w:rPr>
          <w:color w:val="auto"/>
        </w:rPr>
        <w:t xml:space="preserve">† </w:t>
      </w:r>
      <w:r w:rsidR="0016497E" w:rsidRPr="00AA4AD7">
        <w:rPr>
          <w:color w:val="auto"/>
        </w:rPr>
        <w:tab/>
      </w:r>
      <w:r w:rsidRPr="00AA4AD7">
        <w:rPr>
          <w:color w:val="auto"/>
        </w:rPr>
        <w:t xml:space="preserve">Udeladt fra denne kategori er patienter, som fik invasiv mekanisk ventilation ved </w:t>
      </w:r>
      <w:proofErr w:type="spellStart"/>
      <w:r w:rsidRPr="00AA4AD7">
        <w:rPr>
          <w:color w:val="auto"/>
        </w:rPr>
        <w:t>randomisering</w:t>
      </w:r>
      <w:proofErr w:type="spellEnd"/>
      <w:r w:rsidRPr="00AA4AD7">
        <w:rPr>
          <w:color w:val="auto"/>
        </w:rPr>
        <w:t>.</w:t>
      </w:r>
    </w:p>
    <w:p w14:paraId="3D3A34C0" w14:textId="77777777" w:rsidR="00C73700" w:rsidRPr="00AA4AD7" w:rsidRDefault="00C73700" w:rsidP="00C73700">
      <w:pPr>
        <w:pStyle w:val="Default"/>
        <w:rPr>
          <w:bCs/>
          <w:color w:val="auto"/>
        </w:rPr>
      </w:pPr>
    </w:p>
    <w:p w14:paraId="7D0677F9" w14:textId="77777777" w:rsidR="00C73700" w:rsidRPr="00AA4AD7" w:rsidRDefault="00C73700" w:rsidP="00C70C18">
      <w:pPr>
        <w:pStyle w:val="Default"/>
        <w:ind w:left="851"/>
        <w:rPr>
          <w:bCs/>
          <w:color w:val="auto"/>
          <w:u w:val="single"/>
        </w:rPr>
      </w:pPr>
      <w:r w:rsidRPr="00AA4AD7">
        <w:rPr>
          <w:color w:val="auto"/>
          <w:u w:val="single"/>
        </w:rPr>
        <w:t>Sikkerhed</w:t>
      </w:r>
    </w:p>
    <w:p w14:paraId="7C357D92" w14:textId="77777777" w:rsidR="00C73700" w:rsidRPr="00AA4AD7" w:rsidRDefault="00C73700" w:rsidP="00C70C18">
      <w:pPr>
        <w:pStyle w:val="Default"/>
        <w:ind w:left="851"/>
        <w:rPr>
          <w:color w:val="auto"/>
        </w:rPr>
      </w:pPr>
      <w:r w:rsidRPr="00AA4AD7">
        <w:rPr>
          <w:color w:val="auto"/>
        </w:rPr>
        <w:t xml:space="preserve">Der var fire alvorlige bivirkninger relateret til studiebehandlingen: to alvorlige bivirkningstilfælde med </w:t>
      </w:r>
      <w:proofErr w:type="spellStart"/>
      <w:r w:rsidRPr="00AA4AD7">
        <w:rPr>
          <w:color w:val="auto"/>
        </w:rPr>
        <w:t>hyperglykæmi</w:t>
      </w:r>
      <w:proofErr w:type="spellEnd"/>
      <w:r w:rsidRPr="00AA4AD7">
        <w:rPr>
          <w:color w:val="auto"/>
        </w:rPr>
        <w:t>, ét alvorligt bivirkningstilfælde med steroid-induceret psykose og ét alvorligt bivirkningstilfælde med blødning i den øvre del af mave-tarm-kanalen. Alle bivirkninger forsvandt.</w:t>
      </w:r>
    </w:p>
    <w:p w14:paraId="2B1F3C75" w14:textId="77777777" w:rsidR="00C73700" w:rsidRPr="00AA4AD7" w:rsidRDefault="00C73700" w:rsidP="00C70C18">
      <w:pPr>
        <w:pStyle w:val="Default"/>
        <w:ind w:left="851"/>
        <w:rPr>
          <w:color w:val="auto"/>
        </w:rPr>
      </w:pPr>
    </w:p>
    <w:p w14:paraId="685F1610" w14:textId="77777777" w:rsidR="00C73700" w:rsidRPr="00AA4AD7" w:rsidRDefault="00C73700" w:rsidP="00C70C18">
      <w:pPr>
        <w:pStyle w:val="Default"/>
        <w:ind w:left="851"/>
        <w:rPr>
          <w:bCs/>
          <w:color w:val="auto"/>
          <w:u w:val="single"/>
        </w:rPr>
      </w:pPr>
      <w:r w:rsidRPr="00AA4AD7">
        <w:rPr>
          <w:bCs/>
          <w:color w:val="auto"/>
          <w:u w:val="single"/>
        </w:rPr>
        <w:t>Undergruppeanalyse</w:t>
      </w:r>
    </w:p>
    <w:p w14:paraId="22DE618B" w14:textId="77777777" w:rsidR="00C73700" w:rsidRPr="00AA4AD7" w:rsidRDefault="00C73700" w:rsidP="00AA4AD7">
      <w:pPr>
        <w:pStyle w:val="Default"/>
        <w:ind w:left="851"/>
        <w:rPr>
          <w:bCs/>
          <w:i/>
          <w:iCs/>
          <w:color w:val="auto"/>
        </w:rPr>
      </w:pPr>
      <w:r w:rsidRPr="00AA4AD7">
        <w:rPr>
          <w:bCs/>
          <w:i/>
          <w:color w:val="auto"/>
        </w:rPr>
        <w:t>Virkninger af tildeling af DEXAMETASON på 28</w:t>
      </w:r>
      <w:r w:rsidRPr="00AA4AD7">
        <w:rPr>
          <w:bCs/>
          <w:i/>
          <w:color w:val="auto"/>
        </w:rPr>
        <w:noBreakHyphen/>
        <w:t xml:space="preserve">dages mortalitet, efter alder og respirationsstøtte modtaget ved </w:t>
      </w:r>
      <w:proofErr w:type="spellStart"/>
      <w:r w:rsidRPr="00AA4AD7">
        <w:rPr>
          <w:bCs/>
          <w:i/>
          <w:color w:val="auto"/>
        </w:rPr>
        <w:t>randomisering</w:t>
      </w:r>
      <w:proofErr w:type="spellEnd"/>
      <w:r w:rsidRPr="00AA4AD7">
        <w:rPr>
          <w:bCs/>
          <w:i/>
          <w:color w:val="auto"/>
        </w:rPr>
        <w:t xml:space="preserve"> </w:t>
      </w:r>
      <w:r w:rsidRPr="00AA4AD7">
        <w:rPr>
          <w:bCs/>
          <w:i/>
          <w:color w:val="auto"/>
          <w:vertAlign w:val="superscript"/>
        </w:rPr>
        <w:t>[2]</w:t>
      </w:r>
    </w:p>
    <w:p w14:paraId="6230619F" w14:textId="28E41347" w:rsidR="00C73700" w:rsidRPr="00AA4AD7" w:rsidRDefault="00C73700" w:rsidP="00AA4AD7">
      <w:pPr>
        <w:pStyle w:val="Default"/>
        <w:ind w:left="851"/>
        <w:rPr>
          <w:bCs/>
          <w:iCs/>
          <w:color w:val="auto"/>
        </w:rPr>
      </w:pPr>
    </w:p>
    <w:p w14:paraId="50C45EDD" w14:textId="050037F6" w:rsidR="00B33C3D" w:rsidRPr="00AA4AD7" w:rsidRDefault="00B33C3D" w:rsidP="00C73700">
      <w:pPr>
        <w:pStyle w:val="Default"/>
        <w:rPr>
          <w:bCs/>
          <w:iCs/>
          <w:color w:val="auto"/>
        </w:rPr>
      </w:pPr>
      <w:r w:rsidRPr="00AA4AD7">
        <w:rPr>
          <w:noProof/>
        </w:rPr>
        <w:drawing>
          <wp:inline distT="0" distB="0" distL="0" distR="0" wp14:anchorId="746F8BD7" wp14:editId="143915B2">
            <wp:extent cx="6120130" cy="3063875"/>
            <wp:effectExtent l="0" t="0" r="0" b="3175"/>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3063875"/>
                    </a:xfrm>
                    <a:prstGeom prst="rect">
                      <a:avLst/>
                    </a:prstGeom>
                  </pic:spPr>
                </pic:pic>
              </a:graphicData>
            </a:graphic>
          </wp:inline>
        </w:drawing>
      </w:r>
    </w:p>
    <w:p w14:paraId="751DF8FC" w14:textId="77777777" w:rsidR="00C73700" w:rsidRPr="00AA4AD7" w:rsidRDefault="00C73700" w:rsidP="00C73700">
      <w:pPr>
        <w:pStyle w:val="Default"/>
        <w:rPr>
          <w:bCs/>
          <w:iCs/>
          <w:color w:val="auto"/>
        </w:rPr>
      </w:pPr>
    </w:p>
    <w:p w14:paraId="19E5CECA" w14:textId="77777777" w:rsidR="00C73700" w:rsidRPr="00AA4AD7" w:rsidRDefault="00C73700" w:rsidP="00AA4AD7">
      <w:pPr>
        <w:pStyle w:val="Default"/>
        <w:ind w:left="851"/>
        <w:rPr>
          <w:bCs/>
          <w:i/>
          <w:iCs/>
          <w:color w:val="auto"/>
        </w:rPr>
      </w:pPr>
      <w:r w:rsidRPr="00AA4AD7">
        <w:rPr>
          <w:bCs/>
          <w:i/>
          <w:color w:val="auto"/>
        </w:rPr>
        <w:t>Virkninger af tildeling af DEXAMETASON på 28</w:t>
      </w:r>
      <w:r w:rsidRPr="00AA4AD7">
        <w:rPr>
          <w:bCs/>
          <w:i/>
          <w:color w:val="auto"/>
        </w:rPr>
        <w:noBreakHyphen/>
        <w:t xml:space="preserve">dages mortalitet, efter respirationsstøtte modtaget ved </w:t>
      </w:r>
      <w:proofErr w:type="spellStart"/>
      <w:r w:rsidRPr="00AA4AD7">
        <w:rPr>
          <w:bCs/>
          <w:i/>
          <w:color w:val="auto"/>
        </w:rPr>
        <w:t>randomisering</w:t>
      </w:r>
      <w:proofErr w:type="spellEnd"/>
      <w:r w:rsidRPr="00AA4AD7">
        <w:rPr>
          <w:bCs/>
          <w:i/>
          <w:color w:val="auto"/>
        </w:rPr>
        <w:t xml:space="preserve"> og kroniske sygdomme i </w:t>
      </w:r>
      <w:proofErr w:type="gramStart"/>
      <w:r w:rsidRPr="00AA4AD7">
        <w:rPr>
          <w:bCs/>
          <w:i/>
          <w:color w:val="auto"/>
        </w:rPr>
        <w:t>anamnesen</w:t>
      </w:r>
      <w:r w:rsidRPr="00AA4AD7">
        <w:rPr>
          <w:bCs/>
          <w:i/>
          <w:color w:val="auto"/>
          <w:vertAlign w:val="superscript"/>
        </w:rPr>
        <w:t>.[</w:t>
      </w:r>
      <w:proofErr w:type="gramEnd"/>
      <w:r w:rsidRPr="00AA4AD7">
        <w:rPr>
          <w:bCs/>
          <w:i/>
          <w:color w:val="auto"/>
          <w:vertAlign w:val="superscript"/>
        </w:rPr>
        <w:t>3]</w:t>
      </w:r>
    </w:p>
    <w:p w14:paraId="203ADCF3" w14:textId="77777777" w:rsidR="00C73700" w:rsidRPr="00AA4AD7" w:rsidRDefault="00C73700" w:rsidP="00C73700">
      <w:pPr>
        <w:pStyle w:val="Default"/>
        <w:rPr>
          <w:bCs/>
          <w:iCs/>
          <w:color w:val="auto"/>
        </w:rPr>
      </w:pPr>
    </w:p>
    <w:p w14:paraId="75FC9E79" w14:textId="3DDD178A" w:rsidR="009260DE" w:rsidRPr="00AA4AD7" w:rsidRDefault="00B33C3D" w:rsidP="00AA4AD7">
      <w:pPr>
        <w:autoSpaceDE w:val="0"/>
        <w:autoSpaceDN w:val="0"/>
        <w:adjustRightInd w:val="0"/>
        <w:ind w:left="-142"/>
        <w:rPr>
          <w:sz w:val="24"/>
          <w:szCs w:val="24"/>
        </w:rPr>
      </w:pPr>
      <w:r w:rsidRPr="00AA4AD7">
        <w:rPr>
          <w:noProof/>
          <w:sz w:val="24"/>
          <w:szCs w:val="24"/>
        </w:rPr>
        <w:drawing>
          <wp:inline distT="0" distB="0" distL="0" distR="0" wp14:anchorId="2CEE8CA4" wp14:editId="5B915202">
            <wp:extent cx="6120130" cy="291719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2917190"/>
                    </a:xfrm>
                    <a:prstGeom prst="rect">
                      <a:avLst/>
                    </a:prstGeom>
                  </pic:spPr>
                </pic:pic>
              </a:graphicData>
            </a:graphic>
          </wp:inline>
        </w:drawing>
      </w:r>
    </w:p>
    <w:p w14:paraId="7414FC21" w14:textId="77777777" w:rsidR="00AE43B7" w:rsidRDefault="00AE43B7" w:rsidP="00AE43B7">
      <w:pPr>
        <w:tabs>
          <w:tab w:val="left" w:pos="1304"/>
        </w:tabs>
        <w:autoSpaceDE w:val="0"/>
        <w:autoSpaceDN w:val="0"/>
        <w:adjustRightInd w:val="0"/>
        <w:rPr>
          <w:sz w:val="20"/>
        </w:rPr>
      </w:pPr>
      <w:r>
        <w:rPr>
          <w:sz w:val="20"/>
          <w:vertAlign w:val="superscript"/>
        </w:rPr>
        <w:t xml:space="preserve">[1] </w:t>
      </w:r>
      <w:r>
        <w:rPr>
          <w:sz w:val="20"/>
        </w:rPr>
        <w:t>www.recoverytrial.net</w:t>
      </w:r>
    </w:p>
    <w:p w14:paraId="641981EF" w14:textId="77777777" w:rsidR="00AE43B7" w:rsidRDefault="00AE43B7" w:rsidP="00AE43B7">
      <w:pPr>
        <w:tabs>
          <w:tab w:val="left" w:pos="1304"/>
        </w:tabs>
        <w:autoSpaceDE w:val="0"/>
        <w:autoSpaceDN w:val="0"/>
        <w:adjustRightInd w:val="0"/>
        <w:rPr>
          <w:sz w:val="20"/>
        </w:rPr>
      </w:pPr>
      <w:r>
        <w:rPr>
          <w:sz w:val="20"/>
          <w:vertAlign w:val="superscript"/>
        </w:rPr>
        <w:t>[2] 3</w:t>
      </w:r>
      <w:r>
        <w:rPr>
          <w:sz w:val="20"/>
        </w:rPr>
        <w:t xml:space="preserve"> (kilde: </w:t>
      </w:r>
      <w:proofErr w:type="spellStart"/>
      <w:r>
        <w:rPr>
          <w:sz w:val="20"/>
        </w:rPr>
        <w:t>Horby</w:t>
      </w:r>
      <w:proofErr w:type="spellEnd"/>
      <w:r>
        <w:rPr>
          <w:sz w:val="20"/>
        </w:rPr>
        <w:t xml:space="preserve"> P. et al., 2020; https://www.medrxiv.org/content/10.1101/2020.06.22.20137273v1; </w:t>
      </w:r>
      <w:proofErr w:type="spellStart"/>
      <w:r>
        <w:rPr>
          <w:sz w:val="20"/>
        </w:rPr>
        <w:t>doi</w:t>
      </w:r>
      <w:proofErr w:type="spellEnd"/>
      <w:r>
        <w:rPr>
          <w:sz w:val="20"/>
        </w:rPr>
        <w:t>: https://doi.org/10.1101/2020.06.22.20137273)</w:t>
      </w:r>
    </w:p>
    <w:p w14:paraId="464EB664" w14:textId="77777777" w:rsidR="009260DE" w:rsidRPr="00AA4AD7" w:rsidRDefault="009260DE" w:rsidP="009260DE">
      <w:pPr>
        <w:tabs>
          <w:tab w:val="left" w:pos="851"/>
        </w:tabs>
        <w:ind w:left="851"/>
        <w:rPr>
          <w:sz w:val="24"/>
          <w:szCs w:val="24"/>
        </w:rPr>
      </w:pPr>
    </w:p>
    <w:p w14:paraId="19C5A625" w14:textId="77777777" w:rsidR="009260DE" w:rsidRPr="00AA4AD7" w:rsidRDefault="009260DE" w:rsidP="009260DE">
      <w:pPr>
        <w:tabs>
          <w:tab w:val="left" w:pos="851"/>
        </w:tabs>
        <w:ind w:left="851" w:hanging="851"/>
        <w:rPr>
          <w:b/>
          <w:sz w:val="24"/>
          <w:szCs w:val="24"/>
        </w:rPr>
      </w:pPr>
      <w:r w:rsidRPr="00AA4AD7">
        <w:rPr>
          <w:b/>
          <w:sz w:val="24"/>
          <w:szCs w:val="24"/>
        </w:rPr>
        <w:t>5.2</w:t>
      </w:r>
      <w:r w:rsidRPr="00AA4AD7">
        <w:rPr>
          <w:b/>
          <w:sz w:val="24"/>
          <w:szCs w:val="24"/>
        </w:rPr>
        <w:tab/>
      </w:r>
      <w:proofErr w:type="spellStart"/>
      <w:r w:rsidRPr="00AA4AD7">
        <w:rPr>
          <w:b/>
          <w:sz w:val="24"/>
          <w:szCs w:val="24"/>
        </w:rPr>
        <w:t>Farmakokinetiske</w:t>
      </w:r>
      <w:proofErr w:type="spellEnd"/>
      <w:r w:rsidRPr="00AA4AD7">
        <w:rPr>
          <w:b/>
          <w:sz w:val="24"/>
          <w:szCs w:val="24"/>
        </w:rPr>
        <w:t xml:space="preserve"> egenskaber</w:t>
      </w:r>
    </w:p>
    <w:p w14:paraId="64B48ADF" w14:textId="77777777" w:rsidR="00AA4AD7" w:rsidRPr="00AA4AD7" w:rsidRDefault="00AA4AD7" w:rsidP="00C70C18">
      <w:pPr>
        <w:ind w:left="851"/>
        <w:rPr>
          <w:sz w:val="24"/>
          <w:szCs w:val="24"/>
        </w:rPr>
      </w:pPr>
    </w:p>
    <w:p w14:paraId="013A0AFD" w14:textId="65DCDA6E" w:rsidR="00C73700" w:rsidRPr="00AA4AD7" w:rsidRDefault="00C73700" w:rsidP="00C70C18">
      <w:pPr>
        <w:ind w:left="851"/>
        <w:rPr>
          <w:sz w:val="24"/>
          <w:szCs w:val="24"/>
          <w:u w:val="single"/>
        </w:rPr>
      </w:pPr>
      <w:r w:rsidRPr="00AA4AD7">
        <w:rPr>
          <w:sz w:val="24"/>
          <w:szCs w:val="24"/>
          <w:u w:val="single"/>
        </w:rPr>
        <w:t>Fordeling</w:t>
      </w:r>
    </w:p>
    <w:p w14:paraId="2AC44442" w14:textId="77777777" w:rsidR="00C73700" w:rsidRPr="00AA4AD7" w:rsidRDefault="00C73700" w:rsidP="00C70C18">
      <w:pPr>
        <w:ind w:left="851"/>
        <w:rPr>
          <w:sz w:val="24"/>
          <w:szCs w:val="24"/>
        </w:rPr>
      </w:pPr>
      <w:r w:rsidRPr="00AA4AD7">
        <w:rPr>
          <w:sz w:val="24"/>
          <w:szCs w:val="24"/>
        </w:rPr>
        <w:t xml:space="preserve">Binding af </w:t>
      </w:r>
      <w:proofErr w:type="spellStart"/>
      <w:r w:rsidRPr="00AA4AD7">
        <w:rPr>
          <w:sz w:val="24"/>
          <w:szCs w:val="24"/>
        </w:rPr>
        <w:t>dexametason</w:t>
      </w:r>
      <w:proofErr w:type="spellEnd"/>
      <w:r w:rsidRPr="00AA4AD7">
        <w:rPr>
          <w:sz w:val="24"/>
          <w:szCs w:val="24"/>
        </w:rPr>
        <w:t xml:space="preserve"> til plasmaproteiner er mindre end for de fleste andre </w:t>
      </w:r>
      <w:proofErr w:type="spellStart"/>
      <w:r w:rsidRPr="00AA4AD7">
        <w:rPr>
          <w:sz w:val="24"/>
          <w:szCs w:val="24"/>
        </w:rPr>
        <w:t>kortikosteroider</w:t>
      </w:r>
      <w:proofErr w:type="spellEnd"/>
      <w:r w:rsidRPr="00AA4AD7">
        <w:rPr>
          <w:sz w:val="24"/>
          <w:szCs w:val="24"/>
        </w:rPr>
        <w:t xml:space="preserve"> og anslås af være ca. 77 %.</w:t>
      </w:r>
    </w:p>
    <w:p w14:paraId="467B623B" w14:textId="77777777" w:rsidR="00C73700" w:rsidRPr="00AA4AD7" w:rsidRDefault="00C73700" w:rsidP="00C70C18">
      <w:pPr>
        <w:ind w:left="851"/>
        <w:rPr>
          <w:sz w:val="24"/>
          <w:szCs w:val="24"/>
        </w:rPr>
      </w:pPr>
      <w:proofErr w:type="spellStart"/>
      <w:r w:rsidRPr="00AA4AD7">
        <w:rPr>
          <w:sz w:val="24"/>
          <w:szCs w:val="24"/>
        </w:rPr>
        <w:t>Dexametason</w:t>
      </w:r>
      <w:proofErr w:type="spellEnd"/>
      <w:r w:rsidRPr="00AA4AD7">
        <w:rPr>
          <w:sz w:val="24"/>
          <w:szCs w:val="24"/>
        </w:rPr>
        <w:t xml:space="preserve"> binder dosisafhængigt til plasmaproteiner. Ved meget høje doser cirkulerer størstedelen frit i blodet.</w:t>
      </w:r>
    </w:p>
    <w:p w14:paraId="06745701" w14:textId="77777777" w:rsidR="00C73700" w:rsidRPr="00AA4AD7" w:rsidRDefault="00C73700" w:rsidP="00C70C18">
      <w:pPr>
        <w:ind w:left="851"/>
        <w:rPr>
          <w:sz w:val="24"/>
          <w:szCs w:val="24"/>
        </w:rPr>
      </w:pPr>
      <w:r w:rsidRPr="00AA4AD7">
        <w:rPr>
          <w:sz w:val="24"/>
          <w:szCs w:val="24"/>
        </w:rPr>
        <w:t xml:space="preserve">Ved hypoalbuminæmi stiger andelen af ubundet (aktivt) </w:t>
      </w:r>
      <w:proofErr w:type="spellStart"/>
      <w:r w:rsidRPr="00AA4AD7">
        <w:rPr>
          <w:sz w:val="24"/>
          <w:szCs w:val="24"/>
        </w:rPr>
        <w:t>kortikoid</w:t>
      </w:r>
      <w:proofErr w:type="spellEnd"/>
      <w:r w:rsidRPr="00AA4AD7">
        <w:rPr>
          <w:sz w:val="24"/>
          <w:szCs w:val="24"/>
        </w:rPr>
        <w:t xml:space="preserve">. Efter intravenøs tilførsel af radioaktivt mærket </w:t>
      </w:r>
      <w:proofErr w:type="spellStart"/>
      <w:r w:rsidRPr="00AA4AD7">
        <w:rPr>
          <w:sz w:val="24"/>
          <w:szCs w:val="24"/>
        </w:rPr>
        <w:t>dexametason</w:t>
      </w:r>
      <w:proofErr w:type="spellEnd"/>
      <w:r w:rsidRPr="00AA4AD7">
        <w:rPr>
          <w:sz w:val="24"/>
          <w:szCs w:val="24"/>
        </w:rPr>
        <w:t xml:space="preserve"> til mennesker blev de maksimale </w:t>
      </w:r>
      <w:proofErr w:type="spellStart"/>
      <w:r w:rsidRPr="00AA4AD7">
        <w:rPr>
          <w:sz w:val="24"/>
          <w:szCs w:val="24"/>
        </w:rPr>
        <w:t>dexametasonniveauer</w:t>
      </w:r>
      <w:proofErr w:type="spellEnd"/>
      <w:r w:rsidRPr="00AA4AD7">
        <w:rPr>
          <w:sz w:val="24"/>
          <w:szCs w:val="24"/>
        </w:rPr>
        <w:t xml:space="preserve"> målt i cerebrospinalvæsken til ca. 1/6 af den tilsvarende plasmakoncentration. </w:t>
      </w:r>
      <w:proofErr w:type="spellStart"/>
      <w:r w:rsidRPr="00AA4AD7">
        <w:rPr>
          <w:sz w:val="24"/>
          <w:szCs w:val="24"/>
        </w:rPr>
        <w:t>Dexametasons</w:t>
      </w:r>
      <w:proofErr w:type="spellEnd"/>
      <w:r w:rsidRPr="00AA4AD7">
        <w:rPr>
          <w:sz w:val="24"/>
          <w:szCs w:val="24"/>
        </w:rPr>
        <w:t xml:space="preserve"> plasmahalveringstid er ca. 190 minutter.</w:t>
      </w:r>
    </w:p>
    <w:p w14:paraId="383A69D3" w14:textId="77777777" w:rsidR="00C73700" w:rsidRPr="00AA4AD7" w:rsidRDefault="00C73700" w:rsidP="00C70C18">
      <w:pPr>
        <w:ind w:left="851"/>
        <w:rPr>
          <w:sz w:val="24"/>
          <w:szCs w:val="24"/>
          <w:lang w:val="sv-SE"/>
        </w:rPr>
      </w:pPr>
    </w:p>
    <w:p w14:paraId="33FAA0CA" w14:textId="77777777" w:rsidR="00C73700" w:rsidRPr="00AA4AD7" w:rsidRDefault="00C73700" w:rsidP="00C70C18">
      <w:pPr>
        <w:ind w:left="851"/>
        <w:rPr>
          <w:sz w:val="24"/>
          <w:szCs w:val="24"/>
        </w:rPr>
      </w:pPr>
      <w:r w:rsidRPr="00AA4AD7">
        <w:rPr>
          <w:sz w:val="24"/>
          <w:szCs w:val="24"/>
        </w:rPr>
        <w:t xml:space="preserve">Med en biologisk halveringstid på over 36 timer er </w:t>
      </w:r>
      <w:proofErr w:type="spellStart"/>
      <w:r w:rsidRPr="00AA4AD7">
        <w:rPr>
          <w:sz w:val="24"/>
          <w:szCs w:val="24"/>
        </w:rPr>
        <w:t>dexametason</w:t>
      </w:r>
      <w:proofErr w:type="spellEnd"/>
      <w:r w:rsidRPr="00AA4AD7">
        <w:rPr>
          <w:sz w:val="24"/>
          <w:szCs w:val="24"/>
        </w:rPr>
        <w:t xml:space="preserve"> et af de meget langtidsvirkende </w:t>
      </w:r>
      <w:proofErr w:type="spellStart"/>
      <w:r w:rsidRPr="00AA4AD7">
        <w:rPr>
          <w:sz w:val="24"/>
          <w:szCs w:val="24"/>
        </w:rPr>
        <w:t>glukokortikosteroider</w:t>
      </w:r>
      <w:proofErr w:type="spellEnd"/>
      <w:r w:rsidRPr="00AA4AD7">
        <w:rPr>
          <w:sz w:val="24"/>
          <w:szCs w:val="24"/>
        </w:rPr>
        <w:t>. På grund af den forlængede virkning kan kontinuerlige daglige doser føre til akkumulering og overdosering.</w:t>
      </w:r>
    </w:p>
    <w:p w14:paraId="30F736C2" w14:textId="77777777" w:rsidR="00C73700" w:rsidRPr="00AA4AD7" w:rsidRDefault="00C73700" w:rsidP="00C70C18">
      <w:pPr>
        <w:ind w:left="851"/>
        <w:rPr>
          <w:sz w:val="24"/>
          <w:szCs w:val="24"/>
        </w:rPr>
      </w:pPr>
    </w:p>
    <w:p w14:paraId="16FC6DFF" w14:textId="77777777" w:rsidR="00C73700" w:rsidRPr="00AA4AD7" w:rsidRDefault="00C73700" w:rsidP="00C70C18">
      <w:pPr>
        <w:ind w:left="851"/>
        <w:rPr>
          <w:sz w:val="24"/>
          <w:szCs w:val="24"/>
          <w:u w:val="single"/>
        </w:rPr>
      </w:pPr>
      <w:r w:rsidRPr="00AA4AD7">
        <w:rPr>
          <w:sz w:val="24"/>
          <w:szCs w:val="24"/>
          <w:u w:val="single"/>
        </w:rPr>
        <w:t>Elimination</w:t>
      </w:r>
    </w:p>
    <w:p w14:paraId="6D1487FB" w14:textId="77777777" w:rsidR="00C73700" w:rsidRPr="00AA4AD7" w:rsidRDefault="00C73700" w:rsidP="00C70C18">
      <w:pPr>
        <w:ind w:left="851"/>
        <w:rPr>
          <w:sz w:val="24"/>
          <w:szCs w:val="24"/>
        </w:rPr>
      </w:pPr>
      <w:proofErr w:type="spellStart"/>
      <w:r w:rsidRPr="00AA4AD7">
        <w:rPr>
          <w:sz w:val="24"/>
          <w:szCs w:val="24"/>
        </w:rPr>
        <w:t>Dexametasons</w:t>
      </w:r>
      <w:proofErr w:type="spellEnd"/>
      <w:r w:rsidRPr="00AA4AD7">
        <w:rPr>
          <w:sz w:val="24"/>
          <w:szCs w:val="24"/>
        </w:rPr>
        <w:t xml:space="preserve"> eliminationshalveringstid (i serum) hos voksne er i gennemsnit ca. 250 minutter (+ 80 minutter).</w:t>
      </w:r>
    </w:p>
    <w:p w14:paraId="47B198CD" w14:textId="77777777" w:rsidR="00C73700" w:rsidRPr="00AA4AD7" w:rsidRDefault="00C73700" w:rsidP="00C70C18">
      <w:pPr>
        <w:ind w:left="851"/>
        <w:rPr>
          <w:sz w:val="24"/>
          <w:szCs w:val="24"/>
          <w:lang w:val="sv-SE"/>
        </w:rPr>
      </w:pPr>
    </w:p>
    <w:p w14:paraId="033FCA9E" w14:textId="77777777" w:rsidR="00C73700" w:rsidRPr="00AA4AD7" w:rsidRDefault="00C73700" w:rsidP="00C70C18">
      <w:pPr>
        <w:ind w:left="851"/>
        <w:rPr>
          <w:sz w:val="24"/>
          <w:szCs w:val="24"/>
        </w:rPr>
      </w:pPr>
      <w:r w:rsidRPr="00AA4AD7">
        <w:rPr>
          <w:sz w:val="24"/>
          <w:szCs w:val="24"/>
        </w:rPr>
        <w:t xml:space="preserve">Udskillelse sker fortrinsvis </w:t>
      </w:r>
      <w:proofErr w:type="spellStart"/>
      <w:r w:rsidRPr="00AA4AD7">
        <w:rPr>
          <w:sz w:val="24"/>
          <w:szCs w:val="24"/>
        </w:rPr>
        <w:t>renalt</w:t>
      </w:r>
      <w:proofErr w:type="spellEnd"/>
      <w:r w:rsidRPr="00AA4AD7">
        <w:rPr>
          <w:sz w:val="24"/>
          <w:szCs w:val="24"/>
        </w:rPr>
        <w:t xml:space="preserve"> i form af frit </w:t>
      </w:r>
      <w:proofErr w:type="spellStart"/>
      <w:r w:rsidRPr="00AA4AD7">
        <w:rPr>
          <w:sz w:val="24"/>
          <w:szCs w:val="24"/>
        </w:rPr>
        <w:t>dexametasonalkohol</w:t>
      </w:r>
      <w:proofErr w:type="spellEnd"/>
      <w:r w:rsidRPr="00AA4AD7">
        <w:rPr>
          <w:sz w:val="24"/>
          <w:szCs w:val="24"/>
        </w:rPr>
        <w:t xml:space="preserve">. Det </w:t>
      </w:r>
      <w:proofErr w:type="spellStart"/>
      <w:r w:rsidRPr="00AA4AD7">
        <w:rPr>
          <w:sz w:val="24"/>
          <w:szCs w:val="24"/>
        </w:rPr>
        <w:t>metaboliseres</w:t>
      </w:r>
      <w:proofErr w:type="spellEnd"/>
      <w:r w:rsidRPr="00AA4AD7">
        <w:rPr>
          <w:sz w:val="24"/>
          <w:szCs w:val="24"/>
        </w:rPr>
        <w:t xml:space="preserve"> delvist, og metabolitterne udskilles hovedsagelig som </w:t>
      </w:r>
      <w:proofErr w:type="spellStart"/>
      <w:r w:rsidRPr="00AA4AD7">
        <w:rPr>
          <w:sz w:val="24"/>
          <w:szCs w:val="24"/>
        </w:rPr>
        <w:t>glukuronater</w:t>
      </w:r>
      <w:proofErr w:type="spellEnd"/>
      <w:r w:rsidRPr="00AA4AD7">
        <w:rPr>
          <w:sz w:val="24"/>
          <w:szCs w:val="24"/>
        </w:rPr>
        <w:t xml:space="preserve"> eller sulfater, overvejende via nyrerne. Op til 65 % af en dosis udskilles i urinen indenfor 24 timer. Forstyrrelser i nyrefunktionen påvirker ikke eliminationen af </w:t>
      </w:r>
      <w:proofErr w:type="spellStart"/>
      <w:r w:rsidRPr="00AA4AD7">
        <w:rPr>
          <w:sz w:val="24"/>
          <w:szCs w:val="24"/>
        </w:rPr>
        <w:t>dexametason</w:t>
      </w:r>
      <w:proofErr w:type="spellEnd"/>
      <w:r w:rsidRPr="00AA4AD7">
        <w:rPr>
          <w:sz w:val="24"/>
          <w:szCs w:val="24"/>
        </w:rPr>
        <w:t xml:space="preserve"> i væsentlig grad. På den anden side forlænges eliminationshalveringstiden i tilfælde af svær leversygdom.</w:t>
      </w:r>
    </w:p>
    <w:p w14:paraId="2A120A67" w14:textId="77777777" w:rsidR="009260DE" w:rsidRPr="00AA4AD7" w:rsidRDefault="009260DE" w:rsidP="009260DE">
      <w:pPr>
        <w:tabs>
          <w:tab w:val="left" w:pos="851"/>
        </w:tabs>
        <w:ind w:left="851"/>
        <w:rPr>
          <w:sz w:val="24"/>
          <w:szCs w:val="24"/>
        </w:rPr>
      </w:pPr>
    </w:p>
    <w:p w14:paraId="1125E5DE" w14:textId="77777777" w:rsidR="009260DE" w:rsidRPr="00AA4AD7" w:rsidRDefault="009260DE" w:rsidP="009260DE">
      <w:pPr>
        <w:tabs>
          <w:tab w:val="left" w:pos="851"/>
        </w:tabs>
        <w:ind w:left="851" w:hanging="851"/>
        <w:rPr>
          <w:b/>
          <w:sz w:val="24"/>
          <w:szCs w:val="24"/>
        </w:rPr>
      </w:pPr>
      <w:r w:rsidRPr="00AA4AD7">
        <w:rPr>
          <w:b/>
          <w:sz w:val="24"/>
          <w:szCs w:val="24"/>
        </w:rPr>
        <w:t>5.3</w:t>
      </w:r>
      <w:r w:rsidRPr="00AA4AD7">
        <w:rPr>
          <w:b/>
          <w:sz w:val="24"/>
          <w:szCs w:val="24"/>
        </w:rPr>
        <w:tab/>
      </w:r>
      <w:r w:rsidR="00BD7931" w:rsidRPr="00AA4AD7">
        <w:rPr>
          <w:b/>
          <w:sz w:val="24"/>
          <w:szCs w:val="24"/>
        </w:rPr>
        <w:t>Non-</w:t>
      </w:r>
      <w:r w:rsidRPr="00AA4AD7">
        <w:rPr>
          <w:b/>
          <w:sz w:val="24"/>
          <w:szCs w:val="24"/>
        </w:rPr>
        <w:t>kliniske sikkerhedsdata</w:t>
      </w:r>
    </w:p>
    <w:p w14:paraId="2C0F7B59" w14:textId="77777777" w:rsidR="00AA4AD7" w:rsidRPr="00AA4AD7" w:rsidRDefault="00AA4AD7" w:rsidP="00C70C18">
      <w:pPr>
        <w:ind w:left="851"/>
        <w:rPr>
          <w:sz w:val="24"/>
          <w:szCs w:val="24"/>
        </w:rPr>
      </w:pPr>
    </w:p>
    <w:p w14:paraId="2BDF444E" w14:textId="7D406FD7" w:rsidR="00C73700" w:rsidRPr="00AA4AD7" w:rsidRDefault="00C73700" w:rsidP="00C70C18">
      <w:pPr>
        <w:ind w:left="851"/>
        <w:rPr>
          <w:sz w:val="24"/>
          <w:szCs w:val="24"/>
          <w:u w:val="single"/>
        </w:rPr>
      </w:pPr>
      <w:r w:rsidRPr="00AA4AD7">
        <w:rPr>
          <w:sz w:val="24"/>
          <w:szCs w:val="24"/>
          <w:u w:val="single"/>
        </w:rPr>
        <w:t>Akut toksicitet:</w:t>
      </w:r>
    </w:p>
    <w:p w14:paraId="2F4C1DBB" w14:textId="77777777" w:rsidR="00C73700" w:rsidRPr="00AA4AD7" w:rsidRDefault="00C73700" w:rsidP="00C70C18">
      <w:pPr>
        <w:ind w:left="851"/>
        <w:rPr>
          <w:sz w:val="24"/>
          <w:szCs w:val="24"/>
        </w:rPr>
      </w:pPr>
      <w:r w:rsidRPr="00AA4AD7">
        <w:rPr>
          <w:sz w:val="24"/>
          <w:szCs w:val="24"/>
        </w:rPr>
        <w:t>Hos mus er LD</w:t>
      </w:r>
      <w:r w:rsidRPr="00AA4AD7">
        <w:rPr>
          <w:sz w:val="24"/>
          <w:szCs w:val="24"/>
          <w:vertAlign w:val="subscript"/>
        </w:rPr>
        <w:t>50</w:t>
      </w:r>
      <w:r w:rsidRPr="00AA4AD7">
        <w:rPr>
          <w:sz w:val="24"/>
          <w:szCs w:val="24"/>
        </w:rPr>
        <w:t xml:space="preserve"> for </w:t>
      </w:r>
      <w:proofErr w:type="spellStart"/>
      <w:r w:rsidRPr="00AA4AD7">
        <w:rPr>
          <w:sz w:val="24"/>
          <w:szCs w:val="24"/>
        </w:rPr>
        <w:t>dexametason</w:t>
      </w:r>
      <w:proofErr w:type="spellEnd"/>
      <w:r w:rsidRPr="00AA4AD7">
        <w:rPr>
          <w:sz w:val="24"/>
          <w:szCs w:val="24"/>
        </w:rPr>
        <w:t xml:space="preserve"> efter en enkelt oral administration inden for de første 7 dage 16 g/kg legemsvægt og hos rotter over 3 g/kg legemsvægt. Efter en enkelt subkutan applikation er LD</w:t>
      </w:r>
      <w:r w:rsidRPr="00AA4AD7">
        <w:rPr>
          <w:sz w:val="24"/>
          <w:szCs w:val="24"/>
          <w:vertAlign w:val="subscript"/>
        </w:rPr>
        <w:t>50</w:t>
      </w:r>
      <w:r w:rsidRPr="00AA4AD7">
        <w:rPr>
          <w:sz w:val="24"/>
          <w:szCs w:val="24"/>
        </w:rPr>
        <w:t xml:space="preserve"> hos mus over 700 mg/kg legemsvægt og hos rotter ca. 120 mg/kg legemsvægt inden for de første 7 dage. Observeret over en periode på 21 dage falder disse værdier, hvilket tolkes som en konsekvens af alvorlige infektionsfrigivne sygdomme, forårsaget af hormoninduceret </w:t>
      </w:r>
      <w:proofErr w:type="spellStart"/>
      <w:r w:rsidRPr="00AA4AD7">
        <w:rPr>
          <w:sz w:val="24"/>
          <w:szCs w:val="24"/>
        </w:rPr>
        <w:t>immunosuppression</w:t>
      </w:r>
      <w:proofErr w:type="spellEnd"/>
      <w:r w:rsidRPr="00AA4AD7">
        <w:rPr>
          <w:sz w:val="24"/>
          <w:szCs w:val="24"/>
        </w:rPr>
        <w:t>.</w:t>
      </w:r>
    </w:p>
    <w:p w14:paraId="161D6E05" w14:textId="77777777" w:rsidR="00C73700" w:rsidRPr="00AA4AD7" w:rsidRDefault="00C73700" w:rsidP="00C70C18">
      <w:pPr>
        <w:ind w:left="851"/>
        <w:rPr>
          <w:i/>
          <w:sz w:val="24"/>
          <w:szCs w:val="24"/>
          <w:lang w:val="sv-SE"/>
        </w:rPr>
      </w:pPr>
    </w:p>
    <w:p w14:paraId="02127C8E" w14:textId="77777777" w:rsidR="00C73700" w:rsidRPr="00AA4AD7" w:rsidRDefault="00C73700" w:rsidP="00C70C18">
      <w:pPr>
        <w:ind w:left="851"/>
        <w:rPr>
          <w:sz w:val="24"/>
          <w:szCs w:val="24"/>
          <w:u w:val="single"/>
        </w:rPr>
      </w:pPr>
      <w:r w:rsidRPr="00AA4AD7">
        <w:rPr>
          <w:sz w:val="24"/>
          <w:szCs w:val="24"/>
          <w:u w:val="single"/>
        </w:rPr>
        <w:t>Kronisk toksicitet:</w:t>
      </w:r>
    </w:p>
    <w:p w14:paraId="1A40F2AF" w14:textId="77777777" w:rsidR="00C73700" w:rsidRPr="00AA4AD7" w:rsidRDefault="00C73700" w:rsidP="00C70C18">
      <w:pPr>
        <w:ind w:left="851"/>
        <w:rPr>
          <w:sz w:val="24"/>
          <w:szCs w:val="24"/>
        </w:rPr>
      </w:pPr>
      <w:r w:rsidRPr="00AA4AD7">
        <w:rPr>
          <w:sz w:val="24"/>
          <w:szCs w:val="24"/>
        </w:rPr>
        <w:t xml:space="preserve">Der foreligger ingen oplysninger om kronisk toksicitet hos mennesker eller dyr. Der er aldrig blevet rapporteret om </w:t>
      </w:r>
      <w:proofErr w:type="spellStart"/>
      <w:r w:rsidRPr="00AA4AD7">
        <w:rPr>
          <w:sz w:val="24"/>
          <w:szCs w:val="24"/>
        </w:rPr>
        <w:t>kortikoid</w:t>
      </w:r>
      <w:proofErr w:type="spellEnd"/>
      <w:r w:rsidRPr="00AA4AD7">
        <w:rPr>
          <w:sz w:val="24"/>
          <w:szCs w:val="24"/>
        </w:rPr>
        <w:t xml:space="preserve">-inducerede manifestationer af </w:t>
      </w:r>
      <w:proofErr w:type="spellStart"/>
      <w:r w:rsidRPr="00AA4AD7">
        <w:rPr>
          <w:sz w:val="24"/>
          <w:szCs w:val="24"/>
        </w:rPr>
        <w:t>intoksikation</w:t>
      </w:r>
      <w:proofErr w:type="spellEnd"/>
      <w:r w:rsidRPr="00AA4AD7">
        <w:rPr>
          <w:sz w:val="24"/>
          <w:szCs w:val="24"/>
        </w:rPr>
        <w:t>. Ved forholdsvis langvarig behandling med doser over 1,5 mg/dag skal der forventes udtalte bivirkninger (se pkt. 4.8).</w:t>
      </w:r>
    </w:p>
    <w:p w14:paraId="48AAE5AA" w14:textId="77777777" w:rsidR="00C73700" w:rsidRPr="00AA4AD7" w:rsidRDefault="00C73700" w:rsidP="00C70C18">
      <w:pPr>
        <w:ind w:left="851"/>
        <w:rPr>
          <w:i/>
          <w:sz w:val="24"/>
          <w:szCs w:val="24"/>
          <w:lang w:val="sv-SE"/>
        </w:rPr>
      </w:pPr>
    </w:p>
    <w:p w14:paraId="5F397D2D" w14:textId="77777777" w:rsidR="00C73700" w:rsidRPr="00AA4AD7" w:rsidRDefault="00C73700" w:rsidP="00C70C18">
      <w:pPr>
        <w:ind w:left="851"/>
        <w:rPr>
          <w:sz w:val="24"/>
          <w:szCs w:val="24"/>
          <w:u w:val="single"/>
        </w:rPr>
      </w:pPr>
      <w:r w:rsidRPr="00AA4AD7">
        <w:rPr>
          <w:sz w:val="24"/>
          <w:szCs w:val="24"/>
          <w:u w:val="single"/>
        </w:rPr>
        <w:t xml:space="preserve">Mutagent og </w:t>
      </w:r>
      <w:proofErr w:type="spellStart"/>
      <w:r w:rsidRPr="00AA4AD7">
        <w:rPr>
          <w:sz w:val="24"/>
          <w:szCs w:val="24"/>
          <w:u w:val="single"/>
        </w:rPr>
        <w:t>karcinogent</w:t>
      </w:r>
      <w:proofErr w:type="spellEnd"/>
      <w:r w:rsidRPr="00AA4AD7">
        <w:rPr>
          <w:sz w:val="24"/>
          <w:szCs w:val="24"/>
          <w:u w:val="single"/>
        </w:rPr>
        <w:t xml:space="preserve"> potentiale:</w:t>
      </w:r>
    </w:p>
    <w:p w14:paraId="3B84200F" w14:textId="77777777" w:rsidR="00C73700" w:rsidRPr="00AA4AD7" w:rsidRDefault="00C73700" w:rsidP="00C70C18">
      <w:pPr>
        <w:ind w:left="851"/>
        <w:rPr>
          <w:sz w:val="24"/>
          <w:szCs w:val="24"/>
        </w:rPr>
      </w:pPr>
      <w:r w:rsidRPr="00AA4AD7">
        <w:rPr>
          <w:sz w:val="24"/>
          <w:szCs w:val="24"/>
        </w:rPr>
        <w:t xml:space="preserve">De foreliggende resultater af studier med </w:t>
      </w:r>
      <w:proofErr w:type="spellStart"/>
      <w:r w:rsidRPr="00AA4AD7">
        <w:rPr>
          <w:sz w:val="24"/>
          <w:szCs w:val="24"/>
        </w:rPr>
        <w:t>glukokortikoider</w:t>
      </w:r>
      <w:proofErr w:type="spellEnd"/>
      <w:r w:rsidRPr="00AA4AD7">
        <w:rPr>
          <w:sz w:val="24"/>
          <w:szCs w:val="24"/>
        </w:rPr>
        <w:t xml:space="preserve"> viser ingen tegn på klinisk relevante genotoksiske egenskaber.</w:t>
      </w:r>
    </w:p>
    <w:p w14:paraId="56CEAAD3" w14:textId="77777777" w:rsidR="00C73700" w:rsidRPr="00AA4AD7" w:rsidRDefault="00C73700" w:rsidP="00C70C18">
      <w:pPr>
        <w:ind w:left="851"/>
        <w:rPr>
          <w:i/>
          <w:sz w:val="24"/>
          <w:szCs w:val="24"/>
          <w:lang w:val="sv-SE"/>
        </w:rPr>
      </w:pPr>
    </w:p>
    <w:p w14:paraId="517C5684" w14:textId="77777777" w:rsidR="00C73700" w:rsidRPr="00AA4AD7" w:rsidRDefault="00C73700" w:rsidP="00C70C18">
      <w:pPr>
        <w:ind w:left="851"/>
        <w:rPr>
          <w:sz w:val="24"/>
          <w:szCs w:val="24"/>
          <w:u w:val="single"/>
        </w:rPr>
      </w:pPr>
      <w:r w:rsidRPr="00AA4AD7">
        <w:rPr>
          <w:sz w:val="24"/>
          <w:szCs w:val="24"/>
          <w:u w:val="single"/>
        </w:rPr>
        <w:t>Reproduktionstoksicitet:</w:t>
      </w:r>
    </w:p>
    <w:p w14:paraId="2A0FD514" w14:textId="77777777" w:rsidR="00C73700" w:rsidRPr="00AA4AD7" w:rsidRDefault="00C73700" w:rsidP="00C70C18">
      <w:pPr>
        <w:ind w:left="851"/>
        <w:rPr>
          <w:sz w:val="24"/>
          <w:szCs w:val="24"/>
        </w:rPr>
      </w:pPr>
      <w:r w:rsidRPr="00AA4AD7">
        <w:rPr>
          <w:sz w:val="24"/>
          <w:szCs w:val="24"/>
        </w:rPr>
        <w:t xml:space="preserve">I dyreforsøg blev der observeret ganespalte hos rotter, mus, hamstere, kaniner, hunde og primater, men ikke hos heste eller får. I nogle tilfælde var disse abnormiteter kombineret </w:t>
      </w:r>
      <w:r w:rsidRPr="00AA4AD7">
        <w:rPr>
          <w:sz w:val="24"/>
          <w:szCs w:val="24"/>
        </w:rPr>
        <w:lastRenderedPageBreak/>
        <w:t>med defekter i centralnervesystemet og hjertet. Hos primater blev der efter eksponering observeret forandringer i hjernen. Desuden kan intrauterin vækst blive forsinket. Alle disse virkninger blev observeret ved administration af høje doser.</w:t>
      </w:r>
    </w:p>
    <w:p w14:paraId="17BA3592" w14:textId="77777777" w:rsidR="009260DE" w:rsidRPr="00AA4AD7" w:rsidRDefault="009260DE" w:rsidP="009260DE">
      <w:pPr>
        <w:tabs>
          <w:tab w:val="left" w:pos="851"/>
        </w:tabs>
        <w:ind w:left="851"/>
        <w:rPr>
          <w:sz w:val="24"/>
          <w:szCs w:val="24"/>
        </w:rPr>
      </w:pPr>
    </w:p>
    <w:p w14:paraId="5DA5D55D" w14:textId="77777777" w:rsidR="009260DE" w:rsidRPr="00AA4AD7" w:rsidRDefault="009260DE" w:rsidP="009260DE">
      <w:pPr>
        <w:tabs>
          <w:tab w:val="left" w:pos="851"/>
        </w:tabs>
        <w:ind w:left="851"/>
        <w:rPr>
          <w:sz w:val="24"/>
          <w:szCs w:val="24"/>
        </w:rPr>
      </w:pPr>
    </w:p>
    <w:p w14:paraId="3DF73AE2" w14:textId="77777777" w:rsidR="009260DE" w:rsidRPr="00AA4AD7" w:rsidRDefault="009260DE" w:rsidP="009260DE">
      <w:pPr>
        <w:tabs>
          <w:tab w:val="left" w:pos="851"/>
        </w:tabs>
        <w:ind w:left="851" w:hanging="851"/>
        <w:rPr>
          <w:b/>
          <w:sz w:val="24"/>
          <w:szCs w:val="24"/>
        </w:rPr>
      </w:pPr>
      <w:r w:rsidRPr="00AA4AD7">
        <w:rPr>
          <w:b/>
          <w:sz w:val="24"/>
          <w:szCs w:val="24"/>
        </w:rPr>
        <w:t>6.</w:t>
      </w:r>
      <w:r w:rsidRPr="00AA4AD7">
        <w:rPr>
          <w:b/>
          <w:sz w:val="24"/>
          <w:szCs w:val="24"/>
        </w:rPr>
        <w:tab/>
        <w:t>FARMACEUTISKE OPLYSNINGER</w:t>
      </w:r>
    </w:p>
    <w:p w14:paraId="509AD1BC" w14:textId="77777777" w:rsidR="009260DE" w:rsidRPr="00AA4AD7" w:rsidRDefault="009260DE" w:rsidP="009260DE">
      <w:pPr>
        <w:tabs>
          <w:tab w:val="left" w:pos="851"/>
        </w:tabs>
        <w:ind w:left="851"/>
        <w:rPr>
          <w:sz w:val="24"/>
          <w:szCs w:val="24"/>
        </w:rPr>
      </w:pPr>
    </w:p>
    <w:p w14:paraId="5E6CE6C5" w14:textId="77777777" w:rsidR="009260DE" w:rsidRPr="00AA4AD7" w:rsidRDefault="009260DE" w:rsidP="009260DE">
      <w:pPr>
        <w:tabs>
          <w:tab w:val="left" w:pos="851"/>
        </w:tabs>
        <w:ind w:left="851" w:hanging="851"/>
        <w:rPr>
          <w:b/>
          <w:sz w:val="24"/>
          <w:szCs w:val="24"/>
        </w:rPr>
      </w:pPr>
      <w:r w:rsidRPr="00AA4AD7">
        <w:rPr>
          <w:b/>
          <w:sz w:val="24"/>
          <w:szCs w:val="24"/>
        </w:rPr>
        <w:t>6.1</w:t>
      </w:r>
      <w:r w:rsidRPr="00AA4AD7">
        <w:rPr>
          <w:b/>
          <w:sz w:val="24"/>
          <w:szCs w:val="24"/>
        </w:rPr>
        <w:tab/>
        <w:t>Hjælpestoffer</w:t>
      </w:r>
    </w:p>
    <w:p w14:paraId="6267E32A" w14:textId="77777777" w:rsidR="00C73700" w:rsidRPr="00AA4AD7" w:rsidRDefault="00C73700" w:rsidP="00C70C18">
      <w:pPr>
        <w:ind w:left="851"/>
        <w:rPr>
          <w:sz w:val="24"/>
          <w:szCs w:val="24"/>
        </w:rPr>
      </w:pPr>
      <w:proofErr w:type="spellStart"/>
      <w:r w:rsidRPr="00AA4AD7">
        <w:rPr>
          <w:sz w:val="24"/>
          <w:szCs w:val="24"/>
        </w:rPr>
        <w:t>Kreatinin</w:t>
      </w:r>
      <w:proofErr w:type="spellEnd"/>
    </w:p>
    <w:p w14:paraId="46829DF8" w14:textId="77777777" w:rsidR="00C73700" w:rsidRPr="00AA4AD7" w:rsidRDefault="00C73700" w:rsidP="00C70C18">
      <w:pPr>
        <w:ind w:left="851"/>
        <w:rPr>
          <w:sz w:val="24"/>
          <w:szCs w:val="24"/>
        </w:rPr>
      </w:pPr>
      <w:proofErr w:type="spellStart"/>
      <w:r w:rsidRPr="00AA4AD7">
        <w:rPr>
          <w:sz w:val="24"/>
          <w:szCs w:val="24"/>
        </w:rPr>
        <w:t>Dinatriumedetat</w:t>
      </w:r>
      <w:proofErr w:type="spellEnd"/>
      <w:r w:rsidRPr="00AA4AD7">
        <w:rPr>
          <w:sz w:val="24"/>
          <w:szCs w:val="24"/>
        </w:rPr>
        <w:t xml:space="preserve"> (E385)</w:t>
      </w:r>
    </w:p>
    <w:p w14:paraId="1BF31986" w14:textId="77777777" w:rsidR="00C73700" w:rsidRPr="00AA4AD7" w:rsidRDefault="00C73700" w:rsidP="00C70C18">
      <w:pPr>
        <w:ind w:left="851"/>
        <w:rPr>
          <w:sz w:val="24"/>
          <w:szCs w:val="24"/>
        </w:rPr>
      </w:pPr>
      <w:r w:rsidRPr="00AA4AD7">
        <w:rPr>
          <w:sz w:val="24"/>
          <w:szCs w:val="24"/>
        </w:rPr>
        <w:t>Natriumcitrat (E331)</w:t>
      </w:r>
    </w:p>
    <w:p w14:paraId="5826E8C5" w14:textId="77777777" w:rsidR="00C73700" w:rsidRPr="00AA4AD7" w:rsidRDefault="00C73700" w:rsidP="00C70C18">
      <w:pPr>
        <w:ind w:left="851"/>
        <w:rPr>
          <w:sz w:val="24"/>
          <w:szCs w:val="24"/>
        </w:rPr>
      </w:pPr>
      <w:r w:rsidRPr="00AA4AD7">
        <w:rPr>
          <w:sz w:val="24"/>
          <w:szCs w:val="24"/>
        </w:rPr>
        <w:t>Natriumhydroxid (til justering af pH) (E524)</w:t>
      </w:r>
    </w:p>
    <w:p w14:paraId="67BCA528" w14:textId="77777777" w:rsidR="00C73700" w:rsidRPr="00AA4AD7" w:rsidRDefault="00C73700" w:rsidP="00C70C18">
      <w:pPr>
        <w:ind w:left="851"/>
        <w:rPr>
          <w:sz w:val="24"/>
          <w:szCs w:val="24"/>
        </w:rPr>
      </w:pPr>
      <w:r w:rsidRPr="00AA4AD7">
        <w:rPr>
          <w:sz w:val="24"/>
          <w:szCs w:val="24"/>
        </w:rPr>
        <w:t>Vand til injektionsvæsker</w:t>
      </w:r>
    </w:p>
    <w:p w14:paraId="6B9B0A64" w14:textId="77777777" w:rsidR="009260DE" w:rsidRPr="00AA4AD7" w:rsidRDefault="009260DE" w:rsidP="009260DE">
      <w:pPr>
        <w:tabs>
          <w:tab w:val="left" w:pos="851"/>
        </w:tabs>
        <w:ind w:left="851"/>
        <w:rPr>
          <w:sz w:val="24"/>
          <w:szCs w:val="24"/>
        </w:rPr>
      </w:pPr>
    </w:p>
    <w:p w14:paraId="35EAA1D4" w14:textId="77777777" w:rsidR="009260DE" w:rsidRPr="00AA4AD7" w:rsidRDefault="009260DE" w:rsidP="009260DE">
      <w:pPr>
        <w:tabs>
          <w:tab w:val="left" w:pos="851"/>
        </w:tabs>
        <w:ind w:left="851" w:hanging="851"/>
        <w:rPr>
          <w:b/>
          <w:sz w:val="24"/>
          <w:szCs w:val="24"/>
        </w:rPr>
      </w:pPr>
      <w:r w:rsidRPr="00AA4AD7">
        <w:rPr>
          <w:b/>
          <w:sz w:val="24"/>
          <w:szCs w:val="24"/>
        </w:rPr>
        <w:t>6.2</w:t>
      </w:r>
      <w:r w:rsidRPr="00AA4AD7">
        <w:rPr>
          <w:b/>
          <w:sz w:val="24"/>
          <w:szCs w:val="24"/>
        </w:rPr>
        <w:tab/>
        <w:t>Uforligeligheder</w:t>
      </w:r>
    </w:p>
    <w:p w14:paraId="054F1377" w14:textId="68FBE311" w:rsidR="009260DE" w:rsidRPr="00AA4AD7" w:rsidRDefault="00C73700" w:rsidP="00AA4AD7">
      <w:pPr>
        <w:widowControl w:val="0"/>
        <w:autoSpaceDE w:val="0"/>
        <w:autoSpaceDN w:val="0"/>
        <w:adjustRightInd w:val="0"/>
        <w:ind w:left="851"/>
        <w:rPr>
          <w:sz w:val="24"/>
          <w:szCs w:val="24"/>
        </w:rPr>
      </w:pPr>
      <w:r w:rsidRPr="00AA4AD7">
        <w:rPr>
          <w:sz w:val="24"/>
          <w:szCs w:val="24"/>
        </w:rPr>
        <w:t>Dette lægemiddel må ikke blandes med andre lægemidler end dem, der er anført under pkt. 6.6.</w:t>
      </w:r>
    </w:p>
    <w:p w14:paraId="45AA80B7" w14:textId="77777777" w:rsidR="009260DE" w:rsidRPr="00AA4AD7" w:rsidRDefault="009260DE" w:rsidP="009260DE">
      <w:pPr>
        <w:tabs>
          <w:tab w:val="left" w:pos="851"/>
        </w:tabs>
        <w:ind w:left="851"/>
        <w:rPr>
          <w:sz w:val="24"/>
          <w:szCs w:val="24"/>
        </w:rPr>
      </w:pPr>
    </w:p>
    <w:p w14:paraId="3918C712" w14:textId="77777777" w:rsidR="009260DE" w:rsidRPr="00AA4AD7" w:rsidRDefault="009260DE" w:rsidP="009260DE">
      <w:pPr>
        <w:tabs>
          <w:tab w:val="left" w:pos="851"/>
        </w:tabs>
        <w:ind w:left="851" w:hanging="851"/>
        <w:rPr>
          <w:b/>
          <w:sz w:val="24"/>
          <w:szCs w:val="24"/>
        </w:rPr>
      </w:pPr>
      <w:r w:rsidRPr="00AA4AD7">
        <w:rPr>
          <w:b/>
          <w:sz w:val="24"/>
          <w:szCs w:val="24"/>
        </w:rPr>
        <w:t>6.3</w:t>
      </w:r>
      <w:r w:rsidRPr="00AA4AD7">
        <w:rPr>
          <w:b/>
          <w:sz w:val="24"/>
          <w:szCs w:val="24"/>
        </w:rPr>
        <w:tab/>
        <w:t>Opbevaringstid</w:t>
      </w:r>
    </w:p>
    <w:p w14:paraId="704C09C9" w14:textId="77777777" w:rsidR="00C73700" w:rsidRPr="00AA4AD7" w:rsidRDefault="00C73700" w:rsidP="00AA4AD7">
      <w:pPr>
        <w:widowControl w:val="0"/>
        <w:autoSpaceDE w:val="0"/>
        <w:autoSpaceDN w:val="0"/>
        <w:adjustRightInd w:val="0"/>
        <w:ind w:left="851"/>
        <w:rPr>
          <w:sz w:val="24"/>
          <w:szCs w:val="24"/>
        </w:rPr>
      </w:pPr>
    </w:p>
    <w:p w14:paraId="30206413" w14:textId="77777777" w:rsidR="00C73700" w:rsidRPr="00AA4AD7" w:rsidRDefault="00C73700" w:rsidP="00C70C18">
      <w:pPr>
        <w:autoSpaceDE w:val="0"/>
        <w:autoSpaceDN w:val="0"/>
        <w:adjustRightInd w:val="0"/>
        <w:ind w:left="851"/>
        <w:rPr>
          <w:sz w:val="24"/>
          <w:szCs w:val="24"/>
          <w:u w:val="single"/>
        </w:rPr>
      </w:pPr>
      <w:r w:rsidRPr="00AA4AD7">
        <w:rPr>
          <w:sz w:val="24"/>
          <w:szCs w:val="24"/>
          <w:u w:val="single"/>
        </w:rPr>
        <w:t>Uåbnet hætteglas</w:t>
      </w:r>
    </w:p>
    <w:p w14:paraId="65ABF0B6" w14:textId="77777777" w:rsidR="00C73700" w:rsidRPr="00AA4AD7" w:rsidRDefault="00C73700" w:rsidP="00C70C18">
      <w:pPr>
        <w:autoSpaceDE w:val="0"/>
        <w:autoSpaceDN w:val="0"/>
        <w:adjustRightInd w:val="0"/>
        <w:ind w:left="851"/>
        <w:rPr>
          <w:sz w:val="24"/>
          <w:szCs w:val="24"/>
        </w:rPr>
      </w:pPr>
      <w:r w:rsidRPr="00AA4AD7">
        <w:rPr>
          <w:sz w:val="24"/>
          <w:szCs w:val="24"/>
        </w:rPr>
        <w:t>2 år.</w:t>
      </w:r>
    </w:p>
    <w:p w14:paraId="2AB8D25D" w14:textId="77777777" w:rsidR="00AA4AD7" w:rsidRPr="00AA4AD7" w:rsidRDefault="00AA4AD7" w:rsidP="00C70C18">
      <w:pPr>
        <w:autoSpaceDE w:val="0"/>
        <w:autoSpaceDN w:val="0"/>
        <w:adjustRightInd w:val="0"/>
        <w:ind w:left="851"/>
        <w:rPr>
          <w:sz w:val="24"/>
          <w:szCs w:val="24"/>
        </w:rPr>
      </w:pPr>
    </w:p>
    <w:p w14:paraId="43C48233" w14:textId="4E36E33F" w:rsidR="00C73700" w:rsidRPr="00AA4AD7" w:rsidRDefault="00C73700" w:rsidP="00C70C18">
      <w:pPr>
        <w:autoSpaceDE w:val="0"/>
        <w:autoSpaceDN w:val="0"/>
        <w:adjustRightInd w:val="0"/>
        <w:ind w:left="851"/>
        <w:rPr>
          <w:sz w:val="24"/>
          <w:szCs w:val="24"/>
        </w:rPr>
      </w:pPr>
      <w:r w:rsidRPr="00AA4AD7">
        <w:rPr>
          <w:sz w:val="24"/>
          <w:szCs w:val="24"/>
        </w:rPr>
        <w:t>Efter åbning: Kemisk og fysisk stabilitet efter åbning af fortyndinger er påvist i 48 timer ved 15</w:t>
      </w:r>
      <w:r w:rsidRPr="00AA4AD7">
        <w:rPr>
          <w:sz w:val="24"/>
          <w:szCs w:val="24"/>
        </w:rPr>
        <w:noBreakHyphen/>
        <w:t>30°C. Ud fra et mikrobiologisk synspunkt skal præparatet anvendes med det samme. Hvis det ikke anvendes med det samme, er opbevaringstider og -betingelser indtil anvendelse på brugerens eget ansvar og må ikke overstige 24 timer ved 2 til 8°C, medmindre fortynding er udført under kontrollerede og validerede aseptiske betingelser.</w:t>
      </w:r>
    </w:p>
    <w:p w14:paraId="54A0F02A" w14:textId="77777777" w:rsidR="009260DE" w:rsidRPr="00AA4AD7" w:rsidRDefault="009260DE" w:rsidP="009260DE">
      <w:pPr>
        <w:tabs>
          <w:tab w:val="left" w:pos="851"/>
        </w:tabs>
        <w:ind w:left="851"/>
        <w:rPr>
          <w:sz w:val="24"/>
          <w:szCs w:val="24"/>
        </w:rPr>
      </w:pPr>
    </w:p>
    <w:p w14:paraId="3D2A4D3B" w14:textId="77777777" w:rsidR="009260DE" w:rsidRPr="00AA4AD7" w:rsidRDefault="009260DE" w:rsidP="009260DE">
      <w:pPr>
        <w:tabs>
          <w:tab w:val="left" w:pos="851"/>
        </w:tabs>
        <w:ind w:left="851" w:hanging="851"/>
        <w:rPr>
          <w:b/>
          <w:sz w:val="24"/>
          <w:szCs w:val="24"/>
        </w:rPr>
      </w:pPr>
      <w:r w:rsidRPr="00AA4AD7">
        <w:rPr>
          <w:b/>
          <w:sz w:val="24"/>
          <w:szCs w:val="24"/>
        </w:rPr>
        <w:t>6.4</w:t>
      </w:r>
      <w:r w:rsidRPr="00AA4AD7">
        <w:rPr>
          <w:b/>
          <w:sz w:val="24"/>
          <w:szCs w:val="24"/>
        </w:rPr>
        <w:tab/>
        <w:t>Særlige opbevaringsforhold</w:t>
      </w:r>
    </w:p>
    <w:p w14:paraId="38EB7AFB" w14:textId="77777777" w:rsidR="00C73700" w:rsidRPr="00AA4AD7" w:rsidRDefault="00C73700" w:rsidP="00C70C18">
      <w:pPr>
        <w:pStyle w:val="Default"/>
        <w:ind w:left="851"/>
        <w:rPr>
          <w:color w:val="auto"/>
        </w:rPr>
      </w:pPr>
      <w:r w:rsidRPr="00AA4AD7">
        <w:rPr>
          <w:color w:val="auto"/>
        </w:rPr>
        <w:t xml:space="preserve">Opbevares ved temperaturer under 30°C. </w:t>
      </w:r>
    </w:p>
    <w:p w14:paraId="3CD9C9EC" w14:textId="77777777" w:rsidR="00C73700" w:rsidRPr="00AA4AD7" w:rsidRDefault="00C73700" w:rsidP="00C70C18">
      <w:pPr>
        <w:pStyle w:val="Default"/>
        <w:ind w:left="851"/>
        <w:rPr>
          <w:color w:val="auto"/>
        </w:rPr>
      </w:pPr>
      <w:r w:rsidRPr="00AA4AD7">
        <w:rPr>
          <w:color w:val="auto"/>
        </w:rPr>
        <w:t>Opbevar hætteglasset i den yderkarton for at beskytte mod lys.</w:t>
      </w:r>
    </w:p>
    <w:p w14:paraId="0A243B4E" w14:textId="77777777" w:rsidR="00C73700" w:rsidRPr="00AA4AD7" w:rsidRDefault="00C73700" w:rsidP="00C70C18">
      <w:pPr>
        <w:pStyle w:val="Default"/>
        <w:ind w:left="851"/>
        <w:rPr>
          <w:color w:val="auto"/>
        </w:rPr>
      </w:pPr>
      <w:r w:rsidRPr="00AA4AD7">
        <w:rPr>
          <w:color w:val="auto"/>
        </w:rPr>
        <w:t xml:space="preserve">Opbevaringsforhold efter fortynding af lægemidlet, se pkt. 6.3. </w:t>
      </w:r>
    </w:p>
    <w:p w14:paraId="5CAA63FB" w14:textId="77777777" w:rsidR="009260DE" w:rsidRPr="00AA4AD7" w:rsidRDefault="009260DE" w:rsidP="009260DE">
      <w:pPr>
        <w:tabs>
          <w:tab w:val="left" w:pos="851"/>
        </w:tabs>
        <w:ind w:left="851"/>
        <w:rPr>
          <w:sz w:val="24"/>
          <w:szCs w:val="24"/>
        </w:rPr>
      </w:pPr>
    </w:p>
    <w:p w14:paraId="0FCA87CD" w14:textId="77777777" w:rsidR="009260DE" w:rsidRPr="00AA4AD7" w:rsidRDefault="009260DE" w:rsidP="009260DE">
      <w:pPr>
        <w:tabs>
          <w:tab w:val="left" w:pos="851"/>
        </w:tabs>
        <w:ind w:left="851" w:hanging="851"/>
        <w:rPr>
          <w:b/>
          <w:sz w:val="24"/>
          <w:szCs w:val="24"/>
        </w:rPr>
      </w:pPr>
      <w:r w:rsidRPr="00AA4AD7">
        <w:rPr>
          <w:b/>
          <w:sz w:val="24"/>
          <w:szCs w:val="24"/>
        </w:rPr>
        <w:t>6.5</w:t>
      </w:r>
      <w:r w:rsidRPr="00AA4AD7">
        <w:rPr>
          <w:b/>
          <w:sz w:val="24"/>
          <w:szCs w:val="24"/>
        </w:rPr>
        <w:tab/>
        <w:t>Emballagetype og pakningsstørrelser</w:t>
      </w:r>
    </w:p>
    <w:p w14:paraId="6C48C556" w14:textId="77777777" w:rsidR="00C73700" w:rsidRPr="00AA4AD7" w:rsidRDefault="00C73700" w:rsidP="00C70C18">
      <w:pPr>
        <w:autoSpaceDE w:val="0"/>
        <w:autoSpaceDN w:val="0"/>
        <w:adjustRightInd w:val="0"/>
        <w:ind w:left="851"/>
        <w:rPr>
          <w:sz w:val="24"/>
          <w:szCs w:val="24"/>
        </w:rPr>
      </w:pPr>
      <w:r w:rsidRPr="00AA4AD7">
        <w:rPr>
          <w:bCs/>
          <w:sz w:val="24"/>
          <w:szCs w:val="24"/>
          <w:u w:val="single"/>
        </w:rPr>
        <w:t>1 ml:</w:t>
      </w:r>
      <w:r w:rsidRPr="00AA4AD7">
        <w:rPr>
          <w:sz w:val="24"/>
          <w:szCs w:val="24"/>
        </w:rPr>
        <w:t xml:space="preserve"> 2 ml klart hætteglas af type I med en </w:t>
      </w:r>
      <w:proofErr w:type="spellStart"/>
      <w:r w:rsidRPr="00AA4AD7">
        <w:rPr>
          <w:sz w:val="24"/>
          <w:szCs w:val="24"/>
        </w:rPr>
        <w:t>chlorbutylgummiprop</w:t>
      </w:r>
      <w:proofErr w:type="spellEnd"/>
      <w:r w:rsidRPr="00AA4AD7">
        <w:rPr>
          <w:sz w:val="24"/>
          <w:szCs w:val="24"/>
        </w:rPr>
        <w:t xml:space="preserve"> og blå aluminiums-</w:t>
      </w:r>
      <w:proofErr w:type="spellStart"/>
      <w:r w:rsidRPr="00AA4AD7">
        <w:rPr>
          <w:sz w:val="24"/>
          <w:szCs w:val="24"/>
        </w:rPr>
        <w:t>flipoff</w:t>
      </w:r>
      <w:proofErr w:type="spellEnd"/>
      <w:r w:rsidRPr="00AA4AD7">
        <w:rPr>
          <w:sz w:val="24"/>
          <w:szCs w:val="24"/>
        </w:rPr>
        <w:t xml:space="preserve">-forsegling. </w:t>
      </w:r>
    </w:p>
    <w:p w14:paraId="75C7A164" w14:textId="77777777" w:rsidR="00C657C7" w:rsidRDefault="00C657C7" w:rsidP="00C70C18">
      <w:pPr>
        <w:autoSpaceDE w:val="0"/>
        <w:autoSpaceDN w:val="0"/>
        <w:adjustRightInd w:val="0"/>
        <w:ind w:left="851"/>
        <w:rPr>
          <w:bCs/>
          <w:sz w:val="24"/>
          <w:szCs w:val="24"/>
          <w:u w:val="single"/>
        </w:rPr>
      </w:pPr>
    </w:p>
    <w:p w14:paraId="3EC756B3" w14:textId="3D36AE40" w:rsidR="00C73700" w:rsidRPr="00AA4AD7" w:rsidRDefault="00C73700" w:rsidP="00C70C18">
      <w:pPr>
        <w:autoSpaceDE w:val="0"/>
        <w:autoSpaceDN w:val="0"/>
        <w:adjustRightInd w:val="0"/>
        <w:ind w:left="851"/>
        <w:rPr>
          <w:sz w:val="24"/>
          <w:szCs w:val="24"/>
        </w:rPr>
      </w:pPr>
      <w:r w:rsidRPr="00AA4AD7">
        <w:rPr>
          <w:bCs/>
          <w:sz w:val="24"/>
          <w:szCs w:val="24"/>
          <w:u w:val="single"/>
        </w:rPr>
        <w:t>2 ml:</w:t>
      </w:r>
      <w:r w:rsidRPr="00AA4AD7">
        <w:rPr>
          <w:sz w:val="24"/>
          <w:szCs w:val="24"/>
        </w:rPr>
        <w:t xml:space="preserve"> 2 ml klart hætteglas af type I med en </w:t>
      </w:r>
      <w:proofErr w:type="spellStart"/>
      <w:r w:rsidRPr="00AA4AD7">
        <w:rPr>
          <w:sz w:val="24"/>
          <w:szCs w:val="24"/>
        </w:rPr>
        <w:t>chlorbutylgummiprop</w:t>
      </w:r>
      <w:proofErr w:type="spellEnd"/>
      <w:r w:rsidRPr="00AA4AD7">
        <w:rPr>
          <w:sz w:val="24"/>
          <w:szCs w:val="24"/>
        </w:rPr>
        <w:t xml:space="preserve"> og lyseblå aluminiums-</w:t>
      </w:r>
      <w:proofErr w:type="spellStart"/>
      <w:r w:rsidRPr="00AA4AD7">
        <w:rPr>
          <w:sz w:val="24"/>
          <w:szCs w:val="24"/>
        </w:rPr>
        <w:t>flipoff</w:t>
      </w:r>
      <w:proofErr w:type="spellEnd"/>
      <w:r w:rsidRPr="00AA4AD7">
        <w:rPr>
          <w:sz w:val="24"/>
          <w:szCs w:val="24"/>
        </w:rPr>
        <w:t>-forsegling.</w:t>
      </w:r>
    </w:p>
    <w:p w14:paraId="16344965" w14:textId="77777777" w:rsidR="00C657C7" w:rsidRDefault="00C657C7" w:rsidP="00C70C18">
      <w:pPr>
        <w:autoSpaceDE w:val="0"/>
        <w:autoSpaceDN w:val="0"/>
        <w:adjustRightInd w:val="0"/>
        <w:ind w:left="851"/>
        <w:rPr>
          <w:bCs/>
          <w:sz w:val="24"/>
          <w:szCs w:val="24"/>
          <w:u w:val="single"/>
        </w:rPr>
      </w:pPr>
    </w:p>
    <w:p w14:paraId="0055DE95" w14:textId="068778DC" w:rsidR="00C73700" w:rsidRPr="00AA4AD7" w:rsidRDefault="00C73700" w:rsidP="00C70C18">
      <w:pPr>
        <w:autoSpaceDE w:val="0"/>
        <w:autoSpaceDN w:val="0"/>
        <w:adjustRightInd w:val="0"/>
        <w:ind w:left="851"/>
        <w:rPr>
          <w:sz w:val="24"/>
          <w:szCs w:val="24"/>
        </w:rPr>
      </w:pPr>
      <w:r w:rsidRPr="00AA4AD7">
        <w:rPr>
          <w:bCs/>
          <w:sz w:val="24"/>
          <w:szCs w:val="24"/>
          <w:u w:val="single"/>
        </w:rPr>
        <w:t>5 ml:</w:t>
      </w:r>
      <w:r w:rsidRPr="00AA4AD7">
        <w:rPr>
          <w:sz w:val="24"/>
          <w:szCs w:val="24"/>
        </w:rPr>
        <w:t xml:space="preserve"> 6 ml klart hætteglas af type I med en </w:t>
      </w:r>
      <w:proofErr w:type="spellStart"/>
      <w:r w:rsidRPr="00AA4AD7">
        <w:rPr>
          <w:sz w:val="24"/>
          <w:szCs w:val="24"/>
        </w:rPr>
        <w:t>chlorbutylgummiprop</w:t>
      </w:r>
      <w:proofErr w:type="spellEnd"/>
      <w:r w:rsidRPr="00AA4AD7">
        <w:rPr>
          <w:sz w:val="24"/>
          <w:szCs w:val="24"/>
        </w:rPr>
        <w:t xml:space="preserve"> og lyseblå aluminiums-</w:t>
      </w:r>
      <w:proofErr w:type="spellStart"/>
      <w:r w:rsidRPr="00AA4AD7">
        <w:rPr>
          <w:sz w:val="24"/>
          <w:szCs w:val="24"/>
        </w:rPr>
        <w:t>flipoff</w:t>
      </w:r>
      <w:proofErr w:type="spellEnd"/>
      <w:r w:rsidRPr="00AA4AD7">
        <w:rPr>
          <w:sz w:val="24"/>
          <w:szCs w:val="24"/>
        </w:rPr>
        <w:t>-forsegling.</w:t>
      </w:r>
    </w:p>
    <w:p w14:paraId="439DE13F" w14:textId="77777777" w:rsidR="00AA4AD7" w:rsidRPr="00AA4AD7" w:rsidRDefault="00AA4AD7" w:rsidP="00C70C18">
      <w:pPr>
        <w:autoSpaceDE w:val="0"/>
        <w:autoSpaceDN w:val="0"/>
        <w:adjustRightInd w:val="0"/>
        <w:ind w:left="851"/>
        <w:rPr>
          <w:sz w:val="24"/>
          <w:szCs w:val="24"/>
        </w:rPr>
      </w:pPr>
    </w:p>
    <w:p w14:paraId="7436051C" w14:textId="14C0CDA5" w:rsidR="00C73700" w:rsidRPr="00AA4AD7" w:rsidRDefault="00C73700" w:rsidP="00C70C18">
      <w:pPr>
        <w:autoSpaceDE w:val="0"/>
        <w:autoSpaceDN w:val="0"/>
        <w:adjustRightInd w:val="0"/>
        <w:ind w:left="851"/>
        <w:rPr>
          <w:sz w:val="24"/>
          <w:szCs w:val="24"/>
        </w:rPr>
      </w:pPr>
      <w:r w:rsidRPr="00AA4AD7">
        <w:rPr>
          <w:sz w:val="24"/>
          <w:szCs w:val="24"/>
        </w:rPr>
        <w:t xml:space="preserve">Pakning med 1, 3, 5, 10, 20, 25, 50, 100 og 150 hætteglas. </w:t>
      </w:r>
    </w:p>
    <w:p w14:paraId="576EEF24" w14:textId="77777777" w:rsidR="00C73700" w:rsidRPr="00AA4AD7" w:rsidRDefault="00C73700" w:rsidP="00C70C18">
      <w:pPr>
        <w:autoSpaceDE w:val="0"/>
        <w:autoSpaceDN w:val="0"/>
        <w:adjustRightInd w:val="0"/>
        <w:ind w:left="851"/>
        <w:rPr>
          <w:sz w:val="24"/>
          <w:szCs w:val="24"/>
          <w:lang w:val="sv-SE"/>
        </w:rPr>
      </w:pPr>
    </w:p>
    <w:p w14:paraId="55D92E8A" w14:textId="77777777" w:rsidR="00C73700" w:rsidRPr="00AA4AD7" w:rsidRDefault="00C73700" w:rsidP="00C70C18">
      <w:pPr>
        <w:autoSpaceDE w:val="0"/>
        <w:autoSpaceDN w:val="0"/>
        <w:adjustRightInd w:val="0"/>
        <w:ind w:left="851"/>
        <w:rPr>
          <w:sz w:val="24"/>
          <w:szCs w:val="24"/>
        </w:rPr>
      </w:pPr>
      <w:r w:rsidRPr="00AA4AD7">
        <w:rPr>
          <w:sz w:val="24"/>
          <w:szCs w:val="24"/>
        </w:rPr>
        <w:t>Ikke alle pakningsstørrelser er nødvendigvis markedsført.</w:t>
      </w:r>
    </w:p>
    <w:p w14:paraId="1217A7FA" w14:textId="77777777" w:rsidR="009260DE" w:rsidRPr="00AA4AD7" w:rsidRDefault="009260DE" w:rsidP="009260DE">
      <w:pPr>
        <w:tabs>
          <w:tab w:val="left" w:pos="851"/>
        </w:tabs>
        <w:ind w:left="851"/>
        <w:rPr>
          <w:sz w:val="24"/>
          <w:szCs w:val="24"/>
        </w:rPr>
      </w:pPr>
    </w:p>
    <w:p w14:paraId="3093D778" w14:textId="77777777" w:rsidR="009260DE" w:rsidRPr="00AA4AD7" w:rsidRDefault="009260DE" w:rsidP="009260DE">
      <w:pPr>
        <w:tabs>
          <w:tab w:val="left" w:pos="851"/>
        </w:tabs>
        <w:ind w:left="851" w:hanging="851"/>
        <w:rPr>
          <w:b/>
          <w:sz w:val="24"/>
          <w:szCs w:val="24"/>
        </w:rPr>
      </w:pPr>
      <w:r w:rsidRPr="00AA4AD7">
        <w:rPr>
          <w:b/>
          <w:sz w:val="24"/>
          <w:szCs w:val="24"/>
        </w:rPr>
        <w:t>6.6</w:t>
      </w:r>
      <w:r w:rsidRPr="00AA4AD7">
        <w:rPr>
          <w:b/>
          <w:sz w:val="24"/>
          <w:szCs w:val="24"/>
        </w:rPr>
        <w:tab/>
        <w:t xml:space="preserve">Regler for </w:t>
      </w:r>
      <w:r w:rsidR="00BD7931" w:rsidRPr="00AA4AD7">
        <w:rPr>
          <w:b/>
          <w:sz w:val="24"/>
          <w:szCs w:val="24"/>
        </w:rPr>
        <w:t>bortskaffelse</w:t>
      </w:r>
      <w:r w:rsidRPr="00AA4AD7">
        <w:rPr>
          <w:b/>
          <w:sz w:val="24"/>
          <w:szCs w:val="24"/>
        </w:rPr>
        <w:t xml:space="preserve"> og anden håndtering</w:t>
      </w:r>
    </w:p>
    <w:p w14:paraId="07124F38" w14:textId="186B2799" w:rsidR="00C73700" w:rsidRPr="00AA4AD7" w:rsidRDefault="00C73700" w:rsidP="00C70C18">
      <w:pPr>
        <w:autoSpaceDE w:val="0"/>
        <w:autoSpaceDN w:val="0"/>
        <w:adjustRightInd w:val="0"/>
        <w:ind w:left="851"/>
        <w:rPr>
          <w:sz w:val="24"/>
          <w:szCs w:val="24"/>
        </w:rPr>
      </w:pPr>
      <w:r w:rsidRPr="00AA4AD7">
        <w:rPr>
          <w:sz w:val="24"/>
          <w:szCs w:val="24"/>
        </w:rPr>
        <w:t xml:space="preserve">Når </w:t>
      </w:r>
      <w:proofErr w:type="spellStart"/>
      <w:r w:rsidRPr="00AA4AD7">
        <w:rPr>
          <w:sz w:val="24"/>
          <w:szCs w:val="24"/>
        </w:rPr>
        <w:t>Dexamethasone</w:t>
      </w:r>
      <w:proofErr w:type="spellEnd"/>
      <w:r w:rsidRPr="00AA4AD7">
        <w:rPr>
          <w:sz w:val="24"/>
          <w:szCs w:val="24"/>
        </w:rPr>
        <w:t xml:space="preserve"> </w:t>
      </w:r>
      <w:proofErr w:type="spellStart"/>
      <w:r w:rsidRPr="00AA4AD7">
        <w:rPr>
          <w:sz w:val="24"/>
          <w:szCs w:val="24"/>
        </w:rPr>
        <w:t>phosphate</w:t>
      </w:r>
      <w:proofErr w:type="spellEnd"/>
      <w:r w:rsidRPr="00AA4AD7">
        <w:rPr>
          <w:sz w:val="24"/>
          <w:szCs w:val="24"/>
        </w:rPr>
        <w:t xml:space="preserve"> </w:t>
      </w:r>
      <w:r w:rsidR="009816BE">
        <w:rPr>
          <w:sz w:val="24"/>
          <w:szCs w:val="24"/>
        </w:rPr>
        <w:t>"</w:t>
      </w:r>
      <w:proofErr w:type="spellStart"/>
      <w:r w:rsidR="009816BE">
        <w:rPr>
          <w:sz w:val="24"/>
          <w:szCs w:val="24"/>
        </w:rPr>
        <w:t>Accord</w:t>
      </w:r>
      <w:proofErr w:type="spellEnd"/>
      <w:r w:rsidR="009816BE">
        <w:rPr>
          <w:sz w:val="24"/>
          <w:szCs w:val="24"/>
        </w:rPr>
        <w:t>"</w:t>
      </w:r>
      <w:r w:rsidRPr="00AA4AD7">
        <w:rPr>
          <w:sz w:val="24"/>
          <w:szCs w:val="24"/>
        </w:rPr>
        <w:t xml:space="preserve"> gives som intravenøs infusion, anbefales det at brug glukose 50 mg/ml (5 %), </w:t>
      </w:r>
      <w:proofErr w:type="spellStart"/>
      <w:r w:rsidRPr="00AA4AD7">
        <w:rPr>
          <w:sz w:val="24"/>
          <w:szCs w:val="24"/>
        </w:rPr>
        <w:t>natriumchlorid</w:t>
      </w:r>
      <w:proofErr w:type="spellEnd"/>
      <w:r w:rsidRPr="00AA4AD7">
        <w:rPr>
          <w:sz w:val="24"/>
          <w:szCs w:val="24"/>
        </w:rPr>
        <w:t xml:space="preserve"> 9 mg/ml (0,9 %) og Ringers opløsning som </w:t>
      </w:r>
      <w:r w:rsidRPr="00AA4AD7">
        <w:rPr>
          <w:sz w:val="24"/>
          <w:szCs w:val="24"/>
        </w:rPr>
        <w:lastRenderedPageBreak/>
        <w:t xml:space="preserve">fortyndingsmidler. Den nøjagtige koncentration af </w:t>
      </w:r>
      <w:proofErr w:type="spellStart"/>
      <w:r w:rsidRPr="00AA4AD7">
        <w:rPr>
          <w:sz w:val="24"/>
          <w:szCs w:val="24"/>
        </w:rPr>
        <w:t>dexametason</w:t>
      </w:r>
      <w:proofErr w:type="spellEnd"/>
      <w:r w:rsidRPr="00AA4AD7">
        <w:rPr>
          <w:sz w:val="24"/>
          <w:szCs w:val="24"/>
        </w:rPr>
        <w:t xml:space="preserve"> pr. infusionsbeholder skal bestemmes af den ønskede dosis, patientens væskeindtag og den nødvendige drophastighed.</w:t>
      </w:r>
    </w:p>
    <w:p w14:paraId="6475C845" w14:textId="77777777" w:rsidR="00C73700" w:rsidRPr="00AA4AD7" w:rsidRDefault="00C73700" w:rsidP="00C70C18">
      <w:pPr>
        <w:autoSpaceDE w:val="0"/>
        <w:autoSpaceDN w:val="0"/>
        <w:adjustRightInd w:val="0"/>
        <w:ind w:left="851"/>
        <w:rPr>
          <w:sz w:val="24"/>
          <w:szCs w:val="24"/>
          <w:lang w:val="sv-SE"/>
        </w:rPr>
      </w:pPr>
    </w:p>
    <w:p w14:paraId="1590F05C" w14:textId="2109F62D" w:rsidR="00C73700" w:rsidRPr="00AA4AD7" w:rsidRDefault="00C73700" w:rsidP="00C70C18">
      <w:pPr>
        <w:autoSpaceDE w:val="0"/>
        <w:autoSpaceDN w:val="0"/>
        <w:adjustRightInd w:val="0"/>
        <w:ind w:left="851"/>
        <w:rPr>
          <w:sz w:val="24"/>
          <w:szCs w:val="24"/>
        </w:rPr>
      </w:pPr>
      <w:r w:rsidRPr="00AA4AD7">
        <w:rPr>
          <w:sz w:val="24"/>
          <w:szCs w:val="24"/>
        </w:rPr>
        <w:t xml:space="preserve">Ved palliativ pleje kan </w:t>
      </w:r>
      <w:proofErr w:type="spellStart"/>
      <w:r w:rsidRPr="00AA4AD7">
        <w:rPr>
          <w:sz w:val="24"/>
          <w:szCs w:val="24"/>
        </w:rPr>
        <w:t>Dexamethasone</w:t>
      </w:r>
      <w:proofErr w:type="spellEnd"/>
      <w:r w:rsidRPr="00AA4AD7">
        <w:rPr>
          <w:sz w:val="24"/>
          <w:szCs w:val="24"/>
        </w:rPr>
        <w:t xml:space="preserve"> </w:t>
      </w:r>
      <w:proofErr w:type="spellStart"/>
      <w:r w:rsidRPr="00AA4AD7">
        <w:rPr>
          <w:sz w:val="24"/>
          <w:szCs w:val="24"/>
        </w:rPr>
        <w:t>phosphate</w:t>
      </w:r>
      <w:proofErr w:type="spellEnd"/>
      <w:r w:rsidRPr="00AA4AD7">
        <w:rPr>
          <w:sz w:val="24"/>
          <w:szCs w:val="24"/>
        </w:rPr>
        <w:t xml:space="preserve"> </w:t>
      </w:r>
      <w:r w:rsidR="009816BE">
        <w:rPr>
          <w:sz w:val="24"/>
          <w:szCs w:val="24"/>
        </w:rPr>
        <w:t>"</w:t>
      </w:r>
      <w:proofErr w:type="spellStart"/>
      <w:r w:rsidR="009816BE">
        <w:rPr>
          <w:sz w:val="24"/>
          <w:szCs w:val="24"/>
        </w:rPr>
        <w:t>Accord</w:t>
      </w:r>
      <w:proofErr w:type="spellEnd"/>
      <w:r w:rsidR="009816BE">
        <w:rPr>
          <w:sz w:val="24"/>
          <w:szCs w:val="24"/>
        </w:rPr>
        <w:t>"</w:t>
      </w:r>
      <w:r w:rsidRPr="00AA4AD7">
        <w:rPr>
          <w:sz w:val="24"/>
          <w:szCs w:val="24"/>
        </w:rPr>
        <w:t xml:space="preserve"> fortyndes med </w:t>
      </w:r>
      <w:proofErr w:type="spellStart"/>
      <w:r w:rsidRPr="00AA4AD7">
        <w:rPr>
          <w:sz w:val="24"/>
          <w:szCs w:val="24"/>
        </w:rPr>
        <w:t>natriumchlorid</w:t>
      </w:r>
      <w:proofErr w:type="spellEnd"/>
      <w:r w:rsidRPr="00AA4AD7">
        <w:rPr>
          <w:sz w:val="24"/>
          <w:szCs w:val="24"/>
        </w:rPr>
        <w:t xml:space="preserve"> og gives som kontinuerlig subkutan infusion.</w:t>
      </w:r>
    </w:p>
    <w:p w14:paraId="7461C579" w14:textId="77777777" w:rsidR="00C73700" w:rsidRPr="00AA4AD7" w:rsidRDefault="00C73700" w:rsidP="00C70C18">
      <w:pPr>
        <w:autoSpaceDE w:val="0"/>
        <w:autoSpaceDN w:val="0"/>
        <w:adjustRightInd w:val="0"/>
        <w:ind w:left="851"/>
        <w:rPr>
          <w:sz w:val="24"/>
          <w:szCs w:val="24"/>
        </w:rPr>
      </w:pPr>
      <w:r w:rsidRPr="00AA4AD7">
        <w:rPr>
          <w:sz w:val="24"/>
          <w:szCs w:val="24"/>
        </w:rPr>
        <w:t>Opløsningen skal kontrolleres visuelt før brug. Oplysningen må kun anvendes, hvis den er klar og fri for partikler.</w:t>
      </w:r>
    </w:p>
    <w:p w14:paraId="65E19ACE" w14:textId="77777777" w:rsidR="00C73700" w:rsidRPr="00AA4AD7" w:rsidRDefault="00C73700" w:rsidP="00C70C18">
      <w:pPr>
        <w:autoSpaceDE w:val="0"/>
        <w:autoSpaceDN w:val="0"/>
        <w:adjustRightInd w:val="0"/>
        <w:ind w:left="851"/>
        <w:rPr>
          <w:sz w:val="24"/>
          <w:szCs w:val="24"/>
          <w:lang w:val="sv-SE"/>
        </w:rPr>
      </w:pPr>
    </w:p>
    <w:p w14:paraId="1AFCC7C0" w14:textId="77777777" w:rsidR="00C73700" w:rsidRPr="00AA4AD7" w:rsidRDefault="00C73700" w:rsidP="00C70C18">
      <w:pPr>
        <w:autoSpaceDE w:val="0"/>
        <w:autoSpaceDN w:val="0"/>
        <w:adjustRightInd w:val="0"/>
        <w:ind w:left="851"/>
        <w:rPr>
          <w:sz w:val="24"/>
          <w:szCs w:val="24"/>
        </w:rPr>
      </w:pPr>
      <w:r w:rsidRPr="00AA4AD7">
        <w:rPr>
          <w:sz w:val="24"/>
          <w:szCs w:val="24"/>
        </w:rPr>
        <w:t>Kun til engangsbrug.</w:t>
      </w:r>
    </w:p>
    <w:p w14:paraId="6E87CE57" w14:textId="77777777" w:rsidR="00C73700" w:rsidRPr="00AA4AD7" w:rsidRDefault="00C73700" w:rsidP="00C70C18">
      <w:pPr>
        <w:pStyle w:val="Default"/>
        <w:ind w:left="851" w:hanging="9"/>
      </w:pPr>
    </w:p>
    <w:p w14:paraId="6B03C548" w14:textId="77777777" w:rsidR="00C73700" w:rsidRPr="00AA4AD7" w:rsidRDefault="00C73700" w:rsidP="00C70C18">
      <w:pPr>
        <w:pStyle w:val="Default"/>
        <w:ind w:left="851" w:hanging="9"/>
        <w:rPr>
          <w:color w:val="auto"/>
        </w:rPr>
      </w:pPr>
      <w:r w:rsidRPr="00AA4AD7">
        <w:t>Ikke anvendt lægemiddel samt affald heraf skal bortskaffes i henhold til lokale retningslinjer.</w:t>
      </w:r>
    </w:p>
    <w:p w14:paraId="3C0E2060" w14:textId="77777777" w:rsidR="009260DE" w:rsidRPr="00AA4AD7" w:rsidRDefault="009260DE" w:rsidP="000730CA">
      <w:pPr>
        <w:tabs>
          <w:tab w:val="left" w:pos="851"/>
        </w:tabs>
        <w:ind w:left="851"/>
        <w:rPr>
          <w:sz w:val="24"/>
          <w:szCs w:val="24"/>
        </w:rPr>
      </w:pPr>
    </w:p>
    <w:p w14:paraId="04FCDBF8" w14:textId="77777777" w:rsidR="009260DE" w:rsidRPr="00AA4AD7" w:rsidRDefault="009260DE" w:rsidP="009260DE">
      <w:pPr>
        <w:tabs>
          <w:tab w:val="left" w:pos="851"/>
        </w:tabs>
        <w:ind w:left="851" w:hanging="851"/>
        <w:rPr>
          <w:b/>
          <w:sz w:val="24"/>
          <w:szCs w:val="24"/>
        </w:rPr>
      </w:pPr>
      <w:r w:rsidRPr="00AA4AD7">
        <w:rPr>
          <w:b/>
          <w:sz w:val="24"/>
          <w:szCs w:val="24"/>
        </w:rPr>
        <w:t>7.</w:t>
      </w:r>
      <w:r w:rsidRPr="00AA4AD7">
        <w:rPr>
          <w:b/>
          <w:sz w:val="24"/>
          <w:szCs w:val="24"/>
        </w:rPr>
        <w:tab/>
        <w:t>INDEHAVER AF MARKEDSFØRINGSTILLADELSEN</w:t>
      </w:r>
    </w:p>
    <w:p w14:paraId="765B6C76" w14:textId="77777777" w:rsidR="00C73700" w:rsidRPr="00AA4AD7" w:rsidRDefault="00C73700" w:rsidP="00C70C18">
      <w:pPr>
        <w:ind w:left="851" w:right="566"/>
        <w:rPr>
          <w:color w:val="000000"/>
          <w:sz w:val="24"/>
          <w:szCs w:val="24"/>
        </w:rPr>
      </w:pPr>
      <w:proofErr w:type="spellStart"/>
      <w:r w:rsidRPr="00AA4AD7">
        <w:rPr>
          <w:color w:val="000000"/>
          <w:sz w:val="24"/>
          <w:szCs w:val="24"/>
        </w:rPr>
        <w:t>Accord</w:t>
      </w:r>
      <w:proofErr w:type="spellEnd"/>
      <w:r w:rsidRPr="00AA4AD7">
        <w:rPr>
          <w:color w:val="000000"/>
          <w:sz w:val="24"/>
          <w:szCs w:val="24"/>
        </w:rPr>
        <w:t xml:space="preserve"> Healthcare B.V. </w:t>
      </w:r>
    </w:p>
    <w:p w14:paraId="2C5CD258" w14:textId="77777777" w:rsidR="00C73700" w:rsidRPr="00AA4AD7" w:rsidRDefault="00C73700" w:rsidP="00C70C18">
      <w:pPr>
        <w:ind w:left="851"/>
        <w:rPr>
          <w:sz w:val="24"/>
          <w:szCs w:val="24"/>
        </w:rPr>
      </w:pPr>
      <w:proofErr w:type="spellStart"/>
      <w:r w:rsidRPr="00AA4AD7">
        <w:rPr>
          <w:sz w:val="24"/>
          <w:szCs w:val="24"/>
        </w:rPr>
        <w:t>Winthontlaan</w:t>
      </w:r>
      <w:proofErr w:type="spellEnd"/>
      <w:r w:rsidRPr="00AA4AD7">
        <w:rPr>
          <w:sz w:val="24"/>
          <w:szCs w:val="24"/>
        </w:rPr>
        <w:t xml:space="preserve"> 200</w:t>
      </w:r>
    </w:p>
    <w:p w14:paraId="7FFE4DF6" w14:textId="77777777" w:rsidR="00C73700" w:rsidRPr="00AA4AD7" w:rsidRDefault="00C73700" w:rsidP="00C70C18">
      <w:pPr>
        <w:ind w:left="851"/>
        <w:rPr>
          <w:sz w:val="24"/>
          <w:szCs w:val="24"/>
          <w:lang w:val="sv-SE"/>
        </w:rPr>
      </w:pPr>
      <w:r w:rsidRPr="00AA4AD7">
        <w:rPr>
          <w:sz w:val="24"/>
          <w:szCs w:val="24"/>
          <w:lang w:val="sv-SE"/>
        </w:rPr>
        <w:t>3526 KV Utrecht</w:t>
      </w:r>
    </w:p>
    <w:p w14:paraId="5A01C7F5" w14:textId="77777777" w:rsidR="00C73700" w:rsidRPr="00AA4AD7" w:rsidRDefault="00C73700" w:rsidP="00C70C18">
      <w:pPr>
        <w:ind w:left="851" w:right="566"/>
        <w:rPr>
          <w:color w:val="000000"/>
          <w:sz w:val="24"/>
          <w:szCs w:val="24"/>
        </w:rPr>
      </w:pPr>
      <w:r w:rsidRPr="00AA4AD7">
        <w:rPr>
          <w:sz w:val="24"/>
          <w:szCs w:val="24"/>
          <w:lang w:val="sv-SE"/>
        </w:rPr>
        <w:t>Holland</w:t>
      </w:r>
    </w:p>
    <w:p w14:paraId="43347B40" w14:textId="77777777" w:rsidR="00641C65" w:rsidRPr="00AA4AD7" w:rsidRDefault="00641C65" w:rsidP="009260DE">
      <w:pPr>
        <w:tabs>
          <w:tab w:val="left" w:pos="851"/>
        </w:tabs>
        <w:ind w:left="851"/>
        <w:rPr>
          <w:sz w:val="24"/>
          <w:szCs w:val="24"/>
        </w:rPr>
      </w:pPr>
    </w:p>
    <w:p w14:paraId="4F6914C6" w14:textId="77777777" w:rsidR="009260DE" w:rsidRPr="00AA4AD7" w:rsidRDefault="009260DE" w:rsidP="009260DE">
      <w:pPr>
        <w:tabs>
          <w:tab w:val="left" w:pos="851"/>
        </w:tabs>
        <w:ind w:left="851" w:hanging="851"/>
        <w:rPr>
          <w:b/>
          <w:sz w:val="24"/>
          <w:szCs w:val="24"/>
        </w:rPr>
      </w:pPr>
      <w:r w:rsidRPr="00AA4AD7">
        <w:rPr>
          <w:b/>
          <w:sz w:val="24"/>
          <w:szCs w:val="24"/>
        </w:rPr>
        <w:t>8.</w:t>
      </w:r>
      <w:r w:rsidRPr="00AA4AD7">
        <w:rPr>
          <w:b/>
          <w:sz w:val="24"/>
          <w:szCs w:val="24"/>
        </w:rPr>
        <w:tab/>
        <w:t>MARKEDSFØRINGSTILLADELSESNUMMER (</w:t>
      </w:r>
      <w:r w:rsidR="00BF6243" w:rsidRPr="00AA4AD7">
        <w:rPr>
          <w:b/>
          <w:sz w:val="24"/>
          <w:szCs w:val="24"/>
        </w:rPr>
        <w:t>-</w:t>
      </w:r>
      <w:r w:rsidRPr="00AA4AD7">
        <w:rPr>
          <w:b/>
          <w:sz w:val="24"/>
          <w:szCs w:val="24"/>
        </w:rPr>
        <w:t>NUMRE)</w:t>
      </w:r>
    </w:p>
    <w:p w14:paraId="0D4ED78F" w14:textId="05633E63" w:rsidR="009260DE" w:rsidRPr="00AA4AD7" w:rsidRDefault="00C73700" w:rsidP="009260DE">
      <w:pPr>
        <w:tabs>
          <w:tab w:val="left" w:pos="851"/>
        </w:tabs>
        <w:ind w:left="851"/>
        <w:rPr>
          <w:sz w:val="24"/>
          <w:szCs w:val="24"/>
        </w:rPr>
      </w:pPr>
      <w:r w:rsidRPr="00AA4AD7">
        <w:rPr>
          <w:sz w:val="24"/>
          <w:szCs w:val="24"/>
        </w:rPr>
        <w:t>67615</w:t>
      </w:r>
    </w:p>
    <w:p w14:paraId="24B04472" w14:textId="77777777" w:rsidR="009260DE" w:rsidRPr="00AA4AD7" w:rsidRDefault="009260DE" w:rsidP="009260DE">
      <w:pPr>
        <w:tabs>
          <w:tab w:val="left" w:pos="851"/>
        </w:tabs>
        <w:ind w:left="851"/>
        <w:jc w:val="both"/>
        <w:rPr>
          <w:sz w:val="24"/>
          <w:szCs w:val="24"/>
        </w:rPr>
      </w:pPr>
    </w:p>
    <w:p w14:paraId="193E856F" w14:textId="77777777" w:rsidR="009260DE" w:rsidRPr="00AA4AD7" w:rsidRDefault="009260DE" w:rsidP="009260DE">
      <w:pPr>
        <w:tabs>
          <w:tab w:val="left" w:pos="851"/>
        </w:tabs>
        <w:ind w:left="851" w:hanging="851"/>
        <w:rPr>
          <w:b/>
          <w:sz w:val="24"/>
          <w:szCs w:val="24"/>
        </w:rPr>
      </w:pPr>
      <w:r w:rsidRPr="00AA4AD7">
        <w:rPr>
          <w:b/>
          <w:sz w:val="24"/>
          <w:szCs w:val="24"/>
        </w:rPr>
        <w:t>9.</w:t>
      </w:r>
      <w:r w:rsidRPr="00AA4AD7">
        <w:rPr>
          <w:b/>
          <w:sz w:val="24"/>
          <w:szCs w:val="24"/>
        </w:rPr>
        <w:tab/>
        <w:t>DATO FOR FØRSTE MARKEDSFØRINGSTILLADELSE</w:t>
      </w:r>
    </w:p>
    <w:p w14:paraId="0E91B9C3" w14:textId="518D0FFD" w:rsidR="009260DE" w:rsidRPr="00AA4AD7" w:rsidRDefault="00C657C7" w:rsidP="009260DE">
      <w:pPr>
        <w:tabs>
          <w:tab w:val="left" w:pos="851"/>
        </w:tabs>
        <w:ind w:left="851"/>
        <w:rPr>
          <w:sz w:val="24"/>
          <w:szCs w:val="24"/>
        </w:rPr>
      </w:pPr>
      <w:r>
        <w:rPr>
          <w:sz w:val="24"/>
          <w:szCs w:val="24"/>
        </w:rPr>
        <w:t>9. januar 2025</w:t>
      </w:r>
    </w:p>
    <w:p w14:paraId="0790176E" w14:textId="77777777" w:rsidR="009260DE" w:rsidRPr="00AA4AD7" w:rsidRDefault="009260DE" w:rsidP="009260DE">
      <w:pPr>
        <w:tabs>
          <w:tab w:val="left" w:pos="851"/>
        </w:tabs>
        <w:ind w:left="851"/>
        <w:rPr>
          <w:sz w:val="24"/>
          <w:szCs w:val="24"/>
        </w:rPr>
      </w:pPr>
    </w:p>
    <w:p w14:paraId="3DDF832B" w14:textId="77777777" w:rsidR="009260DE" w:rsidRPr="00AA4AD7" w:rsidRDefault="009260DE" w:rsidP="009260DE">
      <w:pPr>
        <w:tabs>
          <w:tab w:val="left" w:pos="851"/>
        </w:tabs>
        <w:ind w:left="851" w:hanging="851"/>
        <w:rPr>
          <w:b/>
          <w:sz w:val="24"/>
          <w:szCs w:val="24"/>
        </w:rPr>
      </w:pPr>
      <w:r w:rsidRPr="00AA4AD7">
        <w:rPr>
          <w:b/>
          <w:sz w:val="24"/>
          <w:szCs w:val="24"/>
        </w:rPr>
        <w:t>10.</w:t>
      </w:r>
      <w:r w:rsidRPr="00AA4AD7">
        <w:rPr>
          <w:b/>
          <w:sz w:val="24"/>
          <w:szCs w:val="24"/>
        </w:rPr>
        <w:tab/>
        <w:t>DATO FOR ÆNDRING AF TEKSTEN</w:t>
      </w:r>
    </w:p>
    <w:p w14:paraId="42B7E8E7" w14:textId="1CAD1918" w:rsidR="009260DE" w:rsidRPr="00AA4AD7" w:rsidRDefault="00C73700" w:rsidP="009260DE">
      <w:pPr>
        <w:tabs>
          <w:tab w:val="left" w:pos="851"/>
        </w:tabs>
        <w:ind w:left="851"/>
        <w:rPr>
          <w:sz w:val="24"/>
          <w:szCs w:val="24"/>
        </w:rPr>
      </w:pPr>
      <w:r w:rsidRPr="00AA4AD7">
        <w:rPr>
          <w:sz w:val="24"/>
          <w:szCs w:val="24"/>
        </w:rPr>
        <w:t>-</w:t>
      </w:r>
    </w:p>
    <w:sectPr w:rsidR="009260DE" w:rsidRPr="00AA4AD7"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C23C9" w14:textId="77777777" w:rsidR="007224BC" w:rsidRDefault="007224BC">
      <w:r>
        <w:separator/>
      </w:r>
    </w:p>
  </w:endnote>
  <w:endnote w:type="continuationSeparator" w:id="0">
    <w:p w14:paraId="1C6280FC" w14:textId="77777777" w:rsidR="007224BC" w:rsidRDefault="0072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07C48" w14:textId="77777777" w:rsidR="007224BC" w:rsidRDefault="007224BC">
    <w:pPr>
      <w:pStyle w:val="Sidefod"/>
      <w:pBdr>
        <w:bottom w:val="single" w:sz="6" w:space="1" w:color="auto"/>
      </w:pBdr>
    </w:pPr>
  </w:p>
  <w:p w14:paraId="27CC7C72" w14:textId="77777777" w:rsidR="007224BC" w:rsidRDefault="007224BC" w:rsidP="00C42586">
    <w:pPr>
      <w:pStyle w:val="Sidefod"/>
      <w:tabs>
        <w:tab w:val="clear" w:pos="4819"/>
        <w:tab w:val="left" w:pos="8505"/>
      </w:tabs>
      <w:rPr>
        <w:i/>
        <w:sz w:val="18"/>
        <w:szCs w:val="18"/>
      </w:rPr>
    </w:pPr>
  </w:p>
  <w:p w14:paraId="6ACEF449" w14:textId="4E124305" w:rsidR="007224BC" w:rsidRPr="00B373D7" w:rsidRDefault="007224B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735800">
      <w:rPr>
        <w:i/>
        <w:noProof/>
        <w:sz w:val="18"/>
        <w:szCs w:val="18"/>
      </w:rPr>
      <w:t>Dexamethasone phosphate Accord, injektions--infusionsvæske, opløsning 4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515C3" w14:textId="77777777" w:rsidR="007224BC" w:rsidRDefault="007224BC">
      <w:r>
        <w:separator/>
      </w:r>
    </w:p>
  </w:footnote>
  <w:footnote w:type="continuationSeparator" w:id="0">
    <w:p w14:paraId="018373B4" w14:textId="77777777" w:rsidR="007224BC" w:rsidRDefault="00722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C75"/>
    <w:multiLevelType w:val="hybridMultilevel"/>
    <w:tmpl w:val="26FE22AE"/>
    <w:lvl w:ilvl="0" w:tplc="FD7878E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72B2829"/>
    <w:multiLevelType w:val="hybridMultilevel"/>
    <w:tmpl w:val="E06C204E"/>
    <w:lvl w:ilvl="0" w:tplc="FD7878E0">
      <w:start w:val="1"/>
      <w:numFmt w:val="bullet"/>
      <w:lvlText w:val=""/>
      <w:lvlJc w:val="left"/>
      <w:pPr>
        <w:ind w:left="927" w:hanging="360"/>
      </w:pPr>
      <w:rPr>
        <w:rFonts w:ascii="Symbol" w:hAnsi="Symbol" w:hint="default"/>
      </w:rPr>
    </w:lvl>
    <w:lvl w:ilvl="1" w:tplc="FFFFFFFF">
      <w:start w:val="1"/>
      <w:numFmt w:val="bullet"/>
      <w:lvlText w:val="o"/>
      <w:lvlJc w:val="left"/>
      <w:pPr>
        <w:ind w:left="1647" w:hanging="360"/>
      </w:pPr>
      <w:rPr>
        <w:rFonts w:ascii="Courier New" w:hAnsi="Courier New" w:cs="Courier New" w:hint="default"/>
      </w:rPr>
    </w:lvl>
    <w:lvl w:ilvl="2" w:tplc="FFFFFFFF">
      <w:numFmt w:val="bullet"/>
      <w:lvlText w:val="•"/>
      <w:lvlJc w:val="left"/>
      <w:pPr>
        <w:ind w:left="2367" w:hanging="360"/>
      </w:pPr>
      <w:rPr>
        <w:rFonts w:ascii="Times New Roman" w:eastAsia="Times New Roman" w:hAnsi="Times New Roman" w:cs="Times New Roman" w:hint="default"/>
      </w:rPr>
    </w:lvl>
    <w:lvl w:ilvl="3" w:tplc="FFFFFFFF">
      <w:start w:val="1"/>
      <w:numFmt w:val="bullet"/>
      <w:lvlText w:val=""/>
      <w:lvlJc w:val="left"/>
      <w:pPr>
        <w:ind w:left="3087" w:hanging="360"/>
      </w:pPr>
      <w:rPr>
        <w:rFonts w:ascii="Symbol" w:hAnsi="Symbol" w:hint="default"/>
      </w:rPr>
    </w:lvl>
    <w:lvl w:ilvl="4" w:tplc="FFFFFFFF">
      <w:start w:val="1"/>
      <w:numFmt w:val="bullet"/>
      <w:lvlText w:val="o"/>
      <w:lvlJc w:val="left"/>
      <w:pPr>
        <w:ind w:left="3807" w:hanging="360"/>
      </w:pPr>
      <w:rPr>
        <w:rFonts w:ascii="Courier New" w:hAnsi="Courier New" w:cs="Courier New" w:hint="default"/>
      </w:rPr>
    </w:lvl>
    <w:lvl w:ilvl="5" w:tplc="FFFFFFFF">
      <w:start w:val="1"/>
      <w:numFmt w:val="bullet"/>
      <w:lvlText w:val=""/>
      <w:lvlJc w:val="left"/>
      <w:pPr>
        <w:ind w:left="4527" w:hanging="360"/>
      </w:pPr>
      <w:rPr>
        <w:rFonts w:ascii="Wingdings" w:hAnsi="Wingdings" w:hint="default"/>
      </w:rPr>
    </w:lvl>
    <w:lvl w:ilvl="6" w:tplc="FFFFFFFF">
      <w:start w:val="1"/>
      <w:numFmt w:val="bullet"/>
      <w:lvlText w:val=""/>
      <w:lvlJc w:val="left"/>
      <w:pPr>
        <w:ind w:left="5247" w:hanging="360"/>
      </w:pPr>
      <w:rPr>
        <w:rFonts w:ascii="Symbol" w:hAnsi="Symbol" w:hint="default"/>
      </w:rPr>
    </w:lvl>
    <w:lvl w:ilvl="7" w:tplc="FFFFFFFF">
      <w:start w:val="1"/>
      <w:numFmt w:val="bullet"/>
      <w:lvlText w:val="o"/>
      <w:lvlJc w:val="left"/>
      <w:pPr>
        <w:ind w:left="5967" w:hanging="360"/>
      </w:pPr>
      <w:rPr>
        <w:rFonts w:ascii="Courier New" w:hAnsi="Courier New" w:cs="Courier New" w:hint="default"/>
      </w:rPr>
    </w:lvl>
    <w:lvl w:ilvl="8" w:tplc="FFFFFFFF">
      <w:start w:val="1"/>
      <w:numFmt w:val="bullet"/>
      <w:lvlText w:val=""/>
      <w:lvlJc w:val="left"/>
      <w:pPr>
        <w:ind w:left="6687" w:hanging="360"/>
      </w:pPr>
      <w:rPr>
        <w:rFonts w:ascii="Wingdings" w:hAnsi="Wingdings" w:hint="default"/>
      </w:rPr>
    </w:lvl>
  </w:abstractNum>
  <w:abstractNum w:abstractNumId="2" w15:restartNumberingAfterBreak="0">
    <w:nsid w:val="0EFC0426"/>
    <w:multiLevelType w:val="hybridMultilevel"/>
    <w:tmpl w:val="D4B6D644"/>
    <w:lvl w:ilvl="0" w:tplc="FD7878E0">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485A2AFA">
      <w:numFmt w:val="bullet"/>
      <w:lvlText w:val="•"/>
      <w:lvlJc w:val="left"/>
      <w:pPr>
        <w:ind w:left="2367" w:hanging="360"/>
      </w:pPr>
      <w:rPr>
        <w:rFonts w:ascii="Times New Roman" w:eastAsia="Times New Roman" w:hAnsi="Times New Roman" w:cs="Times New Roman"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5695382"/>
    <w:multiLevelType w:val="hybridMultilevel"/>
    <w:tmpl w:val="0DDCF5B2"/>
    <w:lvl w:ilvl="0" w:tplc="FD7878E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07D5643"/>
    <w:multiLevelType w:val="hybridMultilevel"/>
    <w:tmpl w:val="464055C4"/>
    <w:lvl w:ilvl="0" w:tplc="FD7878E0">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78100D4"/>
    <w:multiLevelType w:val="hybridMultilevel"/>
    <w:tmpl w:val="A246F7B4"/>
    <w:lvl w:ilvl="0" w:tplc="FD7878E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10"/>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96"/>
    <w:rsid w:val="000259B9"/>
    <w:rsid w:val="00041491"/>
    <w:rsid w:val="00050D16"/>
    <w:rsid w:val="000730CA"/>
    <w:rsid w:val="00074F2A"/>
    <w:rsid w:val="000A1CA8"/>
    <w:rsid w:val="000A466B"/>
    <w:rsid w:val="000B058C"/>
    <w:rsid w:val="000D68B0"/>
    <w:rsid w:val="000E4EE6"/>
    <w:rsid w:val="001454E2"/>
    <w:rsid w:val="0016497E"/>
    <w:rsid w:val="00206CE8"/>
    <w:rsid w:val="0021526C"/>
    <w:rsid w:val="00283A2B"/>
    <w:rsid w:val="002B30AD"/>
    <w:rsid w:val="002C1EC0"/>
    <w:rsid w:val="002C2C01"/>
    <w:rsid w:val="003A29AE"/>
    <w:rsid w:val="003A32D7"/>
    <w:rsid w:val="003B4074"/>
    <w:rsid w:val="003C769A"/>
    <w:rsid w:val="003D3A90"/>
    <w:rsid w:val="003F1838"/>
    <w:rsid w:val="003F3596"/>
    <w:rsid w:val="004251C1"/>
    <w:rsid w:val="0045746C"/>
    <w:rsid w:val="0049104B"/>
    <w:rsid w:val="004E3B12"/>
    <w:rsid w:val="00532310"/>
    <w:rsid w:val="00565F0F"/>
    <w:rsid w:val="00594A86"/>
    <w:rsid w:val="00596D86"/>
    <w:rsid w:val="00637F5A"/>
    <w:rsid w:val="00641C65"/>
    <w:rsid w:val="006560B1"/>
    <w:rsid w:val="006756DD"/>
    <w:rsid w:val="0071241E"/>
    <w:rsid w:val="007224BC"/>
    <w:rsid w:val="00735800"/>
    <w:rsid w:val="00737275"/>
    <w:rsid w:val="00740EEC"/>
    <w:rsid w:val="0078011A"/>
    <w:rsid w:val="00782AF4"/>
    <w:rsid w:val="00790EE7"/>
    <w:rsid w:val="007B6649"/>
    <w:rsid w:val="0082576E"/>
    <w:rsid w:val="0089346F"/>
    <w:rsid w:val="00907F75"/>
    <w:rsid w:val="009260DE"/>
    <w:rsid w:val="0093258A"/>
    <w:rsid w:val="00947099"/>
    <w:rsid w:val="009816BE"/>
    <w:rsid w:val="009C7BA3"/>
    <w:rsid w:val="009D1F5A"/>
    <w:rsid w:val="00A10294"/>
    <w:rsid w:val="00AA4AD7"/>
    <w:rsid w:val="00AE43B7"/>
    <w:rsid w:val="00B003BF"/>
    <w:rsid w:val="00B33C3D"/>
    <w:rsid w:val="00B373D7"/>
    <w:rsid w:val="00B55271"/>
    <w:rsid w:val="00BD7931"/>
    <w:rsid w:val="00BF6243"/>
    <w:rsid w:val="00C36276"/>
    <w:rsid w:val="00C42586"/>
    <w:rsid w:val="00C45F6B"/>
    <w:rsid w:val="00C60CCD"/>
    <w:rsid w:val="00C657C7"/>
    <w:rsid w:val="00C70C18"/>
    <w:rsid w:val="00C73700"/>
    <w:rsid w:val="00C84483"/>
    <w:rsid w:val="00C95551"/>
    <w:rsid w:val="00CB1797"/>
    <w:rsid w:val="00CB20D7"/>
    <w:rsid w:val="00D020B0"/>
    <w:rsid w:val="00D06952"/>
    <w:rsid w:val="00D11748"/>
    <w:rsid w:val="00D237F6"/>
    <w:rsid w:val="00D34D98"/>
    <w:rsid w:val="00D3603F"/>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40E69"/>
  <w15:chartTrackingRefBased/>
  <w15:docId w15:val="{D444B841-46A1-4A55-A65D-27108F82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C73700"/>
    <w:pPr>
      <w:autoSpaceDE w:val="0"/>
      <w:autoSpaceDN w:val="0"/>
      <w:adjustRightInd w:val="0"/>
    </w:pPr>
    <w:rPr>
      <w:color w:val="000000"/>
      <w:sz w:val="24"/>
      <w:szCs w:val="24"/>
      <w:lang w:eastAsia="en-US"/>
    </w:rPr>
  </w:style>
  <w:style w:type="paragraph" w:styleId="Listeafsnit">
    <w:name w:val="List Paragraph"/>
    <w:basedOn w:val="Normal"/>
    <w:uiPriority w:val="34"/>
    <w:qFormat/>
    <w:rsid w:val="00C73700"/>
    <w:pPr>
      <w:tabs>
        <w:tab w:val="left" w:pos="567"/>
      </w:tabs>
      <w:spacing w:line="260" w:lineRule="exact"/>
      <w:ind w:left="720"/>
    </w:pPr>
    <w:rPr>
      <w:sz w:val="22"/>
    </w:rPr>
  </w:style>
  <w:style w:type="character" w:styleId="Hyperlink">
    <w:name w:val="Hyperlink"/>
    <w:semiHidden/>
    <w:unhideWhenUsed/>
    <w:rsid w:val="00C73700"/>
    <w:rPr>
      <w:rFonts w:ascii="Times New Roman" w:hAnsi="Times New Roman" w:cs="Times New Roman" w:hint="default"/>
      <w:color w:val="0000FF"/>
      <w:u w:val="single"/>
    </w:rPr>
  </w:style>
  <w:style w:type="table" w:styleId="Tabel-Gitter">
    <w:name w:val="Table Grid"/>
    <w:basedOn w:val="Tabel-Normal"/>
    <w:rsid w:val="00C73700"/>
    <w:rPr>
      <w:lang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4144450">
      <w:bodyDiv w:val="1"/>
      <w:marLeft w:val="0"/>
      <w:marRight w:val="0"/>
      <w:marTop w:val="0"/>
      <w:marBottom w:val="0"/>
      <w:divBdr>
        <w:top w:val="none" w:sz="0" w:space="0" w:color="auto"/>
        <w:left w:val="none" w:sz="0" w:space="0" w:color="auto"/>
        <w:bottom w:val="none" w:sz="0" w:space="0" w:color="auto"/>
        <w:right w:val="none" w:sz="0" w:space="0" w:color="auto"/>
      </w:divBdr>
    </w:div>
    <w:div w:id="292449589">
      <w:bodyDiv w:val="1"/>
      <w:marLeft w:val="0"/>
      <w:marRight w:val="0"/>
      <w:marTop w:val="0"/>
      <w:marBottom w:val="0"/>
      <w:divBdr>
        <w:top w:val="none" w:sz="0" w:space="0" w:color="auto"/>
        <w:left w:val="none" w:sz="0" w:space="0" w:color="auto"/>
        <w:bottom w:val="none" w:sz="0" w:space="0" w:color="auto"/>
        <w:right w:val="none" w:sz="0" w:space="0" w:color="auto"/>
      </w:divBdr>
    </w:div>
    <w:div w:id="504521349">
      <w:bodyDiv w:val="1"/>
      <w:marLeft w:val="0"/>
      <w:marRight w:val="0"/>
      <w:marTop w:val="0"/>
      <w:marBottom w:val="0"/>
      <w:divBdr>
        <w:top w:val="none" w:sz="0" w:space="0" w:color="auto"/>
        <w:left w:val="none" w:sz="0" w:space="0" w:color="auto"/>
        <w:bottom w:val="none" w:sz="0" w:space="0" w:color="auto"/>
        <w:right w:val="none" w:sz="0" w:space="0" w:color="auto"/>
      </w:divBdr>
    </w:div>
    <w:div w:id="528106748">
      <w:bodyDiv w:val="1"/>
      <w:marLeft w:val="0"/>
      <w:marRight w:val="0"/>
      <w:marTop w:val="0"/>
      <w:marBottom w:val="0"/>
      <w:divBdr>
        <w:top w:val="none" w:sz="0" w:space="0" w:color="auto"/>
        <w:left w:val="none" w:sz="0" w:space="0" w:color="auto"/>
        <w:bottom w:val="none" w:sz="0" w:space="0" w:color="auto"/>
        <w:right w:val="none" w:sz="0" w:space="0" w:color="auto"/>
      </w:divBdr>
    </w:div>
    <w:div w:id="622421631">
      <w:bodyDiv w:val="1"/>
      <w:marLeft w:val="0"/>
      <w:marRight w:val="0"/>
      <w:marTop w:val="0"/>
      <w:marBottom w:val="0"/>
      <w:divBdr>
        <w:top w:val="none" w:sz="0" w:space="0" w:color="auto"/>
        <w:left w:val="none" w:sz="0" w:space="0" w:color="auto"/>
        <w:bottom w:val="none" w:sz="0" w:space="0" w:color="auto"/>
        <w:right w:val="none" w:sz="0" w:space="0" w:color="auto"/>
      </w:divBdr>
    </w:div>
    <w:div w:id="732045772">
      <w:bodyDiv w:val="1"/>
      <w:marLeft w:val="0"/>
      <w:marRight w:val="0"/>
      <w:marTop w:val="0"/>
      <w:marBottom w:val="0"/>
      <w:divBdr>
        <w:top w:val="none" w:sz="0" w:space="0" w:color="auto"/>
        <w:left w:val="none" w:sz="0" w:space="0" w:color="auto"/>
        <w:bottom w:val="none" w:sz="0" w:space="0" w:color="auto"/>
        <w:right w:val="none" w:sz="0" w:space="0" w:color="auto"/>
      </w:divBdr>
    </w:div>
    <w:div w:id="851720768">
      <w:bodyDiv w:val="1"/>
      <w:marLeft w:val="0"/>
      <w:marRight w:val="0"/>
      <w:marTop w:val="0"/>
      <w:marBottom w:val="0"/>
      <w:divBdr>
        <w:top w:val="none" w:sz="0" w:space="0" w:color="auto"/>
        <w:left w:val="none" w:sz="0" w:space="0" w:color="auto"/>
        <w:bottom w:val="none" w:sz="0" w:space="0" w:color="auto"/>
        <w:right w:val="none" w:sz="0" w:space="0" w:color="auto"/>
      </w:divBdr>
    </w:div>
    <w:div w:id="929435524">
      <w:bodyDiv w:val="1"/>
      <w:marLeft w:val="0"/>
      <w:marRight w:val="0"/>
      <w:marTop w:val="0"/>
      <w:marBottom w:val="0"/>
      <w:divBdr>
        <w:top w:val="none" w:sz="0" w:space="0" w:color="auto"/>
        <w:left w:val="none" w:sz="0" w:space="0" w:color="auto"/>
        <w:bottom w:val="none" w:sz="0" w:space="0" w:color="auto"/>
        <w:right w:val="none" w:sz="0" w:space="0" w:color="auto"/>
      </w:divBdr>
    </w:div>
    <w:div w:id="929780442">
      <w:bodyDiv w:val="1"/>
      <w:marLeft w:val="0"/>
      <w:marRight w:val="0"/>
      <w:marTop w:val="0"/>
      <w:marBottom w:val="0"/>
      <w:divBdr>
        <w:top w:val="none" w:sz="0" w:space="0" w:color="auto"/>
        <w:left w:val="none" w:sz="0" w:space="0" w:color="auto"/>
        <w:bottom w:val="none" w:sz="0" w:space="0" w:color="auto"/>
        <w:right w:val="none" w:sz="0" w:space="0" w:color="auto"/>
      </w:divBdr>
    </w:div>
    <w:div w:id="1134368717">
      <w:bodyDiv w:val="1"/>
      <w:marLeft w:val="0"/>
      <w:marRight w:val="0"/>
      <w:marTop w:val="0"/>
      <w:marBottom w:val="0"/>
      <w:divBdr>
        <w:top w:val="none" w:sz="0" w:space="0" w:color="auto"/>
        <w:left w:val="none" w:sz="0" w:space="0" w:color="auto"/>
        <w:bottom w:val="none" w:sz="0" w:space="0" w:color="auto"/>
        <w:right w:val="none" w:sz="0" w:space="0" w:color="auto"/>
      </w:divBdr>
    </w:div>
    <w:div w:id="1182428132">
      <w:bodyDiv w:val="1"/>
      <w:marLeft w:val="0"/>
      <w:marRight w:val="0"/>
      <w:marTop w:val="0"/>
      <w:marBottom w:val="0"/>
      <w:divBdr>
        <w:top w:val="none" w:sz="0" w:space="0" w:color="auto"/>
        <w:left w:val="none" w:sz="0" w:space="0" w:color="auto"/>
        <w:bottom w:val="none" w:sz="0" w:space="0" w:color="auto"/>
        <w:right w:val="none" w:sz="0" w:space="0" w:color="auto"/>
      </w:divBdr>
    </w:div>
    <w:div w:id="1184635566">
      <w:bodyDiv w:val="1"/>
      <w:marLeft w:val="0"/>
      <w:marRight w:val="0"/>
      <w:marTop w:val="0"/>
      <w:marBottom w:val="0"/>
      <w:divBdr>
        <w:top w:val="none" w:sz="0" w:space="0" w:color="auto"/>
        <w:left w:val="none" w:sz="0" w:space="0" w:color="auto"/>
        <w:bottom w:val="none" w:sz="0" w:space="0" w:color="auto"/>
        <w:right w:val="none" w:sz="0" w:space="0" w:color="auto"/>
      </w:divBdr>
    </w:div>
    <w:div w:id="1234895301">
      <w:bodyDiv w:val="1"/>
      <w:marLeft w:val="0"/>
      <w:marRight w:val="0"/>
      <w:marTop w:val="0"/>
      <w:marBottom w:val="0"/>
      <w:divBdr>
        <w:top w:val="none" w:sz="0" w:space="0" w:color="auto"/>
        <w:left w:val="none" w:sz="0" w:space="0" w:color="auto"/>
        <w:bottom w:val="none" w:sz="0" w:space="0" w:color="auto"/>
        <w:right w:val="none" w:sz="0" w:space="0" w:color="auto"/>
      </w:divBdr>
    </w:div>
    <w:div w:id="1245719858">
      <w:bodyDiv w:val="1"/>
      <w:marLeft w:val="0"/>
      <w:marRight w:val="0"/>
      <w:marTop w:val="0"/>
      <w:marBottom w:val="0"/>
      <w:divBdr>
        <w:top w:val="none" w:sz="0" w:space="0" w:color="auto"/>
        <w:left w:val="none" w:sz="0" w:space="0" w:color="auto"/>
        <w:bottom w:val="none" w:sz="0" w:space="0" w:color="auto"/>
        <w:right w:val="none" w:sz="0" w:space="0" w:color="auto"/>
      </w:divBdr>
    </w:div>
    <w:div w:id="1573005310">
      <w:bodyDiv w:val="1"/>
      <w:marLeft w:val="0"/>
      <w:marRight w:val="0"/>
      <w:marTop w:val="0"/>
      <w:marBottom w:val="0"/>
      <w:divBdr>
        <w:top w:val="none" w:sz="0" w:space="0" w:color="auto"/>
        <w:left w:val="none" w:sz="0" w:space="0" w:color="auto"/>
        <w:bottom w:val="none" w:sz="0" w:space="0" w:color="auto"/>
        <w:right w:val="none" w:sz="0" w:space="0" w:color="auto"/>
      </w:divBdr>
    </w:div>
    <w:div w:id="1607074501">
      <w:bodyDiv w:val="1"/>
      <w:marLeft w:val="0"/>
      <w:marRight w:val="0"/>
      <w:marTop w:val="0"/>
      <w:marBottom w:val="0"/>
      <w:divBdr>
        <w:top w:val="none" w:sz="0" w:space="0" w:color="auto"/>
        <w:left w:val="none" w:sz="0" w:space="0" w:color="auto"/>
        <w:bottom w:val="none" w:sz="0" w:space="0" w:color="auto"/>
        <w:right w:val="none" w:sz="0" w:space="0" w:color="auto"/>
      </w:divBdr>
    </w:div>
    <w:div w:id="1627924804">
      <w:bodyDiv w:val="1"/>
      <w:marLeft w:val="0"/>
      <w:marRight w:val="0"/>
      <w:marTop w:val="0"/>
      <w:marBottom w:val="0"/>
      <w:divBdr>
        <w:top w:val="none" w:sz="0" w:space="0" w:color="auto"/>
        <w:left w:val="none" w:sz="0" w:space="0" w:color="auto"/>
        <w:bottom w:val="none" w:sz="0" w:space="0" w:color="auto"/>
        <w:right w:val="none" w:sz="0" w:space="0" w:color="auto"/>
      </w:divBdr>
    </w:div>
    <w:div w:id="1845125153">
      <w:bodyDiv w:val="1"/>
      <w:marLeft w:val="0"/>
      <w:marRight w:val="0"/>
      <w:marTop w:val="0"/>
      <w:marBottom w:val="0"/>
      <w:divBdr>
        <w:top w:val="none" w:sz="0" w:space="0" w:color="auto"/>
        <w:left w:val="none" w:sz="0" w:space="0" w:color="auto"/>
        <w:bottom w:val="none" w:sz="0" w:space="0" w:color="auto"/>
        <w:right w:val="none" w:sz="0" w:space="0" w:color="auto"/>
      </w:divBdr>
    </w:div>
    <w:div w:id="1857183550">
      <w:bodyDiv w:val="1"/>
      <w:marLeft w:val="0"/>
      <w:marRight w:val="0"/>
      <w:marTop w:val="0"/>
      <w:marBottom w:val="0"/>
      <w:divBdr>
        <w:top w:val="none" w:sz="0" w:space="0" w:color="auto"/>
        <w:left w:val="none" w:sz="0" w:space="0" w:color="auto"/>
        <w:bottom w:val="none" w:sz="0" w:space="0" w:color="auto"/>
        <w:right w:val="none" w:sz="0" w:space="0" w:color="auto"/>
      </w:divBdr>
    </w:div>
    <w:div w:id="1900818299">
      <w:bodyDiv w:val="1"/>
      <w:marLeft w:val="0"/>
      <w:marRight w:val="0"/>
      <w:marTop w:val="0"/>
      <w:marBottom w:val="0"/>
      <w:divBdr>
        <w:top w:val="none" w:sz="0" w:space="0" w:color="auto"/>
        <w:left w:val="none" w:sz="0" w:space="0" w:color="auto"/>
        <w:bottom w:val="none" w:sz="0" w:space="0" w:color="auto"/>
        <w:right w:val="none" w:sz="0" w:space="0" w:color="auto"/>
      </w:divBdr>
    </w:div>
    <w:div w:id="1907297398">
      <w:bodyDiv w:val="1"/>
      <w:marLeft w:val="0"/>
      <w:marRight w:val="0"/>
      <w:marTop w:val="0"/>
      <w:marBottom w:val="0"/>
      <w:divBdr>
        <w:top w:val="none" w:sz="0" w:space="0" w:color="auto"/>
        <w:left w:val="none" w:sz="0" w:space="0" w:color="auto"/>
        <w:bottom w:val="none" w:sz="0" w:space="0" w:color="auto"/>
        <w:right w:val="none" w:sz="0" w:space="0" w:color="auto"/>
      </w:divBdr>
    </w:div>
    <w:div w:id="207207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123</TotalTime>
  <Pages>19</Pages>
  <Words>5212</Words>
  <Characters>35605</Characters>
  <Application>Microsoft Office Word</Application>
  <DocSecurity>0</DocSecurity>
  <Lines>296</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2022034523, MT</dc:description>
  <cp:lastModifiedBy>Gitte Jørgensen</cp:lastModifiedBy>
  <cp:revision>13</cp:revision>
  <cp:lastPrinted>2012-08-22T08:53:00Z</cp:lastPrinted>
  <dcterms:created xsi:type="dcterms:W3CDTF">2025-01-09T10:06:00Z</dcterms:created>
  <dcterms:modified xsi:type="dcterms:W3CDTF">2025-01-09T13:00:00Z</dcterms:modified>
</cp:coreProperties>
</file>