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A65F"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9D0B60A" wp14:editId="66E483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49F6519" w14:textId="77777777" w:rsidR="009260DE" w:rsidRPr="00C84483" w:rsidRDefault="009260DE" w:rsidP="009260DE">
      <w:pPr>
        <w:pStyle w:val="Titel"/>
        <w:tabs>
          <w:tab w:val="right" w:pos="9356"/>
        </w:tabs>
        <w:jc w:val="left"/>
        <w:rPr>
          <w:b w:val="0"/>
          <w:szCs w:val="24"/>
          <w:lang w:eastAsia="en-US"/>
        </w:rPr>
      </w:pPr>
    </w:p>
    <w:p w14:paraId="01F66114" w14:textId="7097BACF" w:rsidR="009260DE" w:rsidRPr="00193BB8" w:rsidRDefault="009260DE" w:rsidP="009260DE">
      <w:pPr>
        <w:pStyle w:val="Titel"/>
        <w:tabs>
          <w:tab w:val="right" w:pos="9356"/>
        </w:tabs>
        <w:jc w:val="left"/>
        <w:rPr>
          <w:b w:val="0"/>
          <w:szCs w:val="24"/>
          <w:lang w:eastAsia="en-US"/>
        </w:rPr>
      </w:pPr>
      <w:r w:rsidRPr="00C84483">
        <w:rPr>
          <w:b w:val="0"/>
          <w:szCs w:val="24"/>
          <w:lang w:eastAsia="en-US"/>
        </w:rPr>
        <w:tab/>
      </w:r>
      <w:r w:rsidR="00132465">
        <w:rPr>
          <w:szCs w:val="24"/>
        </w:rPr>
        <w:t>11. marts 2025</w:t>
      </w:r>
    </w:p>
    <w:p w14:paraId="63F6EC71" w14:textId="77777777" w:rsidR="009260DE" w:rsidRPr="00193BB8" w:rsidRDefault="009260DE" w:rsidP="009260DE">
      <w:pPr>
        <w:pStyle w:val="Titel"/>
        <w:tabs>
          <w:tab w:val="left" w:pos="8222"/>
        </w:tabs>
        <w:jc w:val="left"/>
        <w:rPr>
          <w:b w:val="0"/>
          <w:szCs w:val="24"/>
        </w:rPr>
      </w:pPr>
    </w:p>
    <w:p w14:paraId="12D9A364" w14:textId="77777777" w:rsidR="009260DE" w:rsidRPr="00193BB8" w:rsidRDefault="009260DE" w:rsidP="009260DE">
      <w:pPr>
        <w:pStyle w:val="Titel"/>
        <w:jc w:val="left"/>
        <w:rPr>
          <w:b w:val="0"/>
          <w:szCs w:val="24"/>
        </w:rPr>
      </w:pPr>
    </w:p>
    <w:p w14:paraId="425DF2DE" w14:textId="77777777" w:rsidR="009260DE" w:rsidRPr="00193BB8" w:rsidRDefault="009260DE" w:rsidP="009260DE">
      <w:pPr>
        <w:pStyle w:val="Titel"/>
        <w:jc w:val="left"/>
        <w:rPr>
          <w:b w:val="0"/>
          <w:szCs w:val="24"/>
        </w:rPr>
      </w:pPr>
    </w:p>
    <w:p w14:paraId="293B09B0" w14:textId="77777777" w:rsidR="009260DE" w:rsidRPr="00193BB8" w:rsidRDefault="009260DE" w:rsidP="009260DE">
      <w:pPr>
        <w:jc w:val="center"/>
        <w:rPr>
          <w:b/>
          <w:sz w:val="24"/>
          <w:szCs w:val="24"/>
        </w:rPr>
      </w:pPr>
      <w:r w:rsidRPr="00193BB8">
        <w:rPr>
          <w:b/>
          <w:sz w:val="24"/>
          <w:szCs w:val="24"/>
        </w:rPr>
        <w:t>PRODUKTRESUMÉ</w:t>
      </w:r>
    </w:p>
    <w:p w14:paraId="58EF7303" w14:textId="77777777" w:rsidR="009260DE" w:rsidRPr="00193BB8" w:rsidRDefault="009260DE" w:rsidP="009260DE">
      <w:pPr>
        <w:jc w:val="center"/>
        <w:rPr>
          <w:b/>
          <w:sz w:val="24"/>
          <w:szCs w:val="24"/>
        </w:rPr>
      </w:pPr>
    </w:p>
    <w:p w14:paraId="751C1E44" w14:textId="77777777" w:rsidR="009260DE" w:rsidRPr="00193BB8" w:rsidRDefault="009260DE" w:rsidP="009260DE">
      <w:pPr>
        <w:jc w:val="center"/>
        <w:rPr>
          <w:b/>
          <w:sz w:val="24"/>
          <w:szCs w:val="24"/>
        </w:rPr>
      </w:pPr>
      <w:r w:rsidRPr="00193BB8">
        <w:rPr>
          <w:b/>
          <w:sz w:val="24"/>
          <w:szCs w:val="24"/>
        </w:rPr>
        <w:t>for</w:t>
      </w:r>
    </w:p>
    <w:p w14:paraId="52C21149" w14:textId="77777777" w:rsidR="000B058C" w:rsidRPr="00193BB8" w:rsidRDefault="000B058C" w:rsidP="009260DE">
      <w:pPr>
        <w:jc w:val="center"/>
        <w:rPr>
          <w:b/>
          <w:sz w:val="24"/>
          <w:szCs w:val="24"/>
        </w:rPr>
      </w:pPr>
    </w:p>
    <w:p w14:paraId="7A1DFDA6" w14:textId="77777777" w:rsidR="009260DE" w:rsidRDefault="007D2632" w:rsidP="007D2632">
      <w:pPr>
        <w:jc w:val="center"/>
        <w:rPr>
          <w:b/>
          <w:sz w:val="24"/>
          <w:szCs w:val="24"/>
        </w:rPr>
      </w:pPr>
      <w:bookmarkStart w:id="0" w:name="_Hlk192082850"/>
      <w:r w:rsidRPr="007D2632">
        <w:rPr>
          <w:b/>
          <w:sz w:val="24"/>
          <w:szCs w:val="24"/>
        </w:rPr>
        <w:t xml:space="preserve">Dexamethasone phosphate "Panpharma", </w:t>
      </w:r>
      <w:bookmarkEnd w:id="0"/>
      <w:r w:rsidRPr="007D2632">
        <w:rPr>
          <w:b/>
          <w:sz w:val="24"/>
          <w:szCs w:val="24"/>
        </w:rPr>
        <w:t>injektionsvæske, op</w:t>
      </w:r>
      <w:r>
        <w:rPr>
          <w:b/>
          <w:sz w:val="24"/>
          <w:szCs w:val="24"/>
        </w:rPr>
        <w:t>løsning</w:t>
      </w:r>
    </w:p>
    <w:p w14:paraId="6B98CB3A" w14:textId="77777777" w:rsidR="007D2632" w:rsidRPr="007D2632" w:rsidRDefault="007D2632" w:rsidP="007D2632">
      <w:pPr>
        <w:jc w:val="center"/>
        <w:rPr>
          <w:sz w:val="24"/>
          <w:szCs w:val="24"/>
        </w:rPr>
      </w:pPr>
    </w:p>
    <w:p w14:paraId="5FB96F12" w14:textId="77777777" w:rsidR="009260DE" w:rsidRPr="007D2632" w:rsidRDefault="009260DE" w:rsidP="009260DE">
      <w:pPr>
        <w:jc w:val="both"/>
        <w:rPr>
          <w:sz w:val="24"/>
          <w:szCs w:val="24"/>
        </w:rPr>
      </w:pPr>
    </w:p>
    <w:p w14:paraId="67E7013E" w14:textId="77777777" w:rsidR="009260DE" w:rsidRPr="00193BB8" w:rsidRDefault="009260DE" w:rsidP="009260DE">
      <w:pPr>
        <w:tabs>
          <w:tab w:val="left" w:pos="851"/>
        </w:tabs>
        <w:ind w:left="851" w:hanging="851"/>
        <w:rPr>
          <w:b/>
          <w:sz w:val="24"/>
          <w:szCs w:val="24"/>
        </w:rPr>
      </w:pPr>
      <w:r w:rsidRPr="00193BB8">
        <w:rPr>
          <w:b/>
          <w:sz w:val="24"/>
          <w:szCs w:val="24"/>
        </w:rPr>
        <w:t>0.</w:t>
      </w:r>
      <w:r w:rsidRPr="00193BB8">
        <w:rPr>
          <w:b/>
          <w:sz w:val="24"/>
          <w:szCs w:val="24"/>
        </w:rPr>
        <w:tab/>
        <w:t>D.SP.NR.</w:t>
      </w:r>
    </w:p>
    <w:p w14:paraId="2427A375" w14:textId="07131B8C" w:rsidR="009260DE" w:rsidRPr="00C84483" w:rsidRDefault="003C2805" w:rsidP="009260DE">
      <w:pPr>
        <w:tabs>
          <w:tab w:val="left" w:pos="851"/>
        </w:tabs>
        <w:ind w:left="851"/>
        <w:rPr>
          <w:sz w:val="24"/>
          <w:szCs w:val="24"/>
        </w:rPr>
      </w:pPr>
      <w:r>
        <w:rPr>
          <w:sz w:val="24"/>
          <w:szCs w:val="24"/>
        </w:rPr>
        <w:t>33829</w:t>
      </w:r>
    </w:p>
    <w:p w14:paraId="1FB6839E" w14:textId="77777777" w:rsidR="009260DE" w:rsidRPr="00C84483" w:rsidRDefault="009260DE" w:rsidP="009260DE">
      <w:pPr>
        <w:tabs>
          <w:tab w:val="left" w:pos="851"/>
        </w:tabs>
        <w:ind w:left="851"/>
        <w:rPr>
          <w:sz w:val="24"/>
          <w:szCs w:val="24"/>
        </w:rPr>
      </w:pPr>
    </w:p>
    <w:p w14:paraId="37E3FC25"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3A01F84" w14:textId="4AC274BA" w:rsidR="009260DE" w:rsidRPr="003C2805" w:rsidRDefault="003C2805" w:rsidP="009260DE">
      <w:pPr>
        <w:tabs>
          <w:tab w:val="left" w:pos="851"/>
        </w:tabs>
        <w:ind w:left="851"/>
        <w:rPr>
          <w:sz w:val="24"/>
          <w:szCs w:val="24"/>
        </w:rPr>
      </w:pPr>
      <w:r w:rsidRPr="003C2805">
        <w:rPr>
          <w:sz w:val="24"/>
          <w:szCs w:val="24"/>
        </w:rPr>
        <w:t>Dexamethasone phosphate "Panpharma"</w:t>
      </w:r>
    </w:p>
    <w:p w14:paraId="2104CFD9" w14:textId="77777777" w:rsidR="003C2805" w:rsidRPr="003C2805" w:rsidRDefault="003C2805" w:rsidP="009260DE">
      <w:pPr>
        <w:tabs>
          <w:tab w:val="left" w:pos="851"/>
        </w:tabs>
        <w:ind w:left="851"/>
        <w:rPr>
          <w:sz w:val="24"/>
          <w:szCs w:val="24"/>
        </w:rPr>
      </w:pPr>
    </w:p>
    <w:p w14:paraId="10E5EE8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C010892" w14:textId="43BD220D" w:rsidR="008A5591" w:rsidRPr="008A5591" w:rsidRDefault="008A5591" w:rsidP="008A5591">
      <w:pPr>
        <w:tabs>
          <w:tab w:val="left" w:pos="851"/>
        </w:tabs>
        <w:ind w:left="851"/>
        <w:rPr>
          <w:sz w:val="24"/>
          <w:szCs w:val="24"/>
        </w:rPr>
      </w:pPr>
      <w:r w:rsidRPr="008A5591">
        <w:rPr>
          <w:sz w:val="24"/>
          <w:szCs w:val="24"/>
        </w:rPr>
        <w:t xml:space="preserve">Hver ampul </w:t>
      </w:r>
      <w:r w:rsidR="003C2805">
        <w:rPr>
          <w:sz w:val="24"/>
          <w:szCs w:val="24"/>
        </w:rPr>
        <w:t>á</w:t>
      </w:r>
      <w:r w:rsidRPr="008A5591">
        <w:rPr>
          <w:sz w:val="24"/>
          <w:szCs w:val="24"/>
        </w:rPr>
        <w:t xml:space="preserve"> 1 ml indeholder 4,0 mg dexamethasonphosphat (3,3 mg dexamethason).</w:t>
      </w:r>
    </w:p>
    <w:p w14:paraId="6EB299BC" w14:textId="56434F06" w:rsidR="008A5591" w:rsidRPr="008A5591" w:rsidRDefault="008A5591" w:rsidP="008A5591">
      <w:pPr>
        <w:tabs>
          <w:tab w:val="left" w:pos="851"/>
        </w:tabs>
        <w:ind w:left="851"/>
        <w:rPr>
          <w:sz w:val="24"/>
          <w:szCs w:val="24"/>
        </w:rPr>
      </w:pPr>
      <w:r w:rsidRPr="008A5591">
        <w:rPr>
          <w:sz w:val="24"/>
          <w:szCs w:val="24"/>
        </w:rPr>
        <w:t>1 ml indeholder 4 mg dexamethasonphosphat (3,3 mg dexamethason).</w:t>
      </w:r>
    </w:p>
    <w:p w14:paraId="037176FE" w14:textId="77777777" w:rsidR="003C2805" w:rsidRDefault="003C2805" w:rsidP="008A5591">
      <w:pPr>
        <w:tabs>
          <w:tab w:val="left" w:pos="851"/>
        </w:tabs>
        <w:ind w:left="851"/>
        <w:rPr>
          <w:sz w:val="24"/>
          <w:szCs w:val="24"/>
        </w:rPr>
      </w:pPr>
    </w:p>
    <w:p w14:paraId="54C0B330" w14:textId="1F61BBE1" w:rsidR="008A5591" w:rsidRPr="008A5591" w:rsidRDefault="008A5591" w:rsidP="008A5591">
      <w:pPr>
        <w:tabs>
          <w:tab w:val="left" w:pos="851"/>
        </w:tabs>
        <w:ind w:left="851"/>
        <w:rPr>
          <w:sz w:val="24"/>
          <w:szCs w:val="24"/>
        </w:rPr>
      </w:pPr>
      <w:r w:rsidRPr="008A5591">
        <w:rPr>
          <w:sz w:val="24"/>
          <w:szCs w:val="24"/>
        </w:rPr>
        <w:t xml:space="preserve">Hver ampul </w:t>
      </w:r>
      <w:r w:rsidR="003C2805">
        <w:rPr>
          <w:sz w:val="24"/>
          <w:szCs w:val="24"/>
        </w:rPr>
        <w:t>á</w:t>
      </w:r>
      <w:r w:rsidRPr="008A5591">
        <w:rPr>
          <w:sz w:val="24"/>
          <w:szCs w:val="24"/>
        </w:rPr>
        <w:t xml:space="preserve"> 1,8 ml indeholder 7,27 mg dexamethasonphosphat (6 mg dexamethason).</w:t>
      </w:r>
    </w:p>
    <w:p w14:paraId="7FA715DF" w14:textId="77777777" w:rsidR="008A5591" w:rsidRPr="008A5591" w:rsidRDefault="008A5591" w:rsidP="008A5591">
      <w:pPr>
        <w:tabs>
          <w:tab w:val="left" w:pos="851"/>
        </w:tabs>
        <w:ind w:left="851"/>
        <w:rPr>
          <w:sz w:val="24"/>
          <w:szCs w:val="24"/>
        </w:rPr>
      </w:pPr>
      <w:r w:rsidRPr="008A5591">
        <w:rPr>
          <w:sz w:val="24"/>
          <w:szCs w:val="24"/>
        </w:rPr>
        <w:t>1,8 ml indeholder 7,27 mg dexamethasonphosphat (6 mg dexamethason).</w:t>
      </w:r>
    </w:p>
    <w:p w14:paraId="72B831F7" w14:textId="77777777" w:rsidR="003C2805" w:rsidRDefault="003C2805" w:rsidP="008A5591">
      <w:pPr>
        <w:tabs>
          <w:tab w:val="left" w:pos="851"/>
        </w:tabs>
        <w:ind w:left="851"/>
        <w:rPr>
          <w:sz w:val="24"/>
          <w:szCs w:val="24"/>
        </w:rPr>
      </w:pPr>
    </w:p>
    <w:p w14:paraId="47FEF942" w14:textId="3670C69B" w:rsidR="008A5591" w:rsidRPr="008A5591" w:rsidRDefault="008A5591" w:rsidP="008A5591">
      <w:pPr>
        <w:tabs>
          <w:tab w:val="left" w:pos="851"/>
        </w:tabs>
        <w:ind w:left="851"/>
        <w:rPr>
          <w:sz w:val="24"/>
          <w:szCs w:val="24"/>
        </w:rPr>
      </w:pPr>
      <w:r w:rsidRPr="008A5591">
        <w:rPr>
          <w:sz w:val="24"/>
          <w:szCs w:val="24"/>
        </w:rPr>
        <w:t xml:space="preserve">Hver ampul </w:t>
      </w:r>
      <w:r w:rsidR="003C2805">
        <w:rPr>
          <w:sz w:val="24"/>
          <w:szCs w:val="24"/>
        </w:rPr>
        <w:t>á</w:t>
      </w:r>
      <w:r w:rsidRPr="008A5591">
        <w:rPr>
          <w:sz w:val="24"/>
          <w:szCs w:val="24"/>
        </w:rPr>
        <w:t xml:space="preserve"> 2 ml indeholder</w:t>
      </w:r>
      <w:r w:rsidR="00BB7171">
        <w:rPr>
          <w:sz w:val="24"/>
          <w:szCs w:val="24"/>
        </w:rPr>
        <w:t xml:space="preserve"> </w:t>
      </w:r>
      <w:r w:rsidRPr="008A5591">
        <w:rPr>
          <w:sz w:val="24"/>
          <w:szCs w:val="24"/>
        </w:rPr>
        <w:t>8,0 mg dexamethasonphosphat (6,6 mg dexamethason).</w:t>
      </w:r>
    </w:p>
    <w:p w14:paraId="1BAD2C86" w14:textId="77777777" w:rsidR="008A5591" w:rsidRPr="008A5591" w:rsidRDefault="008A5591" w:rsidP="008A5591">
      <w:pPr>
        <w:tabs>
          <w:tab w:val="left" w:pos="851"/>
        </w:tabs>
        <w:ind w:left="851"/>
        <w:rPr>
          <w:sz w:val="24"/>
          <w:szCs w:val="24"/>
        </w:rPr>
      </w:pPr>
      <w:r w:rsidRPr="008A5591">
        <w:rPr>
          <w:sz w:val="24"/>
          <w:szCs w:val="24"/>
        </w:rPr>
        <w:t>2 ml injektionsvæske, opløsning indeholder 8,0 mg dexamethasonphosphat (6,6 mg dexamethason).</w:t>
      </w:r>
    </w:p>
    <w:p w14:paraId="5D91D876" w14:textId="77777777" w:rsidR="008A5591" w:rsidRPr="008A5591" w:rsidRDefault="008A5591" w:rsidP="008A5591">
      <w:pPr>
        <w:tabs>
          <w:tab w:val="left" w:pos="851"/>
        </w:tabs>
        <w:ind w:left="851"/>
        <w:rPr>
          <w:sz w:val="24"/>
          <w:szCs w:val="24"/>
        </w:rPr>
      </w:pPr>
    </w:p>
    <w:p w14:paraId="3F2A0128" w14:textId="0516D313" w:rsidR="008A5591" w:rsidRPr="008A5591" w:rsidRDefault="008A5591" w:rsidP="008A5591">
      <w:pPr>
        <w:tabs>
          <w:tab w:val="left" w:pos="851"/>
        </w:tabs>
        <w:ind w:left="851"/>
        <w:rPr>
          <w:sz w:val="24"/>
          <w:szCs w:val="24"/>
          <w:u w:val="single"/>
        </w:rPr>
      </w:pPr>
      <w:r w:rsidRPr="008A5591">
        <w:rPr>
          <w:sz w:val="24"/>
          <w:szCs w:val="24"/>
          <w:u w:val="single"/>
        </w:rPr>
        <w:t>Hjælpestoffer, som behandleren skal være opmærksom på</w:t>
      </w:r>
    </w:p>
    <w:p w14:paraId="497B30A6" w14:textId="06CE244C" w:rsidR="008A5591" w:rsidRPr="003C2805" w:rsidRDefault="008A5591" w:rsidP="008A5591">
      <w:pPr>
        <w:tabs>
          <w:tab w:val="left" w:pos="851"/>
        </w:tabs>
        <w:ind w:left="851"/>
        <w:rPr>
          <w:bCs/>
          <w:sz w:val="24"/>
          <w:szCs w:val="24"/>
        </w:rPr>
      </w:pPr>
      <w:r w:rsidRPr="003C2805">
        <w:rPr>
          <w:sz w:val="24"/>
          <w:szCs w:val="24"/>
        </w:rPr>
        <w:t xml:space="preserve">Hver ampul </w:t>
      </w:r>
      <w:r w:rsidR="003C2805">
        <w:rPr>
          <w:sz w:val="24"/>
          <w:szCs w:val="24"/>
        </w:rPr>
        <w:t>á</w:t>
      </w:r>
      <w:r w:rsidRPr="003C2805">
        <w:rPr>
          <w:sz w:val="24"/>
          <w:szCs w:val="24"/>
        </w:rPr>
        <w:t xml:space="preserve"> 1 ml </w:t>
      </w:r>
      <w:r w:rsidRPr="003C2805">
        <w:rPr>
          <w:bCs/>
          <w:sz w:val="24"/>
          <w:szCs w:val="24"/>
        </w:rPr>
        <w:t>indeholder 0,119 mmol (2,35 mg) natrium.</w:t>
      </w:r>
    </w:p>
    <w:p w14:paraId="16063755" w14:textId="6CE4C2ED" w:rsidR="008A5591" w:rsidRPr="003C2805" w:rsidRDefault="008A5591" w:rsidP="008A5591">
      <w:pPr>
        <w:tabs>
          <w:tab w:val="left" w:pos="851"/>
        </w:tabs>
        <w:ind w:left="851"/>
        <w:rPr>
          <w:bCs/>
          <w:sz w:val="24"/>
          <w:szCs w:val="24"/>
        </w:rPr>
      </w:pPr>
      <w:r w:rsidRPr="003C2805">
        <w:rPr>
          <w:sz w:val="24"/>
          <w:szCs w:val="24"/>
        </w:rPr>
        <w:t xml:space="preserve">Hver ampul </w:t>
      </w:r>
      <w:r w:rsidR="003C2805">
        <w:rPr>
          <w:sz w:val="24"/>
          <w:szCs w:val="24"/>
        </w:rPr>
        <w:t>á</w:t>
      </w:r>
      <w:r w:rsidRPr="003C2805">
        <w:rPr>
          <w:sz w:val="24"/>
          <w:szCs w:val="24"/>
        </w:rPr>
        <w:t xml:space="preserve"> 1,8 ml </w:t>
      </w:r>
      <w:r w:rsidRPr="003C2805">
        <w:rPr>
          <w:bCs/>
          <w:sz w:val="24"/>
          <w:szCs w:val="24"/>
        </w:rPr>
        <w:t>indeholder 0,214 mmol (4,23 mg) natrium.</w:t>
      </w:r>
    </w:p>
    <w:p w14:paraId="0785885B" w14:textId="4DEA9B61" w:rsidR="008A5591" w:rsidRPr="003C2805" w:rsidRDefault="008A5591" w:rsidP="008A5591">
      <w:pPr>
        <w:tabs>
          <w:tab w:val="left" w:pos="851"/>
        </w:tabs>
        <w:ind w:left="851"/>
        <w:rPr>
          <w:bCs/>
          <w:sz w:val="24"/>
          <w:szCs w:val="24"/>
        </w:rPr>
      </w:pPr>
      <w:r w:rsidRPr="003C2805">
        <w:rPr>
          <w:sz w:val="24"/>
          <w:szCs w:val="24"/>
        </w:rPr>
        <w:t xml:space="preserve">Hver ampul </w:t>
      </w:r>
      <w:r w:rsidR="003C2805">
        <w:rPr>
          <w:sz w:val="24"/>
          <w:szCs w:val="24"/>
        </w:rPr>
        <w:t>á</w:t>
      </w:r>
      <w:r w:rsidRPr="003C2805">
        <w:rPr>
          <w:sz w:val="24"/>
          <w:szCs w:val="24"/>
        </w:rPr>
        <w:t xml:space="preserve"> 2 ml </w:t>
      </w:r>
      <w:r w:rsidRPr="003C2805">
        <w:rPr>
          <w:bCs/>
          <w:sz w:val="24"/>
          <w:szCs w:val="24"/>
        </w:rPr>
        <w:t>indeholder 0,238 mmol (4,7 mg) natrium.</w:t>
      </w:r>
    </w:p>
    <w:p w14:paraId="28CCC1AF" w14:textId="77777777" w:rsidR="008A5591" w:rsidRPr="008A5591" w:rsidRDefault="008A5591" w:rsidP="008A5591">
      <w:pPr>
        <w:tabs>
          <w:tab w:val="left" w:pos="851"/>
        </w:tabs>
        <w:ind w:left="851"/>
        <w:rPr>
          <w:sz w:val="24"/>
          <w:szCs w:val="24"/>
        </w:rPr>
      </w:pPr>
    </w:p>
    <w:p w14:paraId="522F1A02" w14:textId="77777777" w:rsidR="008A5591" w:rsidRPr="008A5591" w:rsidRDefault="008A5591" w:rsidP="008A5591">
      <w:pPr>
        <w:tabs>
          <w:tab w:val="left" w:pos="851"/>
        </w:tabs>
        <w:ind w:left="851"/>
        <w:rPr>
          <w:sz w:val="24"/>
          <w:szCs w:val="24"/>
        </w:rPr>
      </w:pPr>
      <w:r w:rsidRPr="008A5591">
        <w:rPr>
          <w:sz w:val="24"/>
          <w:szCs w:val="24"/>
        </w:rPr>
        <w:t>Alle hjælpestoffer er anført under pkt. 6.1.</w:t>
      </w:r>
    </w:p>
    <w:p w14:paraId="7E75D50B" w14:textId="77777777" w:rsidR="009260DE" w:rsidRPr="00C84483" w:rsidRDefault="009260DE" w:rsidP="009260DE">
      <w:pPr>
        <w:tabs>
          <w:tab w:val="left" w:pos="851"/>
        </w:tabs>
        <w:ind w:left="851"/>
        <w:rPr>
          <w:sz w:val="24"/>
          <w:szCs w:val="24"/>
        </w:rPr>
      </w:pPr>
    </w:p>
    <w:p w14:paraId="097B05E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E56A55C" w14:textId="77777777" w:rsidR="003D308F" w:rsidRPr="003D308F" w:rsidRDefault="003D308F" w:rsidP="003D308F">
      <w:pPr>
        <w:tabs>
          <w:tab w:val="left" w:pos="851"/>
        </w:tabs>
        <w:ind w:left="851"/>
        <w:rPr>
          <w:sz w:val="24"/>
          <w:szCs w:val="24"/>
        </w:rPr>
      </w:pPr>
      <w:r w:rsidRPr="003D308F">
        <w:rPr>
          <w:sz w:val="24"/>
          <w:szCs w:val="24"/>
        </w:rPr>
        <w:t>Injektionsvæske, opløsning</w:t>
      </w:r>
    </w:p>
    <w:p w14:paraId="6D128F3D" w14:textId="77777777" w:rsidR="003D308F" w:rsidRPr="003D308F" w:rsidRDefault="003D308F" w:rsidP="003D308F">
      <w:pPr>
        <w:tabs>
          <w:tab w:val="left" w:pos="851"/>
        </w:tabs>
        <w:ind w:left="851"/>
        <w:rPr>
          <w:sz w:val="24"/>
          <w:szCs w:val="24"/>
        </w:rPr>
      </w:pPr>
    </w:p>
    <w:p w14:paraId="416FB5E1" w14:textId="5A8E8070" w:rsidR="003D308F" w:rsidRPr="003D308F" w:rsidRDefault="003D308F" w:rsidP="003D308F">
      <w:pPr>
        <w:tabs>
          <w:tab w:val="left" w:pos="851"/>
        </w:tabs>
        <w:ind w:left="851"/>
        <w:rPr>
          <w:sz w:val="24"/>
          <w:szCs w:val="24"/>
        </w:rPr>
      </w:pPr>
      <w:r w:rsidRPr="003D308F">
        <w:rPr>
          <w:sz w:val="24"/>
          <w:szCs w:val="24"/>
        </w:rPr>
        <w:t>Farveløs til næsten farveløs opløsning</w:t>
      </w:r>
      <w:r>
        <w:rPr>
          <w:sz w:val="24"/>
          <w:szCs w:val="24"/>
        </w:rPr>
        <w:t>.</w:t>
      </w:r>
    </w:p>
    <w:p w14:paraId="75A15B44" w14:textId="27E2345C" w:rsidR="003D308F" w:rsidRPr="003D308F" w:rsidRDefault="003D308F" w:rsidP="003D308F">
      <w:pPr>
        <w:tabs>
          <w:tab w:val="left" w:pos="851"/>
        </w:tabs>
        <w:ind w:left="851"/>
        <w:rPr>
          <w:sz w:val="24"/>
          <w:szCs w:val="24"/>
          <w:lang w:val="en-US"/>
        </w:rPr>
      </w:pPr>
      <w:r w:rsidRPr="003D308F">
        <w:rPr>
          <w:sz w:val="24"/>
          <w:szCs w:val="24"/>
          <w:lang w:val="en-US"/>
        </w:rPr>
        <w:t>Osmolalitet : Ca. 200 mosm/kg. pH: 7,0</w:t>
      </w:r>
      <w:r w:rsidRPr="003D308F">
        <w:rPr>
          <w:sz w:val="24"/>
          <w:szCs w:val="24"/>
          <w:lang w:val="en-US"/>
        </w:rPr>
        <w:noBreakHyphen/>
        <w:t>8,5</w:t>
      </w:r>
      <w:r>
        <w:rPr>
          <w:sz w:val="24"/>
          <w:szCs w:val="24"/>
          <w:lang w:val="en-US"/>
        </w:rPr>
        <w:t>.</w:t>
      </w:r>
    </w:p>
    <w:p w14:paraId="27239285" w14:textId="77777777" w:rsidR="009260DE" w:rsidRPr="003D308F" w:rsidRDefault="009260DE" w:rsidP="009260DE">
      <w:pPr>
        <w:tabs>
          <w:tab w:val="left" w:pos="851"/>
        </w:tabs>
        <w:ind w:left="851"/>
        <w:rPr>
          <w:sz w:val="24"/>
          <w:szCs w:val="24"/>
          <w:lang w:val="en-US"/>
        </w:rPr>
      </w:pPr>
    </w:p>
    <w:p w14:paraId="1AB8B7EF" w14:textId="7A52B3AD" w:rsidR="003D308F" w:rsidRDefault="003D308F">
      <w:pPr>
        <w:rPr>
          <w:sz w:val="24"/>
          <w:szCs w:val="24"/>
          <w:lang w:val="en-US"/>
        </w:rPr>
      </w:pPr>
      <w:r>
        <w:rPr>
          <w:sz w:val="24"/>
          <w:szCs w:val="24"/>
          <w:lang w:val="en-US"/>
        </w:rPr>
        <w:br w:type="page"/>
      </w:r>
    </w:p>
    <w:p w14:paraId="51C3EF41" w14:textId="77777777" w:rsidR="009260DE" w:rsidRPr="003D308F" w:rsidRDefault="009260DE" w:rsidP="009260DE">
      <w:pPr>
        <w:tabs>
          <w:tab w:val="left" w:pos="851"/>
        </w:tabs>
        <w:ind w:left="851"/>
        <w:rPr>
          <w:sz w:val="24"/>
          <w:szCs w:val="24"/>
          <w:lang w:val="en-US"/>
        </w:rPr>
      </w:pPr>
    </w:p>
    <w:p w14:paraId="3B75077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3AC508D" w14:textId="77777777" w:rsidR="009260DE" w:rsidRPr="00C84483" w:rsidRDefault="009260DE" w:rsidP="009260DE">
      <w:pPr>
        <w:tabs>
          <w:tab w:val="left" w:pos="851"/>
        </w:tabs>
        <w:ind w:left="851"/>
        <w:rPr>
          <w:b/>
          <w:sz w:val="24"/>
          <w:szCs w:val="24"/>
        </w:rPr>
      </w:pPr>
    </w:p>
    <w:p w14:paraId="549AEF6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5650F8D" w14:textId="77777777" w:rsidR="00D41392" w:rsidRDefault="00D41392" w:rsidP="003D308F">
      <w:pPr>
        <w:tabs>
          <w:tab w:val="left" w:pos="851"/>
        </w:tabs>
        <w:ind w:left="851"/>
        <w:rPr>
          <w:bCs/>
          <w:sz w:val="24"/>
          <w:szCs w:val="24"/>
          <w:u w:val="single"/>
        </w:rPr>
      </w:pPr>
    </w:p>
    <w:p w14:paraId="18C1D38E" w14:textId="6A4287EA" w:rsidR="003D308F" w:rsidRPr="003D308F" w:rsidRDefault="003D308F" w:rsidP="003D308F">
      <w:pPr>
        <w:tabs>
          <w:tab w:val="left" w:pos="851"/>
        </w:tabs>
        <w:ind w:left="851"/>
        <w:rPr>
          <w:sz w:val="24"/>
          <w:szCs w:val="24"/>
          <w:u w:val="single"/>
        </w:rPr>
      </w:pPr>
      <w:r w:rsidRPr="003D308F">
        <w:rPr>
          <w:bCs/>
          <w:sz w:val="24"/>
          <w:szCs w:val="24"/>
          <w:u w:val="single"/>
        </w:rPr>
        <w:t>Systemisk anvendelse</w:t>
      </w:r>
    </w:p>
    <w:p w14:paraId="0ECF3885" w14:textId="57A34064" w:rsidR="003D308F" w:rsidRPr="003D308F" w:rsidRDefault="003D308F" w:rsidP="00BB7171">
      <w:pPr>
        <w:tabs>
          <w:tab w:val="left" w:pos="1134"/>
        </w:tabs>
        <w:ind w:left="1134" w:hanging="283"/>
        <w:rPr>
          <w:sz w:val="24"/>
          <w:szCs w:val="24"/>
        </w:rPr>
      </w:pPr>
      <w:r w:rsidRPr="003D308F">
        <w:rPr>
          <w:sz w:val="24"/>
          <w:szCs w:val="24"/>
        </w:rPr>
        <w:t>-</w:t>
      </w:r>
      <w:r>
        <w:rPr>
          <w:sz w:val="24"/>
          <w:szCs w:val="24"/>
        </w:rPr>
        <w:tab/>
      </w:r>
      <w:r w:rsidRPr="003D308F">
        <w:rPr>
          <w:sz w:val="24"/>
          <w:szCs w:val="24"/>
        </w:rPr>
        <w:t>Cerebralt ødem, forbundet med cerebral tumor, neurokirurgiske indgreb, hjerneabsces,</w:t>
      </w:r>
      <w:r w:rsidR="00BB7171">
        <w:rPr>
          <w:sz w:val="24"/>
          <w:szCs w:val="24"/>
        </w:rPr>
        <w:t xml:space="preserve"> </w:t>
      </w:r>
      <w:r w:rsidRPr="003D308F">
        <w:rPr>
          <w:sz w:val="24"/>
          <w:szCs w:val="24"/>
        </w:rPr>
        <w:t>bakteriel meningitis.</w:t>
      </w:r>
    </w:p>
    <w:p w14:paraId="3EB7FF30" w14:textId="0F68316A" w:rsidR="003D308F" w:rsidRPr="003D308F" w:rsidRDefault="003D308F" w:rsidP="003D308F">
      <w:pPr>
        <w:tabs>
          <w:tab w:val="left" w:pos="1134"/>
        </w:tabs>
        <w:ind w:left="1134" w:hanging="283"/>
        <w:rPr>
          <w:sz w:val="24"/>
          <w:szCs w:val="24"/>
        </w:rPr>
      </w:pPr>
      <w:r w:rsidRPr="003D308F">
        <w:rPr>
          <w:sz w:val="24"/>
          <w:szCs w:val="24"/>
        </w:rPr>
        <w:t>-</w:t>
      </w:r>
      <w:r>
        <w:rPr>
          <w:sz w:val="24"/>
          <w:szCs w:val="24"/>
        </w:rPr>
        <w:tab/>
        <w:t>P</w:t>
      </w:r>
      <w:r w:rsidRPr="003D308F">
        <w:rPr>
          <w:sz w:val="24"/>
          <w:szCs w:val="24"/>
        </w:rPr>
        <w:t>olytraumatisk shock/forebyggelse af posttraumatisk shocklunge-syndrom</w:t>
      </w:r>
    </w:p>
    <w:p w14:paraId="33C5A91C" w14:textId="7D3E8AE7" w:rsidR="003D308F" w:rsidRPr="003D308F" w:rsidRDefault="003D308F" w:rsidP="003D308F">
      <w:pPr>
        <w:tabs>
          <w:tab w:val="left" w:pos="1134"/>
        </w:tabs>
        <w:ind w:left="1134" w:hanging="283"/>
        <w:rPr>
          <w:sz w:val="24"/>
          <w:szCs w:val="24"/>
        </w:rPr>
      </w:pPr>
      <w:r w:rsidRPr="003D308F">
        <w:rPr>
          <w:sz w:val="24"/>
          <w:szCs w:val="24"/>
        </w:rPr>
        <w:t>-</w:t>
      </w:r>
      <w:r>
        <w:rPr>
          <w:sz w:val="24"/>
          <w:szCs w:val="24"/>
        </w:rPr>
        <w:tab/>
      </w:r>
      <w:r w:rsidRPr="003D308F">
        <w:rPr>
          <w:sz w:val="24"/>
          <w:szCs w:val="24"/>
        </w:rPr>
        <w:t>Svært akut astmaanfald.</w:t>
      </w:r>
    </w:p>
    <w:p w14:paraId="1EB3432B" w14:textId="2485BD47" w:rsidR="003D308F" w:rsidRPr="003D308F" w:rsidRDefault="003D308F" w:rsidP="00BB7171">
      <w:pPr>
        <w:tabs>
          <w:tab w:val="left" w:pos="1134"/>
        </w:tabs>
        <w:ind w:left="1134" w:hanging="283"/>
        <w:rPr>
          <w:sz w:val="24"/>
          <w:szCs w:val="24"/>
        </w:rPr>
      </w:pPr>
      <w:r w:rsidRPr="003D308F">
        <w:rPr>
          <w:sz w:val="24"/>
          <w:szCs w:val="24"/>
        </w:rPr>
        <w:t>-</w:t>
      </w:r>
      <w:r>
        <w:rPr>
          <w:sz w:val="24"/>
          <w:szCs w:val="24"/>
        </w:rPr>
        <w:tab/>
      </w:r>
      <w:r w:rsidRPr="003D308F">
        <w:rPr>
          <w:sz w:val="24"/>
          <w:szCs w:val="24"/>
        </w:rPr>
        <w:t>Indledende parenteral behandling af omfattende, akutte, svære hudsygdomme, såsom</w:t>
      </w:r>
      <w:r w:rsidR="00BB7171">
        <w:rPr>
          <w:sz w:val="24"/>
          <w:szCs w:val="24"/>
        </w:rPr>
        <w:t xml:space="preserve"> </w:t>
      </w:r>
      <w:r w:rsidRPr="003D308F">
        <w:rPr>
          <w:sz w:val="24"/>
          <w:szCs w:val="24"/>
        </w:rPr>
        <w:t>erytrodermi, pemphigus vulgaris, akut eksem.</w:t>
      </w:r>
    </w:p>
    <w:p w14:paraId="38DC1B34" w14:textId="29A78C4A" w:rsidR="003D308F" w:rsidRPr="003D308F" w:rsidRDefault="003D308F" w:rsidP="00F0543E">
      <w:pPr>
        <w:tabs>
          <w:tab w:val="left" w:pos="1134"/>
        </w:tabs>
        <w:ind w:left="1134" w:hanging="283"/>
        <w:rPr>
          <w:sz w:val="24"/>
          <w:szCs w:val="24"/>
        </w:rPr>
      </w:pPr>
      <w:r w:rsidRPr="003D308F">
        <w:rPr>
          <w:sz w:val="24"/>
          <w:szCs w:val="24"/>
        </w:rPr>
        <w:t>-</w:t>
      </w:r>
      <w:r>
        <w:rPr>
          <w:sz w:val="24"/>
          <w:szCs w:val="24"/>
        </w:rPr>
        <w:tab/>
      </w:r>
      <w:r w:rsidRPr="003D308F">
        <w:rPr>
          <w:sz w:val="24"/>
          <w:szCs w:val="24"/>
        </w:rPr>
        <w:t>Indledende parenteral behandling af autoimmune sygdomme, såsom systemisk lupus</w:t>
      </w:r>
      <w:r w:rsidR="00BB7171">
        <w:rPr>
          <w:sz w:val="24"/>
          <w:szCs w:val="24"/>
        </w:rPr>
        <w:t xml:space="preserve"> </w:t>
      </w:r>
      <w:r w:rsidRPr="003D308F">
        <w:rPr>
          <w:sz w:val="24"/>
          <w:szCs w:val="24"/>
        </w:rPr>
        <w:t>erythematosus (især viscerale former).</w:t>
      </w:r>
    </w:p>
    <w:p w14:paraId="4A05F285" w14:textId="7D83E1FE" w:rsidR="003D308F" w:rsidRPr="003D308F" w:rsidRDefault="003D308F" w:rsidP="00F0543E">
      <w:pPr>
        <w:tabs>
          <w:tab w:val="left" w:pos="1134"/>
        </w:tabs>
        <w:ind w:left="1134" w:hanging="283"/>
        <w:rPr>
          <w:sz w:val="24"/>
          <w:szCs w:val="24"/>
        </w:rPr>
      </w:pPr>
      <w:r w:rsidRPr="003D308F">
        <w:rPr>
          <w:sz w:val="24"/>
          <w:szCs w:val="24"/>
        </w:rPr>
        <w:t>-</w:t>
      </w:r>
      <w:r>
        <w:rPr>
          <w:sz w:val="24"/>
          <w:szCs w:val="24"/>
        </w:rPr>
        <w:tab/>
      </w:r>
      <w:r w:rsidRPr="003D308F">
        <w:rPr>
          <w:sz w:val="24"/>
          <w:szCs w:val="24"/>
        </w:rPr>
        <w:t>Aktiv reumatoid artrit med et svært progressivt forløb, fx hurtigt forløbende destruktive former og/eller med ekstraartikulære manifestationer.</w:t>
      </w:r>
    </w:p>
    <w:p w14:paraId="6135C689" w14:textId="4781D485" w:rsidR="003D308F" w:rsidRPr="003D308F" w:rsidRDefault="003D308F" w:rsidP="003D308F">
      <w:pPr>
        <w:tabs>
          <w:tab w:val="left" w:pos="1134"/>
        </w:tabs>
        <w:ind w:left="1134" w:hanging="283"/>
        <w:rPr>
          <w:sz w:val="24"/>
          <w:szCs w:val="24"/>
        </w:rPr>
      </w:pPr>
      <w:r w:rsidRPr="003D308F">
        <w:rPr>
          <w:sz w:val="24"/>
          <w:szCs w:val="24"/>
        </w:rPr>
        <w:t>-</w:t>
      </w:r>
      <w:r>
        <w:rPr>
          <w:sz w:val="24"/>
          <w:szCs w:val="24"/>
        </w:rPr>
        <w:tab/>
      </w:r>
      <w:r w:rsidRPr="003D308F">
        <w:rPr>
          <w:sz w:val="24"/>
          <w:szCs w:val="24"/>
        </w:rPr>
        <w:t>Alvorlige</w:t>
      </w:r>
      <w:r>
        <w:rPr>
          <w:sz w:val="24"/>
          <w:szCs w:val="24"/>
        </w:rPr>
        <w:t xml:space="preserve"> </w:t>
      </w:r>
      <w:r w:rsidRPr="003D308F">
        <w:rPr>
          <w:sz w:val="24"/>
          <w:szCs w:val="24"/>
        </w:rPr>
        <w:t>infektionssygdomme med toksiske tilstande (fx tuberkulose, tyfus, brucellose), kun med samtidig anti-infektionsbehandling.</w:t>
      </w:r>
    </w:p>
    <w:p w14:paraId="670E5706" w14:textId="1016A749" w:rsidR="003D308F" w:rsidRPr="003D308F" w:rsidRDefault="003D308F" w:rsidP="003D308F">
      <w:pPr>
        <w:tabs>
          <w:tab w:val="left" w:pos="1134"/>
        </w:tabs>
        <w:ind w:left="1134" w:hanging="283"/>
        <w:rPr>
          <w:sz w:val="24"/>
          <w:szCs w:val="24"/>
        </w:rPr>
      </w:pPr>
      <w:r w:rsidRPr="003D308F">
        <w:rPr>
          <w:sz w:val="24"/>
          <w:szCs w:val="24"/>
        </w:rPr>
        <w:t>-</w:t>
      </w:r>
      <w:r>
        <w:rPr>
          <w:sz w:val="24"/>
          <w:szCs w:val="24"/>
        </w:rPr>
        <w:tab/>
      </w:r>
      <w:r w:rsidRPr="003D308F">
        <w:rPr>
          <w:sz w:val="24"/>
          <w:szCs w:val="24"/>
        </w:rPr>
        <w:t>Palliativ behandling af maligne tumorer.</w:t>
      </w:r>
    </w:p>
    <w:p w14:paraId="5ABB3281" w14:textId="5AC2C6E9" w:rsidR="003D308F" w:rsidRDefault="003D308F" w:rsidP="003D308F">
      <w:pPr>
        <w:tabs>
          <w:tab w:val="left" w:pos="1134"/>
        </w:tabs>
        <w:ind w:left="1134" w:hanging="283"/>
        <w:rPr>
          <w:sz w:val="24"/>
          <w:szCs w:val="24"/>
        </w:rPr>
      </w:pPr>
      <w:r w:rsidRPr="003D308F">
        <w:rPr>
          <w:sz w:val="24"/>
          <w:szCs w:val="24"/>
        </w:rPr>
        <w:t xml:space="preserve">- </w:t>
      </w:r>
      <w:r>
        <w:rPr>
          <w:sz w:val="24"/>
          <w:szCs w:val="24"/>
        </w:rPr>
        <w:tab/>
      </w:r>
      <w:r w:rsidRPr="003D308F">
        <w:rPr>
          <w:sz w:val="24"/>
          <w:szCs w:val="24"/>
        </w:rPr>
        <w:t>Forebyggelse og behandling af post-operativ eller cytostatika-induceret opkastning som del af antiemetiske behandlinger</w:t>
      </w:r>
      <w:r w:rsidR="00F0543E">
        <w:rPr>
          <w:sz w:val="24"/>
          <w:szCs w:val="24"/>
        </w:rPr>
        <w:t>.</w:t>
      </w:r>
    </w:p>
    <w:p w14:paraId="3BBDADB9" w14:textId="543E6FC5" w:rsidR="003D308F" w:rsidRPr="003D308F" w:rsidRDefault="003D308F" w:rsidP="003D308F">
      <w:pPr>
        <w:tabs>
          <w:tab w:val="left" w:pos="1134"/>
        </w:tabs>
        <w:ind w:left="1134" w:hanging="283"/>
        <w:rPr>
          <w:sz w:val="24"/>
          <w:szCs w:val="24"/>
        </w:rPr>
      </w:pPr>
      <w:r w:rsidRPr="003D308F">
        <w:rPr>
          <w:sz w:val="24"/>
          <w:szCs w:val="24"/>
        </w:rPr>
        <w:t>-</w:t>
      </w:r>
      <w:r>
        <w:rPr>
          <w:sz w:val="24"/>
          <w:szCs w:val="24"/>
        </w:rPr>
        <w:tab/>
      </w:r>
      <w:r w:rsidRPr="003D308F">
        <w:rPr>
          <w:sz w:val="24"/>
          <w:szCs w:val="24"/>
        </w:rPr>
        <w:t>Dexamethasone phosphate "Panpharma" er indiceret til behandling af coronavirussygdom 2019 (COVID-19) hos voksne og unge patienter (12 år og ældre, med en legemsvægt på mindst 40 kg), som har behov for supplerende iltbehandling.</w:t>
      </w:r>
    </w:p>
    <w:p w14:paraId="76BE5A96" w14:textId="77777777" w:rsidR="003D308F" w:rsidRPr="003D308F" w:rsidRDefault="003D308F" w:rsidP="003D308F">
      <w:pPr>
        <w:tabs>
          <w:tab w:val="left" w:pos="851"/>
        </w:tabs>
        <w:ind w:left="851"/>
        <w:rPr>
          <w:sz w:val="24"/>
          <w:szCs w:val="24"/>
        </w:rPr>
      </w:pPr>
    </w:p>
    <w:p w14:paraId="7FA61829" w14:textId="77777777" w:rsidR="003D308F" w:rsidRPr="003D308F" w:rsidRDefault="003D308F" w:rsidP="003D308F">
      <w:pPr>
        <w:tabs>
          <w:tab w:val="left" w:pos="851"/>
        </w:tabs>
        <w:ind w:left="851"/>
        <w:rPr>
          <w:sz w:val="24"/>
          <w:szCs w:val="24"/>
          <w:u w:val="single"/>
        </w:rPr>
      </w:pPr>
      <w:r w:rsidRPr="003D308F">
        <w:rPr>
          <w:bCs/>
          <w:sz w:val="24"/>
          <w:szCs w:val="24"/>
          <w:u w:val="single"/>
        </w:rPr>
        <w:t>Lokal administration</w:t>
      </w:r>
    </w:p>
    <w:p w14:paraId="36B8D752" w14:textId="7D55B541" w:rsidR="003D308F" w:rsidRDefault="003D308F" w:rsidP="003D308F">
      <w:pPr>
        <w:tabs>
          <w:tab w:val="left" w:pos="1134"/>
        </w:tabs>
        <w:ind w:left="1134" w:hanging="283"/>
        <w:rPr>
          <w:sz w:val="24"/>
          <w:szCs w:val="24"/>
        </w:rPr>
      </w:pPr>
      <w:r w:rsidRPr="003D308F">
        <w:rPr>
          <w:b/>
          <w:bCs/>
          <w:sz w:val="24"/>
          <w:szCs w:val="24"/>
        </w:rPr>
        <w:t>-</w:t>
      </w:r>
      <w:r>
        <w:rPr>
          <w:b/>
          <w:bCs/>
          <w:sz w:val="24"/>
          <w:szCs w:val="24"/>
        </w:rPr>
        <w:tab/>
      </w:r>
      <w:r w:rsidRPr="003D308F">
        <w:rPr>
          <w:sz w:val="24"/>
          <w:szCs w:val="24"/>
        </w:rPr>
        <w:t xml:space="preserve">Intraartikulær injektion: </w:t>
      </w:r>
      <w:r>
        <w:rPr>
          <w:sz w:val="24"/>
          <w:szCs w:val="24"/>
        </w:rPr>
        <w:t>V</w:t>
      </w:r>
      <w:r w:rsidRPr="003D308F">
        <w:rPr>
          <w:sz w:val="24"/>
          <w:szCs w:val="24"/>
        </w:rPr>
        <w:t>edvarende inflammation i et eller få led efter general behandling af kroniske inflammatoriske ledsygdomme, aktiveret osteoarthritis, akutte former for periarthropathia humeroscapularis</w:t>
      </w:r>
      <w:r w:rsidR="00F0543E">
        <w:rPr>
          <w:sz w:val="24"/>
          <w:szCs w:val="24"/>
        </w:rPr>
        <w:t>.</w:t>
      </w:r>
    </w:p>
    <w:p w14:paraId="3CA89D48" w14:textId="7EC75A31" w:rsidR="003D308F" w:rsidRPr="003D308F" w:rsidRDefault="003D308F" w:rsidP="003D308F">
      <w:pPr>
        <w:tabs>
          <w:tab w:val="left" w:pos="1134"/>
        </w:tabs>
        <w:ind w:left="1134" w:hanging="283"/>
        <w:rPr>
          <w:sz w:val="24"/>
          <w:szCs w:val="24"/>
        </w:rPr>
      </w:pPr>
      <w:r w:rsidRPr="003D308F">
        <w:rPr>
          <w:b/>
          <w:bCs/>
          <w:sz w:val="24"/>
          <w:szCs w:val="24"/>
        </w:rPr>
        <w:t>-</w:t>
      </w:r>
      <w:r>
        <w:rPr>
          <w:b/>
          <w:bCs/>
          <w:sz w:val="24"/>
          <w:szCs w:val="24"/>
        </w:rPr>
        <w:tab/>
      </w:r>
      <w:r w:rsidRPr="003D308F">
        <w:rPr>
          <w:sz w:val="24"/>
          <w:szCs w:val="24"/>
        </w:rPr>
        <w:t>Infiltrationsbehandling (på tvingende indikation) af non</w:t>
      </w:r>
      <w:r w:rsidRPr="003D308F">
        <w:rPr>
          <w:sz w:val="24"/>
          <w:szCs w:val="24"/>
        </w:rPr>
        <w:noBreakHyphen/>
        <w:t>bakteriel tendovaginitis og bursitis, periatrit, insertionel tendinopati.</w:t>
      </w:r>
    </w:p>
    <w:p w14:paraId="2BA6A102" w14:textId="56A64105" w:rsidR="003D308F" w:rsidRPr="003D308F" w:rsidRDefault="003D308F" w:rsidP="003D308F">
      <w:pPr>
        <w:numPr>
          <w:ilvl w:val="0"/>
          <w:numId w:val="7"/>
        </w:numPr>
        <w:tabs>
          <w:tab w:val="left" w:pos="1134"/>
        </w:tabs>
        <w:ind w:left="1134" w:hanging="283"/>
        <w:rPr>
          <w:sz w:val="24"/>
          <w:szCs w:val="24"/>
        </w:rPr>
      </w:pPr>
      <w:r w:rsidRPr="003D308F">
        <w:rPr>
          <w:sz w:val="24"/>
          <w:szCs w:val="24"/>
        </w:rPr>
        <w:t xml:space="preserve">Oftalmologi: </w:t>
      </w:r>
      <w:r>
        <w:rPr>
          <w:sz w:val="24"/>
          <w:szCs w:val="24"/>
        </w:rPr>
        <w:t>S</w:t>
      </w:r>
      <w:r w:rsidRPr="003D308F">
        <w:rPr>
          <w:sz w:val="24"/>
          <w:szCs w:val="24"/>
        </w:rPr>
        <w:t>ubkonjunktival administration ved ikke-infektiøs keratokonjunktivitis, scleritis (undtagen nekrotiserende scleritis), uveitis anterior og intermedia. Ampullerne med 1,8 ml eller 2 ml injektionsvæske, opløsning er ikke egnede til subkonjunktival anvendelse.</w:t>
      </w:r>
    </w:p>
    <w:p w14:paraId="582C6AC8" w14:textId="77777777" w:rsidR="009260DE" w:rsidRPr="00C84483" w:rsidRDefault="009260DE" w:rsidP="009260DE">
      <w:pPr>
        <w:tabs>
          <w:tab w:val="left" w:pos="851"/>
        </w:tabs>
        <w:ind w:left="851"/>
        <w:rPr>
          <w:sz w:val="24"/>
          <w:szCs w:val="24"/>
        </w:rPr>
      </w:pPr>
    </w:p>
    <w:p w14:paraId="3B09581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43D8A9D" w14:textId="77777777" w:rsidR="0015198B" w:rsidRDefault="0015198B" w:rsidP="0015198B">
      <w:pPr>
        <w:tabs>
          <w:tab w:val="left" w:pos="851"/>
        </w:tabs>
        <w:ind w:left="851"/>
        <w:rPr>
          <w:sz w:val="24"/>
          <w:szCs w:val="24"/>
          <w:u w:val="single"/>
        </w:rPr>
      </w:pPr>
    </w:p>
    <w:p w14:paraId="5576C8D8" w14:textId="2AA55869" w:rsidR="0015198B" w:rsidRPr="00BB7171" w:rsidRDefault="0015198B" w:rsidP="0015198B">
      <w:pPr>
        <w:tabs>
          <w:tab w:val="left" w:pos="851"/>
        </w:tabs>
        <w:ind w:left="851"/>
        <w:rPr>
          <w:b/>
          <w:sz w:val="24"/>
          <w:szCs w:val="24"/>
        </w:rPr>
      </w:pPr>
      <w:r w:rsidRPr="00BB7171">
        <w:rPr>
          <w:b/>
          <w:sz w:val="24"/>
          <w:szCs w:val="24"/>
        </w:rPr>
        <w:t>Dosering</w:t>
      </w:r>
    </w:p>
    <w:p w14:paraId="4903F5A9" w14:textId="77777777" w:rsidR="0015198B" w:rsidRPr="00193BB8" w:rsidRDefault="0015198B" w:rsidP="0015198B">
      <w:pPr>
        <w:tabs>
          <w:tab w:val="left" w:pos="851"/>
        </w:tabs>
        <w:ind w:left="851"/>
        <w:rPr>
          <w:sz w:val="24"/>
          <w:szCs w:val="24"/>
        </w:rPr>
      </w:pPr>
      <w:r w:rsidRPr="00193BB8">
        <w:rPr>
          <w:sz w:val="24"/>
          <w:szCs w:val="24"/>
        </w:rPr>
        <w:t>Dosis afhænger af sygdommens art og sværhedsgrad samt den enkelte patients respons på behandlingen. Generelt skal der anvendes relativt høje indledende doser, og de bør være markant højere ved akutte, svære tilstande end ved kroniske sygdomme.</w:t>
      </w:r>
    </w:p>
    <w:p w14:paraId="37F44384" w14:textId="77777777" w:rsidR="0015198B" w:rsidRPr="00193BB8" w:rsidRDefault="0015198B" w:rsidP="0015198B">
      <w:pPr>
        <w:tabs>
          <w:tab w:val="left" w:pos="851"/>
        </w:tabs>
        <w:ind w:left="851"/>
        <w:rPr>
          <w:sz w:val="24"/>
          <w:szCs w:val="24"/>
        </w:rPr>
      </w:pPr>
    </w:p>
    <w:p w14:paraId="30CEE0BE" w14:textId="77777777" w:rsidR="0015198B" w:rsidRPr="00193BB8" w:rsidRDefault="0015198B" w:rsidP="0015198B">
      <w:pPr>
        <w:tabs>
          <w:tab w:val="left" w:pos="851"/>
        </w:tabs>
        <w:ind w:left="851"/>
        <w:rPr>
          <w:sz w:val="24"/>
          <w:szCs w:val="24"/>
        </w:rPr>
      </w:pPr>
      <w:r w:rsidRPr="00193BB8">
        <w:rPr>
          <w:sz w:val="24"/>
          <w:szCs w:val="24"/>
        </w:rPr>
        <w:t>Medmindre andet er ordineret, gælder følgende doseringsanbefalinger:</w:t>
      </w:r>
    </w:p>
    <w:p w14:paraId="0B909EEF" w14:textId="77777777" w:rsidR="0015198B" w:rsidRPr="00193BB8" w:rsidRDefault="0015198B" w:rsidP="0015198B">
      <w:pPr>
        <w:tabs>
          <w:tab w:val="left" w:pos="851"/>
        </w:tabs>
        <w:ind w:left="851"/>
        <w:rPr>
          <w:sz w:val="24"/>
          <w:szCs w:val="24"/>
        </w:rPr>
      </w:pPr>
    </w:p>
    <w:p w14:paraId="462DFC5C" w14:textId="77777777" w:rsidR="0015198B" w:rsidRPr="00193BB8" w:rsidRDefault="0015198B" w:rsidP="0015198B">
      <w:pPr>
        <w:tabs>
          <w:tab w:val="left" w:pos="851"/>
        </w:tabs>
        <w:ind w:left="851"/>
        <w:rPr>
          <w:sz w:val="24"/>
          <w:szCs w:val="24"/>
          <w:u w:val="single"/>
        </w:rPr>
      </w:pPr>
      <w:r w:rsidRPr="00193BB8">
        <w:rPr>
          <w:bCs/>
          <w:sz w:val="24"/>
          <w:szCs w:val="24"/>
          <w:u w:val="single"/>
        </w:rPr>
        <w:t>Systemisk administration</w:t>
      </w:r>
    </w:p>
    <w:p w14:paraId="6D371E79" w14:textId="77777777" w:rsidR="0015198B" w:rsidRPr="00193BB8" w:rsidRDefault="0015198B" w:rsidP="0015198B">
      <w:pPr>
        <w:tabs>
          <w:tab w:val="left" w:pos="851"/>
        </w:tabs>
        <w:ind w:left="851"/>
        <w:rPr>
          <w:sz w:val="24"/>
          <w:szCs w:val="24"/>
        </w:rPr>
      </w:pPr>
    </w:p>
    <w:p w14:paraId="76990BFA" w14:textId="4FC3F424" w:rsidR="0015198B" w:rsidRPr="00193BB8" w:rsidRDefault="0015198B" w:rsidP="0015198B">
      <w:pPr>
        <w:tabs>
          <w:tab w:val="left" w:pos="1134"/>
        </w:tabs>
        <w:ind w:left="1134" w:hanging="283"/>
        <w:rPr>
          <w:i/>
          <w:iCs/>
          <w:sz w:val="24"/>
          <w:szCs w:val="24"/>
        </w:rPr>
      </w:pPr>
      <w:r w:rsidRPr="00193BB8">
        <w:rPr>
          <w:i/>
          <w:iCs/>
          <w:sz w:val="24"/>
          <w:szCs w:val="24"/>
        </w:rPr>
        <w:t>Cerebralt ødem</w:t>
      </w:r>
    </w:p>
    <w:p w14:paraId="7CD1F221" w14:textId="2B79DA9A" w:rsidR="0015198B" w:rsidRPr="0015198B" w:rsidRDefault="0015198B" w:rsidP="00D41392">
      <w:pPr>
        <w:tabs>
          <w:tab w:val="left" w:pos="851"/>
        </w:tabs>
        <w:ind w:left="851"/>
        <w:rPr>
          <w:sz w:val="24"/>
          <w:szCs w:val="24"/>
        </w:rPr>
      </w:pPr>
      <w:r w:rsidRPr="00193BB8">
        <w:rPr>
          <w:sz w:val="24"/>
          <w:szCs w:val="24"/>
        </w:rPr>
        <w:t>Afhængigt af sygdommens art og sværhedsgrad administreres en initialdosis på 8</w:t>
      </w:r>
      <w:r w:rsidRPr="00193BB8">
        <w:rPr>
          <w:sz w:val="24"/>
          <w:szCs w:val="24"/>
        </w:rPr>
        <w:noBreakHyphen/>
        <w:t>10 mg</w:t>
      </w:r>
      <w:r w:rsidRPr="0015198B">
        <w:rPr>
          <w:sz w:val="24"/>
          <w:szCs w:val="24"/>
        </w:rPr>
        <w:t xml:space="preserve"> (op til 80 mg) i.v. og derefter 16</w:t>
      </w:r>
      <w:r w:rsidRPr="0015198B">
        <w:rPr>
          <w:sz w:val="24"/>
          <w:szCs w:val="24"/>
        </w:rPr>
        <w:noBreakHyphen/>
        <w:t>24 mg (op til 48 mg)/dag i.v. fordelt på 3</w:t>
      </w:r>
      <w:r w:rsidRPr="0015198B">
        <w:rPr>
          <w:sz w:val="24"/>
          <w:szCs w:val="24"/>
        </w:rPr>
        <w:noBreakHyphen/>
        <w:t>4 (6) individuelle doser over 4</w:t>
      </w:r>
      <w:r w:rsidRPr="0015198B">
        <w:rPr>
          <w:sz w:val="24"/>
          <w:szCs w:val="24"/>
        </w:rPr>
        <w:noBreakHyphen/>
        <w:t xml:space="preserve">8 dage. Langvarig administration af Dexamethasone phosphate </w:t>
      </w:r>
      <w:r w:rsidRPr="0015198B">
        <w:rPr>
          <w:sz w:val="24"/>
          <w:szCs w:val="24"/>
        </w:rPr>
        <w:lastRenderedPageBreak/>
        <w:t>"Panpharma" 4 mg/ml ved lavere doser kan være nødvendigt under strålebehandling og som en del af konservativ behandling af inoperable hjernetumorer.</w:t>
      </w:r>
    </w:p>
    <w:p w14:paraId="1D42C950" w14:textId="77777777" w:rsidR="0015198B" w:rsidRPr="0015198B" w:rsidRDefault="0015198B" w:rsidP="0015198B">
      <w:pPr>
        <w:tabs>
          <w:tab w:val="left" w:pos="1134"/>
        </w:tabs>
        <w:ind w:left="1134" w:hanging="283"/>
        <w:rPr>
          <w:sz w:val="24"/>
          <w:szCs w:val="24"/>
        </w:rPr>
      </w:pPr>
    </w:p>
    <w:p w14:paraId="2631B624" w14:textId="08DC4C87" w:rsidR="0015198B" w:rsidRPr="00D41392" w:rsidRDefault="0015198B" w:rsidP="00D41392">
      <w:pPr>
        <w:ind w:left="851"/>
        <w:rPr>
          <w:i/>
          <w:sz w:val="24"/>
          <w:szCs w:val="24"/>
        </w:rPr>
      </w:pPr>
      <w:r w:rsidRPr="00D41392">
        <w:rPr>
          <w:i/>
          <w:sz w:val="24"/>
          <w:szCs w:val="24"/>
        </w:rPr>
        <w:t>Cerebralt ødem pga. bakteriel meningitis</w:t>
      </w:r>
    </w:p>
    <w:p w14:paraId="5C253FC5" w14:textId="63666521" w:rsidR="0015198B" w:rsidRPr="0015198B" w:rsidRDefault="0015198B" w:rsidP="00D41392">
      <w:pPr>
        <w:ind w:left="851"/>
        <w:rPr>
          <w:sz w:val="24"/>
          <w:szCs w:val="24"/>
        </w:rPr>
      </w:pPr>
      <w:r w:rsidRPr="0015198B">
        <w:rPr>
          <w:sz w:val="24"/>
          <w:szCs w:val="24"/>
        </w:rPr>
        <w:t xml:space="preserve">0,15 mg/kg legemsvægt hver 6. time i 4 dage, børn 0,4 mg/kg legemsvægt hver 12. time i 2 dage; begyndende før første administration af antibiotika. </w:t>
      </w:r>
    </w:p>
    <w:p w14:paraId="3FE2990F" w14:textId="77777777" w:rsidR="00D41392" w:rsidRDefault="00D41392" w:rsidP="00D41392">
      <w:pPr>
        <w:tabs>
          <w:tab w:val="left" w:pos="1134"/>
        </w:tabs>
        <w:ind w:left="1134" w:hanging="283"/>
        <w:rPr>
          <w:i/>
          <w:iCs/>
          <w:sz w:val="24"/>
          <w:szCs w:val="24"/>
        </w:rPr>
      </w:pPr>
    </w:p>
    <w:p w14:paraId="07323A56" w14:textId="06707BD6" w:rsidR="00D41392" w:rsidRDefault="0015198B" w:rsidP="00D41392">
      <w:pPr>
        <w:tabs>
          <w:tab w:val="left" w:pos="1134"/>
        </w:tabs>
        <w:ind w:left="1134" w:hanging="283"/>
        <w:rPr>
          <w:iCs/>
          <w:sz w:val="24"/>
          <w:szCs w:val="24"/>
        </w:rPr>
      </w:pPr>
      <w:r w:rsidRPr="00D41392">
        <w:rPr>
          <w:i/>
          <w:iCs/>
          <w:sz w:val="24"/>
          <w:szCs w:val="24"/>
        </w:rPr>
        <w:t>Posttraumatisk shock/forebyggelse af posttraumatisk shocklunge-syndrom</w:t>
      </w:r>
    </w:p>
    <w:p w14:paraId="1C0C475A" w14:textId="0BD209A5" w:rsidR="0015198B" w:rsidRPr="00D41392" w:rsidRDefault="00193BB8" w:rsidP="00193BB8">
      <w:pPr>
        <w:tabs>
          <w:tab w:val="left" w:pos="851"/>
        </w:tabs>
        <w:ind w:left="851"/>
        <w:rPr>
          <w:sz w:val="24"/>
          <w:szCs w:val="24"/>
        </w:rPr>
      </w:pPr>
      <w:r>
        <w:rPr>
          <w:iCs/>
          <w:sz w:val="24"/>
          <w:szCs w:val="24"/>
        </w:rPr>
        <w:t>I</w:t>
      </w:r>
      <w:r w:rsidR="0015198B" w:rsidRPr="00D41392">
        <w:rPr>
          <w:iCs/>
          <w:sz w:val="24"/>
          <w:szCs w:val="24"/>
        </w:rPr>
        <w:t>ndledningsvist 40</w:t>
      </w:r>
      <w:r>
        <w:rPr>
          <w:iCs/>
          <w:sz w:val="24"/>
          <w:szCs w:val="24"/>
        </w:rPr>
        <w:t>-</w:t>
      </w:r>
      <w:r w:rsidR="0015198B" w:rsidRPr="00D41392">
        <w:rPr>
          <w:iCs/>
          <w:sz w:val="24"/>
          <w:szCs w:val="24"/>
        </w:rPr>
        <w:t>100 mg (børn 40 mg) i.v., en gentagen dosis efter 12 timer eller 16</w:t>
      </w:r>
      <w:r>
        <w:rPr>
          <w:iCs/>
          <w:sz w:val="24"/>
          <w:szCs w:val="24"/>
        </w:rPr>
        <w:t>-</w:t>
      </w:r>
      <w:r w:rsidR="0015198B" w:rsidRPr="00D41392">
        <w:rPr>
          <w:iCs/>
          <w:sz w:val="24"/>
          <w:szCs w:val="24"/>
        </w:rPr>
        <w:t>40</w:t>
      </w:r>
      <w:r>
        <w:rPr>
          <w:iCs/>
          <w:sz w:val="24"/>
          <w:szCs w:val="24"/>
        </w:rPr>
        <w:t xml:space="preserve"> </w:t>
      </w:r>
      <w:r w:rsidR="0015198B" w:rsidRPr="00D41392">
        <w:rPr>
          <w:iCs/>
          <w:sz w:val="24"/>
          <w:szCs w:val="24"/>
        </w:rPr>
        <w:t>mg hver 6. time i 2 3 dage.</w:t>
      </w:r>
    </w:p>
    <w:p w14:paraId="1482EF48" w14:textId="77777777" w:rsidR="00193BB8" w:rsidRDefault="00193BB8" w:rsidP="0015198B">
      <w:pPr>
        <w:tabs>
          <w:tab w:val="left" w:pos="1134"/>
        </w:tabs>
        <w:ind w:left="1134" w:hanging="283"/>
        <w:rPr>
          <w:b/>
          <w:bCs/>
          <w:sz w:val="24"/>
          <w:szCs w:val="24"/>
        </w:rPr>
      </w:pPr>
    </w:p>
    <w:p w14:paraId="1E1A18EC" w14:textId="405472AB" w:rsidR="0015198B" w:rsidRPr="00193BB8" w:rsidRDefault="00193BB8" w:rsidP="0015198B">
      <w:pPr>
        <w:tabs>
          <w:tab w:val="left" w:pos="1134"/>
        </w:tabs>
        <w:ind w:left="1134" w:hanging="283"/>
        <w:rPr>
          <w:i/>
          <w:iCs/>
          <w:sz w:val="24"/>
          <w:szCs w:val="24"/>
        </w:rPr>
      </w:pPr>
      <w:r w:rsidRPr="00193BB8">
        <w:rPr>
          <w:i/>
          <w:iCs/>
          <w:sz w:val="24"/>
          <w:szCs w:val="24"/>
        </w:rPr>
        <w:t>A</w:t>
      </w:r>
      <w:r w:rsidR="0015198B" w:rsidRPr="00193BB8">
        <w:rPr>
          <w:i/>
          <w:iCs/>
          <w:sz w:val="24"/>
          <w:szCs w:val="24"/>
        </w:rPr>
        <w:t>lvorligt, akut astmaanfald</w:t>
      </w:r>
    </w:p>
    <w:p w14:paraId="6A3AC550" w14:textId="282AE5EE" w:rsidR="0015198B" w:rsidRPr="0015198B" w:rsidRDefault="0015198B" w:rsidP="00193BB8">
      <w:pPr>
        <w:ind w:left="851"/>
        <w:rPr>
          <w:sz w:val="24"/>
          <w:szCs w:val="24"/>
        </w:rPr>
      </w:pPr>
      <w:r w:rsidRPr="0015198B">
        <w:rPr>
          <w:sz w:val="24"/>
          <w:szCs w:val="24"/>
        </w:rPr>
        <w:t>8</w:t>
      </w:r>
      <w:r w:rsidRPr="0015198B">
        <w:rPr>
          <w:sz w:val="24"/>
          <w:szCs w:val="24"/>
        </w:rPr>
        <w:noBreakHyphen/>
        <w:t xml:space="preserve">20 mg i.v. så tidligt som muligt. </w:t>
      </w:r>
    </w:p>
    <w:p w14:paraId="6BB07503" w14:textId="6522A591" w:rsidR="0015198B" w:rsidRPr="0015198B" w:rsidRDefault="0015198B" w:rsidP="00193BB8">
      <w:pPr>
        <w:ind w:left="851"/>
        <w:rPr>
          <w:sz w:val="24"/>
          <w:szCs w:val="24"/>
        </w:rPr>
      </w:pPr>
      <w:r w:rsidRPr="0015198B">
        <w:rPr>
          <w:sz w:val="24"/>
          <w:szCs w:val="24"/>
        </w:rPr>
        <w:t>Børn: 0,15</w:t>
      </w:r>
      <w:r w:rsidRPr="0015198B">
        <w:rPr>
          <w:b/>
          <w:bCs/>
          <w:sz w:val="24"/>
          <w:szCs w:val="24"/>
        </w:rPr>
        <w:t>-</w:t>
      </w:r>
      <w:r w:rsidRPr="0015198B">
        <w:rPr>
          <w:sz w:val="24"/>
          <w:szCs w:val="24"/>
        </w:rPr>
        <w:t>0,3 mg/kg legemsvægt i.v. eller oralt, eller 1,2 mg/kg legemsvægt som en indledende bolus efterfulgt af 0,3 mg/kg hver 4.-6. time. Aminophyllin og mucolytika kan administreres som tillæg.</w:t>
      </w:r>
    </w:p>
    <w:p w14:paraId="6B85E3F5" w14:textId="77777777" w:rsidR="0015198B" w:rsidRPr="0015198B" w:rsidRDefault="0015198B" w:rsidP="0015198B">
      <w:pPr>
        <w:tabs>
          <w:tab w:val="left" w:pos="1134"/>
        </w:tabs>
        <w:ind w:left="1134" w:hanging="283"/>
        <w:rPr>
          <w:sz w:val="24"/>
          <w:szCs w:val="24"/>
        </w:rPr>
      </w:pPr>
    </w:p>
    <w:p w14:paraId="0A870F31" w14:textId="349A0F35" w:rsidR="0015198B" w:rsidRPr="00193BB8" w:rsidRDefault="0015198B" w:rsidP="0015198B">
      <w:pPr>
        <w:tabs>
          <w:tab w:val="left" w:pos="1134"/>
        </w:tabs>
        <w:ind w:left="1134" w:hanging="283"/>
        <w:rPr>
          <w:i/>
          <w:iCs/>
          <w:sz w:val="24"/>
          <w:szCs w:val="24"/>
        </w:rPr>
      </w:pPr>
      <w:r w:rsidRPr="00193BB8">
        <w:rPr>
          <w:i/>
          <w:iCs/>
          <w:sz w:val="24"/>
          <w:szCs w:val="24"/>
        </w:rPr>
        <w:t>Akutte hudsygdomme</w:t>
      </w:r>
    </w:p>
    <w:p w14:paraId="13C396A0" w14:textId="05039F66" w:rsidR="0015198B" w:rsidRPr="0015198B" w:rsidRDefault="0015198B" w:rsidP="00193BB8">
      <w:pPr>
        <w:ind w:left="851"/>
        <w:rPr>
          <w:sz w:val="24"/>
          <w:szCs w:val="24"/>
        </w:rPr>
      </w:pPr>
      <w:r w:rsidRPr="0015198B">
        <w:rPr>
          <w:sz w:val="24"/>
          <w:szCs w:val="24"/>
        </w:rPr>
        <w:t>Afhængigt af sygdommens art og omfang, daglige doser på 8</w:t>
      </w:r>
      <w:r w:rsidRPr="0015198B">
        <w:rPr>
          <w:sz w:val="24"/>
          <w:szCs w:val="24"/>
        </w:rPr>
        <w:noBreakHyphen/>
        <w:t>40 mg i.v., i enkelttilfælde</w:t>
      </w:r>
      <w:r w:rsidR="00193BB8">
        <w:rPr>
          <w:sz w:val="24"/>
          <w:szCs w:val="24"/>
        </w:rPr>
        <w:t xml:space="preserve"> </w:t>
      </w:r>
      <w:r w:rsidRPr="0015198B">
        <w:rPr>
          <w:sz w:val="24"/>
          <w:szCs w:val="24"/>
        </w:rPr>
        <w:t>op til 100 mg, efterfulgt af oral behandling med faldende doser.</w:t>
      </w:r>
    </w:p>
    <w:p w14:paraId="51764094" w14:textId="77777777" w:rsidR="0015198B" w:rsidRPr="0015198B" w:rsidRDefault="0015198B" w:rsidP="0015198B">
      <w:pPr>
        <w:tabs>
          <w:tab w:val="left" w:pos="1134"/>
        </w:tabs>
        <w:ind w:left="1134" w:hanging="283"/>
        <w:rPr>
          <w:sz w:val="24"/>
          <w:szCs w:val="24"/>
        </w:rPr>
      </w:pPr>
    </w:p>
    <w:p w14:paraId="40986068" w14:textId="3D7FBB56" w:rsidR="0015198B" w:rsidRPr="00193BB8" w:rsidRDefault="0015198B" w:rsidP="0015198B">
      <w:pPr>
        <w:tabs>
          <w:tab w:val="left" w:pos="1134"/>
        </w:tabs>
        <w:ind w:left="1134" w:hanging="283"/>
        <w:rPr>
          <w:i/>
          <w:sz w:val="24"/>
          <w:szCs w:val="24"/>
        </w:rPr>
      </w:pPr>
      <w:r w:rsidRPr="00193BB8">
        <w:rPr>
          <w:i/>
          <w:sz w:val="24"/>
          <w:szCs w:val="24"/>
        </w:rPr>
        <w:t>Aktive faser af systemisk reumatisk sygdom</w:t>
      </w:r>
    </w:p>
    <w:p w14:paraId="30B74C2D" w14:textId="3B414D6B" w:rsidR="0015198B" w:rsidRPr="0015198B" w:rsidRDefault="0015198B" w:rsidP="0015198B">
      <w:pPr>
        <w:tabs>
          <w:tab w:val="left" w:pos="1134"/>
        </w:tabs>
        <w:ind w:left="1134" w:hanging="283"/>
        <w:rPr>
          <w:sz w:val="24"/>
          <w:szCs w:val="24"/>
        </w:rPr>
      </w:pPr>
      <w:r w:rsidRPr="0015198B">
        <w:rPr>
          <w:sz w:val="24"/>
          <w:szCs w:val="24"/>
        </w:rPr>
        <w:t xml:space="preserve">Systemisk lupus erythematosus: </w:t>
      </w:r>
      <w:r w:rsidR="00193BB8">
        <w:rPr>
          <w:sz w:val="24"/>
          <w:szCs w:val="24"/>
        </w:rPr>
        <w:t>D</w:t>
      </w:r>
      <w:r w:rsidRPr="0015198B">
        <w:rPr>
          <w:sz w:val="24"/>
          <w:szCs w:val="24"/>
        </w:rPr>
        <w:t>aglige doser på 6</w:t>
      </w:r>
      <w:r w:rsidRPr="0015198B">
        <w:rPr>
          <w:sz w:val="24"/>
          <w:szCs w:val="24"/>
        </w:rPr>
        <w:noBreakHyphen/>
        <w:t>16 mg.</w:t>
      </w:r>
    </w:p>
    <w:p w14:paraId="02F21E63" w14:textId="77777777" w:rsidR="0015198B" w:rsidRPr="0015198B" w:rsidRDefault="0015198B" w:rsidP="0015198B">
      <w:pPr>
        <w:tabs>
          <w:tab w:val="left" w:pos="1134"/>
        </w:tabs>
        <w:ind w:left="1134" w:hanging="283"/>
        <w:rPr>
          <w:sz w:val="24"/>
          <w:szCs w:val="24"/>
        </w:rPr>
      </w:pPr>
    </w:p>
    <w:p w14:paraId="1D846CBF" w14:textId="6842B7B1" w:rsidR="0015198B" w:rsidRPr="00193BB8" w:rsidRDefault="0015198B" w:rsidP="0015198B">
      <w:pPr>
        <w:tabs>
          <w:tab w:val="left" w:pos="1134"/>
        </w:tabs>
        <w:ind w:left="1134" w:hanging="283"/>
        <w:rPr>
          <w:i/>
          <w:iCs/>
          <w:sz w:val="24"/>
          <w:szCs w:val="24"/>
        </w:rPr>
      </w:pPr>
      <w:r w:rsidRPr="00193BB8">
        <w:rPr>
          <w:i/>
          <w:iCs/>
          <w:sz w:val="24"/>
          <w:szCs w:val="24"/>
        </w:rPr>
        <w:t>Aktiv reumatoid artrit med et alvorligt progressivt forløb</w:t>
      </w:r>
    </w:p>
    <w:p w14:paraId="217EAC8A" w14:textId="7AA812D0" w:rsidR="0015198B" w:rsidRPr="0015198B" w:rsidRDefault="0015198B" w:rsidP="00193BB8">
      <w:pPr>
        <w:tabs>
          <w:tab w:val="left" w:pos="1134"/>
        </w:tabs>
        <w:ind w:left="851"/>
        <w:rPr>
          <w:sz w:val="24"/>
          <w:szCs w:val="24"/>
        </w:rPr>
      </w:pPr>
      <w:r w:rsidRPr="0015198B">
        <w:rPr>
          <w:sz w:val="24"/>
          <w:szCs w:val="24"/>
        </w:rPr>
        <w:t>Daglige doser på 12</w:t>
      </w:r>
      <w:r w:rsidRPr="0015198B">
        <w:rPr>
          <w:sz w:val="24"/>
          <w:szCs w:val="24"/>
        </w:rPr>
        <w:noBreakHyphen/>
        <w:t xml:space="preserve">16 mg til behandling af hurtigt fremadskridende sygdom. Daglige doser </w:t>
      </w:r>
      <w:r w:rsidR="00193BB8">
        <w:rPr>
          <w:sz w:val="24"/>
          <w:szCs w:val="24"/>
        </w:rPr>
        <w:t xml:space="preserve">på 6-12 </w:t>
      </w:r>
      <w:r w:rsidRPr="0015198B">
        <w:rPr>
          <w:sz w:val="24"/>
          <w:szCs w:val="24"/>
        </w:rPr>
        <w:t>mg anbefales ved ekstraartikulære manifestationer.</w:t>
      </w:r>
    </w:p>
    <w:p w14:paraId="13ADE1CF" w14:textId="77777777" w:rsidR="0015198B" w:rsidRPr="0015198B" w:rsidRDefault="0015198B" w:rsidP="0015198B">
      <w:pPr>
        <w:tabs>
          <w:tab w:val="left" w:pos="1134"/>
        </w:tabs>
        <w:ind w:left="1134" w:hanging="283"/>
        <w:rPr>
          <w:sz w:val="24"/>
          <w:szCs w:val="24"/>
        </w:rPr>
      </w:pPr>
    </w:p>
    <w:p w14:paraId="28BEE23D" w14:textId="57CCC97C" w:rsidR="0015198B" w:rsidRPr="00193BB8" w:rsidRDefault="0015198B" w:rsidP="00193BB8">
      <w:pPr>
        <w:tabs>
          <w:tab w:val="left" w:pos="1134"/>
        </w:tabs>
        <w:ind w:left="851"/>
        <w:rPr>
          <w:i/>
          <w:sz w:val="24"/>
          <w:szCs w:val="24"/>
        </w:rPr>
      </w:pPr>
      <w:r w:rsidRPr="00193BB8">
        <w:rPr>
          <w:i/>
          <w:iCs/>
          <w:sz w:val="24"/>
          <w:szCs w:val="24"/>
        </w:rPr>
        <w:t>Alvorlig infektionssygdom med</w:t>
      </w:r>
      <w:r w:rsidRPr="00193BB8">
        <w:rPr>
          <w:i/>
          <w:sz w:val="24"/>
          <w:szCs w:val="24"/>
        </w:rPr>
        <w:t xml:space="preserve"> toksiske tilstande (fx tuberkulose, tyfus; kun med samtidig og passende behandling af infektionen)</w:t>
      </w:r>
    </w:p>
    <w:p w14:paraId="3DF9FB01" w14:textId="6F9B05A1" w:rsidR="0015198B" w:rsidRPr="0015198B" w:rsidRDefault="0015198B" w:rsidP="00193BB8">
      <w:pPr>
        <w:tabs>
          <w:tab w:val="left" w:pos="1134"/>
        </w:tabs>
        <w:ind w:left="851"/>
        <w:rPr>
          <w:sz w:val="24"/>
          <w:szCs w:val="24"/>
        </w:rPr>
      </w:pPr>
      <w:r w:rsidRPr="0015198B">
        <w:rPr>
          <w:sz w:val="24"/>
          <w:szCs w:val="24"/>
        </w:rPr>
        <w:t>Daglige doser på 4</w:t>
      </w:r>
      <w:r w:rsidRPr="0015198B">
        <w:rPr>
          <w:sz w:val="24"/>
          <w:szCs w:val="24"/>
        </w:rPr>
        <w:noBreakHyphen/>
        <w:t>20 mg i.v. I individuelle tilfælde (fx tyfus) indledningsvis op til 200 mg.</w:t>
      </w:r>
    </w:p>
    <w:p w14:paraId="3A1F1BB9" w14:textId="77777777" w:rsidR="0015198B" w:rsidRPr="0015198B" w:rsidRDefault="0015198B" w:rsidP="0015198B">
      <w:pPr>
        <w:tabs>
          <w:tab w:val="left" w:pos="1134"/>
        </w:tabs>
        <w:ind w:left="1134" w:hanging="283"/>
        <w:rPr>
          <w:sz w:val="24"/>
          <w:szCs w:val="24"/>
        </w:rPr>
      </w:pPr>
    </w:p>
    <w:p w14:paraId="56775130" w14:textId="5343C2C2" w:rsidR="0015198B" w:rsidRPr="00193BB8" w:rsidRDefault="0015198B" w:rsidP="0015198B">
      <w:pPr>
        <w:tabs>
          <w:tab w:val="left" w:pos="1134"/>
        </w:tabs>
        <w:ind w:left="1134" w:hanging="283"/>
        <w:rPr>
          <w:i/>
          <w:iCs/>
          <w:sz w:val="24"/>
          <w:szCs w:val="24"/>
        </w:rPr>
      </w:pPr>
      <w:r w:rsidRPr="00193BB8">
        <w:rPr>
          <w:i/>
          <w:iCs/>
          <w:sz w:val="24"/>
          <w:szCs w:val="24"/>
        </w:rPr>
        <w:t>Palliativ behandling af maligne tumorer</w:t>
      </w:r>
    </w:p>
    <w:p w14:paraId="3A727521" w14:textId="03876997" w:rsidR="0015198B" w:rsidRPr="0015198B" w:rsidRDefault="0015198B" w:rsidP="0015198B">
      <w:pPr>
        <w:tabs>
          <w:tab w:val="left" w:pos="1134"/>
        </w:tabs>
        <w:ind w:left="1134" w:hanging="283"/>
        <w:rPr>
          <w:iCs/>
          <w:sz w:val="24"/>
          <w:szCs w:val="24"/>
        </w:rPr>
      </w:pPr>
      <w:r w:rsidRPr="0015198B">
        <w:rPr>
          <w:iCs/>
          <w:sz w:val="24"/>
          <w:szCs w:val="24"/>
        </w:rPr>
        <w:t>Indledningsvis 8</w:t>
      </w:r>
      <w:r w:rsidRPr="0015198B">
        <w:rPr>
          <w:iCs/>
          <w:sz w:val="24"/>
          <w:szCs w:val="24"/>
        </w:rPr>
        <w:noBreakHyphen/>
        <w:t>16 mg/dag</w:t>
      </w:r>
      <w:r w:rsidR="00193BB8">
        <w:rPr>
          <w:iCs/>
          <w:sz w:val="24"/>
          <w:szCs w:val="24"/>
        </w:rPr>
        <w:t>. V</w:t>
      </w:r>
      <w:r w:rsidRPr="0015198B">
        <w:rPr>
          <w:iCs/>
          <w:sz w:val="24"/>
          <w:szCs w:val="24"/>
        </w:rPr>
        <w:t>ed længerevarende behandling 4</w:t>
      </w:r>
      <w:r w:rsidRPr="0015198B">
        <w:rPr>
          <w:iCs/>
          <w:sz w:val="24"/>
          <w:szCs w:val="24"/>
        </w:rPr>
        <w:noBreakHyphen/>
        <w:t>12 mg/dag.</w:t>
      </w:r>
    </w:p>
    <w:p w14:paraId="540452E5" w14:textId="77777777" w:rsidR="0015198B" w:rsidRPr="0015198B" w:rsidRDefault="0015198B" w:rsidP="0015198B">
      <w:pPr>
        <w:tabs>
          <w:tab w:val="left" w:pos="1134"/>
        </w:tabs>
        <w:ind w:left="1134" w:hanging="283"/>
        <w:rPr>
          <w:iCs/>
          <w:sz w:val="24"/>
          <w:szCs w:val="24"/>
        </w:rPr>
      </w:pPr>
    </w:p>
    <w:p w14:paraId="5460E478" w14:textId="29E19FC6" w:rsidR="0015198B" w:rsidRPr="00193BB8" w:rsidRDefault="0015198B" w:rsidP="00193BB8">
      <w:pPr>
        <w:tabs>
          <w:tab w:val="left" w:pos="1134"/>
        </w:tabs>
        <w:ind w:left="851"/>
        <w:rPr>
          <w:i/>
          <w:iCs/>
          <w:sz w:val="24"/>
          <w:szCs w:val="24"/>
        </w:rPr>
      </w:pPr>
      <w:r w:rsidRPr="00193BB8">
        <w:rPr>
          <w:i/>
          <w:iCs/>
          <w:sz w:val="24"/>
          <w:szCs w:val="24"/>
        </w:rPr>
        <w:t>Profylakse og behandling af cytostatika-induceret opkastning i forbindelse med antiemetiske</w:t>
      </w:r>
      <w:r w:rsidR="00193BB8" w:rsidRPr="00193BB8">
        <w:rPr>
          <w:i/>
          <w:iCs/>
          <w:sz w:val="24"/>
          <w:szCs w:val="24"/>
        </w:rPr>
        <w:t xml:space="preserve"> </w:t>
      </w:r>
      <w:r w:rsidRPr="00193BB8">
        <w:rPr>
          <w:i/>
          <w:iCs/>
          <w:sz w:val="24"/>
          <w:szCs w:val="24"/>
        </w:rPr>
        <w:t>behandlingsforløb</w:t>
      </w:r>
    </w:p>
    <w:p w14:paraId="702478A9" w14:textId="466F3463" w:rsidR="0015198B" w:rsidRPr="0015198B" w:rsidRDefault="0015198B" w:rsidP="00193BB8">
      <w:pPr>
        <w:tabs>
          <w:tab w:val="left" w:pos="1134"/>
        </w:tabs>
        <w:ind w:left="851"/>
        <w:rPr>
          <w:iCs/>
          <w:sz w:val="24"/>
          <w:szCs w:val="24"/>
        </w:rPr>
      </w:pPr>
      <w:r w:rsidRPr="0015198B">
        <w:rPr>
          <w:iCs/>
          <w:sz w:val="24"/>
          <w:szCs w:val="24"/>
        </w:rPr>
        <w:t>10</w:t>
      </w:r>
      <w:r w:rsidRPr="0015198B">
        <w:rPr>
          <w:iCs/>
          <w:sz w:val="24"/>
          <w:szCs w:val="24"/>
        </w:rPr>
        <w:noBreakHyphen/>
        <w:t>20 mg i.v. eller oralt før påbegyndelse af kemoterapi</w:t>
      </w:r>
      <w:r w:rsidR="00193BB8">
        <w:rPr>
          <w:iCs/>
          <w:sz w:val="24"/>
          <w:szCs w:val="24"/>
        </w:rPr>
        <w:t>. D</w:t>
      </w:r>
      <w:r w:rsidRPr="0015198B">
        <w:rPr>
          <w:iCs/>
          <w:sz w:val="24"/>
          <w:szCs w:val="24"/>
        </w:rPr>
        <w:t>erefter, ved behov, 4</w:t>
      </w:r>
      <w:r w:rsidRPr="0015198B">
        <w:rPr>
          <w:iCs/>
          <w:sz w:val="24"/>
          <w:szCs w:val="24"/>
        </w:rPr>
        <w:noBreakHyphen/>
        <w:t>8 mg 2 til 3 gange dagligt i 1</w:t>
      </w:r>
      <w:r w:rsidRPr="0015198B">
        <w:rPr>
          <w:iCs/>
          <w:sz w:val="24"/>
          <w:szCs w:val="24"/>
        </w:rPr>
        <w:noBreakHyphen/>
        <w:t>3 dage (moderat emetogen terapi) eller op til 6 dage (højemetogen kemoterapi).</w:t>
      </w:r>
    </w:p>
    <w:p w14:paraId="4235F0B1" w14:textId="77777777" w:rsidR="0015198B" w:rsidRPr="0015198B" w:rsidRDefault="0015198B" w:rsidP="0015198B">
      <w:pPr>
        <w:tabs>
          <w:tab w:val="left" w:pos="1134"/>
        </w:tabs>
        <w:ind w:left="1134" w:hanging="283"/>
        <w:rPr>
          <w:iCs/>
          <w:sz w:val="24"/>
          <w:szCs w:val="24"/>
        </w:rPr>
      </w:pPr>
    </w:p>
    <w:p w14:paraId="2A5F9589" w14:textId="33398AE3" w:rsidR="0015198B" w:rsidRPr="00193BB8" w:rsidRDefault="0015198B" w:rsidP="0015198B">
      <w:pPr>
        <w:tabs>
          <w:tab w:val="left" w:pos="1134"/>
        </w:tabs>
        <w:ind w:left="1134" w:hanging="283"/>
        <w:rPr>
          <w:i/>
          <w:iCs/>
          <w:sz w:val="24"/>
          <w:szCs w:val="24"/>
        </w:rPr>
      </w:pPr>
      <w:r w:rsidRPr="00193BB8">
        <w:rPr>
          <w:i/>
          <w:iCs/>
          <w:sz w:val="24"/>
          <w:szCs w:val="24"/>
        </w:rPr>
        <w:t>Forebyggelse og behandling af postoperativ opkastning</w:t>
      </w:r>
    </w:p>
    <w:p w14:paraId="2FF87D71" w14:textId="518EBFCE" w:rsidR="0015198B" w:rsidRPr="0015198B" w:rsidRDefault="0015198B" w:rsidP="0015198B">
      <w:pPr>
        <w:tabs>
          <w:tab w:val="left" w:pos="1134"/>
        </w:tabs>
        <w:ind w:left="1134" w:hanging="283"/>
        <w:rPr>
          <w:iCs/>
          <w:sz w:val="24"/>
          <w:szCs w:val="24"/>
        </w:rPr>
      </w:pPr>
      <w:r w:rsidRPr="0015198B">
        <w:rPr>
          <w:iCs/>
          <w:sz w:val="24"/>
          <w:szCs w:val="24"/>
        </w:rPr>
        <w:t>En enkelt dosis på 8</w:t>
      </w:r>
      <w:r w:rsidRPr="0015198B">
        <w:rPr>
          <w:iCs/>
          <w:sz w:val="24"/>
          <w:szCs w:val="24"/>
        </w:rPr>
        <w:noBreakHyphen/>
        <w:t xml:space="preserve">20 mg i.v. før påbegyndelse af operationen; hos børn fra 2 år og op: </w:t>
      </w:r>
    </w:p>
    <w:p w14:paraId="6AF11544" w14:textId="6C61342D" w:rsidR="0015198B" w:rsidRPr="0015198B" w:rsidRDefault="0015198B" w:rsidP="0015198B">
      <w:pPr>
        <w:tabs>
          <w:tab w:val="left" w:pos="1134"/>
        </w:tabs>
        <w:ind w:left="1134" w:hanging="283"/>
        <w:rPr>
          <w:iCs/>
          <w:sz w:val="24"/>
          <w:szCs w:val="24"/>
        </w:rPr>
      </w:pPr>
      <w:r w:rsidRPr="0015198B">
        <w:rPr>
          <w:iCs/>
          <w:sz w:val="24"/>
          <w:szCs w:val="24"/>
        </w:rPr>
        <w:t xml:space="preserve">0,15-0,5 mg/kg legemsvægt (højst op til 16 mg). </w:t>
      </w:r>
    </w:p>
    <w:p w14:paraId="3DC9BAE7" w14:textId="77777777" w:rsidR="0015198B" w:rsidRPr="0015198B" w:rsidRDefault="0015198B" w:rsidP="0015198B">
      <w:pPr>
        <w:tabs>
          <w:tab w:val="left" w:pos="1134"/>
        </w:tabs>
        <w:ind w:left="1134" w:hanging="283"/>
        <w:rPr>
          <w:iCs/>
          <w:sz w:val="24"/>
          <w:szCs w:val="24"/>
        </w:rPr>
      </w:pPr>
    </w:p>
    <w:p w14:paraId="7F140AA7" w14:textId="3BE2A38F" w:rsidR="0015198B" w:rsidRPr="00BB7171" w:rsidRDefault="0015198B" w:rsidP="0015198B">
      <w:pPr>
        <w:tabs>
          <w:tab w:val="left" w:pos="1134"/>
        </w:tabs>
        <w:ind w:left="1134" w:hanging="283"/>
        <w:rPr>
          <w:i/>
          <w:iCs/>
          <w:sz w:val="24"/>
          <w:szCs w:val="24"/>
        </w:rPr>
      </w:pPr>
      <w:r w:rsidRPr="00BB7171">
        <w:rPr>
          <w:i/>
          <w:iCs/>
          <w:sz w:val="24"/>
          <w:szCs w:val="24"/>
        </w:rPr>
        <w:t>Behandling af COVID-19</w:t>
      </w:r>
    </w:p>
    <w:p w14:paraId="3EE9A799" w14:textId="3E9DE468" w:rsidR="0015198B" w:rsidRPr="0015198B" w:rsidRDefault="0015198B" w:rsidP="0015198B">
      <w:pPr>
        <w:tabs>
          <w:tab w:val="left" w:pos="1134"/>
        </w:tabs>
        <w:ind w:left="1134" w:hanging="283"/>
        <w:rPr>
          <w:iCs/>
          <w:sz w:val="24"/>
          <w:szCs w:val="24"/>
        </w:rPr>
      </w:pPr>
      <w:r w:rsidRPr="0015198B">
        <w:rPr>
          <w:iCs/>
          <w:sz w:val="24"/>
          <w:szCs w:val="24"/>
        </w:rPr>
        <w:t>Hos voksne patienter 7,27 mg i.v. eller oralt (hvilket svarer til 6 mg dexamethason), én</w:t>
      </w:r>
      <w:r w:rsidR="00BB7171">
        <w:rPr>
          <w:iCs/>
          <w:sz w:val="24"/>
          <w:szCs w:val="24"/>
        </w:rPr>
        <w:t xml:space="preserve"> </w:t>
      </w:r>
      <w:r w:rsidRPr="0015198B">
        <w:rPr>
          <w:iCs/>
          <w:sz w:val="24"/>
          <w:szCs w:val="24"/>
        </w:rPr>
        <w:t xml:space="preserve"> </w:t>
      </w:r>
    </w:p>
    <w:p w14:paraId="24CF6709" w14:textId="7E4D0143" w:rsidR="0015198B" w:rsidRDefault="0015198B" w:rsidP="0015198B">
      <w:pPr>
        <w:tabs>
          <w:tab w:val="left" w:pos="1134"/>
        </w:tabs>
        <w:ind w:left="1134" w:hanging="283"/>
        <w:rPr>
          <w:iCs/>
          <w:sz w:val="24"/>
          <w:szCs w:val="24"/>
        </w:rPr>
      </w:pPr>
      <w:r w:rsidRPr="0015198B">
        <w:rPr>
          <w:iCs/>
          <w:sz w:val="24"/>
          <w:szCs w:val="24"/>
        </w:rPr>
        <w:t>gang dagligt i op til 10 dage.</w:t>
      </w:r>
    </w:p>
    <w:p w14:paraId="6B366A17" w14:textId="2190D863" w:rsidR="00BB7171" w:rsidRDefault="00BB7171">
      <w:pPr>
        <w:rPr>
          <w:iCs/>
          <w:sz w:val="24"/>
          <w:szCs w:val="24"/>
        </w:rPr>
      </w:pPr>
      <w:r>
        <w:rPr>
          <w:iCs/>
          <w:sz w:val="24"/>
          <w:szCs w:val="24"/>
        </w:rPr>
        <w:br w:type="page"/>
      </w:r>
    </w:p>
    <w:p w14:paraId="4CCA1452" w14:textId="77777777" w:rsidR="00BB7171" w:rsidRPr="0015198B" w:rsidRDefault="00BB7171" w:rsidP="0015198B">
      <w:pPr>
        <w:tabs>
          <w:tab w:val="left" w:pos="1134"/>
        </w:tabs>
        <w:ind w:left="1134" w:hanging="283"/>
        <w:rPr>
          <w:iCs/>
          <w:sz w:val="24"/>
          <w:szCs w:val="24"/>
        </w:rPr>
      </w:pPr>
    </w:p>
    <w:p w14:paraId="64F4404A" w14:textId="3E177DC7" w:rsidR="0015198B" w:rsidRPr="0015198B" w:rsidRDefault="0015198B" w:rsidP="0015198B">
      <w:pPr>
        <w:tabs>
          <w:tab w:val="left" w:pos="1134"/>
        </w:tabs>
        <w:ind w:left="1134" w:hanging="283"/>
        <w:rPr>
          <w:i/>
          <w:iCs/>
          <w:sz w:val="24"/>
          <w:szCs w:val="24"/>
        </w:rPr>
      </w:pPr>
      <w:r w:rsidRPr="0015198B">
        <w:rPr>
          <w:i/>
          <w:iCs/>
          <w:sz w:val="24"/>
          <w:szCs w:val="24"/>
        </w:rPr>
        <w:t>Pædiatrisk population</w:t>
      </w:r>
    </w:p>
    <w:p w14:paraId="58BA4CC8" w14:textId="55E3B4FE" w:rsidR="0015198B" w:rsidRPr="0015198B" w:rsidRDefault="0015198B" w:rsidP="00193BB8">
      <w:pPr>
        <w:tabs>
          <w:tab w:val="left" w:pos="1134"/>
        </w:tabs>
        <w:ind w:left="851"/>
        <w:rPr>
          <w:sz w:val="24"/>
          <w:szCs w:val="24"/>
        </w:rPr>
      </w:pPr>
      <w:r w:rsidRPr="0015198B">
        <w:rPr>
          <w:sz w:val="24"/>
          <w:szCs w:val="24"/>
        </w:rPr>
        <w:t>Pædiatriske patienter (unge, som er 12 år eller ældre) anbefales en daglig dosis på 7,27 mg i.v. eller oralt (hvilket svarer til 6 mg of dexamethason) i op til 10 dage.</w:t>
      </w:r>
    </w:p>
    <w:p w14:paraId="7E207935" w14:textId="26DE9A85" w:rsidR="0015198B" w:rsidRPr="0015198B" w:rsidRDefault="0015198B" w:rsidP="00193BB8">
      <w:pPr>
        <w:tabs>
          <w:tab w:val="left" w:pos="1134"/>
        </w:tabs>
        <w:ind w:left="851"/>
        <w:rPr>
          <w:iCs/>
          <w:sz w:val="24"/>
          <w:szCs w:val="24"/>
        </w:rPr>
      </w:pPr>
      <w:r w:rsidRPr="0015198B">
        <w:rPr>
          <w:iCs/>
          <w:sz w:val="24"/>
          <w:szCs w:val="24"/>
        </w:rPr>
        <w:t xml:space="preserve">Behandlingens varighed bør baseres på det kliniske respons og patientens individuelle behov. </w:t>
      </w:r>
    </w:p>
    <w:p w14:paraId="3ED6DD51" w14:textId="77777777" w:rsidR="0015198B" w:rsidRPr="0015198B" w:rsidRDefault="0015198B" w:rsidP="0015198B">
      <w:pPr>
        <w:tabs>
          <w:tab w:val="left" w:pos="1134"/>
        </w:tabs>
        <w:ind w:left="1134" w:hanging="283"/>
        <w:rPr>
          <w:sz w:val="24"/>
          <w:szCs w:val="24"/>
        </w:rPr>
      </w:pPr>
    </w:p>
    <w:p w14:paraId="53F53807" w14:textId="1BA36A83" w:rsidR="0015198B" w:rsidRPr="0015198B" w:rsidRDefault="0015198B" w:rsidP="0015198B">
      <w:pPr>
        <w:tabs>
          <w:tab w:val="left" w:pos="1134"/>
        </w:tabs>
        <w:ind w:left="1134" w:hanging="283"/>
        <w:rPr>
          <w:sz w:val="24"/>
          <w:szCs w:val="24"/>
        </w:rPr>
      </w:pPr>
      <w:r w:rsidRPr="0015198B">
        <w:rPr>
          <w:i/>
          <w:iCs/>
          <w:sz w:val="24"/>
          <w:szCs w:val="24"/>
        </w:rPr>
        <w:t>Ældre patienter, nedsat nyrefunktion, nedsat leverfunktion</w:t>
      </w:r>
      <w:r w:rsidRPr="0015198B">
        <w:rPr>
          <w:sz w:val="24"/>
          <w:szCs w:val="24"/>
        </w:rPr>
        <w:t xml:space="preserve"> </w:t>
      </w:r>
    </w:p>
    <w:p w14:paraId="017348F3" w14:textId="6739EF31" w:rsidR="0015198B" w:rsidRPr="0015198B" w:rsidRDefault="0015198B" w:rsidP="0015198B">
      <w:pPr>
        <w:tabs>
          <w:tab w:val="left" w:pos="1134"/>
        </w:tabs>
        <w:ind w:left="1134" w:hanging="283"/>
        <w:rPr>
          <w:sz w:val="24"/>
          <w:szCs w:val="24"/>
        </w:rPr>
      </w:pPr>
      <w:r w:rsidRPr="0015198B">
        <w:rPr>
          <w:sz w:val="24"/>
          <w:szCs w:val="24"/>
        </w:rPr>
        <w:t>Der er ikke behov for dosisjustering.</w:t>
      </w:r>
    </w:p>
    <w:p w14:paraId="3EC2550A" w14:textId="77777777" w:rsidR="0015198B" w:rsidRPr="0015198B" w:rsidRDefault="0015198B" w:rsidP="0015198B">
      <w:pPr>
        <w:tabs>
          <w:tab w:val="left" w:pos="851"/>
        </w:tabs>
        <w:ind w:left="851"/>
        <w:rPr>
          <w:sz w:val="24"/>
          <w:szCs w:val="24"/>
        </w:rPr>
      </w:pPr>
    </w:p>
    <w:p w14:paraId="40453467" w14:textId="165D334D" w:rsidR="0015198B" w:rsidRPr="00BB7171" w:rsidRDefault="0015198B" w:rsidP="00BB7171">
      <w:pPr>
        <w:tabs>
          <w:tab w:val="left" w:pos="851"/>
        </w:tabs>
        <w:ind w:left="851"/>
        <w:rPr>
          <w:bCs/>
          <w:sz w:val="24"/>
          <w:szCs w:val="24"/>
          <w:u w:val="single"/>
        </w:rPr>
      </w:pPr>
      <w:r w:rsidRPr="00BB7171">
        <w:rPr>
          <w:bCs/>
          <w:sz w:val="24"/>
          <w:szCs w:val="24"/>
          <w:u w:val="single"/>
        </w:rPr>
        <w:t>Lo</w:t>
      </w:r>
      <w:r w:rsidR="00BB7171">
        <w:rPr>
          <w:bCs/>
          <w:sz w:val="24"/>
          <w:szCs w:val="24"/>
          <w:u w:val="single"/>
        </w:rPr>
        <w:t>k</w:t>
      </w:r>
      <w:r w:rsidRPr="00BB7171">
        <w:rPr>
          <w:bCs/>
          <w:sz w:val="24"/>
          <w:szCs w:val="24"/>
          <w:u w:val="single"/>
        </w:rPr>
        <w:t>al administration</w:t>
      </w:r>
    </w:p>
    <w:p w14:paraId="031215F4" w14:textId="77777777" w:rsidR="0015198B" w:rsidRPr="0015198B" w:rsidRDefault="0015198B" w:rsidP="0015198B">
      <w:pPr>
        <w:tabs>
          <w:tab w:val="left" w:pos="851"/>
        </w:tabs>
        <w:ind w:left="851"/>
        <w:rPr>
          <w:sz w:val="24"/>
          <w:szCs w:val="24"/>
        </w:rPr>
      </w:pPr>
      <w:r w:rsidRPr="0015198B">
        <w:rPr>
          <w:sz w:val="24"/>
          <w:szCs w:val="24"/>
        </w:rPr>
        <w:t xml:space="preserve">Lokal infiltraton og injektionsbehandling udføres sædvanligvis med 4-8 mg ; 2 mg dexametasonfosfat er tilstrækkeligt hvis injiceret i mindre led eller administreres via subkonjunktival injektion. </w:t>
      </w:r>
    </w:p>
    <w:p w14:paraId="67E0D0CF" w14:textId="77777777" w:rsidR="0015198B" w:rsidRPr="0015198B" w:rsidRDefault="0015198B" w:rsidP="0015198B">
      <w:pPr>
        <w:tabs>
          <w:tab w:val="left" w:pos="851"/>
        </w:tabs>
        <w:ind w:left="851"/>
        <w:rPr>
          <w:sz w:val="24"/>
          <w:szCs w:val="24"/>
        </w:rPr>
      </w:pPr>
    </w:p>
    <w:p w14:paraId="36B7849F" w14:textId="77777777" w:rsidR="0015198B" w:rsidRPr="00BB7171" w:rsidRDefault="0015198B" w:rsidP="0015198B">
      <w:pPr>
        <w:tabs>
          <w:tab w:val="left" w:pos="851"/>
        </w:tabs>
        <w:ind w:left="851"/>
        <w:rPr>
          <w:b/>
          <w:sz w:val="24"/>
          <w:szCs w:val="24"/>
        </w:rPr>
      </w:pPr>
      <w:r w:rsidRPr="00BB7171">
        <w:rPr>
          <w:b/>
          <w:sz w:val="24"/>
          <w:szCs w:val="24"/>
        </w:rPr>
        <w:t>Administration</w:t>
      </w:r>
    </w:p>
    <w:p w14:paraId="39679610" w14:textId="77777777" w:rsidR="0015198B" w:rsidRPr="0015198B" w:rsidRDefault="0015198B" w:rsidP="0015198B">
      <w:pPr>
        <w:tabs>
          <w:tab w:val="left" w:pos="851"/>
        </w:tabs>
        <w:ind w:left="851"/>
        <w:rPr>
          <w:sz w:val="24"/>
          <w:szCs w:val="24"/>
        </w:rPr>
      </w:pPr>
      <w:r w:rsidRPr="0015198B">
        <w:rPr>
          <w:sz w:val="24"/>
          <w:szCs w:val="24"/>
        </w:rPr>
        <w:t>Dexamethasone phosphate "Panpharma" bør administreres ved langsom intravenøs injektion (over 2-3 minutter) eller ved infusion men kan også administreres intramuskulært, hvis der opstår problemer med venøsadgangen, og der er tilstrækkelig blodcirkulation. Dexamethasone phosphate "Panpharma" kan også administreres ved infiltration og ved intrakulær eller subkonjunktival injektion. Behandlingstiden afhænger af indikationen.</w:t>
      </w:r>
    </w:p>
    <w:p w14:paraId="55F4B688" w14:textId="77777777" w:rsidR="0015198B" w:rsidRPr="0015198B" w:rsidRDefault="0015198B" w:rsidP="0015198B">
      <w:pPr>
        <w:tabs>
          <w:tab w:val="left" w:pos="851"/>
        </w:tabs>
        <w:ind w:left="851"/>
        <w:rPr>
          <w:sz w:val="24"/>
          <w:szCs w:val="24"/>
        </w:rPr>
      </w:pPr>
    </w:p>
    <w:p w14:paraId="280B6DA1" w14:textId="023993B7" w:rsidR="0015198B" w:rsidRPr="0015198B" w:rsidRDefault="0015198B" w:rsidP="0015198B">
      <w:pPr>
        <w:tabs>
          <w:tab w:val="left" w:pos="851"/>
        </w:tabs>
        <w:ind w:left="851"/>
        <w:rPr>
          <w:sz w:val="24"/>
          <w:szCs w:val="24"/>
        </w:rPr>
      </w:pPr>
      <w:r w:rsidRPr="0015198B">
        <w:rPr>
          <w:sz w:val="24"/>
          <w:szCs w:val="24"/>
        </w:rPr>
        <w:t>I tilfælde af hypotyroidisme eller levercirrose kan</w:t>
      </w:r>
      <w:r w:rsidR="00BB7171">
        <w:rPr>
          <w:sz w:val="24"/>
          <w:szCs w:val="24"/>
        </w:rPr>
        <w:t xml:space="preserve"> </w:t>
      </w:r>
      <w:r w:rsidRPr="0015198B">
        <w:rPr>
          <w:sz w:val="24"/>
          <w:szCs w:val="24"/>
        </w:rPr>
        <w:t>lave doser være tilstrækkelige, eller det kan være nødvendigt at reducere dosis.</w:t>
      </w:r>
    </w:p>
    <w:p w14:paraId="59797461" w14:textId="77777777" w:rsidR="0015198B" w:rsidRPr="0015198B" w:rsidRDefault="0015198B" w:rsidP="0015198B">
      <w:pPr>
        <w:tabs>
          <w:tab w:val="left" w:pos="851"/>
        </w:tabs>
        <w:ind w:left="851"/>
        <w:rPr>
          <w:sz w:val="24"/>
          <w:szCs w:val="24"/>
        </w:rPr>
      </w:pPr>
    </w:p>
    <w:p w14:paraId="2372A49A" w14:textId="1314D484" w:rsidR="0015198B" w:rsidRDefault="0015198B" w:rsidP="0015198B">
      <w:pPr>
        <w:tabs>
          <w:tab w:val="left" w:pos="851"/>
        </w:tabs>
        <w:ind w:left="851"/>
        <w:rPr>
          <w:sz w:val="24"/>
          <w:szCs w:val="24"/>
        </w:rPr>
      </w:pPr>
      <w:r w:rsidRPr="0015198B">
        <w:rPr>
          <w:sz w:val="24"/>
          <w:szCs w:val="24"/>
        </w:rPr>
        <w:t>Administration via intraartikulær injektion skal anses for at være åbent ledindgreb og udføres under strenge aseptiske forhold. En enkelt intraartikulær injektion er normalt tilstrækkelig til effektiv symptomlindring. Hvis en gentagen injektion skulle være nødvendig, må den ikke administreres tidligere end efter 3</w:t>
      </w:r>
      <w:r w:rsidR="00BB7171">
        <w:rPr>
          <w:sz w:val="24"/>
          <w:szCs w:val="24"/>
        </w:rPr>
        <w:t>-</w:t>
      </w:r>
      <w:r w:rsidRPr="0015198B">
        <w:rPr>
          <w:sz w:val="24"/>
          <w:szCs w:val="24"/>
        </w:rPr>
        <w:t>4 uger. Der må ikke anvendes mere end 3</w:t>
      </w:r>
      <w:r w:rsidR="00BB7171">
        <w:rPr>
          <w:sz w:val="24"/>
          <w:szCs w:val="24"/>
        </w:rPr>
        <w:t>-</w:t>
      </w:r>
      <w:r w:rsidRPr="0015198B">
        <w:rPr>
          <w:sz w:val="24"/>
          <w:szCs w:val="24"/>
        </w:rPr>
        <w:t>4 injektioner på ét led. En medicinsk undersøgelse af leddet er påkrævet, især efter gentagne injektioner.</w:t>
      </w:r>
    </w:p>
    <w:p w14:paraId="212981D4" w14:textId="77777777" w:rsidR="00BB7171" w:rsidRPr="0015198B" w:rsidRDefault="00BB7171" w:rsidP="0015198B">
      <w:pPr>
        <w:tabs>
          <w:tab w:val="left" w:pos="851"/>
        </w:tabs>
        <w:ind w:left="851"/>
        <w:rPr>
          <w:iCs/>
          <w:sz w:val="24"/>
          <w:szCs w:val="24"/>
        </w:rPr>
      </w:pPr>
    </w:p>
    <w:p w14:paraId="002168FD" w14:textId="6278D760" w:rsidR="0015198B" w:rsidRPr="0015198B" w:rsidRDefault="0015198B" w:rsidP="0015198B">
      <w:pPr>
        <w:tabs>
          <w:tab w:val="left" w:pos="851"/>
        </w:tabs>
        <w:ind w:left="851"/>
        <w:rPr>
          <w:iCs/>
          <w:sz w:val="24"/>
          <w:szCs w:val="24"/>
        </w:rPr>
      </w:pPr>
      <w:r w:rsidRPr="0015198B">
        <w:rPr>
          <w:iCs/>
          <w:sz w:val="24"/>
          <w:szCs w:val="24"/>
        </w:rPr>
        <w:t xml:space="preserve">Infiltration: Området med den største smerte eller senefæster er infiltreret med </w:t>
      </w:r>
      <w:r w:rsidR="00BB7171" w:rsidRPr="0015198B">
        <w:rPr>
          <w:sz w:val="24"/>
          <w:szCs w:val="24"/>
        </w:rPr>
        <w:t>Dexamethasone phosphate "Panpharma"</w:t>
      </w:r>
      <w:r w:rsidRPr="0015198B">
        <w:rPr>
          <w:iCs/>
          <w:sz w:val="24"/>
          <w:szCs w:val="24"/>
        </w:rPr>
        <w:t>. Forsigtig, injicér ikke i sene! Hyppige injektioner skal undgås, og strenge aseptiske forholdsregler skal overholdes.</w:t>
      </w:r>
    </w:p>
    <w:p w14:paraId="1CC55880" w14:textId="77777777" w:rsidR="0015198B" w:rsidRPr="0015198B" w:rsidRDefault="0015198B" w:rsidP="0015198B">
      <w:pPr>
        <w:tabs>
          <w:tab w:val="left" w:pos="851"/>
        </w:tabs>
        <w:ind w:left="851"/>
        <w:rPr>
          <w:i/>
          <w:sz w:val="24"/>
          <w:szCs w:val="24"/>
        </w:rPr>
      </w:pPr>
    </w:p>
    <w:p w14:paraId="59E0EEE2" w14:textId="77777777" w:rsidR="0015198B" w:rsidRPr="0015198B" w:rsidRDefault="0015198B" w:rsidP="0015198B">
      <w:pPr>
        <w:tabs>
          <w:tab w:val="left" w:pos="851"/>
        </w:tabs>
        <w:ind w:left="851"/>
        <w:rPr>
          <w:i/>
          <w:sz w:val="24"/>
          <w:szCs w:val="24"/>
        </w:rPr>
      </w:pPr>
      <w:r w:rsidRPr="0015198B">
        <w:rPr>
          <w:i/>
          <w:sz w:val="24"/>
          <w:szCs w:val="24"/>
        </w:rPr>
        <w:t>Anvendelse</w:t>
      </w:r>
    </w:p>
    <w:p w14:paraId="253927CC" w14:textId="77777777" w:rsidR="0015198B" w:rsidRPr="0015198B" w:rsidRDefault="0015198B" w:rsidP="0015198B">
      <w:pPr>
        <w:tabs>
          <w:tab w:val="left" w:pos="851"/>
        </w:tabs>
        <w:ind w:left="851"/>
        <w:rPr>
          <w:sz w:val="24"/>
          <w:szCs w:val="24"/>
        </w:rPr>
      </w:pPr>
      <w:r w:rsidRPr="0015198B">
        <w:rPr>
          <w:sz w:val="24"/>
          <w:szCs w:val="24"/>
        </w:rPr>
        <w:t xml:space="preserve">Kun klar opløsning bør anvendes. Ampullens indhold er kun til engangsbrug. Resterende injektionsopløsning bør bortskaffes. </w:t>
      </w:r>
    </w:p>
    <w:p w14:paraId="1CB892D4" w14:textId="045D0CBF" w:rsidR="0015198B" w:rsidRPr="0015198B" w:rsidRDefault="0015198B" w:rsidP="0015198B">
      <w:pPr>
        <w:tabs>
          <w:tab w:val="left" w:pos="851"/>
        </w:tabs>
        <w:ind w:left="851"/>
        <w:rPr>
          <w:sz w:val="24"/>
          <w:szCs w:val="24"/>
        </w:rPr>
      </w:pPr>
      <w:r w:rsidRPr="0015198B">
        <w:rPr>
          <w:sz w:val="24"/>
          <w:szCs w:val="24"/>
        </w:rPr>
        <w:t>For information o</w:t>
      </w:r>
      <w:r w:rsidR="00BB7171">
        <w:rPr>
          <w:sz w:val="24"/>
          <w:szCs w:val="24"/>
        </w:rPr>
        <w:t>m</w:t>
      </w:r>
      <w:r w:rsidRPr="0015198B">
        <w:rPr>
          <w:sz w:val="24"/>
          <w:szCs w:val="24"/>
        </w:rPr>
        <w:t xml:space="preserve"> forligelighed med andre infusionsopløsninger se pkt. 6.6. </w:t>
      </w:r>
    </w:p>
    <w:p w14:paraId="467E8257" w14:textId="77777777" w:rsidR="009260DE" w:rsidRPr="00C84483" w:rsidRDefault="009260DE" w:rsidP="009260DE">
      <w:pPr>
        <w:tabs>
          <w:tab w:val="left" w:pos="851"/>
        </w:tabs>
        <w:ind w:left="851"/>
        <w:rPr>
          <w:sz w:val="24"/>
          <w:szCs w:val="24"/>
        </w:rPr>
      </w:pPr>
    </w:p>
    <w:p w14:paraId="7E5B23E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FB55CB7" w14:textId="77777777" w:rsidR="00BB7171" w:rsidRPr="00BB7171" w:rsidRDefault="00BB7171" w:rsidP="00BB7171">
      <w:pPr>
        <w:tabs>
          <w:tab w:val="left" w:pos="851"/>
        </w:tabs>
        <w:ind w:left="851"/>
        <w:rPr>
          <w:sz w:val="24"/>
          <w:szCs w:val="24"/>
        </w:rPr>
      </w:pPr>
      <w:r w:rsidRPr="00BB7171">
        <w:rPr>
          <w:sz w:val="24"/>
          <w:szCs w:val="24"/>
        </w:rPr>
        <w:t>Overfølsomhed over for det aktive stof eller over for et eller flere af hjælpestofferne anført i pkt. 6.1.</w:t>
      </w:r>
    </w:p>
    <w:p w14:paraId="5BB2ABF3" w14:textId="77777777" w:rsidR="00BB7171" w:rsidRPr="00BB7171" w:rsidRDefault="00BB7171" w:rsidP="00BB7171">
      <w:pPr>
        <w:tabs>
          <w:tab w:val="left" w:pos="851"/>
        </w:tabs>
        <w:ind w:left="851"/>
        <w:rPr>
          <w:sz w:val="24"/>
          <w:szCs w:val="24"/>
        </w:rPr>
      </w:pPr>
    </w:p>
    <w:p w14:paraId="707B7073" w14:textId="77777777" w:rsidR="00BB7171" w:rsidRPr="00BB7171" w:rsidRDefault="00BB7171" w:rsidP="00BB7171">
      <w:pPr>
        <w:tabs>
          <w:tab w:val="left" w:pos="851"/>
        </w:tabs>
        <w:ind w:left="851"/>
        <w:rPr>
          <w:sz w:val="24"/>
          <w:szCs w:val="24"/>
        </w:rPr>
      </w:pPr>
      <w:r w:rsidRPr="00BB7171">
        <w:rPr>
          <w:sz w:val="24"/>
          <w:szCs w:val="24"/>
        </w:rPr>
        <w:t>Systemisk svampeinfektion; systemisk infektion, medmindre der anvendes specifik behandling for infektion.</w:t>
      </w:r>
    </w:p>
    <w:p w14:paraId="4A95F08D" w14:textId="233B1E67" w:rsidR="00BB7171" w:rsidRPr="00BB7171" w:rsidRDefault="00BB7171" w:rsidP="00BB7171">
      <w:pPr>
        <w:tabs>
          <w:tab w:val="left" w:pos="851"/>
        </w:tabs>
        <w:ind w:left="851"/>
        <w:rPr>
          <w:sz w:val="24"/>
          <w:szCs w:val="24"/>
        </w:rPr>
      </w:pPr>
      <w:r w:rsidRPr="00BB7171">
        <w:rPr>
          <w:sz w:val="24"/>
          <w:szCs w:val="24"/>
        </w:rPr>
        <w:t>Intraartikulær injektion er kontraindiceret i følgende tilfælde</w:t>
      </w:r>
      <w:r>
        <w:rPr>
          <w:sz w:val="24"/>
          <w:szCs w:val="24"/>
        </w:rPr>
        <w:t>:</w:t>
      </w:r>
    </w:p>
    <w:p w14:paraId="52CF5F47"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hvis der er infektionen i eller meget tæt på det led, der skal behandles</w:t>
      </w:r>
    </w:p>
    <w:p w14:paraId="78870C05"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ved bakteriel artrit</w:t>
      </w:r>
    </w:p>
    <w:p w14:paraId="6FE504DD"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lastRenderedPageBreak/>
        <w:t>ved ustabilitet i det led, der skal behandles</w:t>
      </w:r>
    </w:p>
    <w:p w14:paraId="3FF8859A"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ved blødningstendens (spontan eller på grund af antikoagulantia)</w:t>
      </w:r>
    </w:p>
    <w:p w14:paraId="3C2A2D67"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ved periartikulær forkalkning</w:t>
      </w:r>
    </w:p>
    <w:p w14:paraId="391C94B2"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ved avaskulær knoglenekrose</w:t>
      </w:r>
    </w:p>
    <w:p w14:paraId="1881470F"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ved seneruptur</w:t>
      </w:r>
    </w:p>
    <w:p w14:paraId="328FCE7C" w14:textId="77777777" w:rsidR="00BB7171" w:rsidRPr="00BB7171" w:rsidRDefault="00BB7171" w:rsidP="00BB7171">
      <w:pPr>
        <w:pStyle w:val="Listeafsnit"/>
        <w:numPr>
          <w:ilvl w:val="0"/>
          <w:numId w:val="11"/>
        </w:numPr>
        <w:tabs>
          <w:tab w:val="left" w:pos="851"/>
        </w:tabs>
        <w:ind w:left="1134" w:hanging="283"/>
        <w:rPr>
          <w:sz w:val="24"/>
          <w:szCs w:val="24"/>
        </w:rPr>
      </w:pPr>
      <w:r w:rsidRPr="00BB7171">
        <w:rPr>
          <w:sz w:val="24"/>
          <w:szCs w:val="24"/>
        </w:rPr>
        <w:t>ved Charcots led</w:t>
      </w:r>
    </w:p>
    <w:p w14:paraId="2F850ECB" w14:textId="77777777" w:rsidR="00BB7171" w:rsidRPr="00BB7171" w:rsidRDefault="00BB7171" w:rsidP="00BB7171">
      <w:pPr>
        <w:tabs>
          <w:tab w:val="left" w:pos="851"/>
        </w:tabs>
        <w:ind w:left="851"/>
        <w:rPr>
          <w:sz w:val="24"/>
          <w:szCs w:val="24"/>
        </w:rPr>
      </w:pPr>
    </w:p>
    <w:p w14:paraId="1E95560B" w14:textId="5CF76135" w:rsidR="00BB7171" w:rsidRPr="00BB7171" w:rsidRDefault="00BB7171" w:rsidP="00BB7171">
      <w:pPr>
        <w:tabs>
          <w:tab w:val="left" w:pos="851"/>
        </w:tabs>
        <w:ind w:left="851"/>
        <w:rPr>
          <w:sz w:val="24"/>
          <w:szCs w:val="24"/>
        </w:rPr>
      </w:pPr>
      <w:r w:rsidRPr="00BB7171">
        <w:rPr>
          <w:sz w:val="24"/>
          <w:szCs w:val="24"/>
        </w:rPr>
        <w:t>Infiltration uden</w:t>
      </w:r>
      <w:r>
        <w:rPr>
          <w:sz w:val="24"/>
          <w:szCs w:val="24"/>
        </w:rPr>
        <w:t xml:space="preserve"> </w:t>
      </w:r>
      <w:r w:rsidRPr="00BB7171">
        <w:rPr>
          <w:sz w:val="24"/>
          <w:szCs w:val="24"/>
        </w:rPr>
        <w:t>yderligere kausal behandling er kontraindiceret, hvis der er infektionen i administrationsområdet, og det samme er subkonjunktival administration i forbindelse med virale, bakterielle og mykotiske øjensygdomme eller skader og sår på hornhinden.</w:t>
      </w:r>
    </w:p>
    <w:p w14:paraId="0DD167FB" w14:textId="77777777" w:rsidR="009260DE" w:rsidRPr="00C84483" w:rsidRDefault="009260DE" w:rsidP="009260DE">
      <w:pPr>
        <w:tabs>
          <w:tab w:val="left" w:pos="851"/>
        </w:tabs>
        <w:ind w:left="851"/>
        <w:rPr>
          <w:sz w:val="24"/>
          <w:szCs w:val="24"/>
        </w:rPr>
      </w:pPr>
    </w:p>
    <w:p w14:paraId="358ED04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3AA2A53" w14:textId="77777777" w:rsidR="00BB7171" w:rsidRPr="00BB7171" w:rsidRDefault="00BB7171" w:rsidP="00BB7171">
      <w:pPr>
        <w:tabs>
          <w:tab w:val="left" w:pos="851"/>
        </w:tabs>
        <w:ind w:left="851"/>
        <w:rPr>
          <w:i/>
          <w:iCs/>
          <w:sz w:val="24"/>
          <w:szCs w:val="24"/>
        </w:rPr>
      </w:pPr>
      <w:r w:rsidRPr="00BB7171">
        <w:rPr>
          <w:i/>
          <w:iCs/>
          <w:sz w:val="24"/>
          <w:szCs w:val="24"/>
        </w:rPr>
        <w:t>Ved anvendelse af Dexamethasone phosphate "Panpharma" er der hos enkelte patienter set svære anafylaktiske reaktioner med kredsløbssvigt, hjertestop, arytmi, bronchospasme og/eller hypotension eller hypertension.</w:t>
      </w:r>
    </w:p>
    <w:p w14:paraId="42268B64" w14:textId="77777777" w:rsidR="00BB7171" w:rsidRPr="00BB7171" w:rsidRDefault="00BB7171" w:rsidP="00BB7171">
      <w:pPr>
        <w:tabs>
          <w:tab w:val="left" w:pos="851"/>
        </w:tabs>
        <w:ind w:left="851"/>
        <w:rPr>
          <w:i/>
          <w:iCs/>
          <w:sz w:val="24"/>
          <w:szCs w:val="24"/>
        </w:rPr>
      </w:pPr>
    </w:p>
    <w:p w14:paraId="5BBE61FB" w14:textId="7C145824" w:rsidR="00BB7171" w:rsidRPr="00BB7171" w:rsidRDefault="00BB7171" w:rsidP="00BB7171">
      <w:pPr>
        <w:tabs>
          <w:tab w:val="left" w:pos="851"/>
        </w:tabs>
        <w:ind w:left="851"/>
        <w:rPr>
          <w:sz w:val="24"/>
          <w:szCs w:val="24"/>
        </w:rPr>
      </w:pPr>
      <w:r w:rsidRPr="00BB7171">
        <w:rPr>
          <w:sz w:val="24"/>
          <w:szCs w:val="24"/>
        </w:rPr>
        <w:t>Som følge af immunsuppression kan behandling med Dexamethasone phosphate "Panpharma" føre til en øget risiko for bakterie-, virus-, parasit- eller svampeinfektion eller opportunistisk infektion. Symptomer på en eksisterende infektion eller en infektion under udvikling kan blive maskeret, hvilket hæmmer diagnosticering. Latente infektioner, såsom tuberkulose eller hepatitis B, kan blive genaktiveret.</w:t>
      </w:r>
    </w:p>
    <w:p w14:paraId="31C1AE2E" w14:textId="77777777" w:rsidR="00BB7171" w:rsidRPr="00BB7171" w:rsidRDefault="00BB7171" w:rsidP="00BB7171">
      <w:pPr>
        <w:tabs>
          <w:tab w:val="left" w:pos="851"/>
        </w:tabs>
        <w:ind w:left="851"/>
        <w:rPr>
          <w:sz w:val="24"/>
          <w:szCs w:val="24"/>
        </w:rPr>
      </w:pPr>
    </w:p>
    <w:p w14:paraId="6E43E5F0" w14:textId="77777777" w:rsidR="00BB7171" w:rsidRPr="00BB7171" w:rsidRDefault="00BB7171" w:rsidP="00BB7171">
      <w:pPr>
        <w:tabs>
          <w:tab w:val="left" w:pos="851"/>
        </w:tabs>
        <w:ind w:left="851"/>
        <w:rPr>
          <w:sz w:val="24"/>
          <w:szCs w:val="24"/>
        </w:rPr>
      </w:pPr>
      <w:r w:rsidRPr="00BB7171">
        <w:rPr>
          <w:sz w:val="24"/>
          <w:szCs w:val="24"/>
        </w:rPr>
        <w:t>I situationer med særlig fysisk belastning (traume, operation, fødsel osv.) under behandling med Dexamethasone phosphate "Panpharma" kan en midlertidig dosisstigning være nødvendig.</w:t>
      </w:r>
    </w:p>
    <w:p w14:paraId="3DD9101D" w14:textId="77777777" w:rsidR="00BB7171" w:rsidRPr="00BB7171" w:rsidRDefault="00BB7171" w:rsidP="00BB7171">
      <w:pPr>
        <w:tabs>
          <w:tab w:val="left" w:pos="851"/>
        </w:tabs>
        <w:ind w:left="851"/>
        <w:rPr>
          <w:sz w:val="24"/>
          <w:szCs w:val="24"/>
        </w:rPr>
      </w:pPr>
      <w:r w:rsidRPr="00BB7171">
        <w:rPr>
          <w:sz w:val="24"/>
          <w:szCs w:val="24"/>
        </w:rPr>
        <w:t>Behandling med Dexamethasone phosphate "Panpharma" bør kun administreres i tilfælde af de strengeste indikationer og, om nødvendigt, yderligere målrettet infektionsbehandling, hvis noget af følgende er til stede:</w:t>
      </w:r>
    </w:p>
    <w:p w14:paraId="4B4BFFFA"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Akutte virusinfektioner (hepatitis B, herpes zoster, herpes simplex, varicella, herpetisk keratitis)</w:t>
      </w:r>
    </w:p>
    <w:p w14:paraId="3DA7F2B0"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HBsAG-positiv kronisk aktiv hepatitis</w:t>
      </w:r>
    </w:p>
    <w:p w14:paraId="6F160DBF"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Cirka 8 uger før til 2 uger efter vaccinationer med levende vacciner</w:t>
      </w:r>
    </w:p>
    <w:p w14:paraId="3C1A40FD" w14:textId="0BF3A037" w:rsidR="00BB7171" w:rsidRPr="00BB7171" w:rsidRDefault="00BB7171" w:rsidP="00BB7171">
      <w:pPr>
        <w:numPr>
          <w:ilvl w:val="0"/>
          <w:numId w:val="12"/>
        </w:numPr>
        <w:tabs>
          <w:tab w:val="left" w:pos="851"/>
        </w:tabs>
        <w:ind w:left="1134" w:hanging="283"/>
        <w:rPr>
          <w:sz w:val="24"/>
          <w:szCs w:val="24"/>
        </w:rPr>
      </w:pPr>
      <w:r w:rsidRPr="00BB7171">
        <w:rPr>
          <w:sz w:val="24"/>
          <w:szCs w:val="24"/>
        </w:rPr>
        <w:t>Systemiske mykoser</w:t>
      </w:r>
      <w:r>
        <w:rPr>
          <w:sz w:val="24"/>
          <w:szCs w:val="24"/>
        </w:rPr>
        <w:t xml:space="preserve"> </w:t>
      </w:r>
      <w:r w:rsidRPr="00BB7171">
        <w:rPr>
          <w:sz w:val="24"/>
          <w:szCs w:val="24"/>
        </w:rPr>
        <w:t>og parasitoser (f.eks. nematoder)</w:t>
      </w:r>
    </w:p>
    <w:p w14:paraId="563BF344"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Hos patienter med formodet eller bekræftet strongyloidiasis (infektion med trådorm) kan glukokortikoider medføre aktivering og masseformering af disse parasitter</w:t>
      </w:r>
    </w:p>
    <w:p w14:paraId="54F04ADF"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Poliomyelitis</w:t>
      </w:r>
    </w:p>
    <w:p w14:paraId="21753EAE"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Lymphadenitis efter BCG-vaccination</w:t>
      </w:r>
    </w:p>
    <w:p w14:paraId="29F261BE"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Akutte og kroniske bakterieinfektioner</w:t>
      </w:r>
    </w:p>
    <w:p w14:paraId="529C8945"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Brug kun til patienter, der tidligere har haft tuberkulose, hvis de er under tuberkulostatisk beskyttelse.</w:t>
      </w:r>
    </w:p>
    <w:p w14:paraId="5A4AEE56" w14:textId="77777777" w:rsidR="00BB7171" w:rsidRPr="00BB7171" w:rsidRDefault="00BB7171" w:rsidP="00BB7171">
      <w:pPr>
        <w:tabs>
          <w:tab w:val="left" w:pos="851"/>
        </w:tabs>
        <w:ind w:left="851"/>
        <w:rPr>
          <w:sz w:val="24"/>
          <w:szCs w:val="24"/>
        </w:rPr>
      </w:pPr>
    </w:p>
    <w:p w14:paraId="07A64405" w14:textId="77777777" w:rsidR="00BB7171" w:rsidRPr="00BB7171" w:rsidRDefault="00BB7171" w:rsidP="00BB7171">
      <w:pPr>
        <w:tabs>
          <w:tab w:val="left" w:pos="851"/>
        </w:tabs>
        <w:ind w:left="851"/>
        <w:rPr>
          <w:sz w:val="24"/>
          <w:szCs w:val="24"/>
        </w:rPr>
      </w:pPr>
      <w:r w:rsidRPr="00BB7171">
        <w:rPr>
          <w:sz w:val="24"/>
          <w:szCs w:val="24"/>
        </w:rPr>
        <w:t>Derudover bør behandling med Dexamethasone phosphate "Panpharma" kun overvejes, når det er strengt nødvendigt, og med yderligere specifik behandling i tilfælde af følgende sygdomme:</w:t>
      </w:r>
    </w:p>
    <w:p w14:paraId="108C2114"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Gastrointestinale sår</w:t>
      </w:r>
    </w:p>
    <w:p w14:paraId="6ADDA4A6"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Osteoporose</w:t>
      </w:r>
    </w:p>
    <w:p w14:paraId="540270D6"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 xml:space="preserve">Alvorlig hjerteinsufficiens </w:t>
      </w:r>
    </w:p>
    <w:p w14:paraId="7CAF9762"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Forhøjet blodtryk, der er vanskeligt at kontrollere</w:t>
      </w:r>
    </w:p>
    <w:p w14:paraId="774F7C0A"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Diabetes mellitus, der er vanskelig at kontrollere</w:t>
      </w:r>
    </w:p>
    <w:p w14:paraId="3F568C23"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lastRenderedPageBreak/>
        <w:t>Psykiatriske tilstande (også i sygdomshistorien), herunder suicidalitet. Neurologisk eller psykiatrisk monitorering anbefales.</w:t>
      </w:r>
    </w:p>
    <w:p w14:paraId="764AE1F8"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Snævervinklet og åbenvinklet glaukom. Oftalmologisk monitorering og tillægsbehandling anbefales.</w:t>
      </w:r>
    </w:p>
    <w:p w14:paraId="31CBDD55" w14:textId="77777777" w:rsidR="00BB7171" w:rsidRPr="00BB7171" w:rsidRDefault="00BB7171" w:rsidP="00BB7171">
      <w:pPr>
        <w:numPr>
          <w:ilvl w:val="0"/>
          <w:numId w:val="12"/>
        </w:numPr>
        <w:tabs>
          <w:tab w:val="left" w:pos="851"/>
        </w:tabs>
        <w:ind w:left="1134" w:hanging="283"/>
        <w:rPr>
          <w:sz w:val="24"/>
          <w:szCs w:val="24"/>
        </w:rPr>
      </w:pPr>
      <w:r w:rsidRPr="00BB7171">
        <w:rPr>
          <w:sz w:val="24"/>
          <w:szCs w:val="24"/>
        </w:rPr>
        <w:t>Hornhindesår og hornhindeskader. Oftalmologisk monitorering og tillægsbehandling anbefales.</w:t>
      </w:r>
    </w:p>
    <w:p w14:paraId="74F6D1A1" w14:textId="77777777" w:rsidR="00BB7171" w:rsidRPr="00BB7171" w:rsidRDefault="00BB7171" w:rsidP="00BB7171">
      <w:pPr>
        <w:tabs>
          <w:tab w:val="left" w:pos="851"/>
        </w:tabs>
        <w:ind w:left="851"/>
        <w:rPr>
          <w:sz w:val="24"/>
          <w:szCs w:val="24"/>
        </w:rPr>
      </w:pPr>
    </w:p>
    <w:p w14:paraId="3BD4FFD4" w14:textId="77777777" w:rsidR="00BB7171" w:rsidRPr="00BB7171" w:rsidRDefault="00BB7171" w:rsidP="00BB7171">
      <w:pPr>
        <w:tabs>
          <w:tab w:val="left" w:pos="851"/>
        </w:tabs>
        <w:ind w:left="851"/>
        <w:rPr>
          <w:sz w:val="24"/>
          <w:szCs w:val="24"/>
        </w:rPr>
      </w:pPr>
      <w:r w:rsidRPr="00BB7171">
        <w:rPr>
          <w:sz w:val="24"/>
          <w:szCs w:val="24"/>
        </w:rPr>
        <w:t>Der er blevet indberettet fæokromocytomkrise, som kan være dødelig, efter administration af systemiske kortikosteroider. Kortikosteroider må kun administreres til patienter med formodet eller identificeret fæokromocytom efter en passende risk/benefit-vurdering.</w:t>
      </w:r>
    </w:p>
    <w:p w14:paraId="7567490B" w14:textId="77777777" w:rsidR="00BB7171" w:rsidRPr="00BB7171" w:rsidRDefault="00BB7171" w:rsidP="00BB7171">
      <w:pPr>
        <w:tabs>
          <w:tab w:val="left" w:pos="851"/>
        </w:tabs>
        <w:ind w:left="851"/>
        <w:rPr>
          <w:sz w:val="24"/>
          <w:szCs w:val="24"/>
        </w:rPr>
      </w:pPr>
    </w:p>
    <w:p w14:paraId="166A33D1" w14:textId="77777777" w:rsidR="00BB7171" w:rsidRPr="00BB7171" w:rsidRDefault="00BB7171" w:rsidP="00BB7171">
      <w:pPr>
        <w:tabs>
          <w:tab w:val="left" w:pos="851"/>
        </w:tabs>
        <w:ind w:left="851"/>
        <w:rPr>
          <w:iCs/>
          <w:sz w:val="24"/>
          <w:szCs w:val="24"/>
          <w:u w:val="single"/>
        </w:rPr>
      </w:pPr>
      <w:r w:rsidRPr="00BB7171">
        <w:rPr>
          <w:iCs/>
          <w:sz w:val="24"/>
          <w:szCs w:val="24"/>
          <w:u w:val="single"/>
        </w:rPr>
        <w:t>Hypertrofisk kardiomyopati</w:t>
      </w:r>
    </w:p>
    <w:p w14:paraId="0352A67B" w14:textId="77777777" w:rsidR="00BB7171" w:rsidRPr="00BB7171" w:rsidRDefault="00BB7171" w:rsidP="00BB7171">
      <w:pPr>
        <w:tabs>
          <w:tab w:val="left" w:pos="851"/>
        </w:tabs>
        <w:ind w:left="851"/>
        <w:rPr>
          <w:sz w:val="24"/>
          <w:szCs w:val="24"/>
        </w:rPr>
      </w:pPr>
      <w:r w:rsidRPr="00BB7171">
        <w:rPr>
          <w:sz w:val="24"/>
          <w:szCs w:val="24"/>
        </w:rPr>
        <w:t>Hypertrofisk kardiomyopati blev rapporteret efter systemisk administration af kortikosteroider, herunder dexametason til præmature spædbørn. I størstedelen af de rapporterede tilfælde var dette reversibelt efter seponering af behandlingen. Hos for tidligt fødte spædbørn, der behandles med systemisk dexametason, skal der udføres diagnostisk udredning og overvågning af hjertefunktionen og -strukturen (se pkt. 4.8).</w:t>
      </w:r>
    </w:p>
    <w:p w14:paraId="14C97016" w14:textId="77777777" w:rsidR="00BB7171" w:rsidRPr="00BB7171" w:rsidRDefault="00BB7171" w:rsidP="00BB7171">
      <w:pPr>
        <w:tabs>
          <w:tab w:val="left" w:pos="851"/>
        </w:tabs>
        <w:ind w:left="851"/>
        <w:rPr>
          <w:i/>
          <w:iCs/>
          <w:sz w:val="24"/>
          <w:szCs w:val="24"/>
        </w:rPr>
      </w:pPr>
    </w:p>
    <w:p w14:paraId="0EDDC6B4" w14:textId="77777777" w:rsidR="00BB7171" w:rsidRPr="00BB7171" w:rsidRDefault="00BB7171" w:rsidP="00BB7171">
      <w:pPr>
        <w:tabs>
          <w:tab w:val="left" w:pos="851"/>
        </w:tabs>
        <w:ind w:left="851"/>
        <w:rPr>
          <w:iCs/>
          <w:sz w:val="24"/>
          <w:szCs w:val="24"/>
          <w:u w:val="single"/>
        </w:rPr>
      </w:pPr>
      <w:r w:rsidRPr="00BB7171">
        <w:rPr>
          <w:iCs/>
          <w:sz w:val="24"/>
          <w:szCs w:val="24"/>
          <w:u w:val="single"/>
        </w:rPr>
        <w:t>Synsforstyrrelser</w:t>
      </w:r>
    </w:p>
    <w:p w14:paraId="6D1C8F2D" w14:textId="77777777" w:rsidR="00BB7171" w:rsidRPr="00BB7171" w:rsidRDefault="00BB7171" w:rsidP="00BB7171">
      <w:pPr>
        <w:tabs>
          <w:tab w:val="left" w:pos="851"/>
        </w:tabs>
        <w:ind w:left="851"/>
        <w:rPr>
          <w:sz w:val="24"/>
          <w:szCs w:val="24"/>
        </w:rPr>
      </w:pPr>
      <w:r w:rsidRPr="00BB7171">
        <w:rPr>
          <w:sz w:val="24"/>
          <w:szCs w:val="24"/>
        </w:rPr>
        <w:t>Der kan forekomme synsforstyrrelser ved systemisk og topikal anvendelse af kortikosteroider. Hvis patienten har symptomer såsom sløret syn eller andre synsforstyrrelser, skal en henvisning til en oftalmolog overvejes med henblik på at få vurderet mulige årsager. Disse omfatter katarakt, glaukom eller sjældne sygdomme, såsom central serøs korioretinopati (CSCR), som er blevet rapporteret efter anvendelse af systemiske eller topiske kortikosteroider.</w:t>
      </w:r>
    </w:p>
    <w:p w14:paraId="7BAD9C7E" w14:textId="77777777" w:rsidR="00BB7171" w:rsidRPr="00BB7171" w:rsidRDefault="00BB7171" w:rsidP="00BB7171">
      <w:pPr>
        <w:tabs>
          <w:tab w:val="left" w:pos="851"/>
        </w:tabs>
        <w:ind w:left="851"/>
        <w:rPr>
          <w:sz w:val="24"/>
          <w:szCs w:val="24"/>
        </w:rPr>
      </w:pPr>
    </w:p>
    <w:p w14:paraId="531E88FA" w14:textId="77777777" w:rsidR="00BB7171" w:rsidRDefault="00BB7171" w:rsidP="00BB7171">
      <w:pPr>
        <w:tabs>
          <w:tab w:val="left" w:pos="851"/>
        </w:tabs>
        <w:ind w:left="851"/>
        <w:rPr>
          <w:sz w:val="24"/>
          <w:szCs w:val="24"/>
        </w:rPr>
      </w:pPr>
      <w:r w:rsidRPr="00BB7171">
        <w:rPr>
          <w:sz w:val="24"/>
          <w:szCs w:val="24"/>
        </w:rPr>
        <w:t>På grund af risikoen for perforation af tarmen må Dexamethasone phosphate "Panpharma" kun bruges i akutte indikationer og under relevant overvågning for:</w:t>
      </w:r>
    </w:p>
    <w:p w14:paraId="4E598462" w14:textId="0A077AED" w:rsidR="00BB7171" w:rsidRPr="00BB7171" w:rsidRDefault="00BB7171" w:rsidP="00BB7171">
      <w:pPr>
        <w:tabs>
          <w:tab w:val="left" w:pos="851"/>
        </w:tabs>
        <w:ind w:left="851"/>
        <w:rPr>
          <w:sz w:val="24"/>
          <w:szCs w:val="24"/>
        </w:rPr>
      </w:pPr>
      <w:r w:rsidRPr="00BB7171">
        <w:rPr>
          <w:b/>
          <w:bCs/>
          <w:sz w:val="24"/>
          <w:szCs w:val="24"/>
        </w:rPr>
        <w:t>-</w:t>
      </w:r>
      <w:r>
        <w:rPr>
          <w:sz w:val="24"/>
          <w:szCs w:val="24"/>
        </w:rPr>
        <w:t xml:space="preserve">  </w:t>
      </w:r>
      <w:r w:rsidRPr="00BB7171">
        <w:rPr>
          <w:sz w:val="24"/>
          <w:szCs w:val="24"/>
        </w:rPr>
        <w:t>Svær ulcerativ colitis med risiko for perforation, muligvis uden peritoneal irritation</w:t>
      </w:r>
    </w:p>
    <w:p w14:paraId="5B38921F" w14:textId="0E281143" w:rsidR="00BB7171" w:rsidRPr="00BB7171" w:rsidRDefault="00BB7171" w:rsidP="00BB7171">
      <w:pPr>
        <w:tabs>
          <w:tab w:val="left" w:pos="851"/>
        </w:tabs>
        <w:ind w:left="851"/>
        <w:rPr>
          <w:sz w:val="24"/>
          <w:szCs w:val="24"/>
        </w:rPr>
      </w:pPr>
      <w:r w:rsidRPr="00BB7171">
        <w:rPr>
          <w:b/>
          <w:bCs/>
          <w:sz w:val="24"/>
          <w:szCs w:val="24"/>
        </w:rPr>
        <w:t>-</w:t>
      </w:r>
      <w:r>
        <w:rPr>
          <w:sz w:val="24"/>
          <w:szCs w:val="24"/>
        </w:rPr>
        <w:t xml:space="preserve">  </w:t>
      </w:r>
      <w:r w:rsidRPr="00BB7171">
        <w:rPr>
          <w:sz w:val="24"/>
          <w:szCs w:val="24"/>
        </w:rPr>
        <w:t>Diverticulitis</w:t>
      </w:r>
    </w:p>
    <w:p w14:paraId="244A8608" w14:textId="4258C23C" w:rsidR="00BB7171" w:rsidRPr="00BB7171" w:rsidRDefault="00BB7171" w:rsidP="00BB7171">
      <w:pPr>
        <w:tabs>
          <w:tab w:val="left" w:pos="851"/>
        </w:tabs>
        <w:ind w:left="851"/>
        <w:rPr>
          <w:sz w:val="24"/>
          <w:szCs w:val="24"/>
        </w:rPr>
      </w:pPr>
      <w:r w:rsidRPr="00BB7171">
        <w:rPr>
          <w:b/>
          <w:bCs/>
          <w:sz w:val="24"/>
          <w:szCs w:val="24"/>
        </w:rPr>
        <w:t>-</w:t>
      </w:r>
      <w:r>
        <w:rPr>
          <w:sz w:val="24"/>
          <w:szCs w:val="24"/>
        </w:rPr>
        <w:t xml:space="preserve">  </w:t>
      </w:r>
      <w:r w:rsidRPr="00BB7171">
        <w:rPr>
          <w:sz w:val="24"/>
          <w:szCs w:val="24"/>
        </w:rPr>
        <w:t>Entero-anastomose (umiddelbart postoperativt)</w:t>
      </w:r>
    </w:p>
    <w:p w14:paraId="5A04A16B" w14:textId="77777777" w:rsidR="00BB7171" w:rsidRPr="00BB7171" w:rsidRDefault="00BB7171" w:rsidP="00BB7171">
      <w:pPr>
        <w:tabs>
          <w:tab w:val="left" w:pos="851"/>
        </w:tabs>
        <w:ind w:left="851"/>
        <w:rPr>
          <w:sz w:val="24"/>
          <w:szCs w:val="24"/>
        </w:rPr>
      </w:pPr>
    </w:p>
    <w:p w14:paraId="7EB16EC4" w14:textId="77777777" w:rsidR="00BB7171" w:rsidRPr="00BB7171" w:rsidRDefault="00BB7171" w:rsidP="00BB7171">
      <w:pPr>
        <w:tabs>
          <w:tab w:val="left" w:pos="851"/>
        </w:tabs>
        <w:ind w:left="851"/>
        <w:rPr>
          <w:sz w:val="24"/>
          <w:szCs w:val="24"/>
        </w:rPr>
      </w:pPr>
      <w:r w:rsidRPr="00BB7171">
        <w:rPr>
          <w:sz w:val="24"/>
          <w:szCs w:val="24"/>
        </w:rPr>
        <w:t>Tegn på peritoneal irritation efter gastrointestinal perforation kan udeblive hos patienter, der får høje doser af glukokortikoider.</w:t>
      </w:r>
    </w:p>
    <w:p w14:paraId="77F360CB" w14:textId="77777777" w:rsidR="00BB7171" w:rsidRPr="00BB7171" w:rsidRDefault="00BB7171" w:rsidP="00BB7171">
      <w:pPr>
        <w:tabs>
          <w:tab w:val="left" w:pos="851"/>
        </w:tabs>
        <w:ind w:left="851"/>
        <w:rPr>
          <w:sz w:val="24"/>
          <w:szCs w:val="24"/>
        </w:rPr>
      </w:pPr>
    </w:p>
    <w:p w14:paraId="4ED534DF" w14:textId="77777777" w:rsidR="00BB7171" w:rsidRPr="00BB7171" w:rsidRDefault="00BB7171" w:rsidP="00BB7171">
      <w:pPr>
        <w:tabs>
          <w:tab w:val="left" w:pos="851"/>
        </w:tabs>
        <w:ind w:left="851"/>
        <w:rPr>
          <w:sz w:val="24"/>
          <w:szCs w:val="24"/>
        </w:rPr>
      </w:pPr>
      <w:r w:rsidRPr="00BB7171">
        <w:rPr>
          <w:sz w:val="24"/>
          <w:szCs w:val="24"/>
        </w:rPr>
        <w:t>Muligheden for et øget behov for insulin eller orale antidiabetika skal tages i betragtning, når Dexamethasone phosphate "Panpharma" administreres til diabetikere.</w:t>
      </w:r>
    </w:p>
    <w:p w14:paraId="645A22DB" w14:textId="3A1B3827" w:rsidR="00BB7171" w:rsidRPr="00BB7171" w:rsidRDefault="00BB7171" w:rsidP="00BB7171">
      <w:pPr>
        <w:tabs>
          <w:tab w:val="left" w:pos="851"/>
        </w:tabs>
        <w:ind w:left="851"/>
        <w:rPr>
          <w:sz w:val="24"/>
          <w:szCs w:val="24"/>
        </w:rPr>
      </w:pPr>
      <w:r w:rsidRPr="00BB7171">
        <w:rPr>
          <w:sz w:val="24"/>
          <w:szCs w:val="24"/>
        </w:rPr>
        <w:t>Regelmæssig monitorering af blodtrykket er nødvendig under behandling med Dexamethasone phosphate "Panpharma", særligt når der administreres højere doser og hos patienter med højt blodtryk, der er vanskeligt at kontrollere</w:t>
      </w:r>
      <w:r>
        <w:rPr>
          <w:sz w:val="24"/>
          <w:szCs w:val="24"/>
        </w:rPr>
        <w:t>.</w:t>
      </w:r>
    </w:p>
    <w:p w14:paraId="70F80F36" w14:textId="77777777" w:rsidR="00BB7171" w:rsidRPr="00BB7171" w:rsidRDefault="00BB7171" w:rsidP="00BB7171">
      <w:pPr>
        <w:tabs>
          <w:tab w:val="left" w:pos="851"/>
        </w:tabs>
        <w:ind w:left="851"/>
        <w:rPr>
          <w:sz w:val="24"/>
          <w:szCs w:val="24"/>
        </w:rPr>
      </w:pPr>
      <w:r w:rsidRPr="00BB7171">
        <w:rPr>
          <w:sz w:val="24"/>
          <w:szCs w:val="24"/>
        </w:rPr>
        <w:t>På grund af risikoen for forværring af tilstanden bør patienter med alvorlig hjerteinsufficiens monitoreres nøje.</w:t>
      </w:r>
    </w:p>
    <w:p w14:paraId="776C7AC8" w14:textId="77777777" w:rsidR="00BB7171" w:rsidRPr="00BB7171" w:rsidRDefault="00BB7171" w:rsidP="00BB7171">
      <w:pPr>
        <w:tabs>
          <w:tab w:val="left" w:pos="851"/>
        </w:tabs>
        <w:ind w:left="851"/>
        <w:rPr>
          <w:sz w:val="24"/>
          <w:szCs w:val="24"/>
        </w:rPr>
      </w:pPr>
      <w:r w:rsidRPr="00BB7171">
        <w:rPr>
          <w:sz w:val="24"/>
          <w:szCs w:val="24"/>
        </w:rPr>
        <w:t>I forbindelse med høje doser af dexamethason kan der forekomme bradykardi.</w:t>
      </w:r>
    </w:p>
    <w:p w14:paraId="17AF47B7" w14:textId="77777777" w:rsidR="00BB7171" w:rsidRPr="00BB7171" w:rsidRDefault="00BB7171" w:rsidP="00BB7171">
      <w:pPr>
        <w:tabs>
          <w:tab w:val="left" w:pos="851"/>
        </w:tabs>
        <w:ind w:left="851"/>
        <w:rPr>
          <w:sz w:val="24"/>
          <w:szCs w:val="24"/>
        </w:rPr>
      </w:pPr>
      <w:r w:rsidRPr="00BB7171">
        <w:rPr>
          <w:sz w:val="24"/>
          <w:szCs w:val="24"/>
        </w:rPr>
        <w:t xml:space="preserve">Alvorlige anafylaktisk reaktioner kan forekomme. </w:t>
      </w:r>
    </w:p>
    <w:p w14:paraId="3A5EF11A" w14:textId="77777777" w:rsidR="00BB7171" w:rsidRPr="00BB7171" w:rsidRDefault="00BB7171" w:rsidP="00BB7171">
      <w:pPr>
        <w:tabs>
          <w:tab w:val="left" w:pos="851"/>
        </w:tabs>
        <w:ind w:left="851"/>
        <w:rPr>
          <w:sz w:val="24"/>
          <w:szCs w:val="24"/>
        </w:rPr>
      </w:pPr>
    </w:p>
    <w:p w14:paraId="67544012" w14:textId="77777777" w:rsidR="00BB7171" w:rsidRPr="00BB7171" w:rsidRDefault="00BB7171" w:rsidP="00BB7171">
      <w:pPr>
        <w:tabs>
          <w:tab w:val="left" w:pos="851"/>
        </w:tabs>
        <w:ind w:left="851"/>
        <w:rPr>
          <w:sz w:val="24"/>
          <w:szCs w:val="24"/>
        </w:rPr>
      </w:pPr>
      <w:r w:rsidRPr="00BB7171">
        <w:rPr>
          <w:sz w:val="24"/>
          <w:szCs w:val="24"/>
        </w:rPr>
        <w:t>Risikoen for senelidelser, tendinitis og seneruptur øges, når fluoroquinoloner og glukokortikoider administreres samtidigt.</w:t>
      </w:r>
    </w:p>
    <w:p w14:paraId="262AD346" w14:textId="77777777" w:rsidR="00BB7171" w:rsidRPr="00BB7171" w:rsidRDefault="00BB7171" w:rsidP="00BB7171">
      <w:pPr>
        <w:tabs>
          <w:tab w:val="left" w:pos="851"/>
        </w:tabs>
        <w:ind w:left="851"/>
        <w:rPr>
          <w:sz w:val="24"/>
          <w:szCs w:val="24"/>
        </w:rPr>
      </w:pPr>
      <w:r w:rsidRPr="00BB7171">
        <w:rPr>
          <w:sz w:val="24"/>
          <w:szCs w:val="24"/>
        </w:rPr>
        <w:t>Samtidig myasthenia gravis kan indledningsvist forværres under behandling med Dexamethasone phosphate "Panpharma".</w:t>
      </w:r>
    </w:p>
    <w:p w14:paraId="53F7EB03" w14:textId="77777777" w:rsidR="00BB7171" w:rsidRPr="00BB7171" w:rsidRDefault="00BB7171" w:rsidP="00BB7171">
      <w:pPr>
        <w:tabs>
          <w:tab w:val="left" w:pos="851"/>
        </w:tabs>
        <w:ind w:left="851"/>
        <w:rPr>
          <w:sz w:val="24"/>
          <w:szCs w:val="24"/>
        </w:rPr>
      </w:pPr>
    </w:p>
    <w:p w14:paraId="68FFAFF9" w14:textId="77777777" w:rsidR="00BB7171" w:rsidRPr="00BB7171" w:rsidRDefault="00BB7171" w:rsidP="00BB7171">
      <w:pPr>
        <w:tabs>
          <w:tab w:val="left" w:pos="851"/>
        </w:tabs>
        <w:ind w:left="851"/>
        <w:rPr>
          <w:sz w:val="24"/>
          <w:szCs w:val="24"/>
        </w:rPr>
      </w:pPr>
      <w:r w:rsidRPr="00BB7171">
        <w:rPr>
          <w:sz w:val="24"/>
          <w:szCs w:val="24"/>
        </w:rPr>
        <w:lastRenderedPageBreak/>
        <w:t>Vaccinationer med inaktiverede vacciner er generelt muligt. Det skal dog bemærkes, at immunresponset og dermed vaccinen kan kompromitteres ved højere doser af kortikosteroider.</w:t>
      </w:r>
    </w:p>
    <w:p w14:paraId="340ED426" w14:textId="77777777" w:rsidR="00BB7171" w:rsidRPr="00BB7171" w:rsidRDefault="00BB7171" w:rsidP="00BB7171">
      <w:pPr>
        <w:tabs>
          <w:tab w:val="left" w:pos="851"/>
        </w:tabs>
        <w:ind w:left="851"/>
        <w:rPr>
          <w:sz w:val="24"/>
          <w:szCs w:val="24"/>
        </w:rPr>
      </w:pPr>
    </w:p>
    <w:p w14:paraId="37ED96D6" w14:textId="77777777" w:rsidR="00BB7171" w:rsidRPr="00BB7171" w:rsidRDefault="00BB7171" w:rsidP="00BB7171">
      <w:pPr>
        <w:tabs>
          <w:tab w:val="left" w:pos="851"/>
        </w:tabs>
        <w:ind w:left="851"/>
        <w:rPr>
          <w:sz w:val="24"/>
          <w:szCs w:val="24"/>
        </w:rPr>
      </w:pPr>
      <w:r w:rsidRPr="00BB7171">
        <w:rPr>
          <w:sz w:val="24"/>
          <w:szCs w:val="24"/>
        </w:rPr>
        <w:t>Ved høje doser skal det sikres, at kaliumindtaget er tilstrækkeligt, og at natriumindtaget er begrænset. Niveauerne af kalium i serum skal monitoreres.</w:t>
      </w:r>
    </w:p>
    <w:p w14:paraId="30C07233" w14:textId="77777777" w:rsidR="00BB7171" w:rsidRPr="00BB7171" w:rsidRDefault="00BB7171" w:rsidP="00BB7171">
      <w:pPr>
        <w:tabs>
          <w:tab w:val="left" w:pos="851"/>
        </w:tabs>
        <w:ind w:left="851"/>
        <w:rPr>
          <w:sz w:val="24"/>
          <w:szCs w:val="24"/>
        </w:rPr>
      </w:pPr>
      <w:r w:rsidRPr="00BB7171">
        <w:rPr>
          <w:sz w:val="24"/>
          <w:szCs w:val="24"/>
        </w:rPr>
        <w:t>Behandling med systemiske kortikosteroider bør ikke stoppes hos patienter, der i forvejen er i behandling med systemiske (orale) kortikosteroider af andre årsager (fx patienter med kronisk obstruktiv lungesygdom), men ikke har behov for supplerende iltbehandling.</w:t>
      </w:r>
    </w:p>
    <w:p w14:paraId="61E9DBED" w14:textId="77777777" w:rsidR="00BB7171" w:rsidRPr="00BB7171" w:rsidRDefault="00BB7171" w:rsidP="00BB7171">
      <w:pPr>
        <w:tabs>
          <w:tab w:val="left" w:pos="851"/>
        </w:tabs>
        <w:ind w:left="851"/>
        <w:rPr>
          <w:sz w:val="24"/>
          <w:szCs w:val="24"/>
        </w:rPr>
      </w:pPr>
    </w:p>
    <w:p w14:paraId="63A70549" w14:textId="77777777" w:rsidR="00BB7171" w:rsidRPr="00BB7171" w:rsidRDefault="00BB7171" w:rsidP="00BB7171">
      <w:pPr>
        <w:tabs>
          <w:tab w:val="left" w:pos="851"/>
        </w:tabs>
        <w:ind w:left="851"/>
        <w:rPr>
          <w:sz w:val="24"/>
          <w:szCs w:val="24"/>
        </w:rPr>
      </w:pPr>
      <w:r w:rsidRPr="00BB7171">
        <w:rPr>
          <w:sz w:val="24"/>
          <w:szCs w:val="24"/>
        </w:rPr>
        <w:t>Pludselig seponering af behandlingen efter cirka 10 dage kan medføre forværring eller tilbagefald af den underliggende sygdom og akut adrenokortikal insufficiens/kortison-abstinenssymptom. Derfor skal dosis reduceres langsomt, hvis behandlingen skal seponeres.</w:t>
      </w:r>
    </w:p>
    <w:p w14:paraId="1982BAD5" w14:textId="77777777" w:rsidR="00BB7171" w:rsidRPr="00BB7171" w:rsidRDefault="00BB7171" w:rsidP="00BB7171">
      <w:pPr>
        <w:tabs>
          <w:tab w:val="left" w:pos="851"/>
        </w:tabs>
        <w:ind w:left="851"/>
        <w:rPr>
          <w:sz w:val="24"/>
          <w:szCs w:val="24"/>
        </w:rPr>
      </w:pPr>
      <w:r w:rsidRPr="00BB7171">
        <w:rPr>
          <w:sz w:val="24"/>
          <w:szCs w:val="24"/>
        </w:rPr>
        <w:t>Visse virussygdomme (skoldkopper, mæslinger) kan være alvorlige hos patienter, der behandles med glukokortikoider. Immunkompromitterede patienter, der ikke tidligere har været udsat for infektion med skoldkopper eller mæslinger, har en særlig stor risiko. Hvis disse patienter kommer i kontakt med personer, der er smittet med mæslinger eller skoldkopper, mens de er i behandling med Dexamethasone phosphate "Panpharma", skal en forebyggende behandling om nødvendigt iværksættes.</w:t>
      </w:r>
    </w:p>
    <w:p w14:paraId="474633C7" w14:textId="77777777" w:rsidR="00BB7171" w:rsidRPr="00BB7171" w:rsidRDefault="00BB7171" w:rsidP="00BB7171">
      <w:pPr>
        <w:tabs>
          <w:tab w:val="left" w:pos="851"/>
        </w:tabs>
        <w:ind w:left="851"/>
        <w:rPr>
          <w:sz w:val="24"/>
          <w:szCs w:val="24"/>
        </w:rPr>
      </w:pPr>
      <w:r w:rsidRPr="00BB7171">
        <w:rPr>
          <w:sz w:val="24"/>
          <w:szCs w:val="24"/>
        </w:rPr>
        <w:t>Efter markedsføringen er der rapporteret om tumorlysesyndrom (TLS) hos patienter med hæmatologiske maligniteter efter brug af dexamethason alene eller i kombination med andre kemoterapeutiske midler. Patienter med høj risiko for TLS, såsom patienter med høj proliferationsrate, høj tumorbyrde og høj følsomhed over for cytotoksiske midler, skal monitoreres tæt, og der bør tages passende forholdsregler.</w:t>
      </w:r>
    </w:p>
    <w:p w14:paraId="6B3D2E2F" w14:textId="77777777" w:rsidR="00BB7171" w:rsidRPr="00BB7171" w:rsidRDefault="00BB7171" w:rsidP="00BB7171">
      <w:pPr>
        <w:tabs>
          <w:tab w:val="left" w:pos="851"/>
        </w:tabs>
        <w:ind w:left="851"/>
        <w:rPr>
          <w:sz w:val="24"/>
          <w:szCs w:val="24"/>
        </w:rPr>
      </w:pPr>
      <w:r w:rsidRPr="00BB7171">
        <w:rPr>
          <w:sz w:val="24"/>
          <w:szCs w:val="24"/>
        </w:rPr>
        <w:t>Intravenøs administration skal være en langsom (over 2 3 minutter) injektion, da der ved for hurtig injektion kan opstå bivirkninger såsom ubehagelig prikken eller paræstesi.</w:t>
      </w:r>
    </w:p>
    <w:p w14:paraId="2521B990" w14:textId="77777777" w:rsidR="00BB7171" w:rsidRPr="00BB7171" w:rsidRDefault="00BB7171" w:rsidP="00BB7171">
      <w:pPr>
        <w:tabs>
          <w:tab w:val="left" w:pos="851"/>
        </w:tabs>
        <w:ind w:left="851"/>
        <w:rPr>
          <w:sz w:val="24"/>
          <w:szCs w:val="24"/>
        </w:rPr>
      </w:pPr>
      <w:r w:rsidRPr="00BB7171">
        <w:rPr>
          <w:sz w:val="24"/>
          <w:szCs w:val="24"/>
        </w:rPr>
        <w:t>Dexamethasone phosphate "Panpharma" er beregnet til kortvarig anvendelse. Hvis den bruges forkert over en længere periode, skal yderligere advarsler og forsigtighedsregler, som beskrevet for langvarig administration af lægemidler, der indeholder glukokortikoider, overvejes.</w:t>
      </w:r>
    </w:p>
    <w:p w14:paraId="19D87FCA" w14:textId="77777777" w:rsidR="00BB7171" w:rsidRPr="00BB7171" w:rsidRDefault="00BB7171" w:rsidP="00BB7171">
      <w:pPr>
        <w:tabs>
          <w:tab w:val="left" w:pos="851"/>
        </w:tabs>
        <w:ind w:left="851"/>
        <w:rPr>
          <w:sz w:val="24"/>
          <w:szCs w:val="24"/>
        </w:rPr>
      </w:pPr>
      <w:r w:rsidRPr="00BB7171">
        <w:rPr>
          <w:sz w:val="24"/>
          <w:szCs w:val="24"/>
        </w:rPr>
        <w:t>Efter lokal administration skal der tages højde for mulige systemiske bivirkninger og interaktioner.</w:t>
      </w:r>
    </w:p>
    <w:p w14:paraId="21AB1DE2" w14:textId="77777777" w:rsidR="00BB7171" w:rsidRPr="00BB7171" w:rsidRDefault="00BB7171" w:rsidP="00BB7171">
      <w:pPr>
        <w:tabs>
          <w:tab w:val="left" w:pos="851"/>
        </w:tabs>
        <w:ind w:left="851"/>
        <w:rPr>
          <w:sz w:val="24"/>
          <w:szCs w:val="24"/>
        </w:rPr>
      </w:pPr>
    </w:p>
    <w:p w14:paraId="3CA6351A" w14:textId="22890F66" w:rsidR="00BB7171" w:rsidRDefault="00BB7171" w:rsidP="00BB7171">
      <w:pPr>
        <w:tabs>
          <w:tab w:val="left" w:pos="851"/>
        </w:tabs>
        <w:ind w:left="851"/>
        <w:rPr>
          <w:sz w:val="24"/>
          <w:szCs w:val="24"/>
        </w:rPr>
      </w:pPr>
      <w:r w:rsidRPr="00BB7171">
        <w:rPr>
          <w:sz w:val="24"/>
          <w:szCs w:val="24"/>
        </w:rPr>
        <w:t>Intraartikulær administration af glukokortikoider øger risikoen for infektioner i led. Langvarig administration og gentagne injektioner af glukokortikoider i vægtbærende led kan forværre slidrelaterede ændringer i leddene. Dette skyldes sandsynligvis overbelastning af de berørte led, efter at smerter eller andre symptomer er lindret</w:t>
      </w:r>
      <w:r w:rsidR="00F0543E">
        <w:rPr>
          <w:sz w:val="24"/>
          <w:szCs w:val="24"/>
        </w:rPr>
        <w:t>.</w:t>
      </w:r>
    </w:p>
    <w:p w14:paraId="09948A44" w14:textId="77777777" w:rsidR="00F0543E" w:rsidRPr="00BB7171" w:rsidRDefault="00F0543E" w:rsidP="00BB7171">
      <w:pPr>
        <w:tabs>
          <w:tab w:val="left" w:pos="851"/>
        </w:tabs>
        <w:ind w:left="851"/>
        <w:rPr>
          <w:sz w:val="24"/>
          <w:szCs w:val="24"/>
        </w:rPr>
      </w:pPr>
    </w:p>
    <w:p w14:paraId="4F5003A8" w14:textId="7F207479" w:rsidR="00BB7171" w:rsidRPr="00BB7171" w:rsidRDefault="00BB7171" w:rsidP="00BB7171">
      <w:pPr>
        <w:tabs>
          <w:tab w:val="left" w:pos="851"/>
        </w:tabs>
        <w:ind w:left="851"/>
        <w:rPr>
          <w:i/>
          <w:iCs/>
          <w:sz w:val="24"/>
          <w:szCs w:val="24"/>
        </w:rPr>
      </w:pPr>
      <w:r w:rsidRPr="00BB7171">
        <w:rPr>
          <w:i/>
          <w:iCs/>
          <w:sz w:val="24"/>
          <w:szCs w:val="24"/>
        </w:rPr>
        <w:t>Lokal oftalmologisk anvendelse</w:t>
      </w:r>
    </w:p>
    <w:p w14:paraId="4BA91C5F" w14:textId="77777777" w:rsidR="00BB7171" w:rsidRPr="00BB7171" w:rsidRDefault="00BB7171" w:rsidP="00BB7171">
      <w:pPr>
        <w:tabs>
          <w:tab w:val="left" w:pos="851"/>
        </w:tabs>
        <w:ind w:left="851"/>
        <w:rPr>
          <w:sz w:val="24"/>
          <w:szCs w:val="24"/>
        </w:rPr>
      </w:pPr>
      <w:r w:rsidRPr="00BB7171">
        <w:rPr>
          <w:sz w:val="24"/>
          <w:szCs w:val="24"/>
        </w:rPr>
        <w:t>Cushings syndrom og/eller adrenal suppression kan forekomme efter systemisk absorption af oftalmologisk dexamethason under intensiv eller langvarig behandling hos prædisponerede patienter, herunder børn og patienter behandlet med CYP3A4-hæmmere (herunder ritonavir og cobicistat). I disse tilfælde skal behandlingen gradvist seponeres.</w:t>
      </w:r>
    </w:p>
    <w:p w14:paraId="31B24845" w14:textId="77777777" w:rsidR="00BB7171" w:rsidRPr="00BB7171" w:rsidRDefault="00BB7171" w:rsidP="00BB7171">
      <w:pPr>
        <w:tabs>
          <w:tab w:val="left" w:pos="851"/>
        </w:tabs>
        <w:ind w:left="851"/>
        <w:rPr>
          <w:sz w:val="24"/>
          <w:szCs w:val="24"/>
        </w:rPr>
      </w:pPr>
    </w:p>
    <w:p w14:paraId="1F8B5E27" w14:textId="77777777" w:rsidR="00BB7171" w:rsidRPr="00BB7171" w:rsidRDefault="00BB7171" w:rsidP="00BB7171">
      <w:pPr>
        <w:tabs>
          <w:tab w:val="left" w:pos="851"/>
        </w:tabs>
        <w:ind w:left="851"/>
        <w:rPr>
          <w:sz w:val="24"/>
          <w:szCs w:val="24"/>
        </w:rPr>
      </w:pPr>
      <w:r w:rsidRPr="00BB7171">
        <w:rPr>
          <w:sz w:val="24"/>
          <w:szCs w:val="24"/>
        </w:rPr>
        <w:t>Der bør udvises forsigtighed ved subkonjunktival administration af steroider, da dette kan forbindes med en potentiel risiko for fortynding eller smeltning af sclera.</w:t>
      </w:r>
    </w:p>
    <w:p w14:paraId="40A7C4E7" w14:textId="1B213D8C" w:rsidR="00F0543E" w:rsidRDefault="00F0543E">
      <w:pPr>
        <w:rPr>
          <w:iCs/>
          <w:sz w:val="24"/>
          <w:szCs w:val="24"/>
          <w:u w:val="single"/>
        </w:rPr>
      </w:pPr>
      <w:r>
        <w:rPr>
          <w:iCs/>
          <w:sz w:val="24"/>
          <w:szCs w:val="24"/>
          <w:u w:val="single"/>
        </w:rPr>
        <w:br w:type="page"/>
      </w:r>
    </w:p>
    <w:p w14:paraId="6542D370" w14:textId="77777777" w:rsidR="00BB7171" w:rsidRPr="00BB7171" w:rsidRDefault="00BB7171" w:rsidP="00BB7171">
      <w:pPr>
        <w:tabs>
          <w:tab w:val="left" w:pos="851"/>
        </w:tabs>
        <w:ind w:left="851"/>
        <w:rPr>
          <w:iCs/>
          <w:sz w:val="24"/>
          <w:szCs w:val="24"/>
          <w:u w:val="single"/>
        </w:rPr>
      </w:pPr>
    </w:p>
    <w:p w14:paraId="7F39975F" w14:textId="77777777" w:rsidR="00BB7171" w:rsidRPr="00BB7171" w:rsidRDefault="00BB7171" w:rsidP="00BB7171">
      <w:pPr>
        <w:tabs>
          <w:tab w:val="left" w:pos="851"/>
        </w:tabs>
        <w:ind w:left="851"/>
        <w:rPr>
          <w:iCs/>
          <w:sz w:val="24"/>
          <w:szCs w:val="24"/>
          <w:u w:val="single"/>
        </w:rPr>
      </w:pPr>
      <w:r w:rsidRPr="00BB7171">
        <w:rPr>
          <w:iCs/>
          <w:sz w:val="24"/>
          <w:szCs w:val="24"/>
          <w:u w:val="single"/>
        </w:rPr>
        <w:t>Børn og unge</w:t>
      </w:r>
    </w:p>
    <w:p w14:paraId="21269B16" w14:textId="77777777" w:rsidR="00F0543E" w:rsidRDefault="00F0543E" w:rsidP="00BB7171">
      <w:pPr>
        <w:tabs>
          <w:tab w:val="left" w:pos="851"/>
        </w:tabs>
        <w:ind w:left="851"/>
        <w:rPr>
          <w:i/>
          <w:sz w:val="24"/>
          <w:szCs w:val="24"/>
        </w:rPr>
      </w:pPr>
    </w:p>
    <w:p w14:paraId="5F712653" w14:textId="611855BC" w:rsidR="00BB7171" w:rsidRPr="00BB7171" w:rsidRDefault="00BB7171" w:rsidP="00BB7171">
      <w:pPr>
        <w:tabs>
          <w:tab w:val="left" w:pos="851"/>
        </w:tabs>
        <w:ind w:left="851"/>
        <w:rPr>
          <w:i/>
          <w:iCs/>
          <w:sz w:val="24"/>
          <w:szCs w:val="24"/>
        </w:rPr>
      </w:pPr>
      <w:r w:rsidRPr="00BB7171">
        <w:rPr>
          <w:i/>
          <w:sz w:val="24"/>
          <w:szCs w:val="24"/>
        </w:rPr>
        <w:t>Præmature nyfødte</w:t>
      </w:r>
    </w:p>
    <w:p w14:paraId="12D82016" w14:textId="77777777" w:rsidR="00BB7171" w:rsidRPr="00BB7171" w:rsidRDefault="00BB7171" w:rsidP="00BB7171">
      <w:pPr>
        <w:tabs>
          <w:tab w:val="left" w:pos="851"/>
        </w:tabs>
        <w:ind w:left="851"/>
        <w:rPr>
          <w:sz w:val="24"/>
          <w:szCs w:val="24"/>
        </w:rPr>
      </w:pPr>
      <w:r w:rsidRPr="00BB7171">
        <w:rPr>
          <w:sz w:val="24"/>
          <w:szCs w:val="24"/>
        </w:rPr>
        <w:t>Tilgængelige data tyder på langvarige neuroudviklingsmæssige bivirkninger efter tidlig behandling (&lt;96 timer efter fødslen) af præmature spædbørn med kronisk lungesygdom ved initialdosis på 0,25 mg/kg to gange dagligt.</w:t>
      </w:r>
    </w:p>
    <w:p w14:paraId="0853AEFB" w14:textId="77777777" w:rsidR="00BB7171" w:rsidRPr="00BB7171" w:rsidRDefault="00BB7171" w:rsidP="00BB7171">
      <w:pPr>
        <w:tabs>
          <w:tab w:val="left" w:pos="851"/>
        </w:tabs>
        <w:ind w:left="851"/>
        <w:rPr>
          <w:sz w:val="24"/>
          <w:szCs w:val="24"/>
        </w:rPr>
      </w:pPr>
    </w:p>
    <w:p w14:paraId="0D6C9580" w14:textId="77777777" w:rsidR="00BB7171" w:rsidRPr="00BB7171" w:rsidRDefault="00BB7171" w:rsidP="00BB7171">
      <w:pPr>
        <w:tabs>
          <w:tab w:val="left" w:pos="851"/>
        </w:tabs>
        <w:ind w:left="851"/>
        <w:rPr>
          <w:sz w:val="24"/>
          <w:szCs w:val="24"/>
        </w:rPr>
      </w:pPr>
      <w:r w:rsidRPr="00BB7171">
        <w:rPr>
          <w:sz w:val="24"/>
          <w:szCs w:val="24"/>
        </w:rPr>
        <w:t>Benefit-risk-forholdet ved behandling med Dexamethasone phosphate "Panpharma" skal nøje overvejes hos børn, der er i vækstfasen.</w:t>
      </w:r>
    </w:p>
    <w:p w14:paraId="19AFF976" w14:textId="77777777" w:rsidR="00BB7171" w:rsidRPr="00BB7171" w:rsidRDefault="00BB7171" w:rsidP="00BB7171">
      <w:pPr>
        <w:tabs>
          <w:tab w:val="left" w:pos="851"/>
        </w:tabs>
        <w:ind w:left="851"/>
        <w:rPr>
          <w:sz w:val="24"/>
          <w:szCs w:val="24"/>
          <w:u w:val="single"/>
        </w:rPr>
      </w:pPr>
    </w:p>
    <w:p w14:paraId="0F01F2EB" w14:textId="77777777" w:rsidR="00BB7171" w:rsidRPr="00BB7171" w:rsidRDefault="00BB7171" w:rsidP="00BB7171">
      <w:pPr>
        <w:tabs>
          <w:tab w:val="left" w:pos="851"/>
        </w:tabs>
        <w:ind w:left="851"/>
        <w:rPr>
          <w:sz w:val="24"/>
          <w:szCs w:val="24"/>
        </w:rPr>
      </w:pPr>
      <w:r w:rsidRPr="00BB7171">
        <w:rPr>
          <w:sz w:val="24"/>
          <w:szCs w:val="24"/>
          <w:u w:val="single"/>
        </w:rPr>
        <w:t>Ældre</w:t>
      </w:r>
    </w:p>
    <w:p w14:paraId="58D0ED0C" w14:textId="45C6E7C3" w:rsidR="00BB7171" w:rsidRPr="00BB7171" w:rsidRDefault="00BB7171" w:rsidP="00BB7171">
      <w:pPr>
        <w:tabs>
          <w:tab w:val="left" w:pos="851"/>
        </w:tabs>
        <w:ind w:left="851"/>
        <w:rPr>
          <w:sz w:val="24"/>
          <w:szCs w:val="24"/>
        </w:rPr>
      </w:pPr>
      <w:r w:rsidRPr="00BB7171">
        <w:rPr>
          <w:sz w:val="24"/>
          <w:szCs w:val="24"/>
        </w:rPr>
        <w:t xml:space="preserve">Da ældre patienter har øget risiko for at få osteoporose, skal benefit/risk-balancen ved behandling med </w:t>
      </w:r>
      <w:r w:rsidR="00F0543E" w:rsidRPr="00BB7171">
        <w:rPr>
          <w:sz w:val="24"/>
          <w:szCs w:val="24"/>
        </w:rPr>
        <w:t xml:space="preserve">Dexamethasone phosphate "Panpharma" </w:t>
      </w:r>
      <w:r w:rsidRPr="00BB7171">
        <w:rPr>
          <w:sz w:val="24"/>
          <w:szCs w:val="24"/>
        </w:rPr>
        <w:t>vurderes nøje.</w:t>
      </w:r>
    </w:p>
    <w:p w14:paraId="6222D0BB" w14:textId="77777777" w:rsidR="00BB7171" w:rsidRPr="00BB7171" w:rsidRDefault="00BB7171" w:rsidP="00BB7171">
      <w:pPr>
        <w:tabs>
          <w:tab w:val="left" w:pos="851"/>
        </w:tabs>
        <w:ind w:left="851"/>
        <w:rPr>
          <w:sz w:val="24"/>
          <w:szCs w:val="24"/>
        </w:rPr>
      </w:pPr>
      <w:r w:rsidRPr="00BB7171">
        <w:rPr>
          <w:sz w:val="24"/>
          <w:szCs w:val="24"/>
        </w:rPr>
        <w:t>Brugen af Dexamethasone phosphate "Panpharma" kan føre til positive resultater i dopingkontroller.</w:t>
      </w:r>
    </w:p>
    <w:p w14:paraId="6CAE7AEF" w14:textId="77777777" w:rsidR="00BB7171" w:rsidRPr="00BB7171" w:rsidRDefault="00BB7171" w:rsidP="00BB7171">
      <w:pPr>
        <w:tabs>
          <w:tab w:val="left" w:pos="851"/>
        </w:tabs>
        <w:ind w:left="851"/>
        <w:rPr>
          <w:sz w:val="24"/>
          <w:szCs w:val="24"/>
        </w:rPr>
      </w:pPr>
    </w:p>
    <w:p w14:paraId="7CAF1D54" w14:textId="77777777" w:rsidR="00BB7171" w:rsidRPr="00BB7171" w:rsidRDefault="00BB7171" w:rsidP="00BB7171">
      <w:pPr>
        <w:tabs>
          <w:tab w:val="left" w:pos="851"/>
        </w:tabs>
        <w:ind w:left="851"/>
        <w:rPr>
          <w:b/>
          <w:sz w:val="24"/>
          <w:szCs w:val="24"/>
        </w:rPr>
      </w:pPr>
      <w:r w:rsidRPr="00BB7171">
        <w:rPr>
          <w:b/>
          <w:sz w:val="24"/>
          <w:szCs w:val="24"/>
        </w:rPr>
        <w:t>Vigtig information om nogle af hjælpestofferne</w:t>
      </w:r>
    </w:p>
    <w:p w14:paraId="65051F1E" w14:textId="77777777" w:rsidR="00BB7171" w:rsidRPr="00BB7171" w:rsidRDefault="00BB7171" w:rsidP="00BB7171">
      <w:pPr>
        <w:tabs>
          <w:tab w:val="left" w:pos="851"/>
        </w:tabs>
        <w:ind w:left="851"/>
        <w:rPr>
          <w:sz w:val="24"/>
          <w:szCs w:val="24"/>
        </w:rPr>
      </w:pPr>
      <w:r w:rsidRPr="00BB7171">
        <w:rPr>
          <w:sz w:val="24"/>
          <w:szCs w:val="24"/>
        </w:rPr>
        <w:t>Dette lægemiddel indeholder mindre end 1 mmol (23 mg) natrium pr. ampul, dvs. det er i det væsentlige natriumfrit.</w:t>
      </w:r>
    </w:p>
    <w:p w14:paraId="092C6980" w14:textId="77777777" w:rsidR="009260DE" w:rsidRPr="00C84483" w:rsidRDefault="009260DE" w:rsidP="009260DE">
      <w:pPr>
        <w:tabs>
          <w:tab w:val="left" w:pos="851"/>
        </w:tabs>
        <w:ind w:left="851"/>
        <w:rPr>
          <w:sz w:val="24"/>
          <w:szCs w:val="24"/>
        </w:rPr>
      </w:pPr>
    </w:p>
    <w:p w14:paraId="07D815A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2E224E5" w14:textId="77777777" w:rsidR="0087067A" w:rsidRPr="0087067A" w:rsidRDefault="0087067A" w:rsidP="0087067A">
      <w:pPr>
        <w:tabs>
          <w:tab w:val="left" w:pos="851"/>
        </w:tabs>
        <w:ind w:left="851"/>
        <w:rPr>
          <w:b/>
          <w:sz w:val="24"/>
          <w:szCs w:val="24"/>
        </w:rPr>
      </w:pPr>
    </w:p>
    <w:p w14:paraId="0C620F56" w14:textId="77777777" w:rsidR="0087067A" w:rsidRPr="0087067A" w:rsidRDefault="0087067A" w:rsidP="0087067A">
      <w:pPr>
        <w:tabs>
          <w:tab w:val="left" w:pos="851"/>
        </w:tabs>
        <w:ind w:left="851"/>
        <w:rPr>
          <w:bCs/>
          <w:sz w:val="24"/>
          <w:szCs w:val="24"/>
          <w:u w:val="single"/>
        </w:rPr>
      </w:pPr>
      <w:r w:rsidRPr="0087067A">
        <w:rPr>
          <w:bCs/>
          <w:sz w:val="24"/>
          <w:szCs w:val="24"/>
          <w:u w:val="single"/>
        </w:rPr>
        <w:t>Østrogener (f.eks, orale kontraceptiva)</w:t>
      </w:r>
    </w:p>
    <w:p w14:paraId="78AE4C71" w14:textId="701FBB51" w:rsidR="0087067A" w:rsidRPr="0087067A" w:rsidRDefault="0087067A" w:rsidP="0087067A">
      <w:pPr>
        <w:tabs>
          <w:tab w:val="left" w:pos="851"/>
        </w:tabs>
        <w:ind w:left="851"/>
        <w:rPr>
          <w:sz w:val="24"/>
          <w:szCs w:val="24"/>
        </w:rPr>
      </w:pPr>
      <w:r w:rsidRPr="0087067A">
        <w:rPr>
          <w:sz w:val="24"/>
          <w:szCs w:val="24"/>
        </w:rPr>
        <w:t>Halveringstiden af glukokortikoider kan blive forlænget. Derfor kan virkningen af kortikoider være øget.</w:t>
      </w:r>
    </w:p>
    <w:p w14:paraId="51B7706E" w14:textId="77777777" w:rsidR="0087067A" w:rsidRPr="0087067A" w:rsidRDefault="0087067A" w:rsidP="0087067A">
      <w:pPr>
        <w:tabs>
          <w:tab w:val="left" w:pos="851"/>
        </w:tabs>
        <w:ind w:left="851"/>
        <w:rPr>
          <w:sz w:val="24"/>
          <w:szCs w:val="24"/>
        </w:rPr>
      </w:pPr>
    </w:p>
    <w:p w14:paraId="4E2B971B" w14:textId="77777777" w:rsidR="0087067A" w:rsidRPr="0087067A" w:rsidRDefault="0087067A" w:rsidP="0087067A">
      <w:pPr>
        <w:tabs>
          <w:tab w:val="left" w:pos="851"/>
        </w:tabs>
        <w:ind w:left="851"/>
        <w:rPr>
          <w:sz w:val="24"/>
          <w:szCs w:val="24"/>
          <w:u w:val="single"/>
        </w:rPr>
      </w:pPr>
      <w:r w:rsidRPr="0087067A">
        <w:rPr>
          <w:bCs/>
          <w:sz w:val="24"/>
          <w:szCs w:val="24"/>
          <w:u w:val="single"/>
        </w:rPr>
        <w:t>Lægemidler, der inducerer CYP3A4</w:t>
      </w:r>
      <w:r w:rsidRPr="0087067A">
        <w:rPr>
          <w:sz w:val="24"/>
          <w:szCs w:val="24"/>
          <w:u w:val="single"/>
        </w:rPr>
        <w:t>, f.eks. rifampicin, fenytoin, carbamazepin, barbiturater og primidon</w:t>
      </w:r>
    </w:p>
    <w:p w14:paraId="0560FCAA" w14:textId="768101B6" w:rsidR="0087067A" w:rsidRPr="0087067A" w:rsidRDefault="0087067A" w:rsidP="0087067A">
      <w:pPr>
        <w:tabs>
          <w:tab w:val="left" w:pos="851"/>
        </w:tabs>
        <w:ind w:left="851"/>
        <w:rPr>
          <w:sz w:val="24"/>
          <w:szCs w:val="24"/>
        </w:rPr>
      </w:pPr>
      <w:r w:rsidRPr="0087067A">
        <w:rPr>
          <w:sz w:val="24"/>
          <w:szCs w:val="24"/>
        </w:rPr>
        <w:t>Virkningen af kortikoider kan være reduceret.</w:t>
      </w:r>
    </w:p>
    <w:p w14:paraId="74C9AAEB" w14:textId="77777777" w:rsidR="0087067A" w:rsidRPr="0087067A" w:rsidRDefault="0087067A" w:rsidP="0087067A">
      <w:pPr>
        <w:tabs>
          <w:tab w:val="left" w:pos="851"/>
        </w:tabs>
        <w:ind w:left="851"/>
        <w:rPr>
          <w:sz w:val="24"/>
          <w:szCs w:val="24"/>
        </w:rPr>
      </w:pPr>
    </w:p>
    <w:p w14:paraId="4F9E6B4D" w14:textId="77777777" w:rsidR="0087067A" w:rsidRPr="0087067A" w:rsidRDefault="0087067A" w:rsidP="0087067A">
      <w:pPr>
        <w:tabs>
          <w:tab w:val="left" w:pos="851"/>
        </w:tabs>
        <w:ind w:left="851"/>
        <w:rPr>
          <w:sz w:val="24"/>
          <w:szCs w:val="24"/>
          <w:u w:val="single"/>
        </w:rPr>
      </w:pPr>
      <w:r w:rsidRPr="0087067A">
        <w:rPr>
          <w:bCs/>
          <w:sz w:val="24"/>
          <w:szCs w:val="24"/>
          <w:u w:val="single"/>
        </w:rPr>
        <w:t>CYP3A4-hæmmere</w:t>
      </w:r>
      <w:r w:rsidRPr="0087067A">
        <w:rPr>
          <w:sz w:val="24"/>
          <w:szCs w:val="24"/>
          <w:u w:val="single"/>
        </w:rPr>
        <w:t xml:space="preserve"> (herunder ketoconazol, itraconazol, ritonavir og cobicistat)</w:t>
      </w:r>
    </w:p>
    <w:p w14:paraId="0F3347F2" w14:textId="48317568" w:rsidR="0087067A" w:rsidRPr="0087067A" w:rsidRDefault="0087067A" w:rsidP="0087067A">
      <w:pPr>
        <w:tabs>
          <w:tab w:val="left" w:pos="851"/>
        </w:tabs>
        <w:ind w:left="851"/>
        <w:rPr>
          <w:sz w:val="24"/>
          <w:szCs w:val="24"/>
        </w:rPr>
      </w:pPr>
      <w:r w:rsidRPr="0087067A">
        <w:rPr>
          <w:bCs/>
          <w:sz w:val="24"/>
          <w:szCs w:val="24"/>
        </w:rPr>
        <w:t>CYP3A4-hæmmere</w:t>
      </w:r>
      <w:r w:rsidRPr="0087067A">
        <w:rPr>
          <w:sz w:val="24"/>
          <w:szCs w:val="24"/>
        </w:rPr>
        <w:t xml:space="preserve"> (herunder ketoconazol, itraconazol, ritonavir og cobicistat) kan nedsætte clearance af dexamethason, hvilket kan medføre en stigning i virkningen og adrenal suppression/Cushings syndrom. Denne kombination bør undgås, undtagen i tilfælde hvor fordelen ved behandlingen opvejer den øgede risiko for systemiske bivirkninger af kortikosteroider. Hvis dette er tilfældet, skal patienter monitoreres for virkningerne af systemiske kortikosteroider.</w:t>
      </w:r>
    </w:p>
    <w:p w14:paraId="3D5BC2FD" w14:textId="77777777" w:rsidR="0087067A" w:rsidRPr="0087067A" w:rsidRDefault="0087067A" w:rsidP="0087067A">
      <w:pPr>
        <w:tabs>
          <w:tab w:val="left" w:pos="851"/>
        </w:tabs>
        <w:ind w:left="851"/>
        <w:rPr>
          <w:sz w:val="24"/>
          <w:szCs w:val="24"/>
        </w:rPr>
      </w:pPr>
    </w:p>
    <w:p w14:paraId="195DA916" w14:textId="77777777" w:rsidR="0087067A" w:rsidRPr="0087067A" w:rsidRDefault="0087067A" w:rsidP="0087067A">
      <w:pPr>
        <w:tabs>
          <w:tab w:val="left" w:pos="851"/>
        </w:tabs>
        <w:ind w:left="851"/>
        <w:rPr>
          <w:bCs/>
          <w:sz w:val="24"/>
          <w:szCs w:val="24"/>
          <w:u w:val="single"/>
        </w:rPr>
      </w:pPr>
      <w:r w:rsidRPr="0087067A">
        <w:rPr>
          <w:bCs/>
          <w:sz w:val="24"/>
          <w:szCs w:val="24"/>
          <w:u w:val="single"/>
        </w:rPr>
        <w:t>Efedrin</w:t>
      </w:r>
    </w:p>
    <w:p w14:paraId="045446F8" w14:textId="0FADCB51" w:rsidR="0087067A" w:rsidRPr="0087067A" w:rsidRDefault="0087067A" w:rsidP="0087067A">
      <w:pPr>
        <w:tabs>
          <w:tab w:val="left" w:pos="851"/>
        </w:tabs>
        <w:ind w:left="851"/>
        <w:rPr>
          <w:sz w:val="24"/>
          <w:szCs w:val="24"/>
        </w:rPr>
      </w:pPr>
      <w:r w:rsidRPr="0087067A">
        <w:rPr>
          <w:sz w:val="24"/>
          <w:szCs w:val="24"/>
        </w:rPr>
        <w:t>Metabolismen af glukokortikoider kan blive forøget, og deres effektivitet kan dermed være nedsat.</w:t>
      </w:r>
    </w:p>
    <w:p w14:paraId="30335084" w14:textId="77777777" w:rsidR="0087067A" w:rsidRPr="0087067A" w:rsidRDefault="0087067A" w:rsidP="0087067A">
      <w:pPr>
        <w:tabs>
          <w:tab w:val="left" w:pos="851"/>
        </w:tabs>
        <w:ind w:left="851"/>
        <w:rPr>
          <w:sz w:val="24"/>
          <w:szCs w:val="24"/>
        </w:rPr>
      </w:pPr>
    </w:p>
    <w:p w14:paraId="7642FFBF" w14:textId="77777777" w:rsidR="0087067A" w:rsidRPr="0087067A" w:rsidRDefault="0087067A" w:rsidP="0087067A">
      <w:pPr>
        <w:tabs>
          <w:tab w:val="left" w:pos="851"/>
        </w:tabs>
        <w:ind w:left="851"/>
        <w:rPr>
          <w:bCs/>
          <w:sz w:val="24"/>
          <w:szCs w:val="24"/>
          <w:u w:val="single"/>
        </w:rPr>
      </w:pPr>
      <w:r w:rsidRPr="0087067A">
        <w:rPr>
          <w:bCs/>
          <w:sz w:val="24"/>
          <w:szCs w:val="24"/>
          <w:u w:val="single"/>
        </w:rPr>
        <w:t>Hæmmere af angiotensin-konverterende enzym (ACE)</w:t>
      </w:r>
    </w:p>
    <w:p w14:paraId="3BA4A92D" w14:textId="1FD2D506" w:rsidR="0087067A" w:rsidRPr="0087067A" w:rsidRDefault="0087067A" w:rsidP="0087067A">
      <w:pPr>
        <w:tabs>
          <w:tab w:val="left" w:pos="851"/>
        </w:tabs>
        <w:ind w:left="851"/>
        <w:rPr>
          <w:sz w:val="24"/>
          <w:szCs w:val="24"/>
        </w:rPr>
      </w:pPr>
      <w:r w:rsidRPr="0087067A">
        <w:rPr>
          <w:sz w:val="24"/>
          <w:szCs w:val="24"/>
        </w:rPr>
        <w:t>Øget risiko for ændringer i antallet af blodlegemer.</w:t>
      </w:r>
    </w:p>
    <w:p w14:paraId="36FAF94B" w14:textId="77777777" w:rsidR="0087067A" w:rsidRPr="0087067A" w:rsidRDefault="0087067A" w:rsidP="0087067A">
      <w:pPr>
        <w:tabs>
          <w:tab w:val="left" w:pos="851"/>
        </w:tabs>
        <w:ind w:left="851"/>
        <w:rPr>
          <w:sz w:val="24"/>
          <w:szCs w:val="24"/>
        </w:rPr>
      </w:pPr>
    </w:p>
    <w:p w14:paraId="7C12BBE4" w14:textId="77777777" w:rsidR="0087067A" w:rsidRPr="0087067A" w:rsidRDefault="0087067A" w:rsidP="0087067A">
      <w:pPr>
        <w:tabs>
          <w:tab w:val="left" w:pos="851"/>
        </w:tabs>
        <w:ind w:left="851"/>
        <w:rPr>
          <w:bCs/>
          <w:sz w:val="24"/>
          <w:szCs w:val="24"/>
          <w:u w:val="single"/>
        </w:rPr>
      </w:pPr>
      <w:r w:rsidRPr="0087067A">
        <w:rPr>
          <w:bCs/>
          <w:sz w:val="24"/>
          <w:szCs w:val="24"/>
          <w:u w:val="single"/>
        </w:rPr>
        <w:t>Hjerteglykosider</w:t>
      </w:r>
    </w:p>
    <w:p w14:paraId="553A72D5" w14:textId="5163C894" w:rsidR="0087067A" w:rsidRPr="0087067A" w:rsidRDefault="0087067A" w:rsidP="0087067A">
      <w:pPr>
        <w:tabs>
          <w:tab w:val="left" w:pos="851"/>
        </w:tabs>
        <w:ind w:left="851"/>
        <w:rPr>
          <w:sz w:val="24"/>
          <w:szCs w:val="24"/>
        </w:rPr>
      </w:pPr>
      <w:r>
        <w:rPr>
          <w:sz w:val="24"/>
          <w:szCs w:val="24"/>
        </w:rPr>
        <w:t>K</w:t>
      </w:r>
      <w:r w:rsidRPr="0087067A">
        <w:rPr>
          <w:sz w:val="24"/>
          <w:szCs w:val="24"/>
        </w:rPr>
        <w:t>aliummangel kan forstærke virkningen af glycosider.</w:t>
      </w:r>
    </w:p>
    <w:p w14:paraId="3E54453F" w14:textId="762E6279" w:rsidR="0087067A" w:rsidRDefault="0087067A">
      <w:pPr>
        <w:rPr>
          <w:sz w:val="24"/>
          <w:szCs w:val="24"/>
        </w:rPr>
      </w:pPr>
      <w:r>
        <w:rPr>
          <w:sz w:val="24"/>
          <w:szCs w:val="24"/>
        </w:rPr>
        <w:br w:type="page"/>
      </w:r>
    </w:p>
    <w:p w14:paraId="6C84A5C1" w14:textId="77777777" w:rsidR="0087067A" w:rsidRPr="0087067A" w:rsidRDefault="0087067A" w:rsidP="0087067A">
      <w:pPr>
        <w:tabs>
          <w:tab w:val="left" w:pos="851"/>
        </w:tabs>
        <w:ind w:left="851"/>
        <w:rPr>
          <w:sz w:val="24"/>
          <w:szCs w:val="24"/>
        </w:rPr>
      </w:pPr>
    </w:p>
    <w:p w14:paraId="21B9F666" w14:textId="77777777" w:rsidR="0087067A" w:rsidRPr="0087067A" w:rsidRDefault="0087067A" w:rsidP="0087067A">
      <w:pPr>
        <w:tabs>
          <w:tab w:val="left" w:pos="851"/>
        </w:tabs>
        <w:ind w:left="851"/>
        <w:rPr>
          <w:bCs/>
          <w:sz w:val="24"/>
          <w:szCs w:val="24"/>
          <w:u w:val="single"/>
        </w:rPr>
      </w:pPr>
      <w:r w:rsidRPr="0087067A">
        <w:rPr>
          <w:bCs/>
          <w:sz w:val="24"/>
          <w:szCs w:val="24"/>
          <w:u w:val="single"/>
        </w:rPr>
        <w:t>Diuretika/laksativer</w:t>
      </w:r>
    </w:p>
    <w:p w14:paraId="41F162FE" w14:textId="005A429B" w:rsidR="0087067A" w:rsidRPr="0087067A" w:rsidRDefault="0087067A" w:rsidP="0087067A">
      <w:pPr>
        <w:tabs>
          <w:tab w:val="left" w:pos="851"/>
        </w:tabs>
        <w:ind w:left="851"/>
        <w:rPr>
          <w:sz w:val="24"/>
          <w:szCs w:val="24"/>
        </w:rPr>
      </w:pPr>
      <w:r w:rsidRPr="0087067A">
        <w:rPr>
          <w:sz w:val="24"/>
          <w:szCs w:val="24"/>
        </w:rPr>
        <w:t>Udskillelse af kalium kan være øget.</w:t>
      </w:r>
    </w:p>
    <w:p w14:paraId="646F93B2" w14:textId="77777777" w:rsidR="0087067A" w:rsidRPr="0087067A" w:rsidRDefault="0087067A" w:rsidP="0087067A">
      <w:pPr>
        <w:tabs>
          <w:tab w:val="left" w:pos="851"/>
        </w:tabs>
        <w:ind w:left="851"/>
        <w:rPr>
          <w:sz w:val="24"/>
          <w:szCs w:val="24"/>
        </w:rPr>
      </w:pPr>
    </w:p>
    <w:p w14:paraId="427149E2" w14:textId="77777777" w:rsidR="0087067A" w:rsidRPr="0087067A" w:rsidRDefault="0087067A" w:rsidP="0087067A">
      <w:pPr>
        <w:tabs>
          <w:tab w:val="left" w:pos="851"/>
        </w:tabs>
        <w:ind w:left="851"/>
        <w:rPr>
          <w:bCs/>
          <w:sz w:val="24"/>
          <w:szCs w:val="24"/>
          <w:u w:val="single"/>
        </w:rPr>
      </w:pPr>
      <w:r w:rsidRPr="0087067A">
        <w:rPr>
          <w:bCs/>
          <w:sz w:val="24"/>
          <w:szCs w:val="24"/>
          <w:u w:val="single"/>
        </w:rPr>
        <w:t>Coumarin-derivater</w:t>
      </w:r>
    </w:p>
    <w:p w14:paraId="2782034F" w14:textId="4F7123A5" w:rsidR="0087067A" w:rsidRPr="0087067A" w:rsidRDefault="0087067A" w:rsidP="0087067A">
      <w:pPr>
        <w:tabs>
          <w:tab w:val="left" w:pos="851"/>
        </w:tabs>
        <w:ind w:left="851"/>
        <w:rPr>
          <w:sz w:val="24"/>
          <w:szCs w:val="24"/>
        </w:rPr>
      </w:pPr>
      <w:r w:rsidRPr="0087067A">
        <w:rPr>
          <w:sz w:val="24"/>
          <w:szCs w:val="24"/>
        </w:rPr>
        <w:t>Den antikoagulante virkning kan blive reduceret eller forøget.</w:t>
      </w:r>
    </w:p>
    <w:p w14:paraId="41C5B9E7" w14:textId="77777777" w:rsidR="0087067A" w:rsidRPr="0087067A" w:rsidRDefault="0087067A" w:rsidP="0087067A">
      <w:pPr>
        <w:tabs>
          <w:tab w:val="left" w:pos="851"/>
        </w:tabs>
        <w:ind w:left="851"/>
        <w:rPr>
          <w:sz w:val="24"/>
          <w:szCs w:val="24"/>
        </w:rPr>
      </w:pPr>
      <w:r w:rsidRPr="0087067A">
        <w:rPr>
          <w:sz w:val="24"/>
          <w:szCs w:val="24"/>
        </w:rPr>
        <w:t>Det kan være nødvendigt at justere dosis af antikoagulanten ved samtidig administration.</w:t>
      </w:r>
    </w:p>
    <w:p w14:paraId="5979A257" w14:textId="77777777" w:rsidR="0087067A" w:rsidRPr="0087067A" w:rsidRDefault="0087067A" w:rsidP="0087067A">
      <w:pPr>
        <w:tabs>
          <w:tab w:val="left" w:pos="851"/>
        </w:tabs>
        <w:ind w:left="851"/>
        <w:rPr>
          <w:sz w:val="24"/>
          <w:szCs w:val="24"/>
        </w:rPr>
      </w:pPr>
    </w:p>
    <w:p w14:paraId="2A55D220" w14:textId="0F2C2DE2" w:rsidR="0087067A" w:rsidRPr="0087067A" w:rsidRDefault="0087067A" w:rsidP="0087067A">
      <w:pPr>
        <w:tabs>
          <w:tab w:val="left" w:pos="851"/>
        </w:tabs>
        <w:ind w:left="851"/>
        <w:rPr>
          <w:bCs/>
          <w:sz w:val="24"/>
          <w:szCs w:val="24"/>
          <w:u w:val="single"/>
        </w:rPr>
      </w:pPr>
      <w:r w:rsidRPr="0087067A">
        <w:rPr>
          <w:bCs/>
          <w:sz w:val="24"/>
          <w:szCs w:val="24"/>
          <w:u w:val="single"/>
        </w:rPr>
        <w:t>Non</w:t>
      </w:r>
      <w:r w:rsidRPr="0087067A">
        <w:rPr>
          <w:bCs/>
          <w:sz w:val="24"/>
          <w:szCs w:val="24"/>
          <w:u w:val="single"/>
        </w:rPr>
        <w:noBreakHyphen/>
        <w:t>steroidale anti</w:t>
      </w:r>
      <w:r w:rsidRPr="0087067A">
        <w:rPr>
          <w:bCs/>
          <w:sz w:val="24"/>
          <w:szCs w:val="24"/>
          <w:u w:val="single"/>
        </w:rPr>
        <w:noBreakHyphen/>
        <w:t>inflammatoriske lægemidler (NSAID), salicylater og indometacin</w:t>
      </w:r>
    </w:p>
    <w:p w14:paraId="396AEC65" w14:textId="77777777" w:rsidR="0087067A" w:rsidRPr="0087067A" w:rsidRDefault="0087067A" w:rsidP="0087067A">
      <w:pPr>
        <w:tabs>
          <w:tab w:val="left" w:pos="851"/>
        </w:tabs>
        <w:ind w:left="851"/>
        <w:rPr>
          <w:sz w:val="24"/>
          <w:szCs w:val="24"/>
        </w:rPr>
      </w:pPr>
      <w:r w:rsidRPr="0087067A">
        <w:rPr>
          <w:sz w:val="24"/>
          <w:szCs w:val="24"/>
        </w:rPr>
        <w:t>Der er en øget risiko for mave-tarm-sår og -blødning.</w:t>
      </w:r>
    </w:p>
    <w:p w14:paraId="55FB9F34" w14:textId="77777777" w:rsidR="0087067A" w:rsidRPr="0087067A" w:rsidRDefault="0087067A" w:rsidP="0087067A">
      <w:pPr>
        <w:tabs>
          <w:tab w:val="left" w:pos="851"/>
        </w:tabs>
        <w:ind w:left="851"/>
        <w:rPr>
          <w:sz w:val="24"/>
          <w:szCs w:val="24"/>
        </w:rPr>
      </w:pPr>
    </w:p>
    <w:p w14:paraId="4A4DED49" w14:textId="77777777" w:rsidR="0087067A" w:rsidRPr="0087067A" w:rsidRDefault="0087067A" w:rsidP="0087067A">
      <w:pPr>
        <w:tabs>
          <w:tab w:val="left" w:pos="851"/>
        </w:tabs>
        <w:ind w:left="851"/>
        <w:rPr>
          <w:bCs/>
          <w:sz w:val="24"/>
          <w:szCs w:val="24"/>
          <w:u w:val="single"/>
        </w:rPr>
      </w:pPr>
      <w:r w:rsidRPr="0087067A">
        <w:rPr>
          <w:bCs/>
          <w:sz w:val="24"/>
          <w:szCs w:val="24"/>
          <w:u w:val="single"/>
        </w:rPr>
        <w:t>Non</w:t>
      </w:r>
      <w:r w:rsidRPr="0087067A">
        <w:rPr>
          <w:bCs/>
          <w:sz w:val="24"/>
          <w:szCs w:val="24"/>
          <w:u w:val="single"/>
        </w:rPr>
        <w:noBreakHyphen/>
        <w:t>depolariserende muskelrelaksantia</w:t>
      </w:r>
    </w:p>
    <w:p w14:paraId="311776CB" w14:textId="215EBB8E" w:rsidR="0087067A" w:rsidRPr="0087067A" w:rsidRDefault="0087067A" w:rsidP="0087067A">
      <w:pPr>
        <w:tabs>
          <w:tab w:val="left" w:pos="851"/>
        </w:tabs>
        <w:ind w:left="851"/>
        <w:rPr>
          <w:sz w:val="24"/>
          <w:szCs w:val="24"/>
          <w:u w:val="single"/>
        </w:rPr>
      </w:pPr>
      <w:r w:rsidRPr="0087067A">
        <w:rPr>
          <w:sz w:val="24"/>
          <w:szCs w:val="24"/>
        </w:rPr>
        <w:t>Forlænget muskelrelaksation kan forekomme.</w:t>
      </w:r>
    </w:p>
    <w:p w14:paraId="6C35089C" w14:textId="77777777" w:rsidR="0087067A" w:rsidRPr="0087067A" w:rsidRDefault="0087067A" w:rsidP="0087067A">
      <w:pPr>
        <w:tabs>
          <w:tab w:val="left" w:pos="851"/>
        </w:tabs>
        <w:ind w:left="851"/>
        <w:rPr>
          <w:sz w:val="24"/>
          <w:szCs w:val="24"/>
        </w:rPr>
      </w:pPr>
    </w:p>
    <w:p w14:paraId="62620787" w14:textId="77777777" w:rsidR="0087067A" w:rsidRPr="0087067A" w:rsidRDefault="0087067A" w:rsidP="0087067A">
      <w:pPr>
        <w:tabs>
          <w:tab w:val="left" w:pos="851"/>
        </w:tabs>
        <w:ind w:left="851"/>
        <w:rPr>
          <w:bCs/>
          <w:sz w:val="24"/>
          <w:szCs w:val="24"/>
          <w:u w:val="single"/>
        </w:rPr>
      </w:pPr>
      <w:r w:rsidRPr="0087067A">
        <w:rPr>
          <w:bCs/>
          <w:sz w:val="24"/>
          <w:szCs w:val="24"/>
          <w:u w:val="single"/>
        </w:rPr>
        <w:t>Atropin eller andre antikolinergika</w:t>
      </w:r>
    </w:p>
    <w:p w14:paraId="499831B9" w14:textId="47A00EBB" w:rsidR="0087067A" w:rsidRPr="0087067A" w:rsidRDefault="0087067A" w:rsidP="0087067A">
      <w:pPr>
        <w:tabs>
          <w:tab w:val="left" w:pos="851"/>
        </w:tabs>
        <w:ind w:left="851"/>
        <w:rPr>
          <w:sz w:val="24"/>
          <w:szCs w:val="24"/>
        </w:rPr>
      </w:pPr>
      <w:r w:rsidRPr="0087067A">
        <w:rPr>
          <w:sz w:val="24"/>
          <w:szCs w:val="24"/>
        </w:rPr>
        <w:t>Det intraokulære tryk kan blive forøget ved samtidig brug.</w:t>
      </w:r>
    </w:p>
    <w:p w14:paraId="6EB85328" w14:textId="77777777" w:rsidR="0087067A" w:rsidRPr="0087067A" w:rsidRDefault="0087067A" w:rsidP="0087067A">
      <w:pPr>
        <w:tabs>
          <w:tab w:val="left" w:pos="851"/>
        </w:tabs>
        <w:ind w:left="851"/>
        <w:rPr>
          <w:sz w:val="24"/>
          <w:szCs w:val="24"/>
        </w:rPr>
      </w:pPr>
    </w:p>
    <w:p w14:paraId="2AD801CD" w14:textId="77777777" w:rsidR="0087067A" w:rsidRPr="0087067A" w:rsidRDefault="0087067A" w:rsidP="0087067A">
      <w:pPr>
        <w:tabs>
          <w:tab w:val="left" w:pos="851"/>
        </w:tabs>
        <w:ind w:left="851"/>
        <w:rPr>
          <w:bCs/>
          <w:sz w:val="24"/>
          <w:szCs w:val="24"/>
          <w:u w:val="single"/>
        </w:rPr>
      </w:pPr>
      <w:r w:rsidRPr="0087067A">
        <w:rPr>
          <w:bCs/>
          <w:sz w:val="24"/>
          <w:szCs w:val="24"/>
          <w:u w:val="single"/>
        </w:rPr>
        <w:t>Praziquantel</w:t>
      </w:r>
    </w:p>
    <w:p w14:paraId="305B1447" w14:textId="31F1F886" w:rsidR="0087067A" w:rsidRPr="0087067A" w:rsidRDefault="0087067A" w:rsidP="0087067A">
      <w:pPr>
        <w:tabs>
          <w:tab w:val="left" w:pos="851"/>
        </w:tabs>
        <w:ind w:left="851"/>
        <w:rPr>
          <w:sz w:val="24"/>
          <w:szCs w:val="24"/>
        </w:rPr>
      </w:pPr>
      <w:r w:rsidRPr="0087067A">
        <w:rPr>
          <w:sz w:val="24"/>
          <w:szCs w:val="24"/>
        </w:rPr>
        <w:t>Kortikosteroider kan reducere koncentrationen af praziquantel i blodet.</w:t>
      </w:r>
    </w:p>
    <w:p w14:paraId="3125AD41" w14:textId="77777777" w:rsidR="0087067A" w:rsidRPr="0087067A" w:rsidRDefault="0087067A" w:rsidP="0087067A">
      <w:pPr>
        <w:tabs>
          <w:tab w:val="left" w:pos="851"/>
        </w:tabs>
        <w:ind w:left="851"/>
        <w:rPr>
          <w:sz w:val="24"/>
          <w:szCs w:val="24"/>
        </w:rPr>
      </w:pPr>
    </w:p>
    <w:p w14:paraId="6EDC2408" w14:textId="77777777" w:rsidR="0087067A" w:rsidRPr="0087067A" w:rsidRDefault="0087067A" w:rsidP="0087067A">
      <w:pPr>
        <w:tabs>
          <w:tab w:val="left" w:pos="851"/>
        </w:tabs>
        <w:ind w:left="851"/>
        <w:rPr>
          <w:bCs/>
          <w:sz w:val="24"/>
          <w:szCs w:val="24"/>
          <w:u w:val="single"/>
        </w:rPr>
      </w:pPr>
      <w:r w:rsidRPr="0087067A">
        <w:rPr>
          <w:bCs/>
          <w:sz w:val="24"/>
          <w:szCs w:val="24"/>
          <w:u w:val="single"/>
        </w:rPr>
        <w:t>Chloroquin, hydroxychloroquin og mefloquin</w:t>
      </w:r>
    </w:p>
    <w:p w14:paraId="0D7458B4" w14:textId="3D54876D" w:rsidR="0087067A" w:rsidRPr="0087067A" w:rsidRDefault="0087067A" w:rsidP="0087067A">
      <w:pPr>
        <w:tabs>
          <w:tab w:val="left" w:pos="851"/>
        </w:tabs>
        <w:ind w:left="851"/>
        <w:rPr>
          <w:sz w:val="24"/>
          <w:szCs w:val="24"/>
        </w:rPr>
      </w:pPr>
      <w:r w:rsidRPr="0087067A">
        <w:rPr>
          <w:sz w:val="24"/>
          <w:szCs w:val="24"/>
        </w:rPr>
        <w:t>Risikoen for myopatier og kardiomyopatier er  forøget.</w:t>
      </w:r>
    </w:p>
    <w:p w14:paraId="437BACCF" w14:textId="77777777" w:rsidR="0087067A" w:rsidRPr="0087067A" w:rsidRDefault="0087067A" w:rsidP="0087067A">
      <w:pPr>
        <w:tabs>
          <w:tab w:val="left" w:pos="851"/>
        </w:tabs>
        <w:ind w:left="851"/>
        <w:rPr>
          <w:sz w:val="24"/>
          <w:szCs w:val="24"/>
        </w:rPr>
      </w:pPr>
    </w:p>
    <w:p w14:paraId="740DF2D8" w14:textId="77777777" w:rsidR="0087067A" w:rsidRPr="0087067A" w:rsidRDefault="0087067A" w:rsidP="0087067A">
      <w:pPr>
        <w:tabs>
          <w:tab w:val="left" w:pos="851"/>
        </w:tabs>
        <w:ind w:left="851"/>
        <w:rPr>
          <w:bCs/>
          <w:sz w:val="24"/>
          <w:szCs w:val="24"/>
          <w:u w:val="single"/>
        </w:rPr>
      </w:pPr>
      <w:r w:rsidRPr="0087067A">
        <w:rPr>
          <w:bCs/>
          <w:sz w:val="24"/>
          <w:szCs w:val="24"/>
          <w:u w:val="single"/>
        </w:rPr>
        <w:t>Protirelin</w:t>
      </w:r>
    </w:p>
    <w:p w14:paraId="7AA15C9C" w14:textId="1E531309" w:rsidR="0087067A" w:rsidRPr="0087067A" w:rsidRDefault="0087067A" w:rsidP="0087067A">
      <w:pPr>
        <w:tabs>
          <w:tab w:val="left" w:pos="851"/>
        </w:tabs>
        <w:ind w:left="851"/>
        <w:rPr>
          <w:sz w:val="24"/>
          <w:szCs w:val="24"/>
        </w:rPr>
      </w:pPr>
      <w:r w:rsidRPr="0087067A">
        <w:rPr>
          <w:sz w:val="24"/>
          <w:szCs w:val="24"/>
        </w:rPr>
        <w:t>En reducering af stigningen i det tyroideastimulerende hormon (THS) kan forekomme.</w:t>
      </w:r>
    </w:p>
    <w:p w14:paraId="1B6ABD97" w14:textId="77777777" w:rsidR="0087067A" w:rsidRPr="0087067A" w:rsidRDefault="0087067A" w:rsidP="0087067A">
      <w:pPr>
        <w:tabs>
          <w:tab w:val="left" w:pos="851"/>
        </w:tabs>
        <w:ind w:left="851"/>
        <w:rPr>
          <w:sz w:val="24"/>
          <w:szCs w:val="24"/>
        </w:rPr>
      </w:pPr>
    </w:p>
    <w:p w14:paraId="492CE1FC" w14:textId="77777777" w:rsidR="0087067A" w:rsidRPr="0087067A" w:rsidRDefault="0087067A" w:rsidP="0087067A">
      <w:pPr>
        <w:tabs>
          <w:tab w:val="left" w:pos="851"/>
        </w:tabs>
        <w:ind w:left="851"/>
        <w:rPr>
          <w:bCs/>
          <w:sz w:val="24"/>
          <w:szCs w:val="24"/>
          <w:u w:val="single"/>
        </w:rPr>
      </w:pPr>
      <w:r w:rsidRPr="0087067A">
        <w:rPr>
          <w:bCs/>
          <w:sz w:val="24"/>
          <w:szCs w:val="24"/>
          <w:u w:val="single"/>
        </w:rPr>
        <w:t>Immunsuppressiva</w:t>
      </w:r>
    </w:p>
    <w:p w14:paraId="68F81981" w14:textId="33BF33A4" w:rsidR="0087067A" w:rsidRPr="0087067A" w:rsidRDefault="0087067A" w:rsidP="0087067A">
      <w:pPr>
        <w:tabs>
          <w:tab w:val="left" w:pos="851"/>
        </w:tabs>
        <w:ind w:left="851"/>
        <w:rPr>
          <w:b/>
          <w:bCs/>
          <w:sz w:val="24"/>
          <w:szCs w:val="24"/>
        </w:rPr>
      </w:pPr>
      <w:r w:rsidRPr="0087067A">
        <w:rPr>
          <w:sz w:val="24"/>
          <w:szCs w:val="24"/>
        </w:rPr>
        <w:t>Øget modtagelighed over for infektioner og mulig forværring eller manifestation af latente infektioner. Yderliger for ciclosporin: Øget niveau af ciclosporin i blodet: Der er en øget risiko for anfald.</w:t>
      </w:r>
    </w:p>
    <w:p w14:paraId="10F746ED" w14:textId="77777777" w:rsidR="0087067A" w:rsidRPr="0087067A" w:rsidRDefault="0087067A" w:rsidP="0087067A">
      <w:pPr>
        <w:tabs>
          <w:tab w:val="left" w:pos="851"/>
        </w:tabs>
        <w:ind w:left="851"/>
        <w:rPr>
          <w:b/>
          <w:bCs/>
          <w:sz w:val="24"/>
          <w:szCs w:val="24"/>
        </w:rPr>
      </w:pPr>
    </w:p>
    <w:p w14:paraId="60AFF26E" w14:textId="77777777" w:rsidR="0087067A" w:rsidRPr="0087067A" w:rsidRDefault="0087067A" w:rsidP="0087067A">
      <w:pPr>
        <w:tabs>
          <w:tab w:val="left" w:pos="851"/>
        </w:tabs>
        <w:ind w:left="851"/>
        <w:rPr>
          <w:bCs/>
          <w:sz w:val="24"/>
          <w:szCs w:val="24"/>
          <w:u w:val="single"/>
        </w:rPr>
      </w:pPr>
      <w:r w:rsidRPr="0087067A">
        <w:rPr>
          <w:bCs/>
          <w:sz w:val="24"/>
          <w:szCs w:val="24"/>
          <w:u w:val="single"/>
        </w:rPr>
        <w:t>Fluorquinoloner</w:t>
      </w:r>
    </w:p>
    <w:p w14:paraId="7968BC80" w14:textId="2E01047B" w:rsidR="0087067A" w:rsidRPr="0087067A" w:rsidRDefault="0087067A" w:rsidP="0087067A">
      <w:pPr>
        <w:tabs>
          <w:tab w:val="left" w:pos="851"/>
        </w:tabs>
        <w:ind w:left="851"/>
        <w:rPr>
          <w:sz w:val="24"/>
          <w:szCs w:val="24"/>
        </w:rPr>
      </w:pPr>
      <w:r>
        <w:rPr>
          <w:sz w:val="24"/>
          <w:szCs w:val="24"/>
        </w:rPr>
        <w:t>K</w:t>
      </w:r>
      <w:r w:rsidRPr="0087067A">
        <w:rPr>
          <w:sz w:val="24"/>
          <w:szCs w:val="24"/>
        </w:rPr>
        <w:t>an øge risikoen for senelidelser.</w:t>
      </w:r>
    </w:p>
    <w:p w14:paraId="42146280" w14:textId="77777777" w:rsidR="0087067A" w:rsidRPr="0087067A" w:rsidRDefault="0087067A" w:rsidP="0087067A">
      <w:pPr>
        <w:tabs>
          <w:tab w:val="left" w:pos="851"/>
        </w:tabs>
        <w:ind w:left="851"/>
        <w:rPr>
          <w:sz w:val="24"/>
          <w:szCs w:val="24"/>
        </w:rPr>
      </w:pPr>
    </w:p>
    <w:p w14:paraId="2313A6D6" w14:textId="63141E93" w:rsidR="0087067A" w:rsidRPr="0087067A" w:rsidRDefault="0087067A" w:rsidP="0087067A">
      <w:pPr>
        <w:tabs>
          <w:tab w:val="left" w:pos="851"/>
        </w:tabs>
        <w:ind w:left="851"/>
        <w:rPr>
          <w:i/>
          <w:iCs/>
          <w:sz w:val="24"/>
          <w:szCs w:val="24"/>
        </w:rPr>
      </w:pPr>
      <w:r w:rsidRPr="0087067A">
        <w:rPr>
          <w:i/>
          <w:iCs/>
          <w:sz w:val="24"/>
          <w:szCs w:val="24"/>
        </w:rPr>
        <w:t>Virkning på analysemetoder</w:t>
      </w:r>
    </w:p>
    <w:p w14:paraId="43F42D85" w14:textId="77777777" w:rsidR="0087067A" w:rsidRPr="0087067A" w:rsidRDefault="0087067A" w:rsidP="0087067A">
      <w:pPr>
        <w:tabs>
          <w:tab w:val="left" w:pos="851"/>
        </w:tabs>
        <w:ind w:left="851"/>
        <w:rPr>
          <w:i/>
          <w:iCs/>
          <w:sz w:val="24"/>
          <w:szCs w:val="24"/>
        </w:rPr>
      </w:pPr>
      <w:r w:rsidRPr="0087067A">
        <w:rPr>
          <w:sz w:val="24"/>
          <w:szCs w:val="24"/>
        </w:rPr>
        <w:t>Hudreaktioner ved allergitest kan blive undertrykt.</w:t>
      </w:r>
    </w:p>
    <w:p w14:paraId="0007ABBD" w14:textId="77777777" w:rsidR="009260DE" w:rsidRPr="00C84483" w:rsidRDefault="009260DE" w:rsidP="009260DE">
      <w:pPr>
        <w:tabs>
          <w:tab w:val="left" w:pos="851"/>
        </w:tabs>
        <w:ind w:left="851"/>
        <w:rPr>
          <w:sz w:val="24"/>
          <w:szCs w:val="24"/>
        </w:rPr>
      </w:pPr>
    </w:p>
    <w:p w14:paraId="4154163A"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DDB3501" w14:textId="77777777" w:rsidR="00043C8C" w:rsidRPr="00043C8C" w:rsidRDefault="00043C8C" w:rsidP="00043C8C">
      <w:pPr>
        <w:tabs>
          <w:tab w:val="left" w:pos="851"/>
        </w:tabs>
        <w:ind w:left="851"/>
        <w:rPr>
          <w:sz w:val="24"/>
          <w:szCs w:val="24"/>
        </w:rPr>
      </w:pPr>
      <w:r w:rsidRPr="00043C8C">
        <w:rPr>
          <w:sz w:val="24"/>
          <w:szCs w:val="24"/>
        </w:rPr>
        <w:t>Studier har vist en øget risiko for hypoglykæmi hos nyfødte efter kortvarig  administration af kortikosteroider før fødslen, herunder dexamethason, til kvinder med risiko for sen præmatur fødsel.</w:t>
      </w:r>
    </w:p>
    <w:p w14:paraId="3D8D54AF" w14:textId="77777777" w:rsidR="00043C8C" w:rsidRPr="00043C8C" w:rsidRDefault="00043C8C" w:rsidP="00043C8C">
      <w:pPr>
        <w:tabs>
          <w:tab w:val="left" w:pos="851"/>
        </w:tabs>
        <w:ind w:left="851"/>
        <w:rPr>
          <w:sz w:val="24"/>
          <w:szCs w:val="24"/>
        </w:rPr>
      </w:pPr>
    </w:p>
    <w:p w14:paraId="71F6A366" w14:textId="77777777" w:rsidR="00043C8C" w:rsidRPr="00043C8C" w:rsidRDefault="00043C8C" w:rsidP="00043C8C">
      <w:pPr>
        <w:tabs>
          <w:tab w:val="left" w:pos="851"/>
        </w:tabs>
        <w:ind w:left="851"/>
        <w:rPr>
          <w:sz w:val="24"/>
          <w:szCs w:val="24"/>
          <w:u w:val="single"/>
        </w:rPr>
      </w:pPr>
      <w:r w:rsidRPr="00043C8C">
        <w:rPr>
          <w:sz w:val="24"/>
          <w:szCs w:val="24"/>
          <w:u w:val="single"/>
        </w:rPr>
        <w:t>Graviditet</w:t>
      </w:r>
    </w:p>
    <w:p w14:paraId="1DE77A7D" w14:textId="77777777" w:rsidR="00043C8C" w:rsidRPr="00043C8C" w:rsidRDefault="00043C8C" w:rsidP="00043C8C">
      <w:pPr>
        <w:tabs>
          <w:tab w:val="left" w:pos="851"/>
        </w:tabs>
        <w:ind w:left="851"/>
        <w:rPr>
          <w:sz w:val="24"/>
          <w:szCs w:val="24"/>
        </w:rPr>
      </w:pPr>
      <w:r w:rsidRPr="00043C8C">
        <w:rPr>
          <w:sz w:val="24"/>
          <w:szCs w:val="24"/>
        </w:rPr>
        <w:t>Dexametason krydser placenta. Under graviditet, især i det første trimester, må anvendelse af dette lægemiddel kun overvejes efter en omhyggelig vurdering af benefit/risk-forholdet.</w:t>
      </w:r>
    </w:p>
    <w:p w14:paraId="5452DFC1" w14:textId="77777777" w:rsidR="00043C8C" w:rsidRPr="00043C8C" w:rsidRDefault="00043C8C" w:rsidP="00043C8C">
      <w:pPr>
        <w:tabs>
          <w:tab w:val="left" w:pos="851"/>
        </w:tabs>
        <w:ind w:left="851"/>
        <w:rPr>
          <w:sz w:val="24"/>
          <w:szCs w:val="24"/>
        </w:rPr>
      </w:pPr>
    </w:p>
    <w:p w14:paraId="0A5EE0DC" w14:textId="77777777" w:rsidR="00043C8C" w:rsidRPr="00043C8C" w:rsidRDefault="00043C8C" w:rsidP="00043C8C">
      <w:pPr>
        <w:tabs>
          <w:tab w:val="left" w:pos="851"/>
        </w:tabs>
        <w:ind w:left="851"/>
        <w:rPr>
          <w:sz w:val="24"/>
          <w:szCs w:val="24"/>
        </w:rPr>
      </w:pPr>
      <w:r w:rsidRPr="00043C8C">
        <w:rPr>
          <w:sz w:val="24"/>
          <w:szCs w:val="24"/>
        </w:rPr>
        <w:t>Ved administration af glukokortikosteroider i længere perioder under graviditeten kan føtal væksthæmning ikke udelukkes.</w:t>
      </w:r>
    </w:p>
    <w:p w14:paraId="74E5010E" w14:textId="77777777" w:rsidR="00043C8C" w:rsidRPr="00043C8C" w:rsidRDefault="00043C8C" w:rsidP="00043C8C">
      <w:pPr>
        <w:tabs>
          <w:tab w:val="left" w:pos="851"/>
        </w:tabs>
        <w:ind w:left="851"/>
        <w:rPr>
          <w:sz w:val="24"/>
          <w:szCs w:val="24"/>
        </w:rPr>
      </w:pPr>
    </w:p>
    <w:p w14:paraId="10666B94" w14:textId="77777777" w:rsidR="00043C8C" w:rsidRPr="00043C8C" w:rsidRDefault="00043C8C" w:rsidP="00043C8C">
      <w:pPr>
        <w:tabs>
          <w:tab w:val="left" w:pos="851"/>
        </w:tabs>
        <w:ind w:left="851"/>
        <w:rPr>
          <w:sz w:val="24"/>
          <w:szCs w:val="24"/>
        </w:rPr>
      </w:pPr>
      <w:r w:rsidRPr="00043C8C">
        <w:rPr>
          <w:sz w:val="24"/>
          <w:szCs w:val="24"/>
        </w:rPr>
        <w:t xml:space="preserve">Administration af kortikosteroider til drægtige dyr kan medføre fosterskader, herunder ganespalte, intrauterin væksthæmning og påvirkninger af hjernens vækst og udvikling. Der </w:t>
      </w:r>
      <w:r w:rsidRPr="00043C8C">
        <w:rPr>
          <w:sz w:val="24"/>
          <w:szCs w:val="24"/>
        </w:rPr>
        <w:lastRenderedPageBreak/>
        <w:t>er ingen dokumentation for, at kortikosteroider medfører en øget risiko for medfødte abnormiteter såsom læbe/ganespalte hos mennesker (se pkt. 5.3).</w:t>
      </w:r>
    </w:p>
    <w:p w14:paraId="4439B90C" w14:textId="77777777" w:rsidR="00043C8C" w:rsidRPr="00043C8C" w:rsidRDefault="00043C8C" w:rsidP="00043C8C">
      <w:pPr>
        <w:tabs>
          <w:tab w:val="left" w:pos="851"/>
        </w:tabs>
        <w:ind w:left="851"/>
        <w:rPr>
          <w:sz w:val="24"/>
          <w:szCs w:val="24"/>
        </w:rPr>
      </w:pPr>
    </w:p>
    <w:p w14:paraId="757CE89C" w14:textId="77777777" w:rsidR="00043C8C" w:rsidRPr="00043C8C" w:rsidRDefault="00043C8C" w:rsidP="00043C8C">
      <w:pPr>
        <w:tabs>
          <w:tab w:val="left" w:pos="851"/>
        </w:tabs>
        <w:ind w:left="851"/>
        <w:rPr>
          <w:sz w:val="24"/>
          <w:szCs w:val="24"/>
        </w:rPr>
      </w:pPr>
      <w:r w:rsidRPr="00043C8C">
        <w:rPr>
          <w:sz w:val="24"/>
          <w:szCs w:val="24"/>
        </w:rPr>
        <w:t>Hvis glukokortikoider administreres mod slutningen af graviditeten, er der en risiko for atrofi af fostrets binyrebark, hvilket kan nødvendiggøre, at den nyfødte skal have substitutionsbehandling, som langsomt skal reduceres.</w:t>
      </w:r>
    </w:p>
    <w:p w14:paraId="53F48E0D" w14:textId="77777777" w:rsidR="00043C8C" w:rsidRPr="00043C8C" w:rsidRDefault="00043C8C" w:rsidP="00043C8C">
      <w:pPr>
        <w:tabs>
          <w:tab w:val="left" w:pos="851"/>
        </w:tabs>
        <w:ind w:left="851"/>
        <w:rPr>
          <w:sz w:val="24"/>
          <w:szCs w:val="24"/>
        </w:rPr>
      </w:pPr>
    </w:p>
    <w:p w14:paraId="67FA596B" w14:textId="77777777" w:rsidR="00043C8C" w:rsidRPr="00043C8C" w:rsidRDefault="00043C8C" w:rsidP="00043C8C">
      <w:pPr>
        <w:tabs>
          <w:tab w:val="left" w:pos="851"/>
        </w:tabs>
        <w:ind w:left="851"/>
        <w:rPr>
          <w:bCs/>
          <w:sz w:val="24"/>
          <w:szCs w:val="24"/>
          <w:u w:val="single"/>
        </w:rPr>
      </w:pPr>
      <w:r w:rsidRPr="00043C8C">
        <w:rPr>
          <w:bCs/>
          <w:sz w:val="24"/>
          <w:szCs w:val="24"/>
          <w:u w:val="single"/>
        </w:rPr>
        <w:t>Amning</w:t>
      </w:r>
    </w:p>
    <w:p w14:paraId="0A454FC4" w14:textId="77777777" w:rsidR="00043C8C" w:rsidRPr="00043C8C" w:rsidRDefault="00043C8C" w:rsidP="00043C8C">
      <w:pPr>
        <w:tabs>
          <w:tab w:val="left" w:pos="851"/>
        </w:tabs>
        <w:ind w:left="851"/>
        <w:rPr>
          <w:bCs/>
          <w:sz w:val="24"/>
          <w:szCs w:val="24"/>
          <w:u w:val="single"/>
        </w:rPr>
      </w:pPr>
      <w:r w:rsidRPr="00043C8C">
        <w:rPr>
          <w:sz w:val="24"/>
          <w:szCs w:val="24"/>
        </w:rPr>
        <w:t>Dexamethason udskilles i brystmælk. Der har ikke været nogen kendte tilfælde af skade på barnet. Ikke desto mindre skal medicinen anvendes under de strengeste indikationer under amning. Hvis sygdommen kræver højere doser, bør amning ophøre.</w:t>
      </w:r>
    </w:p>
    <w:p w14:paraId="6BB149BF" w14:textId="77777777" w:rsidR="009260DE" w:rsidRPr="00C84483" w:rsidRDefault="009260DE" w:rsidP="009260DE">
      <w:pPr>
        <w:tabs>
          <w:tab w:val="left" w:pos="851"/>
        </w:tabs>
        <w:ind w:left="851"/>
        <w:rPr>
          <w:sz w:val="24"/>
          <w:szCs w:val="24"/>
        </w:rPr>
      </w:pPr>
    </w:p>
    <w:p w14:paraId="0B671D6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12E16CA" w14:textId="77777777" w:rsidR="00043C8C" w:rsidRDefault="00043C8C" w:rsidP="00043C8C">
      <w:pPr>
        <w:tabs>
          <w:tab w:val="left" w:pos="851"/>
        </w:tabs>
        <w:ind w:left="851"/>
        <w:rPr>
          <w:sz w:val="24"/>
          <w:szCs w:val="24"/>
        </w:rPr>
      </w:pPr>
      <w:r>
        <w:rPr>
          <w:sz w:val="24"/>
          <w:szCs w:val="24"/>
        </w:rPr>
        <w:t>Ikke mærkning.</w:t>
      </w:r>
    </w:p>
    <w:p w14:paraId="4F41C58C" w14:textId="31241B0A" w:rsidR="00043C8C" w:rsidRPr="00043C8C" w:rsidRDefault="00043C8C" w:rsidP="00043C8C">
      <w:pPr>
        <w:tabs>
          <w:tab w:val="left" w:pos="851"/>
        </w:tabs>
        <w:ind w:left="851"/>
        <w:rPr>
          <w:sz w:val="24"/>
          <w:szCs w:val="24"/>
        </w:rPr>
      </w:pPr>
      <w:r w:rsidRPr="00043C8C">
        <w:rPr>
          <w:sz w:val="24"/>
          <w:szCs w:val="24"/>
        </w:rPr>
        <w:t>Dexamethasone phosphate "Panpharma" påvirker ikke eller kun i ubetydelig grad evnen til at føre motorkøretøj eller betjene maskiner. Det samme gælder arbejde uden at have et sikkert greb.</w:t>
      </w:r>
    </w:p>
    <w:p w14:paraId="5517ECCC" w14:textId="77777777" w:rsidR="009260DE" w:rsidRPr="00C84483" w:rsidRDefault="009260DE" w:rsidP="009260DE">
      <w:pPr>
        <w:tabs>
          <w:tab w:val="left" w:pos="851"/>
        </w:tabs>
        <w:ind w:left="851"/>
        <w:rPr>
          <w:sz w:val="24"/>
          <w:szCs w:val="24"/>
        </w:rPr>
      </w:pPr>
    </w:p>
    <w:p w14:paraId="11E440F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E2FB040" w14:textId="77777777" w:rsidR="00043C8C" w:rsidRPr="00043C8C" w:rsidRDefault="00043C8C" w:rsidP="00043C8C">
      <w:pPr>
        <w:tabs>
          <w:tab w:val="left" w:pos="851"/>
        </w:tabs>
        <w:ind w:left="851"/>
        <w:rPr>
          <w:sz w:val="24"/>
          <w:szCs w:val="24"/>
        </w:rPr>
      </w:pPr>
    </w:p>
    <w:p w14:paraId="3689758C" w14:textId="77777777" w:rsidR="00043C8C" w:rsidRPr="00043C8C" w:rsidRDefault="00043C8C" w:rsidP="00043C8C">
      <w:pPr>
        <w:tabs>
          <w:tab w:val="left" w:pos="851"/>
        </w:tabs>
        <w:ind w:left="851"/>
        <w:rPr>
          <w:sz w:val="24"/>
          <w:szCs w:val="24"/>
          <w:u w:val="single"/>
        </w:rPr>
      </w:pPr>
      <w:r w:rsidRPr="00043C8C">
        <w:rPr>
          <w:sz w:val="24"/>
          <w:szCs w:val="24"/>
          <w:u w:val="single"/>
        </w:rPr>
        <w:t>Sammendrag af sikkerhedsprofilen</w:t>
      </w:r>
    </w:p>
    <w:p w14:paraId="526F3DB8" w14:textId="77777777" w:rsidR="00043C8C" w:rsidRPr="00043C8C" w:rsidRDefault="00043C8C" w:rsidP="00043C8C">
      <w:pPr>
        <w:tabs>
          <w:tab w:val="left" w:pos="851"/>
        </w:tabs>
        <w:ind w:left="851"/>
        <w:rPr>
          <w:sz w:val="24"/>
          <w:szCs w:val="24"/>
        </w:rPr>
      </w:pPr>
      <w:r w:rsidRPr="00043C8C">
        <w:rPr>
          <w:sz w:val="24"/>
          <w:szCs w:val="24"/>
        </w:rPr>
        <w:t>Risikoen for bivirkninger er lav under kortvarig behandling med dexamethason med undtagelse af parenteral højdosis-behandling, hvor ændringer i elektrolytter, forekomst af ødem, mulig blodtryksstigning, hjertestop, hjerterytmeforstyrrelser eller krampeanfald kan forekomme, og kliniske manifestationer af infektioner kan også observeres under kortvarig behandling. Opmærksomheden bør rettes mod mulige sår i mave eller tarm, som ofte er stressbetingede, fordi kortikoidbehandling kan reducere deres symptomer, og kan reducere glucosetolerance.</w:t>
      </w:r>
    </w:p>
    <w:p w14:paraId="109FAF16" w14:textId="77777777" w:rsidR="00043C8C" w:rsidRPr="00043C8C" w:rsidRDefault="00043C8C" w:rsidP="00043C8C">
      <w:pPr>
        <w:tabs>
          <w:tab w:val="left" w:pos="851"/>
        </w:tabs>
        <w:ind w:left="851"/>
        <w:rPr>
          <w:sz w:val="24"/>
          <w:szCs w:val="24"/>
        </w:rPr>
      </w:pPr>
    </w:p>
    <w:p w14:paraId="590CA067" w14:textId="77777777" w:rsidR="00043C8C" w:rsidRPr="00043C8C" w:rsidRDefault="00043C8C" w:rsidP="00043C8C">
      <w:pPr>
        <w:tabs>
          <w:tab w:val="left" w:pos="851"/>
        </w:tabs>
        <w:ind w:left="851"/>
        <w:rPr>
          <w:sz w:val="24"/>
          <w:szCs w:val="24"/>
        </w:rPr>
      </w:pPr>
      <w:r w:rsidRPr="00043C8C">
        <w:rPr>
          <w:sz w:val="24"/>
          <w:szCs w:val="24"/>
        </w:rPr>
        <w:t xml:space="preserve">Følgende bivirkninger kan forekomme; de afhænger i høj grad af dosis og varighed af behandling, så hyppigheden af dem kan ikke præciseres. </w:t>
      </w:r>
    </w:p>
    <w:p w14:paraId="7E62A54C" w14:textId="77777777" w:rsidR="00043C8C" w:rsidRPr="00043C8C" w:rsidRDefault="00043C8C" w:rsidP="00043C8C">
      <w:pPr>
        <w:tabs>
          <w:tab w:val="left" w:pos="851"/>
        </w:tabs>
        <w:ind w:left="851"/>
        <w:rPr>
          <w:i/>
          <w:iCs/>
          <w:sz w:val="24"/>
          <w:szCs w:val="24"/>
        </w:rPr>
      </w:pPr>
    </w:p>
    <w:p w14:paraId="296C4AB3" w14:textId="75CC2A37" w:rsidR="00043C8C" w:rsidRPr="00043C8C" w:rsidRDefault="00043C8C" w:rsidP="00043C8C">
      <w:pPr>
        <w:tabs>
          <w:tab w:val="left" w:pos="851"/>
        </w:tabs>
        <w:ind w:left="851"/>
        <w:rPr>
          <w:i/>
          <w:iCs/>
          <w:sz w:val="24"/>
          <w:szCs w:val="24"/>
        </w:rPr>
      </w:pPr>
      <w:r w:rsidRPr="00043C8C">
        <w:rPr>
          <w:i/>
          <w:iCs/>
          <w:sz w:val="24"/>
          <w:szCs w:val="24"/>
        </w:rPr>
        <w:t>Infektioner og parasitære sygdomme</w:t>
      </w:r>
    </w:p>
    <w:p w14:paraId="3A7A72B2" w14:textId="77777777" w:rsidR="00043C8C" w:rsidRPr="00043C8C" w:rsidRDefault="00043C8C" w:rsidP="00043C8C">
      <w:pPr>
        <w:tabs>
          <w:tab w:val="left" w:pos="851"/>
        </w:tabs>
        <w:ind w:left="851"/>
        <w:rPr>
          <w:sz w:val="24"/>
          <w:szCs w:val="24"/>
        </w:rPr>
      </w:pPr>
      <w:r w:rsidRPr="00043C8C">
        <w:rPr>
          <w:sz w:val="24"/>
          <w:szCs w:val="24"/>
        </w:rPr>
        <w:t>Maskering af infektioner, manifestation, eksacerbation eller reaktivering af virusinfektioner, svampeinfektioner, bakterielle infektioner, parasitinfektioner og opportunistiske infektioner, aktivering af strongyloidiasis (se pkt. 4.4).</w:t>
      </w:r>
    </w:p>
    <w:p w14:paraId="068EDCF3" w14:textId="77777777" w:rsidR="00043C8C" w:rsidRPr="00043C8C" w:rsidRDefault="00043C8C" w:rsidP="00043C8C">
      <w:pPr>
        <w:tabs>
          <w:tab w:val="left" w:pos="851"/>
        </w:tabs>
        <w:ind w:left="851"/>
        <w:rPr>
          <w:sz w:val="24"/>
          <w:szCs w:val="24"/>
        </w:rPr>
      </w:pPr>
    </w:p>
    <w:p w14:paraId="31BF184A" w14:textId="347C6AAE" w:rsidR="00043C8C" w:rsidRPr="00043C8C" w:rsidRDefault="00043C8C" w:rsidP="00043C8C">
      <w:pPr>
        <w:tabs>
          <w:tab w:val="left" w:pos="851"/>
        </w:tabs>
        <w:ind w:left="851"/>
        <w:rPr>
          <w:i/>
          <w:iCs/>
          <w:sz w:val="24"/>
          <w:szCs w:val="24"/>
        </w:rPr>
      </w:pPr>
      <w:r w:rsidRPr="00043C8C">
        <w:rPr>
          <w:i/>
          <w:iCs/>
          <w:sz w:val="24"/>
          <w:szCs w:val="24"/>
        </w:rPr>
        <w:t>Blod og lymfesystem</w:t>
      </w:r>
    </w:p>
    <w:p w14:paraId="0B13A9B3" w14:textId="77777777" w:rsidR="00043C8C" w:rsidRPr="00043C8C" w:rsidRDefault="00043C8C" w:rsidP="00043C8C">
      <w:pPr>
        <w:tabs>
          <w:tab w:val="left" w:pos="851"/>
        </w:tabs>
        <w:ind w:left="851"/>
        <w:rPr>
          <w:sz w:val="24"/>
          <w:szCs w:val="24"/>
        </w:rPr>
      </w:pPr>
      <w:r w:rsidRPr="00043C8C">
        <w:rPr>
          <w:sz w:val="24"/>
          <w:szCs w:val="24"/>
        </w:rPr>
        <w:t>Moderat leukocytose, lymfocytopeni, eosinopeni, polycytæmi.</w:t>
      </w:r>
    </w:p>
    <w:p w14:paraId="0C61F133" w14:textId="77777777" w:rsidR="00043C8C" w:rsidRPr="00043C8C" w:rsidRDefault="00043C8C" w:rsidP="00043C8C">
      <w:pPr>
        <w:tabs>
          <w:tab w:val="left" w:pos="851"/>
        </w:tabs>
        <w:ind w:left="851"/>
        <w:rPr>
          <w:sz w:val="24"/>
          <w:szCs w:val="24"/>
        </w:rPr>
      </w:pPr>
    </w:p>
    <w:p w14:paraId="246EFBB5" w14:textId="241561DD" w:rsidR="00043C8C" w:rsidRPr="00043C8C" w:rsidRDefault="00043C8C" w:rsidP="00043C8C">
      <w:pPr>
        <w:tabs>
          <w:tab w:val="left" w:pos="851"/>
        </w:tabs>
        <w:ind w:left="851"/>
        <w:rPr>
          <w:i/>
          <w:iCs/>
          <w:sz w:val="24"/>
          <w:szCs w:val="24"/>
        </w:rPr>
      </w:pPr>
      <w:r w:rsidRPr="00043C8C">
        <w:rPr>
          <w:i/>
          <w:iCs/>
          <w:sz w:val="24"/>
          <w:szCs w:val="24"/>
        </w:rPr>
        <w:t>Immunsystemet</w:t>
      </w:r>
    </w:p>
    <w:p w14:paraId="50BB21D9" w14:textId="77777777" w:rsidR="00043C8C" w:rsidRPr="00043C8C" w:rsidRDefault="00043C8C" w:rsidP="00043C8C">
      <w:pPr>
        <w:tabs>
          <w:tab w:val="left" w:pos="851"/>
        </w:tabs>
        <w:ind w:left="851"/>
        <w:rPr>
          <w:i/>
          <w:iCs/>
          <w:sz w:val="24"/>
          <w:szCs w:val="24"/>
        </w:rPr>
      </w:pPr>
      <w:r w:rsidRPr="00043C8C">
        <w:rPr>
          <w:sz w:val="24"/>
          <w:szCs w:val="24"/>
        </w:rPr>
        <w:t>Overfølsomhedsreaktioner (fx lægemiddelinduceret exanthem), svære anafylaktiske reaktioner, såsom arytmier, bronchospasmer, hypo- eller hypertension, kredsløbskollaps, hjertestop, svækkelse af immunsystemet.</w:t>
      </w:r>
    </w:p>
    <w:p w14:paraId="360E6C88" w14:textId="77777777" w:rsidR="00043C8C" w:rsidRPr="00043C8C" w:rsidRDefault="00043C8C" w:rsidP="00043C8C">
      <w:pPr>
        <w:tabs>
          <w:tab w:val="left" w:pos="851"/>
        </w:tabs>
        <w:ind w:left="851"/>
        <w:rPr>
          <w:i/>
          <w:iCs/>
          <w:sz w:val="24"/>
          <w:szCs w:val="24"/>
        </w:rPr>
      </w:pPr>
    </w:p>
    <w:p w14:paraId="62666A0E" w14:textId="63582E27" w:rsidR="00043C8C" w:rsidRPr="00043C8C" w:rsidRDefault="00043C8C" w:rsidP="00043C8C">
      <w:pPr>
        <w:tabs>
          <w:tab w:val="left" w:pos="851"/>
        </w:tabs>
        <w:ind w:left="851"/>
        <w:rPr>
          <w:i/>
          <w:iCs/>
          <w:sz w:val="24"/>
          <w:szCs w:val="24"/>
        </w:rPr>
      </w:pPr>
      <w:r w:rsidRPr="00043C8C">
        <w:rPr>
          <w:i/>
          <w:iCs/>
          <w:sz w:val="24"/>
          <w:szCs w:val="24"/>
        </w:rPr>
        <w:t>Det endokrine system</w:t>
      </w:r>
    </w:p>
    <w:p w14:paraId="0DFF9453" w14:textId="0BA25556" w:rsidR="00043C8C" w:rsidRPr="00043C8C" w:rsidRDefault="00043C8C" w:rsidP="00043C8C">
      <w:pPr>
        <w:tabs>
          <w:tab w:val="left" w:pos="851"/>
        </w:tabs>
        <w:ind w:left="851"/>
        <w:rPr>
          <w:i/>
          <w:iCs/>
          <w:sz w:val="24"/>
          <w:szCs w:val="24"/>
        </w:rPr>
      </w:pPr>
      <w:r w:rsidRPr="00043C8C">
        <w:rPr>
          <w:sz w:val="24"/>
          <w:szCs w:val="24"/>
        </w:rPr>
        <w:t xml:space="preserve">Cushings syndrom (typiske symptomer: </w:t>
      </w:r>
      <w:r>
        <w:rPr>
          <w:sz w:val="24"/>
          <w:szCs w:val="24"/>
        </w:rPr>
        <w:t>M</w:t>
      </w:r>
      <w:r w:rsidRPr="00043C8C">
        <w:rPr>
          <w:sz w:val="24"/>
          <w:szCs w:val="24"/>
        </w:rPr>
        <w:t>åneansigt, central fedme og plethora), adrenal suppression (se pkt. 4.4).</w:t>
      </w:r>
    </w:p>
    <w:p w14:paraId="20E9E396" w14:textId="289A6B2B" w:rsidR="00043C8C" w:rsidRDefault="00043C8C">
      <w:pPr>
        <w:rPr>
          <w:i/>
          <w:iCs/>
          <w:sz w:val="24"/>
          <w:szCs w:val="24"/>
        </w:rPr>
      </w:pPr>
      <w:r>
        <w:rPr>
          <w:i/>
          <w:iCs/>
          <w:sz w:val="24"/>
          <w:szCs w:val="24"/>
        </w:rPr>
        <w:br w:type="page"/>
      </w:r>
    </w:p>
    <w:p w14:paraId="470E225E" w14:textId="77777777" w:rsidR="00043C8C" w:rsidRPr="00043C8C" w:rsidRDefault="00043C8C" w:rsidP="00043C8C">
      <w:pPr>
        <w:tabs>
          <w:tab w:val="left" w:pos="851"/>
        </w:tabs>
        <w:ind w:left="851"/>
        <w:rPr>
          <w:i/>
          <w:iCs/>
          <w:sz w:val="24"/>
          <w:szCs w:val="24"/>
        </w:rPr>
      </w:pPr>
    </w:p>
    <w:p w14:paraId="47CCA425" w14:textId="48EF8A53" w:rsidR="00043C8C" w:rsidRPr="00043C8C" w:rsidRDefault="00043C8C" w:rsidP="00043C8C">
      <w:pPr>
        <w:tabs>
          <w:tab w:val="left" w:pos="851"/>
        </w:tabs>
        <w:ind w:left="851"/>
        <w:rPr>
          <w:i/>
          <w:iCs/>
          <w:sz w:val="24"/>
          <w:szCs w:val="24"/>
        </w:rPr>
      </w:pPr>
      <w:r w:rsidRPr="00043C8C">
        <w:rPr>
          <w:i/>
          <w:iCs/>
          <w:sz w:val="24"/>
          <w:szCs w:val="24"/>
        </w:rPr>
        <w:t>Metabolisme og ernæring</w:t>
      </w:r>
    </w:p>
    <w:p w14:paraId="10C1F131" w14:textId="6DB06A01" w:rsidR="00043C8C" w:rsidRDefault="00043C8C" w:rsidP="00043C8C">
      <w:pPr>
        <w:tabs>
          <w:tab w:val="left" w:pos="851"/>
        </w:tabs>
        <w:ind w:left="851"/>
        <w:rPr>
          <w:sz w:val="24"/>
          <w:szCs w:val="24"/>
        </w:rPr>
      </w:pPr>
      <w:r w:rsidRPr="00043C8C">
        <w:rPr>
          <w:sz w:val="24"/>
          <w:szCs w:val="24"/>
        </w:rPr>
        <w:t>Natriumretention med ødem, øget udskillelse af kalium (risiko for arytmier), vægtstigning, nedsat glucosetolerance, diabetes mellitus, hyperkolesterolæmi og hypertriglyceridæmi, øget appetit.</w:t>
      </w:r>
    </w:p>
    <w:p w14:paraId="23DF972F" w14:textId="77777777" w:rsidR="00043C8C" w:rsidRPr="00043C8C" w:rsidRDefault="00043C8C" w:rsidP="00043C8C">
      <w:pPr>
        <w:tabs>
          <w:tab w:val="left" w:pos="851"/>
        </w:tabs>
        <w:ind w:left="851"/>
        <w:rPr>
          <w:sz w:val="24"/>
          <w:szCs w:val="24"/>
        </w:rPr>
      </w:pPr>
    </w:p>
    <w:p w14:paraId="7B4E9ECB" w14:textId="53B7B26D" w:rsidR="00043C8C" w:rsidRPr="00043C8C" w:rsidRDefault="00043C8C" w:rsidP="00043C8C">
      <w:pPr>
        <w:tabs>
          <w:tab w:val="left" w:pos="851"/>
        </w:tabs>
        <w:ind w:left="851"/>
        <w:rPr>
          <w:i/>
          <w:iCs/>
          <w:sz w:val="24"/>
          <w:szCs w:val="24"/>
        </w:rPr>
      </w:pPr>
      <w:r w:rsidRPr="00043C8C">
        <w:rPr>
          <w:i/>
          <w:iCs/>
          <w:sz w:val="24"/>
          <w:szCs w:val="24"/>
        </w:rPr>
        <w:t>Psykiske forstyrrelser</w:t>
      </w:r>
    </w:p>
    <w:p w14:paraId="122EC237" w14:textId="4944DCF5" w:rsidR="00043C8C" w:rsidRDefault="00043C8C" w:rsidP="00043C8C">
      <w:pPr>
        <w:tabs>
          <w:tab w:val="left" w:pos="851"/>
        </w:tabs>
        <w:ind w:left="851"/>
        <w:rPr>
          <w:sz w:val="24"/>
          <w:szCs w:val="24"/>
        </w:rPr>
      </w:pPr>
      <w:r w:rsidRPr="00043C8C">
        <w:rPr>
          <w:sz w:val="24"/>
          <w:szCs w:val="24"/>
        </w:rPr>
        <w:t>Depression, irritabilitet, eufori, øget energiniveau, psykoser, mani, hallucinationer, emotionel labilitet, angst, søvnforstyrrelser, suicidalitet.</w:t>
      </w:r>
    </w:p>
    <w:p w14:paraId="71DD8947" w14:textId="77777777" w:rsidR="00043C8C" w:rsidRPr="00043C8C" w:rsidRDefault="00043C8C" w:rsidP="00043C8C">
      <w:pPr>
        <w:tabs>
          <w:tab w:val="left" w:pos="851"/>
        </w:tabs>
        <w:ind w:left="851"/>
        <w:rPr>
          <w:sz w:val="24"/>
          <w:szCs w:val="24"/>
        </w:rPr>
      </w:pPr>
    </w:p>
    <w:p w14:paraId="26DD842F" w14:textId="5AE866AC" w:rsidR="00043C8C" w:rsidRPr="00043C8C" w:rsidRDefault="00043C8C" w:rsidP="00043C8C">
      <w:pPr>
        <w:tabs>
          <w:tab w:val="left" w:pos="851"/>
        </w:tabs>
        <w:ind w:left="851"/>
        <w:rPr>
          <w:i/>
          <w:iCs/>
          <w:sz w:val="24"/>
          <w:szCs w:val="24"/>
        </w:rPr>
      </w:pPr>
      <w:r w:rsidRPr="00043C8C">
        <w:rPr>
          <w:i/>
          <w:iCs/>
          <w:sz w:val="24"/>
          <w:szCs w:val="24"/>
        </w:rPr>
        <w:t>Nervesystemet</w:t>
      </w:r>
    </w:p>
    <w:p w14:paraId="1B24CE80" w14:textId="20B7B452" w:rsidR="00043C8C" w:rsidRDefault="00043C8C" w:rsidP="00043C8C">
      <w:pPr>
        <w:tabs>
          <w:tab w:val="left" w:pos="851"/>
        </w:tabs>
        <w:ind w:left="851"/>
        <w:rPr>
          <w:sz w:val="24"/>
          <w:szCs w:val="24"/>
        </w:rPr>
      </w:pPr>
      <w:r w:rsidRPr="00043C8C">
        <w:rPr>
          <w:sz w:val="24"/>
          <w:szCs w:val="24"/>
        </w:rPr>
        <w:t>Pseudotumor cerebri, manifestation af latent epilepsi, stigning i følsomhed over for anfald i manifest epilepsi.</w:t>
      </w:r>
    </w:p>
    <w:p w14:paraId="428D6D7A" w14:textId="77777777" w:rsidR="00043C8C" w:rsidRPr="00043C8C" w:rsidRDefault="00043C8C" w:rsidP="00043C8C">
      <w:pPr>
        <w:tabs>
          <w:tab w:val="left" w:pos="851"/>
        </w:tabs>
        <w:ind w:left="851"/>
        <w:rPr>
          <w:sz w:val="24"/>
          <w:szCs w:val="24"/>
        </w:rPr>
      </w:pPr>
    </w:p>
    <w:p w14:paraId="6E12CCA7" w14:textId="46ADCA4B" w:rsidR="00043C8C" w:rsidRPr="00043C8C" w:rsidRDefault="00043C8C" w:rsidP="00043C8C">
      <w:pPr>
        <w:tabs>
          <w:tab w:val="left" w:pos="851"/>
        </w:tabs>
        <w:ind w:left="851"/>
        <w:rPr>
          <w:i/>
          <w:iCs/>
          <w:sz w:val="24"/>
          <w:szCs w:val="24"/>
        </w:rPr>
      </w:pPr>
      <w:r w:rsidRPr="00043C8C">
        <w:rPr>
          <w:i/>
          <w:iCs/>
          <w:sz w:val="24"/>
          <w:szCs w:val="24"/>
        </w:rPr>
        <w:t>Hjerte</w:t>
      </w:r>
    </w:p>
    <w:p w14:paraId="62421FCC" w14:textId="14368B72" w:rsidR="00043C8C" w:rsidRDefault="00043C8C" w:rsidP="00043C8C">
      <w:pPr>
        <w:tabs>
          <w:tab w:val="left" w:pos="851"/>
        </w:tabs>
        <w:ind w:left="851"/>
        <w:rPr>
          <w:sz w:val="24"/>
          <w:szCs w:val="24"/>
        </w:rPr>
      </w:pPr>
      <w:r w:rsidRPr="00043C8C">
        <w:rPr>
          <w:sz w:val="24"/>
          <w:szCs w:val="24"/>
        </w:rPr>
        <w:t>Hypertrofisk kardiomyopati hos for tidligt fødte børn (se pkt. 4.4).</w:t>
      </w:r>
    </w:p>
    <w:p w14:paraId="0B9052FC" w14:textId="77777777" w:rsidR="00043C8C" w:rsidRPr="00043C8C" w:rsidRDefault="00043C8C" w:rsidP="00043C8C">
      <w:pPr>
        <w:tabs>
          <w:tab w:val="left" w:pos="851"/>
        </w:tabs>
        <w:ind w:left="851"/>
        <w:rPr>
          <w:sz w:val="24"/>
          <w:szCs w:val="24"/>
        </w:rPr>
      </w:pPr>
    </w:p>
    <w:p w14:paraId="1DCABC23" w14:textId="47018AB5" w:rsidR="00043C8C" w:rsidRPr="00043C8C" w:rsidRDefault="00043C8C" w:rsidP="00043C8C">
      <w:pPr>
        <w:tabs>
          <w:tab w:val="left" w:pos="851"/>
        </w:tabs>
        <w:ind w:left="851"/>
        <w:rPr>
          <w:i/>
          <w:iCs/>
          <w:sz w:val="24"/>
          <w:szCs w:val="24"/>
        </w:rPr>
      </w:pPr>
      <w:r w:rsidRPr="00043C8C">
        <w:rPr>
          <w:i/>
          <w:iCs/>
          <w:sz w:val="24"/>
          <w:szCs w:val="24"/>
        </w:rPr>
        <w:t>Øjne</w:t>
      </w:r>
    </w:p>
    <w:p w14:paraId="05A05B31" w14:textId="21332111" w:rsidR="00043C8C" w:rsidRDefault="00043C8C" w:rsidP="00043C8C">
      <w:pPr>
        <w:tabs>
          <w:tab w:val="left" w:pos="851"/>
        </w:tabs>
        <w:ind w:left="851"/>
        <w:rPr>
          <w:sz w:val="24"/>
          <w:szCs w:val="24"/>
        </w:rPr>
      </w:pPr>
      <w:r w:rsidRPr="00043C8C">
        <w:rPr>
          <w:sz w:val="24"/>
          <w:szCs w:val="24"/>
        </w:rPr>
        <w:t>Katarakt, især med posterior subkapsulær opacitet, glaukom, forværring af symptomer forbundet med hornhindesår, øget forekomst af virus-, svampe- og bakterieinfektioner i øjet, forværring af bakterieinfektioner i hornhinde, ptose, mydriasis, chemosis, iatrogen scleral perforation, korioretinopati. Sjældne tilfælde af reversibel exophthalmos, og efter subkonjunktival administration også herpes simplex keratitis, corneaperforation i tilfælde af eksisterende keratitis, sløret syn (se også pkt. 4.4).</w:t>
      </w:r>
    </w:p>
    <w:p w14:paraId="41883E73" w14:textId="77777777" w:rsidR="00043C8C" w:rsidRPr="00043C8C" w:rsidRDefault="00043C8C" w:rsidP="00043C8C">
      <w:pPr>
        <w:tabs>
          <w:tab w:val="left" w:pos="851"/>
        </w:tabs>
        <w:ind w:left="851"/>
        <w:rPr>
          <w:sz w:val="24"/>
          <w:szCs w:val="24"/>
        </w:rPr>
      </w:pPr>
    </w:p>
    <w:p w14:paraId="73D71D6C" w14:textId="22D0A13D" w:rsidR="00043C8C" w:rsidRPr="00043C8C" w:rsidRDefault="00043C8C" w:rsidP="00043C8C">
      <w:pPr>
        <w:tabs>
          <w:tab w:val="left" w:pos="851"/>
        </w:tabs>
        <w:ind w:left="851"/>
        <w:rPr>
          <w:i/>
          <w:iCs/>
          <w:sz w:val="24"/>
          <w:szCs w:val="24"/>
        </w:rPr>
      </w:pPr>
      <w:r w:rsidRPr="00043C8C">
        <w:rPr>
          <w:i/>
          <w:iCs/>
          <w:sz w:val="24"/>
          <w:szCs w:val="24"/>
        </w:rPr>
        <w:t>Vaskulære sygdomme</w:t>
      </w:r>
    </w:p>
    <w:p w14:paraId="1E90A209" w14:textId="77777777" w:rsidR="00043C8C" w:rsidRPr="00043C8C" w:rsidRDefault="00043C8C" w:rsidP="00043C8C">
      <w:pPr>
        <w:tabs>
          <w:tab w:val="left" w:pos="851"/>
        </w:tabs>
        <w:ind w:left="851"/>
        <w:rPr>
          <w:i/>
          <w:iCs/>
          <w:sz w:val="24"/>
          <w:szCs w:val="24"/>
        </w:rPr>
      </w:pPr>
      <w:r w:rsidRPr="00043C8C">
        <w:rPr>
          <w:sz w:val="24"/>
          <w:szCs w:val="24"/>
        </w:rPr>
        <w:t>Hypertension, øget risiko for aterosklerose og trombose, vasculitis (også som abstinenssyndrom efter langvarig behandling), øget kapillærskørhed.</w:t>
      </w:r>
    </w:p>
    <w:p w14:paraId="2DA4F907" w14:textId="77777777" w:rsidR="00043C8C" w:rsidRPr="00043C8C" w:rsidRDefault="00043C8C" w:rsidP="00043C8C">
      <w:pPr>
        <w:tabs>
          <w:tab w:val="left" w:pos="851"/>
        </w:tabs>
        <w:ind w:left="851"/>
        <w:rPr>
          <w:i/>
          <w:iCs/>
          <w:sz w:val="24"/>
          <w:szCs w:val="24"/>
        </w:rPr>
      </w:pPr>
    </w:p>
    <w:p w14:paraId="2CF25F81" w14:textId="38C6645F" w:rsidR="00043C8C" w:rsidRPr="00043C8C" w:rsidRDefault="00043C8C" w:rsidP="00043C8C">
      <w:pPr>
        <w:tabs>
          <w:tab w:val="left" w:pos="851"/>
        </w:tabs>
        <w:ind w:left="851"/>
        <w:rPr>
          <w:i/>
          <w:iCs/>
          <w:sz w:val="24"/>
          <w:szCs w:val="24"/>
        </w:rPr>
      </w:pPr>
      <w:r w:rsidRPr="00043C8C">
        <w:rPr>
          <w:i/>
          <w:iCs/>
          <w:sz w:val="24"/>
          <w:szCs w:val="24"/>
        </w:rPr>
        <w:t>Mave-tarm-kanalen</w:t>
      </w:r>
    </w:p>
    <w:p w14:paraId="6946A929" w14:textId="77777777" w:rsidR="00043C8C" w:rsidRPr="00043C8C" w:rsidRDefault="00043C8C" w:rsidP="00043C8C">
      <w:pPr>
        <w:tabs>
          <w:tab w:val="left" w:pos="851"/>
        </w:tabs>
        <w:ind w:left="851"/>
        <w:rPr>
          <w:sz w:val="24"/>
          <w:szCs w:val="24"/>
        </w:rPr>
      </w:pPr>
      <w:r w:rsidRPr="00043C8C">
        <w:rPr>
          <w:sz w:val="24"/>
          <w:szCs w:val="24"/>
        </w:rPr>
        <w:t>Gastrointestinale sår, gastrointestinal blødning, pancreatitis, mavegener, hikke.</w:t>
      </w:r>
    </w:p>
    <w:p w14:paraId="56D466CE" w14:textId="77777777" w:rsidR="00043C8C" w:rsidRPr="00043C8C" w:rsidRDefault="00043C8C" w:rsidP="00043C8C">
      <w:pPr>
        <w:tabs>
          <w:tab w:val="left" w:pos="851"/>
        </w:tabs>
        <w:ind w:left="851"/>
        <w:rPr>
          <w:sz w:val="24"/>
          <w:szCs w:val="24"/>
        </w:rPr>
      </w:pPr>
    </w:p>
    <w:p w14:paraId="2D78CFAB" w14:textId="2E0567BB" w:rsidR="00043C8C" w:rsidRPr="00043C8C" w:rsidRDefault="00043C8C" w:rsidP="00043C8C">
      <w:pPr>
        <w:tabs>
          <w:tab w:val="left" w:pos="851"/>
        </w:tabs>
        <w:ind w:left="851"/>
        <w:rPr>
          <w:i/>
          <w:iCs/>
          <w:sz w:val="24"/>
          <w:szCs w:val="24"/>
        </w:rPr>
      </w:pPr>
      <w:r w:rsidRPr="00043C8C">
        <w:rPr>
          <w:i/>
          <w:iCs/>
          <w:sz w:val="24"/>
          <w:szCs w:val="24"/>
        </w:rPr>
        <w:t>Hud og subkutane væv</w:t>
      </w:r>
    </w:p>
    <w:p w14:paraId="0EC39D01" w14:textId="77777777" w:rsidR="00043C8C" w:rsidRPr="00043C8C" w:rsidRDefault="00043C8C" w:rsidP="00043C8C">
      <w:pPr>
        <w:tabs>
          <w:tab w:val="left" w:pos="851"/>
        </w:tabs>
        <w:ind w:left="851"/>
        <w:rPr>
          <w:sz w:val="24"/>
          <w:szCs w:val="24"/>
        </w:rPr>
      </w:pPr>
      <w:r w:rsidRPr="00043C8C">
        <w:rPr>
          <w:sz w:val="24"/>
          <w:szCs w:val="24"/>
        </w:rPr>
        <w:t xml:space="preserve">Striae rubra, atrofi, telangiektasi, petekkier, ekkymose, hypertrichose, steroidinduceret akne, rosacea-lignende (perioral) dermatitis, ændringer i hudpigmentering. </w:t>
      </w:r>
    </w:p>
    <w:p w14:paraId="016AE697" w14:textId="77777777" w:rsidR="00043C8C" w:rsidRPr="00043C8C" w:rsidRDefault="00043C8C" w:rsidP="00043C8C">
      <w:pPr>
        <w:tabs>
          <w:tab w:val="left" w:pos="851"/>
        </w:tabs>
        <w:ind w:left="851"/>
        <w:rPr>
          <w:sz w:val="24"/>
          <w:szCs w:val="24"/>
        </w:rPr>
      </w:pPr>
    </w:p>
    <w:p w14:paraId="7D1CDD4F" w14:textId="206934E5" w:rsidR="00043C8C" w:rsidRPr="00043C8C" w:rsidRDefault="00043C8C" w:rsidP="00043C8C">
      <w:pPr>
        <w:tabs>
          <w:tab w:val="left" w:pos="851"/>
        </w:tabs>
        <w:ind w:left="851"/>
        <w:rPr>
          <w:i/>
          <w:iCs/>
          <w:sz w:val="24"/>
          <w:szCs w:val="24"/>
        </w:rPr>
      </w:pPr>
      <w:r w:rsidRPr="00043C8C">
        <w:rPr>
          <w:i/>
          <w:iCs/>
          <w:sz w:val="24"/>
          <w:szCs w:val="24"/>
        </w:rPr>
        <w:t>Knogler, led, muskler og bindevæv</w:t>
      </w:r>
    </w:p>
    <w:p w14:paraId="57631137" w14:textId="77777777" w:rsidR="00043C8C" w:rsidRPr="00043C8C" w:rsidRDefault="00043C8C" w:rsidP="00043C8C">
      <w:pPr>
        <w:tabs>
          <w:tab w:val="left" w:pos="851"/>
        </w:tabs>
        <w:ind w:left="851"/>
        <w:rPr>
          <w:i/>
          <w:iCs/>
          <w:sz w:val="24"/>
          <w:szCs w:val="24"/>
        </w:rPr>
      </w:pPr>
      <w:r w:rsidRPr="00043C8C">
        <w:rPr>
          <w:sz w:val="24"/>
          <w:szCs w:val="24"/>
        </w:rPr>
        <w:t>Myopati, muskelatrofi og -svaghed, steroid myopati, osteoporose (dosisafhængig, muligvis også ved kortvarig administration), aseptisk knoglenekrose, senelidelser, tendinitis, seneruptur, epidural lipomatose, væksthæmning hos børn.</w:t>
      </w:r>
    </w:p>
    <w:p w14:paraId="0E98578E" w14:textId="77777777" w:rsidR="00043C8C" w:rsidRPr="00043C8C" w:rsidRDefault="00043C8C" w:rsidP="00043C8C">
      <w:pPr>
        <w:tabs>
          <w:tab w:val="left" w:pos="851"/>
        </w:tabs>
        <w:ind w:left="851"/>
        <w:rPr>
          <w:i/>
          <w:iCs/>
          <w:sz w:val="24"/>
          <w:szCs w:val="24"/>
        </w:rPr>
      </w:pPr>
    </w:p>
    <w:p w14:paraId="05639DA2" w14:textId="7F1F055C" w:rsidR="00043C8C" w:rsidRPr="00043C8C" w:rsidRDefault="00043C8C" w:rsidP="00043C8C">
      <w:pPr>
        <w:tabs>
          <w:tab w:val="left" w:pos="851"/>
        </w:tabs>
        <w:ind w:left="851"/>
        <w:rPr>
          <w:i/>
          <w:iCs/>
          <w:sz w:val="24"/>
          <w:szCs w:val="24"/>
        </w:rPr>
      </w:pPr>
      <w:r w:rsidRPr="00043C8C">
        <w:rPr>
          <w:i/>
          <w:iCs/>
          <w:sz w:val="24"/>
          <w:szCs w:val="24"/>
        </w:rPr>
        <w:t>Det reproduktive system og mammae</w:t>
      </w:r>
    </w:p>
    <w:p w14:paraId="59A3086C" w14:textId="77777777" w:rsidR="00043C8C" w:rsidRPr="00043C8C" w:rsidRDefault="00043C8C" w:rsidP="00043C8C">
      <w:pPr>
        <w:tabs>
          <w:tab w:val="left" w:pos="851"/>
        </w:tabs>
        <w:ind w:left="851"/>
        <w:rPr>
          <w:i/>
          <w:iCs/>
          <w:sz w:val="24"/>
          <w:szCs w:val="24"/>
        </w:rPr>
      </w:pPr>
      <w:r w:rsidRPr="00043C8C">
        <w:rPr>
          <w:sz w:val="24"/>
          <w:szCs w:val="24"/>
        </w:rPr>
        <w:t>Forstyrrelser i kønshormonudskillelsen (som en følge heraf: uregelmæssig menstruation op til amenorré, hirsutisme, impotens).</w:t>
      </w:r>
    </w:p>
    <w:p w14:paraId="5E86F664" w14:textId="77777777" w:rsidR="00043C8C" w:rsidRPr="00043C8C" w:rsidRDefault="00043C8C" w:rsidP="00043C8C">
      <w:pPr>
        <w:tabs>
          <w:tab w:val="left" w:pos="851"/>
        </w:tabs>
        <w:ind w:left="851"/>
        <w:rPr>
          <w:sz w:val="24"/>
          <w:szCs w:val="24"/>
        </w:rPr>
      </w:pPr>
    </w:p>
    <w:p w14:paraId="7AA74E64" w14:textId="641DA842" w:rsidR="00043C8C" w:rsidRPr="00043C8C" w:rsidRDefault="00043C8C" w:rsidP="00043C8C">
      <w:pPr>
        <w:tabs>
          <w:tab w:val="left" w:pos="851"/>
        </w:tabs>
        <w:ind w:left="851"/>
        <w:rPr>
          <w:i/>
          <w:iCs/>
          <w:sz w:val="24"/>
          <w:szCs w:val="24"/>
        </w:rPr>
      </w:pPr>
      <w:r w:rsidRPr="00043C8C">
        <w:rPr>
          <w:i/>
          <w:iCs/>
          <w:sz w:val="24"/>
          <w:szCs w:val="24"/>
        </w:rPr>
        <w:t>Almene symptomer og reaktioner på administrationsstedet</w:t>
      </w:r>
    </w:p>
    <w:p w14:paraId="7F773A06" w14:textId="77777777" w:rsidR="00043C8C" w:rsidRPr="00043C8C" w:rsidRDefault="00043C8C" w:rsidP="00043C8C">
      <w:pPr>
        <w:tabs>
          <w:tab w:val="left" w:pos="851"/>
        </w:tabs>
        <w:ind w:left="851"/>
        <w:rPr>
          <w:sz w:val="24"/>
          <w:szCs w:val="24"/>
        </w:rPr>
      </w:pPr>
      <w:r w:rsidRPr="00043C8C">
        <w:rPr>
          <w:sz w:val="24"/>
          <w:szCs w:val="24"/>
        </w:rPr>
        <w:t>Forsinket sårheling.</w:t>
      </w:r>
    </w:p>
    <w:p w14:paraId="1BFA075F" w14:textId="60CCE655" w:rsidR="00043C8C" w:rsidRDefault="00043C8C">
      <w:pPr>
        <w:rPr>
          <w:sz w:val="24"/>
          <w:szCs w:val="24"/>
        </w:rPr>
      </w:pPr>
      <w:r>
        <w:rPr>
          <w:sz w:val="24"/>
          <w:szCs w:val="24"/>
        </w:rPr>
        <w:br w:type="page"/>
      </w:r>
    </w:p>
    <w:p w14:paraId="2FAD3C79" w14:textId="77777777" w:rsidR="00043C8C" w:rsidRPr="00043C8C" w:rsidRDefault="00043C8C" w:rsidP="00043C8C">
      <w:pPr>
        <w:tabs>
          <w:tab w:val="left" w:pos="851"/>
        </w:tabs>
        <w:ind w:left="851"/>
        <w:rPr>
          <w:sz w:val="24"/>
          <w:szCs w:val="24"/>
        </w:rPr>
      </w:pPr>
    </w:p>
    <w:p w14:paraId="61F97F7B" w14:textId="23F5AF85" w:rsidR="00043C8C" w:rsidRPr="00043C8C" w:rsidRDefault="00043C8C" w:rsidP="00043C8C">
      <w:pPr>
        <w:tabs>
          <w:tab w:val="left" w:pos="851"/>
        </w:tabs>
        <w:ind w:left="851"/>
        <w:rPr>
          <w:i/>
          <w:iCs/>
          <w:sz w:val="24"/>
          <w:szCs w:val="24"/>
        </w:rPr>
      </w:pPr>
      <w:r w:rsidRPr="00043C8C">
        <w:rPr>
          <w:i/>
          <w:iCs/>
          <w:sz w:val="24"/>
          <w:szCs w:val="24"/>
        </w:rPr>
        <w:t>Lokal administration</w:t>
      </w:r>
    </w:p>
    <w:p w14:paraId="3B9C85D3" w14:textId="77777777" w:rsidR="00043C8C" w:rsidRPr="00043C8C" w:rsidRDefault="00043C8C" w:rsidP="00043C8C">
      <w:pPr>
        <w:tabs>
          <w:tab w:val="left" w:pos="851"/>
        </w:tabs>
        <w:ind w:left="851"/>
        <w:rPr>
          <w:sz w:val="24"/>
          <w:szCs w:val="24"/>
        </w:rPr>
      </w:pPr>
      <w:r w:rsidRPr="00043C8C">
        <w:rPr>
          <w:sz w:val="24"/>
          <w:szCs w:val="24"/>
        </w:rPr>
        <w:t>Lokal irritation og intolerabilitetsreaktioner er mulige (varmefølelse, langvarige smerter), især ved oftalmisk brug. Hudatrofi og atrofi af subkutant væv ved injektionsstedet kan ikke udelukkes, hvis kortikoider ikke injiceres omhyggeligt i ledkaviteten.</w:t>
      </w:r>
    </w:p>
    <w:p w14:paraId="7EC6B7F4" w14:textId="77777777" w:rsidR="00043C8C" w:rsidRPr="00043C8C" w:rsidRDefault="00043C8C" w:rsidP="00043C8C">
      <w:pPr>
        <w:tabs>
          <w:tab w:val="left" w:pos="851"/>
        </w:tabs>
        <w:ind w:left="851"/>
        <w:rPr>
          <w:sz w:val="24"/>
          <w:szCs w:val="24"/>
        </w:rPr>
      </w:pPr>
    </w:p>
    <w:p w14:paraId="288C16B6" w14:textId="77777777" w:rsidR="00043C8C" w:rsidRPr="00043C8C" w:rsidRDefault="00043C8C" w:rsidP="00043C8C">
      <w:pPr>
        <w:tabs>
          <w:tab w:val="left" w:pos="851"/>
        </w:tabs>
        <w:ind w:left="851"/>
        <w:rPr>
          <w:sz w:val="24"/>
          <w:szCs w:val="24"/>
          <w:u w:val="single"/>
        </w:rPr>
      </w:pPr>
      <w:r w:rsidRPr="00043C8C">
        <w:rPr>
          <w:sz w:val="24"/>
          <w:szCs w:val="24"/>
          <w:u w:val="single"/>
        </w:rPr>
        <w:t>Indberetning af formodede bivirkninger</w:t>
      </w:r>
    </w:p>
    <w:p w14:paraId="214FFC64" w14:textId="77777777" w:rsidR="00043C8C" w:rsidRPr="00043C8C" w:rsidRDefault="00043C8C" w:rsidP="00043C8C">
      <w:pPr>
        <w:tabs>
          <w:tab w:val="left" w:pos="851"/>
        </w:tabs>
        <w:ind w:left="851"/>
        <w:rPr>
          <w:sz w:val="24"/>
          <w:szCs w:val="24"/>
        </w:rPr>
      </w:pPr>
      <w:r w:rsidRPr="00043C8C">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4924B9E" w14:textId="77777777" w:rsidR="00043C8C" w:rsidRPr="00043C8C" w:rsidRDefault="00043C8C" w:rsidP="00043C8C">
      <w:pPr>
        <w:tabs>
          <w:tab w:val="left" w:pos="851"/>
        </w:tabs>
        <w:ind w:left="851"/>
        <w:rPr>
          <w:sz w:val="24"/>
          <w:szCs w:val="24"/>
        </w:rPr>
      </w:pPr>
    </w:p>
    <w:p w14:paraId="4B6BA438" w14:textId="77777777" w:rsidR="00043C8C" w:rsidRPr="00043C8C" w:rsidRDefault="00043C8C" w:rsidP="00043C8C">
      <w:pPr>
        <w:tabs>
          <w:tab w:val="left" w:pos="851"/>
        </w:tabs>
        <w:ind w:left="851"/>
        <w:rPr>
          <w:sz w:val="24"/>
          <w:szCs w:val="24"/>
        </w:rPr>
      </w:pPr>
      <w:r w:rsidRPr="00043C8C">
        <w:rPr>
          <w:sz w:val="24"/>
          <w:szCs w:val="24"/>
        </w:rPr>
        <w:t>Lægemiddelstyrelsen</w:t>
      </w:r>
    </w:p>
    <w:p w14:paraId="7B87DE8B" w14:textId="77777777" w:rsidR="00043C8C" w:rsidRPr="00043C8C" w:rsidRDefault="00043C8C" w:rsidP="00043C8C">
      <w:pPr>
        <w:tabs>
          <w:tab w:val="left" w:pos="851"/>
        </w:tabs>
        <w:ind w:left="851"/>
        <w:rPr>
          <w:sz w:val="24"/>
          <w:szCs w:val="24"/>
        </w:rPr>
      </w:pPr>
      <w:r w:rsidRPr="00043C8C">
        <w:rPr>
          <w:sz w:val="24"/>
          <w:szCs w:val="24"/>
        </w:rPr>
        <w:t>Axel Heides Gade 1</w:t>
      </w:r>
    </w:p>
    <w:p w14:paraId="26717169" w14:textId="77777777" w:rsidR="00043C8C" w:rsidRPr="00043C8C" w:rsidRDefault="00043C8C" w:rsidP="00043C8C">
      <w:pPr>
        <w:tabs>
          <w:tab w:val="left" w:pos="851"/>
        </w:tabs>
        <w:ind w:left="851"/>
        <w:rPr>
          <w:sz w:val="24"/>
          <w:szCs w:val="24"/>
        </w:rPr>
      </w:pPr>
      <w:r w:rsidRPr="00043C8C">
        <w:rPr>
          <w:sz w:val="24"/>
          <w:szCs w:val="24"/>
        </w:rPr>
        <w:t>DK-2300 København S</w:t>
      </w:r>
    </w:p>
    <w:p w14:paraId="691886CF" w14:textId="0266037A" w:rsidR="00043C8C" w:rsidRPr="00043C8C" w:rsidRDefault="00043C8C" w:rsidP="00043C8C">
      <w:pPr>
        <w:tabs>
          <w:tab w:val="left" w:pos="851"/>
        </w:tabs>
        <w:ind w:left="851"/>
        <w:rPr>
          <w:sz w:val="24"/>
          <w:szCs w:val="24"/>
        </w:rPr>
      </w:pPr>
      <w:r w:rsidRPr="00043C8C">
        <w:rPr>
          <w:sz w:val="24"/>
          <w:szCs w:val="24"/>
        </w:rPr>
        <w:t xml:space="preserve">Websted: www.meldenbivirkning.dk </w:t>
      </w:r>
    </w:p>
    <w:p w14:paraId="40A17926" w14:textId="77777777" w:rsidR="009260DE" w:rsidRPr="00A10294" w:rsidRDefault="009260DE" w:rsidP="00A10294">
      <w:pPr>
        <w:tabs>
          <w:tab w:val="left" w:pos="851"/>
        </w:tabs>
        <w:ind w:left="851"/>
        <w:rPr>
          <w:sz w:val="24"/>
          <w:szCs w:val="24"/>
        </w:rPr>
      </w:pPr>
    </w:p>
    <w:p w14:paraId="0DB17F2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27C34B2" w14:textId="77777777" w:rsidR="00DA7B53" w:rsidRPr="00DA7B53" w:rsidRDefault="00DA7B53" w:rsidP="00DA7B53">
      <w:pPr>
        <w:tabs>
          <w:tab w:val="left" w:pos="851"/>
        </w:tabs>
        <w:ind w:left="851"/>
        <w:rPr>
          <w:sz w:val="24"/>
          <w:szCs w:val="24"/>
        </w:rPr>
      </w:pPr>
    </w:p>
    <w:p w14:paraId="11FE6230" w14:textId="77777777" w:rsidR="00DA7B53" w:rsidRPr="00DA7B53" w:rsidRDefault="00DA7B53" w:rsidP="00DA7B53">
      <w:pPr>
        <w:tabs>
          <w:tab w:val="left" w:pos="851"/>
        </w:tabs>
        <w:ind w:left="851"/>
        <w:rPr>
          <w:sz w:val="24"/>
          <w:szCs w:val="24"/>
          <w:u w:val="single"/>
        </w:rPr>
      </w:pPr>
      <w:r w:rsidRPr="00DA7B53">
        <w:rPr>
          <w:sz w:val="24"/>
          <w:szCs w:val="24"/>
          <w:u w:val="single"/>
        </w:rPr>
        <w:t xml:space="preserve">Symptomer: </w:t>
      </w:r>
    </w:p>
    <w:p w14:paraId="670996E3" w14:textId="77777777" w:rsidR="00DA7B53" w:rsidRPr="00DA7B53" w:rsidRDefault="00DA7B53" w:rsidP="00DA7B53">
      <w:pPr>
        <w:tabs>
          <w:tab w:val="left" w:pos="851"/>
        </w:tabs>
        <w:ind w:left="851"/>
        <w:rPr>
          <w:sz w:val="24"/>
          <w:szCs w:val="24"/>
          <w:u w:val="single"/>
        </w:rPr>
      </w:pPr>
      <w:r w:rsidRPr="00DA7B53">
        <w:rPr>
          <w:sz w:val="24"/>
          <w:szCs w:val="24"/>
        </w:rPr>
        <w:t>Akutte intoksikationer med dexamethason kendes ikke. I tilfælde af kronisk overdosering kan en stigning i bivirkninger (se pkt. 4.8), især endokrine, metaboliske og elektrolytrelaterede virkninger, forventes.</w:t>
      </w:r>
    </w:p>
    <w:p w14:paraId="38C7199D" w14:textId="77777777" w:rsidR="009260DE" w:rsidRPr="00C84483" w:rsidRDefault="009260DE" w:rsidP="009260DE">
      <w:pPr>
        <w:tabs>
          <w:tab w:val="left" w:pos="851"/>
        </w:tabs>
        <w:ind w:left="851"/>
        <w:rPr>
          <w:sz w:val="24"/>
          <w:szCs w:val="24"/>
        </w:rPr>
      </w:pPr>
    </w:p>
    <w:p w14:paraId="492E62D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392C4E6" w14:textId="2860545E" w:rsidR="009260DE" w:rsidRPr="00C84483" w:rsidRDefault="00DA7B53" w:rsidP="009260DE">
      <w:pPr>
        <w:tabs>
          <w:tab w:val="left" w:pos="851"/>
        </w:tabs>
        <w:ind w:left="851"/>
        <w:rPr>
          <w:sz w:val="24"/>
          <w:szCs w:val="24"/>
        </w:rPr>
      </w:pPr>
      <w:r>
        <w:rPr>
          <w:sz w:val="24"/>
          <w:szCs w:val="24"/>
        </w:rPr>
        <w:t>B</w:t>
      </w:r>
    </w:p>
    <w:p w14:paraId="00986986" w14:textId="77777777" w:rsidR="009260DE" w:rsidRPr="00C84483" w:rsidRDefault="009260DE" w:rsidP="009260DE">
      <w:pPr>
        <w:tabs>
          <w:tab w:val="left" w:pos="851"/>
        </w:tabs>
        <w:ind w:left="851"/>
        <w:rPr>
          <w:sz w:val="24"/>
          <w:szCs w:val="24"/>
        </w:rPr>
      </w:pPr>
    </w:p>
    <w:p w14:paraId="7214F578" w14:textId="77777777" w:rsidR="009260DE" w:rsidRPr="00C84483" w:rsidRDefault="009260DE" w:rsidP="009260DE">
      <w:pPr>
        <w:tabs>
          <w:tab w:val="left" w:pos="851"/>
        </w:tabs>
        <w:ind w:left="851"/>
        <w:rPr>
          <w:sz w:val="24"/>
          <w:szCs w:val="24"/>
        </w:rPr>
      </w:pPr>
    </w:p>
    <w:p w14:paraId="2919FAD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B93EC1" w14:textId="77777777" w:rsidR="009260DE" w:rsidRPr="00C84483" w:rsidRDefault="009260DE" w:rsidP="009260DE">
      <w:pPr>
        <w:tabs>
          <w:tab w:val="left" w:pos="851"/>
        </w:tabs>
        <w:ind w:left="851"/>
        <w:rPr>
          <w:sz w:val="24"/>
          <w:szCs w:val="24"/>
        </w:rPr>
      </w:pPr>
    </w:p>
    <w:p w14:paraId="31A96FD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15074BB" w14:textId="77777777" w:rsidR="00AC2CE7" w:rsidRPr="00AC2CE7" w:rsidRDefault="00AC2CE7" w:rsidP="00AC2CE7">
      <w:pPr>
        <w:autoSpaceDE w:val="0"/>
        <w:autoSpaceDN w:val="0"/>
        <w:adjustRightInd w:val="0"/>
        <w:ind w:left="851"/>
        <w:rPr>
          <w:color w:val="000000"/>
          <w:sz w:val="24"/>
          <w:szCs w:val="24"/>
        </w:rPr>
      </w:pPr>
      <w:r w:rsidRPr="00AC2CE7">
        <w:rPr>
          <w:sz w:val="24"/>
          <w:szCs w:val="24"/>
        </w:rPr>
        <w:t>Farmakoterapeutisk klassifikation: Kortikosteroider til systemisk brug, g</w:t>
      </w:r>
      <w:r w:rsidRPr="00AC2CE7">
        <w:rPr>
          <w:color w:val="000000"/>
          <w:sz w:val="24"/>
          <w:szCs w:val="24"/>
        </w:rPr>
        <w:t xml:space="preserve">lukokortikoider; </w:t>
      </w:r>
    </w:p>
    <w:p w14:paraId="169B1861" w14:textId="77777777" w:rsidR="00AC2CE7" w:rsidRPr="00AC2CE7" w:rsidRDefault="00AC2CE7" w:rsidP="00AC2CE7">
      <w:pPr>
        <w:autoSpaceDE w:val="0"/>
        <w:autoSpaceDN w:val="0"/>
        <w:adjustRightInd w:val="0"/>
        <w:ind w:left="851"/>
        <w:rPr>
          <w:color w:val="000000"/>
          <w:sz w:val="24"/>
          <w:szCs w:val="24"/>
        </w:rPr>
      </w:pPr>
      <w:r w:rsidRPr="00AC2CE7">
        <w:rPr>
          <w:color w:val="000000"/>
          <w:sz w:val="24"/>
          <w:szCs w:val="24"/>
        </w:rPr>
        <w:t>ATC</w:t>
      </w:r>
      <w:r w:rsidRPr="00AC2CE7">
        <w:rPr>
          <w:color w:val="000000"/>
          <w:sz w:val="24"/>
          <w:szCs w:val="24"/>
        </w:rPr>
        <w:noBreakHyphen/>
        <w:t>kode: H02AB02.</w:t>
      </w:r>
    </w:p>
    <w:p w14:paraId="57031109" w14:textId="77777777" w:rsidR="00AC2CE7" w:rsidRPr="00AC2CE7" w:rsidRDefault="00AC2CE7" w:rsidP="00AC2CE7">
      <w:pPr>
        <w:ind w:left="851"/>
        <w:rPr>
          <w:sz w:val="24"/>
          <w:szCs w:val="24"/>
        </w:rPr>
      </w:pPr>
    </w:p>
    <w:p w14:paraId="2BB17145" w14:textId="77777777" w:rsidR="00AC2CE7" w:rsidRPr="00AC2CE7" w:rsidRDefault="00AC2CE7" w:rsidP="00AC2CE7">
      <w:pPr>
        <w:tabs>
          <w:tab w:val="left" w:pos="851"/>
        </w:tabs>
        <w:ind w:left="851"/>
        <w:rPr>
          <w:sz w:val="24"/>
          <w:szCs w:val="24"/>
        </w:rPr>
      </w:pPr>
      <w:r w:rsidRPr="00AC2CE7">
        <w:rPr>
          <w:sz w:val="24"/>
          <w:szCs w:val="24"/>
        </w:rPr>
        <w:t>Dexamethason er et monofluorineret glukokortikoid med udtalte antiallergiske, antiinflammatoriske og membranstabiliserende egenskaber og virkninger på kulhydrat-, protein- og fedtmetabolisme.</w:t>
      </w:r>
    </w:p>
    <w:p w14:paraId="5153263A" w14:textId="77777777" w:rsidR="00AC2CE7" w:rsidRPr="00AC2CE7" w:rsidRDefault="00AC2CE7" w:rsidP="00AC2CE7">
      <w:pPr>
        <w:tabs>
          <w:tab w:val="left" w:pos="851"/>
        </w:tabs>
        <w:ind w:left="851"/>
        <w:rPr>
          <w:sz w:val="24"/>
          <w:szCs w:val="24"/>
        </w:rPr>
      </w:pPr>
      <w:r w:rsidRPr="00AC2CE7">
        <w:rPr>
          <w:sz w:val="24"/>
          <w:szCs w:val="24"/>
        </w:rPr>
        <w:t>Dexamethason har cirka 7,5 gange større glukokortikoid virkning end prednisolon og prednison, og sammenlignet med hydrokortison har det en 30 gange større virkning og samtidig ingen mineralokortikoide virkninger. Glukokortikoider, f.eks. dexamethason, udøver deres biologiske virkninger ved at aktivere transskriptionen af kortikosteroidfølsomme gener. De antiinflammatoriske, immunsuppressive og antiproliferative virkninger er forårsaget af reduceret dannelse, frigørelse og aktivitet af inflammatoriske mediatorer, ved hæmningen af specifikke funktioner og migrationen af inflammatoriske celler. Desuden kan virkningen af sensibiliserede T-lymfocytter og makrofager på målceller blive forhindret af kortikosteroider.</w:t>
      </w:r>
    </w:p>
    <w:p w14:paraId="7DEE67D1" w14:textId="77777777" w:rsidR="00AC2CE7" w:rsidRPr="00AC2CE7" w:rsidRDefault="00AC2CE7" w:rsidP="00AC2CE7">
      <w:pPr>
        <w:tabs>
          <w:tab w:val="left" w:pos="851"/>
        </w:tabs>
        <w:ind w:left="851"/>
        <w:rPr>
          <w:sz w:val="24"/>
          <w:szCs w:val="24"/>
        </w:rPr>
      </w:pPr>
    </w:p>
    <w:p w14:paraId="3E11BA95" w14:textId="77777777" w:rsidR="00AC2CE7" w:rsidRPr="00AC2CE7" w:rsidRDefault="00AC2CE7" w:rsidP="00AC2CE7">
      <w:pPr>
        <w:tabs>
          <w:tab w:val="left" w:pos="851"/>
        </w:tabs>
        <w:ind w:left="851"/>
        <w:rPr>
          <w:sz w:val="24"/>
          <w:szCs w:val="24"/>
        </w:rPr>
      </w:pPr>
      <w:r w:rsidRPr="00AC2CE7">
        <w:rPr>
          <w:sz w:val="24"/>
          <w:szCs w:val="24"/>
        </w:rPr>
        <w:t>Når langvarig kortikoidbehandling er nødvendigt, skal muligheden for induktion af forbigående adrenal insufficiens overvejes. Undertrykkelsen af hypothalamus-hypofyse-binyrebark-aksen afhænger også af individuelle faktorer.</w:t>
      </w:r>
    </w:p>
    <w:p w14:paraId="492FB122" w14:textId="77777777" w:rsidR="00AC2CE7" w:rsidRPr="00AC2CE7" w:rsidRDefault="00AC2CE7" w:rsidP="00AC2CE7">
      <w:pPr>
        <w:suppressAutoHyphens/>
        <w:ind w:left="851"/>
        <w:rPr>
          <w:sz w:val="24"/>
          <w:szCs w:val="24"/>
        </w:rPr>
      </w:pPr>
    </w:p>
    <w:p w14:paraId="45AB385F" w14:textId="77777777" w:rsidR="00AC2CE7" w:rsidRPr="00AC2CE7" w:rsidRDefault="00AC2CE7" w:rsidP="00AC2CE7">
      <w:pPr>
        <w:tabs>
          <w:tab w:val="left" w:pos="851"/>
        </w:tabs>
        <w:ind w:left="851"/>
        <w:rPr>
          <w:sz w:val="24"/>
          <w:szCs w:val="24"/>
        </w:rPr>
      </w:pPr>
      <w:r w:rsidRPr="00AC2CE7">
        <w:rPr>
          <w:sz w:val="24"/>
          <w:szCs w:val="24"/>
        </w:rPr>
        <w:lastRenderedPageBreak/>
        <w:t>RECOVERY-studiet (Randomized Evaluation of COVid-19 thERapY)</w:t>
      </w:r>
      <w:r w:rsidRPr="00AC2CE7">
        <w:rPr>
          <w:rStyle w:val="Fodnotehenvisning"/>
          <w:sz w:val="24"/>
          <w:szCs w:val="24"/>
        </w:rPr>
        <w:footnoteReference w:id="1"/>
      </w:r>
      <w:r w:rsidRPr="00AC2CE7">
        <w:rPr>
          <w:sz w:val="24"/>
          <w:szCs w:val="24"/>
        </w:rPr>
        <w:t xml:space="preserve"> er et investigator-initieret, individuelt randomiseret, kontrolleret, åbent, adaptivt platformstudie til evaluering af effekten af potentielle behandlinger hos patienter, der er indlagt med COVID 19.</w:t>
      </w:r>
    </w:p>
    <w:p w14:paraId="549E783E" w14:textId="77777777" w:rsidR="00AC2CE7" w:rsidRPr="00AC2CE7" w:rsidRDefault="00AC2CE7" w:rsidP="00AC2CE7">
      <w:pPr>
        <w:tabs>
          <w:tab w:val="left" w:pos="851"/>
        </w:tabs>
        <w:ind w:left="851"/>
        <w:rPr>
          <w:sz w:val="24"/>
          <w:szCs w:val="24"/>
        </w:rPr>
      </w:pPr>
      <w:r w:rsidRPr="00AC2CE7">
        <w:rPr>
          <w:sz w:val="24"/>
          <w:szCs w:val="24"/>
        </w:rPr>
        <w:t>Studiet blev udført på 176 hospitalsafdelinger i Storbritannien.</w:t>
      </w:r>
    </w:p>
    <w:p w14:paraId="5E77B34B" w14:textId="77777777" w:rsidR="00AC2CE7" w:rsidRPr="00AC2CE7" w:rsidRDefault="00AC2CE7" w:rsidP="00AC2CE7">
      <w:pPr>
        <w:tabs>
          <w:tab w:val="left" w:pos="851"/>
        </w:tabs>
        <w:ind w:left="851"/>
        <w:rPr>
          <w:sz w:val="24"/>
          <w:szCs w:val="24"/>
        </w:rPr>
      </w:pPr>
      <w:r w:rsidRPr="00AC2CE7">
        <w:rPr>
          <w:sz w:val="24"/>
          <w:szCs w:val="24"/>
        </w:rPr>
        <w:t>6.425 patienter blev randomiserede til enten at få dexamethason (2.104 patienter) eller almindelig pleje alene (4.321 patienter). 89 % af patienterne havde laboratoriebekræftet SARS CoV 2-infektion.</w:t>
      </w:r>
    </w:p>
    <w:p w14:paraId="31263D1B" w14:textId="77777777" w:rsidR="00AC2CE7" w:rsidRPr="00AC2CE7" w:rsidRDefault="00AC2CE7" w:rsidP="00AC2CE7">
      <w:pPr>
        <w:tabs>
          <w:tab w:val="left" w:pos="851"/>
        </w:tabs>
        <w:ind w:left="851"/>
        <w:rPr>
          <w:sz w:val="24"/>
          <w:szCs w:val="24"/>
        </w:rPr>
      </w:pPr>
      <w:r w:rsidRPr="00AC2CE7">
        <w:rPr>
          <w:sz w:val="24"/>
          <w:szCs w:val="24"/>
        </w:rPr>
        <w:t>Ved randomisering fik 16 % af patienterne invasiv mekanisk ventilation eller ekstrakorporal membranoxygenering, 60 % fik kun ilt (med eller uden non-invasiv ventilation) og 24 % fik ingen af delene.</w:t>
      </w:r>
    </w:p>
    <w:p w14:paraId="23030E20" w14:textId="77777777" w:rsidR="00AC2CE7" w:rsidRPr="00AC2CE7" w:rsidRDefault="00AC2CE7" w:rsidP="00AC2CE7">
      <w:pPr>
        <w:tabs>
          <w:tab w:val="left" w:pos="851"/>
        </w:tabs>
        <w:ind w:left="851"/>
        <w:rPr>
          <w:sz w:val="24"/>
          <w:szCs w:val="24"/>
        </w:rPr>
      </w:pPr>
      <w:r w:rsidRPr="00AC2CE7">
        <w:rPr>
          <w:sz w:val="24"/>
          <w:szCs w:val="24"/>
        </w:rPr>
        <w:t>Patienternes gennemsnitsalder var 66,1+/-15,7 år. 36 % af patienterne var kvinder. 24 % af patienterne havde diabetes, 27 % havde hjertesygdom og 21 % havde kronisk lungesygdom.</w:t>
      </w:r>
    </w:p>
    <w:p w14:paraId="4741A8E2" w14:textId="77777777" w:rsidR="00AC2CE7" w:rsidRPr="00AC2CE7" w:rsidRDefault="00AC2CE7" w:rsidP="00AC2CE7">
      <w:pPr>
        <w:tabs>
          <w:tab w:val="left" w:pos="851"/>
        </w:tabs>
        <w:ind w:left="851"/>
        <w:rPr>
          <w:sz w:val="24"/>
          <w:szCs w:val="24"/>
        </w:rPr>
      </w:pPr>
    </w:p>
    <w:p w14:paraId="3CF8B5FA" w14:textId="77777777" w:rsidR="00AC2CE7" w:rsidRPr="00AC2CE7" w:rsidRDefault="00AC2CE7" w:rsidP="00AC2CE7">
      <w:pPr>
        <w:tabs>
          <w:tab w:val="left" w:pos="851"/>
        </w:tabs>
        <w:ind w:left="851"/>
        <w:rPr>
          <w:bCs/>
          <w:sz w:val="24"/>
          <w:szCs w:val="24"/>
          <w:u w:val="single"/>
        </w:rPr>
      </w:pPr>
      <w:r w:rsidRPr="00AC2CE7">
        <w:rPr>
          <w:bCs/>
          <w:sz w:val="24"/>
          <w:szCs w:val="24"/>
          <w:u w:val="single"/>
        </w:rPr>
        <w:t>Primært endepunkt</w:t>
      </w:r>
    </w:p>
    <w:p w14:paraId="2C6A036D" w14:textId="77777777" w:rsidR="00AC2CE7" w:rsidRPr="00AC2CE7" w:rsidRDefault="00AC2CE7" w:rsidP="00AC2CE7">
      <w:pPr>
        <w:tabs>
          <w:tab w:val="left" w:pos="851"/>
        </w:tabs>
        <w:ind w:left="851"/>
        <w:rPr>
          <w:sz w:val="24"/>
          <w:szCs w:val="24"/>
        </w:rPr>
      </w:pPr>
      <w:r w:rsidRPr="00AC2CE7">
        <w:rPr>
          <w:sz w:val="24"/>
          <w:szCs w:val="24"/>
        </w:rPr>
        <w:t>Dødeligheden efter 28 dage var signifikant lavere i dexamethasongruppen end i gruppen, der fik almindelig pleje, med rapporterede dødsfald hos henholdsvis 482 ud af 2.104 patienter (22,9 %) og hos 1.110 ud af 4.321 patienter (25,7 %) (rate-ratio, 0,83; 95 % konfidensinterval [CI], 0,75-0,93; p &lt;0,001).</w:t>
      </w:r>
    </w:p>
    <w:p w14:paraId="7A122AA3" w14:textId="77777777" w:rsidR="00AC2CE7" w:rsidRPr="00AC2CE7" w:rsidRDefault="00AC2CE7" w:rsidP="00AC2CE7">
      <w:pPr>
        <w:tabs>
          <w:tab w:val="left" w:pos="851"/>
        </w:tabs>
        <w:ind w:left="851"/>
        <w:rPr>
          <w:sz w:val="24"/>
          <w:szCs w:val="24"/>
        </w:rPr>
      </w:pPr>
      <w:r w:rsidRPr="00AC2CE7">
        <w:rPr>
          <w:sz w:val="24"/>
          <w:szCs w:val="24"/>
        </w:rPr>
        <w:t>I dexamethasongruppen var incidensen af dødsfald lavere end i gruppen, der fik almindelig pleje, blandt patienter, der fik invasiv mekanisk ventilation (29,3 % vs. 41,4 %; rate-ratio, 0,64; 95 % CI, 0,51-0.81), og hos patienter, der fik supplerende iltbehandling uden invasiv mekanisk ventilation (23,3 % vs. 26,2 %; rate-ratio, 0,82; 95 % CI, 0,72-0,94).</w:t>
      </w:r>
    </w:p>
    <w:p w14:paraId="25FA9857" w14:textId="77777777" w:rsidR="00AC2CE7" w:rsidRPr="00AC2CE7" w:rsidRDefault="00AC2CE7" w:rsidP="00AC2CE7">
      <w:pPr>
        <w:tabs>
          <w:tab w:val="left" w:pos="851"/>
        </w:tabs>
        <w:ind w:left="851"/>
        <w:rPr>
          <w:sz w:val="24"/>
          <w:szCs w:val="24"/>
        </w:rPr>
      </w:pPr>
      <w:r w:rsidRPr="00AC2CE7">
        <w:rPr>
          <w:sz w:val="24"/>
          <w:szCs w:val="24"/>
        </w:rPr>
        <w:t>Der var ingen klar effekt af dexamethason blandt patienter, der ikke fik respiratorisk støtte ved randomisering (17,8 % vs. 14,0 %; rate-ratio, 1,19; 95 % CI, 0,91-1,55).</w:t>
      </w:r>
    </w:p>
    <w:p w14:paraId="19B31574" w14:textId="77777777" w:rsidR="00AC2CE7" w:rsidRPr="00AC2CE7" w:rsidRDefault="00AC2CE7" w:rsidP="00AC2CE7">
      <w:pPr>
        <w:tabs>
          <w:tab w:val="left" w:pos="851"/>
        </w:tabs>
        <w:ind w:left="851"/>
        <w:rPr>
          <w:sz w:val="24"/>
          <w:szCs w:val="24"/>
        </w:rPr>
      </w:pPr>
    </w:p>
    <w:p w14:paraId="064AC070" w14:textId="77777777" w:rsidR="00AC2CE7" w:rsidRPr="00AC2CE7" w:rsidRDefault="00AC2CE7" w:rsidP="00AC2CE7">
      <w:pPr>
        <w:tabs>
          <w:tab w:val="left" w:pos="851"/>
        </w:tabs>
        <w:ind w:left="851"/>
        <w:rPr>
          <w:bCs/>
          <w:sz w:val="24"/>
          <w:szCs w:val="24"/>
          <w:u w:val="single"/>
        </w:rPr>
      </w:pPr>
      <w:r w:rsidRPr="00AC2CE7">
        <w:rPr>
          <w:bCs/>
          <w:sz w:val="24"/>
          <w:szCs w:val="24"/>
          <w:u w:val="single"/>
        </w:rPr>
        <w:t>Sekundære endepunkter</w:t>
      </w:r>
    </w:p>
    <w:p w14:paraId="7CC52C20" w14:textId="77777777" w:rsidR="00AC2CE7" w:rsidRPr="00AC2CE7" w:rsidRDefault="00AC2CE7" w:rsidP="00AC2CE7">
      <w:pPr>
        <w:tabs>
          <w:tab w:val="left" w:pos="851"/>
        </w:tabs>
        <w:ind w:left="851"/>
        <w:rPr>
          <w:sz w:val="24"/>
          <w:szCs w:val="24"/>
        </w:rPr>
      </w:pPr>
      <w:r w:rsidRPr="00AC2CE7">
        <w:rPr>
          <w:sz w:val="24"/>
          <w:szCs w:val="24"/>
        </w:rPr>
        <w:t>Patienterne i dexamethasongruppen havde en kortere indlæggelsestid end patienterne i gruppen, der fik almindelig pleje (gennemsnit, 12 dage vs. 13 dage), og en større sandsynlighed for at blive udskrevet i live inden for 28 dage (rate-ratio, 1,10; 95 % CI, 1,03-1,17).</w:t>
      </w:r>
    </w:p>
    <w:p w14:paraId="333AC49B" w14:textId="77777777" w:rsidR="00AC2CE7" w:rsidRPr="00AC2CE7" w:rsidRDefault="00AC2CE7" w:rsidP="00AC2CE7">
      <w:pPr>
        <w:tabs>
          <w:tab w:val="left" w:pos="851"/>
        </w:tabs>
        <w:ind w:left="851"/>
        <w:rPr>
          <w:sz w:val="24"/>
          <w:szCs w:val="24"/>
        </w:rPr>
      </w:pPr>
      <w:r w:rsidRPr="00AC2CE7">
        <w:rPr>
          <w:sz w:val="24"/>
          <w:szCs w:val="24"/>
        </w:rPr>
        <w:t>I overensstemmelse med det primære endepunkt sås den største effekt med hensyn til udskrivelse inden for 28 dage blandt patienter, der fik invasiv mekanisk ventilation ved randomisering (rate-ratio 1,48; 95 % CI 1,16-1,90), efterfulgt af ilt alene (rate-ratio, 1,15; 95 % CI, 1,06-1,24) og ingen gavnlig effekt hos patienter, der ikke fik ilt (rate-ratio, 0,96; 95 % CI, 0,85-1,08).</w:t>
      </w:r>
    </w:p>
    <w:p w14:paraId="7095473F" w14:textId="77777777" w:rsidR="00AC2CE7" w:rsidRPr="00C17A42" w:rsidRDefault="00AC2CE7" w:rsidP="00AC2CE7">
      <w:pPr>
        <w:tabs>
          <w:tab w:val="left" w:pos="851"/>
        </w:tabs>
        <w:rPr>
          <w:sz w:val="22"/>
          <w:szCs w:val="22"/>
        </w:rPr>
      </w:pPr>
    </w:p>
    <w:tbl>
      <w:tblPr>
        <w:tblStyle w:val="Tabel-Gitter"/>
        <w:tblW w:w="5000" w:type="pct"/>
        <w:tblInd w:w="0" w:type="dxa"/>
        <w:tblBorders>
          <w:insideH w:val="none" w:sz="0" w:space="0" w:color="auto"/>
          <w:insideV w:val="none" w:sz="0" w:space="0" w:color="auto"/>
        </w:tblBorders>
        <w:tblLook w:val="04A0" w:firstRow="1" w:lastRow="0" w:firstColumn="1" w:lastColumn="0" w:noHBand="0" w:noVBand="1"/>
      </w:tblPr>
      <w:tblGrid>
        <w:gridCol w:w="4364"/>
        <w:gridCol w:w="1808"/>
        <w:gridCol w:w="1808"/>
        <w:gridCol w:w="1648"/>
      </w:tblGrid>
      <w:tr w:rsidR="00AC2CE7" w:rsidRPr="00132465" w14:paraId="0A2D25B7" w14:textId="77777777" w:rsidTr="00E07BDF">
        <w:tc>
          <w:tcPr>
            <w:tcW w:w="2266" w:type="pct"/>
            <w:tcBorders>
              <w:top w:val="single" w:sz="4" w:space="0" w:color="auto"/>
              <w:left w:val="single" w:sz="4" w:space="0" w:color="auto"/>
              <w:bottom w:val="nil"/>
              <w:right w:val="nil"/>
            </w:tcBorders>
            <w:hideMark/>
          </w:tcPr>
          <w:p w14:paraId="29DB2D08" w14:textId="77777777" w:rsidR="00AC2CE7" w:rsidRPr="00C17A42" w:rsidRDefault="00AC2CE7" w:rsidP="00E07BDF">
            <w:pPr>
              <w:tabs>
                <w:tab w:val="left" w:pos="720"/>
              </w:tabs>
              <w:autoSpaceDE w:val="0"/>
              <w:autoSpaceDN w:val="0"/>
              <w:adjustRightInd w:val="0"/>
              <w:rPr>
                <w:b/>
                <w:bCs/>
                <w:sz w:val="22"/>
                <w:szCs w:val="22"/>
              </w:rPr>
            </w:pPr>
            <w:r w:rsidRPr="00C17A42">
              <w:rPr>
                <w:b/>
                <w:sz w:val="22"/>
                <w:szCs w:val="22"/>
              </w:rPr>
              <w:t>Resultat</w:t>
            </w:r>
          </w:p>
        </w:tc>
        <w:tc>
          <w:tcPr>
            <w:tcW w:w="939" w:type="pct"/>
            <w:tcBorders>
              <w:top w:val="single" w:sz="4" w:space="0" w:color="auto"/>
              <w:left w:val="nil"/>
              <w:bottom w:val="nil"/>
              <w:right w:val="nil"/>
            </w:tcBorders>
            <w:hideMark/>
          </w:tcPr>
          <w:p w14:paraId="585B4A2C" w14:textId="77777777" w:rsidR="00AC2CE7" w:rsidRPr="00C17A42" w:rsidRDefault="00AC2CE7" w:rsidP="00E07BDF">
            <w:pPr>
              <w:tabs>
                <w:tab w:val="left" w:pos="720"/>
              </w:tabs>
              <w:autoSpaceDE w:val="0"/>
              <w:autoSpaceDN w:val="0"/>
              <w:adjustRightInd w:val="0"/>
              <w:rPr>
                <w:b/>
                <w:bCs/>
                <w:sz w:val="22"/>
                <w:szCs w:val="22"/>
              </w:rPr>
            </w:pPr>
            <w:r w:rsidRPr="00C17A42">
              <w:rPr>
                <w:b/>
                <w:sz w:val="22"/>
                <w:szCs w:val="22"/>
              </w:rPr>
              <w:t>Dexametason</w:t>
            </w:r>
            <w:r w:rsidRPr="00C17A42">
              <w:rPr>
                <w:b/>
                <w:sz w:val="22"/>
                <w:szCs w:val="22"/>
              </w:rPr>
              <w:br/>
              <w:t>(N = 2.104)</w:t>
            </w:r>
          </w:p>
        </w:tc>
        <w:tc>
          <w:tcPr>
            <w:tcW w:w="939" w:type="pct"/>
            <w:tcBorders>
              <w:top w:val="single" w:sz="4" w:space="0" w:color="auto"/>
              <w:left w:val="nil"/>
              <w:bottom w:val="nil"/>
              <w:right w:val="nil"/>
            </w:tcBorders>
            <w:hideMark/>
          </w:tcPr>
          <w:p w14:paraId="413951A7" w14:textId="77777777" w:rsidR="00AC2CE7" w:rsidRPr="00C17A42" w:rsidRDefault="00AC2CE7" w:rsidP="00E07BDF">
            <w:pPr>
              <w:tabs>
                <w:tab w:val="left" w:pos="720"/>
              </w:tabs>
              <w:autoSpaceDE w:val="0"/>
              <w:autoSpaceDN w:val="0"/>
              <w:adjustRightInd w:val="0"/>
              <w:rPr>
                <w:b/>
                <w:bCs/>
                <w:sz w:val="22"/>
                <w:szCs w:val="22"/>
              </w:rPr>
            </w:pPr>
            <w:r w:rsidRPr="00C17A42">
              <w:rPr>
                <w:b/>
                <w:bCs/>
                <w:sz w:val="22"/>
                <w:szCs w:val="22"/>
              </w:rPr>
              <w:t>Almindelig pleje</w:t>
            </w:r>
            <w:r w:rsidRPr="00C17A42">
              <w:rPr>
                <w:b/>
                <w:sz w:val="22"/>
                <w:szCs w:val="22"/>
              </w:rPr>
              <w:br/>
              <w:t>(N = 4.321)</w:t>
            </w:r>
            <w:r w:rsidRPr="00C17A42">
              <w:rPr>
                <w:b/>
                <w:sz w:val="22"/>
                <w:szCs w:val="22"/>
              </w:rPr>
              <w:br/>
            </w:r>
            <w:r w:rsidRPr="00C17A42">
              <w:rPr>
                <w:i/>
                <w:sz w:val="22"/>
                <w:szCs w:val="22"/>
              </w:rPr>
              <w:t>antal/samlet antal patienter (%)</w:t>
            </w:r>
          </w:p>
        </w:tc>
        <w:tc>
          <w:tcPr>
            <w:tcW w:w="856" w:type="pct"/>
            <w:tcBorders>
              <w:top w:val="single" w:sz="4" w:space="0" w:color="auto"/>
              <w:left w:val="nil"/>
              <w:bottom w:val="nil"/>
              <w:right w:val="single" w:sz="4" w:space="0" w:color="auto"/>
            </w:tcBorders>
            <w:hideMark/>
          </w:tcPr>
          <w:p w14:paraId="4EFE3B13" w14:textId="77777777" w:rsidR="00AC2CE7" w:rsidRPr="000B34FF" w:rsidRDefault="00AC2CE7" w:rsidP="00E07BDF">
            <w:pPr>
              <w:tabs>
                <w:tab w:val="left" w:pos="720"/>
              </w:tabs>
              <w:autoSpaceDE w:val="0"/>
              <w:autoSpaceDN w:val="0"/>
              <w:adjustRightInd w:val="0"/>
              <w:rPr>
                <w:b/>
                <w:bCs/>
                <w:sz w:val="22"/>
                <w:szCs w:val="22"/>
                <w:lang w:val="sv-SE"/>
              </w:rPr>
            </w:pPr>
            <w:r w:rsidRPr="000B34FF">
              <w:rPr>
                <w:b/>
                <w:sz w:val="22"/>
                <w:szCs w:val="22"/>
                <w:lang w:val="sv-SE"/>
              </w:rPr>
              <w:t>Rate eller risk ratio</w:t>
            </w:r>
            <w:r w:rsidRPr="000B34FF">
              <w:rPr>
                <w:b/>
                <w:sz w:val="22"/>
                <w:szCs w:val="22"/>
                <w:lang w:val="sv-SE"/>
              </w:rPr>
              <w:br/>
              <w:t>(95 % CI)*</w:t>
            </w:r>
          </w:p>
        </w:tc>
      </w:tr>
      <w:tr w:rsidR="00AC2CE7" w:rsidRPr="00C17A42" w14:paraId="19F36029" w14:textId="77777777" w:rsidTr="00E07BDF">
        <w:tc>
          <w:tcPr>
            <w:tcW w:w="2266" w:type="pct"/>
            <w:tcBorders>
              <w:top w:val="nil"/>
              <w:left w:val="single" w:sz="4" w:space="0" w:color="auto"/>
              <w:bottom w:val="nil"/>
              <w:right w:val="nil"/>
            </w:tcBorders>
            <w:shd w:val="clear" w:color="auto" w:fill="FBE4D5" w:themeFill="accent2" w:themeFillTint="33"/>
            <w:hideMark/>
          </w:tcPr>
          <w:p w14:paraId="010CA0D8" w14:textId="77777777" w:rsidR="00AC2CE7" w:rsidRPr="00C17A42" w:rsidRDefault="00AC2CE7" w:rsidP="00E07BDF">
            <w:pPr>
              <w:tabs>
                <w:tab w:val="left" w:pos="720"/>
              </w:tabs>
              <w:autoSpaceDE w:val="0"/>
              <w:autoSpaceDN w:val="0"/>
              <w:adjustRightInd w:val="0"/>
              <w:rPr>
                <w:b/>
                <w:bCs/>
                <w:sz w:val="22"/>
                <w:szCs w:val="22"/>
              </w:rPr>
            </w:pPr>
            <w:r w:rsidRPr="00C17A42">
              <w:rPr>
                <w:b/>
                <w:sz w:val="22"/>
                <w:szCs w:val="22"/>
              </w:rPr>
              <w:t>Primært resultat</w:t>
            </w:r>
          </w:p>
        </w:tc>
        <w:tc>
          <w:tcPr>
            <w:tcW w:w="939" w:type="pct"/>
            <w:tcBorders>
              <w:top w:val="nil"/>
              <w:left w:val="nil"/>
              <w:bottom w:val="nil"/>
              <w:right w:val="nil"/>
            </w:tcBorders>
            <w:shd w:val="clear" w:color="auto" w:fill="FBE4D5" w:themeFill="accent2" w:themeFillTint="33"/>
          </w:tcPr>
          <w:p w14:paraId="5C833D42" w14:textId="77777777" w:rsidR="00AC2CE7" w:rsidRPr="00C17A42" w:rsidRDefault="00AC2CE7" w:rsidP="00E07BDF">
            <w:pPr>
              <w:tabs>
                <w:tab w:val="left" w:pos="720"/>
              </w:tabs>
              <w:autoSpaceDE w:val="0"/>
              <w:autoSpaceDN w:val="0"/>
              <w:adjustRightInd w:val="0"/>
              <w:rPr>
                <w:sz w:val="22"/>
                <w:szCs w:val="22"/>
              </w:rPr>
            </w:pPr>
          </w:p>
        </w:tc>
        <w:tc>
          <w:tcPr>
            <w:tcW w:w="939" w:type="pct"/>
            <w:tcBorders>
              <w:top w:val="nil"/>
              <w:left w:val="nil"/>
              <w:bottom w:val="nil"/>
              <w:right w:val="nil"/>
            </w:tcBorders>
            <w:shd w:val="clear" w:color="auto" w:fill="FBE4D5" w:themeFill="accent2" w:themeFillTint="33"/>
          </w:tcPr>
          <w:p w14:paraId="31D1EF0F" w14:textId="77777777" w:rsidR="00AC2CE7" w:rsidRPr="00C17A42" w:rsidRDefault="00AC2CE7" w:rsidP="00E07BDF">
            <w:pPr>
              <w:tabs>
                <w:tab w:val="left" w:pos="720"/>
              </w:tabs>
              <w:autoSpaceDE w:val="0"/>
              <w:autoSpaceDN w:val="0"/>
              <w:adjustRightInd w:val="0"/>
              <w:rPr>
                <w:sz w:val="22"/>
                <w:szCs w:val="22"/>
              </w:rPr>
            </w:pPr>
          </w:p>
        </w:tc>
        <w:tc>
          <w:tcPr>
            <w:tcW w:w="856" w:type="pct"/>
            <w:tcBorders>
              <w:top w:val="nil"/>
              <w:left w:val="nil"/>
              <w:bottom w:val="nil"/>
              <w:right w:val="single" w:sz="4" w:space="0" w:color="auto"/>
            </w:tcBorders>
            <w:shd w:val="clear" w:color="auto" w:fill="FBE4D5" w:themeFill="accent2" w:themeFillTint="33"/>
          </w:tcPr>
          <w:p w14:paraId="5DCCEED6" w14:textId="77777777" w:rsidR="00AC2CE7" w:rsidRPr="00C17A42" w:rsidRDefault="00AC2CE7" w:rsidP="00E07BDF">
            <w:pPr>
              <w:tabs>
                <w:tab w:val="left" w:pos="720"/>
              </w:tabs>
              <w:autoSpaceDE w:val="0"/>
              <w:autoSpaceDN w:val="0"/>
              <w:adjustRightInd w:val="0"/>
              <w:rPr>
                <w:sz w:val="22"/>
                <w:szCs w:val="22"/>
              </w:rPr>
            </w:pPr>
          </w:p>
        </w:tc>
      </w:tr>
      <w:tr w:rsidR="00AC2CE7" w:rsidRPr="00C17A42" w14:paraId="6808A098" w14:textId="77777777" w:rsidTr="00E07BDF">
        <w:tc>
          <w:tcPr>
            <w:tcW w:w="2266" w:type="pct"/>
            <w:tcBorders>
              <w:top w:val="nil"/>
              <w:left w:val="single" w:sz="4" w:space="0" w:color="auto"/>
              <w:bottom w:val="nil"/>
              <w:right w:val="nil"/>
            </w:tcBorders>
            <w:hideMark/>
          </w:tcPr>
          <w:p w14:paraId="28BCC542"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Mortalitet efter 28 dage</w:t>
            </w:r>
          </w:p>
        </w:tc>
        <w:tc>
          <w:tcPr>
            <w:tcW w:w="939" w:type="pct"/>
            <w:tcBorders>
              <w:top w:val="nil"/>
              <w:left w:val="nil"/>
              <w:bottom w:val="nil"/>
              <w:right w:val="nil"/>
            </w:tcBorders>
            <w:hideMark/>
          </w:tcPr>
          <w:p w14:paraId="6CE84FF0"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482/2.104 (22,9)</w:t>
            </w:r>
          </w:p>
        </w:tc>
        <w:tc>
          <w:tcPr>
            <w:tcW w:w="939" w:type="pct"/>
            <w:tcBorders>
              <w:top w:val="nil"/>
              <w:left w:val="nil"/>
              <w:bottom w:val="nil"/>
              <w:right w:val="nil"/>
            </w:tcBorders>
            <w:hideMark/>
          </w:tcPr>
          <w:p w14:paraId="274F97A9"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1.110/4.321 (25,7)</w:t>
            </w:r>
          </w:p>
        </w:tc>
        <w:tc>
          <w:tcPr>
            <w:tcW w:w="856" w:type="pct"/>
            <w:tcBorders>
              <w:top w:val="nil"/>
              <w:left w:val="nil"/>
              <w:bottom w:val="nil"/>
              <w:right w:val="single" w:sz="4" w:space="0" w:color="auto"/>
            </w:tcBorders>
            <w:hideMark/>
          </w:tcPr>
          <w:p w14:paraId="3379F068"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0,83 (0,75</w:t>
            </w:r>
            <w:r w:rsidRPr="00C17A42">
              <w:rPr>
                <w:sz w:val="22"/>
                <w:szCs w:val="22"/>
              </w:rPr>
              <w:noBreakHyphen/>
              <w:t>0,93)</w:t>
            </w:r>
          </w:p>
        </w:tc>
      </w:tr>
      <w:tr w:rsidR="00AC2CE7" w:rsidRPr="00C17A42" w14:paraId="0CD3E4FE" w14:textId="77777777" w:rsidTr="00E07BDF">
        <w:tc>
          <w:tcPr>
            <w:tcW w:w="2266" w:type="pct"/>
            <w:tcBorders>
              <w:top w:val="nil"/>
              <w:left w:val="single" w:sz="4" w:space="0" w:color="auto"/>
              <w:bottom w:val="nil"/>
              <w:right w:val="nil"/>
            </w:tcBorders>
            <w:shd w:val="clear" w:color="auto" w:fill="FBE4D5" w:themeFill="accent2" w:themeFillTint="33"/>
            <w:hideMark/>
          </w:tcPr>
          <w:p w14:paraId="2E05C6C1" w14:textId="77777777" w:rsidR="00AC2CE7" w:rsidRPr="00C17A42" w:rsidRDefault="00AC2CE7" w:rsidP="00E07BDF">
            <w:pPr>
              <w:tabs>
                <w:tab w:val="left" w:pos="720"/>
              </w:tabs>
              <w:autoSpaceDE w:val="0"/>
              <w:autoSpaceDN w:val="0"/>
              <w:adjustRightInd w:val="0"/>
              <w:rPr>
                <w:b/>
                <w:bCs/>
                <w:sz w:val="22"/>
                <w:szCs w:val="22"/>
              </w:rPr>
            </w:pPr>
            <w:r w:rsidRPr="00C17A42">
              <w:rPr>
                <w:b/>
                <w:sz w:val="22"/>
                <w:szCs w:val="22"/>
              </w:rPr>
              <w:t>Sekundære resultater</w:t>
            </w:r>
          </w:p>
        </w:tc>
        <w:tc>
          <w:tcPr>
            <w:tcW w:w="939" w:type="pct"/>
            <w:tcBorders>
              <w:top w:val="nil"/>
              <w:left w:val="nil"/>
              <w:bottom w:val="nil"/>
              <w:right w:val="nil"/>
            </w:tcBorders>
            <w:shd w:val="clear" w:color="auto" w:fill="FBE4D5" w:themeFill="accent2" w:themeFillTint="33"/>
          </w:tcPr>
          <w:p w14:paraId="2EA6A44B" w14:textId="77777777" w:rsidR="00AC2CE7" w:rsidRPr="00C17A42" w:rsidRDefault="00AC2CE7" w:rsidP="00E07BDF">
            <w:pPr>
              <w:tabs>
                <w:tab w:val="left" w:pos="720"/>
              </w:tabs>
              <w:autoSpaceDE w:val="0"/>
              <w:autoSpaceDN w:val="0"/>
              <w:adjustRightInd w:val="0"/>
              <w:rPr>
                <w:sz w:val="22"/>
                <w:szCs w:val="22"/>
              </w:rPr>
            </w:pPr>
          </w:p>
        </w:tc>
        <w:tc>
          <w:tcPr>
            <w:tcW w:w="939" w:type="pct"/>
            <w:tcBorders>
              <w:top w:val="nil"/>
              <w:left w:val="nil"/>
              <w:bottom w:val="nil"/>
              <w:right w:val="nil"/>
            </w:tcBorders>
            <w:shd w:val="clear" w:color="auto" w:fill="FBE4D5" w:themeFill="accent2" w:themeFillTint="33"/>
          </w:tcPr>
          <w:p w14:paraId="49F9A457" w14:textId="77777777" w:rsidR="00AC2CE7" w:rsidRPr="00C17A42" w:rsidRDefault="00AC2CE7" w:rsidP="00E07BDF">
            <w:pPr>
              <w:tabs>
                <w:tab w:val="left" w:pos="720"/>
              </w:tabs>
              <w:autoSpaceDE w:val="0"/>
              <w:autoSpaceDN w:val="0"/>
              <w:adjustRightInd w:val="0"/>
              <w:rPr>
                <w:sz w:val="22"/>
                <w:szCs w:val="22"/>
              </w:rPr>
            </w:pPr>
          </w:p>
        </w:tc>
        <w:tc>
          <w:tcPr>
            <w:tcW w:w="856" w:type="pct"/>
            <w:tcBorders>
              <w:top w:val="nil"/>
              <w:left w:val="nil"/>
              <w:bottom w:val="nil"/>
              <w:right w:val="single" w:sz="4" w:space="0" w:color="auto"/>
            </w:tcBorders>
            <w:shd w:val="clear" w:color="auto" w:fill="FBE4D5" w:themeFill="accent2" w:themeFillTint="33"/>
          </w:tcPr>
          <w:p w14:paraId="0922884F" w14:textId="77777777" w:rsidR="00AC2CE7" w:rsidRPr="00C17A42" w:rsidRDefault="00AC2CE7" w:rsidP="00E07BDF">
            <w:pPr>
              <w:tabs>
                <w:tab w:val="left" w:pos="720"/>
              </w:tabs>
              <w:autoSpaceDE w:val="0"/>
              <w:autoSpaceDN w:val="0"/>
              <w:adjustRightInd w:val="0"/>
              <w:rPr>
                <w:sz w:val="22"/>
                <w:szCs w:val="22"/>
              </w:rPr>
            </w:pPr>
          </w:p>
        </w:tc>
      </w:tr>
      <w:tr w:rsidR="00AC2CE7" w:rsidRPr="00C17A42" w14:paraId="24B43522" w14:textId="77777777" w:rsidTr="00E07BDF">
        <w:tc>
          <w:tcPr>
            <w:tcW w:w="2266" w:type="pct"/>
            <w:tcBorders>
              <w:top w:val="nil"/>
              <w:left w:val="single" w:sz="4" w:space="0" w:color="auto"/>
              <w:bottom w:val="nil"/>
              <w:right w:val="nil"/>
            </w:tcBorders>
            <w:hideMark/>
          </w:tcPr>
          <w:p w14:paraId="380490C8"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Udskrevet fra hospitalet inden for 28 dage</w:t>
            </w:r>
          </w:p>
        </w:tc>
        <w:tc>
          <w:tcPr>
            <w:tcW w:w="939" w:type="pct"/>
            <w:tcBorders>
              <w:top w:val="nil"/>
              <w:left w:val="nil"/>
              <w:bottom w:val="nil"/>
              <w:right w:val="nil"/>
            </w:tcBorders>
            <w:hideMark/>
          </w:tcPr>
          <w:p w14:paraId="22331E74"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1.413/2.104 (67,2)</w:t>
            </w:r>
          </w:p>
        </w:tc>
        <w:tc>
          <w:tcPr>
            <w:tcW w:w="939" w:type="pct"/>
            <w:tcBorders>
              <w:top w:val="nil"/>
              <w:left w:val="nil"/>
              <w:bottom w:val="nil"/>
              <w:right w:val="nil"/>
            </w:tcBorders>
            <w:hideMark/>
          </w:tcPr>
          <w:p w14:paraId="1E23FACB" w14:textId="77777777" w:rsidR="00AC2CE7" w:rsidRPr="00C17A42" w:rsidRDefault="00AC2CE7" w:rsidP="00E07BDF">
            <w:pPr>
              <w:tabs>
                <w:tab w:val="left" w:pos="720"/>
              </w:tabs>
              <w:autoSpaceDE w:val="0"/>
              <w:autoSpaceDN w:val="0"/>
              <w:bidi/>
              <w:adjustRightInd w:val="0"/>
              <w:jc w:val="right"/>
              <w:rPr>
                <w:sz w:val="22"/>
                <w:szCs w:val="22"/>
              </w:rPr>
            </w:pPr>
            <w:r w:rsidRPr="00C17A42">
              <w:rPr>
                <w:sz w:val="22"/>
                <w:szCs w:val="22"/>
              </w:rPr>
              <w:t>2.745/4.321 (63,5)</w:t>
            </w:r>
          </w:p>
        </w:tc>
        <w:tc>
          <w:tcPr>
            <w:tcW w:w="856" w:type="pct"/>
            <w:tcBorders>
              <w:top w:val="nil"/>
              <w:left w:val="nil"/>
              <w:bottom w:val="nil"/>
              <w:right w:val="single" w:sz="4" w:space="0" w:color="auto"/>
            </w:tcBorders>
            <w:hideMark/>
          </w:tcPr>
          <w:p w14:paraId="65590F7E"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1,10 (1,03</w:t>
            </w:r>
            <w:r w:rsidRPr="00C17A42">
              <w:rPr>
                <w:sz w:val="22"/>
                <w:szCs w:val="22"/>
              </w:rPr>
              <w:noBreakHyphen/>
              <w:t>1,17)</w:t>
            </w:r>
          </w:p>
        </w:tc>
      </w:tr>
      <w:tr w:rsidR="00AC2CE7" w:rsidRPr="00C17A42" w14:paraId="50E00515" w14:textId="77777777" w:rsidTr="00E07BDF">
        <w:tc>
          <w:tcPr>
            <w:tcW w:w="2266" w:type="pct"/>
            <w:tcBorders>
              <w:top w:val="nil"/>
              <w:left w:val="single" w:sz="4" w:space="0" w:color="auto"/>
              <w:bottom w:val="nil"/>
              <w:right w:val="nil"/>
            </w:tcBorders>
            <w:shd w:val="clear" w:color="auto" w:fill="FBE4D5" w:themeFill="accent2" w:themeFillTint="33"/>
            <w:hideMark/>
          </w:tcPr>
          <w:p w14:paraId="30672375"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Invasiv mekanisk ventilation eller dødsfald†</w:t>
            </w:r>
          </w:p>
        </w:tc>
        <w:tc>
          <w:tcPr>
            <w:tcW w:w="939" w:type="pct"/>
            <w:tcBorders>
              <w:top w:val="nil"/>
              <w:left w:val="nil"/>
              <w:bottom w:val="nil"/>
              <w:right w:val="nil"/>
            </w:tcBorders>
            <w:shd w:val="clear" w:color="auto" w:fill="FBE4D5" w:themeFill="accent2" w:themeFillTint="33"/>
            <w:hideMark/>
          </w:tcPr>
          <w:p w14:paraId="7FC80BA1"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456/1.780 (25,6)</w:t>
            </w:r>
          </w:p>
        </w:tc>
        <w:tc>
          <w:tcPr>
            <w:tcW w:w="939" w:type="pct"/>
            <w:tcBorders>
              <w:top w:val="nil"/>
              <w:left w:val="nil"/>
              <w:bottom w:val="nil"/>
              <w:right w:val="nil"/>
            </w:tcBorders>
            <w:shd w:val="clear" w:color="auto" w:fill="FBE4D5" w:themeFill="accent2" w:themeFillTint="33"/>
            <w:hideMark/>
          </w:tcPr>
          <w:p w14:paraId="38730E4F"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994/3.638 (27,3)</w:t>
            </w:r>
          </w:p>
        </w:tc>
        <w:tc>
          <w:tcPr>
            <w:tcW w:w="856" w:type="pct"/>
            <w:tcBorders>
              <w:top w:val="nil"/>
              <w:left w:val="nil"/>
              <w:bottom w:val="nil"/>
              <w:right w:val="single" w:sz="4" w:space="0" w:color="auto"/>
            </w:tcBorders>
            <w:shd w:val="clear" w:color="auto" w:fill="FBE4D5" w:themeFill="accent2" w:themeFillTint="33"/>
            <w:hideMark/>
          </w:tcPr>
          <w:p w14:paraId="30F8B90D"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0,92 (0,84</w:t>
            </w:r>
            <w:r w:rsidRPr="00C17A42">
              <w:rPr>
                <w:sz w:val="22"/>
                <w:szCs w:val="22"/>
              </w:rPr>
              <w:noBreakHyphen/>
              <w:t>1,01)</w:t>
            </w:r>
          </w:p>
        </w:tc>
      </w:tr>
      <w:tr w:rsidR="00AC2CE7" w:rsidRPr="00C17A42" w14:paraId="288C4FCB" w14:textId="77777777" w:rsidTr="00E07BDF">
        <w:tc>
          <w:tcPr>
            <w:tcW w:w="2266" w:type="pct"/>
            <w:tcBorders>
              <w:top w:val="nil"/>
              <w:left w:val="single" w:sz="4" w:space="0" w:color="auto"/>
              <w:bottom w:val="nil"/>
              <w:right w:val="nil"/>
            </w:tcBorders>
            <w:hideMark/>
          </w:tcPr>
          <w:p w14:paraId="3D2FDCE8" w14:textId="77777777" w:rsidR="00AC2CE7" w:rsidRPr="00C17A42" w:rsidRDefault="00AC2CE7" w:rsidP="00E07BDF">
            <w:pPr>
              <w:tabs>
                <w:tab w:val="left" w:pos="720"/>
              </w:tabs>
              <w:autoSpaceDE w:val="0"/>
              <w:autoSpaceDN w:val="0"/>
              <w:adjustRightInd w:val="0"/>
              <w:ind w:left="187"/>
              <w:rPr>
                <w:sz w:val="22"/>
                <w:szCs w:val="22"/>
              </w:rPr>
            </w:pPr>
            <w:r w:rsidRPr="00C17A42">
              <w:rPr>
                <w:sz w:val="22"/>
                <w:szCs w:val="22"/>
              </w:rPr>
              <w:t>Invasiv mekanisk ventilation</w:t>
            </w:r>
          </w:p>
        </w:tc>
        <w:tc>
          <w:tcPr>
            <w:tcW w:w="939" w:type="pct"/>
            <w:tcBorders>
              <w:top w:val="nil"/>
              <w:left w:val="nil"/>
              <w:bottom w:val="nil"/>
              <w:right w:val="nil"/>
            </w:tcBorders>
            <w:hideMark/>
          </w:tcPr>
          <w:p w14:paraId="703A87CB"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102/1.780 (5,7)</w:t>
            </w:r>
          </w:p>
        </w:tc>
        <w:tc>
          <w:tcPr>
            <w:tcW w:w="939" w:type="pct"/>
            <w:tcBorders>
              <w:top w:val="nil"/>
              <w:left w:val="nil"/>
              <w:bottom w:val="nil"/>
              <w:right w:val="nil"/>
            </w:tcBorders>
            <w:hideMark/>
          </w:tcPr>
          <w:p w14:paraId="10787CF2"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285/3.638 (7,8)</w:t>
            </w:r>
          </w:p>
        </w:tc>
        <w:tc>
          <w:tcPr>
            <w:tcW w:w="856" w:type="pct"/>
            <w:tcBorders>
              <w:top w:val="nil"/>
              <w:left w:val="nil"/>
              <w:bottom w:val="nil"/>
              <w:right w:val="single" w:sz="4" w:space="0" w:color="auto"/>
            </w:tcBorders>
            <w:hideMark/>
          </w:tcPr>
          <w:p w14:paraId="795E0FAD"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0,77 (0,62</w:t>
            </w:r>
            <w:r w:rsidRPr="00C17A42">
              <w:rPr>
                <w:sz w:val="22"/>
                <w:szCs w:val="22"/>
              </w:rPr>
              <w:noBreakHyphen/>
              <w:t>0,95)</w:t>
            </w:r>
          </w:p>
        </w:tc>
      </w:tr>
      <w:tr w:rsidR="00AC2CE7" w:rsidRPr="00C17A42" w14:paraId="42436515" w14:textId="77777777" w:rsidTr="00E07BDF">
        <w:tc>
          <w:tcPr>
            <w:tcW w:w="2266" w:type="pct"/>
            <w:tcBorders>
              <w:top w:val="nil"/>
              <w:left w:val="single" w:sz="4" w:space="0" w:color="auto"/>
              <w:bottom w:val="single" w:sz="4" w:space="0" w:color="auto"/>
              <w:right w:val="nil"/>
            </w:tcBorders>
            <w:shd w:val="clear" w:color="auto" w:fill="FBE4D5" w:themeFill="accent2" w:themeFillTint="33"/>
            <w:hideMark/>
          </w:tcPr>
          <w:p w14:paraId="29DDE09C" w14:textId="77777777" w:rsidR="00AC2CE7" w:rsidRPr="00C17A42" w:rsidRDefault="00AC2CE7" w:rsidP="00E07BDF">
            <w:pPr>
              <w:tabs>
                <w:tab w:val="left" w:pos="720"/>
              </w:tabs>
              <w:autoSpaceDE w:val="0"/>
              <w:autoSpaceDN w:val="0"/>
              <w:adjustRightInd w:val="0"/>
              <w:ind w:left="187"/>
              <w:rPr>
                <w:sz w:val="22"/>
                <w:szCs w:val="22"/>
              </w:rPr>
            </w:pPr>
            <w:r w:rsidRPr="00C17A42">
              <w:rPr>
                <w:sz w:val="22"/>
                <w:szCs w:val="22"/>
              </w:rPr>
              <w:t>Dødsfald</w:t>
            </w:r>
          </w:p>
        </w:tc>
        <w:tc>
          <w:tcPr>
            <w:tcW w:w="939" w:type="pct"/>
            <w:tcBorders>
              <w:top w:val="nil"/>
              <w:left w:val="nil"/>
              <w:bottom w:val="single" w:sz="4" w:space="0" w:color="auto"/>
              <w:right w:val="nil"/>
            </w:tcBorders>
            <w:shd w:val="clear" w:color="auto" w:fill="FBE4D5" w:themeFill="accent2" w:themeFillTint="33"/>
            <w:hideMark/>
          </w:tcPr>
          <w:p w14:paraId="3FFE8D8C"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387/1.780 (21,7)</w:t>
            </w:r>
          </w:p>
        </w:tc>
        <w:tc>
          <w:tcPr>
            <w:tcW w:w="939" w:type="pct"/>
            <w:tcBorders>
              <w:top w:val="nil"/>
              <w:left w:val="nil"/>
              <w:bottom w:val="single" w:sz="4" w:space="0" w:color="auto"/>
              <w:right w:val="nil"/>
            </w:tcBorders>
            <w:shd w:val="clear" w:color="auto" w:fill="FBE4D5" w:themeFill="accent2" w:themeFillTint="33"/>
            <w:hideMark/>
          </w:tcPr>
          <w:p w14:paraId="23891BA3"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827/3638 (22,7)</w:t>
            </w:r>
          </w:p>
        </w:tc>
        <w:tc>
          <w:tcPr>
            <w:tcW w:w="856" w:type="pct"/>
            <w:tcBorders>
              <w:top w:val="nil"/>
              <w:left w:val="nil"/>
              <w:bottom w:val="single" w:sz="4" w:space="0" w:color="auto"/>
              <w:right w:val="single" w:sz="4" w:space="0" w:color="auto"/>
            </w:tcBorders>
            <w:shd w:val="clear" w:color="auto" w:fill="FBE4D5" w:themeFill="accent2" w:themeFillTint="33"/>
            <w:hideMark/>
          </w:tcPr>
          <w:p w14:paraId="5DF605A5" w14:textId="77777777" w:rsidR="00AC2CE7" w:rsidRPr="00C17A42" w:rsidRDefault="00AC2CE7" w:rsidP="00E07BDF">
            <w:pPr>
              <w:tabs>
                <w:tab w:val="left" w:pos="720"/>
              </w:tabs>
              <w:autoSpaceDE w:val="0"/>
              <w:autoSpaceDN w:val="0"/>
              <w:adjustRightInd w:val="0"/>
              <w:rPr>
                <w:sz w:val="22"/>
                <w:szCs w:val="22"/>
              </w:rPr>
            </w:pPr>
            <w:r w:rsidRPr="00C17A42">
              <w:rPr>
                <w:sz w:val="22"/>
                <w:szCs w:val="22"/>
              </w:rPr>
              <w:t>0,93 (0,84</w:t>
            </w:r>
            <w:r w:rsidRPr="00C17A42">
              <w:rPr>
                <w:sz w:val="22"/>
                <w:szCs w:val="22"/>
              </w:rPr>
              <w:noBreakHyphen/>
              <w:t>1,03)</w:t>
            </w:r>
          </w:p>
        </w:tc>
      </w:tr>
    </w:tbl>
    <w:p w14:paraId="2E899DD0" w14:textId="10348335" w:rsidR="00AC2CE7" w:rsidRPr="00AC2CE7" w:rsidRDefault="00AC2CE7" w:rsidP="00AC2CE7">
      <w:pPr>
        <w:pStyle w:val="Default"/>
        <w:ind w:left="284" w:hanging="284"/>
        <w:rPr>
          <w:color w:val="auto"/>
          <w:sz w:val="20"/>
          <w:szCs w:val="20"/>
        </w:rPr>
      </w:pPr>
      <w:r w:rsidRPr="00AC2CE7">
        <w:rPr>
          <w:color w:val="auto"/>
          <w:sz w:val="20"/>
          <w:szCs w:val="20"/>
        </w:rPr>
        <w:lastRenderedPageBreak/>
        <w:t>*</w:t>
      </w:r>
      <w:r>
        <w:rPr>
          <w:color w:val="auto"/>
          <w:sz w:val="20"/>
          <w:szCs w:val="20"/>
        </w:rPr>
        <w:tab/>
      </w:r>
      <w:r w:rsidRPr="00AC2CE7">
        <w:rPr>
          <w:color w:val="auto"/>
          <w:sz w:val="20"/>
          <w:szCs w:val="20"/>
        </w:rPr>
        <w:t>Rate ratio er blevet justeret for alder for så vidt angår resultaterne af 28</w:t>
      </w:r>
      <w:r w:rsidRPr="00AC2CE7">
        <w:rPr>
          <w:color w:val="auto"/>
          <w:sz w:val="20"/>
          <w:szCs w:val="20"/>
        </w:rPr>
        <w:noBreakHyphen/>
        <w:t>dages mortalitet og udskrivning fra hospitalet. Risk ratio er blevet justeret for alder for så vidt angår resultaterne af modtagelse af invasiv mekanisk ventilation eller dødsfald og dets underkomponenter.</w:t>
      </w:r>
    </w:p>
    <w:p w14:paraId="7077FD77" w14:textId="492BFBDF" w:rsidR="00AC2CE7" w:rsidRPr="00AC2CE7" w:rsidRDefault="00AC2CE7" w:rsidP="00AC2CE7">
      <w:pPr>
        <w:pStyle w:val="Default"/>
        <w:ind w:left="284" w:hanging="284"/>
        <w:rPr>
          <w:color w:val="auto"/>
          <w:sz w:val="20"/>
          <w:szCs w:val="20"/>
        </w:rPr>
      </w:pPr>
      <w:r w:rsidRPr="00AC2CE7">
        <w:rPr>
          <w:color w:val="auto"/>
          <w:sz w:val="20"/>
          <w:szCs w:val="20"/>
        </w:rPr>
        <w:t>†</w:t>
      </w:r>
      <w:r>
        <w:rPr>
          <w:color w:val="auto"/>
          <w:sz w:val="20"/>
          <w:szCs w:val="20"/>
        </w:rPr>
        <w:tab/>
      </w:r>
      <w:r w:rsidRPr="00AC2CE7">
        <w:rPr>
          <w:color w:val="auto"/>
          <w:sz w:val="20"/>
          <w:szCs w:val="20"/>
        </w:rPr>
        <w:t>Patienter, der fik invasiv mekanisk ventilation ved randomisering, er ekskluderet fra denne kategori..</w:t>
      </w:r>
    </w:p>
    <w:p w14:paraId="4643B451" w14:textId="77777777" w:rsidR="00AC2CE7" w:rsidRPr="00C17A42" w:rsidRDefault="00AC2CE7" w:rsidP="00AC2CE7">
      <w:pPr>
        <w:tabs>
          <w:tab w:val="left" w:pos="851"/>
        </w:tabs>
        <w:rPr>
          <w:sz w:val="22"/>
          <w:szCs w:val="22"/>
          <w:u w:val="single"/>
        </w:rPr>
      </w:pPr>
    </w:p>
    <w:p w14:paraId="2E696B75" w14:textId="77777777" w:rsidR="00AC2CE7" w:rsidRPr="00AC2CE7" w:rsidRDefault="00AC2CE7" w:rsidP="00AC2CE7">
      <w:pPr>
        <w:pStyle w:val="Default"/>
        <w:ind w:left="851"/>
        <w:rPr>
          <w:bCs/>
          <w:color w:val="auto"/>
          <w:u w:val="single"/>
        </w:rPr>
      </w:pPr>
      <w:r w:rsidRPr="00AC2CE7">
        <w:rPr>
          <w:bCs/>
          <w:color w:val="auto"/>
          <w:u w:val="single"/>
        </w:rPr>
        <w:t>Sikkerhed</w:t>
      </w:r>
    </w:p>
    <w:p w14:paraId="1D4C2DCA" w14:textId="77777777" w:rsidR="00AC2CE7" w:rsidRPr="00AC2CE7" w:rsidRDefault="00AC2CE7" w:rsidP="00AC2CE7">
      <w:pPr>
        <w:pStyle w:val="Default"/>
        <w:ind w:left="851"/>
        <w:rPr>
          <w:color w:val="auto"/>
        </w:rPr>
      </w:pPr>
      <w:r w:rsidRPr="00AC2CE7">
        <w:rPr>
          <w:color w:val="auto"/>
        </w:rPr>
        <w:t>Der var fire alvorlige bivirkninger relateret til studiebehandlingen: to alvorlige bivirkningstilfælde med hyperglykæmi, ét alvorligt bivirkningstilfælde med steroid-induceret psykose og ét alvorligt bivirkningstilfælde med blødning i den øvre del af mave-tarm-kanalen. Alle bivirkninger forsvandt.</w:t>
      </w:r>
    </w:p>
    <w:p w14:paraId="0E856066" w14:textId="77777777" w:rsidR="00AC2CE7" w:rsidRPr="00AC2CE7" w:rsidRDefault="00AC2CE7" w:rsidP="00AC2CE7">
      <w:pPr>
        <w:pStyle w:val="Default"/>
        <w:ind w:left="851"/>
        <w:rPr>
          <w:color w:val="auto"/>
        </w:rPr>
      </w:pPr>
    </w:p>
    <w:p w14:paraId="0EE47C3D" w14:textId="77777777" w:rsidR="00AC2CE7" w:rsidRPr="00AC2CE7" w:rsidRDefault="00AC2CE7" w:rsidP="00AC2CE7">
      <w:pPr>
        <w:pStyle w:val="Default"/>
        <w:rPr>
          <w:b/>
          <w:color w:val="auto"/>
        </w:rPr>
      </w:pPr>
      <w:r w:rsidRPr="00AC2CE7">
        <w:rPr>
          <w:b/>
          <w:color w:val="auto"/>
        </w:rPr>
        <w:t>Undergruppeanalyse</w:t>
      </w:r>
    </w:p>
    <w:p w14:paraId="6E7EDCE4" w14:textId="77777777" w:rsidR="00AC2CE7" w:rsidRPr="00AC2CE7" w:rsidRDefault="00AC2CE7" w:rsidP="00AC2CE7">
      <w:pPr>
        <w:pStyle w:val="Default"/>
        <w:rPr>
          <w:b/>
          <w:color w:val="auto"/>
        </w:rPr>
      </w:pPr>
    </w:p>
    <w:p w14:paraId="13ED0187" w14:textId="77777777" w:rsidR="00AC2CE7" w:rsidRPr="00AC2CE7" w:rsidRDefault="00AC2CE7" w:rsidP="00AC2CE7">
      <w:pPr>
        <w:pStyle w:val="Default"/>
        <w:rPr>
          <w:i/>
          <w:color w:val="auto"/>
          <w:vertAlign w:val="superscript"/>
        </w:rPr>
      </w:pPr>
      <w:r w:rsidRPr="00AC2CE7">
        <w:rPr>
          <w:i/>
          <w:color w:val="auto"/>
        </w:rPr>
        <w:t>Virkninger af tildeling af dexamethason på 28</w:t>
      </w:r>
      <w:r w:rsidRPr="00AC2CE7">
        <w:rPr>
          <w:i/>
          <w:color w:val="auto"/>
        </w:rPr>
        <w:noBreakHyphen/>
        <w:t xml:space="preserve">dages mortalitet, efter alder og respiratorisk støtte  modtaget ved randomisering </w:t>
      </w:r>
      <w:r w:rsidRPr="00AC2CE7">
        <w:rPr>
          <w:i/>
          <w:color w:val="auto"/>
          <w:vertAlign w:val="superscript"/>
        </w:rPr>
        <w:t>[2]</w:t>
      </w:r>
    </w:p>
    <w:p w14:paraId="3B03D389" w14:textId="77777777" w:rsidR="00AC2CE7" w:rsidRPr="00C17A42" w:rsidRDefault="00AC2CE7" w:rsidP="00AC2CE7">
      <w:pPr>
        <w:suppressAutoHyphens/>
        <w:rPr>
          <w:sz w:val="22"/>
          <w:szCs w:val="22"/>
        </w:rPr>
      </w:pPr>
    </w:p>
    <w:tbl>
      <w:tblPr>
        <w:tblW w:w="5742" w:type="pct"/>
        <w:tblInd w:w="-572" w:type="dxa"/>
        <w:tblLook w:val="04A0" w:firstRow="1" w:lastRow="0" w:firstColumn="1" w:lastColumn="0" w:noHBand="0" w:noVBand="1"/>
      </w:tblPr>
      <w:tblGrid>
        <w:gridCol w:w="1682"/>
        <w:gridCol w:w="2050"/>
        <w:gridCol w:w="2216"/>
        <w:gridCol w:w="2278"/>
        <w:gridCol w:w="1130"/>
        <w:gridCol w:w="1701"/>
      </w:tblGrid>
      <w:tr w:rsidR="00AC2CE7" w:rsidRPr="00AC2CE7" w14:paraId="1980AA3E" w14:textId="77777777" w:rsidTr="00AC2CE7">
        <w:trPr>
          <w:cantSplit/>
          <w:trHeight w:val="212"/>
        </w:trPr>
        <w:tc>
          <w:tcPr>
            <w:tcW w:w="761" w:type="pct"/>
            <w:tcBorders>
              <w:top w:val="single" w:sz="4" w:space="0" w:color="auto"/>
              <w:left w:val="single" w:sz="4" w:space="0" w:color="auto"/>
              <w:bottom w:val="single" w:sz="4" w:space="0" w:color="auto"/>
              <w:right w:val="single" w:sz="4" w:space="0" w:color="auto"/>
            </w:tcBorders>
          </w:tcPr>
          <w:p w14:paraId="1CD70491" w14:textId="77777777" w:rsidR="00AC2CE7" w:rsidRPr="00AC2CE7" w:rsidRDefault="00AC2CE7" w:rsidP="00E07BDF">
            <w:pPr>
              <w:rPr>
                <w:sz w:val="22"/>
                <w:szCs w:val="22"/>
                <w:lang w:val="sl-SI"/>
              </w:rPr>
            </w:pPr>
          </w:p>
        </w:tc>
        <w:tc>
          <w:tcPr>
            <w:tcW w:w="927" w:type="pct"/>
            <w:tcBorders>
              <w:top w:val="single" w:sz="4" w:space="0" w:color="auto"/>
              <w:left w:val="single" w:sz="4" w:space="0" w:color="auto"/>
              <w:bottom w:val="single" w:sz="4" w:space="0" w:color="auto"/>
              <w:right w:val="single" w:sz="4" w:space="0" w:color="auto"/>
            </w:tcBorders>
            <w:hideMark/>
          </w:tcPr>
          <w:p w14:paraId="7FD6E153" w14:textId="77777777" w:rsidR="00AC2CE7" w:rsidRPr="00AC2CE7" w:rsidRDefault="00AC2CE7" w:rsidP="00E07BDF">
            <w:pPr>
              <w:rPr>
                <w:b/>
                <w:sz w:val="22"/>
                <w:szCs w:val="22"/>
                <w:lang w:val="sl-SI"/>
              </w:rPr>
            </w:pPr>
            <w:r w:rsidRPr="00AC2CE7">
              <w:rPr>
                <w:b/>
                <w:sz w:val="22"/>
                <w:szCs w:val="22"/>
                <w:lang w:val="sl-SI"/>
              </w:rPr>
              <w:t>Dexamethason</w:t>
            </w:r>
          </w:p>
        </w:tc>
        <w:tc>
          <w:tcPr>
            <w:tcW w:w="1002" w:type="pct"/>
            <w:tcBorders>
              <w:top w:val="single" w:sz="4" w:space="0" w:color="auto"/>
              <w:left w:val="single" w:sz="4" w:space="0" w:color="auto"/>
              <w:bottom w:val="single" w:sz="4" w:space="0" w:color="auto"/>
              <w:right w:val="single" w:sz="4" w:space="0" w:color="auto"/>
            </w:tcBorders>
            <w:hideMark/>
          </w:tcPr>
          <w:p w14:paraId="718F2542" w14:textId="77777777" w:rsidR="00AC2CE7" w:rsidRPr="00AC2CE7" w:rsidRDefault="00AC2CE7" w:rsidP="00E07BDF">
            <w:pPr>
              <w:rPr>
                <w:b/>
                <w:sz w:val="22"/>
                <w:szCs w:val="22"/>
                <w:lang w:val="sl-SI"/>
              </w:rPr>
            </w:pPr>
            <w:r w:rsidRPr="00AC2CE7">
              <w:rPr>
                <w:b/>
                <w:sz w:val="22"/>
                <w:szCs w:val="22"/>
                <w:lang w:val="sl-SI"/>
              </w:rPr>
              <w:t>Almindelig pleje</w:t>
            </w:r>
          </w:p>
        </w:tc>
        <w:tc>
          <w:tcPr>
            <w:tcW w:w="1541" w:type="pct"/>
            <w:gridSpan w:val="2"/>
            <w:vMerge w:val="restart"/>
            <w:tcBorders>
              <w:top w:val="single" w:sz="4" w:space="0" w:color="auto"/>
              <w:left w:val="single" w:sz="4" w:space="0" w:color="auto"/>
              <w:bottom w:val="single" w:sz="4" w:space="0" w:color="auto"/>
              <w:right w:val="single" w:sz="4" w:space="0" w:color="auto"/>
            </w:tcBorders>
            <w:hideMark/>
          </w:tcPr>
          <w:p w14:paraId="1B955BC6" w14:textId="77BD0316" w:rsidR="00AC2CE7" w:rsidRPr="00AC2CE7" w:rsidRDefault="00AC2CE7" w:rsidP="00AC2CE7">
            <w:pPr>
              <w:ind w:right="-109"/>
              <w:rPr>
                <w:sz w:val="22"/>
                <w:szCs w:val="22"/>
                <w:lang w:val="sl-SI"/>
              </w:rPr>
            </w:pPr>
            <w:r w:rsidRPr="00AC2CE7">
              <w:rPr>
                <w:noProof/>
                <w:sz w:val="22"/>
                <w:szCs w:val="22"/>
                <w:lang w:val="sl-SI" w:eastAsia="sl-SI"/>
              </w:rPr>
              <w:t xml:space="preserve">     </w:t>
            </w:r>
            <w:r w:rsidRPr="00AC2CE7">
              <w:rPr>
                <w:sz w:val="22"/>
                <w:szCs w:val="22"/>
              </w:rPr>
              <w:object w:dxaOrig="2748" w:dyaOrig="4668" w14:anchorId="18B77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pt;height:288.5pt" o:ole="">
                  <v:imagedata r:id="rId8" o:title=""/>
                </v:shape>
                <o:OLEObject Type="Embed" ProgID="PBrush" ShapeID="_x0000_i1025" DrawAspect="Content" ObjectID="_1803195089" r:id="rId9"/>
              </w:object>
            </w:r>
          </w:p>
        </w:tc>
        <w:tc>
          <w:tcPr>
            <w:tcW w:w="769" w:type="pct"/>
            <w:tcBorders>
              <w:top w:val="single" w:sz="4" w:space="0" w:color="auto"/>
              <w:left w:val="single" w:sz="4" w:space="0" w:color="auto"/>
              <w:bottom w:val="single" w:sz="4" w:space="0" w:color="auto"/>
              <w:right w:val="single" w:sz="4" w:space="0" w:color="auto"/>
            </w:tcBorders>
            <w:hideMark/>
          </w:tcPr>
          <w:p w14:paraId="4BEE8C14" w14:textId="77777777" w:rsidR="00AC2CE7" w:rsidRPr="00AC2CE7" w:rsidRDefault="00AC2CE7" w:rsidP="00E07BDF">
            <w:pPr>
              <w:rPr>
                <w:b/>
                <w:sz w:val="22"/>
                <w:szCs w:val="22"/>
                <w:lang w:val="sl-SI"/>
              </w:rPr>
            </w:pPr>
            <w:r w:rsidRPr="00AC2CE7">
              <w:rPr>
                <w:b/>
                <w:sz w:val="22"/>
                <w:szCs w:val="22"/>
                <w:lang w:val="sl-SI"/>
              </w:rPr>
              <w:t>RR (95 % Cl)</w:t>
            </w:r>
          </w:p>
        </w:tc>
      </w:tr>
      <w:tr w:rsidR="00AC2CE7" w:rsidRPr="00AC2CE7" w14:paraId="330C0A3D" w14:textId="77777777" w:rsidTr="00AC2CE7">
        <w:trPr>
          <w:cantSplit/>
          <w:trHeight w:val="203"/>
        </w:trPr>
        <w:tc>
          <w:tcPr>
            <w:tcW w:w="2690" w:type="pct"/>
            <w:gridSpan w:val="3"/>
            <w:tcBorders>
              <w:top w:val="single" w:sz="4" w:space="0" w:color="auto"/>
              <w:left w:val="single" w:sz="4" w:space="0" w:color="auto"/>
              <w:bottom w:val="single" w:sz="4" w:space="0" w:color="auto"/>
              <w:right w:val="single" w:sz="4" w:space="0" w:color="auto"/>
            </w:tcBorders>
            <w:hideMark/>
          </w:tcPr>
          <w:p w14:paraId="780FD13B" w14:textId="77777777" w:rsidR="00AC2CE7" w:rsidRPr="00AC2CE7" w:rsidRDefault="00AC2CE7" w:rsidP="00E07BDF">
            <w:pPr>
              <w:rPr>
                <w:b/>
                <w:sz w:val="22"/>
                <w:szCs w:val="22"/>
                <w:lang w:val="sl-SI"/>
              </w:rPr>
            </w:pPr>
            <w:r w:rsidRPr="00AC2CE7">
              <w:rPr>
                <w:b/>
                <w:sz w:val="22"/>
                <w:szCs w:val="22"/>
                <w:lang w:val="sl-SI"/>
              </w:rPr>
              <w:t>Ingen ilt (x</w:t>
            </w:r>
            <w:r w:rsidRPr="00AC2CE7">
              <w:rPr>
                <w:b/>
                <w:sz w:val="22"/>
                <w:szCs w:val="22"/>
                <w:vertAlign w:val="subscript"/>
                <w:lang w:val="sl-SI"/>
              </w:rPr>
              <w:t>1</w:t>
            </w:r>
            <w:r w:rsidRPr="00AC2CE7">
              <w:rPr>
                <w:b/>
                <w:sz w:val="22"/>
                <w:szCs w:val="22"/>
                <w:vertAlign w:val="superscript"/>
                <w:lang w:val="sl-SI"/>
              </w:rPr>
              <w:t>2</w:t>
            </w:r>
            <w:r w:rsidRPr="00AC2CE7">
              <w:rPr>
                <w:b/>
                <w:sz w:val="22"/>
                <w:szCs w:val="22"/>
                <w:lang w:val="sl-SI"/>
              </w:rPr>
              <w:t>= 0,70; p=0,40)</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11DAB3EE"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tcPr>
          <w:p w14:paraId="0E356FBB" w14:textId="77777777" w:rsidR="00AC2CE7" w:rsidRPr="00AC2CE7" w:rsidRDefault="00AC2CE7" w:rsidP="00E07BDF">
            <w:pPr>
              <w:rPr>
                <w:sz w:val="22"/>
                <w:szCs w:val="22"/>
                <w:lang w:val="sl-SI"/>
              </w:rPr>
            </w:pPr>
          </w:p>
        </w:tc>
      </w:tr>
      <w:tr w:rsidR="00AC2CE7" w:rsidRPr="00AC2CE7" w14:paraId="53B2F070" w14:textId="77777777" w:rsidTr="00AC2CE7">
        <w:trPr>
          <w:cantSplit/>
          <w:trHeight w:val="718"/>
        </w:trPr>
        <w:tc>
          <w:tcPr>
            <w:tcW w:w="761" w:type="pct"/>
            <w:tcBorders>
              <w:top w:val="single" w:sz="4" w:space="0" w:color="auto"/>
              <w:left w:val="single" w:sz="4" w:space="0" w:color="auto"/>
              <w:bottom w:val="single" w:sz="4" w:space="0" w:color="auto"/>
              <w:right w:val="single" w:sz="4" w:space="0" w:color="auto"/>
            </w:tcBorders>
            <w:hideMark/>
          </w:tcPr>
          <w:p w14:paraId="6FF18D90" w14:textId="77777777" w:rsidR="00AC2CE7" w:rsidRPr="00AC2CE7" w:rsidRDefault="00AC2CE7" w:rsidP="00E07BDF">
            <w:pPr>
              <w:rPr>
                <w:sz w:val="22"/>
                <w:szCs w:val="22"/>
                <w:lang w:val="sl-SI"/>
              </w:rPr>
            </w:pPr>
            <w:r w:rsidRPr="00AC2CE7">
              <w:rPr>
                <w:sz w:val="22"/>
                <w:szCs w:val="22"/>
                <w:lang w:val="sl-SI"/>
              </w:rPr>
              <w:t xml:space="preserve">&lt;70 </w:t>
            </w:r>
          </w:p>
          <w:p w14:paraId="20D0D17D" w14:textId="77777777" w:rsidR="00AC2CE7" w:rsidRPr="00AC2CE7" w:rsidRDefault="00AC2CE7" w:rsidP="00E07BDF">
            <w:pPr>
              <w:rPr>
                <w:sz w:val="22"/>
                <w:szCs w:val="22"/>
                <w:lang w:val="sl-SI"/>
              </w:rPr>
            </w:pPr>
            <w:r w:rsidRPr="00AC2CE7">
              <w:rPr>
                <w:sz w:val="22"/>
                <w:szCs w:val="22"/>
                <w:lang w:val="sl-SI"/>
              </w:rPr>
              <w:t xml:space="preserve">≥70 &lt;80 </w:t>
            </w:r>
          </w:p>
          <w:p w14:paraId="06016BC6" w14:textId="77777777" w:rsidR="00AC2CE7" w:rsidRPr="00AC2CE7" w:rsidRDefault="00AC2CE7" w:rsidP="00E07BDF">
            <w:pPr>
              <w:rPr>
                <w:sz w:val="22"/>
                <w:szCs w:val="22"/>
                <w:lang w:val="sl-SI"/>
              </w:rPr>
            </w:pPr>
            <w:r w:rsidRPr="00AC2CE7">
              <w:rPr>
                <w:sz w:val="22"/>
                <w:szCs w:val="22"/>
                <w:lang w:val="sl-SI"/>
              </w:rPr>
              <w:t xml:space="preserve">≥80 </w:t>
            </w:r>
          </w:p>
          <w:p w14:paraId="7F9049B7" w14:textId="77777777" w:rsidR="00AC2CE7" w:rsidRPr="00AC2CE7" w:rsidRDefault="00AC2CE7" w:rsidP="00E07BDF">
            <w:pPr>
              <w:rPr>
                <w:b/>
                <w:sz w:val="22"/>
                <w:szCs w:val="22"/>
                <w:lang w:val="sl-SI"/>
              </w:rPr>
            </w:pPr>
            <w:r w:rsidRPr="00AC2CE7">
              <w:rPr>
                <w:b/>
                <w:sz w:val="22"/>
                <w:szCs w:val="22"/>
                <w:lang w:val="sl-SI"/>
              </w:rPr>
              <w:t xml:space="preserve">Subtotal </w:t>
            </w:r>
          </w:p>
        </w:tc>
        <w:tc>
          <w:tcPr>
            <w:tcW w:w="927" w:type="pct"/>
            <w:tcBorders>
              <w:top w:val="single" w:sz="4" w:space="0" w:color="auto"/>
              <w:left w:val="single" w:sz="4" w:space="0" w:color="auto"/>
              <w:bottom w:val="single" w:sz="4" w:space="0" w:color="auto"/>
              <w:right w:val="single" w:sz="4" w:space="0" w:color="auto"/>
            </w:tcBorders>
            <w:hideMark/>
          </w:tcPr>
          <w:p w14:paraId="5D68F9EC" w14:textId="77777777" w:rsidR="00AC2CE7" w:rsidRPr="00AC2CE7" w:rsidRDefault="00AC2CE7" w:rsidP="00E07BDF">
            <w:pPr>
              <w:jc w:val="right"/>
              <w:rPr>
                <w:sz w:val="22"/>
                <w:szCs w:val="22"/>
                <w:lang w:val="sl-SI"/>
              </w:rPr>
            </w:pPr>
            <w:r w:rsidRPr="00AC2CE7">
              <w:rPr>
                <w:sz w:val="22"/>
                <w:szCs w:val="22"/>
                <w:lang w:val="sl-SI"/>
              </w:rPr>
              <w:t>10/197 (5,1 %)</w:t>
            </w:r>
          </w:p>
          <w:p w14:paraId="1F48CA19" w14:textId="77777777" w:rsidR="00AC2CE7" w:rsidRPr="00AC2CE7" w:rsidRDefault="00AC2CE7" w:rsidP="00E07BDF">
            <w:pPr>
              <w:jc w:val="right"/>
              <w:rPr>
                <w:sz w:val="22"/>
                <w:szCs w:val="22"/>
                <w:lang w:val="sl-SI"/>
              </w:rPr>
            </w:pPr>
            <w:r w:rsidRPr="00AC2CE7">
              <w:rPr>
                <w:sz w:val="22"/>
                <w:szCs w:val="22"/>
                <w:lang w:val="sl-SI"/>
              </w:rPr>
              <w:t>25/114 (21,9 %)</w:t>
            </w:r>
          </w:p>
          <w:p w14:paraId="467DE21F" w14:textId="77777777" w:rsidR="00AC2CE7" w:rsidRPr="00AC2CE7" w:rsidRDefault="00AC2CE7" w:rsidP="00E07BDF">
            <w:pPr>
              <w:jc w:val="right"/>
              <w:rPr>
                <w:sz w:val="22"/>
                <w:szCs w:val="22"/>
                <w:lang w:val="sl-SI"/>
              </w:rPr>
            </w:pPr>
            <w:r w:rsidRPr="00AC2CE7">
              <w:rPr>
                <w:sz w:val="22"/>
                <w:szCs w:val="22"/>
                <w:lang w:val="sl-SI"/>
              </w:rPr>
              <w:t>54/190 (28,4 %)</w:t>
            </w:r>
          </w:p>
          <w:p w14:paraId="66588C36" w14:textId="77777777" w:rsidR="00AC2CE7" w:rsidRPr="00AC2CE7" w:rsidRDefault="00AC2CE7" w:rsidP="00E07BDF">
            <w:pPr>
              <w:jc w:val="right"/>
              <w:rPr>
                <w:b/>
                <w:sz w:val="22"/>
                <w:szCs w:val="22"/>
                <w:lang w:val="sl-SI"/>
              </w:rPr>
            </w:pPr>
            <w:r w:rsidRPr="00AC2CE7">
              <w:rPr>
                <w:b/>
                <w:sz w:val="22"/>
                <w:szCs w:val="22"/>
                <w:lang w:val="sl-SI"/>
              </w:rPr>
              <w:t>89/501 (17,8 %)</w:t>
            </w:r>
          </w:p>
        </w:tc>
        <w:tc>
          <w:tcPr>
            <w:tcW w:w="1002" w:type="pct"/>
            <w:tcBorders>
              <w:top w:val="single" w:sz="4" w:space="0" w:color="auto"/>
              <w:left w:val="single" w:sz="4" w:space="0" w:color="auto"/>
              <w:bottom w:val="single" w:sz="4" w:space="0" w:color="auto"/>
              <w:right w:val="single" w:sz="4" w:space="0" w:color="auto"/>
            </w:tcBorders>
            <w:hideMark/>
          </w:tcPr>
          <w:p w14:paraId="6E07E25C" w14:textId="77777777" w:rsidR="00AC2CE7" w:rsidRPr="00AC2CE7" w:rsidRDefault="00AC2CE7" w:rsidP="00E07BDF">
            <w:pPr>
              <w:jc w:val="right"/>
              <w:rPr>
                <w:sz w:val="22"/>
                <w:szCs w:val="22"/>
                <w:lang w:val="sl-SI"/>
              </w:rPr>
            </w:pPr>
            <w:r w:rsidRPr="00AC2CE7">
              <w:rPr>
                <w:sz w:val="22"/>
                <w:szCs w:val="22"/>
                <w:lang w:val="sl-SI"/>
              </w:rPr>
              <w:t>18/462 (3,9 %)</w:t>
            </w:r>
          </w:p>
          <w:p w14:paraId="3F83CF18" w14:textId="77777777" w:rsidR="00AC2CE7" w:rsidRPr="00AC2CE7" w:rsidRDefault="00AC2CE7" w:rsidP="00E07BDF">
            <w:pPr>
              <w:jc w:val="right"/>
              <w:rPr>
                <w:sz w:val="22"/>
                <w:szCs w:val="22"/>
                <w:lang w:val="sl-SI"/>
              </w:rPr>
            </w:pPr>
            <w:r w:rsidRPr="00AC2CE7">
              <w:rPr>
                <w:sz w:val="22"/>
                <w:szCs w:val="22"/>
                <w:lang w:val="sl-SI"/>
              </w:rPr>
              <w:t>35/224 (15,6 %)</w:t>
            </w:r>
          </w:p>
          <w:p w14:paraId="3EACA64F" w14:textId="77777777" w:rsidR="00AC2CE7" w:rsidRPr="00AC2CE7" w:rsidRDefault="00AC2CE7" w:rsidP="00E07BDF">
            <w:pPr>
              <w:jc w:val="right"/>
              <w:rPr>
                <w:sz w:val="22"/>
                <w:szCs w:val="22"/>
                <w:lang w:val="sl-SI"/>
              </w:rPr>
            </w:pPr>
            <w:r w:rsidRPr="00AC2CE7">
              <w:rPr>
                <w:sz w:val="22"/>
                <w:szCs w:val="22"/>
                <w:lang w:val="sl-SI"/>
              </w:rPr>
              <w:t>92/348 (26,4 %)</w:t>
            </w:r>
          </w:p>
          <w:p w14:paraId="0074EF55" w14:textId="77777777" w:rsidR="00AC2CE7" w:rsidRPr="00AC2CE7" w:rsidRDefault="00AC2CE7" w:rsidP="00E07BDF">
            <w:pPr>
              <w:jc w:val="right"/>
              <w:rPr>
                <w:b/>
                <w:sz w:val="22"/>
                <w:szCs w:val="22"/>
                <w:lang w:val="sl-SI"/>
              </w:rPr>
            </w:pPr>
            <w:r w:rsidRPr="00AC2CE7">
              <w:rPr>
                <w:b/>
                <w:sz w:val="22"/>
                <w:szCs w:val="22"/>
                <w:lang w:val="sl-SI"/>
              </w:rPr>
              <w:t>145/1.034 (14,0 %)</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210E400F"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hideMark/>
          </w:tcPr>
          <w:p w14:paraId="3ABC516C" w14:textId="77777777" w:rsidR="00AC2CE7" w:rsidRPr="00AC2CE7" w:rsidRDefault="00AC2CE7" w:rsidP="00E07BDF">
            <w:pPr>
              <w:rPr>
                <w:sz w:val="22"/>
                <w:szCs w:val="22"/>
                <w:lang w:val="sl-SI"/>
              </w:rPr>
            </w:pPr>
            <w:r w:rsidRPr="00AC2CE7">
              <w:rPr>
                <w:sz w:val="22"/>
                <w:szCs w:val="22"/>
                <w:lang w:val="sl-SI"/>
              </w:rPr>
              <w:t>1,31 (0,60</w:t>
            </w:r>
            <w:r w:rsidRPr="00AC2CE7">
              <w:rPr>
                <w:sz w:val="22"/>
                <w:szCs w:val="22"/>
                <w:lang w:val="sl-SI"/>
              </w:rPr>
              <w:noBreakHyphen/>
              <w:t>2,83)</w:t>
            </w:r>
          </w:p>
          <w:p w14:paraId="658C76A2" w14:textId="77777777" w:rsidR="00AC2CE7" w:rsidRPr="00AC2CE7" w:rsidRDefault="00AC2CE7" w:rsidP="00E07BDF">
            <w:pPr>
              <w:rPr>
                <w:sz w:val="22"/>
                <w:szCs w:val="22"/>
                <w:lang w:val="sl-SI"/>
              </w:rPr>
            </w:pPr>
            <w:r w:rsidRPr="00AC2CE7">
              <w:rPr>
                <w:sz w:val="22"/>
                <w:szCs w:val="22"/>
                <w:lang w:val="sl-SI"/>
              </w:rPr>
              <w:t>1,46 (0,88</w:t>
            </w:r>
            <w:r w:rsidRPr="00AC2CE7">
              <w:rPr>
                <w:sz w:val="22"/>
                <w:szCs w:val="22"/>
                <w:lang w:val="sl-SI"/>
              </w:rPr>
              <w:noBreakHyphen/>
              <w:t>2,45)</w:t>
            </w:r>
          </w:p>
          <w:p w14:paraId="58B017A4" w14:textId="77777777" w:rsidR="00AC2CE7" w:rsidRPr="00AC2CE7" w:rsidRDefault="00AC2CE7" w:rsidP="00E07BDF">
            <w:pPr>
              <w:rPr>
                <w:sz w:val="22"/>
                <w:szCs w:val="22"/>
                <w:lang w:val="sl-SI"/>
              </w:rPr>
            </w:pPr>
            <w:r w:rsidRPr="00AC2CE7">
              <w:rPr>
                <w:sz w:val="22"/>
                <w:szCs w:val="22"/>
                <w:lang w:val="sl-SI"/>
              </w:rPr>
              <w:t>1,06 (0,76</w:t>
            </w:r>
            <w:r w:rsidRPr="00AC2CE7">
              <w:rPr>
                <w:sz w:val="22"/>
                <w:szCs w:val="22"/>
                <w:lang w:val="sl-SI"/>
              </w:rPr>
              <w:noBreakHyphen/>
              <w:t>1,49)</w:t>
            </w:r>
          </w:p>
          <w:p w14:paraId="7687D2E7" w14:textId="77777777" w:rsidR="00AC2CE7" w:rsidRPr="00AC2CE7" w:rsidRDefault="00AC2CE7" w:rsidP="00E07BDF">
            <w:pPr>
              <w:rPr>
                <w:b/>
                <w:sz w:val="22"/>
                <w:szCs w:val="22"/>
                <w:lang w:val="sl-SI"/>
              </w:rPr>
            </w:pPr>
            <w:r w:rsidRPr="00AC2CE7">
              <w:rPr>
                <w:b/>
                <w:sz w:val="22"/>
                <w:szCs w:val="22"/>
                <w:lang w:val="sl-SI"/>
              </w:rPr>
              <w:t>1,19 (0,91</w:t>
            </w:r>
            <w:r w:rsidRPr="00AC2CE7">
              <w:rPr>
                <w:b/>
                <w:sz w:val="22"/>
                <w:szCs w:val="22"/>
                <w:lang w:val="sl-SI"/>
              </w:rPr>
              <w:noBreakHyphen/>
              <w:t>1,55)</w:t>
            </w:r>
          </w:p>
        </w:tc>
      </w:tr>
      <w:tr w:rsidR="00AC2CE7" w:rsidRPr="00AC2CE7" w14:paraId="527E4B5F" w14:textId="77777777" w:rsidTr="00AC2CE7">
        <w:trPr>
          <w:cantSplit/>
          <w:trHeight w:val="213"/>
        </w:trPr>
        <w:tc>
          <w:tcPr>
            <w:tcW w:w="2690" w:type="pct"/>
            <w:gridSpan w:val="3"/>
            <w:tcBorders>
              <w:top w:val="single" w:sz="4" w:space="0" w:color="auto"/>
              <w:left w:val="single" w:sz="4" w:space="0" w:color="auto"/>
              <w:bottom w:val="single" w:sz="4" w:space="0" w:color="auto"/>
              <w:right w:val="single" w:sz="4" w:space="0" w:color="auto"/>
            </w:tcBorders>
            <w:hideMark/>
          </w:tcPr>
          <w:p w14:paraId="12BED0BB" w14:textId="77777777" w:rsidR="00AC2CE7" w:rsidRPr="00AC2CE7" w:rsidRDefault="00AC2CE7" w:rsidP="00E07BDF">
            <w:pPr>
              <w:rPr>
                <w:b/>
                <w:sz w:val="22"/>
                <w:szCs w:val="22"/>
                <w:lang w:val="sl-SI"/>
              </w:rPr>
            </w:pPr>
            <w:r w:rsidRPr="00AC2CE7">
              <w:rPr>
                <w:b/>
                <w:sz w:val="22"/>
                <w:szCs w:val="22"/>
                <w:lang w:val="sl-SI"/>
              </w:rPr>
              <w:t>Kun ilt (x</w:t>
            </w:r>
            <w:r w:rsidRPr="00AC2CE7">
              <w:rPr>
                <w:b/>
                <w:sz w:val="22"/>
                <w:szCs w:val="22"/>
                <w:vertAlign w:val="subscript"/>
                <w:lang w:val="sl-SI"/>
              </w:rPr>
              <w:t>1</w:t>
            </w:r>
            <w:r w:rsidRPr="00AC2CE7">
              <w:rPr>
                <w:b/>
                <w:sz w:val="22"/>
                <w:szCs w:val="22"/>
                <w:vertAlign w:val="superscript"/>
                <w:lang w:val="sl-SI"/>
              </w:rPr>
              <w:t>2</w:t>
            </w:r>
            <w:r w:rsidRPr="00AC2CE7">
              <w:rPr>
                <w:b/>
                <w:sz w:val="22"/>
                <w:szCs w:val="22"/>
                <w:lang w:val="sl-SI"/>
              </w:rPr>
              <w:t>= 2,54; p=0,11)</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3D5A59D2"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tcPr>
          <w:p w14:paraId="4E34967E" w14:textId="77777777" w:rsidR="00AC2CE7" w:rsidRPr="00AC2CE7" w:rsidRDefault="00AC2CE7" w:rsidP="00E07BDF">
            <w:pPr>
              <w:rPr>
                <w:sz w:val="22"/>
                <w:szCs w:val="22"/>
                <w:lang w:val="sl-SI"/>
              </w:rPr>
            </w:pPr>
          </w:p>
        </w:tc>
      </w:tr>
      <w:tr w:rsidR="00AC2CE7" w:rsidRPr="00AC2CE7" w14:paraId="025BE361" w14:textId="77777777" w:rsidTr="00AC2CE7">
        <w:trPr>
          <w:cantSplit/>
          <w:trHeight w:val="653"/>
        </w:trPr>
        <w:tc>
          <w:tcPr>
            <w:tcW w:w="761" w:type="pct"/>
            <w:tcBorders>
              <w:top w:val="single" w:sz="4" w:space="0" w:color="auto"/>
              <w:left w:val="single" w:sz="4" w:space="0" w:color="auto"/>
              <w:bottom w:val="single" w:sz="4" w:space="0" w:color="auto"/>
              <w:right w:val="single" w:sz="4" w:space="0" w:color="auto"/>
            </w:tcBorders>
          </w:tcPr>
          <w:p w14:paraId="521E4F0E" w14:textId="77777777" w:rsidR="00AC2CE7" w:rsidRPr="00AC2CE7" w:rsidRDefault="00AC2CE7" w:rsidP="00E07BDF">
            <w:pPr>
              <w:rPr>
                <w:sz w:val="22"/>
                <w:szCs w:val="22"/>
                <w:lang w:val="sl-SI"/>
              </w:rPr>
            </w:pPr>
            <w:r w:rsidRPr="00AC2CE7">
              <w:rPr>
                <w:sz w:val="22"/>
                <w:szCs w:val="22"/>
                <w:lang w:val="sl-SI"/>
              </w:rPr>
              <w:t xml:space="preserve">&lt;70 </w:t>
            </w:r>
          </w:p>
          <w:p w14:paraId="6FCBBA3A" w14:textId="77777777" w:rsidR="00AC2CE7" w:rsidRPr="00AC2CE7" w:rsidRDefault="00AC2CE7" w:rsidP="00E07BDF">
            <w:pPr>
              <w:rPr>
                <w:sz w:val="22"/>
                <w:szCs w:val="22"/>
                <w:lang w:val="sl-SI"/>
              </w:rPr>
            </w:pPr>
            <w:r w:rsidRPr="00AC2CE7">
              <w:rPr>
                <w:sz w:val="22"/>
                <w:szCs w:val="22"/>
                <w:lang w:val="sl-SI"/>
              </w:rPr>
              <w:t xml:space="preserve">≥70 &lt;80 </w:t>
            </w:r>
          </w:p>
          <w:p w14:paraId="75B443B8" w14:textId="77777777" w:rsidR="00AC2CE7" w:rsidRPr="00AC2CE7" w:rsidRDefault="00AC2CE7" w:rsidP="00E07BDF">
            <w:pPr>
              <w:rPr>
                <w:sz w:val="22"/>
                <w:szCs w:val="22"/>
                <w:lang w:val="sl-SI"/>
              </w:rPr>
            </w:pPr>
            <w:r w:rsidRPr="00AC2CE7">
              <w:rPr>
                <w:sz w:val="22"/>
                <w:szCs w:val="22"/>
                <w:lang w:val="sl-SI"/>
              </w:rPr>
              <w:t xml:space="preserve">≥80 </w:t>
            </w:r>
          </w:p>
          <w:p w14:paraId="1F96E567" w14:textId="77777777" w:rsidR="00AC2CE7" w:rsidRPr="00AC2CE7" w:rsidRDefault="00AC2CE7" w:rsidP="00E07BDF">
            <w:pPr>
              <w:rPr>
                <w:b/>
                <w:sz w:val="22"/>
                <w:szCs w:val="22"/>
                <w:lang w:val="sl-SI"/>
              </w:rPr>
            </w:pPr>
            <w:r w:rsidRPr="00AC2CE7">
              <w:rPr>
                <w:b/>
                <w:sz w:val="22"/>
                <w:szCs w:val="22"/>
                <w:lang w:val="sl-SI"/>
              </w:rPr>
              <w:t>Subtotal</w:t>
            </w:r>
          </w:p>
          <w:p w14:paraId="7AEB681F" w14:textId="77777777" w:rsidR="00AC2CE7" w:rsidRPr="00AC2CE7" w:rsidRDefault="00AC2CE7" w:rsidP="00E07BDF">
            <w:pPr>
              <w:rPr>
                <w:sz w:val="22"/>
                <w:szCs w:val="22"/>
                <w:lang w:val="sl-SI"/>
              </w:rPr>
            </w:pPr>
          </w:p>
        </w:tc>
        <w:tc>
          <w:tcPr>
            <w:tcW w:w="927" w:type="pct"/>
            <w:tcBorders>
              <w:top w:val="single" w:sz="4" w:space="0" w:color="auto"/>
              <w:left w:val="single" w:sz="4" w:space="0" w:color="auto"/>
              <w:bottom w:val="single" w:sz="4" w:space="0" w:color="auto"/>
              <w:right w:val="single" w:sz="4" w:space="0" w:color="auto"/>
            </w:tcBorders>
            <w:hideMark/>
          </w:tcPr>
          <w:p w14:paraId="340666F2" w14:textId="77777777" w:rsidR="00AC2CE7" w:rsidRPr="00AC2CE7" w:rsidRDefault="00AC2CE7" w:rsidP="00E07BDF">
            <w:pPr>
              <w:jc w:val="right"/>
              <w:rPr>
                <w:sz w:val="22"/>
                <w:szCs w:val="22"/>
                <w:lang w:val="sl-SI"/>
              </w:rPr>
            </w:pPr>
            <w:r w:rsidRPr="00AC2CE7">
              <w:rPr>
                <w:sz w:val="22"/>
                <w:szCs w:val="22"/>
                <w:lang w:val="sl-SI"/>
              </w:rPr>
              <w:t>53/675 (7,9 %)</w:t>
            </w:r>
          </w:p>
          <w:p w14:paraId="74A82B27" w14:textId="77777777" w:rsidR="00AC2CE7" w:rsidRPr="00AC2CE7" w:rsidRDefault="00AC2CE7" w:rsidP="00E07BDF">
            <w:pPr>
              <w:jc w:val="right"/>
              <w:rPr>
                <w:sz w:val="22"/>
                <w:szCs w:val="22"/>
                <w:lang w:val="sl-SI"/>
              </w:rPr>
            </w:pPr>
            <w:r w:rsidRPr="00AC2CE7">
              <w:rPr>
                <w:sz w:val="22"/>
                <w:szCs w:val="22"/>
                <w:lang w:val="sl-SI"/>
              </w:rPr>
              <w:t>104/306 (34,0 %)</w:t>
            </w:r>
          </w:p>
          <w:p w14:paraId="728C5DD1" w14:textId="77777777" w:rsidR="00AC2CE7" w:rsidRPr="00AC2CE7" w:rsidRDefault="00AC2CE7" w:rsidP="00E07BDF">
            <w:pPr>
              <w:jc w:val="right"/>
              <w:rPr>
                <w:sz w:val="22"/>
                <w:szCs w:val="22"/>
                <w:lang w:val="sl-SI"/>
              </w:rPr>
            </w:pPr>
            <w:r w:rsidRPr="00AC2CE7">
              <w:rPr>
                <w:sz w:val="22"/>
                <w:szCs w:val="22"/>
                <w:lang w:val="sl-SI"/>
              </w:rPr>
              <w:t>141/298 (47,3 %)</w:t>
            </w:r>
          </w:p>
          <w:p w14:paraId="0DF81570" w14:textId="77777777" w:rsidR="00AC2CE7" w:rsidRPr="00AC2CE7" w:rsidRDefault="00AC2CE7" w:rsidP="00E07BDF">
            <w:pPr>
              <w:jc w:val="right"/>
              <w:rPr>
                <w:b/>
                <w:bCs/>
                <w:sz w:val="22"/>
                <w:szCs w:val="22"/>
                <w:lang w:val="sl-SI"/>
              </w:rPr>
            </w:pPr>
            <w:r w:rsidRPr="00AC2CE7">
              <w:rPr>
                <w:b/>
                <w:bCs/>
                <w:sz w:val="22"/>
                <w:szCs w:val="22"/>
                <w:lang w:val="sl-SI"/>
              </w:rPr>
              <w:t>298/1.279 (23.3 %)</w:t>
            </w:r>
          </w:p>
        </w:tc>
        <w:tc>
          <w:tcPr>
            <w:tcW w:w="1002" w:type="pct"/>
            <w:tcBorders>
              <w:top w:val="single" w:sz="4" w:space="0" w:color="auto"/>
              <w:left w:val="single" w:sz="4" w:space="0" w:color="auto"/>
              <w:bottom w:val="single" w:sz="4" w:space="0" w:color="auto"/>
              <w:right w:val="single" w:sz="4" w:space="0" w:color="auto"/>
            </w:tcBorders>
            <w:hideMark/>
          </w:tcPr>
          <w:p w14:paraId="015B1C91" w14:textId="77777777" w:rsidR="00AC2CE7" w:rsidRPr="00AC2CE7" w:rsidRDefault="00AC2CE7" w:rsidP="00E07BDF">
            <w:pPr>
              <w:jc w:val="right"/>
              <w:rPr>
                <w:sz w:val="22"/>
                <w:szCs w:val="22"/>
                <w:lang w:val="sl-SI"/>
              </w:rPr>
            </w:pPr>
            <w:r w:rsidRPr="00AC2CE7">
              <w:rPr>
                <w:sz w:val="22"/>
                <w:szCs w:val="22"/>
                <w:lang w:val="sl-SI"/>
              </w:rPr>
              <w:t>193/1.473 (13,1 %)</w:t>
            </w:r>
          </w:p>
          <w:p w14:paraId="1F63A6F7" w14:textId="77777777" w:rsidR="00AC2CE7" w:rsidRPr="00AC2CE7" w:rsidRDefault="00AC2CE7" w:rsidP="00E07BDF">
            <w:pPr>
              <w:jc w:val="right"/>
              <w:rPr>
                <w:sz w:val="22"/>
                <w:szCs w:val="22"/>
                <w:lang w:val="sl-SI"/>
              </w:rPr>
            </w:pPr>
            <w:r w:rsidRPr="00AC2CE7">
              <w:rPr>
                <w:sz w:val="22"/>
                <w:szCs w:val="22"/>
                <w:lang w:val="sl-SI"/>
              </w:rPr>
              <w:t>178/531 (33,5 %)</w:t>
            </w:r>
          </w:p>
          <w:p w14:paraId="4D0925BA" w14:textId="77777777" w:rsidR="00AC2CE7" w:rsidRPr="00AC2CE7" w:rsidRDefault="00AC2CE7" w:rsidP="00E07BDF">
            <w:pPr>
              <w:jc w:val="right"/>
              <w:rPr>
                <w:sz w:val="22"/>
                <w:szCs w:val="22"/>
                <w:lang w:val="sl-SI"/>
              </w:rPr>
            </w:pPr>
            <w:r w:rsidRPr="00AC2CE7">
              <w:rPr>
                <w:sz w:val="22"/>
                <w:szCs w:val="22"/>
                <w:lang w:val="sl-SI"/>
              </w:rPr>
              <w:t>311/600 (51,8 %)</w:t>
            </w:r>
          </w:p>
          <w:p w14:paraId="72F9274C" w14:textId="77777777" w:rsidR="00AC2CE7" w:rsidRPr="00AC2CE7" w:rsidRDefault="00AC2CE7" w:rsidP="00E07BDF">
            <w:pPr>
              <w:jc w:val="right"/>
              <w:rPr>
                <w:b/>
                <w:sz w:val="22"/>
                <w:szCs w:val="22"/>
                <w:lang w:val="sl-SI"/>
              </w:rPr>
            </w:pPr>
            <w:r w:rsidRPr="00AC2CE7">
              <w:rPr>
                <w:b/>
                <w:sz w:val="22"/>
                <w:szCs w:val="22"/>
                <w:lang w:val="sl-SI"/>
              </w:rPr>
              <w:t>682/2.604 (26,2 %)</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5B658525"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hideMark/>
          </w:tcPr>
          <w:p w14:paraId="60B1C411" w14:textId="77777777" w:rsidR="00AC2CE7" w:rsidRPr="00AC2CE7" w:rsidRDefault="00AC2CE7" w:rsidP="00E07BDF">
            <w:pPr>
              <w:rPr>
                <w:sz w:val="22"/>
                <w:szCs w:val="22"/>
                <w:lang w:val="sl-SI"/>
              </w:rPr>
            </w:pPr>
            <w:r w:rsidRPr="00AC2CE7">
              <w:rPr>
                <w:sz w:val="22"/>
                <w:szCs w:val="22"/>
                <w:lang w:val="sl-SI"/>
              </w:rPr>
              <w:t>0,58 (0,43</w:t>
            </w:r>
            <w:r w:rsidRPr="00AC2CE7">
              <w:rPr>
                <w:sz w:val="22"/>
                <w:szCs w:val="22"/>
                <w:lang w:val="sl-SI"/>
              </w:rPr>
              <w:noBreakHyphen/>
              <w:t>0,78)</w:t>
            </w:r>
          </w:p>
          <w:p w14:paraId="1EBBA209" w14:textId="77777777" w:rsidR="00AC2CE7" w:rsidRPr="00AC2CE7" w:rsidRDefault="00AC2CE7" w:rsidP="00E07BDF">
            <w:pPr>
              <w:rPr>
                <w:sz w:val="22"/>
                <w:szCs w:val="22"/>
                <w:lang w:val="sl-SI"/>
              </w:rPr>
            </w:pPr>
            <w:r w:rsidRPr="00AC2CE7">
              <w:rPr>
                <w:sz w:val="22"/>
                <w:szCs w:val="22"/>
                <w:lang w:val="sl-SI"/>
              </w:rPr>
              <w:t>0,98 (0,77</w:t>
            </w:r>
            <w:r w:rsidRPr="00AC2CE7">
              <w:rPr>
                <w:sz w:val="22"/>
                <w:szCs w:val="22"/>
                <w:lang w:val="sl-SI"/>
              </w:rPr>
              <w:noBreakHyphen/>
              <w:t>1,25)</w:t>
            </w:r>
          </w:p>
          <w:p w14:paraId="1F43EF4A" w14:textId="77777777" w:rsidR="00AC2CE7" w:rsidRPr="00AC2CE7" w:rsidRDefault="00AC2CE7" w:rsidP="00E07BDF">
            <w:pPr>
              <w:rPr>
                <w:sz w:val="22"/>
                <w:szCs w:val="22"/>
                <w:lang w:val="sl-SI"/>
              </w:rPr>
            </w:pPr>
            <w:r w:rsidRPr="00AC2CE7">
              <w:rPr>
                <w:sz w:val="22"/>
                <w:szCs w:val="22"/>
                <w:lang w:val="sl-SI"/>
              </w:rPr>
              <w:t>0,85 (0,70</w:t>
            </w:r>
            <w:r w:rsidRPr="00AC2CE7">
              <w:rPr>
                <w:sz w:val="22"/>
                <w:szCs w:val="22"/>
                <w:lang w:val="sl-SI"/>
              </w:rPr>
              <w:noBreakHyphen/>
              <w:t>1,04)</w:t>
            </w:r>
          </w:p>
          <w:p w14:paraId="0C3FB052" w14:textId="77777777" w:rsidR="00AC2CE7" w:rsidRPr="00AC2CE7" w:rsidRDefault="00AC2CE7" w:rsidP="00E07BDF">
            <w:pPr>
              <w:rPr>
                <w:b/>
                <w:sz w:val="22"/>
                <w:szCs w:val="22"/>
                <w:lang w:val="sl-SI"/>
              </w:rPr>
            </w:pPr>
            <w:r w:rsidRPr="00AC2CE7">
              <w:rPr>
                <w:b/>
                <w:sz w:val="22"/>
                <w:szCs w:val="22"/>
                <w:lang w:val="sl-SI"/>
              </w:rPr>
              <w:t>0,82 (0,72</w:t>
            </w:r>
            <w:r w:rsidRPr="00AC2CE7">
              <w:rPr>
                <w:b/>
                <w:sz w:val="22"/>
                <w:szCs w:val="22"/>
                <w:lang w:val="sl-SI"/>
              </w:rPr>
              <w:noBreakHyphen/>
              <w:t>0,94)</w:t>
            </w:r>
          </w:p>
        </w:tc>
      </w:tr>
      <w:tr w:rsidR="00AC2CE7" w:rsidRPr="00AC2CE7" w14:paraId="4CDACACD" w14:textId="77777777" w:rsidTr="00AC2CE7">
        <w:trPr>
          <w:cantSplit/>
          <w:trHeight w:val="212"/>
        </w:trPr>
        <w:tc>
          <w:tcPr>
            <w:tcW w:w="2690" w:type="pct"/>
            <w:gridSpan w:val="3"/>
            <w:tcBorders>
              <w:top w:val="single" w:sz="4" w:space="0" w:color="auto"/>
              <w:left w:val="single" w:sz="4" w:space="0" w:color="auto"/>
              <w:bottom w:val="single" w:sz="4" w:space="0" w:color="auto"/>
              <w:right w:val="single" w:sz="4" w:space="0" w:color="auto"/>
            </w:tcBorders>
            <w:hideMark/>
          </w:tcPr>
          <w:p w14:paraId="1A2EAC73" w14:textId="77777777" w:rsidR="00AC2CE7" w:rsidRPr="00AC2CE7" w:rsidRDefault="00AC2CE7" w:rsidP="00E07BDF">
            <w:pPr>
              <w:rPr>
                <w:b/>
                <w:sz w:val="22"/>
                <w:szCs w:val="22"/>
                <w:lang w:val="sl-SI"/>
              </w:rPr>
            </w:pPr>
            <w:r w:rsidRPr="00AC2CE7">
              <w:rPr>
                <w:b/>
                <w:sz w:val="22"/>
                <w:szCs w:val="22"/>
                <w:lang w:val="sl-SI"/>
              </w:rPr>
              <w:t>Mekanisk ventilation (x</w:t>
            </w:r>
            <w:r w:rsidRPr="00AC2CE7">
              <w:rPr>
                <w:b/>
                <w:sz w:val="22"/>
                <w:szCs w:val="22"/>
                <w:vertAlign w:val="subscript"/>
                <w:lang w:val="sl-SI"/>
              </w:rPr>
              <w:t>1</w:t>
            </w:r>
            <w:r w:rsidRPr="00AC2CE7">
              <w:rPr>
                <w:b/>
                <w:sz w:val="22"/>
                <w:szCs w:val="22"/>
                <w:vertAlign w:val="superscript"/>
                <w:lang w:val="sl-SI"/>
              </w:rPr>
              <w:t>2</w:t>
            </w:r>
            <w:r w:rsidRPr="00AC2CE7">
              <w:rPr>
                <w:b/>
                <w:sz w:val="22"/>
                <w:szCs w:val="22"/>
                <w:lang w:val="sl-SI"/>
              </w:rPr>
              <w:t>= 0,28; p=0,60)</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0B9A71B4"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tcPr>
          <w:p w14:paraId="3F08BA2B" w14:textId="77777777" w:rsidR="00AC2CE7" w:rsidRPr="00AC2CE7" w:rsidRDefault="00AC2CE7" w:rsidP="00E07BDF">
            <w:pPr>
              <w:rPr>
                <w:sz w:val="22"/>
                <w:szCs w:val="22"/>
                <w:lang w:val="sl-SI"/>
              </w:rPr>
            </w:pPr>
          </w:p>
        </w:tc>
      </w:tr>
      <w:tr w:rsidR="00AC2CE7" w:rsidRPr="00AC2CE7" w14:paraId="05B01896" w14:textId="77777777" w:rsidTr="00AC2CE7">
        <w:trPr>
          <w:cantSplit/>
          <w:trHeight w:val="1245"/>
        </w:trPr>
        <w:tc>
          <w:tcPr>
            <w:tcW w:w="761" w:type="pct"/>
            <w:tcBorders>
              <w:top w:val="single" w:sz="4" w:space="0" w:color="auto"/>
              <w:left w:val="single" w:sz="4" w:space="0" w:color="auto"/>
              <w:bottom w:val="single" w:sz="4" w:space="0" w:color="auto"/>
              <w:right w:val="single" w:sz="4" w:space="0" w:color="auto"/>
            </w:tcBorders>
          </w:tcPr>
          <w:p w14:paraId="00A309BF" w14:textId="77777777" w:rsidR="00AC2CE7" w:rsidRPr="00AC2CE7" w:rsidRDefault="00AC2CE7" w:rsidP="00E07BDF">
            <w:pPr>
              <w:rPr>
                <w:sz w:val="22"/>
                <w:szCs w:val="22"/>
                <w:lang w:val="sl-SI"/>
              </w:rPr>
            </w:pPr>
            <w:r w:rsidRPr="00AC2CE7">
              <w:rPr>
                <w:sz w:val="22"/>
                <w:szCs w:val="22"/>
                <w:lang w:val="sl-SI"/>
              </w:rPr>
              <w:t xml:space="preserve">&lt;70 </w:t>
            </w:r>
          </w:p>
          <w:p w14:paraId="09B98DC0" w14:textId="77777777" w:rsidR="00AC2CE7" w:rsidRPr="00AC2CE7" w:rsidRDefault="00AC2CE7" w:rsidP="00E07BDF">
            <w:pPr>
              <w:rPr>
                <w:sz w:val="22"/>
                <w:szCs w:val="22"/>
                <w:lang w:val="sl-SI"/>
              </w:rPr>
            </w:pPr>
            <w:r w:rsidRPr="00AC2CE7">
              <w:rPr>
                <w:sz w:val="22"/>
                <w:szCs w:val="22"/>
                <w:lang w:val="sl-SI"/>
              </w:rPr>
              <w:t xml:space="preserve">≥70 &lt;80 </w:t>
            </w:r>
          </w:p>
          <w:p w14:paraId="2E7FBC6B" w14:textId="77777777" w:rsidR="00AC2CE7" w:rsidRPr="00AC2CE7" w:rsidRDefault="00AC2CE7" w:rsidP="00E07BDF">
            <w:pPr>
              <w:rPr>
                <w:sz w:val="22"/>
                <w:szCs w:val="22"/>
                <w:lang w:val="sl-SI"/>
              </w:rPr>
            </w:pPr>
            <w:r w:rsidRPr="00AC2CE7">
              <w:rPr>
                <w:sz w:val="22"/>
                <w:szCs w:val="22"/>
                <w:lang w:val="sl-SI"/>
              </w:rPr>
              <w:t xml:space="preserve">≥80 </w:t>
            </w:r>
          </w:p>
          <w:p w14:paraId="756C26A7" w14:textId="77777777" w:rsidR="00AC2CE7" w:rsidRPr="00AC2CE7" w:rsidRDefault="00AC2CE7" w:rsidP="00E07BDF">
            <w:pPr>
              <w:rPr>
                <w:b/>
                <w:sz w:val="22"/>
                <w:szCs w:val="22"/>
                <w:lang w:val="sl-SI"/>
              </w:rPr>
            </w:pPr>
            <w:r w:rsidRPr="00AC2CE7">
              <w:rPr>
                <w:b/>
                <w:sz w:val="22"/>
                <w:szCs w:val="22"/>
                <w:lang w:val="sl-SI"/>
              </w:rPr>
              <w:t>Subtotal</w:t>
            </w:r>
          </w:p>
          <w:p w14:paraId="5113CBB1" w14:textId="77777777" w:rsidR="00AC2CE7" w:rsidRPr="00AC2CE7" w:rsidRDefault="00AC2CE7" w:rsidP="00E07BDF">
            <w:pPr>
              <w:rPr>
                <w:sz w:val="22"/>
                <w:szCs w:val="22"/>
                <w:lang w:val="sl-SI"/>
              </w:rPr>
            </w:pPr>
          </w:p>
        </w:tc>
        <w:tc>
          <w:tcPr>
            <w:tcW w:w="927" w:type="pct"/>
            <w:tcBorders>
              <w:top w:val="single" w:sz="4" w:space="0" w:color="auto"/>
              <w:left w:val="single" w:sz="4" w:space="0" w:color="auto"/>
              <w:bottom w:val="single" w:sz="4" w:space="0" w:color="auto"/>
              <w:right w:val="single" w:sz="4" w:space="0" w:color="auto"/>
            </w:tcBorders>
            <w:hideMark/>
          </w:tcPr>
          <w:p w14:paraId="7F7A20A3" w14:textId="77777777" w:rsidR="00AC2CE7" w:rsidRPr="00AC2CE7" w:rsidRDefault="00AC2CE7" w:rsidP="00E07BDF">
            <w:pPr>
              <w:jc w:val="right"/>
              <w:rPr>
                <w:sz w:val="22"/>
                <w:szCs w:val="22"/>
                <w:lang w:val="sl-SI"/>
              </w:rPr>
            </w:pPr>
            <w:r w:rsidRPr="00AC2CE7">
              <w:rPr>
                <w:sz w:val="22"/>
                <w:szCs w:val="22"/>
                <w:lang w:val="sl-SI"/>
              </w:rPr>
              <w:t>66/269 (24,5 %)</w:t>
            </w:r>
          </w:p>
          <w:p w14:paraId="0B42F72B" w14:textId="77777777" w:rsidR="00AC2CE7" w:rsidRPr="00AC2CE7" w:rsidRDefault="00AC2CE7" w:rsidP="00E07BDF">
            <w:pPr>
              <w:jc w:val="right"/>
              <w:rPr>
                <w:sz w:val="22"/>
                <w:szCs w:val="22"/>
                <w:lang w:val="sl-SI"/>
              </w:rPr>
            </w:pPr>
            <w:r w:rsidRPr="00AC2CE7">
              <w:rPr>
                <w:sz w:val="22"/>
                <w:szCs w:val="22"/>
                <w:lang w:val="sl-SI"/>
              </w:rPr>
              <w:t>26/49 (53,1 %)</w:t>
            </w:r>
          </w:p>
          <w:p w14:paraId="2310DA1B" w14:textId="77777777" w:rsidR="00AC2CE7" w:rsidRPr="00AC2CE7" w:rsidRDefault="00AC2CE7" w:rsidP="00E07BDF">
            <w:pPr>
              <w:jc w:val="right"/>
              <w:rPr>
                <w:sz w:val="22"/>
                <w:szCs w:val="22"/>
                <w:lang w:val="sl-SI"/>
              </w:rPr>
            </w:pPr>
            <w:r w:rsidRPr="00AC2CE7">
              <w:rPr>
                <w:sz w:val="22"/>
                <w:szCs w:val="22"/>
                <w:lang w:val="sl-SI"/>
              </w:rPr>
              <w:t>3/6 (50,0 %)</w:t>
            </w:r>
          </w:p>
          <w:p w14:paraId="588BFB19" w14:textId="77777777" w:rsidR="00AC2CE7" w:rsidRPr="00AC2CE7" w:rsidRDefault="00AC2CE7" w:rsidP="00E07BDF">
            <w:pPr>
              <w:jc w:val="right"/>
              <w:rPr>
                <w:b/>
                <w:bCs/>
                <w:sz w:val="22"/>
                <w:szCs w:val="22"/>
                <w:lang w:val="sl-SI"/>
              </w:rPr>
            </w:pPr>
            <w:r w:rsidRPr="00AC2CE7">
              <w:rPr>
                <w:b/>
                <w:bCs/>
                <w:sz w:val="22"/>
                <w:szCs w:val="22"/>
                <w:lang w:val="sl-SI"/>
              </w:rPr>
              <w:t>95/324 (29,3 %)</w:t>
            </w:r>
          </w:p>
        </w:tc>
        <w:tc>
          <w:tcPr>
            <w:tcW w:w="1002" w:type="pct"/>
            <w:tcBorders>
              <w:top w:val="single" w:sz="4" w:space="0" w:color="auto"/>
              <w:left w:val="single" w:sz="4" w:space="0" w:color="auto"/>
              <w:bottom w:val="single" w:sz="4" w:space="0" w:color="auto"/>
              <w:right w:val="single" w:sz="4" w:space="0" w:color="auto"/>
            </w:tcBorders>
            <w:hideMark/>
          </w:tcPr>
          <w:p w14:paraId="0D2CDE41" w14:textId="77777777" w:rsidR="00AC2CE7" w:rsidRPr="00AC2CE7" w:rsidRDefault="00AC2CE7" w:rsidP="00E07BDF">
            <w:pPr>
              <w:jc w:val="right"/>
              <w:rPr>
                <w:sz w:val="22"/>
                <w:szCs w:val="22"/>
                <w:lang w:val="sl-SI"/>
              </w:rPr>
            </w:pPr>
            <w:r w:rsidRPr="00AC2CE7">
              <w:rPr>
                <w:sz w:val="22"/>
                <w:szCs w:val="22"/>
                <w:lang w:val="sl-SI"/>
              </w:rPr>
              <w:t>217/569 (38,1 %)</w:t>
            </w:r>
          </w:p>
          <w:p w14:paraId="0D5713DF" w14:textId="77777777" w:rsidR="00AC2CE7" w:rsidRPr="00AC2CE7" w:rsidRDefault="00AC2CE7" w:rsidP="00E07BDF">
            <w:pPr>
              <w:jc w:val="right"/>
              <w:rPr>
                <w:sz w:val="22"/>
                <w:szCs w:val="22"/>
                <w:lang w:val="sl-SI"/>
              </w:rPr>
            </w:pPr>
            <w:r w:rsidRPr="00AC2CE7">
              <w:rPr>
                <w:sz w:val="22"/>
                <w:szCs w:val="22"/>
                <w:lang w:val="sl-SI"/>
              </w:rPr>
              <w:t>58/104 (55,8 %)</w:t>
            </w:r>
          </w:p>
          <w:p w14:paraId="60A20496" w14:textId="77777777" w:rsidR="00AC2CE7" w:rsidRPr="00AC2CE7" w:rsidRDefault="00AC2CE7" w:rsidP="00E07BDF">
            <w:pPr>
              <w:jc w:val="right"/>
              <w:rPr>
                <w:sz w:val="22"/>
                <w:szCs w:val="22"/>
                <w:lang w:val="sl-SI"/>
              </w:rPr>
            </w:pPr>
            <w:r w:rsidRPr="00AC2CE7">
              <w:rPr>
                <w:sz w:val="22"/>
                <w:szCs w:val="22"/>
                <w:lang w:val="sl-SI"/>
              </w:rPr>
              <w:t>8/10 (80,0 %)</w:t>
            </w:r>
          </w:p>
          <w:p w14:paraId="4296DFA2" w14:textId="77777777" w:rsidR="00AC2CE7" w:rsidRPr="00AC2CE7" w:rsidRDefault="00AC2CE7" w:rsidP="00E07BDF">
            <w:pPr>
              <w:jc w:val="right"/>
              <w:rPr>
                <w:b/>
                <w:sz w:val="22"/>
                <w:szCs w:val="22"/>
                <w:lang w:val="sl-SI"/>
              </w:rPr>
            </w:pPr>
            <w:r w:rsidRPr="00AC2CE7">
              <w:rPr>
                <w:b/>
                <w:sz w:val="22"/>
                <w:szCs w:val="22"/>
                <w:lang w:val="sl-SI"/>
              </w:rPr>
              <w:t>283/683 (41,4 %)</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310E2E55"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hideMark/>
          </w:tcPr>
          <w:p w14:paraId="08143C9D" w14:textId="77777777" w:rsidR="00AC2CE7" w:rsidRPr="00AC2CE7" w:rsidRDefault="00AC2CE7" w:rsidP="00E07BDF">
            <w:pPr>
              <w:rPr>
                <w:sz w:val="22"/>
                <w:szCs w:val="22"/>
                <w:lang w:val="sl-SI"/>
              </w:rPr>
            </w:pPr>
            <w:r w:rsidRPr="00AC2CE7">
              <w:rPr>
                <w:sz w:val="22"/>
                <w:szCs w:val="22"/>
                <w:lang w:val="sl-SI"/>
              </w:rPr>
              <w:t>0,61 (0,46-0,81)</w:t>
            </w:r>
          </w:p>
          <w:p w14:paraId="0B65FC53" w14:textId="77777777" w:rsidR="00AC2CE7" w:rsidRPr="00AC2CE7" w:rsidRDefault="00AC2CE7" w:rsidP="00E07BDF">
            <w:pPr>
              <w:rPr>
                <w:sz w:val="22"/>
                <w:szCs w:val="22"/>
                <w:lang w:val="sl-SI"/>
              </w:rPr>
            </w:pPr>
            <w:r w:rsidRPr="00AC2CE7">
              <w:rPr>
                <w:sz w:val="22"/>
                <w:szCs w:val="22"/>
                <w:lang w:val="sl-SI"/>
              </w:rPr>
              <w:t>0,85 (0,53-1,34)</w:t>
            </w:r>
          </w:p>
          <w:p w14:paraId="628DB2D9" w14:textId="77777777" w:rsidR="00AC2CE7" w:rsidRPr="00AC2CE7" w:rsidRDefault="00AC2CE7" w:rsidP="00E07BDF">
            <w:pPr>
              <w:rPr>
                <w:sz w:val="22"/>
                <w:szCs w:val="22"/>
                <w:lang w:val="sl-SI"/>
              </w:rPr>
            </w:pPr>
            <w:r w:rsidRPr="00AC2CE7">
              <w:rPr>
                <w:sz w:val="22"/>
                <w:szCs w:val="22"/>
                <w:lang w:val="sl-SI"/>
              </w:rPr>
              <w:t>0,39 (0,10-1,47)</w:t>
            </w:r>
          </w:p>
          <w:p w14:paraId="71131F99" w14:textId="77777777" w:rsidR="00AC2CE7" w:rsidRPr="00AC2CE7" w:rsidRDefault="00AC2CE7" w:rsidP="00E07BDF">
            <w:pPr>
              <w:rPr>
                <w:b/>
                <w:sz w:val="22"/>
                <w:szCs w:val="22"/>
                <w:lang w:val="sl-SI"/>
              </w:rPr>
            </w:pPr>
            <w:r w:rsidRPr="00AC2CE7">
              <w:rPr>
                <w:b/>
                <w:sz w:val="22"/>
                <w:szCs w:val="22"/>
                <w:lang w:val="sl-SI"/>
              </w:rPr>
              <w:t>0,64 (0,51-0,81)</w:t>
            </w:r>
          </w:p>
        </w:tc>
      </w:tr>
      <w:tr w:rsidR="00AC2CE7" w:rsidRPr="00AC2CE7" w14:paraId="442D8143" w14:textId="77777777" w:rsidTr="00AC2CE7">
        <w:trPr>
          <w:cantSplit/>
          <w:trHeight w:val="838"/>
        </w:trPr>
        <w:tc>
          <w:tcPr>
            <w:tcW w:w="761" w:type="pct"/>
            <w:tcBorders>
              <w:top w:val="single" w:sz="4" w:space="0" w:color="auto"/>
              <w:left w:val="single" w:sz="4" w:space="0" w:color="auto"/>
              <w:bottom w:val="single" w:sz="4" w:space="0" w:color="auto"/>
              <w:right w:val="single" w:sz="4" w:space="0" w:color="auto"/>
            </w:tcBorders>
          </w:tcPr>
          <w:p w14:paraId="4FABEA77" w14:textId="77777777" w:rsidR="00AC2CE7" w:rsidRPr="00AC2CE7" w:rsidRDefault="00AC2CE7" w:rsidP="00E07BDF">
            <w:pPr>
              <w:rPr>
                <w:b/>
                <w:sz w:val="22"/>
                <w:szCs w:val="22"/>
                <w:lang w:val="sl-SI"/>
              </w:rPr>
            </w:pPr>
            <w:r w:rsidRPr="00AC2CE7">
              <w:rPr>
                <w:b/>
                <w:sz w:val="22"/>
                <w:szCs w:val="22"/>
                <w:lang w:val="sl-SI"/>
              </w:rPr>
              <w:t>Alle deltagere</w:t>
            </w:r>
          </w:p>
          <w:p w14:paraId="114EA502" w14:textId="77777777" w:rsidR="00AC2CE7" w:rsidRPr="00AC2CE7" w:rsidRDefault="00AC2CE7" w:rsidP="00E07BDF">
            <w:pPr>
              <w:rPr>
                <w:b/>
                <w:sz w:val="22"/>
                <w:szCs w:val="22"/>
                <w:lang w:val="sl-SI"/>
              </w:rPr>
            </w:pPr>
          </w:p>
          <w:p w14:paraId="111D0609" w14:textId="77777777" w:rsidR="00AC2CE7" w:rsidRPr="00AC2CE7" w:rsidRDefault="00AC2CE7" w:rsidP="00E07BDF">
            <w:pPr>
              <w:rPr>
                <w:b/>
                <w:sz w:val="22"/>
                <w:szCs w:val="22"/>
                <w:lang w:val="sl-SI"/>
              </w:rPr>
            </w:pPr>
          </w:p>
        </w:tc>
        <w:tc>
          <w:tcPr>
            <w:tcW w:w="927" w:type="pct"/>
            <w:tcBorders>
              <w:top w:val="single" w:sz="4" w:space="0" w:color="auto"/>
              <w:left w:val="single" w:sz="4" w:space="0" w:color="auto"/>
              <w:bottom w:val="single" w:sz="4" w:space="0" w:color="auto"/>
              <w:right w:val="single" w:sz="4" w:space="0" w:color="auto"/>
            </w:tcBorders>
            <w:hideMark/>
          </w:tcPr>
          <w:p w14:paraId="217D459D" w14:textId="77777777" w:rsidR="00AC2CE7" w:rsidRPr="00AC2CE7" w:rsidRDefault="00AC2CE7" w:rsidP="00E07BDF">
            <w:pPr>
              <w:jc w:val="right"/>
              <w:rPr>
                <w:b/>
                <w:sz w:val="22"/>
                <w:szCs w:val="22"/>
                <w:lang w:val="sl-SI"/>
              </w:rPr>
            </w:pPr>
            <w:r w:rsidRPr="00AC2CE7">
              <w:rPr>
                <w:b/>
                <w:sz w:val="22"/>
                <w:szCs w:val="22"/>
                <w:lang w:val="sl-SI"/>
              </w:rPr>
              <w:t>482/2.104 (22,9 %)</w:t>
            </w:r>
          </w:p>
        </w:tc>
        <w:tc>
          <w:tcPr>
            <w:tcW w:w="1002" w:type="pct"/>
            <w:tcBorders>
              <w:top w:val="single" w:sz="4" w:space="0" w:color="auto"/>
              <w:left w:val="single" w:sz="4" w:space="0" w:color="auto"/>
              <w:bottom w:val="single" w:sz="4" w:space="0" w:color="auto"/>
              <w:right w:val="single" w:sz="4" w:space="0" w:color="auto"/>
            </w:tcBorders>
            <w:hideMark/>
          </w:tcPr>
          <w:p w14:paraId="5DE4504E" w14:textId="77777777" w:rsidR="00AC2CE7" w:rsidRPr="00AC2CE7" w:rsidRDefault="00AC2CE7" w:rsidP="00E07BDF">
            <w:pPr>
              <w:jc w:val="right"/>
              <w:rPr>
                <w:b/>
                <w:sz w:val="22"/>
                <w:szCs w:val="22"/>
                <w:lang w:val="sl-SI"/>
              </w:rPr>
            </w:pPr>
            <w:r w:rsidRPr="00AC2CE7">
              <w:rPr>
                <w:b/>
                <w:sz w:val="22"/>
                <w:szCs w:val="22"/>
                <w:lang w:val="sl-SI"/>
              </w:rPr>
              <w:t>1.110/4321 (25,7 %)</w:t>
            </w:r>
          </w:p>
        </w:tc>
        <w:tc>
          <w:tcPr>
            <w:tcW w:w="1541" w:type="pct"/>
            <w:gridSpan w:val="2"/>
            <w:vMerge/>
            <w:tcBorders>
              <w:top w:val="single" w:sz="4" w:space="0" w:color="auto"/>
              <w:left w:val="single" w:sz="4" w:space="0" w:color="auto"/>
              <w:bottom w:val="single" w:sz="4" w:space="0" w:color="auto"/>
              <w:right w:val="single" w:sz="4" w:space="0" w:color="auto"/>
            </w:tcBorders>
            <w:vAlign w:val="center"/>
            <w:hideMark/>
          </w:tcPr>
          <w:p w14:paraId="1AE9A9FD" w14:textId="77777777" w:rsidR="00AC2CE7" w:rsidRPr="00AC2CE7" w:rsidRDefault="00AC2CE7" w:rsidP="00E07BDF">
            <w:pPr>
              <w:rPr>
                <w:sz w:val="22"/>
                <w:szCs w:val="22"/>
                <w:lang w:val="sl-SI"/>
              </w:rPr>
            </w:pPr>
          </w:p>
        </w:tc>
        <w:tc>
          <w:tcPr>
            <w:tcW w:w="769" w:type="pct"/>
            <w:tcBorders>
              <w:top w:val="single" w:sz="4" w:space="0" w:color="auto"/>
              <w:left w:val="single" w:sz="4" w:space="0" w:color="auto"/>
              <w:bottom w:val="single" w:sz="4" w:space="0" w:color="auto"/>
              <w:right w:val="single" w:sz="4" w:space="0" w:color="auto"/>
            </w:tcBorders>
            <w:hideMark/>
          </w:tcPr>
          <w:p w14:paraId="112B06BC" w14:textId="77777777" w:rsidR="00AC2CE7" w:rsidRPr="00AC2CE7" w:rsidRDefault="00AC2CE7" w:rsidP="00E07BDF">
            <w:pPr>
              <w:rPr>
                <w:b/>
                <w:sz w:val="22"/>
                <w:szCs w:val="22"/>
                <w:lang w:val="sl-SI"/>
              </w:rPr>
            </w:pPr>
            <w:r w:rsidRPr="00AC2CE7">
              <w:rPr>
                <w:b/>
                <w:sz w:val="22"/>
                <w:szCs w:val="22"/>
                <w:lang w:val="sl-SI"/>
              </w:rPr>
              <w:t>0,83 (0,75-0,93)</w:t>
            </w:r>
          </w:p>
          <w:p w14:paraId="3AAE1A23" w14:textId="77777777" w:rsidR="00AC2CE7" w:rsidRPr="00AC2CE7" w:rsidRDefault="00AC2CE7" w:rsidP="00E07BDF">
            <w:pPr>
              <w:rPr>
                <w:sz w:val="22"/>
                <w:szCs w:val="22"/>
                <w:lang w:val="sl-SI"/>
              </w:rPr>
            </w:pPr>
            <w:r w:rsidRPr="00AC2CE7">
              <w:rPr>
                <w:b/>
                <w:sz w:val="22"/>
                <w:szCs w:val="22"/>
                <w:lang w:val="sl-SI"/>
              </w:rPr>
              <w:t>p &lt;0,001</w:t>
            </w:r>
          </w:p>
        </w:tc>
      </w:tr>
      <w:tr w:rsidR="00AC2CE7" w:rsidRPr="00AC2CE7" w14:paraId="2A8E66CE" w14:textId="77777777" w:rsidTr="00AC2CE7">
        <w:trPr>
          <w:cantSplit/>
          <w:trHeight w:val="626"/>
        </w:trPr>
        <w:tc>
          <w:tcPr>
            <w:tcW w:w="3720" w:type="pct"/>
            <w:gridSpan w:val="4"/>
            <w:tcBorders>
              <w:top w:val="single" w:sz="4" w:space="0" w:color="auto"/>
              <w:left w:val="single" w:sz="4" w:space="0" w:color="auto"/>
              <w:bottom w:val="single" w:sz="4" w:space="0" w:color="auto"/>
              <w:right w:val="single" w:sz="4" w:space="0" w:color="auto"/>
            </w:tcBorders>
            <w:hideMark/>
          </w:tcPr>
          <w:p w14:paraId="20C4CB4C" w14:textId="77777777" w:rsidR="00AC2CE7" w:rsidRPr="00AC2CE7" w:rsidRDefault="00AC2CE7" w:rsidP="00E07BDF">
            <w:pPr>
              <w:jc w:val="right"/>
              <w:rPr>
                <w:b/>
                <w:sz w:val="22"/>
                <w:szCs w:val="22"/>
                <w:lang w:val="sl-SI"/>
              </w:rPr>
            </w:pPr>
            <w:r w:rsidRPr="00AC2CE7">
              <w:rPr>
                <w:b/>
                <w:sz w:val="22"/>
                <w:szCs w:val="22"/>
                <w:lang w:val="sl-SI"/>
              </w:rPr>
              <w:t xml:space="preserve">Dexamethason </w:t>
            </w:r>
          </w:p>
          <w:p w14:paraId="38B7E1ED" w14:textId="77777777" w:rsidR="00AC2CE7" w:rsidRPr="00AC2CE7" w:rsidRDefault="00AC2CE7" w:rsidP="00E07BDF">
            <w:pPr>
              <w:jc w:val="right"/>
              <w:rPr>
                <w:b/>
                <w:sz w:val="22"/>
                <w:szCs w:val="22"/>
                <w:lang w:val="sl-SI"/>
              </w:rPr>
            </w:pPr>
            <w:r w:rsidRPr="00AC2CE7">
              <w:rPr>
                <w:b/>
                <w:sz w:val="22"/>
                <w:szCs w:val="22"/>
                <w:lang w:val="sl-SI"/>
              </w:rPr>
              <w:t>bedre</w:t>
            </w:r>
          </w:p>
          <w:p w14:paraId="0163073C" w14:textId="77777777" w:rsidR="00AC2CE7" w:rsidRPr="00AC2CE7" w:rsidRDefault="00AC2CE7" w:rsidP="00E07BDF">
            <w:pPr>
              <w:jc w:val="center"/>
              <w:rPr>
                <w:b/>
                <w:sz w:val="22"/>
                <w:szCs w:val="22"/>
                <w:lang w:val="sl-SI"/>
              </w:rPr>
            </w:pPr>
            <w:r w:rsidRPr="00AC2CE7">
              <w:rPr>
                <w:b/>
                <w:sz w:val="22"/>
                <w:szCs w:val="22"/>
                <w:lang w:val="sl-SI"/>
              </w:rPr>
              <w:t xml:space="preserve">                                                  </w:t>
            </w:r>
          </w:p>
        </w:tc>
        <w:tc>
          <w:tcPr>
            <w:tcW w:w="1280" w:type="pct"/>
            <w:gridSpan w:val="2"/>
            <w:tcBorders>
              <w:top w:val="single" w:sz="4" w:space="0" w:color="auto"/>
              <w:left w:val="single" w:sz="4" w:space="0" w:color="auto"/>
              <w:bottom w:val="single" w:sz="4" w:space="0" w:color="auto"/>
              <w:right w:val="single" w:sz="4" w:space="0" w:color="auto"/>
            </w:tcBorders>
          </w:tcPr>
          <w:p w14:paraId="4F193CDF" w14:textId="77777777" w:rsidR="00AC2CE7" w:rsidRPr="00AC2CE7" w:rsidRDefault="00AC2CE7" w:rsidP="00E07BDF">
            <w:pPr>
              <w:rPr>
                <w:b/>
                <w:sz w:val="22"/>
                <w:szCs w:val="22"/>
                <w:lang w:val="sl-SI"/>
              </w:rPr>
            </w:pPr>
            <w:r w:rsidRPr="00AC2CE7">
              <w:rPr>
                <w:b/>
                <w:sz w:val="22"/>
                <w:szCs w:val="22"/>
                <w:lang w:val="sl-SI"/>
              </w:rPr>
              <w:t xml:space="preserve">Almindelig pleje </w:t>
            </w:r>
          </w:p>
          <w:p w14:paraId="16411A12" w14:textId="77777777" w:rsidR="00AC2CE7" w:rsidRPr="00AC2CE7" w:rsidRDefault="00AC2CE7" w:rsidP="00E07BDF">
            <w:pPr>
              <w:rPr>
                <w:b/>
                <w:sz w:val="22"/>
                <w:szCs w:val="22"/>
                <w:lang w:val="sl-SI"/>
              </w:rPr>
            </w:pPr>
            <w:r w:rsidRPr="00AC2CE7">
              <w:rPr>
                <w:b/>
                <w:sz w:val="22"/>
                <w:szCs w:val="22"/>
                <w:lang w:val="sl-SI"/>
              </w:rPr>
              <w:t>bedre</w:t>
            </w:r>
          </w:p>
          <w:p w14:paraId="5A91E86C" w14:textId="77777777" w:rsidR="00AC2CE7" w:rsidRPr="00AC2CE7" w:rsidRDefault="00AC2CE7" w:rsidP="00E07BDF">
            <w:pPr>
              <w:rPr>
                <w:b/>
                <w:sz w:val="22"/>
                <w:szCs w:val="22"/>
                <w:lang w:val="sl-SI"/>
              </w:rPr>
            </w:pPr>
          </w:p>
        </w:tc>
      </w:tr>
    </w:tbl>
    <w:p w14:paraId="340AB212" w14:textId="77777777" w:rsidR="00AC2CE7" w:rsidRPr="00891F5F" w:rsidRDefault="00AC2CE7" w:rsidP="00AC2CE7">
      <w:pPr>
        <w:pStyle w:val="Default"/>
        <w:rPr>
          <w:bCs/>
          <w:color w:val="auto"/>
        </w:rPr>
      </w:pPr>
    </w:p>
    <w:p w14:paraId="195E3016" w14:textId="292C52A3" w:rsidR="00AC2CE7" w:rsidRDefault="00AC2CE7">
      <w:pPr>
        <w:rPr>
          <w:bCs/>
          <w:sz w:val="24"/>
          <w:szCs w:val="24"/>
        </w:rPr>
      </w:pPr>
      <w:r>
        <w:rPr>
          <w:bCs/>
        </w:rPr>
        <w:br w:type="page"/>
      </w:r>
    </w:p>
    <w:p w14:paraId="246B0392" w14:textId="77777777" w:rsidR="00AC2CE7" w:rsidRPr="00AC2CE7" w:rsidRDefault="00AC2CE7" w:rsidP="00AC2CE7">
      <w:pPr>
        <w:pStyle w:val="Default"/>
        <w:ind w:left="851"/>
        <w:rPr>
          <w:bCs/>
          <w:color w:val="auto"/>
        </w:rPr>
      </w:pPr>
    </w:p>
    <w:p w14:paraId="4D6783C6" w14:textId="77777777" w:rsidR="00AC2CE7" w:rsidRPr="00AC2CE7" w:rsidRDefault="00AC2CE7" w:rsidP="00AC2CE7">
      <w:pPr>
        <w:pStyle w:val="Default"/>
        <w:rPr>
          <w:i/>
          <w:color w:val="auto"/>
        </w:rPr>
      </w:pPr>
      <w:r w:rsidRPr="00AC2CE7">
        <w:rPr>
          <w:i/>
          <w:color w:val="auto"/>
        </w:rPr>
        <w:t>Effekt af tildeling af dexamethason på dødeligheden efter 28 dage, efter respiratorisk støtte modtaget ved randomisering og anamnese med kronisk sygdom.</w:t>
      </w:r>
      <w:r w:rsidRPr="00AC2CE7">
        <w:rPr>
          <w:i/>
          <w:color w:val="auto"/>
          <w:vertAlign w:val="superscript"/>
        </w:rPr>
        <w:t>[3]</w:t>
      </w:r>
    </w:p>
    <w:p w14:paraId="17371D39" w14:textId="77777777" w:rsidR="00AC2CE7" w:rsidRDefault="00AC2CE7" w:rsidP="00AC2CE7">
      <w:pPr>
        <w:suppressAutoHyphens/>
        <w:rPr>
          <w:sz w:val="22"/>
          <w:szCs w:val="22"/>
        </w:rPr>
      </w:pPr>
    </w:p>
    <w:p w14:paraId="3868C277" w14:textId="77777777" w:rsidR="00AC2CE7" w:rsidRDefault="00AC2CE7" w:rsidP="00AC2CE7">
      <w:pPr>
        <w:suppressAutoHyphens/>
        <w:rPr>
          <w:sz w:val="22"/>
          <w:szCs w:val="22"/>
        </w:rPr>
      </w:pPr>
      <w:r>
        <w:rPr>
          <w:noProof/>
        </w:rPr>
        <w:drawing>
          <wp:inline distT="0" distB="0" distL="0" distR="0" wp14:anchorId="19CDD4D3" wp14:editId="086A686A">
            <wp:extent cx="5760085" cy="311340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3113405"/>
                    </a:xfrm>
                    <a:prstGeom prst="rect">
                      <a:avLst/>
                    </a:prstGeom>
                  </pic:spPr>
                </pic:pic>
              </a:graphicData>
            </a:graphic>
          </wp:inline>
        </w:drawing>
      </w:r>
    </w:p>
    <w:p w14:paraId="5EE394AA" w14:textId="77777777" w:rsidR="00AC2CE7" w:rsidRPr="00AC2CE7" w:rsidRDefault="00AC2CE7" w:rsidP="00AC2CE7">
      <w:pPr>
        <w:tabs>
          <w:tab w:val="left" w:pos="1304"/>
        </w:tabs>
        <w:autoSpaceDE w:val="0"/>
        <w:autoSpaceDN w:val="0"/>
        <w:adjustRightInd w:val="0"/>
        <w:rPr>
          <w:sz w:val="20"/>
        </w:rPr>
      </w:pPr>
      <w:r w:rsidRPr="00AC2CE7">
        <w:rPr>
          <w:sz w:val="20"/>
          <w:vertAlign w:val="superscript"/>
        </w:rPr>
        <w:t>[2] 3</w:t>
      </w:r>
      <w:r w:rsidRPr="00AC2CE7">
        <w:rPr>
          <w:sz w:val="20"/>
        </w:rPr>
        <w:t xml:space="preserve"> (kilde: Horby P. et al., 2020; https://www.medrxiv.org/content/10.1101/2020.06.22.20137273v1; doi: https://doi.org/10.1101/2020.06.22.20137273)</w:t>
      </w:r>
    </w:p>
    <w:p w14:paraId="5BCB1ABE" w14:textId="77777777" w:rsidR="00AC2CE7" w:rsidRPr="00C17A42" w:rsidRDefault="00AC2CE7" w:rsidP="00AC2CE7">
      <w:pPr>
        <w:suppressAutoHyphens/>
        <w:rPr>
          <w:sz w:val="22"/>
          <w:szCs w:val="22"/>
        </w:rPr>
      </w:pPr>
    </w:p>
    <w:p w14:paraId="47B8687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AF4AE5E" w14:textId="77777777" w:rsidR="00E07BDF" w:rsidRPr="00E07BDF" w:rsidRDefault="00E07BDF" w:rsidP="00E07BDF">
      <w:pPr>
        <w:tabs>
          <w:tab w:val="left" w:pos="851"/>
        </w:tabs>
        <w:ind w:left="851"/>
        <w:rPr>
          <w:sz w:val="24"/>
          <w:szCs w:val="24"/>
        </w:rPr>
      </w:pPr>
      <w:r w:rsidRPr="00E07BDF">
        <w:rPr>
          <w:sz w:val="24"/>
          <w:szCs w:val="24"/>
        </w:rPr>
        <w:t>Dexamethason binder dosisafhængigt til plasmaalbuminer. Ved meget høje doser cirkulerer størstedelen frit i blodet. I tilfælde af hypoalbuminæmi stiger andelen af det ubundne (aktive) kortikosteroid. Fire timer efter intravenøs administration af radioaktivt mærket dexamethason til mennesker er den maksimale koncentration af dexamethason i liquor er cirka 1/6 af dets plasmakoncentration.</w:t>
      </w:r>
    </w:p>
    <w:p w14:paraId="77D22922" w14:textId="77777777" w:rsidR="00E07BDF" w:rsidRPr="00E07BDF" w:rsidRDefault="00E07BDF" w:rsidP="00E07BDF">
      <w:pPr>
        <w:tabs>
          <w:tab w:val="left" w:pos="851"/>
        </w:tabs>
        <w:ind w:left="851"/>
        <w:rPr>
          <w:sz w:val="24"/>
          <w:szCs w:val="24"/>
        </w:rPr>
      </w:pPr>
      <w:r w:rsidRPr="00E07BDF">
        <w:rPr>
          <w:sz w:val="24"/>
          <w:szCs w:val="24"/>
        </w:rPr>
        <w:t>Med en biologisk halveringstid på mere end 36 timer tilhører dexamethason glukokortikoiderne med en meget langvarig virkning. På grund af dets langvarige virkning kan akkumulering og overdosering forekomme ved daglig, kontinuerlig administration af dexamethason.</w:t>
      </w:r>
    </w:p>
    <w:p w14:paraId="5480E726" w14:textId="77777777" w:rsidR="00E07BDF" w:rsidRPr="00E07BDF" w:rsidRDefault="00E07BDF" w:rsidP="00E07BDF">
      <w:pPr>
        <w:tabs>
          <w:tab w:val="left" w:pos="851"/>
        </w:tabs>
        <w:ind w:left="851"/>
        <w:rPr>
          <w:sz w:val="24"/>
          <w:szCs w:val="24"/>
        </w:rPr>
      </w:pPr>
      <w:r w:rsidRPr="00E07BDF">
        <w:rPr>
          <w:sz w:val="24"/>
          <w:szCs w:val="24"/>
        </w:rPr>
        <w:t>Den gennemsnitlige eliminationshalveringstid af dexamethason i serum hos voksne er cirka 250 minutter (+80 minutter). Det udskilles hovedsageligt via nyrerne i form af frit alkohol fra dexamethason. Det metaboliseres delvist. Ligesom glucoronater eller sulfat udskilles metabolitterne også primært via nyrerne. Nedsat nyrefunktion påvirker ikke i væsentlig grad eliminationen af dexamethason. Eliminationshalveringstiden er forlænget ved alvorlig leversygdom.</w:t>
      </w:r>
    </w:p>
    <w:p w14:paraId="360DA615" w14:textId="77777777" w:rsidR="009260DE" w:rsidRPr="00C84483" w:rsidRDefault="009260DE" w:rsidP="009260DE">
      <w:pPr>
        <w:tabs>
          <w:tab w:val="left" w:pos="851"/>
        </w:tabs>
        <w:ind w:left="851"/>
        <w:rPr>
          <w:sz w:val="24"/>
          <w:szCs w:val="24"/>
        </w:rPr>
      </w:pPr>
    </w:p>
    <w:p w14:paraId="44A93D0F"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22E70E2" w14:textId="77777777" w:rsidR="00E07BDF" w:rsidRDefault="00E07BDF" w:rsidP="00E07BDF">
      <w:pPr>
        <w:tabs>
          <w:tab w:val="left" w:pos="851"/>
        </w:tabs>
        <w:ind w:left="851"/>
        <w:rPr>
          <w:i/>
          <w:iCs/>
          <w:sz w:val="24"/>
          <w:szCs w:val="24"/>
        </w:rPr>
      </w:pPr>
    </w:p>
    <w:p w14:paraId="49FF51C7" w14:textId="5E0FE0C3" w:rsidR="00E07BDF" w:rsidRPr="00E07BDF" w:rsidRDefault="00E07BDF" w:rsidP="00E07BDF">
      <w:pPr>
        <w:tabs>
          <w:tab w:val="left" w:pos="851"/>
        </w:tabs>
        <w:ind w:left="851"/>
        <w:rPr>
          <w:iCs/>
          <w:sz w:val="24"/>
          <w:szCs w:val="24"/>
          <w:u w:val="single"/>
        </w:rPr>
      </w:pPr>
      <w:r w:rsidRPr="00E07BDF">
        <w:rPr>
          <w:iCs/>
          <w:sz w:val="24"/>
          <w:szCs w:val="24"/>
          <w:u w:val="single"/>
        </w:rPr>
        <w:t>Akut toksicitet</w:t>
      </w:r>
    </w:p>
    <w:p w14:paraId="62F11396" w14:textId="77777777" w:rsidR="00E07BDF" w:rsidRPr="00E07BDF" w:rsidRDefault="00E07BDF" w:rsidP="00E07BDF">
      <w:pPr>
        <w:tabs>
          <w:tab w:val="left" w:pos="851"/>
        </w:tabs>
        <w:ind w:left="851"/>
        <w:rPr>
          <w:iCs/>
          <w:sz w:val="24"/>
          <w:szCs w:val="24"/>
        </w:rPr>
      </w:pPr>
      <w:r w:rsidRPr="00E07BDF">
        <w:rPr>
          <w:iCs/>
          <w:sz w:val="24"/>
          <w:szCs w:val="24"/>
        </w:rPr>
        <w:t>LD50 for dexamethason efter en enkelt oral administration inden for de første 7 dage er 16 g/kg kropsvægt hos mus og 3 g/kg kropsvægt hos rotter. Efter en enkelt subkutan administration er LD50 mere end 700 mg/kg kropsvægt hos mus og omkring 120 mg/kg kropsvægt hos rotter inden for de første 7 dage. Ved observation over en periode på 21 dage skifter disse niveauer til lavere intervaller, hvilket tolkes som et resultat af alvorlig infektion forårsaget af hormonrelateret immunsuppression.</w:t>
      </w:r>
    </w:p>
    <w:p w14:paraId="55894898" w14:textId="77777777" w:rsidR="00E07BDF" w:rsidRPr="00E07BDF" w:rsidRDefault="00E07BDF" w:rsidP="00E07BDF">
      <w:pPr>
        <w:tabs>
          <w:tab w:val="left" w:pos="851"/>
        </w:tabs>
        <w:ind w:left="851"/>
        <w:rPr>
          <w:i/>
          <w:iCs/>
          <w:sz w:val="24"/>
          <w:szCs w:val="24"/>
        </w:rPr>
      </w:pPr>
    </w:p>
    <w:p w14:paraId="0EB2C6AA" w14:textId="77777777" w:rsidR="00E07BDF" w:rsidRPr="00E07BDF" w:rsidRDefault="00E07BDF" w:rsidP="00E07BDF">
      <w:pPr>
        <w:tabs>
          <w:tab w:val="left" w:pos="851"/>
        </w:tabs>
        <w:ind w:left="851"/>
        <w:rPr>
          <w:iCs/>
          <w:sz w:val="24"/>
          <w:szCs w:val="24"/>
          <w:u w:val="single"/>
        </w:rPr>
      </w:pPr>
      <w:r w:rsidRPr="00E07BDF">
        <w:rPr>
          <w:iCs/>
          <w:sz w:val="24"/>
          <w:szCs w:val="24"/>
          <w:u w:val="single"/>
        </w:rPr>
        <w:lastRenderedPageBreak/>
        <w:t>Kronisk toksicitet</w:t>
      </w:r>
    </w:p>
    <w:p w14:paraId="7B7C1A42" w14:textId="77777777" w:rsidR="00E07BDF" w:rsidRPr="00E07BDF" w:rsidRDefault="00E07BDF" w:rsidP="00E07BDF">
      <w:pPr>
        <w:tabs>
          <w:tab w:val="left" w:pos="851"/>
        </w:tabs>
        <w:ind w:left="851"/>
        <w:rPr>
          <w:iCs/>
          <w:sz w:val="24"/>
          <w:szCs w:val="24"/>
        </w:rPr>
      </w:pPr>
      <w:r w:rsidRPr="00E07BDF">
        <w:rPr>
          <w:iCs/>
          <w:sz w:val="24"/>
          <w:szCs w:val="24"/>
        </w:rPr>
        <w:t>Der er ikke påvist kronisk toksicitet hos mennesker og dyr. Kortikoid-relaterede symptomer på forgiftning kendes ikke. Langvarig behandling med doser over 1,5 mg/dag forventes at forårsage væsentlige bivirkninger (se pkt. 4.8).</w:t>
      </w:r>
    </w:p>
    <w:p w14:paraId="63084026" w14:textId="77777777" w:rsidR="00E07BDF" w:rsidRPr="00E07BDF" w:rsidRDefault="00E07BDF" w:rsidP="00E07BDF">
      <w:pPr>
        <w:tabs>
          <w:tab w:val="left" w:pos="851"/>
        </w:tabs>
        <w:ind w:left="851"/>
        <w:rPr>
          <w:i/>
          <w:iCs/>
          <w:sz w:val="24"/>
          <w:szCs w:val="24"/>
        </w:rPr>
      </w:pPr>
    </w:p>
    <w:p w14:paraId="4E91DA7B" w14:textId="77777777" w:rsidR="00E07BDF" w:rsidRPr="00E07BDF" w:rsidRDefault="00E07BDF" w:rsidP="00E07BDF">
      <w:pPr>
        <w:tabs>
          <w:tab w:val="left" w:pos="851"/>
        </w:tabs>
        <w:ind w:left="851"/>
        <w:rPr>
          <w:iCs/>
          <w:sz w:val="24"/>
          <w:szCs w:val="24"/>
          <w:u w:val="single"/>
        </w:rPr>
      </w:pPr>
      <w:r w:rsidRPr="00E07BDF">
        <w:rPr>
          <w:iCs/>
          <w:sz w:val="24"/>
          <w:szCs w:val="24"/>
          <w:u w:val="single"/>
        </w:rPr>
        <w:t>Mutagenese og karcinogent potentiale</w:t>
      </w:r>
    </w:p>
    <w:p w14:paraId="4C777102" w14:textId="77777777" w:rsidR="00E07BDF" w:rsidRPr="00E07BDF" w:rsidRDefault="00E07BDF" w:rsidP="00E07BDF">
      <w:pPr>
        <w:tabs>
          <w:tab w:val="left" w:pos="851"/>
        </w:tabs>
        <w:ind w:left="851"/>
        <w:rPr>
          <w:iCs/>
          <w:sz w:val="24"/>
          <w:szCs w:val="24"/>
        </w:rPr>
      </w:pPr>
      <w:r w:rsidRPr="00E07BDF">
        <w:rPr>
          <w:iCs/>
          <w:sz w:val="24"/>
          <w:szCs w:val="24"/>
        </w:rPr>
        <w:t>Tilgængelige fund for glukokortikoider har ikke påvist klinisk relevante genotoksiske egenskaber.</w:t>
      </w:r>
    </w:p>
    <w:p w14:paraId="1D3728C7" w14:textId="77777777" w:rsidR="00E07BDF" w:rsidRPr="00E07BDF" w:rsidRDefault="00E07BDF" w:rsidP="00E07BDF">
      <w:pPr>
        <w:tabs>
          <w:tab w:val="left" w:pos="851"/>
        </w:tabs>
        <w:ind w:left="851"/>
        <w:rPr>
          <w:i/>
          <w:iCs/>
          <w:sz w:val="24"/>
          <w:szCs w:val="24"/>
        </w:rPr>
      </w:pPr>
    </w:p>
    <w:p w14:paraId="682425F8" w14:textId="77777777" w:rsidR="00E07BDF" w:rsidRPr="00E07BDF" w:rsidRDefault="00E07BDF" w:rsidP="00E07BDF">
      <w:pPr>
        <w:tabs>
          <w:tab w:val="left" w:pos="851"/>
        </w:tabs>
        <w:ind w:left="851"/>
        <w:rPr>
          <w:iCs/>
          <w:sz w:val="24"/>
          <w:szCs w:val="24"/>
          <w:u w:val="single"/>
        </w:rPr>
      </w:pPr>
      <w:r w:rsidRPr="00E07BDF">
        <w:rPr>
          <w:iCs/>
          <w:sz w:val="24"/>
          <w:szCs w:val="24"/>
          <w:u w:val="single"/>
        </w:rPr>
        <w:t>Reproduktionstoksicitet</w:t>
      </w:r>
    </w:p>
    <w:p w14:paraId="4DD18677" w14:textId="77777777" w:rsidR="00E07BDF" w:rsidRPr="00E07BDF" w:rsidRDefault="00E07BDF" w:rsidP="00E07BDF">
      <w:pPr>
        <w:tabs>
          <w:tab w:val="left" w:pos="851"/>
        </w:tabs>
        <w:ind w:left="851"/>
        <w:rPr>
          <w:sz w:val="24"/>
          <w:szCs w:val="24"/>
        </w:rPr>
      </w:pPr>
      <w:r w:rsidRPr="00E07BDF">
        <w:rPr>
          <w:iCs/>
          <w:sz w:val="24"/>
          <w:szCs w:val="24"/>
        </w:rPr>
        <w:t>I dyrestudier blev der observeret ganespalte hos rotter, mus, hamstere, kaniner, hunde og primater; men ikke hos heste og får. I nogle tilfælde var disse afvigelser kombineret med defekter i centralnervesystemet og hjertet. Hos primater blev der observeret hjernepåvirkning efter eksponering. Desuden kan intrauterin vækst blive forsinket. Alle disse virkninger er observeret ved høje doser</w:t>
      </w:r>
      <w:r w:rsidRPr="00E07BDF">
        <w:rPr>
          <w:i/>
          <w:iCs/>
          <w:sz w:val="24"/>
          <w:szCs w:val="24"/>
        </w:rPr>
        <w:t>.</w:t>
      </w:r>
    </w:p>
    <w:p w14:paraId="0B3F620A" w14:textId="77777777" w:rsidR="009260DE" w:rsidRPr="00C84483" w:rsidRDefault="009260DE" w:rsidP="009260DE">
      <w:pPr>
        <w:tabs>
          <w:tab w:val="left" w:pos="851"/>
        </w:tabs>
        <w:ind w:left="851"/>
        <w:rPr>
          <w:sz w:val="24"/>
          <w:szCs w:val="24"/>
        </w:rPr>
      </w:pPr>
    </w:p>
    <w:p w14:paraId="19A0E28A" w14:textId="77777777" w:rsidR="009260DE" w:rsidRPr="00C84483" w:rsidRDefault="009260DE" w:rsidP="009260DE">
      <w:pPr>
        <w:tabs>
          <w:tab w:val="left" w:pos="851"/>
        </w:tabs>
        <w:ind w:left="851"/>
        <w:rPr>
          <w:sz w:val="24"/>
          <w:szCs w:val="24"/>
        </w:rPr>
      </w:pPr>
    </w:p>
    <w:p w14:paraId="4C1F97D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3119096" w14:textId="77777777" w:rsidR="009260DE" w:rsidRPr="00BA09F1" w:rsidRDefault="009260DE" w:rsidP="009260DE">
      <w:pPr>
        <w:tabs>
          <w:tab w:val="left" w:pos="851"/>
        </w:tabs>
        <w:ind w:left="851"/>
        <w:rPr>
          <w:sz w:val="24"/>
          <w:szCs w:val="24"/>
        </w:rPr>
      </w:pPr>
    </w:p>
    <w:p w14:paraId="03E4B72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25E711E" w14:textId="77777777" w:rsidR="00E07BDF" w:rsidRPr="00E07BDF" w:rsidRDefault="00E07BDF" w:rsidP="00E07BDF">
      <w:pPr>
        <w:tabs>
          <w:tab w:val="left" w:pos="851"/>
        </w:tabs>
        <w:ind w:left="851"/>
        <w:rPr>
          <w:sz w:val="24"/>
          <w:szCs w:val="24"/>
        </w:rPr>
      </w:pPr>
      <w:r w:rsidRPr="00E07BDF">
        <w:rPr>
          <w:sz w:val="24"/>
          <w:szCs w:val="24"/>
        </w:rPr>
        <w:t>Kreatinin</w:t>
      </w:r>
    </w:p>
    <w:p w14:paraId="6C265B2C" w14:textId="77777777" w:rsidR="00E07BDF" w:rsidRPr="00E07BDF" w:rsidRDefault="00E07BDF" w:rsidP="00E07BDF">
      <w:pPr>
        <w:tabs>
          <w:tab w:val="left" w:pos="851"/>
        </w:tabs>
        <w:ind w:left="851"/>
        <w:rPr>
          <w:sz w:val="24"/>
          <w:szCs w:val="24"/>
        </w:rPr>
      </w:pPr>
      <w:r w:rsidRPr="00E07BDF">
        <w:rPr>
          <w:sz w:val="24"/>
          <w:szCs w:val="24"/>
        </w:rPr>
        <w:t xml:space="preserve">Natriumcitrat </w:t>
      </w:r>
    </w:p>
    <w:p w14:paraId="16848792" w14:textId="77777777" w:rsidR="00E07BDF" w:rsidRPr="00E07BDF" w:rsidRDefault="00E07BDF" w:rsidP="00E07BDF">
      <w:pPr>
        <w:tabs>
          <w:tab w:val="left" w:pos="851"/>
        </w:tabs>
        <w:ind w:left="851"/>
        <w:rPr>
          <w:sz w:val="24"/>
          <w:szCs w:val="24"/>
        </w:rPr>
      </w:pPr>
      <w:r w:rsidRPr="00E07BDF">
        <w:rPr>
          <w:sz w:val="24"/>
          <w:szCs w:val="24"/>
        </w:rPr>
        <w:t>Citronsyremonohydrat</w:t>
      </w:r>
    </w:p>
    <w:p w14:paraId="7551A4C2" w14:textId="77777777" w:rsidR="00E07BDF" w:rsidRPr="00E07BDF" w:rsidRDefault="00E07BDF" w:rsidP="00E07BDF">
      <w:pPr>
        <w:tabs>
          <w:tab w:val="left" w:pos="851"/>
        </w:tabs>
        <w:ind w:left="851"/>
        <w:rPr>
          <w:sz w:val="24"/>
          <w:szCs w:val="24"/>
        </w:rPr>
      </w:pPr>
      <w:r w:rsidRPr="00E07BDF">
        <w:rPr>
          <w:sz w:val="24"/>
          <w:szCs w:val="24"/>
        </w:rPr>
        <w:t xml:space="preserve">Natriumhydroxid (til justering af pH) </w:t>
      </w:r>
    </w:p>
    <w:p w14:paraId="582A9392" w14:textId="77777777" w:rsidR="00E07BDF" w:rsidRPr="00E07BDF" w:rsidRDefault="00E07BDF" w:rsidP="00E07BDF">
      <w:pPr>
        <w:tabs>
          <w:tab w:val="left" w:pos="851"/>
        </w:tabs>
        <w:ind w:left="851"/>
        <w:rPr>
          <w:sz w:val="24"/>
          <w:szCs w:val="24"/>
        </w:rPr>
      </w:pPr>
      <w:r w:rsidRPr="00E07BDF">
        <w:rPr>
          <w:sz w:val="24"/>
          <w:szCs w:val="24"/>
        </w:rPr>
        <w:t>Vand til injektionsvæsker</w:t>
      </w:r>
    </w:p>
    <w:p w14:paraId="1526E6EA" w14:textId="77777777" w:rsidR="009260DE" w:rsidRPr="00C84483" w:rsidRDefault="009260DE" w:rsidP="009260DE">
      <w:pPr>
        <w:tabs>
          <w:tab w:val="left" w:pos="851"/>
        </w:tabs>
        <w:ind w:left="851"/>
        <w:rPr>
          <w:sz w:val="24"/>
          <w:szCs w:val="24"/>
        </w:rPr>
      </w:pPr>
    </w:p>
    <w:p w14:paraId="1075501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CB932D3" w14:textId="77777777" w:rsidR="00E07BDF" w:rsidRPr="00E07BDF" w:rsidRDefault="00E07BDF" w:rsidP="00E07BDF">
      <w:pPr>
        <w:tabs>
          <w:tab w:val="left" w:pos="851"/>
        </w:tabs>
        <w:ind w:left="851"/>
        <w:rPr>
          <w:sz w:val="24"/>
          <w:szCs w:val="24"/>
        </w:rPr>
      </w:pPr>
      <w:r w:rsidRPr="00E07BDF">
        <w:rPr>
          <w:sz w:val="24"/>
          <w:szCs w:val="24"/>
        </w:rPr>
        <w:t>Dette lægemiddel må ikke blandes med andre lægemidler end dem, der er anført under pkt. 6.6.</w:t>
      </w:r>
    </w:p>
    <w:p w14:paraId="0D8E9FBC" w14:textId="77777777" w:rsidR="009260DE" w:rsidRPr="00C84483" w:rsidRDefault="009260DE" w:rsidP="009260DE">
      <w:pPr>
        <w:tabs>
          <w:tab w:val="left" w:pos="851"/>
        </w:tabs>
        <w:ind w:left="851"/>
        <w:rPr>
          <w:sz w:val="24"/>
          <w:szCs w:val="24"/>
        </w:rPr>
      </w:pPr>
    </w:p>
    <w:p w14:paraId="3392B19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4B4C707" w14:textId="77777777" w:rsidR="00E07BDF" w:rsidRPr="00E07BDF" w:rsidRDefault="00E07BDF" w:rsidP="00E07BDF">
      <w:pPr>
        <w:tabs>
          <w:tab w:val="left" w:pos="851"/>
        </w:tabs>
        <w:ind w:left="851"/>
        <w:rPr>
          <w:bCs/>
          <w:sz w:val="24"/>
          <w:szCs w:val="24"/>
        </w:rPr>
      </w:pPr>
      <w:r w:rsidRPr="00E07BDF">
        <w:rPr>
          <w:bCs/>
          <w:sz w:val="24"/>
          <w:szCs w:val="24"/>
        </w:rPr>
        <w:t>3 år.</w:t>
      </w:r>
    </w:p>
    <w:p w14:paraId="564445C3" w14:textId="77777777" w:rsidR="00E07BDF" w:rsidRPr="00E07BDF" w:rsidRDefault="00E07BDF" w:rsidP="00E07BDF">
      <w:pPr>
        <w:tabs>
          <w:tab w:val="left" w:pos="851"/>
        </w:tabs>
        <w:ind w:left="851"/>
        <w:rPr>
          <w:sz w:val="24"/>
          <w:szCs w:val="24"/>
        </w:rPr>
      </w:pPr>
    </w:p>
    <w:p w14:paraId="544E669F" w14:textId="77777777" w:rsidR="00E07BDF" w:rsidRPr="00E07BDF" w:rsidRDefault="00E07BDF" w:rsidP="00E07BDF">
      <w:pPr>
        <w:tabs>
          <w:tab w:val="left" w:pos="851"/>
        </w:tabs>
        <w:ind w:left="851"/>
        <w:rPr>
          <w:sz w:val="24"/>
          <w:szCs w:val="24"/>
          <w:u w:val="single"/>
        </w:rPr>
      </w:pPr>
      <w:r w:rsidRPr="00E07BDF">
        <w:rPr>
          <w:sz w:val="24"/>
          <w:szCs w:val="24"/>
          <w:u w:val="single"/>
        </w:rPr>
        <w:t>Efter åbning</w:t>
      </w:r>
    </w:p>
    <w:p w14:paraId="14352B2D" w14:textId="0F8AA0FB" w:rsidR="00E07BDF" w:rsidRPr="00E07BDF" w:rsidRDefault="00E07BDF" w:rsidP="00E07BDF">
      <w:pPr>
        <w:tabs>
          <w:tab w:val="left" w:pos="851"/>
        </w:tabs>
        <w:ind w:left="851"/>
        <w:rPr>
          <w:sz w:val="24"/>
          <w:szCs w:val="24"/>
        </w:rPr>
      </w:pPr>
      <w:r w:rsidRPr="00E07BDF">
        <w:rPr>
          <w:sz w:val="24"/>
          <w:szCs w:val="24"/>
        </w:rPr>
        <w:t>Dette præparat skal anvendes med det samme.</w:t>
      </w:r>
    </w:p>
    <w:p w14:paraId="148C9555" w14:textId="77777777" w:rsidR="00E07BDF" w:rsidRDefault="00E07BDF" w:rsidP="00E07BDF">
      <w:pPr>
        <w:tabs>
          <w:tab w:val="left" w:pos="851"/>
        </w:tabs>
        <w:ind w:left="851"/>
        <w:rPr>
          <w:sz w:val="24"/>
          <w:szCs w:val="24"/>
        </w:rPr>
      </w:pPr>
    </w:p>
    <w:p w14:paraId="56C60EF3" w14:textId="50406E67" w:rsidR="00E07BDF" w:rsidRPr="00E07BDF" w:rsidRDefault="00E07BDF" w:rsidP="00E07BDF">
      <w:pPr>
        <w:tabs>
          <w:tab w:val="left" w:pos="851"/>
        </w:tabs>
        <w:ind w:left="851"/>
        <w:rPr>
          <w:sz w:val="24"/>
          <w:szCs w:val="24"/>
          <w:u w:val="single"/>
        </w:rPr>
      </w:pPr>
      <w:r w:rsidRPr="00E07BDF">
        <w:rPr>
          <w:sz w:val="24"/>
          <w:szCs w:val="24"/>
          <w:u w:val="single"/>
        </w:rPr>
        <w:t>Efter fortynding</w:t>
      </w:r>
    </w:p>
    <w:p w14:paraId="07386390" w14:textId="77777777" w:rsidR="00E07BDF" w:rsidRPr="00E07BDF" w:rsidRDefault="00E07BDF" w:rsidP="00E07BDF">
      <w:pPr>
        <w:tabs>
          <w:tab w:val="left" w:pos="851"/>
        </w:tabs>
        <w:ind w:left="851"/>
        <w:rPr>
          <w:sz w:val="24"/>
          <w:szCs w:val="24"/>
        </w:rPr>
      </w:pPr>
      <w:r w:rsidRPr="00E07BDF">
        <w:rPr>
          <w:sz w:val="24"/>
          <w:szCs w:val="24"/>
        </w:rPr>
        <w:t xml:space="preserve">Kemisk og fysisk stabilitet efter åbning af fortyndinger er påvist i 48 timer ved 25°C beskyttet mod lys. Ud fra et mikrobiologisk synspunkt bør præparatet anvendes med det samme. </w:t>
      </w:r>
    </w:p>
    <w:p w14:paraId="19503247" w14:textId="77777777" w:rsidR="00E07BDF" w:rsidRPr="00E07BDF" w:rsidRDefault="00E07BDF" w:rsidP="00E07BDF">
      <w:pPr>
        <w:tabs>
          <w:tab w:val="left" w:pos="851"/>
        </w:tabs>
        <w:ind w:left="851"/>
        <w:rPr>
          <w:sz w:val="24"/>
          <w:szCs w:val="24"/>
        </w:rPr>
      </w:pPr>
      <w:r w:rsidRPr="00E07BDF">
        <w:rPr>
          <w:sz w:val="24"/>
          <w:szCs w:val="24"/>
        </w:rPr>
        <w:t>Hvis lægemidlet ikke anvendes straks, er opbevaringstid og -forhold efter åbning brugerens eget ansvar.</w:t>
      </w:r>
    </w:p>
    <w:p w14:paraId="30526EB0" w14:textId="77777777" w:rsidR="009260DE" w:rsidRPr="00C84483" w:rsidRDefault="009260DE" w:rsidP="009260DE">
      <w:pPr>
        <w:tabs>
          <w:tab w:val="left" w:pos="851"/>
        </w:tabs>
        <w:ind w:left="851"/>
        <w:rPr>
          <w:sz w:val="24"/>
          <w:szCs w:val="24"/>
        </w:rPr>
      </w:pPr>
    </w:p>
    <w:p w14:paraId="656D219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A03CCE9" w14:textId="4EE1465D" w:rsidR="00E07BDF" w:rsidRDefault="00E07BDF" w:rsidP="00E07BDF">
      <w:pPr>
        <w:tabs>
          <w:tab w:val="left" w:pos="851"/>
        </w:tabs>
        <w:ind w:left="851"/>
        <w:rPr>
          <w:sz w:val="24"/>
          <w:szCs w:val="24"/>
        </w:rPr>
      </w:pPr>
      <w:r w:rsidRPr="00E07BDF">
        <w:rPr>
          <w:sz w:val="24"/>
          <w:szCs w:val="24"/>
        </w:rPr>
        <w:t>Opbevares i den originale yderpakning for at beskytte mod lys</w:t>
      </w:r>
      <w:r>
        <w:rPr>
          <w:sz w:val="24"/>
          <w:szCs w:val="24"/>
        </w:rPr>
        <w:t>.</w:t>
      </w:r>
    </w:p>
    <w:p w14:paraId="3355336E" w14:textId="77777777" w:rsidR="00E07BDF" w:rsidRPr="00E07BDF" w:rsidRDefault="00E07BDF" w:rsidP="00E07BDF">
      <w:pPr>
        <w:tabs>
          <w:tab w:val="left" w:pos="851"/>
        </w:tabs>
        <w:ind w:left="851"/>
        <w:rPr>
          <w:sz w:val="24"/>
          <w:szCs w:val="24"/>
        </w:rPr>
      </w:pPr>
    </w:p>
    <w:p w14:paraId="5ED8E008" w14:textId="77777777" w:rsidR="00E07BDF" w:rsidRPr="00E07BDF" w:rsidRDefault="00E07BDF" w:rsidP="00E07BDF">
      <w:pPr>
        <w:tabs>
          <w:tab w:val="left" w:pos="851"/>
        </w:tabs>
        <w:ind w:left="851"/>
        <w:rPr>
          <w:sz w:val="24"/>
          <w:szCs w:val="24"/>
        </w:rPr>
      </w:pPr>
      <w:r w:rsidRPr="00E07BDF">
        <w:rPr>
          <w:sz w:val="24"/>
          <w:szCs w:val="24"/>
        </w:rPr>
        <w:t xml:space="preserve">Opbevaringsforhold efter fortynding af lægemidlet, se pkt. 6.3. </w:t>
      </w:r>
    </w:p>
    <w:p w14:paraId="3351CDC9" w14:textId="24E2A336" w:rsidR="00E07BDF" w:rsidRDefault="00E07BDF">
      <w:pPr>
        <w:rPr>
          <w:sz w:val="24"/>
          <w:szCs w:val="24"/>
        </w:rPr>
      </w:pPr>
      <w:r>
        <w:rPr>
          <w:sz w:val="24"/>
          <w:szCs w:val="24"/>
        </w:rPr>
        <w:br w:type="page"/>
      </w:r>
    </w:p>
    <w:p w14:paraId="259C1EF1" w14:textId="77777777" w:rsidR="009260DE" w:rsidRPr="00C84483" w:rsidRDefault="009260DE" w:rsidP="009260DE">
      <w:pPr>
        <w:tabs>
          <w:tab w:val="left" w:pos="851"/>
        </w:tabs>
        <w:ind w:left="851"/>
        <w:rPr>
          <w:sz w:val="24"/>
          <w:szCs w:val="24"/>
        </w:rPr>
      </w:pPr>
    </w:p>
    <w:p w14:paraId="64506C2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AAB299F" w14:textId="77777777" w:rsidR="00E07BDF" w:rsidRDefault="00E07BDF" w:rsidP="00E07BDF">
      <w:pPr>
        <w:tabs>
          <w:tab w:val="left" w:pos="851"/>
        </w:tabs>
        <w:ind w:left="851"/>
        <w:rPr>
          <w:sz w:val="24"/>
          <w:szCs w:val="24"/>
        </w:rPr>
      </w:pPr>
    </w:p>
    <w:p w14:paraId="3ADA205A" w14:textId="77777777" w:rsidR="00E07BDF" w:rsidRPr="00D54357" w:rsidRDefault="00E07BDF" w:rsidP="00E07BDF">
      <w:pPr>
        <w:tabs>
          <w:tab w:val="left" w:pos="851"/>
        </w:tabs>
        <w:ind w:left="851"/>
        <w:rPr>
          <w:sz w:val="24"/>
          <w:szCs w:val="24"/>
          <w:u w:val="single"/>
        </w:rPr>
      </w:pPr>
      <w:r w:rsidRPr="00D54357">
        <w:rPr>
          <w:sz w:val="24"/>
          <w:szCs w:val="24"/>
          <w:u w:val="single"/>
        </w:rPr>
        <w:t>1 ml ampul</w:t>
      </w:r>
    </w:p>
    <w:p w14:paraId="6C408DA0" w14:textId="6D158E41" w:rsidR="00E07BDF" w:rsidRPr="00E07BDF" w:rsidRDefault="00E07BDF" w:rsidP="00E07BDF">
      <w:pPr>
        <w:tabs>
          <w:tab w:val="left" w:pos="851"/>
        </w:tabs>
        <w:ind w:left="851"/>
        <w:rPr>
          <w:sz w:val="24"/>
          <w:szCs w:val="24"/>
        </w:rPr>
      </w:pPr>
      <w:r w:rsidRPr="00E07BDF">
        <w:rPr>
          <w:sz w:val="24"/>
          <w:szCs w:val="24"/>
        </w:rPr>
        <w:t>Pakning</w:t>
      </w:r>
      <w:r w:rsidR="00D54357">
        <w:rPr>
          <w:sz w:val="24"/>
          <w:szCs w:val="24"/>
        </w:rPr>
        <w:t xml:space="preserve">sstørrelser: </w:t>
      </w:r>
      <w:r w:rsidRPr="00E07BDF">
        <w:rPr>
          <w:sz w:val="24"/>
          <w:szCs w:val="24"/>
        </w:rPr>
        <w:t>3, 5 og 10 ampuller.</w:t>
      </w:r>
    </w:p>
    <w:p w14:paraId="20735119" w14:textId="77777777" w:rsidR="00E07BDF" w:rsidRDefault="00E07BDF" w:rsidP="00E07BDF">
      <w:pPr>
        <w:tabs>
          <w:tab w:val="left" w:pos="851"/>
        </w:tabs>
        <w:ind w:left="851"/>
        <w:rPr>
          <w:sz w:val="24"/>
          <w:szCs w:val="24"/>
        </w:rPr>
      </w:pPr>
    </w:p>
    <w:p w14:paraId="038613A3" w14:textId="37DECCA5" w:rsidR="00E07BDF" w:rsidRPr="00D54357" w:rsidRDefault="00E07BDF" w:rsidP="00E07BDF">
      <w:pPr>
        <w:tabs>
          <w:tab w:val="left" w:pos="851"/>
        </w:tabs>
        <w:ind w:left="851"/>
        <w:rPr>
          <w:sz w:val="24"/>
          <w:szCs w:val="24"/>
          <w:u w:val="single"/>
        </w:rPr>
      </w:pPr>
      <w:r w:rsidRPr="00D54357">
        <w:rPr>
          <w:sz w:val="24"/>
          <w:szCs w:val="24"/>
          <w:u w:val="single"/>
        </w:rPr>
        <w:t>1,8 ml klar glasampul</w:t>
      </w:r>
    </w:p>
    <w:p w14:paraId="47E46A38" w14:textId="77777777" w:rsidR="00D54357" w:rsidRPr="00E07BDF" w:rsidRDefault="00D54357" w:rsidP="00D54357">
      <w:pPr>
        <w:tabs>
          <w:tab w:val="left" w:pos="851"/>
        </w:tabs>
        <w:ind w:left="851"/>
        <w:rPr>
          <w:sz w:val="24"/>
          <w:szCs w:val="24"/>
        </w:rPr>
      </w:pPr>
      <w:r w:rsidRPr="00E07BDF">
        <w:rPr>
          <w:sz w:val="24"/>
          <w:szCs w:val="24"/>
        </w:rPr>
        <w:t>Pakning</w:t>
      </w:r>
      <w:r>
        <w:rPr>
          <w:sz w:val="24"/>
          <w:szCs w:val="24"/>
        </w:rPr>
        <w:t xml:space="preserve">sstørrelser: </w:t>
      </w:r>
      <w:r w:rsidRPr="00E07BDF">
        <w:rPr>
          <w:sz w:val="24"/>
          <w:szCs w:val="24"/>
        </w:rPr>
        <w:t>3, 5 og 10 ampuller.</w:t>
      </w:r>
    </w:p>
    <w:p w14:paraId="5CBAE1D8" w14:textId="77777777" w:rsidR="00D54357" w:rsidRDefault="00D54357" w:rsidP="00E07BDF">
      <w:pPr>
        <w:tabs>
          <w:tab w:val="left" w:pos="851"/>
        </w:tabs>
        <w:ind w:left="851"/>
        <w:rPr>
          <w:sz w:val="24"/>
          <w:szCs w:val="24"/>
        </w:rPr>
      </w:pPr>
    </w:p>
    <w:p w14:paraId="49AC05E4" w14:textId="6C091F6E" w:rsidR="00E07BDF" w:rsidRPr="00D54357" w:rsidRDefault="00E07BDF" w:rsidP="00E07BDF">
      <w:pPr>
        <w:tabs>
          <w:tab w:val="left" w:pos="851"/>
        </w:tabs>
        <w:ind w:left="851"/>
        <w:rPr>
          <w:sz w:val="24"/>
          <w:szCs w:val="24"/>
          <w:u w:val="single"/>
        </w:rPr>
      </w:pPr>
      <w:r w:rsidRPr="00D54357">
        <w:rPr>
          <w:sz w:val="24"/>
          <w:szCs w:val="24"/>
          <w:u w:val="single"/>
        </w:rPr>
        <w:t>2 ml klar glasampul</w:t>
      </w:r>
    </w:p>
    <w:p w14:paraId="20CBB864" w14:textId="77777777" w:rsidR="00D54357" w:rsidRPr="00E07BDF" w:rsidRDefault="00D54357" w:rsidP="00D54357">
      <w:pPr>
        <w:tabs>
          <w:tab w:val="left" w:pos="851"/>
        </w:tabs>
        <w:ind w:left="851"/>
        <w:rPr>
          <w:sz w:val="24"/>
          <w:szCs w:val="24"/>
        </w:rPr>
      </w:pPr>
      <w:r w:rsidRPr="00E07BDF">
        <w:rPr>
          <w:sz w:val="24"/>
          <w:szCs w:val="24"/>
        </w:rPr>
        <w:t>Pakning</w:t>
      </w:r>
      <w:r>
        <w:rPr>
          <w:sz w:val="24"/>
          <w:szCs w:val="24"/>
        </w:rPr>
        <w:t xml:space="preserve">sstørrelser: </w:t>
      </w:r>
      <w:r w:rsidRPr="00E07BDF">
        <w:rPr>
          <w:sz w:val="24"/>
          <w:szCs w:val="24"/>
        </w:rPr>
        <w:t>3, 5 og 10 ampuller.</w:t>
      </w:r>
    </w:p>
    <w:p w14:paraId="3FA216D0" w14:textId="77777777" w:rsidR="00D54357" w:rsidRDefault="00D54357" w:rsidP="00E07BDF">
      <w:pPr>
        <w:tabs>
          <w:tab w:val="left" w:pos="851"/>
        </w:tabs>
        <w:ind w:left="851"/>
        <w:rPr>
          <w:sz w:val="24"/>
          <w:szCs w:val="24"/>
        </w:rPr>
      </w:pPr>
    </w:p>
    <w:p w14:paraId="676AE613" w14:textId="68367F82" w:rsidR="00E07BDF" w:rsidRPr="00E07BDF" w:rsidRDefault="00E07BDF" w:rsidP="00E07BDF">
      <w:pPr>
        <w:tabs>
          <w:tab w:val="left" w:pos="851"/>
        </w:tabs>
        <w:ind w:left="851"/>
        <w:rPr>
          <w:sz w:val="24"/>
          <w:szCs w:val="24"/>
        </w:rPr>
      </w:pPr>
      <w:r w:rsidRPr="00E07BDF">
        <w:rPr>
          <w:sz w:val="24"/>
          <w:szCs w:val="24"/>
        </w:rPr>
        <w:t>Ikke alle pakningsstørrelser er nødvendigvis markedsført.</w:t>
      </w:r>
    </w:p>
    <w:p w14:paraId="7F49EEEA" w14:textId="77777777" w:rsidR="009260DE" w:rsidRPr="00C84483" w:rsidRDefault="009260DE" w:rsidP="009260DE">
      <w:pPr>
        <w:tabs>
          <w:tab w:val="left" w:pos="851"/>
        </w:tabs>
        <w:ind w:left="851"/>
        <w:rPr>
          <w:sz w:val="24"/>
          <w:szCs w:val="24"/>
        </w:rPr>
      </w:pPr>
    </w:p>
    <w:p w14:paraId="525F859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DE48D5" w14:textId="77777777" w:rsidR="00D54357" w:rsidRPr="00D54357" w:rsidRDefault="00D54357" w:rsidP="00D54357">
      <w:pPr>
        <w:tabs>
          <w:tab w:val="left" w:pos="851"/>
        </w:tabs>
        <w:ind w:left="851"/>
        <w:rPr>
          <w:bCs/>
          <w:sz w:val="24"/>
          <w:szCs w:val="24"/>
        </w:rPr>
      </w:pPr>
      <w:r w:rsidRPr="00D54357">
        <w:rPr>
          <w:sz w:val="24"/>
          <w:szCs w:val="24"/>
        </w:rPr>
        <w:t xml:space="preserve">Dexamethasone phosphate "Panpharma" 4 mg/ml </w:t>
      </w:r>
      <w:r w:rsidRPr="00D54357">
        <w:rPr>
          <w:bCs/>
          <w:sz w:val="24"/>
          <w:szCs w:val="24"/>
        </w:rPr>
        <w:t>injektionsvæske, opløsning skal helst administreres ved direkte intravenøs injektion eller injiceres ind i infusionsslangen. Injektionsvæsken er forligelig med følgende infusionsopløsninger (koncentrationer af dexamethasonphosphat mellem 0,1 og 1 mg/ml) og skal anvendes i overensstemmelse med de nævnte betingelser i pkt. 6.3:</w:t>
      </w:r>
    </w:p>
    <w:p w14:paraId="359CF696" w14:textId="77777777" w:rsidR="00D54357" w:rsidRPr="00D54357" w:rsidRDefault="00D54357" w:rsidP="00D54357">
      <w:pPr>
        <w:numPr>
          <w:ilvl w:val="0"/>
          <w:numId w:val="13"/>
        </w:numPr>
        <w:tabs>
          <w:tab w:val="left" w:pos="851"/>
        </w:tabs>
        <w:ind w:left="1134" w:hanging="283"/>
        <w:rPr>
          <w:sz w:val="24"/>
          <w:szCs w:val="24"/>
        </w:rPr>
      </w:pPr>
      <w:r w:rsidRPr="00D54357">
        <w:rPr>
          <w:sz w:val="24"/>
          <w:szCs w:val="24"/>
        </w:rPr>
        <w:t>Isotonisk saltopløsning</w:t>
      </w:r>
    </w:p>
    <w:p w14:paraId="61AC9ED9" w14:textId="77777777" w:rsidR="00D54357" w:rsidRPr="00D54357" w:rsidRDefault="00D54357" w:rsidP="00D54357">
      <w:pPr>
        <w:numPr>
          <w:ilvl w:val="0"/>
          <w:numId w:val="13"/>
        </w:numPr>
        <w:tabs>
          <w:tab w:val="left" w:pos="851"/>
        </w:tabs>
        <w:ind w:left="1134" w:hanging="283"/>
        <w:rPr>
          <w:sz w:val="24"/>
          <w:szCs w:val="24"/>
        </w:rPr>
      </w:pPr>
      <w:r w:rsidRPr="00D54357">
        <w:rPr>
          <w:sz w:val="24"/>
          <w:szCs w:val="24"/>
        </w:rPr>
        <w:t>Ringers opløsning</w:t>
      </w:r>
    </w:p>
    <w:p w14:paraId="3656DA2D" w14:textId="37B8C89C" w:rsidR="00D54357" w:rsidRPr="00D54357" w:rsidRDefault="00D54357" w:rsidP="00D54357">
      <w:pPr>
        <w:numPr>
          <w:ilvl w:val="0"/>
          <w:numId w:val="13"/>
        </w:numPr>
        <w:tabs>
          <w:tab w:val="left" w:pos="851"/>
        </w:tabs>
        <w:ind w:left="1134" w:hanging="283"/>
        <w:rPr>
          <w:sz w:val="24"/>
          <w:szCs w:val="24"/>
        </w:rPr>
      </w:pPr>
      <w:r w:rsidRPr="00D54357">
        <w:rPr>
          <w:sz w:val="24"/>
          <w:szCs w:val="24"/>
        </w:rPr>
        <w:t>glucoseopløsning 5 %</w:t>
      </w:r>
    </w:p>
    <w:p w14:paraId="3CFCC70A" w14:textId="77777777" w:rsidR="00D54357" w:rsidRPr="00D54357" w:rsidRDefault="00D54357" w:rsidP="00D54357">
      <w:pPr>
        <w:tabs>
          <w:tab w:val="left" w:pos="851"/>
        </w:tabs>
        <w:ind w:left="851"/>
        <w:rPr>
          <w:sz w:val="24"/>
          <w:szCs w:val="24"/>
        </w:rPr>
      </w:pPr>
    </w:p>
    <w:p w14:paraId="486CAA8A" w14:textId="77777777" w:rsidR="00D54357" w:rsidRPr="00D54357" w:rsidRDefault="00D54357" w:rsidP="00D54357">
      <w:pPr>
        <w:tabs>
          <w:tab w:val="left" w:pos="851"/>
        </w:tabs>
        <w:ind w:left="851"/>
        <w:rPr>
          <w:sz w:val="24"/>
          <w:szCs w:val="24"/>
        </w:rPr>
      </w:pPr>
      <w:r w:rsidRPr="00D54357">
        <w:rPr>
          <w:sz w:val="24"/>
          <w:szCs w:val="24"/>
        </w:rPr>
        <w:t>Ved anvendelse i kombination med infusionsopløsninger skal hver af leverandørernes information vedrørende deres infusionsopløsninger, herunder information om forligelighed, kontraindikationer, bivirkninger og interaktioner tages i betragtning.</w:t>
      </w:r>
    </w:p>
    <w:p w14:paraId="0BD75D28" w14:textId="77777777" w:rsidR="00D54357" w:rsidRPr="00D54357" w:rsidRDefault="00D54357" w:rsidP="00D54357">
      <w:pPr>
        <w:tabs>
          <w:tab w:val="left" w:pos="851"/>
        </w:tabs>
        <w:ind w:left="851"/>
        <w:rPr>
          <w:sz w:val="24"/>
          <w:szCs w:val="24"/>
        </w:rPr>
      </w:pPr>
    </w:p>
    <w:p w14:paraId="601D8605" w14:textId="77777777" w:rsidR="00D54357" w:rsidRPr="00D54357" w:rsidRDefault="00D54357" w:rsidP="00D54357">
      <w:pPr>
        <w:tabs>
          <w:tab w:val="left" w:pos="851"/>
        </w:tabs>
        <w:ind w:left="851"/>
        <w:rPr>
          <w:sz w:val="24"/>
          <w:szCs w:val="24"/>
        </w:rPr>
      </w:pPr>
      <w:r w:rsidRPr="00D54357">
        <w:rPr>
          <w:sz w:val="24"/>
          <w:szCs w:val="24"/>
        </w:rPr>
        <w:t>Ikke anvendt lægemiddel samt affald heraf skal bortskaffes i henhold til lokale retningslinjer.</w:t>
      </w:r>
    </w:p>
    <w:p w14:paraId="7EE85A8B" w14:textId="77777777" w:rsidR="009260DE" w:rsidRPr="00C84483" w:rsidRDefault="009260DE" w:rsidP="000730CA">
      <w:pPr>
        <w:tabs>
          <w:tab w:val="left" w:pos="851"/>
        </w:tabs>
        <w:ind w:left="851"/>
        <w:rPr>
          <w:sz w:val="24"/>
          <w:szCs w:val="24"/>
        </w:rPr>
      </w:pPr>
    </w:p>
    <w:p w14:paraId="32E6951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15B10C7" w14:textId="77777777" w:rsidR="00D54357" w:rsidRPr="00132465" w:rsidRDefault="00D54357" w:rsidP="00D54357">
      <w:pPr>
        <w:tabs>
          <w:tab w:val="left" w:pos="851"/>
        </w:tabs>
        <w:ind w:left="851"/>
        <w:rPr>
          <w:sz w:val="24"/>
          <w:szCs w:val="24"/>
        </w:rPr>
      </w:pPr>
      <w:r w:rsidRPr="00132465">
        <w:rPr>
          <w:sz w:val="24"/>
          <w:szCs w:val="24"/>
        </w:rPr>
        <w:t>PANPHARMA</w:t>
      </w:r>
    </w:p>
    <w:p w14:paraId="6D9F4AFA" w14:textId="77777777" w:rsidR="00D54357" w:rsidRPr="00132465" w:rsidRDefault="00D54357" w:rsidP="00D54357">
      <w:pPr>
        <w:tabs>
          <w:tab w:val="left" w:pos="851"/>
        </w:tabs>
        <w:ind w:left="851"/>
        <w:rPr>
          <w:sz w:val="24"/>
          <w:szCs w:val="24"/>
        </w:rPr>
      </w:pPr>
      <w:r w:rsidRPr="00132465">
        <w:rPr>
          <w:sz w:val="24"/>
          <w:szCs w:val="24"/>
        </w:rPr>
        <w:t xml:space="preserve">Z.I. du Clairay </w:t>
      </w:r>
    </w:p>
    <w:p w14:paraId="130C4ADD" w14:textId="77777777" w:rsidR="00D54357" w:rsidRPr="00132465" w:rsidRDefault="00D54357" w:rsidP="00D54357">
      <w:pPr>
        <w:tabs>
          <w:tab w:val="left" w:pos="851"/>
        </w:tabs>
        <w:ind w:left="851"/>
        <w:rPr>
          <w:sz w:val="24"/>
          <w:szCs w:val="24"/>
        </w:rPr>
      </w:pPr>
      <w:r w:rsidRPr="00132465">
        <w:rPr>
          <w:sz w:val="24"/>
          <w:szCs w:val="24"/>
        </w:rPr>
        <w:t xml:space="preserve">35133 Luitré </w:t>
      </w:r>
    </w:p>
    <w:p w14:paraId="59A0C571" w14:textId="77777777" w:rsidR="00D54357" w:rsidRPr="00D54357" w:rsidRDefault="00D54357" w:rsidP="00D54357">
      <w:pPr>
        <w:tabs>
          <w:tab w:val="left" w:pos="851"/>
        </w:tabs>
        <w:ind w:left="851"/>
        <w:rPr>
          <w:sz w:val="24"/>
          <w:szCs w:val="24"/>
        </w:rPr>
      </w:pPr>
      <w:r w:rsidRPr="00D54357">
        <w:rPr>
          <w:sz w:val="24"/>
          <w:szCs w:val="24"/>
        </w:rPr>
        <w:t>Frankrig</w:t>
      </w:r>
    </w:p>
    <w:p w14:paraId="31A5C14C" w14:textId="77777777" w:rsidR="009260DE" w:rsidRDefault="009260DE" w:rsidP="009260DE">
      <w:pPr>
        <w:tabs>
          <w:tab w:val="left" w:pos="851"/>
        </w:tabs>
        <w:ind w:left="851"/>
        <w:rPr>
          <w:sz w:val="24"/>
          <w:szCs w:val="24"/>
        </w:rPr>
      </w:pPr>
    </w:p>
    <w:p w14:paraId="28BD004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5C0E87A" w14:textId="30EC7D74" w:rsidR="009260DE" w:rsidRPr="00C84483" w:rsidRDefault="00D54357" w:rsidP="009260DE">
      <w:pPr>
        <w:tabs>
          <w:tab w:val="left" w:pos="851"/>
        </w:tabs>
        <w:ind w:left="851"/>
        <w:rPr>
          <w:sz w:val="24"/>
          <w:szCs w:val="24"/>
        </w:rPr>
      </w:pPr>
      <w:r>
        <w:rPr>
          <w:sz w:val="24"/>
          <w:szCs w:val="24"/>
        </w:rPr>
        <w:t>71139</w:t>
      </w:r>
    </w:p>
    <w:p w14:paraId="04A3891C" w14:textId="77777777" w:rsidR="009260DE" w:rsidRPr="00C84483" w:rsidRDefault="009260DE" w:rsidP="009260DE">
      <w:pPr>
        <w:tabs>
          <w:tab w:val="left" w:pos="851"/>
        </w:tabs>
        <w:ind w:left="851"/>
        <w:jc w:val="both"/>
        <w:rPr>
          <w:sz w:val="24"/>
          <w:szCs w:val="24"/>
        </w:rPr>
      </w:pPr>
    </w:p>
    <w:p w14:paraId="10CFA32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8B300EA" w14:textId="537C6628" w:rsidR="009260DE" w:rsidRPr="00C84483" w:rsidRDefault="00132465" w:rsidP="009260DE">
      <w:pPr>
        <w:tabs>
          <w:tab w:val="left" w:pos="851"/>
        </w:tabs>
        <w:ind w:left="851"/>
        <w:rPr>
          <w:sz w:val="24"/>
          <w:szCs w:val="24"/>
        </w:rPr>
      </w:pPr>
      <w:r>
        <w:rPr>
          <w:sz w:val="24"/>
          <w:szCs w:val="24"/>
        </w:rPr>
        <w:t>11. marts 2025</w:t>
      </w:r>
    </w:p>
    <w:p w14:paraId="5636BA24" w14:textId="77777777" w:rsidR="009260DE" w:rsidRPr="00C84483" w:rsidRDefault="009260DE" w:rsidP="009260DE">
      <w:pPr>
        <w:tabs>
          <w:tab w:val="left" w:pos="851"/>
        </w:tabs>
        <w:ind w:left="851"/>
        <w:rPr>
          <w:sz w:val="24"/>
          <w:szCs w:val="24"/>
        </w:rPr>
      </w:pPr>
    </w:p>
    <w:p w14:paraId="0C8FEC9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8734953" w14:textId="7883828C" w:rsidR="009260DE" w:rsidRPr="00C84483" w:rsidRDefault="00D54357" w:rsidP="009260DE">
      <w:pPr>
        <w:tabs>
          <w:tab w:val="left" w:pos="851"/>
        </w:tabs>
        <w:ind w:left="851"/>
        <w:rPr>
          <w:sz w:val="24"/>
          <w:szCs w:val="24"/>
        </w:rPr>
      </w:pPr>
      <w:r>
        <w:rPr>
          <w:sz w:val="24"/>
          <w:szCs w:val="24"/>
        </w:rPr>
        <w:t>-</w:t>
      </w:r>
      <w:bookmarkStart w:id="1" w:name="_GoBack"/>
      <w:bookmarkEnd w:id="1"/>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8BA3" w14:textId="77777777" w:rsidR="00E07BDF" w:rsidRDefault="00E07BDF">
      <w:r>
        <w:separator/>
      </w:r>
    </w:p>
  </w:endnote>
  <w:endnote w:type="continuationSeparator" w:id="0">
    <w:p w14:paraId="25373504" w14:textId="77777777" w:rsidR="00E07BDF" w:rsidRDefault="00E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DB94" w14:textId="77777777" w:rsidR="00E07BDF" w:rsidRDefault="00E07BDF">
    <w:pPr>
      <w:pStyle w:val="Sidefod"/>
      <w:pBdr>
        <w:bottom w:val="single" w:sz="6" w:space="1" w:color="auto"/>
      </w:pBdr>
    </w:pPr>
  </w:p>
  <w:p w14:paraId="2B85C416" w14:textId="77777777" w:rsidR="00E07BDF" w:rsidRDefault="00E07BDF" w:rsidP="00C42586">
    <w:pPr>
      <w:pStyle w:val="Sidefod"/>
      <w:tabs>
        <w:tab w:val="clear" w:pos="4819"/>
        <w:tab w:val="left" w:pos="8505"/>
      </w:tabs>
      <w:rPr>
        <w:i/>
        <w:sz w:val="18"/>
        <w:szCs w:val="18"/>
      </w:rPr>
    </w:pPr>
  </w:p>
  <w:p w14:paraId="45C05BA1" w14:textId="050EC5DA" w:rsidR="00E07BDF" w:rsidRPr="00B373D7" w:rsidRDefault="00E07BD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Dexamethasone phosphate Panpharma, injektionsvæske, opløsning 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5B7D" w14:textId="77777777" w:rsidR="00E07BDF" w:rsidRDefault="00E07BDF">
      <w:r>
        <w:separator/>
      </w:r>
    </w:p>
  </w:footnote>
  <w:footnote w:type="continuationSeparator" w:id="0">
    <w:p w14:paraId="08F381A3" w14:textId="77777777" w:rsidR="00E07BDF" w:rsidRDefault="00E07BDF">
      <w:r>
        <w:continuationSeparator/>
      </w:r>
    </w:p>
  </w:footnote>
  <w:footnote w:id="1">
    <w:p w14:paraId="7534621A" w14:textId="77777777" w:rsidR="00E07BDF" w:rsidRDefault="00E07BDF" w:rsidP="00AC2CE7">
      <w:pPr>
        <w:pStyle w:val="Fodnotetekst"/>
        <w:rPr>
          <w:lang w:val="sk-SK"/>
        </w:rPr>
      </w:pPr>
      <w:r w:rsidRPr="00C17A42">
        <w:rPr>
          <w:rStyle w:val="Fodnotehenvisning"/>
        </w:rPr>
        <w:footnoteRef/>
      </w:r>
      <w:r w:rsidRPr="00C17A42">
        <w:t xml:space="preserve"> </w:t>
      </w:r>
      <w:r w:rsidRPr="00C17A42">
        <w:rPr>
          <w:szCs w:val="16"/>
        </w:rPr>
        <w:t>www.recoverytrial.net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9232D5"/>
    <w:multiLevelType w:val="hybridMultilevel"/>
    <w:tmpl w:val="815AC8B6"/>
    <w:lvl w:ilvl="0" w:tplc="CEA06C7C">
      <w:start w:val="4"/>
      <w:numFmt w:val="bullet"/>
      <w:lvlText w:val="-"/>
      <w:lvlJc w:val="left"/>
      <w:pPr>
        <w:ind w:left="770" w:hanging="360"/>
      </w:pPr>
      <w:rPr>
        <w:rFonts w:ascii="Source Sans Pro" w:eastAsia="Times New Roman" w:hAnsi="Source Sans Pro"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E0952D2"/>
    <w:multiLevelType w:val="hybridMultilevel"/>
    <w:tmpl w:val="852A33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E510EE5"/>
    <w:multiLevelType w:val="hybridMultilevel"/>
    <w:tmpl w:val="DF1E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9325882"/>
    <w:multiLevelType w:val="hybridMultilevel"/>
    <w:tmpl w:val="678CF3A8"/>
    <w:lvl w:ilvl="0" w:tplc="CEA06C7C">
      <w:start w:val="4"/>
      <w:numFmt w:val="bullet"/>
      <w:lvlText w:val="-"/>
      <w:lvlJc w:val="left"/>
      <w:pPr>
        <w:ind w:left="720" w:hanging="360"/>
      </w:pPr>
      <w:rPr>
        <w:rFonts w:ascii="Source Sans Pro" w:eastAsia="Times New Roman" w:hAnsi="Source Sans Pro"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F060022"/>
    <w:multiLevelType w:val="multilevel"/>
    <w:tmpl w:val="AABC8DC6"/>
    <w:lvl w:ilvl="0">
      <w:start w:val="6"/>
      <w:numFmt w:val="decimal"/>
      <w:lvlText w:val="%1"/>
      <w:lvlJc w:val="left"/>
      <w:pPr>
        <w:ind w:left="396" w:hanging="396"/>
      </w:pPr>
    </w:lvl>
    <w:lvl w:ilvl="1">
      <w:start w:val="12"/>
      <w:numFmt w:val="decimal"/>
      <w:lvlText w:val="%1-%2"/>
      <w:lvlJc w:val="left"/>
      <w:pPr>
        <w:ind w:left="672" w:hanging="396"/>
      </w:pPr>
    </w:lvl>
    <w:lvl w:ilvl="2">
      <w:start w:val="1"/>
      <w:numFmt w:val="decimal"/>
      <w:lvlText w:val="%1-%2.%3"/>
      <w:lvlJc w:val="left"/>
      <w:pPr>
        <w:ind w:left="1272" w:hanging="720"/>
      </w:pPr>
    </w:lvl>
    <w:lvl w:ilvl="3">
      <w:start w:val="1"/>
      <w:numFmt w:val="decimal"/>
      <w:lvlText w:val="%1-%2.%3.%4"/>
      <w:lvlJc w:val="left"/>
      <w:pPr>
        <w:ind w:left="1548" w:hanging="720"/>
      </w:pPr>
    </w:lvl>
    <w:lvl w:ilvl="4">
      <w:start w:val="1"/>
      <w:numFmt w:val="decimal"/>
      <w:lvlText w:val="%1-%2.%3.%4.%5"/>
      <w:lvlJc w:val="left"/>
      <w:pPr>
        <w:ind w:left="2184" w:hanging="1080"/>
      </w:pPr>
    </w:lvl>
    <w:lvl w:ilvl="5">
      <w:start w:val="1"/>
      <w:numFmt w:val="decimal"/>
      <w:lvlText w:val="%1-%2.%3.%4.%5.%6"/>
      <w:lvlJc w:val="left"/>
      <w:pPr>
        <w:ind w:left="2460" w:hanging="1080"/>
      </w:pPr>
    </w:lvl>
    <w:lvl w:ilvl="6">
      <w:start w:val="1"/>
      <w:numFmt w:val="decimal"/>
      <w:lvlText w:val="%1-%2.%3.%4.%5.%6.%7"/>
      <w:lvlJc w:val="left"/>
      <w:pPr>
        <w:ind w:left="3096" w:hanging="1440"/>
      </w:pPr>
    </w:lvl>
    <w:lvl w:ilvl="7">
      <w:start w:val="1"/>
      <w:numFmt w:val="decimal"/>
      <w:lvlText w:val="%1-%2.%3.%4.%5.%6.%7.%8"/>
      <w:lvlJc w:val="left"/>
      <w:pPr>
        <w:ind w:left="3372" w:hanging="1440"/>
      </w:pPr>
    </w:lvl>
    <w:lvl w:ilvl="8">
      <w:start w:val="1"/>
      <w:numFmt w:val="decimal"/>
      <w:lvlText w:val="%1-%2.%3.%4.%5.%6.%7.%8.%9"/>
      <w:lvlJc w:val="left"/>
      <w:pPr>
        <w:ind w:left="4008" w:hanging="1800"/>
      </w:pPr>
    </w:lvl>
  </w:abstractNum>
  <w:abstractNum w:abstractNumId="10" w15:restartNumberingAfterBreak="0">
    <w:nsid w:val="711B6778"/>
    <w:multiLevelType w:val="hybridMultilevel"/>
    <w:tmpl w:val="67C0BD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A222B2C"/>
    <w:multiLevelType w:val="hybridMultilevel"/>
    <w:tmpl w:val="4F76F3A8"/>
    <w:lvl w:ilvl="0" w:tplc="CEA06C7C">
      <w:start w:val="4"/>
      <w:numFmt w:val="bullet"/>
      <w:lvlText w:val="-"/>
      <w:lvlJc w:val="left"/>
      <w:pPr>
        <w:ind w:left="720" w:hanging="360"/>
      </w:pPr>
      <w:rPr>
        <w:rFonts w:ascii="Source Sans Pro" w:eastAsia="Times New Roman" w:hAnsi="Source Sans Pro"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32"/>
    <w:rsid w:val="000259B9"/>
    <w:rsid w:val="00041491"/>
    <w:rsid w:val="00043C8C"/>
    <w:rsid w:val="00050D16"/>
    <w:rsid w:val="000730CA"/>
    <w:rsid w:val="00074F2A"/>
    <w:rsid w:val="000A1CA8"/>
    <w:rsid w:val="000A466B"/>
    <w:rsid w:val="000B058C"/>
    <w:rsid w:val="000D68B0"/>
    <w:rsid w:val="000E4EE6"/>
    <w:rsid w:val="00132465"/>
    <w:rsid w:val="001454E2"/>
    <w:rsid w:val="0015198B"/>
    <w:rsid w:val="00193BB8"/>
    <w:rsid w:val="00206CE8"/>
    <w:rsid w:val="0021526C"/>
    <w:rsid w:val="00283A2B"/>
    <w:rsid w:val="002B30AD"/>
    <w:rsid w:val="002C1EC0"/>
    <w:rsid w:val="002C2C01"/>
    <w:rsid w:val="003A29AE"/>
    <w:rsid w:val="003A32D7"/>
    <w:rsid w:val="003B4074"/>
    <w:rsid w:val="003C2805"/>
    <w:rsid w:val="003C769A"/>
    <w:rsid w:val="003D308F"/>
    <w:rsid w:val="003D3A90"/>
    <w:rsid w:val="003F1838"/>
    <w:rsid w:val="004251C1"/>
    <w:rsid w:val="0045746C"/>
    <w:rsid w:val="0049104B"/>
    <w:rsid w:val="004934AA"/>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A599D"/>
    <w:rsid w:val="007B6649"/>
    <w:rsid w:val="007D2632"/>
    <w:rsid w:val="0082576E"/>
    <w:rsid w:val="0087067A"/>
    <w:rsid w:val="0089346F"/>
    <w:rsid w:val="008A5591"/>
    <w:rsid w:val="00907F75"/>
    <w:rsid w:val="009260DE"/>
    <w:rsid w:val="0093258A"/>
    <w:rsid w:val="009C7BA3"/>
    <w:rsid w:val="009D1F5A"/>
    <w:rsid w:val="00A10294"/>
    <w:rsid w:val="00AC2CE7"/>
    <w:rsid w:val="00B003BF"/>
    <w:rsid w:val="00B373D7"/>
    <w:rsid w:val="00B55271"/>
    <w:rsid w:val="00BB7171"/>
    <w:rsid w:val="00BD7931"/>
    <w:rsid w:val="00BF6243"/>
    <w:rsid w:val="00C0435A"/>
    <w:rsid w:val="00C24240"/>
    <w:rsid w:val="00C36276"/>
    <w:rsid w:val="00C42586"/>
    <w:rsid w:val="00C45F6B"/>
    <w:rsid w:val="00C60CCD"/>
    <w:rsid w:val="00C84483"/>
    <w:rsid w:val="00C95551"/>
    <w:rsid w:val="00CB20D7"/>
    <w:rsid w:val="00D020B0"/>
    <w:rsid w:val="00D11748"/>
    <w:rsid w:val="00D237F6"/>
    <w:rsid w:val="00D34D98"/>
    <w:rsid w:val="00D366CF"/>
    <w:rsid w:val="00D41392"/>
    <w:rsid w:val="00D54357"/>
    <w:rsid w:val="00D93992"/>
    <w:rsid w:val="00DA7B53"/>
    <w:rsid w:val="00E07BDF"/>
    <w:rsid w:val="00E108AA"/>
    <w:rsid w:val="00E3749A"/>
    <w:rsid w:val="00E7437F"/>
    <w:rsid w:val="00E865B8"/>
    <w:rsid w:val="00EC0B9B"/>
    <w:rsid w:val="00ED5E9F"/>
    <w:rsid w:val="00F0543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255746"/>
  <w15:chartTrackingRefBased/>
  <w15:docId w15:val="{385F04C4-F500-42A5-A389-1E4EBD1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41392"/>
    <w:pPr>
      <w:ind w:left="720"/>
      <w:contextualSpacing/>
    </w:pPr>
  </w:style>
  <w:style w:type="character" w:styleId="Hyperlink">
    <w:name w:val="Hyperlink"/>
    <w:basedOn w:val="Standardskrifttypeiafsnit"/>
    <w:uiPriority w:val="99"/>
    <w:unhideWhenUsed/>
    <w:rsid w:val="00043C8C"/>
    <w:rPr>
      <w:color w:val="0563C1" w:themeColor="hyperlink"/>
      <w:u w:val="single"/>
    </w:rPr>
  </w:style>
  <w:style w:type="character" w:styleId="Ulstomtale">
    <w:name w:val="Unresolved Mention"/>
    <w:basedOn w:val="Standardskrifttypeiafsnit"/>
    <w:uiPriority w:val="99"/>
    <w:semiHidden/>
    <w:unhideWhenUsed/>
    <w:rsid w:val="00043C8C"/>
    <w:rPr>
      <w:color w:val="605E5C"/>
      <w:shd w:val="clear" w:color="auto" w:fill="E1DFDD"/>
    </w:rPr>
  </w:style>
  <w:style w:type="paragraph" w:customStyle="1" w:styleId="Default">
    <w:name w:val="Default"/>
    <w:rsid w:val="00AC2CE7"/>
    <w:pPr>
      <w:autoSpaceDE w:val="0"/>
      <w:autoSpaceDN w:val="0"/>
      <w:adjustRightInd w:val="0"/>
    </w:pPr>
    <w:rPr>
      <w:color w:val="000000"/>
      <w:sz w:val="24"/>
      <w:szCs w:val="24"/>
      <w:lang w:eastAsia="en-US"/>
    </w:rPr>
  </w:style>
  <w:style w:type="paragraph" w:styleId="Fodnotetekst">
    <w:name w:val="footnote text"/>
    <w:basedOn w:val="Normal"/>
    <w:link w:val="FodnotetekstTegn"/>
    <w:uiPriority w:val="99"/>
    <w:semiHidden/>
    <w:unhideWhenUsed/>
    <w:rsid w:val="00AC2CE7"/>
    <w:rPr>
      <w:sz w:val="20"/>
      <w:lang w:eastAsia="da-DK"/>
    </w:rPr>
  </w:style>
  <w:style w:type="character" w:customStyle="1" w:styleId="FodnotetekstTegn">
    <w:name w:val="Fodnotetekst Tegn"/>
    <w:basedOn w:val="Standardskrifttypeiafsnit"/>
    <w:link w:val="Fodnotetekst"/>
    <w:uiPriority w:val="99"/>
    <w:semiHidden/>
    <w:rsid w:val="00AC2CE7"/>
  </w:style>
  <w:style w:type="character" w:styleId="Fodnotehenvisning">
    <w:name w:val="footnote reference"/>
    <w:uiPriority w:val="99"/>
    <w:semiHidden/>
    <w:unhideWhenUsed/>
    <w:rsid w:val="00AC2CE7"/>
    <w:rPr>
      <w:vertAlign w:val="superscript"/>
    </w:rPr>
  </w:style>
  <w:style w:type="table" w:styleId="Tabel-Gitter">
    <w:name w:val="Table Grid"/>
    <w:basedOn w:val="Tabel-Normal"/>
    <w:rsid w:val="00AC2CE7"/>
    <w:rPr>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39"/>
    <w:rsid w:val="00AC2CE7"/>
    <w:rPr>
      <w:rFonts w:ascii="Calibri" w:eastAsia="Calibri" w:hAnsi="Calibri"/>
      <w:sz w:val="22"/>
      <w:szCs w:val="22"/>
      <w:lang w:val="sl-SI"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7996285">
      <w:bodyDiv w:val="1"/>
      <w:marLeft w:val="0"/>
      <w:marRight w:val="0"/>
      <w:marTop w:val="0"/>
      <w:marBottom w:val="0"/>
      <w:divBdr>
        <w:top w:val="none" w:sz="0" w:space="0" w:color="auto"/>
        <w:left w:val="none" w:sz="0" w:space="0" w:color="auto"/>
        <w:bottom w:val="none" w:sz="0" w:space="0" w:color="auto"/>
        <w:right w:val="none" w:sz="0" w:space="0" w:color="auto"/>
      </w:divBdr>
    </w:div>
    <w:div w:id="816263291">
      <w:bodyDiv w:val="1"/>
      <w:marLeft w:val="0"/>
      <w:marRight w:val="0"/>
      <w:marTop w:val="0"/>
      <w:marBottom w:val="0"/>
      <w:divBdr>
        <w:top w:val="none" w:sz="0" w:space="0" w:color="auto"/>
        <w:left w:val="none" w:sz="0" w:space="0" w:color="auto"/>
        <w:bottom w:val="none" w:sz="0" w:space="0" w:color="auto"/>
        <w:right w:val="none" w:sz="0" w:space="0" w:color="auto"/>
      </w:divBdr>
    </w:div>
    <w:div w:id="917399304">
      <w:bodyDiv w:val="1"/>
      <w:marLeft w:val="0"/>
      <w:marRight w:val="0"/>
      <w:marTop w:val="0"/>
      <w:marBottom w:val="0"/>
      <w:divBdr>
        <w:top w:val="none" w:sz="0" w:space="0" w:color="auto"/>
        <w:left w:val="none" w:sz="0" w:space="0" w:color="auto"/>
        <w:bottom w:val="none" w:sz="0" w:space="0" w:color="auto"/>
        <w:right w:val="none" w:sz="0" w:space="0" w:color="auto"/>
      </w:divBdr>
    </w:div>
    <w:div w:id="992753697">
      <w:bodyDiv w:val="1"/>
      <w:marLeft w:val="0"/>
      <w:marRight w:val="0"/>
      <w:marTop w:val="0"/>
      <w:marBottom w:val="0"/>
      <w:divBdr>
        <w:top w:val="none" w:sz="0" w:space="0" w:color="auto"/>
        <w:left w:val="none" w:sz="0" w:space="0" w:color="auto"/>
        <w:bottom w:val="none" w:sz="0" w:space="0" w:color="auto"/>
        <w:right w:val="none" w:sz="0" w:space="0" w:color="auto"/>
      </w:divBdr>
    </w:div>
    <w:div w:id="1208837735">
      <w:bodyDiv w:val="1"/>
      <w:marLeft w:val="0"/>
      <w:marRight w:val="0"/>
      <w:marTop w:val="0"/>
      <w:marBottom w:val="0"/>
      <w:divBdr>
        <w:top w:val="none" w:sz="0" w:space="0" w:color="auto"/>
        <w:left w:val="none" w:sz="0" w:space="0" w:color="auto"/>
        <w:bottom w:val="none" w:sz="0" w:space="0" w:color="auto"/>
        <w:right w:val="none" w:sz="0" w:space="0" w:color="auto"/>
      </w:divBdr>
    </w:div>
    <w:div w:id="1308125082">
      <w:bodyDiv w:val="1"/>
      <w:marLeft w:val="0"/>
      <w:marRight w:val="0"/>
      <w:marTop w:val="0"/>
      <w:marBottom w:val="0"/>
      <w:divBdr>
        <w:top w:val="none" w:sz="0" w:space="0" w:color="auto"/>
        <w:left w:val="none" w:sz="0" w:space="0" w:color="auto"/>
        <w:bottom w:val="none" w:sz="0" w:space="0" w:color="auto"/>
        <w:right w:val="none" w:sz="0" w:space="0" w:color="auto"/>
      </w:divBdr>
    </w:div>
    <w:div w:id="1871183939">
      <w:bodyDiv w:val="1"/>
      <w:marLeft w:val="0"/>
      <w:marRight w:val="0"/>
      <w:marTop w:val="0"/>
      <w:marBottom w:val="0"/>
      <w:divBdr>
        <w:top w:val="none" w:sz="0" w:space="0" w:color="auto"/>
        <w:left w:val="none" w:sz="0" w:space="0" w:color="auto"/>
        <w:bottom w:val="none" w:sz="0" w:space="0" w:color="auto"/>
        <w:right w:val="none" w:sz="0" w:space="0" w:color="auto"/>
      </w:divBdr>
    </w:div>
    <w:div w:id="20362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96</TotalTime>
  <Pages>17</Pages>
  <Words>4732</Words>
  <Characters>32531</Characters>
  <Application>Microsoft Office Word</Application>
  <DocSecurity>0</DocSecurity>
  <Lines>271</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2024013845 mt</dc:description>
  <cp:lastModifiedBy>Hanne Thy Iversen</cp:lastModifiedBy>
  <cp:revision>13</cp:revision>
  <cp:lastPrinted>2012-08-22T08:53:00Z</cp:lastPrinted>
  <dcterms:created xsi:type="dcterms:W3CDTF">2025-03-05T14:36:00Z</dcterms:created>
  <dcterms:modified xsi:type="dcterms:W3CDTF">2025-03-11T09:45:00Z</dcterms:modified>
</cp:coreProperties>
</file>