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7D20" w14:textId="6FB0D6E0" w:rsidR="009260DE" w:rsidRPr="00EB489F" w:rsidRDefault="0021526C" w:rsidP="00194E1C">
      <w:pPr>
        <w:rPr>
          <w:sz w:val="24"/>
          <w:szCs w:val="24"/>
        </w:rPr>
      </w:pPr>
      <w:r w:rsidRPr="00194E1C">
        <w:rPr>
          <w:noProof/>
          <w:sz w:val="24"/>
          <w:szCs w:val="24"/>
          <w:lang w:eastAsia="da-DK"/>
        </w:rPr>
        <w:drawing>
          <wp:anchor distT="0" distB="0" distL="114300" distR="114300" simplePos="0" relativeHeight="251658240" behindDoc="0" locked="0" layoutInCell="1" allowOverlap="1" wp14:anchorId="1BD8419E" wp14:editId="525A07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94E1C">
        <w:rPr>
          <w:sz w:val="24"/>
          <w:szCs w:val="24"/>
        </w:rPr>
        <w:br w:type="textWrapping" w:clear="all"/>
      </w:r>
    </w:p>
    <w:p w14:paraId="149FE21C" w14:textId="366A30D3" w:rsidR="009260DE" w:rsidRPr="00194E1C" w:rsidRDefault="009260DE" w:rsidP="009260DE">
      <w:pPr>
        <w:pStyle w:val="Titel"/>
        <w:tabs>
          <w:tab w:val="right" w:pos="9356"/>
        </w:tabs>
        <w:jc w:val="left"/>
        <w:rPr>
          <w:b w:val="0"/>
          <w:szCs w:val="24"/>
          <w:lang w:eastAsia="en-US"/>
        </w:rPr>
      </w:pPr>
      <w:r w:rsidRPr="00194E1C">
        <w:rPr>
          <w:b w:val="0"/>
          <w:szCs w:val="24"/>
          <w:lang w:eastAsia="en-US"/>
        </w:rPr>
        <w:tab/>
      </w:r>
      <w:r w:rsidR="00B73624">
        <w:rPr>
          <w:szCs w:val="24"/>
        </w:rPr>
        <w:t>2</w:t>
      </w:r>
      <w:r w:rsidR="00D75703">
        <w:rPr>
          <w:szCs w:val="24"/>
        </w:rPr>
        <w:t xml:space="preserve">. </w:t>
      </w:r>
      <w:r w:rsidR="00B73624">
        <w:rPr>
          <w:szCs w:val="24"/>
        </w:rPr>
        <w:t>decem</w:t>
      </w:r>
      <w:r w:rsidR="00AA64D1">
        <w:rPr>
          <w:szCs w:val="24"/>
        </w:rPr>
        <w:t>ber</w:t>
      </w:r>
      <w:r w:rsidR="00D75703">
        <w:rPr>
          <w:szCs w:val="24"/>
        </w:rPr>
        <w:t xml:space="preserve"> 202</w:t>
      </w:r>
      <w:r w:rsidR="00AA64D1">
        <w:rPr>
          <w:szCs w:val="24"/>
        </w:rPr>
        <w:t>4</w:t>
      </w:r>
    </w:p>
    <w:p w14:paraId="54B20976" w14:textId="77777777" w:rsidR="009260DE" w:rsidRPr="00194E1C" w:rsidRDefault="009260DE" w:rsidP="009260DE">
      <w:pPr>
        <w:pStyle w:val="Titel"/>
        <w:tabs>
          <w:tab w:val="left" w:pos="8222"/>
        </w:tabs>
        <w:jc w:val="left"/>
        <w:rPr>
          <w:b w:val="0"/>
          <w:szCs w:val="24"/>
        </w:rPr>
      </w:pPr>
    </w:p>
    <w:p w14:paraId="4D21E409" w14:textId="77777777" w:rsidR="009260DE" w:rsidRPr="00194E1C" w:rsidRDefault="009260DE" w:rsidP="009260DE">
      <w:pPr>
        <w:pStyle w:val="Titel"/>
        <w:jc w:val="left"/>
        <w:rPr>
          <w:b w:val="0"/>
          <w:szCs w:val="24"/>
        </w:rPr>
      </w:pPr>
    </w:p>
    <w:p w14:paraId="283603E3" w14:textId="77777777" w:rsidR="009260DE" w:rsidRPr="00194E1C" w:rsidRDefault="009260DE" w:rsidP="009260DE">
      <w:pPr>
        <w:pStyle w:val="Titel"/>
        <w:jc w:val="left"/>
        <w:rPr>
          <w:b w:val="0"/>
          <w:szCs w:val="24"/>
        </w:rPr>
      </w:pPr>
    </w:p>
    <w:p w14:paraId="3B3FF468" w14:textId="77777777" w:rsidR="009260DE" w:rsidRPr="00194E1C" w:rsidRDefault="009260DE" w:rsidP="009260DE">
      <w:pPr>
        <w:jc w:val="center"/>
        <w:rPr>
          <w:b/>
          <w:sz w:val="24"/>
          <w:szCs w:val="24"/>
        </w:rPr>
      </w:pPr>
      <w:r w:rsidRPr="00194E1C">
        <w:rPr>
          <w:b/>
          <w:sz w:val="24"/>
          <w:szCs w:val="24"/>
        </w:rPr>
        <w:t>PRODUKTRESUMÉ</w:t>
      </w:r>
    </w:p>
    <w:p w14:paraId="1F900490" w14:textId="44762181" w:rsidR="009260DE" w:rsidRPr="00194E1C" w:rsidRDefault="009260DE" w:rsidP="00EB2A48">
      <w:pPr>
        <w:rPr>
          <w:b/>
          <w:sz w:val="24"/>
          <w:szCs w:val="24"/>
        </w:rPr>
      </w:pPr>
    </w:p>
    <w:p w14:paraId="730BC66D" w14:textId="77777777" w:rsidR="009260DE" w:rsidRPr="00194E1C" w:rsidRDefault="009260DE" w:rsidP="009260DE">
      <w:pPr>
        <w:jc w:val="center"/>
        <w:rPr>
          <w:b/>
          <w:sz w:val="24"/>
          <w:szCs w:val="24"/>
        </w:rPr>
      </w:pPr>
      <w:r w:rsidRPr="00194E1C">
        <w:rPr>
          <w:b/>
          <w:sz w:val="24"/>
          <w:szCs w:val="24"/>
        </w:rPr>
        <w:t>for</w:t>
      </w:r>
    </w:p>
    <w:p w14:paraId="25C833B1" w14:textId="77777777" w:rsidR="000B058C" w:rsidRPr="00194E1C" w:rsidRDefault="000B058C" w:rsidP="009260DE">
      <w:pPr>
        <w:jc w:val="center"/>
        <w:rPr>
          <w:b/>
          <w:sz w:val="24"/>
          <w:szCs w:val="24"/>
        </w:rPr>
      </w:pPr>
    </w:p>
    <w:p w14:paraId="0C73DCF4" w14:textId="4FD32DA8" w:rsidR="009260DE" w:rsidRPr="00194E1C" w:rsidRDefault="002C52C9" w:rsidP="009260DE">
      <w:pPr>
        <w:jc w:val="center"/>
        <w:rPr>
          <w:b/>
          <w:sz w:val="24"/>
          <w:szCs w:val="24"/>
        </w:rPr>
      </w:pPr>
      <w:proofErr w:type="spellStart"/>
      <w:r w:rsidRPr="00194E1C">
        <w:rPr>
          <w:b/>
          <w:sz w:val="24"/>
          <w:szCs w:val="24"/>
        </w:rPr>
        <w:t>Dexamethason</w:t>
      </w:r>
      <w:r w:rsidR="00CB613E" w:rsidRPr="00194E1C">
        <w:rPr>
          <w:b/>
          <w:sz w:val="24"/>
          <w:szCs w:val="24"/>
        </w:rPr>
        <w:t>e</w:t>
      </w:r>
      <w:proofErr w:type="spellEnd"/>
      <w:r w:rsidR="00CB613E" w:rsidRPr="00194E1C">
        <w:rPr>
          <w:b/>
          <w:sz w:val="24"/>
          <w:szCs w:val="24"/>
        </w:rPr>
        <w:t xml:space="preserve"> </w:t>
      </w:r>
      <w:proofErr w:type="spellStart"/>
      <w:r w:rsidR="00CB613E" w:rsidRPr="00194E1C">
        <w:rPr>
          <w:b/>
          <w:sz w:val="24"/>
          <w:szCs w:val="24"/>
        </w:rPr>
        <w:t>phosphate</w:t>
      </w:r>
      <w:proofErr w:type="spellEnd"/>
      <w:r w:rsidR="00CB613E" w:rsidRPr="00194E1C">
        <w:rPr>
          <w:b/>
          <w:sz w:val="24"/>
          <w:szCs w:val="24"/>
        </w:rPr>
        <w:t xml:space="preserve"> "</w:t>
      </w:r>
      <w:proofErr w:type="spellStart"/>
      <w:r w:rsidR="00CB613E" w:rsidRPr="00194E1C">
        <w:rPr>
          <w:b/>
          <w:sz w:val="24"/>
          <w:szCs w:val="24"/>
        </w:rPr>
        <w:t>hameln</w:t>
      </w:r>
      <w:proofErr w:type="spellEnd"/>
      <w:r w:rsidR="00CB613E" w:rsidRPr="00194E1C">
        <w:rPr>
          <w:b/>
          <w:sz w:val="24"/>
          <w:szCs w:val="24"/>
        </w:rPr>
        <w:t>", injektionsvæske, opløsning</w:t>
      </w:r>
    </w:p>
    <w:p w14:paraId="53F03356" w14:textId="77777777" w:rsidR="009260DE" w:rsidRPr="00194E1C" w:rsidRDefault="009260DE" w:rsidP="009260DE">
      <w:pPr>
        <w:jc w:val="both"/>
        <w:rPr>
          <w:sz w:val="24"/>
          <w:szCs w:val="24"/>
        </w:rPr>
      </w:pPr>
    </w:p>
    <w:p w14:paraId="40EE5B02" w14:textId="77777777" w:rsidR="009260DE" w:rsidRPr="00194E1C" w:rsidRDefault="009260DE" w:rsidP="009260DE">
      <w:pPr>
        <w:jc w:val="both"/>
        <w:rPr>
          <w:sz w:val="24"/>
          <w:szCs w:val="24"/>
        </w:rPr>
      </w:pPr>
    </w:p>
    <w:p w14:paraId="132643BB" w14:textId="77777777" w:rsidR="009260DE" w:rsidRPr="00194E1C" w:rsidRDefault="009260DE" w:rsidP="009260DE">
      <w:pPr>
        <w:tabs>
          <w:tab w:val="left" w:pos="851"/>
        </w:tabs>
        <w:ind w:left="851" w:hanging="851"/>
        <w:rPr>
          <w:b/>
          <w:sz w:val="24"/>
          <w:szCs w:val="24"/>
        </w:rPr>
      </w:pPr>
      <w:r w:rsidRPr="00194E1C">
        <w:rPr>
          <w:b/>
          <w:sz w:val="24"/>
          <w:szCs w:val="24"/>
        </w:rPr>
        <w:t>0.</w:t>
      </w:r>
      <w:r w:rsidRPr="00194E1C">
        <w:rPr>
          <w:b/>
          <w:sz w:val="24"/>
          <w:szCs w:val="24"/>
        </w:rPr>
        <w:tab/>
        <w:t>D.SP.NR.</w:t>
      </w:r>
    </w:p>
    <w:p w14:paraId="3E0114E8" w14:textId="745951A5" w:rsidR="009260DE" w:rsidRPr="00194E1C" w:rsidRDefault="00CB613E" w:rsidP="009260DE">
      <w:pPr>
        <w:tabs>
          <w:tab w:val="left" w:pos="851"/>
        </w:tabs>
        <w:ind w:left="851"/>
        <w:rPr>
          <w:sz w:val="24"/>
          <w:szCs w:val="24"/>
        </w:rPr>
      </w:pPr>
      <w:r w:rsidRPr="00194E1C">
        <w:rPr>
          <w:sz w:val="24"/>
          <w:szCs w:val="24"/>
        </w:rPr>
        <w:t>31669</w:t>
      </w:r>
    </w:p>
    <w:p w14:paraId="4A8BD60E" w14:textId="77777777" w:rsidR="009260DE" w:rsidRPr="00194E1C" w:rsidRDefault="009260DE" w:rsidP="009260DE">
      <w:pPr>
        <w:tabs>
          <w:tab w:val="left" w:pos="851"/>
        </w:tabs>
        <w:ind w:left="851"/>
        <w:rPr>
          <w:sz w:val="24"/>
          <w:szCs w:val="24"/>
        </w:rPr>
      </w:pPr>
    </w:p>
    <w:p w14:paraId="719FC5C1" w14:textId="77777777" w:rsidR="009260DE" w:rsidRPr="00194E1C" w:rsidRDefault="009260DE" w:rsidP="009260DE">
      <w:pPr>
        <w:tabs>
          <w:tab w:val="left" w:pos="851"/>
        </w:tabs>
        <w:ind w:left="851" w:hanging="851"/>
        <w:rPr>
          <w:b/>
          <w:sz w:val="24"/>
          <w:szCs w:val="24"/>
        </w:rPr>
      </w:pPr>
      <w:r w:rsidRPr="00194E1C">
        <w:rPr>
          <w:b/>
          <w:sz w:val="24"/>
          <w:szCs w:val="24"/>
        </w:rPr>
        <w:t>1.</w:t>
      </w:r>
      <w:r w:rsidRPr="00194E1C">
        <w:rPr>
          <w:b/>
          <w:sz w:val="24"/>
          <w:szCs w:val="24"/>
        </w:rPr>
        <w:tab/>
        <w:t>LÆGEMIDLETS NAVN</w:t>
      </w:r>
    </w:p>
    <w:p w14:paraId="197261D2" w14:textId="5E73471C" w:rsidR="009260DE" w:rsidRPr="00194E1C" w:rsidRDefault="00CB613E" w:rsidP="009260DE">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proofErr w:type="spellStart"/>
      <w:r w:rsidRPr="00194E1C">
        <w:rPr>
          <w:sz w:val="24"/>
          <w:szCs w:val="24"/>
        </w:rPr>
        <w:t>hameln</w:t>
      </w:r>
      <w:proofErr w:type="spellEnd"/>
      <w:r w:rsidRPr="00194E1C">
        <w:rPr>
          <w:sz w:val="24"/>
          <w:szCs w:val="24"/>
        </w:rPr>
        <w:t>"</w:t>
      </w:r>
    </w:p>
    <w:p w14:paraId="541F6D8F" w14:textId="77777777" w:rsidR="009260DE" w:rsidRPr="00194E1C" w:rsidRDefault="009260DE" w:rsidP="009260DE">
      <w:pPr>
        <w:tabs>
          <w:tab w:val="left" w:pos="851"/>
        </w:tabs>
        <w:ind w:left="851"/>
        <w:rPr>
          <w:sz w:val="24"/>
          <w:szCs w:val="24"/>
        </w:rPr>
      </w:pPr>
    </w:p>
    <w:p w14:paraId="54BAF099" w14:textId="77777777" w:rsidR="009260DE" w:rsidRPr="00194E1C" w:rsidRDefault="009260DE" w:rsidP="009260DE">
      <w:pPr>
        <w:tabs>
          <w:tab w:val="left" w:pos="851"/>
        </w:tabs>
        <w:ind w:left="851" w:hanging="851"/>
        <w:rPr>
          <w:b/>
          <w:sz w:val="24"/>
          <w:szCs w:val="24"/>
        </w:rPr>
      </w:pPr>
      <w:r w:rsidRPr="00194E1C">
        <w:rPr>
          <w:b/>
          <w:sz w:val="24"/>
          <w:szCs w:val="24"/>
        </w:rPr>
        <w:t>2.</w:t>
      </w:r>
      <w:r w:rsidRPr="00194E1C">
        <w:rPr>
          <w:b/>
          <w:sz w:val="24"/>
          <w:szCs w:val="24"/>
        </w:rPr>
        <w:tab/>
        <w:t>KVALITATIV OG KVANTITATIV SAMMENSÆTNING</w:t>
      </w:r>
    </w:p>
    <w:p w14:paraId="5FC41277" w14:textId="77777777" w:rsidR="004E1574" w:rsidRPr="00194E1C" w:rsidRDefault="004E1574" w:rsidP="004E1574">
      <w:pPr>
        <w:tabs>
          <w:tab w:val="left" w:pos="851"/>
        </w:tabs>
        <w:ind w:left="851"/>
        <w:rPr>
          <w:sz w:val="24"/>
          <w:szCs w:val="24"/>
          <w:lang w:eastAsia="da-DK"/>
        </w:rPr>
      </w:pPr>
      <w:r w:rsidRPr="00194E1C">
        <w:rPr>
          <w:sz w:val="24"/>
          <w:szCs w:val="24"/>
        </w:rPr>
        <w:t xml:space="preserve">1 ml af opløsningen indeholder 4,00 mg </w:t>
      </w:r>
      <w:proofErr w:type="spellStart"/>
      <w:r w:rsidRPr="00194E1C">
        <w:rPr>
          <w:sz w:val="24"/>
          <w:szCs w:val="24"/>
        </w:rPr>
        <w:t>dexamethasonphosphat</w:t>
      </w:r>
      <w:proofErr w:type="spellEnd"/>
      <w:r w:rsidRPr="00194E1C">
        <w:rPr>
          <w:sz w:val="24"/>
          <w:szCs w:val="24"/>
        </w:rPr>
        <w:t xml:space="preserve"> (som </w:t>
      </w:r>
      <w:proofErr w:type="spellStart"/>
      <w:r w:rsidRPr="00194E1C">
        <w:rPr>
          <w:sz w:val="24"/>
          <w:szCs w:val="24"/>
        </w:rPr>
        <w:t>dexamethasonnatrium-phosphat</w:t>
      </w:r>
      <w:proofErr w:type="spellEnd"/>
      <w:r w:rsidRPr="00194E1C">
        <w:rPr>
          <w:sz w:val="24"/>
          <w:szCs w:val="24"/>
        </w:rPr>
        <w:t>).</w:t>
      </w:r>
    </w:p>
    <w:p w14:paraId="0005497C" w14:textId="77777777" w:rsidR="004E1574" w:rsidRPr="00194E1C" w:rsidRDefault="004E1574" w:rsidP="004E1574">
      <w:pPr>
        <w:tabs>
          <w:tab w:val="left" w:pos="851"/>
        </w:tabs>
        <w:ind w:left="851"/>
        <w:rPr>
          <w:sz w:val="24"/>
          <w:szCs w:val="24"/>
        </w:rPr>
      </w:pPr>
    </w:p>
    <w:p w14:paraId="65E0BCE3" w14:textId="77777777" w:rsidR="004E1574" w:rsidRPr="00194E1C" w:rsidRDefault="004E1574" w:rsidP="004E1574">
      <w:pPr>
        <w:tabs>
          <w:tab w:val="left" w:pos="851"/>
        </w:tabs>
        <w:ind w:left="851"/>
        <w:rPr>
          <w:sz w:val="24"/>
          <w:szCs w:val="24"/>
        </w:rPr>
      </w:pPr>
      <w:r w:rsidRPr="00194E1C">
        <w:rPr>
          <w:sz w:val="24"/>
          <w:szCs w:val="24"/>
        </w:rPr>
        <w:t xml:space="preserve">2 ml af opløsningen indeholder 8,00 mg </w:t>
      </w:r>
      <w:proofErr w:type="spellStart"/>
      <w:r w:rsidRPr="00194E1C">
        <w:rPr>
          <w:sz w:val="24"/>
          <w:szCs w:val="24"/>
        </w:rPr>
        <w:t>dexamethasonphosphat</w:t>
      </w:r>
      <w:proofErr w:type="spellEnd"/>
      <w:r w:rsidRPr="00194E1C">
        <w:rPr>
          <w:sz w:val="24"/>
          <w:szCs w:val="24"/>
        </w:rPr>
        <w:t xml:space="preserve"> (som </w:t>
      </w:r>
      <w:proofErr w:type="spellStart"/>
      <w:r w:rsidRPr="00194E1C">
        <w:rPr>
          <w:sz w:val="24"/>
          <w:szCs w:val="24"/>
        </w:rPr>
        <w:t>dexamethasonnatrium-phosphat</w:t>
      </w:r>
      <w:proofErr w:type="spellEnd"/>
      <w:r w:rsidRPr="00194E1C">
        <w:rPr>
          <w:sz w:val="24"/>
          <w:szCs w:val="24"/>
        </w:rPr>
        <w:t>).</w:t>
      </w:r>
    </w:p>
    <w:p w14:paraId="79BB3C0F" w14:textId="77777777" w:rsidR="004E1574" w:rsidRPr="00194E1C" w:rsidRDefault="004E1574" w:rsidP="004E1574">
      <w:pPr>
        <w:tabs>
          <w:tab w:val="left" w:pos="851"/>
        </w:tabs>
        <w:ind w:left="851"/>
        <w:rPr>
          <w:sz w:val="24"/>
          <w:szCs w:val="24"/>
        </w:rPr>
      </w:pPr>
    </w:p>
    <w:p w14:paraId="1EFC1339" w14:textId="77777777" w:rsidR="004E1574" w:rsidRPr="00194E1C" w:rsidRDefault="004E1574" w:rsidP="004E1574">
      <w:pPr>
        <w:tabs>
          <w:tab w:val="left" w:pos="851"/>
        </w:tabs>
        <w:ind w:left="851"/>
        <w:rPr>
          <w:sz w:val="24"/>
          <w:szCs w:val="24"/>
          <w:u w:val="single"/>
        </w:rPr>
      </w:pPr>
      <w:r w:rsidRPr="00194E1C">
        <w:rPr>
          <w:sz w:val="24"/>
          <w:szCs w:val="24"/>
          <w:u w:val="single"/>
        </w:rPr>
        <w:t xml:space="preserve">Hjælpestof(fer), som behandleren skal være opmærksom på: </w:t>
      </w:r>
    </w:p>
    <w:p w14:paraId="477A2A47" w14:textId="77777777" w:rsidR="004E1574" w:rsidRPr="00194E1C" w:rsidRDefault="004E1574" w:rsidP="004E1574">
      <w:pPr>
        <w:tabs>
          <w:tab w:val="left" w:pos="851"/>
        </w:tabs>
        <w:ind w:left="851"/>
        <w:rPr>
          <w:sz w:val="24"/>
          <w:szCs w:val="24"/>
        </w:rPr>
      </w:pPr>
      <w:r w:rsidRPr="00194E1C">
        <w:rPr>
          <w:sz w:val="24"/>
          <w:szCs w:val="24"/>
        </w:rPr>
        <w:t xml:space="preserve">Dette lægemiddel indeholder 20 mg propylenglykol pr. 1 ml - se pkt. 4.2, 4.4, 4.6 og 4.8. </w:t>
      </w:r>
    </w:p>
    <w:p w14:paraId="34B4C4F4" w14:textId="77777777" w:rsidR="004E1574" w:rsidRPr="00194E1C" w:rsidRDefault="004E1574" w:rsidP="004E1574">
      <w:pPr>
        <w:tabs>
          <w:tab w:val="left" w:pos="851"/>
        </w:tabs>
        <w:ind w:left="851"/>
        <w:rPr>
          <w:sz w:val="24"/>
          <w:szCs w:val="24"/>
        </w:rPr>
      </w:pPr>
      <w:r w:rsidRPr="00194E1C">
        <w:rPr>
          <w:sz w:val="24"/>
          <w:szCs w:val="24"/>
        </w:rPr>
        <w:t>Dette lægemiddel indeholder 0,42 mg natrium pr. 1 ml - se pkt. 4.4.</w:t>
      </w:r>
    </w:p>
    <w:p w14:paraId="15F49258" w14:textId="77777777" w:rsidR="004E1574" w:rsidRPr="00194E1C" w:rsidRDefault="004E1574" w:rsidP="004E1574">
      <w:pPr>
        <w:tabs>
          <w:tab w:val="left" w:pos="851"/>
        </w:tabs>
        <w:ind w:left="851"/>
        <w:rPr>
          <w:sz w:val="24"/>
          <w:szCs w:val="24"/>
        </w:rPr>
      </w:pPr>
    </w:p>
    <w:p w14:paraId="629EFB4E" w14:textId="77777777" w:rsidR="004E1574" w:rsidRPr="00194E1C" w:rsidRDefault="004E1574" w:rsidP="004E1574">
      <w:pPr>
        <w:tabs>
          <w:tab w:val="left" w:pos="851"/>
        </w:tabs>
        <w:ind w:left="851"/>
        <w:rPr>
          <w:sz w:val="24"/>
          <w:szCs w:val="24"/>
        </w:rPr>
      </w:pPr>
      <w:r w:rsidRPr="00194E1C">
        <w:rPr>
          <w:sz w:val="24"/>
          <w:szCs w:val="24"/>
        </w:rPr>
        <w:t>Alle hjælpestoffer er anført under pkt. 6.1.</w:t>
      </w:r>
    </w:p>
    <w:p w14:paraId="61437467" w14:textId="77777777" w:rsidR="009260DE" w:rsidRPr="00194E1C" w:rsidRDefault="009260DE" w:rsidP="009260DE">
      <w:pPr>
        <w:tabs>
          <w:tab w:val="left" w:pos="851"/>
        </w:tabs>
        <w:ind w:left="851"/>
        <w:rPr>
          <w:sz w:val="24"/>
          <w:szCs w:val="24"/>
        </w:rPr>
      </w:pPr>
    </w:p>
    <w:p w14:paraId="73D58A54" w14:textId="77777777" w:rsidR="009260DE" w:rsidRPr="00194E1C" w:rsidRDefault="009260DE" w:rsidP="009260DE">
      <w:pPr>
        <w:tabs>
          <w:tab w:val="left" w:pos="851"/>
        </w:tabs>
        <w:ind w:left="851" w:hanging="851"/>
        <w:rPr>
          <w:b/>
          <w:sz w:val="24"/>
          <w:szCs w:val="24"/>
        </w:rPr>
      </w:pPr>
      <w:r w:rsidRPr="00194E1C">
        <w:rPr>
          <w:b/>
          <w:sz w:val="24"/>
          <w:szCs w:val="24"/>
        </w:rPr>
        <w:t>3.</w:t>
      </w:r>
      <w:r w:rsidRPr="00194E1C">
        <w:rPr>
          <w:b/>
          <w:sz w:val="24"/>
          <w:szCs w:val="24"/>
        </w:rPr>
        <w:tab/>
        <w:t>LÆGEMIDDELFORM</w:t>
      </w:r>
    </w:p>
    <w:p w14:paraId="7FA20E19" w14:textId="77777777" w:rsidR="004E1574" w:rsidRPr="00194E1C" w:rsidRDefault="004E1574" w:rsidP="004E1574">
      <w:pPr>
        <w:tabs>
          <w:tab w:val="left" w:pos="851"/>
        </w:tabs>
        <w:ind w:left="851"/>
        <w:rPr>
          <w:sz w:val="24"/>
          <w:szCs w:val="24"/>
          <w:lang w:eastAsia="da-DK"/>
        </w:rPr>
      </w:pPr>
      <w:r w:rsidRPr="00194E1C">
        <w:rPr>
          <w:sz w:val="24"/>
          <w:szCs w:val="24"/>
        </w:rPr>
        <w:t>Injektionsvæske, opløsning (injektion)</w:t>
      </w:r>
    </w:p>
    <w:p w14:paraId="0703C16F" w14:textId="77777777" w:rsidR="004E1574" w:rsidRPr="00194E1C" w:rsidRDefault="004E1574" w:rsidP="004E1574">
      <w:pPr>
        <w:tabs>
          <w:tab w:val="left" w:pos="851"/>
        </w:tabs>
        <w:ind w:left="851"/>
        <w:rPr>
          <w:sz w:val="24"/>
          <w:szCs w:val="24"/>
        </w:rPr>
      </w:pPr>
    </w:p>
    <w:p w14:paraId="3620659D" w14:textId="77777777" w:rsidR="004E1574" w:rsidRPr="00194E1C" w:rsidRDefault="004E1574" w:rsidP="004E1574">
      <w:pPr>
        <w:tabs>
          <w:tab w:val="left" w:pos="851"/>
        </w:tabs>
        <w:ind w:left="851"/>
        <w:rPr>
          <w:sz w:val="24"/>
          <w:szCs w:val="24"/>
        </w:rPr>
      </w:pPr>
      <w:r w:rsidRPr="00194E1C">
        <w:rPr>
          <w:sz w:val="24"/>
          <w:szCs w:val="24"/>
        </w:rPr>
        <w:t>Klar, farveløs opløsning, fri for synlige partikler.</w:t>
      </w:r>
    </w:p>
    <w:p w14:paraId="13E70AE9" w14:textId="77777777" w:rsidR="004E1574" w:rsidRPr="00194E1C" w:rsidRDefault="004E1574" w:rsidP="004E1574">
      <w:pPr>
        <w:tabs>
          <w:tab w:val="left" w:pos="851"/>
        </w:tabs>
        <w:ind w:left="851"/>
        <w:rPr>
          <w:sz w:val="24"/>
          <w:szCs w:val="24"/>
        </w:rPr>
      </w:pPr>
      <w:r w:rsidRPr="00194E1C">
        <w:rPr>
          <w:sz w:val="24"/>
          <w:szCs w:val="24"/>
        </w:rPr>
        <w:t>pH 7,5 – 8,7</w:t>
      </w:r>
    </w:p>
    <w:p w14:paraId="4B078D6C" w14:textId="77777777" w:rsidR="009260DE" w:rsidRPr="00194E1C" w:rsidRDefault="009260DE" w:rsidP="009260DE">
      <w:pPr>
        <w:tabs>
          <w:tab w:val="left" w:pos="851"/>
        </w:tabs>
        <w:ind w:left="851"/>
        <w:rPr>
          <w:sz w:val="24"/>
          <w:szCs w:val="24"/>
        </w:rPr>
      </w:pPr>
    </w:p>
    <w:p w14:paraId="45CEF985" w14:textId="5FEED5FD" w:rsidR="009260DE" w:rsidRDefault="009260DE" w:rsidP="009260DE">
      <w:pPr>
        <w:tabs>
          <w:tab w:val="left" w:pos="851"/>
        </w:tabs>
        <w:ind w:left="851"/>
        <w:rPr>
          <w:sz w:val="24"/>
          <w:szCs w:val="24"/>
        </w:rPr>
      </w:pPr>
    </w:p>
    <w:p w14:paraId="68944065" w14:textId="1A775BB4" w:rsidR="008A4EEB" w:rsidRDefault="008A4EEB" w:rsidP="009260DE">
      <w:pPr>
        <w:tabs>
          <w:tab w:val="left" w:pos="851"/>
        </w:tabs>
        <w:ind w:left="851"/>
        <w:rPr>
          <w:sz w:val="24"/>
          <w:szCs w:val="24"/>
        </w:rPr>
      </w:pPr>
    </w:p>
    <w:p w14:paraId="7005C947" w14:textId="29078E2C" w:rsidR="008A4EEB" w:rsidRDefault="008A4EEB" w:rsidP="009260DE">
      <w:pPr>
        <w:tabs>
          <w:tab w:val="left" w:pos="851"/>
        </w:tabs>
        <w:ind w:left="851"/>
        <w:rPr>
          <w:sz w:val="24"/>
          <w:szCs w:val="24"/>
        </w:rPr>
      </w:pPr>
    </w:p>
    <w:p w14:paraId="21E5FEAF" w14:textId="0F684B1B" w:rsidR="008A4EEB" w:rsidRDefault="008A4EEB" w:rsidP="009260DE">
      <w:pPr>
        <w:tabs>
          <w:tab w:val="left" w:pos="851"/>
        </w:tabs>
        <w:ind w:left="851"/>
        <w:rPr>
          <w:sz w:val="24"/>
          <w:szCs w:val="24"/>
        </w:rPr>
      </w:pPr>
    </w:p>
    <w:p w14:paraId="2F1601E2" w14:textId="7A5301FB" w:rsidR="008A4EEB" w:rsidRDefault="008A4EEB" w:rsidP="009260DE">
      <w:pPr>
        <w:tabs>
          <w:tab w:val="left" w:pos="851"/>
        </w:tabs>
        <w:ind w:left="851"/>
        <w:rPr>
          <w:sz w:val="24"/>
          <w:szCs w:val="24"/>
        </w:rPr>
      </w:pPr>
    </w:p>
    <w:p w14:paraId="5D7FF3F1" w14:textId="10BE44D6" w:rsidR="008A4EEB" w:rsidRDefault="008A4EEB" w:rsidP="009260DE">
      <w:pPr>
        <w:tabs>
          <w:tab w:val="left" w:pos="851"/>
        </w:tabs>
        <w:ind w:left="851"/>
        <w:rPr>
          <w:sz w:val="24"/>
          <w:szCs w:val="24"/>
        </w:rPr>
      </w:pPr>
    </w:p>
    <w:p w14:paraId="6E6388E0" w14:textId="7B86EFFC" w:rsidR="008A4EEB" w:rsidRDefault="008A4EEB" w:rsidP="00B73624">
      <w:pPr>
        <w:tabs>
          <w:tab w:val="left" w:pos="851"/>
        </w:tabs>
        <w:rPr>
          <w:sz w:val="24"/>
          <w:szCs w:val="24"/>
        </w:rPr>
      </w:pPr>
    </w:p>
    <w:p w14:paraId="02B18512" w14:textId="6F4AB404" w:rsidR="008A4EEB" w:rsidRDefault="008A4EEB" w:rsidP="009260DE">
      <w:pPr>
        <w:tabs>
          <w:tab w:val="left" w:pos="851"/>
        </w:tabs>
        <w:ind w:left="851"/>
        <w:rPr>
          <w:sz w:val="24"/>
          <w:szCs w:val="24"/>
        </w:rPr>
      </w:pPr>
    </w:p>
    <w:p w14:paraId="1FE8EB4D" w14:textId="4597BE77" w:rsidR="008A4EEB" w:rsidRDefault="008A4EEB" w:rsidP="009260DE">
      <w:pPr>
        <w:tabs>
          <w:tab w:val="left" w:pos="851"/>
        </w:tabs>
        <w:ind w:left="851"/>
        <w:rPr>
          <w:sz w:val="24"/>
          <w:szCs w:val="24"/>
        </w:rPr>
      </w:pPr>
    </w:p>
    <w:p w14:paraId="6972BEBC" w14:textId="77777777" w:rsidR="008A4EEB" w:rsidRPr="00194E1C" w:rsidRDefault="008A4EEB" w:rsidP="009260DE">
      <w:pPr>
        <w:tabs>
          <w:tab w:val="left" w:pos="851"/>
        </w:tabs>
        <w:ind w:left="851"/>
        <w:rPr>
          <w:sz w:val="24"/>
          <w:szCs w:val="24"/>
        </w:rPr>
      </w:pPr>
    </w:p>
    <w:p w14:paraId="721B4E88" w14:textId="77777777" w:rsidR="009260DE" w:rsidRPr="00194E1C" w:rsidRDefault="009260DE" w:rsidP="009260DE">
      <w:pPr>
        <w:tabs>
          <w:tab w:val="left" w:pos="851"/>
        </w:tabs>
        <w:ind w:left="851" w:hanging="851"/>
        <w:rPr>
          <w:b/>
          <w:sz w:val="24"/>
          <w:szCs w:val="24"/>
        </w:rPr>
      </w:pPr>
      <w:r w:rsidRPr="00194E1C">
        <w:rPr>
          <w:b/>
          <w:sz w:val="24"/>
          <w:szCs w:val="24"/>
        </w:rPr>
        <w:lastRenderedPageBreak/>
        <w:t>4.</w:t>
      </w:r>
      <w:r w:rsidRPr="00194E1C">
        <w:rPr>
          <w:b/>
          <w:sz w:val="24"/>
          <w:szCs w:val="24"/>
        </w:rPr>
        <w:tab/>
        <w:t>KLINISKE OPLYSNINGER</w:t>
      </w:r>
    </w:p>
    <w:p w14:paraId="1CA09B4A" w14:textId="77777777" w:rsidR="009260DE" w:rsidRPr="00194E1C" w:rsidRDefault="009260DE" w:rsidP="009260DE">
      <w:pPr>
        <w:tabs>
          <w:tab w:val="left" w:pos="851"/>
        </w:tabs>
        <w:ind w:left="851"/>
        <w:rPr>
          <w:b/>
          <w:sz w:val="24"/>
          <w:szCs w:val="24"/>
        </w:rPr>
      </w:pPr>
    </w:p>
    <w:p w14:paraId="58721E4D" w14:textId="77777777" w:rsidR="009260DE" w:rsidRPr="00194E1C" w:rsidRDefault="009260DE" w:rsidP="009260DE">
      <w:pPr>
        <w:tabs>
          <w:tab w:val="left" w:pos="851"/>
        </w:tabs>
        <w:ind w:left="851" w:hanging="851"/>
        <w:rPr>
          <w:b/>
          <w:sz w:val="24"/>
          <w:szCs w:val="24"/>
          <w:u w:val="single"/>
        </w:rPr>
      </w:pPr>
      <w:r w:rsidRPr="00194E1C">
        <w:rPr>
          <w:b/>
          <w:sz w:val="24"/>
          <w:szCs w:val="24"/>
        </w:rPr>
        <w:t>4.1</w:t>
      </w:r>
      <w:r w:rsidRPr="00194E1C">
        <w:rPr>
          <w:b/>
          <w:sz w:val="24"/>
          <w:szCs w:val="24"/>
        </w:rPr>
        <w:tab/>
        <w:t>Terapeutiske indikationer</w:t>
      </w:r>
    </w:p>
    <w:p w14:paraId="66D4D0D9" w14:textId="77777777" w:rsidR="00EB489F" w:rsidRDefault="00EB489F" w:rsidP="004E1574">
      <w:pPr>
        <w:tabs>
          <w:tab w:val="left" w:pos="851"/>
        </w:tabs>
        <w:ind w:left="851"/>
        <w:rPr>
          <w:sz w:val="24"/>
          <w:szCs w:val="24"/>
          <w:u w:val="single"/>
        </w:rPr>
      </w:pPr>
    </w:p>
    <w:p w14:paraId="526A498F" w14:textId="45E7C09B" w:rsidR="004E1574" w:rsidRPr="00194E1C" w:rsidRDefault="004E1574" w:rsidP="004E1574">
      <w:pPr>
        <w:tabs>
          <w:tab w:val="left" w:pos="851"/>
        </w:tabs>
        <w:ind w:left="851"/>
        <w:rPr>
          <w:sz w:val="24"/>
          <w:szCs w:val="24"/>
          <w:u w:val="single"/>
          <w:lang w:eastAsia="da-DK"/>
        </w:rPr>
      </w:pPr>
      <w:r w:rsidRPr="00194E1C">
        <w:rPr>
          <w:sz w:val="24"/>
          <w:szCs w:val="24"/>
          <w:u w:val="single"/>
        </w:rPr>
        <w:t>Systemisk administration</w:t>
      </w:r>
    </w:p>
    <w:p w14:paraId="5294E451" w14:textId="77777777" w:rsidR="004E1574" w:rsidRPr="00194E1C" w:rsidRDefault="004E1574" w:rsidP="004E1574">
      <w:pPr>
        <w:tabs>
          <w:tab w:val="left" w:pos="851"/>
        </w:tabs>
        <w:ind w:left="851"/>
        <w:rPr>
          <w:sz w:val="24"/>
          <w:szCs w:val="24"/>
        </w:rPr>
      </w:pPr>
    </w:p>
    <w:p w14:paraId="3507CA73" w14:textId="77777777" w:rsidR="004E1574" w:rsidRPr="00194E1C" w:rsidRDefault="004E1574" w:rsidP="004E1574">
      <w:pPr>
        <w:tabs>
          <w:tab w:val="left" w:pos="851"/>
        </w:tabs>
        <w:ind w:left="851"/>
        <w:rPr>
          <w:b/>
          <w:bCs/>
          <w:sz w:val="24"/>
          <w:szCs w:val="24"/>
        </w:rPr>
      </w:pPr>
      <w:r w:rsidRPr="00194E1C">
        <w:rPr>
          <w:b/>
          <w:bCs/>
          <w:sz w:val="24"/>
          <w:szCs w:val="24"/>
        </w:rPr>
        <w:t>Intravenøs eller intramuskulær administration</w:t>
      </w:r>
    </w:p>
    <w:p w14:paraId="06EE5B26" w14:textId="398BC77C" w:rsidR="004E1574" w:rsidRPr="00194E1C" w:rsidRDefault="004E1574" w:rsidP="004E1574">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anbefales til systemisk administration ved intravenøs eller intramuskulær injektion, når oral behandling ikke er mulig eller ønskelig under følgende betingelser: </w:t>
      </w:r>
    </w:p>
    <w:p w14:paraId="012B6B38"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Cerebralt ødem forårsaget af cerebral tumor, neurokirurgiske indgreb, cerebral absces, bakteriel meningitis</w:t>
      </w:r>
    </w:p>
    <w:p w14:paraId="79BCEF79" w14:textId="77777777" w:rsidR="004E1574" w:rsidRPr="00194E1C" w:rsidRDefault="004E1574" w:rsidP="004E1574">
      <w:pPr>
        <w:tabs>
          <w:tab w:val="left" w:pos="851"/>
        </w:tabs>
        <w:ind w:left="851"/>
        <w:rPr>
          <w:sz w:val="24"/>
          <w:szCs w:val="24"/>
        </w:rPr>
      </w:pPr>
      <w:r w:rsidRPr="00194E1C">
        <w:rPr>
          <w:sz w:val="24"/>
          <w:szCs w:val="24"/>
        </w:rPr>
        <w:t>•</w:t>
      </w:r>
      <w:r w:rsidRPr="00194E1C">
        <w:rPr>
          <w:sz w:val="24"/>
          <w:szCs w:val="24"/>
        </w:rPr>
        <w:tab/>
        <w:t xml:space="preserve">Posttraumatisk </w:t>
      </w:r>
      <w:proofErr w:type="spellStart"/>
      <w:r w:rsidRPr="00194E1C">
        <w:rPr>
          <w:sz w:val="24"/>
          <w:szCs w:val="24"/>
        </w:rPr>
        <w:t>shock</w:t>
      </w:r>
      <w:proofErr w:type="spellEnd"/>
      <w:r w:rsidRPr="00194E1C">
        <w:rPr>
          <w:sz w:val="24"/>
          <w:szCs w:val="24"/>
        </w:rPr>
        <w:t xml:space="preserve"> og forebyggelse af posttraumatisk akut lungesvigt (ARDS)</w:t>
      </w:r>
    </w:p>
    <w:p w14:paraId="603BF4A2" w14:textId="77777777" w:rsidR="004E1574" w:rsidRPr="00194E1C" w:rsidRDefault="004E1574" w:rsidP="004E1574">
      <w:pPr>
        <w:tabs>
          <w:tab w:val="left" w:pos="851"/>
        </w:tabs>
        <w:ind w:left="851"/>
        <w:rPr>
          <w:sz w:val="24"/>
          <w:szCs w:val="24"/>
        </w:rPr>
      </w:pPr>
      <w:r w:rsidRPr="00194E1C">
        <w:rPr>
          <w:sz w:val="24"/>
          <w:szCs w:val="24"/>
        </w:rPr>
        <w:t>•</w:t>
      </w:r>
      <w:r w:rsidRPr="00194E1C">
        <w:rPr>
          <w:sz w:val="24"/>
          <w:szCs w:val="24"/>
        </w:rPr>
        <w:tab/>
        <w:t>Coronavirussygdom 2019 (COVID 19):</w:t>
      </w:r>
    </w:p>
    <w:p w14:paraId="7724E402" w14:textId="77777777" w:rsidR="004E1574" w:rsidRPr="00194E1C" w:rsidRDefault="004E1574" w:rsidP="004E1574">
      <w:pPr>
        <w:tabs>
          <w:tab w:val="left" w:pos="851"/>
        </w:tabs>
        <w:ind w:left="1304"/>
        <w:rPr>
          <w:sz w:val="24"/>
          <w:szCs w:val="24"/>
        </w:rPr>
      </w:pPr>
      <w:r w:rsidRPr="00194E1C">
        <w:rPr>
          <w:sz w:val="24"/>
          <w:szCs w:val="24"/>
        </w:rPr>
        <w:t xml:space="preserve">Til behandling af </w:t>
      </w:r>
      <w:proofErr w:type="spellStart"/>
      <w:r w:rsidRPr="00194E1C">
        <w:rPr>
          <w:sz w:val="24"/>
          <w:szCs w:val="24"/>
        </w:rPr>
        <w:t>coronavirussygdom</w:t>
      </w:r>
      <w:proofErr w:type="spellEnd"/>
      <w:r w:rsidRPr="00194E1C">
        <w:rPr>
          <w:sz w:val="24"/>
          <w:szCs w:val="24"/>
        </w:rPr>
        <w:t xml:space="preserve"> 2019 (COVID 19) hos voksne og unge patienter (12 år og ældre med en legemsvægt på mindst 40 kg), der har behov for supplerende iltbehandling.</w:t>
      </w:r>
    </w:p>
    <w:p w14:paraId="5D4C15EA" w14:textId="77777777" w:rsidR="004E1574" w:rsidRPr="00194E1C" w:rsidRDefault="004E1574" w:rsidP="004E1574">
      <w:pPr>
        <w:tabs>
          <w:tab w:val="left" w:pos="851"/>
        </w:tabs>
        <w:ind w:left="851"/>
        <w:rPr>
          <w:sz w:val="24"/>
          <w:szCs w:val="24"/>
        </w:rPr>
      </w:pPr>
      <w:r w:rsidRPr="00194E1C">
        <w:rPr>
          <w:sz w:val="24"/>
          <w:szCs w:val="24"/>
        </w:rPr>
        <w:t>•</w:t>
      </w:r>
      <w:r w:rsidRPr="00194E1C">
        <w:rPr>
          <w:sz w:val="24"/>
          <w:szCs w:val="24"/>
        </w:rPr>
        <w:tab/>
      </w:r>
      <w:proofErr w:type="spellStart"/>
      <w:r w:rsidRPr="00194E1C">
        <w:rPr>
          <w:sz w:val="24"/>
          <w:szCs w:val="24"/>
        </w:rPr>
        <w:t>Anafylaktisk</w:t>
      </w:r>
      <w:proofErr w:type="spellEnd"/>
      <w:r w:rsidRPr="00194E1C">
        <w:rPr>
          <w:sz w:val="24"/>
          <w:szCs w:val="24"/>
        </w:rPr>
        <w:t xml:space="preserve"> </w:t>
      </w:r>
      <w:proofErr w:type="spellStart"/>
      <w:r w:rsidRPr="00194E1C">
        <w:rPr>
          <w:sz w:val="24"/>
          <w:szCs w:val="24"/>
        </w:rPr>
        <w:t>shock</w:t>
      </w:r>
      <w:proofErr w:type="spellEnd"/>
      <w:r w:rsidRPr="00194E1C">
        <w:rPr>
          <w:sz w:val="24"/>
          <w:szCs w:val="24"/>
        </w:rPr>
        <w:t xml:space="preserve"> (efter indledende adrenalin injektion)</w:t>
      </w:r>
    </w:p>
    <w:p w14:paraId="4AF18F25" w14:textId="77777777" w:rsidR="004E1574" w:rsidRPr="00194E1C" w:rsidRDefault="004E1574" w:rsidP="004E1574">
      <w:pPr>
        <w:tabs>
          <w:tab w:val="left" w:pos="851"/>
        </w:tabs>
        <w:ind w:left="851"/>
        <w:rPr>
          <w:sz w:val="24"/>
          <w:szCs w:val="24"/>
        </w:rPr>
      </w:pPr>
      <w:r w:rsidRPr="00194E1C">
        <w:rPr>
          <w:sz w:val="24"/>
          <w:szCs w:val="24"/>
        </w:rPr>
        <w:t>•</w:t>
      </w:r>
      <w:r w:rsidRPr="00194E1C">
        <w:rPr>
          <w:sz w:val="24"/>
          <w:szCs w:val="24"/>
        </w:rPr>
        <w:tab/>
        <w:t>Alvorligt, akut astmaanfald</w:t>
      </w:r>
    </w:p>
    <w:p w14:paraId="300D4FD1"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 xml:space="preserve">Indledende parenteral behandling af omfattende, akutte, alvorlige hudsygdomme såsom </w:t>
      </w:r>
      <w:proofErr w:type="spellStart"/>
      <w:r w:rsidRPr="00194E1C">
        <w:rPr>
          <w:sz w:val="24"/>
          <w:szCs w:val="24"/>
        </w:rPr>
        <w:t>erytrodermi</w:t>
      </w:r>
      <w:proofErr w:type="spellEnd"/>
      <w:r w:rsidRPr="00194E1C">
        <w:rPr>
          <w:sz w:val="24"/>
          <w:szCs w:val="24"/>
        </w:rPr>
        <w:t xml:space="preserve">, </w:t>
      </w:r>
      <w:proofErr w:type="spellStart"/>
      <w:r w:rsidRPr="00194E1C">
        <w:rPr>
          <w:sz w:val="24"/>
          <w:szCs w:val="24"/>
        </w:rPr>
        <w:t>pemphigus</w:t>
      </w:r>
      <w:proofErr w:type="spellEnd"/>
      <w:r w:rsidRPr="00194E1C">
        <w:rPr>
          <w:sz w:val="24"/>
          <w:szCs w:val="24"/>
        </w:rPr>
        <w:t xml:space="preserve"> </w:t>
      </w:r>
      <w:proofErr w:type="spellStart"/>
      <w:r w:rsidRPr="00194E1C">
        <w:rPr>
          <w:sz w:val="24"/>
          <w:szCs w:val="24"/>
        </w:rPr>
        <w:t>vulgaris</w:t>
      </w:r>
      <w:proofErr w:type="spellEnd"/>
      <w:r w:rsidRPr="00194E1C">
        <w:rPr>
          <w:sz w:val="24"/>
          <w:szCs w:val="24"/>
        </w:rPr>
        <w:t>, akut eksem</w:t>
      </w:r>
    </w:p>
    <w:p w14:paraId="09BBC272"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 xml:space="preserve">Indledende parenteral behandling af autoimmune sygdomme såsom systemisk lupus </w:t>
      </w:r>
      <w:proofErr w:type="spellStart"/>
      <w:r w:rsidRPr="00194E1C">
        <w:rPr>
          <w:sz w:val="24"/>
          <w:szCs w:val="24"/>
        </w:rPr>
        <w:t>erythematosus</w:t>
      </w:r>
      <w:proofErr w:type="spellEnd"/>
      <w:r w:rsidRPr="00194E1C">
        <w:rPr>
          <w:sz w:val="24"/>
          <w:szCs w:val="24"/>
        </w:rPr>
        <w:t xml:space="preserve"> (især </w:t>
      </w:r>
      <w:proofErr w:type="spellStart"/>
      <w:r w:rsidRPr="00194E1C">
        <w:rPr>
          <w:sz w:val="24"/>
          <w:szCs w:val="24"/>
        </w:rPr>
        <w:t>viscerale</w:t>
      </w:r>
      <w:proofErr w:type="spellEnd"/>
      <w:r w:rsidRPr="00194E1C">
        <w:rPr>
          <w:sz w:val="24"/>
          <w:szCs w:val="24"/>
        </w:rPr>
        <w:t xml:space="preserve"> former)</w:t>
      </w:r>
    </w:p>
    <w:p w14:paraId="031F47C4"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 xml:space="preserve">Aktiv </w:t>
      </w:r>
      <w:proofErr w:type="spellStart"/>
      <w:r w:rsidRPr="00194E1C">
        <w:rPr>
          <w:sz w:val="24"/>
          <w:szCs w:val="24"/>
        </w:rPr>
        <w:t>reumatoid</w:t>
      </w:r>
      <w:proofErr w:type="spellEnd"/>
      <w:r w:rsidRPr="00194E1C">
        <w:rPr>
          <w:sz w:val="24"/>
          <w:szCs w:val="24"/>
        </w:rPr>
        <w:t xml:space="preserve"> </w:t>
      </w:r>
      <w:proofErr w:type="spellStart"/>
      <w:r w:rsidRPr="00194E1C">
        <w:rPr>
          <w:sz w:val="24"/>
          <w:szCs w:val="24"/>
        </w:rPr>
        <w:t>artrit</w:t>
      </w:r>
      <w:proofErr w:type="spellEnd"/>
      <w:r w:rsidRPr="00194E1C">
        <w:rPr>
          <w:sz w:val="24"/>
          <w:szCs w:val="24"/>
        </w:rPr>
        <w:t xml:space="preserve"> med et alvorligt, progressivt forløb, f.eks. hurtigt forløbende destruktive former og/eller med </w:t>
      </w:r>
      <w:proofErr w:type="spellStart"/>
      <w:r w:rsidRPr="00194E1C">
        <w:rPr>
          <w:sz w:val="24"/>
          <w:szCs w:val="24"/>
        </w:rPr>
        <w:t>ekstraartikulære</w:t>
      </w:r>
      <w:proofErr w:type="spellEnd"/>
      <w:r w:rsidRPr="00194E1C">
        <w:rPr>
          <w:sz w:val="24"/>
          <w:szCs w:val="24"/>
        </w:rPr>
        <w:t xml:space="preserve"> manifestationer</w:t>
      </w:r>
    </w:p>
    <w:p w14:paraId="6210CE18"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 xml:space="preserve">Alvorlige infektionssygdomme med toksiske tilstande (f.eks. tuberkulose, tyfus, </w:t>
      </w:r>
      <w:proofErr w:type="spellStart"/>
      <w:r w:rsidRPr="00194E1C">
        <w:rPr>
          <w:sz w:val="24"/>
          <w:szCs w:val="24"/>
        </w:rPr>
        <w:t>brucellose</w:t>
      </w:r>
      <w:proofErr w:type="spellEnd"/>
      <w:r w:rsidRPr="00194E1C">
        <w:rPr>
          <w:sz w:val="24"/>
          <w:szCs w:val="24"/>
        </w:rPr>
        <w:t xml:space="preserve">), kun med passende </w:t>
      </w:r>
      <w:proofErr w:type="spellStart"/>
      <w:r w:rsidRPr="00194E1C">
        <w:rPr>
          <w:sz w:val="24"/>
          <w:szCs w:val="24"/>
        </w:rPr>
        <w:t>anti</w:t>
      </w:r>
      <w:proofErr w:type="spellEnd"/>
      <w:r w:rsidRPr="00194E1C">
        <w:rPr>
          <w:sz w:val="24"/>
          <w:szCs w:val="24"/>
        </w:rPr>
        <w:t xml:space="preserve">-infektionsbehandling </w:t>
      </w:r>
    </w:p>
    <w:p w14:paraId="39BF48C9" w14:textId="77777777" w:rsidR="004E1574" w:rsidRPr="00194E1C" w:rsidRDefault="004E1574" w:rsidP="004E1574">
      <w:pPr>
        <w:tabs>
          <w:tab w:val="left" w:pos="851"/>
        </w:tabs>
        <w:ind w:left="851"/>
        <w:rPr>
          <w:sz w:val="24"/>
          <w:szCs w:val="24"/>
        </w:rPr>
      </w:pPr>
      <w:r w:rsidRPr="00194E1C">
        <w:rPr>
          <w:sz w:val="24"/>
          <w:szCs w:val="24"/>
        </w:rPr>
        <w:t>•</w:t>
      </w:r>
      <w:r w:rsidRPr="00194E1C">
        <w:rPr>
          <w:sz w:val="24"/>
          <w:szCs w:val="24"/>
        </w:rPr>
        <w:tab/>
        <w:t>Palliativ behandling af maligne tumorer</w:t>
      </w:r>
    </w:p>
    <w:p w14:paraId="7A581E3C"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 xml:space="preserve">Forebyggelse og behandling af post-operativ eller </w:t>
      </w:r>
      <w:proofErr w:type="spellStart"/>
      <w:r w:rsidRPr="00194E1C">
        <w:rPr>
          <w:sz w:val="24"/>
          <w:szCs w:val="24"/>
        </w:rPr>
        <w:t>cytostatikainduceret</w:t>
      </w:r>
      <w:proofErr w:type="spellEnd"/>
      <w:r w:rsidRPr="00194E1C">
        <w:rPr>
          <w:sz w:val="24"/>
          <w:szCs w:val="24"/>
        </w:rPr>
        <w:t xml:space="preserve"> opkastning som del af </w:t>
      </w:r>
      <w:proofErr w:type="spellStart"/>
      <w:r w:rsidRPr="00194E1C">
        <w:rPr>
          <w:sz w:val="24"/>
          <w:szCs w:val="24"/>
        </w:rPr>
        <w:t>antiemetiske</w:t>
      </w:r>
      <w:proofErr w:type="spellEnd"/>
      <w:r w:rsidRPr="00194E1C">
        <w:rPr>
          <w:sz w:val="24"/>
          <w:szCs w:val="24"/>
        </w:rPr>
        <w:t xml:space="preserve"> behandlinger</w:t>
      </w:r>
    </w:p>
    <w:p w14:paraId="218CCE1F" w14:textId="77777777" w:rsidR="004E1574" w:rsidRPr="00194E1C" w:rsidRDefault="004E1574" w:rsidP="004E1574">
      <w:pPr>
        <w:tabs>
          <w:tab w:val="left" w:pos="851"/>
        </w:tabs>
        <w:ind w:left="851"/>
        <w:rPr>
          <w:sz w:val="24"/>
          <w:szCs w:val="24"/>
        </w:rPr>
      </w:pPr>
    </w:p>
    <w:p w14:paraId="31CC4B83" w14:textId="77777777" w:rsidR="004E1574" w:rsidRPr="00194E1C" w:rsidRDefault="004E1574" w:rsidP="004E1574">
      <w:pPr>
        <w:tabs>
          <w:tab w:val="left" w:pos="851"/>
        </w:tabs>
        <w:ind w:left="851"/>
        <w:rPr>
          <w:b/>
          <w:bCs/>
          <w:sz w:val="24"/>
          <w:szCs w:val="24"/>
        </w:rPr>
      </w:pPr>
      <w:r w:rsidRPr="00194E1C">
        <w:rPr>
          <w:b/>
          <w:bCs/>
          <w:sz w:val="24"/>
          <w:szCs w:val="24"/>
        </w:rPr>
        <w:t>Subkutan administration</w:t>
      </w:r>
    </w:p>
    <w:p w14:paraId="0579A8AD"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Palliativ behandling af maligne tumorer, og forebyggelse og behandling af kemoterapiinduceret kvalme og opkastning (CINV)</w:t>
      </w:r>
    </w:p>
    <w:p w14:paraId="27489E49" w14:textId="77777777" w:rsidR="004E1574" w:rsidRPr="00194E1C" w:rsidRDefault="004E1574" w:rsidP="004E1574">
      <w:pPr>
        <w:tabs>
          <w:tab w:val="left" w:pos="851"/>
        </w:tabs>
        <w:ind w:left="851"/>
        <w:rPr>
          <w:sz w:val="24"/>
          <w:szCs w:val="24"/>
        </w:rPr>
      </w:pPr>
    </w:p>
    <w:p w14:paraId="27ED1B28" w14:textId="7B279928" w:rsidR="004E1574" w:rsidRPr="00194E1C" w:rsidRDefault="004E1574" w:rsidP="004E1574">
      <w:pPr>
        <w:tabs>
          <w:tab w:val="left" w:pos="851"/>
        </w:tabs>
        <w:ind w:left="851"/>
        <w:rPr>
          <w:sz w:val="24"/>
          <w:szCs w:val="24"/>
        </w:rPr>
      </w:pPr>
      <w:r w:rsidRPr="00194E1C">
        <w:rPr>
          <w:sz w:val="24"/>
          <w:szCs w:val="24"/>
        </w:rPr>
        <w:t xml:space="preserve">Ved palliativ behandling kan patienter, der får </w:t>
      </w:r>
      <w:proofErr w:type="spellStart"/>
      <w:r w:rsidRPr="00194E1C">
        <w:rPr>
          <w:sz w:val="24"/>
          <w:szCs w:val="24"/>
        </w:rPr>
        <w:t>kortikosteroider</w:t>
      </w:r>
      <w:proofErr w:type="spellEnd"/>
      <w:r w:rsidRPr="00194E1C">
        <w:rPr>
          <w:sz w:val="24"/>
          <w:szCs w:val="24"/>
        </w:rPr>
        <w:t xml:space="preserve"> til lindring af symptomer såsom træthed, anoreksi, refraktær kvalme og opkastning eller </w:t>
      </w:r>
      <w:proofErr w:type="spellStart"/>
      <w:r w:rsidRPr="00194E1C">
        <w:rPr>
          <w:sz w:val="24"/>
          <w:szCs w:val="24"/>
        </w:rPr>
        <w:t>adjuverende</w:t>
      </w:r>
      <w:proofErr w:type="spellEnd"/>
      <w:r w:rsidRPr="00194E1C">
        <w:rPr>
          <w:sz w:val="24"/>
          <w:szCs w:val="24"/>
        </w:rPr>
        <w:t xml:space="preserve"> analgesi og symptomatisk behandling af rygmarvskompression eller forhøjet </w:t>
      </w:r>
      <w:proofErr w:type="spellStart"/>
      <w:r w:rsidRPr="00194E1C">
        <w:rPr>
          <w:sz w:val="24"/>
          <w:szCs w:val="24"/>
        </w:rPr>
        <w:t>intrakranielt</w:t>
      </w:r>
      <w:proofErr w:type="spellEnd"/>
      <w:r w:rsidRPr="00194E1C">
        <w:rPr>
          <w:sz w:val="24"/>
          <w:szCs w:val="24"/>
        </w:rPr>
        <w:t xml:space="preserve"> tryk, få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subkutant (se pkt. 4.2) som et alternativ til oral behandling, når sidstnævnte er uacceptabelt eller ikke længere er mulig. </w:t>
      </w:r>
    </w:p>
    <w:p w14:paraId="4E378FB1" w14:textId="77777777" w:rsidR="004E1574" w:rsidRPr="00194E1C" w:rsidRDefault="004E1574" w:rsidP="004E1574">
      <w:pPr>
        <w:tabs>
          <w:tab w:val="left" w:pos="851"/>
        </w:tabs>
        <w:ind w:left="851"/>
        <w:rPr>
          <w:sz w:val="24"/>
          <w:szCs w:val="24"/>
        </w:rPr>
      </w:pPr>
    </w:p>
    <w:p w14:paraId="4490620D" w14:textId="77777777" w:rsidR="004E1574" w:rsidRPr="00194E1C" w:rsidRDefault="004E1574" w:rsidP="004E1574">
      <w:pPr>
        <w:tabs>
          <w:tab w:val="left" w:pos="851"/>
        </w:tabs>
        <w:ind w:left="851"/>
        <w:rPr>
          <w:sz w:val="24"/>
          <w:szCs w:val="24"/>
          <w:u w:val="single"/>
        </w:rPr>
      </w:pPr>
      <w:r w:rsidRPr="00194E1C">
        <w:rPr>
          <w:sz w:val="24"/>
          <w:szCs w:val="24"/>
          <w:u w:val="single"/>
        </w:rPr>
        <w:t>Lokal administration</w:t>
      </w:r>
    </w:p>
    <w:p w14:paraId="720E6403"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r>
      <w:proofErr w:type="spellStart"/>
      <w:r w:rsidRPr="00194E1C">
        <w:rPr>
          <w:sz w:val="24"/>
          <w:szCs w:val="24"/>
        </w:rPr>
        <w:t>Intraartikulær</w:t>
      </w:r>
      <w:proofErr w:type="spellEnd"/>
      <w:r w:rsidRPr="00194E1C">
        <w:rPr>
          <w:sz w:val="24"/>
          <w:szCs w:val="24"/>
        </w:rPr>
        <w:t xml:space="preserve"> injektion i tilfælde af vedvarende inflammation i et eller få led efter general behandling af kroniske inflammatoriske </w:t>
      </w:r>
      <w:proofErr w:type="spellStart"/>
      <w:r w:rsidRPr="00194E1C">
        <w:rPr>
          <w:sz w:val="24"/>
          <w:szCs w:val="24"/>
        </w:rPr>
        <w:t>ledsygdomme</w:t>
      </w:r>
      <w:proofErr w:type="spellEnd"/>
      <w:r w:rsidRPr="00194E1C">
        <w:rPr>
          <w:sz w:val="24"/>
          <w:szCs w:val="24"/>
        </w:rPr>
        <w:t xml:space="preserve">, aktiveret </w:t>
      </w:r>
      <w:proofErr w:type="spellStart"/>
      <w:r w:rsidRPr="00194E1C">
        <w:rPr>
          <w:sz w:val="24"/>
          <w:szCs w:val="24"/>
        </w:rPr>
        <w:t>osteoarthritis</w:t>
      </w:r>
      <w:proofErr w:type="spellEnd"/>
      <w:r w:rsidRPr="00194E1C">
        <w:rPr>
          <w:sz w:val="24"/>
          <w:szCs w:val="24"/>
        </w:rPr>
        <w:t xml:space="preserve">, akutte former for </w:t>
      </w:r>
      <w:proofErr w:type="spellStart"/>
      <w:r w:rsidRPr="00194E1C">
        <w:rPr>
          <w:sz w:val="24"/>
          <w:szCs w:val="24"/>
        </w:rPr>
        <w:t>periarthropathia</w:t>
      </w:r>
      <w:proofErr w:type="spellEnd"/>
      <w:r w:rsidRPr="00194E1C">
        <w:rPr>
          <w:sz w:val="24"/>
          <w:szCs w:val="24"/>
        </w:rPr>
        <w:t xml:space="preserve"> </w:t>
      </w:r>
      <w:proofErr w:type="spellStart"/>
      <w:r w:rsidRPr="00194E1C">
        <w:rPr>
          <w:sz w:val="24"/>
          <w:szCs w:val="24"/>
        </w:rPr>
        <w:t>humeroscapularis</w:t>
      </w:r>
      <w:proofErr w:type="spellEnd"/>
    </w:p>
    <w:p w14:paraId="2D1FB862" w14:textId="77777777" w:rsidR="004E1574" w:rsidRPr="00194E1C" w:rsidRDefault="004E1574" w:rsidP="004E1574">
      <w:pPr>
        <w:tabs>
          <w:tab w:val="left" w:pos="851"/>
        </w:tabs>
        <w:ind w:left="1304" w:hanging="453"/>
        <w:rPr>
          <w:sz w:val="24"/>
          <w:szCs w:val="24"/>
        </w:rPr>
      </w:pPr>
      <w:r w:rsidRPr="00194E1C">
        <w:rPr>
          <w:sz w:val="24"/>
          <w:szCs w:val="24"/>
        </w:rPr>
        <w:t>•</w:t>
      </w:r>
      <w:r w:rsidRPr="00194E1C">
        <w:rPr>
          <w:sz w:val="24"/>
          <w:szCs w:val="24"/>
        </w:rPr>
        <w:tab/>
        <w:t xml:space="preserve">Infiltrationsbehandling (på tvingende indikation) ved non-bakteriel </w:t>
      </w:r>
      <w:proofErr w:type="spellStart"/>
      <w:r w:rsidRPr="00194E1C">
        <w:rPr>
          <w:sz w:val="24"/>
          <w:szCs w:val="24"/>
        </w:rPr>
        <w:t>tendovaginitis</w:t>
      </w:r>
      <w:proofErr w:type="spellEnd"/>
      <w:r w:rsidRPr="00194E1C">
        <w:rPr>
          <w:sz w:val="24"/>
          <w:szCs w:val="24"/>
        </w:rPr>
        <w:t xml:space="preserve"> og </w:t>
      </w:r>
      <w:proofErr w:type="spellStart"/>
      <w:r w:rsidRPr="00194E1C">
        <w:rPr>
          <w:sz w:val="24"/>
          <w:szCs w:val="24"/>
        </w:rPr>
        <w:t>bursitis</w:t>
      </w:r>
      <w:proofErr w:type="spellEnd"/>
      <w:r w:rsidRPr="00194E1C">
        <w:rPr>
          <w:sz w:val="24"/>
          <w:szCs w:val="24"/>
        </w:rPr>
        <w:t xml:space="preserve">, </w:t>
      </w:r>
      <w:proofErr w:type="spellStart"/>
      <w:r w:rsidRPr="00194E1C">
        <w:rPr>
          <w:sz w:val="24"/>
          <w:szCs w:val="24"/>
        </w:rPr>
        <w:t>periartrit</w:t>
      </w:r>
      <w:proofErr w:type="spellEnd"/>
      <w:r w:rsidRPr="00194E1C">
        <w:rPr>
          <w:sz w:val="24"/>
          <w:szCs w:val="24"/>
        </w:rPr>
        <w:t xml:space="preserve">, </w:t>
      </w:r>
      <w:proofErr w:type="spellStart"/>
      <w:r w:rsidRPr="00194E1C">
        <w:rPr>
          <w:sz w:val="24"/>
          <w:szCs w:val="24"/>
        </w:rPr>
        <w:t>insertionel</w:t>
      </w:r>
      <w:proofErr w:type="spellEnd"/>
      <w:r w:rsidRPr="00194E1C">
        <w:rPr>
          <w:sz w:val="24"/>
          <w:szCs w:val="24"/>
        </w:rPr>
        <w:t xml:space="preserve"> </w:t>
      </w:r>
      <w:proofErr w:type="spellStart"/>
      <w:r w:rsidRPr="00194E1C">
        <w:rPr>
          <w:sz w:val="24"/>
          <w:szCs w:val="24"/>
        </w:rPr>
        <w:t>tendinopati</w:t>
      </w:r>
      <w:proofErr w:type="spellEnd"/>
    </w:p>
    <w:p w14:paraId="29EEAEE5" w14:textId="41BA2824" w:rsidR="00EB489F" w:rsidRDefault="00EB489F">
      <w:pPr>
        <w:rPr>
          <w:sz w:val="24"/>
          <w:szCs w:val="24"/>
        </w:rPr>
      </w:pPr>
      <w:r>
        <w:rPr>
          <w:sz w:val="24"/>
          <w:szCs w:val="24"/>
        </w:rPr>
        <w:br w:type="page"/>
      </w:r>
    </w:p>
    <w:p w14:paraId="1DA2B6CF" w14:textId="77777777" w:rsidR="009260DE" w:rsidRPr="00194E1C" w:rsidRDefault="009260DE" w:rsidP="009260DE">
      <w:pPr>
        <w:tabs>
          <w:tab w:val="left" w:pos="851"/>
        </w:tabs>
        <w:ind w:left="851"/>
        <w:rPr>
          <w:sz w:val="24"/>
          <w:szCs w:val="24"/>
        </w:rPr>
      </w:pPr>
    </w:p>
    <w:p w14:paraId="44B847C8" w14:textId="0B73CE3C" w:rsidR="009260DE" w:rsidRPr="00194E1C" w:rsidRDefault="009260DE" w:rsidP="009260DE">
      <w:pPr>
        <w:tabs>
          <w:tab w:val="left" w:pos="851"/>
        </w:tabs>
        <w:ind w:left="851" w:hanging="851"/>
        <w:rPr>
          <w:b/>
          <w:sz w:val="24"/>
          <w:szCs w:val="24"/>
        </w:rPr>
      </w:pPr>
      <w:r w:rsidRPr="00194E1C">
        <w:rPr>
          <w:b/>
          <w:sz w:val="24"/>
          <w:szCs w:val="24"/>
        </w:rPr>
        <w:t>4.2</w:t>
      </w:r>
      <w:r w:rsidRPr="00194E1C">
        <w:rPr>
          <w:b/>
          <w:sz w:val="24"/>
          <w:szCs w:val="24"/>
        </w:rPr>
        <w:tab/>
        <w:t xml:space="preserve">Dosering og </w:t>
      </w:r>
      <w:r w:rsidR="00580E8E">
        <w:rPr>
          <w:b/>
          <w:sz w:val="24"/>
          <w:szCs w:val="24"/>
        </w:rPr>
        <w:t>administration</w:t>
      </w:r>
    </w:p>
    <w:p w14:paraId="2AB04BE5" w14:textId="77777777" w:rsidR="00EB489F" w:rsidRDefault="00EB489F" w:rsidP="006E4003">
      <w:pPr>
        <w:tabs>
          <w:tab w:val="left" w:pos="851"/>
        </w:tabs>
        <w:ind w:left="851"/>
        <w:rPr>
          <w:sz w:val="24"/>
          <w:szCs w:val="24"/>
          <w:u w:val="single"/>
        </w:rPr>
      </w:pPr>
    </w:p>
    <w:p w14:paraId="216EC5ED" w14:textId="064BF2DA" w:rsidR="006E4003" w:rsidRPr="00194E1C" w:rsidRDefault="006E4003" w:rsidP="006E4003">
      <w:pPr>
        <w:tabs>
          <w:tab w:val="left" w:pos="851"/>
        </w:tabs>
        <w:ind w:left="851"/>
        <w:rPr>
          <w:sz w:val="24"/>
          <w:szCs w:val="24"/>
          <w:u w:val="single"/>
          <w:lang w:eastAsia="da-DK"/>
        </w:rPr>
      </w:pPr>
      <w:r w:rsidRPr="00194E1C">
        <w:rPr>
          <w:sz w:val="24"/>
          <w:szCs w:val="24"/>
          <w:u w:val="single"/>
        </w:rPr>
        <w:t>Dosering</w:t>
      </w:r>
    </w:p>
    <w:p w14:paraId="31ABD0E4" w14:textId="77777777" w:rsidR="006E4003" w:rsidRPr="00194E1C" w:rsidRDefault="006E4003" w:rsidP="006E4003">
      <w:pPr>
        <w:tabs>
          <w:tab w:val="left" w:pos="851"/>
        </w:tabs>
        <w:ind w:left="851"/>
        <w:rPr>
          <w:sz w:val="24"/>
          <w:szCs w:val="24"/>
        </w:rPr>
      </w:pPr>
      <w:r w:rsidRPr="00194E1C">
        <w:rPr>
          <w:sz w:val="24"/>
          <w:szCs w:val="24"/>
        </w:rPr>
        <w:t>Dosering afhænger af sygdommens art og sværhedsgrad og den enkelte patients respons på behandlingen. Generelt set administreres relativt høje indledende doser, og de bør være signifikant højere ved akutte alvorlige former end ved kroniske sygdomme.</w:t>
      </w:r>
    </w:p>
    <w:p w14:paraId="277992B9" w14:textId="77777777" w:rsidR="006E4003" w:rsidRPr="00194E1C" w:rsidRDefault="006E4003" w:rsidP="006E4003">
      <w:pPr>
        <w:tabs>
          <w:tab w:val="left" w:pos="851"/>
        </w:tabs>
        <w:ind w:left="851"/>
        <w:rPr>
          <w:sz w:val="24"/>
          <w:szCs w:val="24"/>
        </w:rPr>
      </w:pPr>
    </w:p>
    <w:p w14:paraId="7DFE7927" w14:textId="77777777" w:rsidR="006E4003" w:rsidRPr="00194E1C" w:rsidRDefault="006E4003" w:rsidP="006E4003">
      <w:pPr>
        <w:tabs>
          <w:tab w:val="left" w:pos="851"/>
        </w:tabs>
        <w:ind w:left="851"/>
        <w:rPr>
          <w:sz w:val="24"/>
          <w:szCs w:val="24"/>
        </w:rPr>
      </w:pPr>
      <w:r w:rsidRPr="00194E1C">
        <w:rPr>
          <w:sz w:val="24"/>
          <w:szCs w:val="24"/>
        </w:rPr>
        <w:t xml:space="preserve">Følgende doseringsintervaller anbefales: </w:t>
      </w:r>
    </w:p>
    <w:p w14:paraId="267AC4FB" w14:textId="77777777" w:rsidR="006E4003" w:rsidRPr="00194E1C" w:rsidRDefault="006E4003" w:rsidP="006E4003">
      <w:pPr>
        <w:tabs>
          <w:tab w:val="left" w:pos="851"/>
        </w:tabs>
        <w:ind w:left="851"/>
        <w:rPr>
          <w:sz w:val="24"/>
          <w:szCs w:val="24"/>
        </w:rPr>
      </w:pPr>
    </w:p>
    <w:p w14:paraId="4EE395BE" w14:textId="77777777" w:rsidR="006E4003" w:rsidRPr="00194E1C" w:rsidRDefault="006E4003" w:rsidP="006E4003">
      <w:pPr>
        <w:tabs>
          <w:tab w:val="left" w:pos="851"/>
        </w:tabs>
        <w:ind w:left="851"/>
        <w:rPr>
          <w:sz w:val="24"/>
          <w:szCs w:val="24"/>
          <w:u w:val="single"/>
        </w:rPr>
      </w:pPr>
      <w:r w:rsidRPr="00194E1C">
        <w:rPr>
          <w:sz w:val="24"/>
          <w:szCs w:val="24"/>
          <w:u w:val="single"/>
        </w:rPr>
        <w:t xml:space="preserve">Systemisk administration </w:t>
      </w:r>
    </w:p>
    <w:p w14:paraId="0BF47B95" w14:textId="77777777" w:rsidR="006E4003" w:rsidRPr="00194E1C" w:rsidRDefault="006E4003" w:rsidP="006E4003">
      <w:pPr>
        <w:tabs>
          <w:tab w:val="left" w:pos="851"/>
        </w:tabs>
        <w:ind w:left="851"/>
        <w:rPr>
          <w:b/>
          <w:bCs/>
          <w:sz w:val="24"/>
          <w:szCs w:val="24"/>
        </w:rPr>
      </w:pPr>
    </w:p>
    <w:p w14:paraId="3D35C9A3" w14:textId="77777777" w:rsidR="006E4003" w:rsidRPr="00194E1C" w:rsidRDefault="006E4003" w:rsidP="006E4003">
      <w:pPr>
        <w:tabs>
          <w:tab w:val="left" w:pos="851"/>
        </w:tabs>
        <w:ind w:left="851"/>
        <w:rPr>
          <w:b/>
          <w:bCs/>
          <w:sz w:val="24"/>
          <w:szCs w:val="24"/>
        </w:rPr>
      </w:pPr>
      <w:r w:rsidRPr="00194E1C">
        <w:rPr>
          <w:b/>
          <w:bCs/>
          <w:sz w:val="24"/>
          <w:szCs w:val="24"/>
        </w:rPr>
        <w:t>Intravenøs eller intramuskulær administration</w:t>
      </w:r>
    </w:p>
    <w:p w14:paraId="53854921" w14:textId="77777777" w:rsidR="006E4003" w:rsidRPr="00194E1C" w:rsidRDefault="006E4003" w:rsidP="006E4003">
      <w:pPr>
        <w:tabs>
          <w:tab w:val="left" w:pos="851"/>
        </w:tabs>
        <w:ind w:left="851"/>
        <w:rPr>
          <w:i/>
          <w:iCs/>
          <w:sz w:val="24"/>
          <w:szCs w:val="24"/>
        </w:rPr>
      </w:pPr>
      <w:r w:rsidRPr="00194E1C">
        <w:rPr>
          <w:i/>
          <w:iCs/>
          <w:sz w:val="24"/>
          <w:szCs w:val="24"/>
        </w:rPr>
        <w:t>Voksne</w:t>
      </w:r>
    </w:p>
    <w:p w14:paraId="3B536BCD" w14:textId="77777777" w:rsidR="006E4003" w:rsidRPr="00194E1C" w:rsidRDefault="006E4003" w:rsidP="006E4003">
      <w:pPr>
        <w:tabs>
          <w:tab w:val="left" w:pos="851"/>
        </w:tabs>
        <w:ind w:left="851"/>
        <w:rPr>
          <w:sz w:val="24"/>
          <w:szCs w:val="24"/>
        </w:rPr>
      </w:pPr>
    </w:p>
    <w:p w14:paraId="0A5B7822"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Cerebralt ødem</w:t>
      </w:r>
    </w:p>
    <w:p w14:paraId="721C6FF7" w14:textId="5822C138" w:rsidR="006E4003" w:rsidRPr="00194E1C" w:rsidRDefault="006E4003" w:rsidP="006E4003">
      <w:pPr>
        <w:tabs>
          <w:tab w:val="left" w:pos="851"/>
        </w:tabs>
        <w:ind w:left="851"/>
        <w:rPr>
          <w:sz w:val="24"/>
          <w:szCs w:val="24"/>
        </w:rPr>
      </w:pPr>
      <w:r w:rsidRPr="00194E1C">
        <w:rPr>
          <w:sz w:val="24"/>
          <w:szCs w:val="24"/>
        </w:rPr>
        <w:t xml:space="preserve">Indledningsvist 8-10 mg (op til 80 mg) </w:t>
      </w:r>
      <w:proofErr w:type="spellStart"/>
      <w:r w:rsidRPr="00194E1C">
        <w:rPr>
          <w:sz w:val="24"/>
          <w:szCs w:val="24"/>
        </w:rPr>
        <w:t>i.v</w:t>
      </w:r>
      <w:proofErr w:type="spellEnd"/>
      <w:r w:rsidRPr="00194E1C">
        <w:rPr>
          <w:sz w:val="24"/>
          <w:szCs w:val="24"/>
        </w:rPr>
        <w:t xml:space="preserve">., efterfulgt af 16-24 mg (op til 48 </w:t>
      </w:r>
      <w:proofErr w:type="gramStart"/>
      <w:r w:rsidRPr="00194E1C">
        <w:rPr>
          <w:sz w:val="24"/>
          <w:szCs w:val="24"/>
        </w:rPr>
        <w:t>mg)/</w:t>
      </w:r>
      <w:proofErr w:type="gramEnd"/>
      <w:r w:rsidRPr="00194E1C">
        <w:rPr>
          <w:sz w:val="24"/>
          <w:szCs w:val="24"/>
        </w:rPr>
        <w:t xml:space="preserve">dag </w:t>
      </w:r>
      <w:proofErr w:type="spellStart"/>
      <w:r w:rsidRPr="00194E1C">
        <w:rPr>
          <w:sz w:val="24"/>
          <w:szCs w:val="24"/>
        </w:rPr>
        <w:t>i.v</w:t>
      </w:r>
      <w:proofErr w:type="spellEnd"/>
      <w:r w:rsidRPr="00194E1C">
        <w:rPr>
          <w:sz w:val="24"/>
          <w:szCs w:val="24"/>
        </w:rPr>
        <w:t xml:space="preserve">., opdelt i 3-4 (6) individuelle doser i 4-8 dage. En længerevarende lavere dosisadministration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blive nødvendig i forbindelse med strålebehandling og konservativ behandling af inoperable cerebrale tumorer.</w:t>
      </w:r>
    </w:p>
    <w:p w14:paraId="480038BD" w14:textId="77777777" w:rsidR="006E4003" w:rsidRPr="00194E1C" w:rsidRDefault="006E4003" w:rsidP="006E4003">
      <w:pPr>
        <w:tabs>
          <w:tab w:val="left" w:pos="851"/>
        </w:tabs>
        <w:ind w:left="851"/>
        <w:rPr>
          <w:sz w:val="24"/>
          <w:szCs w:val="24"/>
        </w:rPr>
      </w:pPr>
      <w:r w:rsidRPr="00194E1C">
        <w:rPr>
          <w:sz w:val="24"/>
          <w:szCs w:val="24"/>
        </w:rPr>
        <w:t>Cerebralt ødem på grund af bakteriel meningitis: 0,15 mg/kg legemsvægt hver 6. time i 4 dage.</w:t>
      </w:r>
    </w:p>
    <w:p w14:paraId="4B8D749D" w14:textId="77777777" w:rsidR="006E4003" w:rsidRPr="00194E1C" w:rsidRDefault="006E4003" w:rsidP="006E4003">
      <w:pPr>
        <w:tabs>
          <w:tab w:val="left" w:pos="851"/>
        </w:tabs>
        <w:ind w:left="851"/>
        <w:rPr>
          <w:sz w:val="24"/>
          <w:szCs w:val="24"/>
        </w:rPr>
      </w:pPr>
    </w:p>
    <w:p w14:paraId="0CBF8F98"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 xml:space="preserve">Posttraumatisk </w:t>
      </w:r>
      <w:proofErr w:type="spellStart"/>
      <w:r w:rsidRPr="00194E1C">
        <w:rPr>
          <w:i/>
          <w:iCs/>
          <w:sz w:val="24"/>
          <w:szCs w:val="24"/>
        </w:rPr>
        <w:t>shock</w:t>
      </w:r>
      <w:proofErr w:type="spellEnd"/>
      <w:r w:rsidRPr="00194E1C">
        <w:rPr>
          <w:i/>
          <w:iCs/>
          <w:sz w:val="24"/>
          <w:szCs w:val="24"/>
        </w:rPr>
        <w:t xml:space="preserve"> og forebyggelse af posttraumatisk akut lungesvigt</w:t>
      </w:r>
      <w:r w:rsidRPr="00194E1C">
        <w:rPr>
          <w:sz w:val="24"/>
          <w:szCs w:val="24"/>
        </w:rPr>
        <w:t xml:space="preserve"> </w:t>
      </w:r>
      <w:r w:rsidRPr="00194E1C">
        <w:rPr>
          <w:i/>
          <w:iCs/>
          <w:sz w:val="24"/>
          <w:szCs w:val="24"/>
        </w:rPr>
        <w:t>(ARDS)</w:t>
      </w:r>
    </w:p>
    <w:p w14:paraId="2BF4648E" w14:textId="77777777" w:rsidR="006E4003" w:rsidRPr="00194E1C" w:rsidRDefault="006E4003" w:rsidP="006E4003">
      <w:pPr>
        <w:tabs>
          <w:tab w:val="left" w:pos="851"/>
        </w:tabs>
        <w:ind w:left="851"/>
        <w:rPr>
          <w:sz w:val="24"/>
          <w:szCs w:val="24"/>
        </w:rPr>
      </w:pPr>
      <w:r w:rsidRPr="00194E1C">
        <w:rPr>
          <w:sz w:val="24"/>
          <w:szCs w:val="24"/>
        </w:rPr>
        <w:t xml:space="preserve">Indledningsvist 40-100 mg </w:t>
      </w:r>
      <w:proofErr w:type="spellStart"/>
      <w:r w:rsidRPr="00194E1C">
        <w:rPr>
          <w:sz w:val="24"/>
          <w:szCs w:val="24"/>
        </w:rPr>
        <w:t>i.v</w:t>
      </w:r>
      <w:proofErr w:type="spellEnd"/>
      <w:r w:rsidRPr="00194E1C">
        <w:rPr>
          <w:sz w:val="24"/>
          <w:szCs w:val="24"/>
        </w:rPr>
        <w:t>., en gentagen dosis efter 12 timer eller 16-40 mg hver 6. time i 2-3 dage.</w:t>
      </w:r>
    </w:p>
    <w:p w14:paraId="59C2671D" w14:textId="77777777" w:rsidR="006E4003" w:rsidRPr="00194E1C" w:rsidRDefault="006E4003" w:rsidP="006E4003">
      <w:pPr>
        <w:tabs>
          <w:tab w:val="left" w:pos="851"/>
        </w:tabs>
        <w:ind w:left="851"/>
        <w:rPr>
          <w:sz w:val="24"/>
          <w:szCs w:val="24"/>
        </w:rPr>
      </w:pPr>
    </w:p>
    <w:p w14:paraId="11FAA0F9"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r w:rsidRPr="00194E1C">
        <w:rPr>
          <w:i/>
          <w:iCs/>
          <w:sz w:val="24"/>
          <w:szCs w:val="24"/>
        </w:rPr>
        <w:t>Behandling af COVID 19</w:t>
      </w:r>
      <w:r w:rsidRPr="00194E1C">
        <w:rPr>
          <w:sz w:val="24"/>
          <w:szCs w:val="24"/>
        </w:rPr>
        <w:t xml:space="preserve"> </w:t>
      </w:r>
    </w:p>
    <w:p w14:paraId="56FE3757" w14:textId="77777777" w:rsidR="006E4003" w:rsidRPr="00194E1C" w:rsidRDefault="006E4003" w:rsidP="006E4003">
      <w:pPr>
        <w:tabs>
          <w:tab w:val="left" w:pos="851"/>
        </w:tabs>
        <w:ind w:left="851"/>
        <w:rPr>
          <w:sz w:val="24"/>
          <w:szCs w:val="24"/>
        </w:rPr>
      </w:pPr>
      <w:r w:rsidRPr="00194E1C">
        <w:rPr>
          <w:sz w:val="24"/>
          <w:szCs w:val="24"/>
        </w:rPr>
        <w:t xml:space="preserve">6 mg </w:t>
      </w:r>
      <w:proofErr w:type="spellStart"/>
      <w:r w:rsidRPr="00194E1C">
        <w:rPr>
          <w:sz w:val="24"/>
          <w:szCs w:val="24"/>
        </w:rPr>
        <w:t>i.v</w:t>
      </w:r>
      <w:proofErr w:type="spellEnd"/>
      <w:r w:rsidRPr="00194E1C">
        <w:rPr>
          <w:sz w:val="24"/>
          <w:szCs w:val="24"/>
        </w:rPr>
        <w:t>. én gang dagligt i op til 10 dage. Behandlingsvarigheden skal styres af klinisk respons og individuelle patientbehov. Ældre, nedsat nyrefunktion, nedsat leverfunktion: Dosisjustering er ikke nødvendig.</w:t>
      </w:r>
    </w:p>
    <w:p w14:paraId="719DD7FF" w14:textId="77777777" w:rsidR="006E4003" w:rsidRPr="00194E1C" w:rsidRDefault="006E4003" w:rsidP="006E4003">
      <w:pPr>
        <w:tabs>
          <w:tab w:val="left" w:pos="851"/>
        </w:tabs>
        <w:ind w:left="851"/>
        <w:rPr>
          <w:sz w:val="24"/>
          <w:szCs w:val="24"/>
        </w:rPr>
      </w:pPr>
    </w:p>
    <w:p w14:paraId="4F745835"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proofErr w:type="spellStart"/>
      <w:r w:rsidRPr="00194E1C">
        <w:rPr>
          <w:i/>
          <w:iCs/>
          <w:sz w:val="24"/>
          <w:szCs w:val="24"/>
        </w:rPr>
        <w:t>Anafylaktisk</w:t>
      </w:r>
      <w:proofErr w:type="spellEnd"/>
      <w:r w:rsidRPr="00194E1C">
        <w:rPr>
          <w:i/>
          <w:iCs/>
          <w:sz w:val="24"/>
          <w:szCs w:val="24"/>
        </w:rPr>
        <w:t xml:space="preserve"> </w:t>
      </w:r>
      <w:proofErr w:type="spellStart"/>
      <w:r w:rsidRPr="00194E1C">
        <w:rPr>
          <w:i/>
          <w:iCs/>
          <w:sz w:val="24"/>
          <w:szCs w:val="24"/>
        </w:rPr>
        <w:t>shock</w:t>
      </w:r>
      <w:proofErr w:type="spellEnd"/>
    </w:p>
    <w:p w14:paraId="3D68CBC9" w14:textId="77777777" w:rsidR="006E4003" w:rsidRPr="00194E1C" w:rsidRDefault="006E4003" w:rsidP="006E4003">
      <w:pPr>
        <w:tabs>
          <w:tab w:val="left" w:pos="851"/>
        </w:tabs>
        <w:ind w:left="851"/>
        <w:rPr>
          <w:sz w:val="24"/>
          <w:szCs w:val="24"/>
        </w:rPr>
      </w:pPr>
      <w:r w:rsidRPr="00194E1C">
        <w:rPr>
          <w:sz w:val="24"/>
          <w:szCs w:val="24"/>
        </w:rPr>
        <w:t xml:space="preserve">40-100 mg </w:t>
      </w:r>
      <w:proofErr w:type="spellStart"/>
      <w:r w:rsidRPr="00194E1C">
        <w:rPr>
          <w:sz w:val="24"/>
          <w:szCs w:val="24"/>
        </w:rPr>
        <w:t>i.v</w:t>
      </w:r>
      <w:proofErr w:type="spellEnd"/>
      <w:r w:rsidRPr="00194E1C">
        <w:rPr>
          <w:sz w:val="24"/>
          <w:szCs w:val="24"/>
        </w:rPr>
        <w:t>. efter en indledende intravenøs adrenalininjektion. Dosis kan gentages om nødvendigt.</w:t>
      </w:r>
    </w:p>
    <w:p w14:paraId="785EB263" w14:textId="77777777" w:rsidR="006E4003" w:rsidRPr="00194E1C" w:rsidRDefault="006E4003" w:rsidP="006E4003">
      <w:pPr>
        <w:tabs>
          <w:tab w:val="left" w:pos="851"/>
        </w:tabs>
        <w:ind w:left="851"/>
        <w:rPr>
          <w:sz w:val="24"/>
          <w:szCs w:val="24"/>
        </w:rPr>
      </w:pPr>
    </w:p>
    <w:p w14:paraId="63EE6E08"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Alvorligt, akut astmaanfald</w:t>
      </w:r>
    </w:p>
    <w:p w14:paraId="4D0022AA" w14:textId="77777777" w:rsidR="006E4003" w:rsidRPr="00194E1C" w:rsidRDefault="006E4003" w:rsidP="006E4003">
      <w:pPr>
        <w:tabs>
          <w:tab w:val="left" w:pos="851"/>
        </w:tabs>
        <w:ind w:left="851"/>
        <w:rPr>
          <w:sz w:val="24"/>
          <w:szCs w:val="24"/>
        </w:rPr>
      </w:pPr>
      <w:r w:rsidRPr="00194E1C">
        <w:rPr>
          <w:sz w:val="24"/>
          <w:szCs w:val="24"/>
        </w:rPr>
        <w:t xml:space="preserve">8-20 mg </w:t>
      </w:r>
      <w:proofErr w:type="spellStart"/>
      <w:r w:rsidRPr="00194E1C">
        <w:rPr>
          <w:sz w:val="24"/>
          <w:szCs w:val="24"/>
        </w:rPr>
        <w:t>i.v</w:t>
      </w:r>
      <w:proofErr w:type="spellEnd"/>
      <w:r w:rsidRPr="00194E1C">
        <w:rPr>
          <w:sz w:val="24"/>
          <w:szCs w:val="24"/>
        </w:rPr>
        <w:t xml:space="preserve">. så tidligt som muligt. Injektionen kan gentages om nødvendigt i en dosis på 8 mg hver 4. time. Intravenøs </w:t>
      </w:r>
      <w:proofErr w:type="spellStart"/>
      <w:r w:rsidRPr="00194E1C">
        <w:rPr>
          <w:sz w:val="24"/>
          <w:szCs w:val="24"/>
        </w:rPr>
        <w:t>aminophyllin</w:t>
      </w:r>
      <w:proofErr w:type="spellEnd"/>
      <w:r w:rsidRPr="00194E1C">
        <w:rPr>
          <w:sz w:val="24"/>
          <w:szCs w:val="24"/>
        </w:rPr>
        <w:t xml:space="preserve"> kan derudover administreres.</w:t>
      </w:r>
    </w:p>
    <w:p w14:paraId="193EB3F8" w14:textId="77777777" w:rsidR="006E4003" w:rsidRPr="00194E1C" w:rsidRDefault="006E4003" w:rsidP="006E4003">
      <w:pPr>
        <w:tabs>
          <w:tab w:val="left" w:pos="851"/>
        </w:tabs>
        <w:ind w:left="851"/>
        <w:rPr>
          <w:sz w:val="24"/>
          <w:szCs w:val="24"/>
        </w:rPr>
      </w:pPr>
      <w:r w:rsidRPr="00194E1C">
        <w:rPr>
          <w:sz w:val="24"/>
          <w:szCs w:val="24"/>
        </w:rPr>
        <w:t xml:space="preserve"> </w:t>
      </w:r>
    </w:p>
    <w:p w14:paraId="158AED44"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t xml:space="preserve"> </w:t>
      </w:r>
      <w:r w:rsidRPr="00194E1C">
        <w:rPr>
          <w:i/>
          <w:iCs/>
          <w:sz w:val="24"/>
          <w:szCs w:val="24"/>
        </w:rPr>
        <w:t>Akutte hudsygdomme</w:t>
      </w:r>
    </w:p>
    <w:p w14:paraId="0DBCF7B6" w14:textId="77777777" w:rsidR="006E4003" w:rsidRPr="00194E1C" w:rsidRDefault="006E4003" w:rsidP="006E4003">
      <w:pPr>
        <w:tabs>
          <w:tab w:val="left" w:pos="851"/>
        </w:tabs>
        <w:ind w:left="851"/>
        <w:rPr>
          <w:sz w:val="24"/>
          <w:szCs w:val="24"/>
        </w:rPr>
      </w:pPr>
      <w:r w:rsidRPr="00194E1C">
        <w:rPr>
          <w:sz w:val="24"/>
          <w:szCs w:val="24"/>
        </w:rPr>
        <w:t xml:space="preserve">Daglige doser på 8-40 mg </w:t>
      </w:r>
      <w:proofErr w:type="spellStart"/>
      <w:r w:rsidRPr="00194E1C">
        <w:rPr>
          <w:sz w:val="24"/>
          <w:szCs w:val="24"/>
        </w:rPr>
        <w:t>i.v</w:t>
      </w:r>
      <w:proofErr w:type="spellEnd"/>
      <w:r w:rsidRPr="00194E1C">
        <w:rPr>
          <w:sz w:val="24"/>
          <w:szCs w:val="24"/>
        </w:rPr>
        <w:t>., i individuelle tilfælde op til 100 mg, efterfulgt af oral behandling med faldende doser.</w:t>
      </w:r>
    </w:p>
    <w:p w14:paraId="2577C8D3" w14:textId="77777777" w:rsidR="006E4003" w:rsidRPr="00194E1C" w:rsidRDefault="006E4003" w:rsidP="006E4003">
      <w:pPr>
        <w:tabs>
          <w:tab w:val="left" w:pos="851"/>
        </w:tabs>
        <w:ind w:left="851"/>
        <w:rPr>
          <w:sz w:val="24"/>
          <w:szCs w:val="24"/>
        </w:rPr>
      </w:pPr>
    </w:p>
    <w:p w14:paraId="7F6019F8" w14:textId="77777777" w:rsidR="006E4003" w:rsidRPr="00194E1C" w:rsidRDefault="006E4003" w:rsidP="006E4003">
      <w:pPr>
        <w:tabs>
          <w:tab w:val="left" w:pos="851"/>
        </w:tabs>
        <w:ind w:left="1304" w:hanging="453"/>
        <w:rPr>
          <w:i/>
          <w:iCs/>
          <w:sz w:val="24"/>
          <w:szCs w:val="24"/>
        </w:rPr>
      </w:pPr>
      <w:r w:rsidRPr="00194E1C">
        <w:rPr>
          <w:sz w:val="24"/>
          <w:szCs w:val="24"/>
        </w:rPr>
        <w:t>•</w:t>
      </w:r>
      <w:r w:rsidRPr="00194E1C">
        <w:rPr>
          <w:sz w:val="24"/>
          <w:szCs w:val="24"/>
        </w:rPr>
        <w:tab/>
        <w:t xml:space="preserve">Aktive faser af </w:t>
      </w:r>
      <w:r w:rsidRPr="00194E1C">
        <w:rPr>
          <w:i/>
          <w:iCs/>
          <w:sz w:val="24"/>
          <w:szCs w:val="24"/>
        </w:rPr>
        <w:t xml:space="preserve">systemiske reumatiske sygdomme såsom systemisk lupus </w:t>
      </w:r>
      <w:proofErr w:type="spellStart"/>
      <w:r w:rsidRPr="00194E1C">
        <w:rPr>
          <w:i/>
          <w:iCs/>
          <w:sz w:val="24"/>
          <w:szCs w:val="24"/>
        </w:rPr>
        <w:t>erythematosus</w:t>
      </w:r>
      <w:proofErr w:type="spellEnd"/>
    </w:p>
    <w:p w14:paraId="24D13EB3" w14:textId="77777777" w:rsidR="006E4003" w:rsidRPr="00194E1C" w:rsidRDefault="006E4003" w:rsidP="006E4003">
      <w:pPr>
        <w:tabs>
          <w:tab w:val="left" w:pos="851"/>
        </w:tabs>
        <w:ind w:left="851"/>
        <w:rPr>
          <w:sz w:val="24"/>
          <w:szCs w:val="24"/>
        </w:rPr>
      </w:pPr>
      <w:r w:rsidRPr="00194E1C">
        <w:rPr>
          <w:sz w:val="24"/>
          <w:szCs w:val="24"/>
        </w:rPr>
        <w:t>Daglige doser på 6-16 mg.</w:t>
      </w:r>
    </w:p>
    <w:p w14:paraId="0A5F1965" w14:textId="485C5A98" w:rsidR="00EB489F" w:rsidRDefault="00EB489F">
      <w:pPr>
        <w:rPr>
          <w:sz w:val="24"/>
          <w:szCs w:val="24"/>
        </w:rPr>
      </w:pPr>
      <w:r>
        <w:rPr>
          <w:sz w:val="24"/>
          <w:szCs w:val="24"/>
        </w:rPr>
        <w:br w:type="page"/>
      </w:r>
    </w:p>
    <w:p w14:paraId="1A0C6139" w14:textId="77777777" w:rsidR="006E4003" w:rsidRPr="00194E1C" w:rsidRDefault="006E4003" w:rsidP="006E4003">
      <w:pPr>
        <w:tabs>
          <w:tab w:val="left" w:pos="851"/>
        </w:tabs>
        <w:ind w:left="851"/>
        <w:rPr>
          <w:sz w:val="24"/>
          <w:szCs w:val="24"/>
        </w:rPr>
      </w:pPr>
    </w:p>
    <w:p w14:paraId="7D5DEC4A"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 xml:space="preserve">Aktiv </w:t>
      </w:r>
      <w:proofErr w:type="spellStart"/>
      <w:r w:rsidRPr="00194E1C">
        <w:rPr>
          <w:i/>
          <w:iCs/>
          <w:sz w:val="24"/>
          <w:szCs w:val="24"/>
        </w:rPr>
        <w:t>reumatoid</w:t>
      </w:r>
      <w:proofErr w:type="spellEnd"/>
      <w:r w:rsidRPr="00194E1C">
        <w:rPr>
          <w:i/>
          <w:iCs/>
          <w:sz w:val="24"/>
          <w:szCs w:val="24"/>
        </w:rPr>
        <w:t xml:space="preserve"> </w:t>
      </w:r>
      <w:proofErr w:type="spellStart"/>
      <w:r w:rsidRPr="00194E1C">
        <w:rPr>
          <w:i/>
          <w:iCs/>
          <w:sz w:val="24"/>
          <w:szCs w:val="24"/>
        </w:rPr>
        <w:t>artrit</w:t>
      </w:r>
      <w:proofErr w:type="spellEnd"/>
      <w:r w:rsidRPr="00194E1C">
        <w:rPr>
          <w:i/>
          <w:iCs/>
          <w:sz w:val="24"/>
          <w:szCs w:val="24"/>
        </w:rPr>
        <w:t xml:space="preserve"> med et alvorligt, progressivt forløb</w:t>
      </w:r>
    </w:p>
    <w:p w14:paraId="173EC05B" w14:textId="77777777" w:rsidR="006E4003" w:rsidRPr="00194E1C" w:rsidRDefault="006E4003" w:rsidP="006E4003">
      <w:pPr>
        <w:tabs>
          <w:tab w:val="left" w:pos="851"/>
        </w:tabs>
        <w:ind w:left="851"/>
        <w:rPr>
          <w:sz w:val="24"/>
          <w:szCs w:val="24"/>
        </w:rPr>
      </w:pPr>
      <w:r w:rsidRPr="00194E1C">
        <w:rPr>
          <w:sz w:val="24"/>
          <w:szCs w:val="24"/>
        </w:rPr>
        <w:t xml:space="preserve">Med hurtigt destruktive former 12-16 mg/dag, med </w:t>
      </w:r>
      <w:proofErr w:type="spellStart"/>
      <w:r w:rsidRPr="00194E1C">
        <w:rPr>
          <w:sz w:val="24"/>
          <w:szCs w:val="24"/>
        </w:rPr>
        <w:t>ekstraartikulære</w:t>
      </w:r>
      <w:proofErr w:type="spellEnd"/>
      <w:r w:rsidRPr="00194E1C">
        <w:rPr>
          <w:sz w:val="24"/>
          <w:szCs w:val="24"/>
        </w:rPr>
        <w:t xml:space="preserve"> manifestationer 6-12 mg/dag.</w:t>
      </w:r>
    </w:p>
    <w:p w14:paraId="5D662512" w14:textId="77777777" w:rsidR="006E4003" w:rsidRPr="00194E1C" w:rsidRDefault="006E4003" w:rsidP="006E4003">
      <w:pPr>
        <w:tabs>
          <w:tab w:val="left" w:pos="851"/>
        </w:tabs>
        <w:ind w:left="851"/>
        <w:rPr>
          <w:sz w:val="24"/>
          <w:szCs w:val="24"/>
        </w:rPr>
      </w:pPr>
    </w:p>
    <w:p w14:paraId="32A8FE5A"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r>
      <w:r w:rsidRPr="00194E1C">
        <w:rPr>
          <w:i/>
          <w:iCs/>
          <w:sz w:val="24"/>
          <w:szCs w:val="24"/>
        </w:rPr>
        <w:t>Alvorlig infektionssygdom</w:t>
      </w:r>
      <w:r w:rsidRPr="00194E1C">
        <w:rPr>
          <w:sz w:val="24"/>
          <w:szCs w:val="24"/>
        </w:rPr>
        <w:t xml:space="preserve"> med toksiske tilstande (f.eks. tuberkulose, tyfus, kun samtidig med infektionsbehandling)</w:t>
      </w:r>
    </w:p>
    <w:p w14:paraId="1832A23B" w14:textId="77777777" w:rsidR="006E4003" w:rsidRPr="00194E1C" w:rsidRDefault="006E4003" w:rsidP="006E4003">
      <w:pPr>
        <w:tabs>
          <w:tab w:val="left" w:pos="851"/>
        </w:tabs>
        <w:ind w:left="851"/>
        <w:rPr>
          <w:sz w:val="24"/>
          <w:szCs w:val="24"/>
        </w:rPr>
      </w:pPr>
      <w:r w:rsidRPr="00194E1C">
        <w:rPr>
          <w:sz w:val="24"/>
          <w:szCs w:val="24"/>
        </w:rPr>
        <w:t xml:space="preserve">Daglige doser på 4-20 mg </w:t>
      </w:r>
      <w:proofErr w:type="spellStart"/>
      <w:r w:rsidRPr="00194E1C">
        <w:rPr>
          <w:sz w:val="24"/>
          <w:szCs w:val="24"/>
        </w:rPr>
        <w:t>i.v</w:t>
      </w:r>
      <w:proofErr w:type="spellEnd"/>
      <w:r w:rsidRPr="00194E1C">
        <w:rPr>
          <w:sz w:val="24"/>
          <w:szCs w:val="24"/>
        </w:rPr>
        <w:t>. I individuelle tilfælde (f.eks. tyfus) indledningsvist op til 200 mg.</w:t>
      </w:r>
    </w:p>
    <w:p w14:paraId="69867B9C" w14:textId="77777777" w:rsidR="006E4003" w:rsidRPr="00194E1C" w:rsidRDefault="006E4003" w:rsidP="006E4003">
      <w:pPr>
        <w:tabs>
          <w:tab w:val="left" w:pos="851"/>
        </w:tabs>
        <w:ind w:left="851"/>
        <w:rPr>
          <w:sz w:val="24"/>
          <w:szCs w:val="24"/>
        </w:rPr>
      </w:pPr>
    </w:p>
    <w:p w14:paraId="67410921"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r w:rsidRPr="00194E1C">
        <w:rPr>
          <w:i/>
          <w:iCs/>
          <w:sz w:val="24"/>
          <w:szCs w:val="24"/>
        </w:rPr>
        <w:t>Palliativ behandling af maligne tumorer</w:t>
      </w:r>
    </w:p>
    <w:p w14:paraId="450821B0" w14:textId="77777777" w:rsidR="006E4003" w:rsidRPr="00194E1C" w:rsidRDefault="006E4003" w:rsidP="006E4003">
      <w:pPr>
        <w:tabs>
          <w:tab w:val="left" w:pos="851"/>
        </w:tabs>
        <w:ind w:left="851"/>
        <w:rPr>
          <w:sz w:val="24"/>
          <w:szCs w:val="24"/>
        </w:rPr>
      </w:pPr>
      <w:r w:rsidRPr="00194E1C">
        <w:rPr>
          <w:sz w:val="24"/>
          <w:szCs w:val="24"/>
        </w:rPr>
        <w:t>Indledningsvist 8-16 mg/dag, i forbindelse med længerevarende behandling 4-12 mg/dag.</w:t>
      </w:r>
    </w:p>
    <w:p w14:paraId="64012996" w14:textId="77777777" w:rsidR="006E4003" w:rsidRPr="00194E1C" w:rsidRDefault="006E4003" w:rsidP="006E4003">
      <w:pPr>
        <w:tabs>
          <w:tab w:val="left" w:pos="851"/>
        </w:tabs>
        <w:ind w:left="851"/>
        <w:rPr>
          <w:sz w:val="24"/>
          <w:szCs w:val="24"/>
        </w:rPr>
      </w:pPr>
    </w:p>
    <w:p w14:paraId="1BA558BB"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 xml:space="preserve">Forebyggelse og behandling af </w:t>
      </w:r>
      <w:proofErr w:type="spellStart"/>
      <w:r w:rsidRPr="00194E1C">
        <w:rPr>
          <w:i/>
          <w:iCs/>
          <w:sz w:val="24"/>
          <w:szCs w:val="24"/>
        </w:rPr>
        <w:t>cytostatikainduceret</w:t>
      </w:r>
      <w:proofErr w:type="spellEnd"/>
      <w:r w:rsidRPr="00194E1C">
        <w:rPr>
          <w:i/>
          <w:iCs/>
          <w:sz w:val="24"/>
          <w:szCs w:val="24"/>
        </w:rPr>
        <w:t xml:space="preserve"> opkastning i forbindelse med </w:t>
      </w:r>
      <w:proofErr w:type="spellStart"/>
      <w:r w:rsidRPr="00194E1C">
        <w:rPr>
          <w:i/>
          <w:iCs/>
          <w:sz w:val="24"/>
          <w:szCs w:val="24"/>
        </w:rPr>
        <w:t>antiemetisk</w:t>
      </w:r>
      <w:proofErr w:type="spellEnd"/>
      <w:r w:rsidRPr="00194E1C">
        <w:rPr>
          <w:i/>
          <w:iCs/>
          <w:sz w:val="24"/>
          <w:szCs w:val="24"/>
        </w:rPr>
        <w:t xml:space="preserve"> behandling</w:t>
      </w:r>
    </w:p>
    <w:p w14:paraId="3149AD5D" w14:textId="77777777" w:rsidR="006E4003" w:rsidRPr="00194E1C" w:rsidRDefault="006E4003" w:rsidP="006E4003">
      <w:pPr>
        <w:tabs>
          <w:tab w:val="left" w:pos="851"/>
        </w:tabs>
        <w:ind w:left="851"/>
        <w:rPr>
          <w:sz w:val="24"/>
          <w:szCs w:val="24"/>
        </w:rPr>
      </w:pPr>
      <w:r w:rsidRPr="00194E1C">
        <w:rPr>
          <w:sz w:val="24"/>
          <w:szCs w:val="24"/>
        </w:rPr>
        <w:t xml:space="preserve">10-20 mg </w:t>
      </w:r>
      <w:proofErr w:type="spellStart"/>
      <w:r w:rsidRPr="00194E1C">
        <w:rPr>
          <w:sz w:val="24"/>
          <w:szCs w:val="24"/>
        </w:rPr>
        <w:t>i.v</w:t>
      </w:r>
      <w:proofErr w:type="spellEnd"/>
      <w:r w:rsidRPr="00194E1C">
        <w:rPr>
          <w:sz w:val="24"/>
          <w:szCs w:val="24"/>
        </w:rPr>
        <w:t xml:space="preserve">. før påbegyndelse af kemoterapi, derefter 4-8 mg to til tre gange dagligt i 1-3 dage efter behov (moderat </w:t>
      </w:r>
      <w:proofErr w:type="spellStart"/>
      <w:r w:rsidRPr="00194E1C">
        <w:rPr>
          <w:sz w:val="24"/>
          <w:szCs w:val="24"/>
        </w:rPr>
        <w:t>emetogen</w:t>
      </w:r>
      <w:proofErr w:type="spellEnd"/>
      <w:r w:rsidRPr="00194E1C">
        <w:rPr>
          <w:sz w:val="24"/>
          <w:szCs w:val="24"/>
        </w:rPr>
        <w:t xml:space="preserve"> kemoterapi) eller op til 6 dage (</w:t>
      </w:r>
      <w:proofErr w:type="spellStart"/>
      <w:r w:rsidRPr="00194E1C">
        <w:rPr>
          <w:sz w:val="24"/>
          <w:szCs w:val="24"/>
        </w:rPr>
        <w:t>højemetogen</w:t>
      </w:r>
      <w:proofErr w:type="spellEnd"/>
      <w:r w:rsidRPr="00194E1C">
        <w:rPr>
          <w:sz w:val="24"/>
          <w:szCs w:val="24"/>
        </w:rPr>
        <w:t xml:space="preserve"> kemoterapi).</w:t>
      </w:r>
    </w:p>
    <w:p w14:paraId="728CA1CC" w14:textId="77777777" w:rsidR="006E4003" w:rsidRPr="00194E1C" w:rsidRDefault="006E4003" w:rsidP="006E4003">
      <w:pPr>
        <w:tabs>
          <w:tab w:val="left" w:pos="851"/>
        </w:tabs>
        <w:ind w:left="851"/>
        <w:rPr>
          <w:sz w:val="24"/>
          <w:szCs w:val="24"/>
        </w:rPr>
      </w:pPr>
    </w:p>
    <w:p w14:paraId="18280739"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Forebyggelse og behandling af post-operativ opkastning</w:t>
      </w:r>
    </w:p>
    <w:p w14:paraId="52A9CFC7" w14:textId="77777777" w:rsidR="006E4003" w:rsidRPr="00194E1C" w:rsidRDefault="006E4003" w:rsidP="006E4003">
      <w:pPr>
        <w:tabs>
          <w:tab w:val="left" w:pos="851"/>
        </w:tabs>
        <w:ind w:left="851"/>
        <w:rPr>
          <w:sz w:val="24"/>
          <w:szCs w:val="24"/>
        </w:rPr>
      </w:pPr>
      <w:r w:rsidRPr="00194E1C">
        <w:rPr>
          <w:sz w:val="24"/>
          <w:szCs w:val="24"/>
        </w:rPr>
        <w:t xml:space="preserve">Individuel dosis på 8-20 mg </w:t>
      </w:r>
      <w:proofErr w:type="spellStart"/>
      <w:r w:rsidRPr="00194E1C">
        <w:rPr>
          <w:sz w:val="24"/>
          <w:szCs w:val="24"/>
        </w:rPr>
        <w:t>i.v</w:t>
      </w:r>
      <w:proofErr w:type="spellEnd"/>
      <w:r w:rsidRPr="00194E1C">
        <w:rPr>
          <w:sz w:val="24"/>
          <w:szCs w:val="24"/>
        </w:rPr>
        <w:t>. før start på operationen.</w:t>
      </w:r>
    </w:p>
    <w:p w14:paraId="5794D65D" w14:textId="77777777" w:rsidR="006E4003" w:rsidRPr="00194E1C" w:rsidRDefault="006E4003" w:rsidP="006E4003">
      <w:pPr>
        <w:tabs>
          <w:tab w:val="left" w:pos="851"/>
        </w:tabs>
        <w:ind w:left="851"/>
        <w:rPr>
          <w:sz w:val="24"/>
          <w:szCs w:val="24"/>
        </w:rPr>
      </w:pPr>
    </w:p>
    <w:p w14:paraId="03F09C29" w14:textId="77777777" w:rsidR="006E4003" w:rsidRPr="00194E1C" w:rsidRDefault="006E4003" w:rsidP="006E4003">
      <w:pPr>
        <w:tabs>
          <w:tab w:val="left" w:pos="851"/>
        </w:tabs>
        <w:ind w:left="851"/>
        <w:rPr>
          <w:b/>
          <w:bCs/>
          <w:sz w:val="24"/>
          <w:szCs w:val="24"/>
        </w:rPr>
      </w:pPr>
      <w:r w:rsidRPr="00194E1C">
        <w:rPr>
          <w:b/>
          <w:bCs/>
          <w:sz w:val="24"/>
          <w:szCs w:val="24"/>
        </w:rPr>
        <w:t>Subkutan administration</w:t>
      </w:r>
    </w:p>
    <w:p w14:paraId="40A3735D" w14:textId="77777777" w:rsidR="006E4003" w:rsidRPr="00194E1C" w:rsidRDefault="006E4003" w:rsidP="006E4003">
      <w:pPr>
        <w:tabs>
          <w:tab w:val="left" w:pos="851"/>
        </w:tabs>
        <w:ind w:left="851"/>
        <w:rPr>
          <w:sz w:val="24"/>
          <w:szCs w:val="24"/>
        </w:rPr>
      </w:pPr>
    </w:p>
    <w:p w14:paraId="598D7F8A"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t>Palliativ behandling af maligne tumorer, og forebyggelse og behandling af kemoterapiinduceret kvalme og opkastning (CINV)</w:t>
      </w:r>
    </w:p>
    <w:p w14:paraId="2462B949" w14:textId="77777777" w:rsidR="006E4003" w:rsidRPr="00194E1C" w:rsidRDefault="006E4003" w:rsidP="006E4003">
      <w:pPr>
        <w:tabs>
          <w:tab w:val="left" w:pos="851"/>
        </w:tabs>
        <w:ind w:left="851"/>
        <w:rPr>
          <w:sz w:val="24"/>
          <w:szCs w:val="24"/>
        </w:rPr>
      </w:pPr>
    </w:p>
    <w:p w14:paraId="7A6AEB6D" w14:textId="730B1426" w:rsidR="006E4003" w:rsidRPr="00194E1C" w:rsidRDefault="006E4003" w:rsidP="006E4003">
      <w:pPr>
        <w:tabs>
          <w:tab w:val="left" w:pos="851"/>
        </w:tabs>
        <w:ind w:left="851"/>
        <w:rPr>
          <w:sz w:val="24"/>
          <w:szCs w:val="24"/>
        </w:rPr>
      </w:pPr>
      <w:r w:rsidRPr="00194E1C">
        <w:rPr>
          <w:sz w:val="24"/>
          <w:szCs w:val="24"/>
        </w:rPr>
        <w:t xml:space="preserve">Ved palliativ behandling kan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administreres ved subkutan injektion eller kontinuerlig subkutan infusion (CSCI). Doser varierer normalt mellem 4,8 mg til 19,3 mg over 24 timer under hensyntagen til lokale kliniske retningslinjer, og bør titreres i henhold til patientens respons.</w:t>
      </w:r>
    </w:p>
    <w:p w14:paraId="72D6A07E" w14:textId="77777777" w:rsidR="006E4003" w:rsidRPr="00194E1C" w:rsidRDefault="006E4003" w:rsidP="006E4003">
      <w:pPr>
        <w:tabs>
          <w:tab w:val="left" w:pos="851"/>
        </w:tabs>
        <w:ind w:left="851"/>
        <w:rPr>
          <w:sz w:val="24"/>
          <w:szCs w:val="24"/>
        </w:rPr>
      </w:pPr>
    </w:p>
    <w:p w14:paraId="2ED7F131" w14:textId="77777777" w:rsidR="006E4003" w:rsidRPr="00194E1C" w:rsidRDefault="006E4003" w:rsidP="006E4003">
      <w:pPr>
        <w:tabs>
          <w:tab w:val="left" w:pos="851"/>
        </w:tabs>
        <w:ind w:left="851"/>
        <w:rPr>
          <w:i/>
          <w:iCs/>
          <w:sz w:val="24"/>
          <w:szCs w:val="24"/>
        </w:rPr>
      </w:pPr>
      <w:r w:rsidRPr="00194E1C">
        <w:rPr>
          <w:i/>
          <w:iCs/>
          <w:sz w:val="24"/>
          <w:szCs w:val="24"/>
        </w:rPr>
        <w:t xml:space="preserve">Pædiatrisk population </w:t>
      </w:r>
    </w:p>
    <w:p w14:paraId="2D4CC28A" w14:textId="77777777" w:rsidR="006E4003" w:rsidRPr="00194E1C" w:rsidRDefault="006E4003" w:rsidP="006E4003">
      <w:pPr>
        <w:tabs>
          <w:tab w:val="left" w:pos="851"/>
        </w:tabs>
        <w:ind w:left="851"/>
        <w:rPr>
          <w:sz w:val="24"/>
          <w:szCs w:val="24"/>
        </w:rPr>
      </w:pPr>
    </w:p>
    <w:p w14:paraId="74CFE486"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r w:rsidRPr="00194E1C">
        <w:rPr>
          <w:i/>
          <w:iCs/>
          <w:sz w:val="24"/>
          <w:szCs w:val="24"/>
        </w:rPr>
        <w:t>Cerebralt ødem</w:t>
      </w:r>
      <w:r w:rsidRPr="00194E1C">
        <w:rPr>
          <w:sz w:val="24"/>
          <w:szCs w:val="24"/>
        </w:rPr>
        <w:t xml:space="preserve"> på grund af bakteriel meningitis</w:t>
      </w:r>
    </w:p>
    <w:p w14:paraId="667ED1F4" w14:textId="77777777" w:rsidR="006E4003" w:rsidRPr="00194E1C" w:rsidRDefault="006E4003" w:rsidP="006E4003">
      <w:pPr>
        <w:tabs>
          <w:tab w:val="left" w:pos="851"/>
        </w:tabs>
        <w:ind w:left="1304"/>
        <w:rPr>
          <w:sz w:val="24"/>
          <w:szCs w:val="24"/>
        </w:rPr>
      </w:pPr>
      <w:r w:rsidRPr="00194E1C">
        <w:rPr>
          <w:sz w:val="24"/>
          <w:szCs w:val="24"/>
        </w:rPr>
        <w:t>0,4 mg/kg legemsvægt hos børn hver 12. time i 2 dage; begyndende før første administration af antibiotika.</w:t>
      </w:r>
    </w:p>
    <w:p w14:paraId="2A495F6C" w14:textId="77777777" w:rsidR="006E4003" w:rsidRPr="00194E1C" w:rsidRDefault="006E4003" w:rsidP="006E4003">
      <w:pPr>
        <w:tabs>
          <w:tab w:val="left" w:pos="851"/>
        </w:tabs>
        <w:ind w:left="851"/>
        <w:rPr>
          <w:sz w:val="24"/>
          <w:szCs w:val="24"/>
        </w:rPr>
      </w:pPr>
    </w:p>
    <w:p w14:paraId="5BDE8DA5"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 xml:space="preserve">Posttraumatisk </w:t>
      </w:r>
      <w:proofErr w:type="spellStart"/>
      <w:r w:rsidRPr="00194E1C">
        <w:rPr>
          <w:i/>
          <w:iCs/>
          <w:sz w:val="24"/>
          <w:szCs w:val="24"/>
        </w:rPr>
        <w:t>shock</w:t>
      </w:r>
      <w:proofErr w:type="spellEnd"/>
      <w:r w:rsidRPr="00194E1C">
        <w:rPr>
          <w:i/>
          <w:iCs/>
          <w:sz w:val="24"/>
          <w:szCs w:val="24"/>
        </w:rPr>
        <w:t xml:space="preserve"> og forebyggelse af posttraumatisk akut lungesvigt</w:t>
      </w:r>
      <w:r w:rsidRPr="00194E1C">
        <w:rPr>
          <w:sz w:val="24"/>
          <w:szCs w:val="24"/>
        </w:rPr>
        <w:t xml:space="preserve"> </w:t>
      </w:r>
      <w:r w:rsidRPr="00194E1C">
        <w:rPr>
          <w:i/>
          <w:iCs/>
          <w:sz w:val="24"/>
          <w:szCs w:val="24"/>
        </w:rPr>
        <w:t>(ARDS)</w:t>
      </w:r>
    </w:p>
    <w:p w14:paraId="03ECE3DD" w14:textId="77777777" w:rsidR="006E4003" w:rsidRPr="00194E1C" w:rsidRDefault="006E4003" w:rsidP="006E4003">
      <w:pPr>
        <w:tabs>
          <w:tab w:val="left" w:pos="851"/>
        </w:tabs>
        <w:ind w:left="851"/>
        <w:rPr>
          <w:sz w:val="24"/>
          <w:szCs w:val="24"/>
        </w:rPr>
      </w:pPr>
      <w:r w:rsidRPr="00194E1C">
        <w:rPr>
          <w:sz w:val="24"/>
          <w:szCs w:val="24"/>
        </w:rPr>
        <w:tab/>
        <w:t xml:space="preserve">Indledningsvist 40 mg </w:t>
      </w:r>
      <w:proofErr w:type="spellStart"/>
      <w:r w:rsidRPr="00194E1C">
        <w:rPr>
          <w:sz w:val="24"/>
          <w:szCs w:val="24"/>
        </w:rPr>
        <w:t>i.v</w:t>
      </w:r>
      <w:proofErr w:type="spellEnd"/>
      <w:r w:rsidRPr="00194E1C">
        <w:rPr>
          <w:sz w:val="24"/>
          <w:szCs w:val="24"/>
        </w:rPr>
        <w:t>. hos børn, en gentagen dosis efter 12 timer.</w:t>
      </w:r>
    </w:p>
    <w:p w14:paraId="31EE3E7F" w14:textId="77777777" w:rsidR="006E4003" w:rsidRPr="00194E1C" w:rsidRDefault="006E4003" w:rsidP="006E4003">
      <w:pPr>
        <w:tabs>
          <w:tab w:val="left" w:pos="851"/>
        </w:tabs>
        <w:ind w:left="851"/>
        <w:rPr>
          <w:sz w:val="24"/>
          <w:szCs w:val="24"/>
        </w:rPr>
      </w:pPr>
    </w:p>
    <w:p w14:paraId="1BE0643B"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Behandling af COVID 19</w:t>
      </w:r>
    </w:p>
    <w:p w14:paraId="0A71F9F6" w14:textId="77777777" w:rsidR="006E4003" w:rsidRPr="00194E1C" w:rsidRDefault="006E4003" w:rsidP="006E4003">
      <w:pPr>
        <w:tabs>
          <w:tab w:val="left" w:pos="851"/>
        </w:tabs>
        <w:ind w:left="1304"/>
        <w:rPr>
          <w:sz w:val="24"/>
          <w:szCs w:val="24"/>
        </w:rPr>
      </w:pPr>
      <w:r w:rsidRPr="00194E1C">
        <w:rPr>
          <w:sz w:val="24"/>
          <w:szCs w:val="24"/>
        </w:rPr>
        <w:t xml:space="preserve">Unge på 12 år eller ældre anbefales at få 6 mg pr. dosis </w:t>
      </w:r>
      <w:proofErr w:type="spellStart"/>
      <w:r w:rsidRPr="00194E1C">
        <w:rPr>
          <w:sz w:val="24"/>
          <w:szCs w:val="24"/>
        </w:rPr>
        <w:t>i.v</w:t>
      </w:r>
      <w:proofErr w:type="spellEnd"/>
      <w:r w:rsidRPr="00194E1C">
        <w:rPr>
          <w:sz w:val="24"/>
          <w:szCs w:val="24"/>
        </w:rPr>
        <w:t>., én gang dagligt i op til 10 dage.</w:t>
      </w:r>
    </w:p>
    <w:p w14:paraId="518F13A1" w14:textId="77777777" w:rsidR="006E4003" w:rsidRPr="00194E1C" w:rsidRDefault="006E4003" w:rsidP="006E4003">
      <w:pPr>
        <w:tabs>
          <w:tab w:val="left" w:pos="851"/>
        </w:tabs>
        <w:ind w:left="851"/>
        <w:rPr>
          <w:sz w:val="24"/>
          <w:szCs w:val="24"/>
        </w:rPr>
      </w:pPr>
      <w:r w:rsidRPr="00194E1C">
        <w:rPr>
          <w:sz w:val="24"/>
          <w:szCs w:val="24"/>
        </w:rPr>
        <w:tab/>
        <w:t>Behandlingsvarigheden skal styres af klinisk respons og individuelle patientbehov.</w:t>
      </w:r>
    </w:p>
    <w:p w14:paraId="78F0E957" w14:textId="77777777" w:rsidR="006E4003" w:rsidRPr="00194E1C" w:rsidRDefault="006E4003" w:rsidP="006E4003">
      <w:pPr>
        <w:tabs>
          <w:tab w:val="left" w:pos="851"/>
        </w:tabs>
        <w:ind w:left="851"/>
        <w:rPr>
          <w:sz w:val="24"/>
          <w:szCs w:val="24"/>
        </w:rPr>
      </w:pPr>
    </w:p>
    <w:p w14:paraId="4D34B759"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proofErr w:type="spellStart"/>
      <w:r w:rsidRPr="00194E1C">
        <w:rPr>
          <w:i/>
          <w:iCs/>
          <w:sz w:val="24"/>
          <w:szCs w:val="24"/>
        </w:rPr>
        <w:t>Anafylaktisk</w:t>
      </w:r>
      <w:proofErr w:type="spellEnd"/>
      <w:r w:rsidRPr="00194E1C">
        <w:rPr>
          <w:i/>
          <w:iCs/>
          <w:sz w:val="24"/>
          <w:szCs w:val="24"/>
        </w:rPr>
        <w:t xml:space="preserve"> </w:t>
      </w:r>
      <w:proofErr w:type="spellStart"/>
      <w:r w:rsidRPr="00194E1C">
        <w:rPr>
          <w:i/>
          <w:iCs/>
          <w:sz w:val="24"/>
          <w:szCs w:val="24"/>
        </w:rPr>
        <w:t>shock</w:t>
      </w:r>
      <w:proofErr w:type="spellEnd"/>
    </w:p>
    <w:p w14:paraId="7A6ABE33" w14:textId="37F61E95" w:rsidR="006E4003" w:rsidRPr="00194E1C" w:rsidRDefault="006E4003" w:rsidP="006E4003">
      <w:pPr>
        <w:tabs>
          <w:tab w:val="left" w:pos="851"/>
        </w:tabs>
        <w:ind w:left="1304"/>
        <w:rPr>
          <w:sz w:val="24"/>
          <w:szCs w:val="24"/>
        </w:rPr>
      </w:pPr>
      <w:r w:rsidRPr="00194E1C">
        <w:rPr>
          <w:sz w:val="24"/>
          <w:szCs w:val="24"/>
        </w:rPr>
        <w:t xml:space="preserve">40 mg </w:t>
      </w:r>
      <w:proofErr w:type="spellStart"/>
      <w:r w:rsidRPr="00194E1C">
        <w:rPr>
          <w:sz w:val="24"/>
          <w:szCs w:val="24"/>
        </w:rPr>
        <w:t>i.v</w:t>
      </w:r>
      <w:proofErr w:type="spellEnd"/>
      <w:r w:rsidRPr="00194E1C">
        <w:rPr>
          <w:sz w:val="24"/>
          <w:szCs w:val="24"/>
        </w:rPr>
        <w:t>.</w:t>
      </w:r>
      <w:r w:rsidR="00357B67">
        <w:rPr>
          <w:sz w:val="24"/>
          <w:szCs w:val="24"/>
        </w:rPr>
        <w:t xml:space="preserve"> </w:t>
      </w:r>
      <w:r w:rsidRPr="00194E1C">
        <w:rPr>
          <w:sz w:val="24"/>
          <w:szCs w:val="24"/>
        </w:rPr>
        <w:t>hos børn efter en indledende intravenøs adrenalininjektion. Dosis kan gentages om nødvendigt.</w:t>
      </w:r>
    </w:p>
    <w:p w14:paraId="6C0FA7CE" w14:textId="67FA7FAD" w:rsidR="00EB489F" w:rsidRDefault="00EB489F">
      <w:pPr>
        <w:rPr>
          <w:sz w:val="24"/>
          <w:szCs w:val="24"/>
        </w:rPr>
      </w:pPr>
      <w:r>
        <w:rPr>
          <w:sz w:val="24"/>
          <w:szCs w:val="24"/>
        </w:rPr>
        <w:br w:type="page"/>
      </w:r>
    </w:p>
    <w:p w14:paraId="100103FD" w14:textId="77777777" w:rsidR="006E4003" w:rsidRPr="00194E1C" w:rsidRDefault="006E4003" w:rsidP="006E4003">
      <w:pPr>
        <w:tabs>
          <w:tab w:val="left" w:pos="851"/>
        </w:tabs>
        <w:ind w:left="851"/>
        <w:rPr>
          <w:sz w:val="24"/>
          <w:szCs w:val="24"/>
        </w:rPr>
      </w:pPr>
    </w:p>
    <w:p w14:paraId="2FA57EA7"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Alvorligt, akut astmaanfald</w:t>
      </w:r>
    </w:p>
    <w:p w14:paraId="7AF88709" w14:textId="77777777" w:rsidR="006E4003" w:rsidRPr="00194E1C" w:rsidRDefault="006E4003" w:rsidP="006E4003">
      <w:pPr>
        <w:tabs>
          <w:tab w:val="left" w:pos="851"/>
        </w:tabs>
        <w:ind w:left="1304"/>
        <w:rPr>
          <w:sz w:val="24"/>
          <w:szCs w:val="24"/>
        </w:rPr>
      </w:pPr>
      <w:r w:rsidRPr="00194E1C">
        <w:rPr>
          <w:sz w:val="24"/>
          <w:szCs w:val="24"/>
        </w:rPr>
        <w:t xml:space="preserve">0,15-0,3 mg/kg legemsvægt </w:t>
      </w:r>
      <w:proofErr w:type="spellStart"/>
      <w:r w:rsidRPr="00194E1C">
        <w:rPr>
          <w:sz w:val="24"/>
          <w:szCs w:val="24"/>
        </w:rPr>
        <w:t>i.v</w:t>
      </w:r>
      <w:proofErr w:type="spellEnd"/>
      <w:r w:rsidRPr="00194E1C">
        <w:rPr>
          <w:sz w:val="24"/>
          <w:szCs w:val="24"/>
        </w:rPr>
        <w:t xml:space="preserve">. eller 1,2 mg/kg legemsvægt som en </w:t>
      </w:r>
      <w:proofErr w:type="spellStart"/>
      <w:r w:rsidRPr="00194E1C">
        <w:rPr>
          <w:sz w:val="24"/>
          <w:szCs w:val="24"/>
        </w:rPr>
        <w:t>bolus</w:t>
      </w:r>
      <w:proofErr w:type="spellEnd"/>
      <w:r w:rsidRPr="00194E1C">
        <w:rPr>
          <w:sz w:val="24"/>
          <w:szCs w:val="24"/>
        </w:rPr>
        <w:t xml:space="preserve">, derefter fulgt af 0,3 mg/kg hver 4.-6. time. Derudover kan intravenøs </w:t>
      </w:r>
      <w:proofErr w:type="spellStart"/>
      <w:r w:rsidRPr="00194E1C">
        <w:rPr>
          <w:sz w:val="24"/>
          <w:szCs w:val="24"/>
        </w:rPr>
        <w:t>aminophyllin</w:t>
      </w:r>
      <w:proofErr w:type="spellEnd"/>
      <w:r w:rsidRPr="00194E1C">
        <w:rPr>
          <w:sz w:val="24"/>
          <w:szCs w:val="24"/>
        </w:rPr>
        <w:t xml:space="preserve"> administreres.</w:t>
      </w:r>
    </w:p>
    <w:p w14:paraId="2B615138" w14:textId="77777777" w:rsidR="006E4003" w:rsidRPr="00194E1C" w:rsidRDefault="006E4003" w:rsidP="006E4003">
      <w:pPr>
        <w:tabs>
          <w:tab w:val="left" w:pos="851"/>
        </w:tabs>
        <w:ind w:left="851"/>
        <w:rPr>
          <w:sz w:val="24"/>
          <w:szCs w:val="24"/>
        </w:rPr>
      </w:pPr>
    </w:p>
    <w:p w14:paraId="4F758904"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Forebyggelse og behandling af post-operativ opkastning</w:t>
      </w:r>
    </w:p>
    <w:p w14:paraId="6B1636B7" w14:textId="77777777" w:rsidR="006E4003" w:rsidRPr="00194E1C" w:rsidRDefault="006E4003" w:rsidP="006E4003">
      <w:pPr>
        <w:tabs>
          <w:tab w:val="left" w:pos="851"/>
        </w:tabs>
        <w:ind w:left="851"/>
        <w:rPr>
          <w:sz w:val="24"/>
          <w:szCs w:val="24"/>
        </w:rPr>
      </w:pPr>
      <w:r w:rsidRPr="00194E1C">
        <w:rPr>
          <w:sz w:val="24"/>
          <w:szCs w:val="24"/>
        </w:rPr>
        <w:tab/>
        <w:t>0,15-0,5 mg/kg legemsvægt hos børn over 2 år med en maksimal dosis på 16 mg.</w:t>
      </w:r>
    </w:p>
    <w:p w14:paraId="4E3E09A2" w14:textId="77777777" w:rsidR="006E4003" w:rsidRPr="00194E1C" w:rsidRDefault="006E4003" w:rsidP="006E4003">
      <w:pPr>
        <w:tabs>
          <w:tab w:val="left" w:pos="851"/>
        </w:tabs>
        <w:ind w:left="851"/>
        <w:rPr>
          <w:sz w:val="24"/>
          <w:szCs w:val="24"/>
        </w:rPr>
      </w:pPr>
      <w:r w:rsidRPr="00194E1C">
        <w:rPr>
          <w:sz w:val="24"/>
          <w:szCs w:val="24"/>
        </w:rPr>
        <w:tab/>
      </w:r>
    </w:p>
    <w:p w14:paraId="3D046F22" w14:textId="248F5E57"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anbefales generelt ikke til brug hos for tidligt fødte eller fuldbårne nyfødte (se pkt. 2 og 4.4).</w:t>
      </w:r>
    </w:p>
    <w:p w14:paraId="6E2838AD" w14:textId="77777777" w:rsidR="006E4003" w:rsidRPr="00194E1C" w:rsidRDefault="006E4003" w:rsidP="006E4003">
      <w:pPr>
        <w:tabs>
          <w:tab w:val="left" w:pos="851"/>
        </w:tabs>
        <w:ind w:left="851"/>
        <w:rPr>
          <w:sz w:val="24"/>
          <w:szCs w:val="24"/>
        </w:rPr>
      </w:pPr>
    </w:p>
    <w:p w14:paraId="18133013" w14:textId="77E0E698"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indeholder propylenglykol (20 mg pr. ml), og det bør derfor anvendes med </w:t>
      </w:r>
      <w:r w:rsidRPr="00194E1C">
        <w:rPr>
          <w:b/>
          <w:bCs/>
          <w:sz w:val="24"/>
          <w:szCs w:val="24"/>
        </w:rPr>
        <w:t>forsigtighed</w:t>
      </w:r>
      <w:r w:rsidRPr="00194E1C">
        <w:rPr>
          <w:sz w:val="24"/>
          <w:szCs w:val="24"/>
        </w:rPr>
        <w:t xml:space="preserve"> til spædbørn og børn under 5 år, især hvis der kræves høje doser, eller hvis langvarig behandling overvejes (se pkt. 2 og 4.4).</w:t>
      </w:r>
    </w:p>
    <w:p w14:paraId="3327F9AF" w14:textId="77777777" w:rsidR="006E4003" w:rsidRPr="00194E1C" w:rsidRDefault="006E4003" w:rsidP="006E4003">
      <w:pPr>
        <w:tabs>
          <w:tab w:val="left" w:pos="851"/>
        </w:tabs>
        <w:ind w:left="851"/>
        <w:rPr>
          <w:sz w:val="24"/>
          <w:szCs w:val="24"/>
        </w:rPr>
      </w:pPr>
    </w:p>
    <w:p w14:paraId="1FA26B91" w14:textId="77777777" w:rsidR="006E4003" w:rsidRPr="00194E1C" w:rsidRDefault="006E4003" w:rsidP="006E4003">
      <w:pPr>
        <w:tabs>
          <w:tab w:val="left" w:pos="851"/>
        </w:tabs>
        <w:ind w:left="851"/>
        <w:rPr>
          <w:sz w:val="24"/>
          <w:szCs w:val="24"/>
          <w:u w:val="single"/>
        </w:rPr>
      </w:pPr>
      <w:r w:rsidRPr="00194E1C">
        <w:rPr>
          <w:sz w:val="24"/>
          <w:szCs w:val="24"/>
          <w:u w:val="single"/>
        </w:rPr>
        <w:t xml:space="preserve">Lokal administration </w:t>
      </w:r>
    </w:p>
    <w:p w14:paraId="35056DF9" w14:textId="77777777" w:rsidR="006E4003" w:rsidRPr="00194E1C" w:rsidRDefault="006E4003" w:rsidP="006E4003">
      <w:pPr>
        <w:tabs>
          <w:tab w:val="left" w:pos="851"/>
        </w:tabs>
        <w:ind w:left="851"/>
        <w:rPr>
          <w:sz w:val="24"/>
          <w:szCs w:val="24"/>
        </w:rPr>
      </w:pPr>
      <w:r w:rsidRPr="00194E1C">
        <w:rPr>
          <w:sz w:val="24"/>
          <w:szCs w:val="24"/>
        </w:rPr>
        <w:t xml:space="preserve">Den anbefalede dosis til lokal infiltration eller </w:t>
      </w:r>
      <w:proofErr w:type="spellStart"/>
      <w:r w:rsidRPr="00194E1C">
        <w:rPr>
          <w:sz w:val="24"/>
          <w:szCs w:val="24"/>
        </w:rPr>
        <w:t>intra-artikulær</w:t>
      </w:r>
      <w:proofErr w:type="spellEnd"/>
      <w:r w:rsidRPr="00194E1C">
        <w:rPr>
          <w:sz w:val="24"/>
          <w:szCs w:val="24"/>
        </w:rPr>
        <w:t xml:space="preserve"> administration er 4-8 mg. En lavere dosis på 2 mg er normalt nødvendig for en injektion i mindre led.</w:t>
      </w:r>
    </w:p>
    <w:p w14:paraId="2C58AA32" w14:textId="77777777" w:rsidR="006E4003" w:rsidRPr="00194E1C" w:rsidRDefault="006E4003" w:rsidP="006E4003">
      <w:pPr>
        <w:tabs>
          <w:tab w:val="left" w:pos="851"/>
        </w:tabs>
        <w:ind w:left="851"/>
        <w:rPr>
          <w:sz w:val="24"/>
          <w:szCs w:val="24"/>
        </w:rPr>
      </w:pPr>
    </w:p>
    <w:p w14:paraId="6086179B"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Nedsat nyre- eller leverfunktion</w:t>
      </w:r>
    </w:p>
    <w:p w14:paraId="13446E2D" w14:textId="77777777" w:rsidR="006E4003" w:rsidRPr="00194E1C" w:rsidRDefault="006E4003" w:rsidP="006E4003">
      <w:pPr>
        <w:tabs>
          <w:tab w:val="left" w:pos="851"/>
        </w:tabs>
        <w:ind w:left="851"/>
        <w:rPr>
          <w:sz w:val="24"/>
          <w:szCs w:val="24"/>
        </w:rPr>
      </w:pPr>
      <w:r w:rsidRPr="00194E1C">
        <w:rPr>
          <w:sz w:val="24"/>
          <w:szCs w:val="24"/>
        </w:rPr>
        <w:t xml:space="preserve">På grund af produktets indhold af propylenglykol er det nødvendigt med medicinsk overvågning hos patienter med nedsat lever- eller nyrefunktion (se pkt. 2 og 4.4). </w:t>
      </w:r>
    </w:p>
    <w:p w14:paraId="43437828" w14:textId="77777777" w:rsidR="006E4003" w:rsidRPr="00194E1C" w:rsidRDefault="006E4003" w:rsidP="006E4003">
      <w:pPr>
        <w:tabs>
          <w:tab w:val="left" w:pos="851"/>
        </w:tabs>
        <w:ind w:left="851"/>
        <w:rPr>
          <w:sz w:val="24"/>
          <w:szCs w:val="24"/>
        </w:rPr>
      </w:pPr>
    </w:p>
    <w:p w14:paraId="0E657F22" w14:textId="77777777" w:rsidR="006E4003" w:rsidRPr="00194E1C" w:rsidRDefault="006E4003" w:rsidP="006E4003">
      <w:pPr>
        <w:tabs>
          <w:tab w:val="left" w:pos="851"/>
        </w:tabs>
        <w:ind w:left="851"/>
        <w:rPr>
          <w:sz w:val="24"/>
          <w:szCs w:val="24"/>
        </w:rPr>
      </w:pPr>
      <w:r w:rsidRPr="00194E1C">
        <w:rPr>
          <w:sz w:val="24"/>
          <w:szCs w:val="24"/>
        </w:rPr>
        <w:t xml:space="preserve">I forbindelse med </w:t>
      </w:r>
      <w:proofErr w:type="spellStart"/>
      <w:r w:rsidRPr="00194E1C">
        <w:rPr>
          <w:sz w:val="24"/>
          <w:szCs w:val="24"/>
        </w:rPr>
        <w:t>hypotyroidisme</w:t>
      </w:r>
      <w:proofErr w:type="spellEnd"/>
      <w:r w:rsidRPr="00194E1C">
        <w:rPr>
          <w:sz w:val="24"/>
          <w:szCs w:val="24"/>
        </w:rPr>
        <w:t xml:space="preserve"> eller </w:t>
      </w:r>
      <w:proofErr w:type="spellStart"/>
      <w:r w:rsidRPr="00194E1C">
        <w:rPr>
          <w:sz w:val="24"/>
          <w:szCs w:val="24"/>
        </w:rPr>
        <w:t>levercirrhose</w:t>
      </w:r>
      <w:proofErr w:type="spellEnd"/>
      <w:r w:rsidRPr="00194E1C">
        <w:rPr>
          <w:sz w:val="24"/>
          <w:szCs w:val="24"/>
        </w:rPr>
        <w:t>, kan lave doser være tilstrækkeligt, eller en dosisreduktion kan være nødvendig.</w:t>
      </w:r>
    </w:p>
    <w:p w14:paraId="66CB04B4" w14:textId="77777777" w:rsidR="006E4003" w:rsidRPr="00194E1C" w:rsidRDefault="006E4003" w:rsidP="006E4003">
      <w:pPr>
        <w:tabs>
          <w:tab w:val="left" w:pos="851"/>
        </w:tabs>
        <w:ind w:left="851"/>
        <w:rPr>
          <w:sz w:val="24"/>
          <w:szCs w:val="24"/>
        </w:rPr>
      </w:pPr>
    </w:p>
    <w:p w14:paraId="158066ED" w14:textId="77777777" w:rsidR="006E4003" w:rsidRPr="00194E1C" w:rsidRDefault="006E4003" w:rsidP="006E4003">
      <w:pPr>
        <w:tabs>
          <w:tab w:val="left" w:pos="851"/>
        </w:tabs>
        <w:ind w:left="851"/>
        <w:rPr>
          <w:sz w:val="24"/>
          <w:szCs w:val="24"/>
          <w:u w:val="single"/>
        </w:rPr>
      </w:pPr>
      <w:r w:rsidRPr="00194E1C">
        <w:rPr>
          <w:sz w:val="24"/>
          <w:szCs w:val="24"/>
          <w:u w:val="single"/>
        </w:rPr>
        <w:t>Administration</w:t>
      </w:r>
    </w:p>
    <w:p w14:paraId="79F95D66" w14:textId="77777777" w:rsidR="006E4003" w:rsidRPr="00194E1C" w:rsidRDefault="006E4003" w:rsidP="006E4003">
      <w:pPr>
        <w:tabs>
          <w:tab w:val="left" w:pos="851"/>
        </w:tabs>
        <w:ind w:left="851"/>
        <w:rPr>
          <w:sz w:val="24"/>
          <w:szCs w:val="24"/>
        </w:rPr>
      </w:pPr>
      <w:r w:rsidRPr="00194E1C">
        <w:rPr>
          <w:sz w:val="24"/>
          <w:szCs w:val="24"/>
        </w:rPr>
        <w:t>Behandlingens varighed afhænger af indikationen.</w:t>
      </w:r>
    </w:p>
    <w:p w14:paraId="6E8100F2" w14:textId="0A174143"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gives uden blanding eller fortynding. </w:t>
      </w:r>
    </w:p>
    <w:p w14:paraId="660E3D85" w14:textId="77777777" w:rsidR="006E4003" w:rsidRPr="00194E1C" w:rsidRDefault="006E4003" w:rsidP="006E4003">
      <w:pPr>
        <w:tabs>
          <w:tab w:val="left" w:pos="851"/>
        </w:tabs>
        <w:ind w:left="851"/>
        <w:rPr>
          <w:sz w:val="24"/>
          <w:szCs w:val="24"/>
        </w:rPr>
      </w:pPr>
    </w:p>
    <w:p w14:paraId="4B5B1007" w14:textId="77777777" w:rsidR="006E4003" w:rsidRPr="00194E1C" w:rsidRDefault="006E4003" w:rsidP="006E4003">
      <w:pPr>
        <w:tabs>
          <w:tab w:val="left" w:pos="851"/>
        </w:tabs>
        <w:ind w:left="851"/>
        <w:rPr>
          <w:sz w:val="24"/>
          <w:szCs w:val="24"/>
          <w:u w:val="single"/>
        </w:rPr>
      </w:pPr>
      <w:r w:rsidRPr="00194E1C">
        <w:rPr>
          <w:sz w:val="24"/>
          <w:szCs w:val="24"/>
          <w:u w:val="single"/>
        </w:rPr>
        <w:t xml:space="preserve">Intravenøs, intramuskulær, </w:t>
      </w:r>
      <w:proofErr w:type="spellStart"/>
      <w:r w:rsidRPr="00194E1C">
        <w:rPr>
          <w:sz w:val="24"/>
          <w:szCs w:val="24"/>
          <w:u w:val="single"/>
        </w:rPr>
        <w:t>intra-artikulær</w:t>
      </w:r>
      <w:proofErr w:type="spellEnd"/>
      <w:r w:rsidRPr="00194E1C">
        <w:rPr>
          <w:sz w:val="24"/>
          <w:szCs w:val="24"/>
          <w:u w:val="single"/>
        </w:rPr>
        <w:t xml:space="preserve"> injektion eller infiltration.</w:t>
      </w:r>
    </w:p>
    <w:p w14:paraId="7F82A7EB" w14:textId="6B53D7B9"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tilsættes </w:t>
      </w:r>
      <w:proofErr w:type="spellStart"/>
      <w:r w:rsidRPr="00194E1C">
        <w:rPr>
          <w:sz w:val="24"/>
          <w:szCs w:val="24"/>
        </w:rPr>
        <w:t>natriumchlorid</w:t>
      </w:r>
      <w:proofErr w:type="spellEnd"/>
      <w:r w:rsidRPr="00194E1C">
        <w:rPr>
          <w:sz w:val="24"/>
          <w:szCs w:val="24"/>
        </w:rPr>
        <w:t xml:space="preserve"> 0,9%, </w:t>
      </w:r>
      <w:proofErr w:type="spellStart"/>
      <w:r w:rsidRPr="00194E1C">
        <w:rPr>
          <w:sz w:val="24"/>
          <w:szCs w:val="24"/>
        </w:rPr>
        <w:t>glucose</w:t>
      </w:r>
      <w:proofErr w:type="spellEnd"/>
      <w:r w:rsidRPr="00194E1C">
        <w:rPr>
          <w:sz w:val="24"/>
          <w:szCs w:val="24"/>
        </w:rPr>
        <w:t xml:space="preserve"> 5% eller Ringers opløsning uden tab af styrke, og gives ved intravenøs infusion:</w:t>
      </w:r>
    </w:p>
    <w:p w14:paraId="5270D83C" w14:textId="77777777" w:rsidR="006E4003" w:rsidRPr="00194E1C" w:rsidRDefault="006E4003" w:rsidP="006E4003">
      <w:pPr>
        <w:tabs>
          <w:tab w:val="left" w:pos="851"/>
        </w:tabs>
        <w:ind w:left="851"/>
        <w:rPr>
          <w:sz w:val="24"/>
          <w:szCs w:val="24"/>
        </w:rPr>
      </w:pPr>
      <w:r w:rsidRPr="00194E1C">
        <w:rPr>
          <w:sz w:val="24"/>
          <w:szCs w:val="24"/>
        </w:rPr>
        <w:t xml:space="preserve"> • kontinuerligt, intermitterende eller via drop hos voksne</w:t>
      </w:r>
    </w:p>
    <w:p w14:paraId="4E2444FF" w14:textId="77777777" w:rsidR="006E4003" w:rsidRPr="00194E1C" w:rsidRDefault="006E4003" w:rsidP="006E4003">
      <w:pPr>
        <w:tabs>
          <w:tab w:val="left" w:pos="851"/>
        </w:tabs>
        <w:ind w:left="851"/>
        <w:rPr>
          <w:sz w:val="24"/>
          <w:szCs w:val="24"/>
        </w:rPr>
      </w:pPr>
      <w:r w:rsidRPr="00194E1C">
        <w:rPr>
          <w:sz w:val="24"/>
          <w:szCs w:val="24"/>
        </w:rPr>
        <w:t xml:space="preserve"> • over 15-20 minutter hos børn.</w:t>
      </w:r>
    </w:p>
    <w:p w14:paraId="6077C440" w14:textId="77777777" w:rsidR="006E4003" w:rsidRPr="00194E1C" w:rsidRDefault="006E4003" w:rsidP="006E4003">
      <w:pPr>
        <w:tabs>
          <w:tab w:val="left" w:pos="851"/>
        </w:tabs>
        <w:ind w:left="851"/>
        <w:rPr>
          <w:sz w:val="24"/>
          <w:szCs w:val="24"/>
        </w:rPr>
      </w:pPr>
    </w:p>
    <w:p w14:paraId="6DB0AE61" w14:textId="132CA886" w:rsidR="006E4003" w:rsidRPr="00194E1C" w:rsidRDefault="006E4003" w:rsidP="006E4003">
      <w:pPr>
        <w:tabs>
          <w:tab w:val="left" w:pos="851"/>
        </w:tabs>
        <w:ind w:left="851"/>
        <w:rPr>
          <w:sz w:val="24"/>
          <w:szCs w:val="24"/>
        </w:rPr>
      </w:pPr>
      <w:r w:rsidRPr="00194E1C">
        <w:rPr>
          <w:sz w:val="24"/>
          <w:szCs w:val="24"/>
        </w:rPr>
        <w:t xml:space="preserve">Ved palliativ behandling kan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fortyndes med </w:t>
      </w:r>
      <w:proofErr w:type="spellStart"/>
      <w:r w:rsidRPr="00194E1C">
        <w:rPr>
          <w:sz w:val="24"/>
          <w:szCs w:val="24"/>
        </w:rPr>
        <w:t>natriumchlorid</w:t>
      </w:r>
      <w:proofErr w:type="spellEnd"/>
      <w:r w:rsidRPr="00194E1C">
        <w:rPr>
          <w:sz w:val="24"/>
          <w:szCs w:val="24"/>
        </w:rPr>
        <w:t xml:space="preserve"> 0,9%, og administreres ved kontinuerlig subkutan infusion (CSCI).</w:t>
      </w:r>
    </w:p>
    <w:p w14:paraId="2E1EA4FE" w14:textId="77777777" w:rsidR="006E4003" w:rsidRPr="00194E1C" w:rsidRDefault="006E4003" w:rsidP="006E4003">
      <w:pPr>
        <w:tabs>
          <w:tab w:val="left" w:pos="851"/>
        </w:tabs>
        <w:ind w:left="851"/>
        <w:rPr>
          <w:sz w:val="24"/>
          <w:szCs w:val="24"/>
        </w:rPr>
      </w:pPr>
      <w:r w:rsidRPr="00194E1C">
        <w:rPr>
          <w:sz w:val="24"/>
          <w:szCs w:val="24"/>
        </w:rPr>
        <w:t>Infusionsblandinger skal anvendes inden for 24 timer, og de sædvanlige aseptiske teknikker til injektioner skal overholdes.</w:t>
      </w:r>
    </w:p>
    <w:p w14:paraId="68AC7186" w14:textId="77777777" w:rsidR="006E4003" w:rsidRPr="00194E1C" w:rsidRDefault="006E4003" w:rsidP="006E4003">
      <w:pPr>
        <w:tabs>
          <w:tab w:val="left" w:pos="851"/>
        </w:tabs>
        <w:ind w:left="851"/>
        <w:rPr>
          <w:sz w:val="24"/>
          <w:szCs w:val="24"/>
        </w:rPr>
      </w:pPr>
      <w:r w:rsidRPr="00194E1C">
        <w:rPr>
          <w:sz w:val="24"/>
          <w:szCs w:val="24"/>
        </w:rPr>
        <w:t xml:space="preserve"> </w:t>
      </w:r>
    </w:p>
    <w:p w14:paraId="3A8C05EF" w14:textId="77777777" w:rsidR="006E4003" w:rsidRPr="00194E1C" w:rsidRDefault="006E4003" w:rsidP="006E4003">
      <w:pPr>
        <w:tabs>
          <w:tab w:val="left" w:pos="851"/>
        </w:tabs>
        <w:ind w:left="851"/>
        <w:rPr>
          <w:sz w:val="24"/>
          <w:szCs w:val="24"/>
        </w:rPr>
      </w:pPr>
      <w:proofErr w:type="spellStart"/>
      <w:r w:rsidRPr="00194E1C">
        <w:rPr>
          <w:i/>
          <w:iCs/>
          <w:sz w:val="24"/>
          <w:szCs w:val="24"/>
        </w:rPr>
        <w:t>Intra-artikulære</w:t>
      </w:r>
      <w:proofErr w:type="spellEnd"/>
      <w:r w:rsidRPr="00194E1C">
        <w:rPr>
          <w:i/>
          <w:iCs/>
          <w:sz w:val="24"/>
          <w:szCs w:val="24"/>
        </w:rPr>
        <w:t xml:space="preserve"> injektioner</w:t>
      </w:r>
      <w:r w:rsidRPr="00194E1C">
        <w:rPr>
          <w:sz w:val="24"/>
          <w:szCs w:val="24"/>
        </w:rPr>
        <w:t xml:space="preserve"> skal gives under strengt aseptiske forhold. En enkelt </w:t>
      </w:r>
      <w:proofErr w:type="spellStart"/>
      <w:r w:rsidRPr="00194E1C">
        <w:rPr>
          <w:sz w:val="24"/>
          <w:szCs w:val="24"/>
        </w:rPr>
        <w:t>intra-artikulær</w:t>
      </w:r>
      <w:proofErr w:type="spellEnd"/>
      <w:r w:rsidRPr="00194E1C">
        <w:rPr>
          <w:sz w:val="24"/>
          <w:szCs w:val="24"/>
        </w:rPr>
        <w:t xml:space="preserve"> injektion er normalt tilstrækkelig til at lindre symptomerne. Hvis en yderligere dosis skønnes nødvendig, bør denne administreres mindst 3-4 uger efter den første dosis. Antallet af injektioner pr. led bør begrænses til højst 3 eller 4. Ved gentagne injektioner, anbefales medicinsk undersøgelse af leddet.</w:t>
      </w:r>
    </w:p>
    <w:p w14:paraId="28CC7D04" w14:textId="77777777" w:rsidR="006E4003" w:rsidRPr="00194E1C" w:rsidRDefault="006E4003" w:rsidP="006E4003">
      <w:pPr>
        <w:tabs>
          <w:tab w:val="left" w:pos="851"/>
        </w:tabs>
        <w:ind w:left="851"/>
        <w:rPr>
          <w:sz w:val="24"/>
          <w:szCs w:val="24"/>
        </w:rPr>
      </w:pPr>
    </w:p>
    <w:p w14:paraId="47E4B81A" w14:textId="77777777" w:rsidR="006E4003" w:rsidRPr="00194E1C" w:rsidRDefault="006E4003" w:rsidP="006E4003">
      <w:pPr>
        <w:tabs>
          <w:tab w:val="left" w:pos="851"/>
        </w:tabs>
        <w:ind w:left="851"/>
        <w:rPr>
          <w:sz w:val="24"/>
          <w:szCs w:val="24"/>
        </w:rPr>
      </w:pPr>
      <w:r w:rsidRPr="00194E1C">
        <w:rPr>
          <w:i/>
          <w:iCs/>
          <w:sz w:val="24"/>
          <w:szCs w:val="24"/>
        </w:rPr>
        <w:t>Lokal infiltration</w:t>
      </w:r>
      <w:r w:rsidRPr="00194E1C">
        <w:rPr>
          <w:sz w:val="24"/>
          <w:szCs w:val="24"/>
        </w:rPr>
        <w:t xml:space="preserve"> skal udføres under strenge aseptiske forhold i området med de mest alvorlige smerter eller i </w:t>
      </w:r>
      <w:proofErr w:type="spellStart"/>
      <w:r w:rsidRPr="00194E1C">
        <w:rPr>
          <w:sz w:val="24"/>
          <w:szCs w:val="24"/>
        </w:rPr>
        <w:t>senetilhæftninger</w:t>
      </w:r>
      <w:proofErr w:type="spellEnd"/>
      <w:r w:rsidRPr="00194E1C">
        <w:rPr>
          <w:sz w:val="24"/>
          <w:szCs w:val="24"/>
        </w:rPr>
        <w:t>. Der skal udvises forsigtighed for ikke at give injektionen direkte i senen. Administration med korte intervaller bør undgås.</w:t>
      </w:r>
    </w:p>
    <w:p w14:paraId="2C779962" w14:textId="77777777" w:rsidR="006E4003" w:rsidRPr="00194E1C" w:rsidRDefault="006E4003" w:rsidP="006E4003">
      <w:pPr>
        <w:tabs>
          <w:tab w:val="left" w:pos="851"/>
        </w:tabs>
        <w:ind w:left="851"/>
        <w:rPr>
          <w:sz w:val="24"/>
          <w:szCs w:val="24"/>
        </w:rPr>
      </w:pPr>
    </w:p>
    <w:p w14:paraId="03441993" w14:textId="77777777" w:rsidR="006E4003" w:rsidRPr="00194E1C" w:rsidRDefault="006E4003" w:rsidP="006E4003">
      <w:pPr>
        <w:tabs>
          <w:tab w:val="left" w:pos="851"/>
        </w:tabs>
        <w:ind w:left="851"/>
        <w:rPr>
          <w:sz w:val="24"/>
          <w:szCs w:val="24"/>
        </w:rPr>
      </w:pPr>
      <w:r w:rsidRPr="00194E1C">
        <w:rPr>
          <w:sz w:val="24"/>
          <w:szCs w:val="24"/>
        </w:rPr>
        <w:t xml:space="preserve">Hvis høje doser er påkrævet i en enkelt behandling, skal det overvejes at anvende lægemidler med </w:t>
      </w:r>
      <w:proofErr w:type="spellStart"/>
      <w:r w:rsidRPr="00194E1C">
        <w:rPr>
          <w:sz w:val="24"/>
          <w:szCs w:val="24"/>
        </w:rPr>
        <w:t>dexamethason</w:t>
      </w:r>
      <w:proofErr w:type="spellEnd"/>
      <w:r w:rsidRPr="00194E1C">
        <w:rPr>
          <w:sz w:val="24"/>
          <w:szCs w:val="24"/>
        </w:rPr>
        <w:t xml:space="preserve"> af en højere styrke/volumen.</w:t>
      </w:r>
    </w:p>
    <w:p w14:paraId="6695CF20" w14:textId="77777777" w:rsidR="006E4003" w:rsidRPr="00194E1C" w:rsidRDefault="006E4003" w:rsidP="006E4003">
      <w:pPr>
        <w:tabs>
          <w:tab w:val="left" w:pos="851"/>
        </w:tabs>
        <w:ind w:left="851"/>
        <w:rPr>
          <w:sz w:val="24"/>
          <w:szCs w:val="24"/>
        </w:rPr>
      </w:pPr>
    </w:p>
    <w:p w14:paraId="1C37FDB5" w14:textId="77777777" w:rsidR="006E4003" w:rsidRPr="00194E1C" w:rsidRDefault="006E4003" w:rsidP="006E4003">
      <w:pPr>
        <w:tabs>
          <w:tab w:val="left" w:pos="851"/>
        </w:tabs>
        <w:ind w:left="851"/>
        <w:rPr>
          <w:sz w:val="24"/>
          <w:szCs w:val="24"/>
        </w:rPr>
      </w:pPr>
      <w:r w:rsidRPr="00194E1C">
        <w:rPr>
          <w:sz w:val="24"/>
          <w:szCs w:val="24"/>
        </w:rPr>
        <w:t>For instruktioner om fortynding af lægemidlet før administration, se pkt. 6.6.</w:t>
      </w:r>
    </w:p>
    <w:p w14:paraId="4C823F00" w14:textId="77777777" w:rsidR="009260DE" w:rsidRPr="00194E1C" w:rsidRDefault="009260DE" w:rsidP="009260DE">
      <w:pPr>
        <w:tabs>
          <w:tab w:val="left" w:pos="851"/>
        </w:tabs>
        <w:ind w:left="851"/>
        <w:rPr>
          <w:sz w:val="24"/>
          <w:szCs w:val="24"/>
        </w:rPr>
      </w:pPr>
    </w:p>
    <w:p w14:paraId="3BB7CC6D" w14:textId="77777777" w:rsidR="009260DE" w:rsidRPr="00194E1C" w:rsidRDefault="009260DE" w:rsidP="009260DE">
      <w:pPr>
        <w:tabs>
          <w:tab w:val="left" w:pos="851"/>
        </w:tabs>
        <w:ind w:left="851" w:hanging="851"/>
        <w:rPr>
          <w:b/>
          <w:sz w:val="24"/>
          <w:szCs w:val="24"/>
        </w:rPr>
      </w:pPr>
      <w:r w:rsidRPr="00194E1C">
        <w:rPr>
          <w:b/>
          <w:sz w:val="24"/>
          <w:szCs w:val="24"/>
        </w:rPr>
        <w:t>4.3</w:t>
      </w:r>
      <w:r w:rsidRPr="00194E1C">
        <w:rPr>
          <w:b/>
          <w:sz w:val="24"/>
          <w:szCs w:val="24"/>
        </w:rPr>
        <w:tab/>
        <w:t>Kontraindikationer</w:t>
      </w:r>
    </w:p>
    <w:p w14:paraId="24F20AA7" w14:textId="77777777" w:rsidR="006E4003" w:rsidRPr="008C4039" w:rsidRDefault="006E4003" w:rsidP="008C4039">
      <w:pPr>
        <w:pStyle w:val="Listeafsnit"/>
        <w:numPr>
          <w:ilvl w:val="0"/>
          <w:numId w:val="8"/>
        </w:numPr>
        <w:tabs>
          <w:tab w:val="left" w:pos="851"/>
        </w:tabs>
        <w:ind w:left="1276" w:hanging="425"/>
        <w:rPr>
          <w:sz w:val="24"/>
          <w:szCs w:val="24"/>
          <w:lang w:eastAsia="da-DK"/>
        </w:rPr>
      </w:pPr>
      <w:r w:rsidRPr="008C4039">
        <w:rPr>
          <w:sz w:val="24"/>
          <w:szCs w:val="24"/>
        </w:rPr>
        <w:t>Overfølsomhed over for det aktive stof eller over for et eller flere af hjælpestofferne anført i pkt. 6.1.</w:t>
      </w:r>
    </w:p>
    <w:p w14:paraId="748F5D1D" w14:textId="460F9DB7" w:rsidR="006E4003" w:rsidRPr="008C4039" w:rsidRDefault="006E4003" w:rsidP="008C4039">
      <w:pPr>
        <w:pStyle w:val="Listeafsnit"/>
        <w:numPr>
          <w:ilvl w:val="0"/>
          <w:numId w:val="8"/>
        </w:numPr>
        <w:tabs>
          <w:tab w:val="left" w:pos="851"/>
        </w:tabs>
        <w:ind w:left="1276" w:hanging="425"/>
        <w:rPr>
          <w:sz w:val="24"/>
          <w:szCs w:val="24"/>
        </w:rPr>
      </w:pPr>
      <w:r w:rsidRPr="008C4039">
        <w:rPr>
          <w:sz w:val="24"/>
          <w:szCs w:val="24"/>
        </w:rPr>
        <w:t xml:space="preserve">Lokal </w:t>
      </w:r>
      <w:proofErr w:type="spellStart"/>
      <w:r w:rsidRPr="008C4039">
        <w:rPr>
          <w:sz w:val="24"/>
          <w:szCs w:val="24"/>
        </w:rPr>
        <w:t>intraartikulær</w:t>
      </w:r>
      <w:proofErr w:type="spellEnd"/>
      <w:r w:rsidRPr="008C4039">
        <w:rPr>
          <w:sz w:val="24"/>
          <w:szCs w:val="24"/>
        </w:rPr>
        <w:t xml:space="preserve"> injektion: Infektioner i eller meget tæt på det led, der skal behandles, bakteriel </w:t>
      </w:r>
      <w:proofErr w:type="spellStart"/>
      <w:r w:rsidRPr="008C4039">
        <w:rPr>
          <w:sz w:val="24"/>
          <w:szCs w:val="24"/>
        </w:rPr>
        <w:t>artrit</w:t>
      </w:r>
      <w:proofErr w:type="spellEnd"/>
      <w:r w:rsidRPr="008C4039">
        <w:rPr>
          <w:sz w:val="24"/>
          <w:szCs w:val="24"/>
        </w:rPr>
        <w:t xml:space="preserve">, ustabilile led, blødningstendens (spontan eller på grund af </w:t>
      </w:r>
      <w:proofErr w:type="spellStart"/>
      <w:r w:rsidRPr="008C4039">
        <w:rPr>
          <w:sz w:val="24"/>
          <w:szCs w:val="24"/>
        </w:rPr>
        <w:t>antikoagulantia</w:t>
      </w:r>
      <w:proofErr w:type="spellEnd"/>
      <w:r w:rsidRPr="008C4039">
        <w:rPr>
          <w:sz w:val="24"/>
          <w:szCs w:val="24"/>
        </w:rPr>
        <w:t xml:space="preserve">), </w:t>
      </w:r>
      <w:proofErr w:type="spellStart"/>
      <w:r w:rsidRPr="008C4039">
        <w:rPr>
          <w:sz w:val="24"/>
          <w:szCs w:val="24"/>
        </w:rPr>
        <w:t>periartikulær</w:t>
      </w:r>
      <w:proofErr w:type="spellEnd"/>
      <w:r w:rsidRPr="008C4039">
        <w:rPr>
          <w:sz w:val="24"/>
          <w:szCs w:val="24"/>
        </w:rPr>
        <w:t xml:space="preserve"> forkalkning, </w:t>
      </w:r>
      <w:proofErr w:type="spellStart"/>
      <w:r w:rsidRPr="008C4039">
        <w:rPr>
          <w:sz w:val="24"/>
          <w:szCs w:val="24"/>
        </w:rPr>
        <w:t>avaskulær</w:t>
      </w:r>
      <w:proofErr w:type="spellEnd"/>
      <w:r w:rsidRPr="008C4039">
        <w:rPr>
          <w:sz w:val="24"/>
          <w:szCs w:val="24"/>
        </w:rPr>
        <w:t xml:space="preserve"> knoglenekrose, </w:t>
      </w:r>
      <w:proofErr w:type="spellStart"/>
      <w:r w:rsidRPr="008C4039">
        <w:rPr>
          <w:sz w:val="24"/>
          <w:szCs w:val="24"/>
        </w:rPr>
        <w:t>seneruptur</w:t>
      </w:r>
      <w:proofErr w:type="spellEnd"/>
      <w:r w:rsidRPr="008C4039">
        <w:rPr>
          <w:sz w:val="24"/>
          <w:szCs w:val="24"/>
        </w:rPr>
        <w:t xml:space="preserve">, </w:t>
      </w:r>
      <w:proofErr w:type="spellStart"/>
      <w:r w:rsidRPr="008C4039">
        <w:rPr>
          <w:sz w:val="24"/>
          <w:szCs w:val="24"/>
        </w:rPr>
        <w:t>Charcots</w:t>
      </w:r>
      <w:proofErr w:type="spellEnd"/>
      <w:r w:rsidRPr="008C4039">
        <w:rPr>
          <w:sz w:val="24"/>
          <w:szCs w:val="24"/>
        </w:rPr>
        <w:t xml:space="preserve"> led. </w:t>
      </w:r>
    </w:p>
    <w:p w14:paraId="3AF4276F" w14:textId="276A4D12" w:rsidR="006E4003" w:rsidRPr="008C4039" w:rsidRDefault="006E4003" w:rsidP="008C4039">
      <w:pPr>
        <w:pStyle w:val="Listeafsnit"/>
        <w:numPr>
          <w:ilvl w:val="0"/>
          <w:numId w:val="8"/>
        </w:numPr>
        <w:tabs>
          <w:tab w:val="left" w:pos="851"/>
        </w:tabs>
        <w:ind w:left="1276" w:hanging="425"/>
        <w:rPr>
          <w:sz w:val="24"/>
          <w:szCs w:val="24"/>
        </w:rPr>
      </w:pPr>
      <w:r w:rsidRPr="008C4039">
        <w:rPr>
          <w:sz w:val="24"/>
          <w:szCs w:val="24"/>
        </w:rPr>
        <w:t>Lokal infiltration: infektion i administrationsområdet, hvis der ikke anvendes specifik infektionsbehandling.</w:t>
      </w:r>
    </w:p>
    <w:p w14:paraId="102195F2" w14:textId="77777777" w:rsidR="009260DE" w:rsidRPr="00194E1C" w:rsidRDefault="009260DE" w:rsidP="009260DE">
      <w:pPr>
        <w:tabs>
          <w:tab w:val="left" w:pos="851"/>
        </w:tabs>
        <w:ind w:left="851"/>
        <w:rPr>
          <w:sz w:val="24"/>
          <w:szCs w:val="24"/>
        </w:rPr>
      </w:pPr>
    </w:p>
    <w:p w14:paraId="73820DF9" w14:textId="77777777" w:rsidR="009260DE" w:rsidRPr="00194E1C" w:rsidRDefault="009260DE" w:rsidP="009260DE">
      <w:pPr>
        <w:tabs>
          <w:tab w:val="left" w:pos="851"/>
        </w:tabs>
        <w:ind w:left="851" w:hanging="851"/>
        <w:rPr>
          <w:b/>
          <w:sz w:val="24"/>
          <w:szCs w:val="24"/>
        </w:rPr>
      </w:pPr>
      <w:r w:rsidRPr="00194E1C">
        <w:rPr>
          <w:b/>
          <w:sz w:val="24"/>
          <w:szCs w:val="24"/>
        </w:rPr>
        <w:t>4.4</w:t>
      </w:r>
      <w:r w:rsidRPr="00194E1C">
        <w:rPr>
          <w:b/>
          <w:sz w:val="24"/>
          <w:szCs w:val="24"/>
        </w:rPr>
        <w:tab/>
        <w:t>Særlige advarsler og forsigtighedsregler vedrørende brugen</w:t>
      </w:r>
    </w:p>
    <w:p w14:paraId="0D13F576" w14:textId="3438E3E2" w:rsidR="006E4003" w:rsidRPr="00194E1C" w:rsidRDefault="006E4003" w:rsidP="006E4003">
      <w:pPr>
        <w:tabs>
          <w:tab w:val="left" w:pos="851"/>
        </w:tabs>
        <w:ind w:left="851"/>
        <w:rPr>
          <w:i/>
          <w:iCs/>
          <w:sz w:val="24"/>
          <w:szCs w:val="24"/>
          <w:lang w:eastAsia="da-DK"/>
        </w:rPr>
      </w:pPr>
      <w:r w:rsidRPr="00194E1C">
        <w:rPr>
          <w:i/>
          <w:iCs/>
          <w:sz w:val="24"/>
          <w:szCs w:val="24"/>
        </w:rPr>
        <w:t xml:space="preserve">Enkelte tilfælde af alvorlige </w:t>
      </w:r>
      <w:proofErr w:type="spellStart"/>
      <w:r w:rsidRPr="00194E1C">
        <w:rPr>
          <w:i/>
          <w:iCs/>
          <w:sz w:val="24"/>
          <w:szCs w:val="24"/>
        </w:rPr>
        <w:t>anafylaktiske</w:t>
      </w:r>
      <w:proofErr w:type="spellEnd"/>
      <w:r w:rsidRPr="00194E1C">
        <w:rPr>
          <w:i/>
          <w:iCs/>
          <w:sz w:val="24"/>
          <w:szCs w:val="24"/>
        </w:rPr>
        <w:t xml:space="preserve"> reaktioner med kredsløbskollaps, hjertestop, </w:t>
      </w:r>
      <w:proofErr w:type="spellStart"/>
      <w:r w:rsidRPr="00194E1C">
        <w:rPr>
          <w:i/>
          <w:iCs/>
          <w:sz w:val="24"/>
          <w:szCs w:val="24"/>
        </w:rPr>
        <w:t>arytmi</w:t>
      </w:r>
      <w:proofErr w:type="spellEnd"/>
      <w:r w:rsidRPr="00194E1C">
        <w:rPr>
          <w:i/>
          <w:iCs/>
          <w:sz w:val="24"/>
          <w:szCs w:val="24"/>
        </w:rPr>
        <w:t xml:space="preserve">, </w:t>
      </w:r>
      <w:proofErr w:type="spellStart"/>
      <w:r w:rsidRPr="00194E1C">
        <w:rPr>
          <w:i/>
          <w:iCs/>
          <w:sz w:val="24"/>
          <w:szCs w:val="24"/>
        </w:rPr>
        <w:t>bronchospasme</w:t>
      </w:r>
      <w:proofErr w:type="spellEnd"/>
      <w:r w:rsidRPr="00194E1C">
        <w:rPr>
          <w:i/>
          <w:iCs/>
          <w:sz w:val="24"/>
          <w:szCs w:val="24"/>
        </w:rPr>
        <w:t xml:space="preserve"> og/eller hypotension eller hypertension er observeret i forbindelse med anvendelsen af </w:t>
      </w:r>
      <w:proofErr w:type="spellStart"/>
      <w:r w:rsidRPr="00194E1C">
        <w:rPr>
          <w:i/>
          <w:iCs/>
          <w:sz w:val="24"/>
          <w:szCs w:val="24"/>
        </w:rPr>
        <w:t>Dexamethasone</w:t>
      </w:r>
      <w:proofErr w:type="spellEnd"/>
      <w:r w:rsidRPr="00194E1C">
        <w:rPr>
          <w:i/>
          <w:iCs/>
          <w:sz w:val="24"/>
          <w:szCs w:val="24"/>
        </w:rPr>
        <w:t xml:space="preserve"> </w:t>
      </w:r>
      <w:proofErr w:type="spellStart"/>
      <w:r w:rsidRPr="00194E1C">
        <w:rPr>
          <w:i/>
          <w:iCs/>
          <w:sz w:val="24"/>
          <w:szCs w:val="24"/>
        </w:rPr>
        <w:t>phosphate</w:t>
      </w:r>
      <w:proofErr w:type="spellEnd"/>
      <w:r w:rsidRPr="00194E1C">
        <w:rPr>
          <w:i/>
          <w:iCs/>
          <w:sz w:val="24"/>
          <w:szCs w:val="24"/>
        </w:rPr>
        <w:t xml:space="preserve"> </w:t>
      </w:r>
      <w:r w:rsidR="00EB489F">
        <w:rPr>
          <w:i/>
          <w:iCs/>
          <w:sz w:val="24"/>
          <w:szCs w:val="24"/>
        </w:rPr>
        <w:t>"</w:t>
      </w:r>
      <w:proofErr w:type="spellStart"/>
      <w:r w:rsidR="00EB489F">
        <w:rPr>
          <w:i/>
          <w:iCs/>
          <w:sz w:val="24"/>
          <w:szCs w:val="24"/>
        </w:rPr>
        <w:t>hameln</w:t>
      </w:r>
      <w:proofErr w:type="spellEnd"/>
      <w:r w:rsidR="00EB489F">
        <w:rPr>
          <w:i/>
          <w:iCs/>
          <w:sz w:val="24"/>
          <w:szCs w:val="24"/>
        </w:rPr>
        <w:t>"</w:t>
      </w:r>
      <w:r w:rsidRPr="00194E1C">
        <w:rPr>
          <w:i/>
          <w:iCs/>
          <w:sz w:val="24"/>
          <w:szCs w:val="24"/>
        </w:rPr>
        <w:t>.</w:t>
      </w:r>
    </w:p>
    <w:p w14:paraId="51BC73D4" w14:textId="77777777" w:rsidR="006E4003" w:rsidRPr="00194E1C" w:rsidRDefault="006E4003" w:rsidP="006E4003">
      <w:pPr>
        <w:tabs>
          <w:tab w:val="left" w:pos="851"/>
        </w:tabs>
        <w:ind w:left="851"/>
        <w:rPr>
          <w:sz w:val="24"/>
          <w:szCs w:val="24"/>
        </w:rPr>
      </w:pPr>
    </w:p>
    <w:p w14:paraId="45B45C30" w14:textId="447E28CA" w:rsidR="006E4003" w:rsidRPr="00194E1C" w:rsidRDefault="006E4003" w:rsidP="006E4003">
      <w:pPr>
        <w:tabs>
          <w:tab w:val="left" w:pos="851"/>
        </w:tabs>
        <w:ind w:left="851"/>
        <w:rPr>
          <w:sz w:val="24"/>
          <w:szCs w:val="24"/>
        </w:rPr>
      </w:pPr>
      <w:r w:rsidRPr="00194E1C">
        <w:rPr>
          <w:sz w:val="24"/>
          <w:szCs w:val="24"/>
        </w:rPr>
        <w:t xml:space="preserve">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på grund af immunsuppression, øge risikoen for infektioner med bakterier, vira, parasitter og svampe samt øge risikoen for opportunistiske infektioner. Symptomer på en eksisterende infektion eller en infektion, som er under udvikling, kan blive sløret og derved gøre det vanskeligere at stille en diagnose. Latente infektioner som tuberkulose eller hepatitis B kan genaktiveres.</w:t>
      </w:r>
    </w:p>
    <w:p w14:paraId="334184EA" w14:textId="77777777" w:rsidR="006E4003" w:rsidRPr="00194E1C" w:rsidRDefault="006E4003" w:rsidP="006E4003">
      <w:pPr>
        <w:tabs>
          <w:tab w:val="left" w:pos="851"/>
        </w:tabs>
        <w:ind w:left="851"/>
        <w:rPr>
          <w:sz w:val="24"/>
          <w:szCs w:val="24"/>
        </w:rPr>
      </w:pPr>
    </w:p>
    <w:p w14:paraId="7394D8ED" w14:textId="203A468C" w:rsidR="006E4003" w:rsidRPr="00194E1C" w:rsidRDefault="006E4003" w:rsidP="006E4003">
      <w:pPr>
        <w:tabs>
          <w:tab w:val="left" w:pos="851"/>
        </w:tabs>
        <w:ind w:left="851"/>
        <w:rPr>
          <w:sz w:val="24"/>
          <w:szCs w:val="24"/>
        </w:rPr>
      </w:pPr>
      <w:r w:rsidRPr="00194E1C">
        <w:rPr>
          <w:sz w:val="24"/>
          <w:szCs w:val="24"/>
        </w:rPr>
        <w:t xml:space="preserve">I situationer med usædvanlig stress eller særlig fysisk belastning (traume, operation, fødsel osv.) under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en midlertidig dosisstigning være nødvendig.</w:t>
      </w:r>
    </w:p>
    <w:p w14:paraId="3052E6B9" w14:textId="77777777" w:rsidR="006E4003" w:rsidRPr="00194E1C" w:rsidRDefault="006E4003" w:rsidP="006E4003">
      <w:pPr>
        <w:tabs>
          <w:tab w:val="left" w:pos="851"/>
        </w:tabs>
        <w:ind w:left="851"/>
        <w:rPr>
          <w:sz w:val="24"/>
          <w:szCs w:val="24"/>
        </w:rPr>
      </w:pPr>
    </w:p>
    <w:p w14:paraId="776A0CF6" w14:textId="77777777" w:rsidR="006E4003" w:rsidRPr="00194E1C" w:rsidRDefault="006E4003" w:rsidP="006E4003">
      <w:pPr>
        <w:tabs>
          <w:tab w:val="left" w:pos="851"/>
        </w:tabs>
        <w:ind w:left="851"/>
        <w:rPr>
          <w:sz w:val="24"/>
          <w:szCs w:val="24"/>
        </w:rPr>
      </w:pPr>
      <w:r w:rsidRPr="00194E1C">
        <w:rPr>
          <w:sz w:val="24"/>
          <w:szCs w:val="24"/>
        </w:rPr>
        <w:t xml:space="preserve">Behandling med systemiske </w:t>
      </w:r>
      <w:proofErr w:type="spellStart"/>
      <w:r w:rsidRPr="00194E1C">
        <w:rPr>
          <w:sz w:val="24"/>
          <w:szCs w:val="24"/>
        </w:rPr>
        <w:t>kortikosteroider</w:t>
      </w:r>
      <w:proofErr w:type="spellEnd"/>
      <w:r w:rsidRPr="00194E1C">
        <w:rPr>
          <w:sz w:val="24"/>
          <w:szCs w:val="24"/>
        </w:rPr>
        <w:t xml:space="preserve"> bør ikke stoppes hos patienter, der i forvejen er i behandling med systemiske (orale) </w:t>
      </w:r>
      <w:proofErr w:type="spellStart"/>
      <w:r w:rsidRPr="00194E1C">
        <w:rPr>
          <w:sz w:val="24"/>
          <w:szCs w:val="24"/>
        </w:rPr>
        <w:t>kortikosteroider</w:t>
      </w:r>
      <w:proofErr w:type="spellEnd"/>
      <w:r w:rsidRPr="00194E1C">
        <w:rPr>
          <w:sz w:val="24"/>
          <w:szCs w:val="24"/>
        </w:rPr>
        <w:t xml:space="preserve"> af andre årsager (f.eks. patienter med kronisk obstruktiv lungesygdom), men ikke har behov for supplerende iltbehandling.  </w:t>
      </w:r>
    </w:p>
    <w:p w14:paraId="3A803DB1" w14:textId="77777777" w:rsidR="006E4003" w:rsidRPr="00194E1C" w:rsidRDefault="006E4003" w:rsidP="006E4003">
      <w:pPr>
        <w:tabs>
          <w:tab w:val="left" w:pos="851"/>
        </w:tabs>
        <w:ind w:left="851"/>
        <w:rPr>
          <w:sz w:val="24"/>
          <w:szCs w:val="24"/>
        </w:rPr>
      </w:pPr>
    </w:p>
    <w:p w14:paraId="64CB80BF"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Særlige forholdsregler:</w:t>
      </w:r>
    </w:p>
    <w:p w14:paraId="6E170A3B" w14:textId="08A386DA" w:rsidR="006E4003" w:rsidRPr="00194E1C" w:rsidRDefault="006E4003" w:rsidP="006E4003">
      <w:pPr>
        <w:tabs>
          <w:tab w:val="left" w:pos="851"/>
        </w:tabs>
        <w:ind w:left="851"/>
        <w:rPr>
          <w:sz w:val="24"/>
          <w:szCs w:val="24"/>
        </w:rPr>
      </w:pPr>
      <w:r w:rsidRPr="00194E1C">
        <w:rPr>
          <w:sz w:val="24"/>
          <w:szCs w:val="24"/>
        </w:rPr>
        <w:t xml:space="preserve">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bør kun administreres i tilfælde af de strengeste indikationer og, om nødvendigt, yderligere målrettet infektionsbehandling, hvis noget af følgende er til stede:</w:t>
      </w:r>
    </w:p>
    <w:p w14:paraId="04F07A64" w14:textId="77777777" w:rsidR="006E4003" w:rsidRPr="00194E1C" w:rsidRDefault="006E4003" w:rsidP="006E4003">
      <w:pPr>
        <w:tabs>
          <w:tab w:val="left" w:pos="851"/>
        </w:tabs>
        <w:ind w:left="851"/>
        <w:rPr>
          <w:sz w:val="24"/>
          <w:szCs w:val="24"/>
        </w:rPr>
      </w:pPr>
    </w:p>
    <w:p w14:paraId="1893F2AC"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t xml:space="preserve">Akutte virusinfektioner (hepatitis B, herpes </w:t>
      </w:r>
      <w:proofErr w:type="spellStart"/>
      <w:r w:rsidRPr="00194E1C">
        <w:rPr>
          <w:sz w:val="24"/>
          <w:szCs w:val="24"/>
        </w:rPr>
        <w:t>zoster</w:t>
      </w:r>
      <w:proofErr w:type="spellEnd"/>
      <w:r w:rsidRPr="00194E1C">
        <w:rPr>
          <w:sz w:val="24"/>
          <w:szCs w:val="24"/>
        </w:rPr>
        <w:t xml:space="preserve">, herpes </w:t>
      </w:r>
      <w:proofErr w:type="spellStart"/>
      <w:r w:rsidRPr="00194E1C">
        <w:rPr>
          <w:sz w:val="24"/>
          <w:szCs w:val="24"/>
        </w:rPr>
        <w:t>simplex</w:t>
      </w:r>
      <w:proofErr w:type="spellEnd"/>
      <w:r w:rsidRPr="00194E1C">
        <w:rPr>
          <w:sz w:val="24"/>
          <w:szCs w:val="24"/>
        </w:rPr>
        <w:t xml:space="preserve">, </w:t>
      </w:r>
      <w:proofErr w:type="spellStart"/>
      <w:r w:rsidRPr="00194E1C">
        <w:rPr>
          <w:sz w:val="24"/>
          <w:szCs w:val="24"/>
        </w:rPr>
        <w:t>varicella</w:t>
      </w:r>
      <w:proofErr w:type="spellEnd"/>
      <w:r w:rsidRPr="00194E1C">
        <w:rPr>
          <w:sz w:val="24"/>
          <w:szCs w:val="24"/>
        </w:rPr>
        <w:t xml:space="preserve">, </w:t>
      </w:r>
      <w:proofErr w:type="spellStart"/>
      <w:r w:rsidRPr="00194E1C">
        <w:rPr>
          <w:sz w:val="24"/>
          <w:szCs w:val="24"/>
        </w:rPr>
        <w:t>herpetisk</w:t>
      </w:r>
      <w:proofErr w:type="spellEnd"/>
      <w:r w:rsidRPr="00194E1C">
        <w:rPr>
          <w:sz w:val="24"/>
          <w:szCs w:val="24"/>
        </w:rPr>
        <w:t xml:space="preserve"> </w:t>
      </w:r>
      <w:proofErr w:type="spellStart"/>
      <w:r w:rsidRPr="00194E1C">
        <w:rPr>
          <w:sz w:val="24"/>
          <w:szCs w:val="24"/>
        </w:rPr>
        <w:t>keratitis</w:t>
      </w:r>
      <w:proofErr w:type="spellEnd"/>
      <w:r w:rsidRPr="00194E1C">
        <w:rPr>
          <w:sz w:val="24"/>
          <w:szCs w:val="24"/>
        </w:rPr>
        <w:t>)</w:t>
      </w:r>
    </w:p>
    <w:p w14:paraId="7ED167A1"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proofErr w:type="spellStart"/>
      <w:r w:rsidRPr="00194E1C">
        <w:rPr>
          <w:sz w:val="24"/>
          <w:szCs w:val="24"/>
        </w:rPr>
        <w:t>HBsAG</w:t>
      </w:r>
      <w:proofErr w:type="spellEnd"/>
      <w:r w:rsidRPr="00194E1C">
        <w:rPr>
          <w:sz w:val="24"/>
          <w:szCs w:val="24"/>
        </w:rPr>
        <w:t>-positiv kronisk aktiv hepatitis</w:t>
      </w:r>
    </w:p>
    <w:p w14:paraId="42817FB4"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Cirka 8 uger før til 2 uger efter vaccinationer med levende vacciner</w:t>
      </w:r>
    </w:p>
    <w:p w14:paraId="7D0CEBBC"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 xml:space="preserve">Systemiske svampeinfektioner </w:t>
      </w:r>
    </w:p>
    <w:p w14:paraId="73BC9935"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 xml:space="preserve">Parasitoser (f.eks. </w:t>
      </w:r>
      <w:proofErr w:type="spellStart"/>
      <w:r w:rsidRPr="00194E1C">
        <w:rPr>
          <w:sz w:val="24"/>
          <w:szCs w:val="24"/>
        </w:rPr>
        <w:t>nematoder</w:t>
      </w:r>
      <w:proofErr w:type="spellEnd"/>
      <w:r w:rsidRPr="00194E1C">
        <w:rPr>
          <w:sz w:val="24"/>
          <w:szCs w:val="24"/>
        </w:rPr>
        <w:t>)</w:t>
      </w:r>
    </w:p>
    <w:p w14:paraId="254E87A8"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t xml:space="preserve">Hos patienter med formodet eller bekræftet </w:t>
      </w:r>
      <w:proofErr w:type="spellStart"/>
      <w:r w:rsidRPr="00194E1C">
        <w:rPr>
          <w:sz w:val="24"/>
          <w:szCs w:val="24"/>
        </w:rPr>
        <w:t>strongyloidiasis</w:t>
      </w:r>
      <w:proofErr w:type="spellEnd"/>
      <w:r w:rsidRPr="00194E1C">
        <w:rPr>
          <w:sz w:val="24"/>
          <w:szCs w:val="24"/>
        </w:rPr>
        <w:t xml:space="preserve"> (infektion med trådorm) kan </w:t>
      </w:r>
      <w:proofErr w:type="spellStart"/>
      <w:r w:rsidRPr="00194E1C">
        <w:rPr>
          <w:sz w:val="24"/>
          <w:szCs w:val="24"/>
        </w:rPr>
        <w:t>glukokortikoider</w:t>
      </w:r>
      <w:proofErr w:type="spellEnd"/>
      <w:r w:rsidRPr="00194E1C">
        <w:rPr>
          <w:sz w:val="24"/>
          <w:szCs w:val="24"/>
        </w:rPr>
        <w:t xml:space="preserve"> medføre aktivering og masseformering af disse parasitter</w:t>
      </w:r>
    </w:p>
    <w:p w14:paraId="50B7062E"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Poliomyelitis</w:t>
      </w:r>
    </w:p>
    <w:p w14:paraId="1874FDDC"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proofErr w:type="spellStart"/>
      <w:r w:rsidRPr="00194E1C">
        <w:rPr>
          <w:sz w:val="24"/>
          <w:szCs w:val="24"/>
        </w:rPr>
        <w:t>Lymphadenitis</w:t>
      </w:r>
      <w:proofErr w:type="spellEnd"/>
      <w:r w:rsidRPr="00194E1C">
        <w:rPr>
          <w:sz w:val="24"/>
          <w:szCs w:val="24"/>
        </w:rPr>
        <w:t xml:space="preserve"> efter BCG-vaccination</w:t>
      </w:r>
    </w:p>
    <w:p w14:paraId="5B3BB105"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Akutte og kroniske bakterieinfektioner</w:t>
      </w:r>
    </w:p>
    <w:p w14:paraId="1C02ED54" w14:textId="77777777" w:rsidR="006E4003" w:rsidRPr="00194E1C" w:rsidRDefault="006E4003" w:rsidP="006E4003">
      <w:pPr>
        <w:tabs>
          <w:tab w:val="left" w:pos="851"/>
        </w:tabs>
        <w:ind w:left="1304" w:hanging="453"/>
        <w:rPr>
          <w:sz w:val="24"/>
          <w:szCs w:val="24"/>
        </w:rPr>
      </w:pPr>
      <w:r w:rsidRPr="00194E1C">
        <w:rPr>
          <w:sz w:val="24"/>
          <w:szCs w:val="24"/>
        </w:rPr>
        <w:lastRenderedPageBreak/>
        <w:t>•</w:t>
      </w:r>
      <w:r w:rsidRPr="00194E1C">
        <w:rPr>
          <w:sz w:val="24"/>
          <w:szCs w:val="24"/>
        </w:rPr>
        <w:tab/>
        <w:t xml:space="preserve">Brug kun til patienter, der tidligere har haft tuberkulose, hvis de er under </w:t>
      </w:r>
      <w:proofErr w:type="spellStart"/>
      <w:r w:rsidRPr="00194E1C">
        <w:rPr>
          <w:sz w:val="24"/>
          <w:szCs w:val="24"/>
        </w:rPr>
        <w:t>tuberkulostatisk</w:t>
      </w:r>
      <w:proofErr w:type="spellEnd"/>
      <w:r w:rsidRPr="00194E1C">
        <w:rPr>
          <w:sz w:val="24"/>
          <w:szCs w:val="24"/>
        </w:rPr>
        <w:t xml:space="preserve"> beskyttelse.</w:t>
      </w:r>
    </w:p>
    <w:p w14:paraId="37576132" w14:textId="77777777" w:rsidR="006E4003" w:rsidRPr="00194E1C" w:rsidRDefault="006E4003" w:rsidP="006E4003">
      <w:pPr>
        <w:tabs>
          <w:tab w:val="left" w:pos="851"/>
        </w:tabs>
        <w:ind w:left="851"/>
        <w:rPr>
          <w:sz w:val="24"/>
          <w:szCs w:val="24"/>
        </w:rPr>
      </w:pPr>
    </w:p>
    <w:p w14:paraId="2E387F0D" w14:textId="31838432" w:rsidR="006E4003" w:rsidRPr="00194E1C" w:rsidRDefault="006E4003" w:rsidP="006E4003">
      <w:pPr>
        <w:tabs>
          <w:tab w:val="left" w:pos="851"/>
        </w:tabs>
        <w:ind w:left="851"/>
        <w:rPr>
          <w:sz w:val="24"/>
          <w:szCs w:val="24"/>
        </w:rPr>
      </w:pPr>
      <w:r w:rsidRPr="00194E1C">
        <w:rPr>
          <w:sz w:val="24"/>
          <w:szCs w:val="24"/>
        </w:rPr>
        <w:t xml:space="preserve">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bør kun overvejes, når det er strengt nødvendigt, og med yderligere specifik behandling i tilfælde af følgende sygdomme:</w:t>
      </w:r>
    </w:p>
    <w:p w14:paraId="486EDEED" w14:textId="77777777" w:rsidR="006E4003" w:rsidRPr="00194E1C" w:rsidRDefault="006E4003" w:rsidP="006E4003">
      <w:pPr>
        <w:tabs>
          <w:tab w:val="left" w:pos="851"/>
        </w:tabs>
        <w:ind w:left="851"/>
        <w:rPr>
          <w:sz w:val="24"/>
          <w:szCs w:val="24"/>
        </w:rPr>
      </w:pPr>
    </w:p>
    <w:p w14:paraId="606B15B1"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proofErr w:type="spellStart"/>
      <w:r w:rsidRPr="00194E1C">
        <w:rPr>
          <w:sz w:val="24"/>
          <w:szCs w:val="24"/>
        </w:rPr>
        <w:t>Gastrointestinale</w:t>
      </w:r>
      <w:proofErr w:type="spellEnd"/>
      <w:r w:rsidRPr="00194E1C">
        <w:rPr>
          <w:sz w:val="24"/>
          <w:szCs w:val="24"/>
        </w:rPr>
        <w:t xml:space="preserve"> sår</w:t>
      </w:r>
    </w:p>
    <w:p w14:paraId="072C2137"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Osteoporose</w:t>
      </w:r>
    </w:p>
    <w:p w14:paraId="4302DC66"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 xml:space="preserve">Alvorlig hjerteinsufficiens </w:t>
      </w:r>
    </w:p>
    <w:p w14:paraId="5FCE0F57"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Forhøjet blodtryk, der er vanskeligt at kontrollere</w:t>
      </w:r>
    </w:p>
    <w:p w14:paraId="7F2F7815"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Diabetes mellitus, der er vanskelig at kontrollere</w:t>
      </w:r>
    </w:p>
    <w:p w14:paraId="5B1ECB04"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t xml:space="preserve">Psykiatriske tilstande (også i sygdomshistorien), herunder </w:t>
      </w:r>
      <w:proofErr w:type="spellStart"/>
      <w:r w:rsidRPr="00194E1C">
        <w:rPr>
          <w:sz w:val="24"/>
          <w:szCs w:val="24"/>
        </w:rPr>
        <w:t>suicidalitet</w:t>
      </w:r>
      <w:proofErr w:type="spellEnd"/>
      <w:r w:rsidRPr="00194E1C">
        <w:rPr>
          <w:sz w:val="24"/>
          <w:szCs w:val="24"/>
        </w:rPr>
        <w:t>. Neurologisk eller psykiatrisk monitorering anbefales.</w:t>
      </w:r>
    </w:p>
    <w:p w14:paraId="475F4F5D"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t xml:space="preserve">Snævervinklet og åbenvinklet </w:t>
      </w:r>
      <w:proofErr w:type="spellStart"/>
      <w:r w:rsidRPr="00194E1C">
        <w:rPr>
          <w:sz w:val="24"/>
          <w:szCs w:val="24"/>
        </w:rPr>
        <w:t>glaukom</w:t>
      </w:r>
      <w:proofErr w:type="spellEnd"/>
      <w:r w:rsidRPr="00194E1C">
        <w:rPr>
          <w:sz w:val="24"/>
          <w:szCs w:val="24"/>
        </w:rPr>
        <w:t>. Oftalmologisk monitorering og tillægsbehandling anbefales.</w:t>
      </w:r>
    </w:p>
    <w:p w14:paraId="2E7486BE" w14:textId="77777777" w:rsidR="006E4003" w:rsidRPr="00194E1C" w:rsidRDefault="006E4003" w:rsidP="006E4003">
      <w:pPr>
        <w:tabs>
          <w:tab w:val="left" w:pos="851"/>
        </w:tabs>
        <w:ind w:left="1304" w:hanging="453"/>
        <w:rPr>
          <w:sz w:val="24"/>
          <w:szCs w:val="24"/>
        </w:rPr>
      </w:pPr>
      <w:r w:rsidRPr="00194E1C">
        <w:rPr>
          <w:sz w:val="24"/>
          <w:szCs w:val="24"/>
        </w:rPr>
        <w:t>•</w:t>
      </w:r>
      <w:r w:rsidRPr="00194E1C">
        <w:rPr>
          <w:sz w:val="24"/>
          <w:szCs w:val="24"/>
        </w:rPr>
        <w:tab/>
        <w:t>Hornhindesår og hornhindeskader. Oftalmologisk monitorering og tillægsbehandling anbefales.</w:t>
      </w:r>
    </w:p>
    <w:p w14:paraId="4761E656" w14:textId="77777777" w:rsidR="006E4003" w:rsidRPr="00194E1C" w:rsidRDefault="006E4003" w:rsidP="006E4003">
      <w:pPr>
        <w:tabs>
          <w:tab w:val="left" w:pos="851"/>
        </w:tabs>
        <w:ind w:left="851"/>
        <w:rPr>
          <w:sz w:val="24"/>
          <w:szCs w:val="24"/>
        </w:rPr>
      </w:pPr>
    </w:p>
    <w:p w14:paraId="11CE5DBE"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Synsforstyrrelse</w:t>
      </w:r>
    </w:p>
    <w:p w14:paraId="34EEF619" w14:textId="77777777" w:rsidR="006E4003" w:rsidRPr="00194E1C" w:rsidRDefault="006E4003" w:rsidP="006E4003">
      <w:pPr>
        <w:tabs>
          <w:tab w:val="left" w:pos="851"/>
        </w:tabs>
        <w:ind w:left="851"/>
        <w:rPr>
          <w:sz w:val="24"/>
          <w:szCs w:val="24"/>
        </w:rPr>
      </w:pPr>
      <w:r w:rsidRPr="00194E1C">
        <w:rPr>
          <w:sz w:val="24"/>
          <w:szCs w:val="24"/>
        </w:rPr>
        <w:t xml:space="preserve">Synsforstyrrelse kan forekommeved systemisk og </w:t>
      </w:r>
      <w:proofErr w:type="spellStart"/>
      <w:r w:rsidRPr="00194E1C">
        <w:rPr>
          <w:sz w:val="24"/>
          <w:szCs w:val="24"/>
        </w:rPr>
        <w:t>topikal</w:t>
      </w:r>
      <w:proofErr w:type="spellEnd"/>
      <w:r w:rsidRPr="00194E1C">
        <w:rPr>
          <w:sz w:val="24"/>
          <w:szCs w:val="24"/>
        </w:rPr>
        <w:t xml:space="preserve"> brug af </w:t>
      </w:r>
      <w:proofErr w:type="spellStart"/>
      <w:r w:rsidRPr="00194E1C">
        <w:rPr>
          <w:sz w:val="24"/>
          <w:szCs w:val="24"/>
        </w:rPr>
        <w:t>kortikosteroider</w:t>
      </w:r>
      <w:proofErr w:type="spellEnd"/>
      <w:r w:rsidRPr="00194E1C">
        <w:rPr>
          <w:sz w:val="24"/>
          <w:szCs w:val="24"/>
        </w:rPr>
        <w:t xml:space="preserve">. Hvis en patient oplever symptomer såsom sløret syn eller andre synsforstyrrelser, skal det overvejes at henvise patienten til en øjenlæge for evaluering af mulige årsager, der kan inkludere katarakt, </w:t>
      </w:r>
      <w:proofErr w:type="spellStart"/>
      <w:r w:rsidRPr="00194E1C">
        <w:rPr>
          <w:sz w:val="24"/>
          <w:szCs w:val="24"/>
        </w:rPr>
        <w:t>glaukom</w:t>
      </w:r>
      <w:proofErr w:type="spellEnd"/>
      <w:r w:rsidRPr="00194E1C">
        <w:rPr>
          <w:sz w:val="24"/>
          <w:szCs w:val="24"/>
        </w:rPr>
        <w:t xml:space="preserve"> eller sjældne sygdomme såsom central serøs </w:t>
      </w:r>
      <w:proofErr w:type="spellStart"/>
      <w:r w:rsidRPr="00194E1C">
        <w:rPr>
          <w:sz w:val="24"/>
          <w:szCs w:val="24"/>
        </w:rPr>
        <w:t>korioretinopati</w:t>
      </w:r>
      <w:proofErr w:type="spellEnd"/>
      <w:r w:rsidRPr="00194E1C">
        <w:rPr>
          <w:sz w:val="24"/>
          <w:szCs w:val="24"/>
        </w:rPr>
        <w:t xml:space="preserve"> (CSCR), der er blevet rapporteret efter systemisk og </w:t>
      </w:r>
      <w:proofErr w:type="spellStart"/>
      <w:r w:rsidRPr="00194E1C">
        <w:rPr>
          <w:sz w:val="24"/>
          <w:szCs w:val="24"/>
        </w:rPr>
        <w:t>topikal</w:t>
      </w:r>
      <w:proofErr w:type="spellEnd"/>
      <w:r w:rsidRPr="00194E1C">
        <w:rPr>
          <w:sz w:val="24"/>
          <w:szCs w:val="24"/>
        </w:rPr>
        <w:t xml:space="preserve"> brug af </w:t>
      </w:r>
      <w:proofErr w:type="spellStart"/>
      <w:r w:rsidRPr="00194E1C">
        <w:rPr>
          <w:sz w:val="24"/>
          <w:szCs w:val="24"/>
        </w:rPr>
        <w:t>kortikosteroider</w:t>
      </w:r>
      <w:proofErr w:type="spellEnd"/>
      <w:r w:rsidRPr="00194E1C">
        <w:rPr>
          <w:sz w:val="24"/>
          <w:szCs w:val="24"/>
        </w:rPr>
        <w:t>.</w:t>
      </w:r>
    </w:p>
    <w:p w14:paraId="4E640023" w14:textId="77777777" w:rsidR="006E4003" w:rsidRPr="00194E1C" w:rsidRDefault="006E4003" w:rsidP="006E4003">
      <w:pPr>
        <w:tabs>
          <w:tab w:val="left" w:pos="851"/>
        </w:tabs>
        <w:ind w:left="851"/>
        <w:rPr>
          <w:sz w:val="24"/>
          <w:szCs w:val="24"/>
        </w:rPr>
      </w:pPr>
    </w:p>
    <w:p w14:paraId="018688BA" w14:textId="3734165C" w:rsidR="006E4003" w:rsidRPr="00194E1C" w:rsidRDefault="006E4003" w:rsidP="006E4003">
      <w:pPr>
        <w:tabs>
          <w:tab w:val="left" w:pos="851"/>
        </w:tabs>
        <w:ind w:left="851"/>
        <w:rPr>
          <w:sz w:val="24"/>
          <w:szCs w:val="24"/>
        </w:rPr>
      </w:pPr>
      <w:r w:rsidRPr="00194E1C">
        <w:rPr>
          <w:sz w:val="24"/>
          <w:szCs w:val="24"/>
        </w:rPr>
        <w:t xml:space="preserve">På grund af risikoen for perforation af tarmen, må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kun anvendes, når det er </w:t>
      </w:r>
      <w:proofErr w:type="gramStart"/>
      <w:r w:rsidRPr="00194E1C">
        <w:rPr>
          <w:sz w:val="24"/>
          <w:szCs w:val="24"/>
        </w:rPr>
        <w:t>strengt nødvendigt og omhyggelig overvågning</w:t>
      </w:r>
      <w:proofErr w:type="gramEnd"/>
      <w:r w:rsidRPr="00194E1C">
        <w:rPr>
          <w:sz w:val="24"/>
          <w:szCs w:val="24"/>
        </w:rPr>
        <w:t xml:space="preserve"> bør sikres i tilfælde af følgende samtidige tilstande:</w:t>
      </w:r>
    </w:p>
    <w:p w14:paraId="2137F727" w14:textId="77777777" w:rsidR="006E4003" w:rsidRPr="00194E1C" w:rsidRDefault="006E4003" w:rsidP="006E4003">
      <w:pPr>
        <w:tabs>
          <w:tab w:val="left" w:pos="851"/>
        </w:tabs>
        <w:ind w:left="851"/>
        <w:rPr>
          <w:sz w:val="24"/>
          <w:szCs w:val="24"/>
        </w:rPr>
      </w:pPr>
    </w:p>
    <w:p w14:paraId="7B1153C1"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t xml:space="preserve">Alvorlig </w:t>
      </w:r>
      <w:proofErr w:type="spellStart"/>
      <w:r w:rsidRPr="00194E1C">
        <w:rPr>
          <w:sz w:val="24"/>
          <w:szCs w:val="24"/>
        </w:rPr>
        <w:t>ulcerativ</w:t>
      </w:r>
      <w:proofErr w:type="spellEnd"/>
      <w:r w:rsidRPr="00194E1C">
        <w:rPr>
          <w:sz w:val="24"/>
          <w:szCs w:val="24"/>
        </w:rPr>
        <w:t xml:space="preserve"> colitis med risiko for perforation, muligvis uden </w:t>
      </w:r>
      <w:proofErr w:type="spellStart"/>
      <w:r w:rsidRPr="00194E1C">
        <w:rPr>
          <w:sz w:val="24"/>
          <w:szCs w:val="24"/>
        </w:rPr>
        <w:t>peritoneal</w:t>
      </w:r>
      <w:proofErr w:type="spellEnd"/>
      <w:r w:rsidRPr="00194E1C">
        <w:rPr>
          <w:sz w:val="24"/>
          <w:szCs w:val="24"/>
        </w:rPr>
        <w:t xml:space="preserve"> irritation</w:t>
      </w:r>
    </w:p>
    <w:p w14:paraId="62C70E7B" w14:textId="77777777" w:rsidR="006E4003" w:rsidRPr="00194E1C" w:rsidRDefault="006E4003" w:rsidP="006E4003">
      <w:pPr>
        <w:tabs>
          <w:tab w:val="left" w:pos="851"/>
        </w:tabs>
        <w:ind w:left="851"/>
        <w:rPr>
          <w:sz w:val="24"/>
          <w:szCs w:val="24"/>
        </w:rPr>
      </w:pPr>
      <w:r w:rsidRPr="00194E1C">
        <w:rPr>
          <w:sz w:val="24"/>
          <w:szCs w:val="24"/>
        </w:rPr>
        <w:t>•</w:t>
      </w:r>
      <w:r w:rsidRPr="00194E1C">
        <w:rPr>
          <w:sz w:val="24"/>
          <w:szCs w:val="24"/>
        </w:rPr>
        <w:tab/>
      </w:r>
      <w:proofErr w:type="spellStart"/>
      <w:r w:rsidRPr="00194E1C">
        <w:rPr>
          <w:sz w:val="24"/>
          <w:szCs w:val="24"/>
        </w:rPr>
        <w:t>Diverticulitis</w:t>
      </w:r>
      <w:proofErr w:type="spellEnd"/>
    </w:p>
    <w:p w14:paraId="0983748E" w14:textId="4E17F5F9" w:rsidR="006E4003" w:rsidRDefault="006E4003" w:rsidP="006E4003">
      <w:pPr>
        <w:tabs>
          <w:tab w:val="left" w:pos="851"/>
        </w:tabs>
        <w:ind w:left="851"/>
        <w:rPr>
          <w:sz w:val="24"/>
          <w:szCs w:val="24"/>
        </w:rPr>
      </w:pPr>
      <w:r w:rsidRPr="00194E1C">
        <w:rPr>
          <w:sz w:val="24"/>
          <w:szCs w:val="24"/>
        </w:rPr>
        <w:t>•</w:t>
      </w:r>
      <w:r w:rsidRPr="00194E1C">
        <w:rPr>
          <w:sz w:val="24"/>
          <w:szCs w:val="24"/>
        </w:rPr>
        <w:tab/>
      </w:r>
      <w:proofErr w:type="spellStart"/>
      <w:r w:rsidRPr="00194E1C">
        <w:rPr>
          <w:sz w:val="24"/>
          <w:szCs w:val="24"/>
        </w:rPr>
        <w:t>Entero-anastomose</w:t>
      </w:r>
      <w:proofErr w:type="spellEnd"/>
      <w:r w:rsidRPr="00194E1C">
        <w:rPr>
          <w:sz w:val="24"/>
          <w:szCs w:val="24"/>
        </w:rPr>
        <w:t xml:space="preserve"> (umiddelbart postoperativt).</w:t>
      </w:r>
    </w:p>
    <w:p w14:paraId="08443065" w14:textId="3B0156F4" w:rsidR="00580E8E" w:rsidRDefault="00580E8E" w:rsidP="006E4003">
      <w:pPr>
        <w:tabs>
          <w:tab w:val="left" w:pos="851"/>
        </w:tabs>
        <w:ind w:left="851"/>
        <w:rPr>
          <w:sz w:val="24"/>
          <w:szCs w:val="24"/>
        </w:rPr>
      </w:pPr>
    </w:p>
    <w:p w14:paraId="49540B25" w14:textId="77777777" w:rsidR="00580E8E" w:rsidRPr="00650BE9" w:rsidRDefault="00580E8E" w:rsidP="00580E8E">
      <w:pPr>
        <w:tabs>
          <w:tab w:val="left" w:pos="851"/>
        </w:tabs>
        <w:ind w:left="851"/>
        <w:rPr>
          <w:i/>
          <w:iCs/>
          <w:sz w:val="24"/>
          <w:szCs w:val="24"/>
          <w:u w:val="single"/>
        </w:rPr>
      </w:pPr>
      <w:proofErr w:type="spellStart"/>
      <w:r w:rsidRPr="00650BE9">
        <w:rPr>
          <w:i/>
          <w:iCs/>
          <w:sz w:val="24"/>
          <w:szCs w:val="24"/>
          <w:u w:val="single"/>
        </w:rPr>
        <w:t>Fæokromocytom</w:t>
      </w:r>
      <w:proofErr w:type="spellEnd"/>
      <w:r w:rsidRPr="00650BE9">
        <w:rPr>
          <w:i/>
          <w:iCs/>
          <w:sz w:val="24"/>
          <w:szCs w:val="24"/>
          <w:u w:val="single"/>
        </w:rPr>
        <w:t>-krise</w:t>
      </w:r>
    </w:p>
    <w:p w14:paraId="383C5FDC" w14:textId="77777777" w:rsidR="00580E8E" w:rsidRDefault="00580E8E" w:rsidP="00580E8E">
      <w:pPr>
        <w:tabs>
          <w:tab w:val="left" w:pos="851"/>
        </w:tabs>
        <w:ind w:left="851"/>
        <w:rPr>
          <w:sz w:val="24"/>
          <w:szCs w:val="24"/>
        </w:rPr>
      </w:pPr>
      <w:r w:rsidRPr="00650BE9">
        <w:rPr>
          <w:sz w:val="24"/>
          <w:szCs w:val="24"/>
        </w:rPr>
        <w:t xml:space="preserve">Der er indberettet </w:t>
      </w:r>
      <w:proofErr w:type="spellStart"/>
      <w:r w:rsidRPr="00650BE9">
        <w:rPr>
          <w:sz w:val="24"/>
          <w:szCs w:val="24"/>
        </w:rPr>
        <w:t>fæokromocytom</w:t>
      </w:r>
      <w:proofErr w:type="spellEnd"/>
      <w:r w:rsidRPr="00650BE9">
        <w:rPr>
          <w:sz w:val="24"/>
          <w:szCs w:val="24"/>
        </w:rPr>
        <w:t xml:space="preserve">-krise, som kan være dødelig, efter administration af systemiske </w:t>
      </w:r>
      <w:proofErr w:type="spellStart"/>
      <w:r w:rsidRPr="00650BE9">
        <w:rPr>
          <w:sz w:val="24"/>
          <w:szCs w:val="24"/>
        </w:rPr>
        <w:t>kortikosteroider</w:t>
      </w:r>
      <w:proofErr w:type="spellEnd"/>
      <w:r w:rsidRPr="00650BE9">
        <w:rPr>
          <w:sz w:val="24"/>
          <w:szCs w:val="24"/>
        </w:rPr>
        <w:t xml:space="preserve">. </w:t>
      </w:r>
      <w:proofErr w:type="spellStart"/>
      <w:r w:rsidRPr="00650BE9">
        <w:rPr>
          <w:sz w:val="24"/>
          <w:szCs w:val="24"/>
        </w:rPr>
        <w:t>Kortikosteroider</w:t>
      </w:r>
      <w:proofErr w:type="spellEnd"/>
      <w:r w:rsidRPr="00650BE9">
        <w:rPr>
          <w:sz w:val="24"/>
          <w:szCs w:val="24"/>
        </w:rPr>
        <w:t xml:space="preserve"> bør kun administreres til patienter med formodet eller identificeret </w:t>
      </w:r>
      <w:proofErr w:type="spellStart"/>
      <w:r w:rsidRPr="00650BE9">
        <w:rPr>
          <w:sz w:val="24"/>
          <w:szCs w:val="24"/>
        </w:rPr>
        <w:t>fæokromocytom</w:t>
      </w:r>
      <w:proofErr w:type="spellEnd"/>
      <w:r w:rsidRPr="00650BE9">
        <w:rPr>
          <w:sz w:val="24"/>
          <w:szCs w:val="24"/>
        </w:rPr>
        <w:t xml:space="preserve"> efter en passende </w:t>
      </w:r>
      <w:proofErr w:type="spellStart"/>
      <w:r w:rsidRPr="00650BE9">
        <w:rPr>
          <w:sz w:val="24"/>
          <w:szCs w:val="24"/>
        </w:rPr>
        <w:t>risk</w:t>
      </w:r>
      <w:proofErr w:type="spellEnd"/>
      <w:r w:rsidRPr="00650BE9">
        <w:rPr>
          <w:sz w:val="24"/>
          <w:szCs w:val="24"/>
        </w:rPr>
        <w:t>/benefit-vurdering.</w:t>
      </w:r>
    </w:p>
    <w:p w14:paraId="131B2655" w14:textId="77777777" w:rsidR="006E4003" w:rsidRPr="00194E1C" w:rsidRDefault="006E4003" w:rsidP="006E4003">
      <w:pPr>
        <w:tabs>
          <w:tab w:val="left" w:pos="851"/>
        </w:tabs>
        <w:ind w:left="851"/>
        <w:rPr>
          <w:sz w:val="24"/>
          <w:szCs w:val="24"/>
        </w:rPr>
      </w:pPr>
    </w:p>
    <w:p w14:paraId="139A4DF1" w14:textId="77777777" w:rsidR="006E4003" w:rsidRPr="00194E1C" w:rsidRDefault="006E4003" w:rsidP="006E4003">
      <w:pPr>
        <w:tabs>
          <w:tab w:val="left" w:pos="851"/>
        </w:tabs>
        <w:ind w:left="851"/>
        <w:rPr>
          <w:sz w:val="24"/>
          <w:szCs w:val="24"/>
        </w:rPr>
      </w:pPr>
      <w:r w:rsidRPr="00194E1C">
        <w:rPr>
          <w:sz w:val="24"/>
          <w:szCs w:val="24"/>
        </w:rPr>
        <w:t xml:space="preserve">Tegn på </w:t>
      </w:r>
      <w:proofErr w:type="spellStart"/>
      <w:r w:rsidRPr="00194E1C">
        <w:rPr>
          <w:sz w:val="24"/>
          <w:szCs w:val="24"/>
        </w:rPr>
        <w:t>peritoneal</w:t>
      </w:r>
      <w:proofErr w:type="spellEnd"/>
      <w:r w:rsidRPr="00194E1C">
        <w:rPr>
          <w:sz w:val="24"/>
          <w:szCs w:val="24"/>
        </w:rPr>
        <w:t xml:space="preserve"> irritation efter </w:t>
      </w:r>
      <w:proofErr w:type="spellStart"/>
      <w:r w:rsidRPr="00194E1C">
        <w:rPr>
          <w:sz w:val="24"/>
          <w:szCs w:val="24"/>
        </w:rPr>
        <w:t>gastrointestinal</w:t>
      </w:r>
      <w:proofErr w:type="spellEnd"/>
      <w:r w:rsidRPr="00194E1C">
        <w:rPr>
          <w:sz w:val="24"/>
          <w:szCs w:val="24"/>
        </w:rPr>
        <w:t xml:space="preserve"> perforation kan udeblive hos patienter, der får høje doser af </w:t>
      </w:r>
      <w:proofErr w:type="spellStart"/>
      <w:r w:rsidRPr="00194E1C">
        <w:rPr>
          <w:sz w:val="24"/>
          <w:szCs w:val="24"/>
        </w:rPr>
        <w:t>glukokortikoider</w:t>
      </w:r>
      <w:proofErr w:type="spellEnd"/>
      <w:r w:rsidRPr="00194E1C">
        <w:rPr>
          <w:sz w:val="24"/>
          <w:szCs w:val="24"/>
        </w:rPr>
        <w:t>.</w:t>
      </w:r>
    </w:p>
    <w:p w14:paraId="21ACDFD5" w14:textId="77777777" w:rsidR="006E4003" w:rsidRPr="00194E1C" w:rsidRDefault="006E4003" w:rsidP="006E4003">
      <w:pPr>
        <w:tabs>
          <w:tab w:val="left" w:pos="851"/>
        </w:tabs>
        <w:ind w:left="851"/>
        <w:rPr>
          <w:sz w:val="24"/>
          <w:szCs w:val="24"/>
        </w:rPr>
      </w:pPr>
    </w:p>
    <w:p w14:paraId="0013BA96" w14:textId="1E1A97D8" w:rsidR="006E4003" w:rsidRPr="00194E1C" w:rsidRDefault="006E4003" w:rsidP="006E4003">
      <w:pPr>
        <w:tabs>
          <w:tab w:val="left" w:pos="851"/>
        </w:tabs>
        <w:ind w:left="851"/>
        <w:rPr>
          <w:sz w:val="24"/>
          <w:szCs w:val="24"/>
        </w:rPr>
      </w:pPr>
      <w:r w:rsidRPr="00194E1C">
        <w:rPr>
          <w:sz w:val="24"/>
          <w:szCs w:val="24"/>
        </w:rPr>
        <w:t xml:space="preserve">Muligheden for et øget behov for insulin eller orale </w:t>
      </w:r>
      <w:proofErr w:type="spellStart"/>
      <w:r w:rsidRPr="00194E1C">
        <w:rPr>
          <w:sz w:val="24"/>
          <w:szCs w:val="24"/>
        </w:rPr>
        <w:t>antidiabetika</w:t>
      </w:r>
      <w:proofErr w:type="spellEnd"/>
      <w:r w:rsidRPr="00194E1C">
        <w:rPr>
          <w:sz w:val="24"/>
          <w:szCs w:val="24"/>
        </w:rPr>
        <w:t xml:space="preserve"> skal tages i betragtning, når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administreres til diabetikere.</w:t>
      </w:r>
    </w:p>
    <w:p w14:paraId="0FE9B58E" w14:textId="77777777" w:rsidR="006E4003" w:rsidRPr="00194E1C" w:rsidRDefault="006E4003" w:rsidP="006E4003">
      <w:pPr>
        <w:tabs>
          <w:tab w:val="left" w:pos="851"/>
        </w:tabs>
        <w:ind w:left="851"/>
        <w:rPr>
          <w:sz w:val="24"/>
          <w:szCs w:val="24"/>
        </w:rPr>
      </w:pPr>
    </w:p>
    <w:p w14:paraId="13E6D0BF" w14:textId="192F890E" w:rsidR="006E4003" w:rsidRPr="00194E1C" w:rsidRDefault="006E4003" w:rsidP="006E4003">
      <w:pPr>
        <w:tabs>
          <w:tab w:val="left" w:pos="851"/>
        </w:tabs>
        <w:ind w:left="851"/>
        <w:rPr>
          <w:sz w:val="24"/>
          <w:szCs w:val="24"/>
        </w:rPr>
      </w:pPr>
      <w:r w:rsidRPr="00194E1C">
        <w:rPr>
          <w:sz w:val="24"/>
          <w:szCs w:val="24"/>
        </w:rPr>
        <w:t xml:space="preserve">Regelmæssig monitorering af blodtrykket er nødvendig under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særligt når der administreres højere doser og hos patienter med højt blodtryk, der er vanskeligt at kontrollere.</w:t>
      </w:r>
    </w:p>
    <w:p w14:paraId="18E2ED73" w14:textId="77777777" w:rsidR="006E4003" w:rsidRPr="00194E1C" w:rsidRDefault="006E4003" w:rsidP="006E4003">
      <w:pPr>
        <w:tabs>
          <w:tab w:val="left" w:pos="851"/>
        </w:tabs>
        <w:ind w:left="851"/>
        <w:rPr>
          <w:sz w:val="24"/>
          <w:szCs w:val="24"/>
        </w:rPr>
      </w:pPr>
    </w:p>
    <w:p w14:paraId="54BC0FB0" w14:textId="77777777" w:rsidR="006E4003" w:rsidRPr="00194E1C" w:rsidRDefault="006E4003" w:rsidP="006E4003">
      <w:pPr>
        <w:tabs>
          <w:tab w:val="left" w:pos="851"/>
        </w:tabs>
        <w:ind w:left="851"/>
        <w:rPr>
          <w:sz w:val="24"/>
          <w:szCs w:val="24"/>
        </w:rPr>
      </w:pPr>
      <w:r w:rsidRPr="00194E1C">
        <w:rPr>
          <w:sz w:val="24"/>
          <w:szCs w:val="24"/>
        </w:rPr>
        <w:t>På grund af risikoen for forværring af tilstanden bør patienter med alvorlig hjerteinsufficiens monitoreres nøje.</w:t>
      </w:r>
    </w:p>
    <w:p w14:paraId="4DB2C273" w14:textId="77777777" w:rsidR="006E4003" w:rsidRPr="00194E1C" w:rsidRDefault="006E4003" w:rsidP="006E4003">
      <w:pPr>
        <w:tabs>
          <w:tab w:val="left" w:pos="851"/>
        </w:tabs>
        <w:ind w:left="851"/>
        <w:rPr>
          <w:sz w:val="24"/>
          <w:szCs w:val="24"/>
        </w:rPr>
      </w:pPr>
    </w:p>
    <w:p w14:paraId="5DDA9289" w14:textId="77777777" w:rsidR="006E4003" w:rsidRPr="00194E1C" w:rsidRDefault="006E4003" w:rsidP="006E4003">
      <w:pPr>
        <w:tabs>
          <w:tab w:val="left" w:pos="851"/>
        </w:tabs>
        <w:ind w:left="851"/>
        <w:rPr>
          <w:sz w:val="24"/>
          <w:szCs w:val="24"/>
        </w:rPr>
      </w:pPr>
      <w:r w:rsidRPr="00194E1C">
        <w:rPr>
          <w:sz w:val="24"/>
          <w:szCs w:val="24"/>
        </w:rPr>
        <w:lastRenderedPageBreak/>
        <w:t xml:space="preserve">I forbindelse med høje doser af </w:t>
      </w:r>
      <w:proofErr w:type="spellStart"/>
      <w:r w:rsidRPr="00194E1C">
        <w:rPr>
          <w:sz w:val="24"/>
          <w:szCs w:val="24"/>
        </w:rPr>
        <w:t>dexamethason</w:t>
      </w:r>
      <w:proofErr w:type="spellEnd"/>
      <w:r w:rsidRPr="00194E1C">
        <w:rPr>
          <w:sz w:val="24"/>
          <w:szCs w:val="24"/>
        </w:rPr>
        <w:t xml:space="preserve"> kan der forekomme bradykardi.</w:t>
      </w:r>
    </w:p>
    <w:p w14:paraId="25348D07" w14:textId="77777777" w:rsidR="006E4003" w:rsidRPr="00194E1C" w:rsidRDefault="006E4003" w:rsidP="006E4003">
      <w:pPr>
        <w:tabs>
          <w:tab w:val="left" w:pos="851"/>
        </w:tabs>
        <w:ind w:left="851"/>
        <w:rPr>
          <w:sz w:val="24"/>
          <w:szCs w:val="24"/>
        </w:rPr>
      </w:pPr>
    </w:p>
    <w:p w14:paraId="6C1317A9" w14:textId="77777777" w:rsidR="006E4003" w:rsidRPr="00194E1C" w:rsidRDefault="006E4003" w:rsidP="006E4003">
      <w:pPr>
        <w:tabs>
          <w:tab w:val="left" w:pos="851"/>
        </w:tabs>
        <w:ind w:left="851"/>
        <w:rPr>
          <w:sz w:val="24"/>
          <w:szCs w:val="24"/>
        </w:rPr>
      </w:pPr>
      <w:r w:rsidRPr="00194E1C">
        <w:rPr>
          <w:sz w:val="24"/>
          <w:szCs w:val="24"/>
        </w:rPr>
        <w:t xml:space="preserve">Alvorlige </w:t>
      </w:r>
      <w:proofErr w:type="spellStart"/>
      <w:r w:rsidRPr="00194E1C">
        <w:rPr>
          <w:sz w:val="24"/>
          <w:szCs w:val="24"/>
        </w:rPr>
        <w:t>anafylaktiske</w:t>
      </w:r>
      <w:proofErr w:type="spellEnd"/>
      <w:r w:rsidRPr="00194E1C">
        <w:rPr>
          <w:sz w:val="24"/>
          <w:szCs w:val="24"/>
        </w:rPr>
        <w:t xml:space="preserve"> reaktioner kan også forekomme.</w:t>
      </w:r>
    </w:p>
    <w:p w14:paraId="337FB198" w14:textId="77777777" w:rsidR="006E4003" w:rsidRPr="00194E1C" w:rsidRDefault="006E4003" w:rsidP="006E4003">
      <w:pPr>
        <w:tabs>
          <w:tab w:val="left" w:pos="851"/>
        </w:tabs>
        <w:ind w:left="851"/>
        <w:rPr>
          <w:sz w:val="24"/>
          <w:szCs w:val="24"/>
        </w:rPr>
      </w:pPr>
    </w:p>
    <w:p w14:paraId="44CCF028" w14:textId="77777777" w:rsidR="006E4003" w:rsidRPr="00194E1C" w:rsidRDefault="006E4003" w:rsidP="006E4003">
      <w:pPr>
        <w:tabs>
          <w:tab w:val="left" w:pos="851"/>
        </w:tabs>
        <w:ind w:left="851"/>
        <w:rPr>
          <w:sz w:val="24"/>
          <w:szCs w:val="24"/>
        </w:rPr>
      </w:pPr>
      <w:r w:rsidRPr="00194E1C">
        <w:rPr>
          <w:sz w:val="24"/>
          <w:szCs w:val="24"/>
        </w:rPr>
        <w:t xml:space="preserve">Risikoen for </w:t>
      </w:r>
      <w:proofErr w:type="spellStart"/>
      <w:r w:rsidRPr="00194E1C">
        <w:rPr>
          <w:sz w:val="24"/>
          <w:szCs w:val="24"/>
        </w:rPr>
        <w:t>senelidelser</w:t>
      </w:r>
      <w:proofErr w:type="spellEnd"/>
      <w:r w:rsidRPr="00194E1C">
        <w:rPr>
          <w:sz w:val="24"/>
          <w:szCs w:val="24"/>
        </w:rPr>
        <w:t xml:space="preserve">, </w:t>
      </w:r>
      <w:proofErr w:type="spellStart"/>
      <w:r w:rsidRPr="00194E1C">
        <w:rPr>
          <w:sz w:val="24"/>
          <w:szCs w:val="24"/>
        </w:rPr>
        <w:t>tendinitis</w:t>
      </w:r>
      <w:proofErr w:type="spellEnd"/>
      <w:r w:rsidRPr="00194E1C">
        <w:rPr>
          <w:sz w:val="24"/>
          <w:szCs w:val="24"/>
        </w:rPr>
        <w:t xml:space="preserve"> og </w:t>
      </w:r>
      <w:proofErr w:type="spellStart"/>
      <w:r w:rsidRPr="00194E1C">
        <w:rPr>
          <w:sz w:val="24"/>
          <w:szCs w:val="24"/>
        </w:rPr>
        <w:t>seneruptur</w:t>
      </w:r>
      <w:proofErr w:type="spellEnd"/>
      <w:r w:rsidRPr="00194E1C">
        <w:rPr>
          <w:sz w:val="24"/>
          <w:szCs w:val="24"/>
        </w:rPr>
        <w:t xml:space="preserve"> øges, når </w:t>
      </w:r>
      <w:proofErr w:type="spellStart"/>
      <w:r w:rsidRPr="00194E1C">
        <w:rPr>
          <w:sz w:val="24"/>
          <w:szCs w:val="24"/>
        </w:rPr>
        <w:t>fluoroquinoloner</w:t>
      </w:r>
      <w:proofErr w:type="spellEnd"/>
      <w:r w:rsidRPr="00194E1C">
        <w:rPr>
          <w:sz w:val="24"/>
          <w:szCs w:val="24"/>
        </w:rPr>
        <w:t xml:space="preserve"> og </w:t>
      </w:r>
      <w:proofErr w:type="spellStart"/>
      <w:r w:rsidRPr="00194E1C">
        <w:rPr>
          <w:sz w:val="24"/>
          <w:szCs w:val="24"/>
        </w:rPr>
        <w:t>glukokortikoider</w:t>
      </w:r>
      <w:proofErr w:type="spellEnd"/>
      <w:r w:rsidRPr="00194E1C">
        <w:rPr>
          <w:sz w:val="24"/>
          <w:szCs w:val="24"/>
        </w:rPr>
        <w:t xml:space="preserve"> administreres samtidigt.</w:t>
      </w:r>
    </w:p>
    <w:p w14:paraId="05260381" w14:textId="77777777" w:rsidR="006E4003" w:rsidRPr="00194E1C" w:rsidRDefault="006E4003" w:rsidP="006E4003">
      <w:pPr>
        <w:tabs>
          <w:tab w:val="left" w:pos="851"/>
        </w:tabs>
        <w:ind w:left="851"/>
        <w:rPr>
          <w:sz w:val="24"/>
          <w:szCs w:val="24"/>
        </w:rPr>
      </w:pPr>
    </w:p>
    <w:p w14:paraId="1E611E98" w14:textId="36AC99B6" w:rsidR="006E4003" w:rsidRPr="00194E1C" w:rsidRDefault="006E4003" w:rsidP="006E4003">
      <w:pPr>
        <w:tabs>
          <w:tab w:val="left" w:pos="851"/>
        </w:tabs>
        <w:ind w:left="851"/>
        <w:rPr>
          <w:sz w:val="24"/>
          <w:szCs w:val="24"/>
        </w:rPr>
      </w:pPr>
      <w:r w:rsidRPr="00194E1C">
        <w:rPr>
          <w:sz w:val="24"/>
          <w:szCs w:val="24"/>
        </w:rPr>
        <w:t xml:space="preserve">Eksisterende </w:t>
      </w:r>
      <w:proofErr w:type="spellStart"/>
      <w:r w:rsidRPr="00194E1C">
        <w:rPr>
          <w:sz w:val="24"/>
          <w:szCs w:val="24"/>
        </w:rPr>
        <w:t>myasthenia</w:t>
      </w:r>
      <w:proofErr w:type="spellEnd"/>
      <w:r w:rsidRPr="00194E1C">
        <w:rPr>
          <w:sz w:val="24"/>
          <w:szCs w:val="24"/>
        </w:rPr>
        <w:t xml:space="preserve"> </w:t>
      </w:r>
      <w:proofErr w:type="spellStart"/>
      <w:r w:rsidRPr="00194E1C">
        <w:rPr>
          <w:sz w:val="24"/>
          <w:szCs w:val="24"/>
        </w:rPr>
        <w:t>gravis</w:t>
      </w:r>
      <w:proofErr w:type="spellEnd"/>
      <w:r w:rsidRPr="00194E1C">
        <w:rPr>
          <w:sz w:val="24"/>
          <w:szCs w:val="24"/>
        </w:rPr>
        <w:t xml:space="preserve"> kan forværres under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w:t>
      </w:r>
    </w:p>
    <w:p w14:paraId="0EDF5F93" w14:textId="77777777" w:rsidR="006E4003" w:rsidRPr="00194E1C" w:rsidRDefault="006E4003" w:rsidP="006E4003">
      <w:pPr>
        <w:tabs>
          <w:tab w:val="left" w:pos="851"/>
        </w:tabs>
        <w:ind w:left="851"/>
        <w:rPr>
          <w:sz w:val="24"/>
          <w:szCs w:val="24"/>
        </w:rPr>
      </w:pPr>
    </w:p>
    <w:p w14:paraId="2A624047" w14:textId="77777777" w:rsidR="006E4003" w:rsidRPr="00194E1C" w:rsidRDefault="006E4003" w:rsidP="006E4003">
      <w:pPr>
        <w:tabs>
          <w:tab w:val="left" w:pos="851"/>
        </w:tabs>
        <w:ind w:left="851"/>
        <w:rPr>
          <w:sz w:val="24"/>
          <w:szCs w:val="24"/>
        </w:rPr>
      </w:pPr>
      <w:r w:rsidRPr="00194E1C">
        <w:rPr>
          <w:sz w:val="24"/>
          <w:szCs w:val="24"/>
        </w:rPr>
        <w:t xml:space="preserve">Immuniseringer med inaktiverede (dræbte) vacciner kan i princippet gennemføres. Dog skal det tages i betragtning, at immunresponset og dermed succes for immunisering kan blive forringet, hvis der anvendes højere doser af </w:t>
      </w:r>
      <w:proofErr w:type="spellStart"/>
      <w:r w:rsidRPr="00194E1C">
        <w:rPr>
          <w:sz w:val="24"/>
          <w:szCs w:val="24"/>
        </w:rPr>
        <w:t>kortikosteroider</w:t>
      </w:r>
      <w:proofErr w:type="spellEnd"/>
      <w:r w:rsidRPr="00194E1C">
        <w:rPr>
          <w:sz w:val="24"/>
          <w:szCs w:val="24"/>
        </w:rPr>
        <w:t xml:space="preserve">. </w:t>
      </w:r>
    </w:p>
    <w:p w14:paraId="1648AE46" w14:textId="77777777" w:rsidR="006E4003" w:rsidRPr="00194E1C" w:rsidRDefault="006E4003" w:rsidP="006E4003">
      <w:pPr>
        <w:tabs>
          <w:tab w:val="left" w:pos="851"/>
        </w:tabs>
        <w:ind w:left="851"/>
        <w:rPr>
          <w:sz w:val="24"/>
          <w:szCs w:val="24"/>
        </w:rPr>
      </w:pPr>
    </w:p>
    <w:p w14:paraId="7D527C08" w14:textId="77777777" w:rsidR="006E4003" w:rsidRPr="00194E1C" w:rsidRDefault="006E4003" w:rsidP="006E4003">
      <w:pPr>
        <w:tabs>
          <w:tab w:val="left" w:pos="851"/>
        </w:tabs>
        <w:ind w:left="851"/>
        <w:rPr>
          <w:sz w:val="24"/>
          <w:szCs w:val="24"/>
        </w:rPr>
      </w:pPr>
      <w:r w:rsidRPr="00194E1C">
        <w:rPr>
          <w:sz w:val="24"/>
          <w:szCs w:val="24"/>
        </w:rPr>
        <w:t xml:space="preserve">Ved høje doser af </w:t>
      </w:r>
      <w:proofErr w:type="spellStart"/>
      <w:r w:rsidRPr="00194E1C">
        <w:rPr>
          <w:sz w:val="24"/>
          <w:szCs w:val="24"/>
        </w:rPr>
        <w:t>kortikosteroider</w:t>
      </w:r>
      <w:proofErr w:type="spellEnd"/>
      <w:r w:rsidRPr="00194E1C">
        <w:rPr>
          <w:sz w:val="24"/>
          <w:szCs w:val="24"/>
        </w:rPr>
        <w:t xml:space="preserve"> skal det sikres, at kaliumindtaget er tilstrækkeligt, og at natriumindtaget er begrænset. Niveauerne af kalium i serum skal monitoreres. </w:t>
      </w:r>
    </w:p>
    <w:p w14:paraId="606D3F7B" w14:textId="77777777" w:rsidR="006E4003" w:rsidRPr="00194E1C" w:rsidRDefault="006E4003" w:rsidP="006E4003">
      <w:pPr>
        <w:tabs>
          <w:tab w:val="left" w:pos="851"/>
        </w:tabs>
        <w:ind w:left="851"/>
        <w:rPr>
          <w:sz w:val="24"/>
          <w:szCs w:val="24"/>
        </w:rPr>
      </w:pPr>
    </w:p>
    <w:p w14:paraId="5A294632" w14:textId="77777777" w:rsidR="006E4003" w:rsidRPr="00194E1C" w:rsidRDefault="006E4003" w:rsidP="006E4003">
      <w:pPr>
        <w:tabs>
          <w:tab w:val="left" w:pos="851"/>
        </w:tabs>
        <w:ind w:left="851"/>
        <w:rPr>
          <w:sz w:val="24"/>
          <w:szCs w:val="24"/>
        </w:rPr>
      </w:pPr>
      <w:r w:rsidRPr="00194E1C">
        <w:rPr>
          <w:sz w:val="24"/>
          <w:szCs w:val="24"/>
        </w:rPr>
        <w:t xml:space="preserve">Det forventes, at samtidig behandling med CYP3A-hæmmere, herunder </w:t>
      </w:r>
      <w:proofErr w:type="spellStart"/>
      <w:r w:rsidRPr="00194E1C">
        <w:rPr>
          <w:sz w:val="24"/>
          <w:szCs w:val="24"/>
        </w:rPr>
        <w:t>cobicistat-holdige</w:t>
      </w:r>
      <w:proofErr w:type="spellEnd"/>
      <w:r w:rsidRPr="00194E1C">
        <w:rPr>
          <w:sz w:val="24"/>
          <w:szCs w:val="24"/>
        </w:rPr>
        <w:t xml:space="preserve"> lægemidler, øger risikoen for systemiske bivirkninger. Kombinationen bør undgås, medmindre fordelen opvejer den øgede risiko for systemiske </w:t>
      </w:r>
      <w:proofErr w:type="spellStart"/>
      <w:r w:rsidRPr="00194E1C">
        <w:rPr>
          <w:sz w:val="24"/>
          <w:szCs w:val="24"/>
        </w:rPr>
        <w:t>kortikosteroid</w:t>
      </w:r>
      <w:proofErr w:type="spellEnd"/>
      <w:r w:rsidRPr="00194E1C">
        <w:rPr>
          <w:sz w:val="24"/>
          <w:szCs w:val="24"/>
        </w:rPr>
        <w:t xml:space="preserve">-bivirkninger. Patienterne skal i givet fald overvåges for systemiske </w:t>
      </w:r>
      <w:proofErr w:type="spellStart"/>
      <w:r w:rsidRPr="00194E1C">
        <w:rPr>
          <w:sz w:val="24"/>
          <w:szCs w:val="24"/>
        </w:rPr>
        <w:t>kortikosteroid</w:t>
      </w:r>
      <w:proofErr w:type="spellEnd"/>
      <w:r w:rsidRPr="00194E1C">
        <w:rPr>
          <w:sz w:val="24"/>
          <w:szCs w:val="24"/>
        </w:rPr>
        <w:t>-bivirkninger.</w:t>
      </w:r>
    </w:p>
    <w:p w14:paraId="7C76D74F" w14:textId="77777777" w:rsidR="006E4003" w:rsidRPr="00194E1C" w:rsidRDefault="006E4003" w:rsidP="006E4003">
      <w:pPr>
        <w:tabs>
          <w:tab w:val="left" w:pos="851"/>
        </w:tabs>
        <w:ind w:left="851"/>
        <w:rPr>
          <w:sz w:val="24"/>
          <w:szCs w:val="24"/>
        </w:rPr>
      </w:pPr>
    </w:p>
    <w:p w14:paraId="762EE828" w14:textId="6C6548DE" w:rsidR="006E4003" w:rsidRPr="00194E1C" w:rsidRDefault="006E4003" w:rsidP="006E4003">
      <w:pPr>
        <w:tabs>
          <w:tab w:val="left" w:pos="851"/>
        </w:tabs>
        <w:ind w:left="851"/>
        <w:rPr>
          <w:sz w:val="24"/>
          <w:szCs w:val="24"/>
        </w:rPr>
      </w:pPr>
      <w:r w:rsidRPr="00194E1C">
        <w:rPr>
          <w:sz w:val="24"/>
          <w:szCs w:val="24"/>
        </w:rPr>
        <w:t xml:space="preserve">Pludselig </w:t>
      </w:r>
      <w:proofErr w:type="spellStart"/>
      <w:r w:rsidRPr="00194E1C">
        <w:rPr>
          <w:sz w:val="24"/>
          <w:szCs w:val="24"/>
        </w:rPr>
        <w:t>seponering</w:t>
      </w:r>
      <w:proofErr w:type="spellEnd"/>
      <w:r w:rsidRPr="00194E1C">
        <w:rPr>
          <w:sz w:val="24"/>
          <w:szCs w:val="24"/>
        </w:rPr>
        <w:t xml:space="preserve">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efter cirka 10 dage kan medføre forværring eller tilbagefald af den underliggende sygdom og akut binyresvigt/kortison abstinenssyndrom. Derfor skal dosis reduceres langsomt, hvis behandlingen skal seponeres.</w:t>
      </w:r>
    </w:p>
    <w:p w14:paraId="008D4D7B" w14:textId="77777777" w:rsidR="006E4003" w:rsidRPr="00194E1C" w:rsidRDefault="006E4003" w:rsidP="006E4003">
      <w:pPr>
        <w:tabs>
          <w:tab w:val="left" w:pos="851"/>
        </w:tabs>
        <w:ind w:left="851"/>
        <w:rPr>
          <w:sz w:val="24"/>
          <w:szCs w:val="24"/>
        </w:rPr>
      </w:pPr>
    </w:p>
    <w:p w14:paraId="47E22067" w14:textId="6F57E041" w:rsidR="006E4003" w:rsidRPr="00194E1C" w:rsidRDefault="006E4003" w:rsidP="006E4003">
      <w:pPr>
        <w:tabs>
          <w:tab w:val="left" w:pos="851"/>
        </w:tabs>
        <w:ind w:left="851"/>
        <w:rPr>
          <w:sz w:val="24"/>
          <w:szCs w:val="24"/>
        </w:rPr>
      </w:pPr>
      <w:r w:rsidRPr="00194E1C">
        <w:rPr>
          <w:sz w:val="24"/>
          <w:szCs w:val="24"/>
        </w:rPr>
        <w:t xml:space="preserve">Visse virussygdomme såsom skoldkopper eller mæslinger kan være alvorlige hos patienter, der behandles med </w:t>
      </w:r>
      <w:proofErr w:type="spellStart"/>
      <w:r w:rsidRPr="00194E1C">
        <w:rPr>
          <w:sz w:val="24"/>
          <w:szCs w:val="24"/>
        </w:rPr>
        <w:t>glukokortikoider</w:t>
      </w:r>
      <w:proofErr w:type="spellEnd"/>
      <w:r w:rsidRPr="00194E1C">
        <w:rPr>
          <w:sz w:val="24"/>
          <w:szCs w:val="24"/>
        </w:rPr>
        <w:t xml:space="preserve">. Immunkompromitterede patienter, der ikke tidligere har været udsat for infektion med skoldkopper eller mæslinger, har en særlig stor risiko. Hvis disse patienter kommer i kontakt med personer, der er smittet med mæslinger eller skoldkopper, mens de er i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skal en forebyggende behandling om nødvendigt iværksættes.</w:t>
      </w:r>
    </w:p>
    <w:p w14:paraId="4901FC84" w14:textId="77777777" w:rsidR="006E4003" w:rsidRPr="00194E1C" w:rsidRDefault="006E4003" w:rsidP="006E4003">
      <w:pPr>
        <w:tabs>
          <w:tab w:val="left" w:pos="851"/>
        </w:tabs>
        <w:ind w:left="851"/>
        <w:rPr>
          <w:sz w:val="24"/>
          <w:szCs w:val="24"/>
        </w:rPr>
      </w:pPr>
    </w:p>
    <w:p w14:paraId="6C4124E0" w14:textId="77777777" w:rsidR="006E4003" w:rsidRPr="00194E1C" w:rsidRDefault="006E4003" w:rsidP="006E4003">
      <w:pPr>
        <w:tabs>
          <w:tab w:val="left" w:pos="851"/>
        </w:tabs>
        <w:ind w:left="851"/>
        <w:rPr>
          <w:sz w:val="24"/>
          <w:szCs w:val="24"/>
        </w:rPr>
      </w:pPr>
      <w:r w:rsidRPr="00194E1C">
        <w:rPr>
          <w:sz w:val="24"/>
          <w:szCs w:val="24"/>
        </w:rPr>
        <w:t xml:space="preserve">Efter markedsføringen er der rapporteret om tumorlysesyndrom (TLS) hos patienter med hæmatologiske </w:t>
      </w:r>
      <w:proofErr w:type="spellStart"/>
      <w:r w:rsidRPr="00194E1C">
        <w:rPr>
          <w:sz w:val="24"/>
          <w:szCs w:val="24"/>
        </w:rPr>
        <w:t>maligniteter</w:t>
      </w:r>
      <w:proofErr w:type="spellEnd"/>
      <w:r w:rsidRPr="00194E1C">
        <w:rPr>
          <w:sz w:val="24"/>
          <w:szCs w:val="24"/>
        </w:rPr>
        <w:t xml:space="preserve"> efter brug af </w:t>
      </w:r>
      <w:proofErr w:type="spellStart"/>
      <w:r w:rsidRPr="00194E1C">
        <w:rPr>
          <w:sz w:val="24"/>
          <w:szCs w:val="24"/>
        </w:rPr>
        <w:t>dexamethason</w:t>
      </w:r>
      <w:proofErr w:type="spellEnd"/>
      <w:r w:rsidRPr="00194E1C">
        <w:rPr>
          <w:sz w:val="24"/>
          <w:szCs w:val="24"/>
        </w:rPr>
        <w:t xml:space="preserve"> alene eller i kombination med andre kemoterapeutiske midler. Patienter med høj risiko for TLS, såsom patienter med høj </w:t>
      </w:r>
      <w:proofErr w:type="spellStart"/>
      <w:r w:rsidRPr="00194E1C">
        <w:rPr>
          <w:sz w:val="24"/>
          <w:szCs w:val="24"/>
        </w:rPr>
        <w:t>proliferationsrate</w:t>
      </w:r>
      <w:proofErr w:type="spellEnd"/>
      <w:r w:rsidRPr="00194E1C">
        <w:rPr>
          <w:sz w:val="24"/>
          <w:szCs w:val="24"/>
        </w:rPr>
        <w:t xml:space="preserve">, høj tumorbyrde og høj følsomhed over for </w:t>
      </w:r>
      <w:proofErr w:type="spellStart"/>
      <w:r w:rsidRPr="00194E1C">
        <w:rPr>
          <w:sz w:val="24"/>
          <w:szCs w:val="24"/>
        </w:rPr>
        <w:t>cytotoksiske</w:t>
      </w:r>
      <w:proofErr w:type="spellEnd"/>
      <w:r w:rsidRPr="00194E1C">
        <w:rPr>
          <w:sz w:val="24"/>
          <w:szCs w:val="24"/>
        </w:rPr>
        <w:t xml:space="preserve"> midler, skal monitoreres tæt, og der bør tages passende forholdsregler.</w:t>
      </w:r>
    </w:p>
    <w:p w14:paraId="1A3085CF" w14:textId="77777777" w:rsidR="006E4003" w:rsidRPr="00194E1C" w:rsidRDefault="006E4003" w:rsidP="006E4003">
      <w:pPr>
        <w:tabs>
          <w:tab w:val="left" w:pos="851"/>
        </w:tabs>
        <w:ind w:left="851"/>
        <w:rPr>
          <w:sz w:val="24"/>
          <w:szCs w:val="24"/>
        </w:rPr>
      </w:pPr>
    </w:p>
    <w:p w14:paraId="528A2759" w14:textId="77777777" w:rsidR="006E4003" w:rsidRPr="00194E1C" w:rsidRDefault="006E4003" w:rsidP="006E4003">
      <w:pPr>
        <w:tabs>
          <w:tab w:val="left" w:pos="851"/>
        </w:tabs>
        <w:ind w:left="851"/>
        <w:rPr>
          <w:sz w:val="24"/>
          <w:szCs w:val="24"/>
        </w:rPr>
      </w:pPr>
      <w:r w:rsidRPr="00194E1C">
        <w:rPr>
          <w:sz w:val="24"/>
          <w:szCs w:val="24"/>
        </w:rPr>
        <w:t xml:space="preserve">Intravenøs administration skal være en langsom injektion over 2 3 minutter, da der ved for hurtig injektion kan opstå bivirkninger såsom ubehagelig prikken eller </w:t>
      </w:r>
      <w:proofErr w:type="spellStart"/>
      <w:r w:rsidRPr="00194E1C">
        <w:rPr>
          <w:sz w:val="24"/>
          <w:szCs w:val="24"/>
        </w:rPr>
        <w:t>paræstesi</w:t>
      </w:r>
      <w:proofErr w:type="spellEnd"/>
      <w:r w:rsidRPr="00194E1C">
        <w:rPr>
          <w:sz w:val="24"/>
          <w:szCs w:val="24"/>
        </w:rPr>
        <w:t>, der vedvarer i op til 3 minutter.</w:t>
      </w:r>
    </w:p>
    <w:p w14:paraId="1914504F" w14:textId="77777777" w:rsidR="006E4003" w:rsidRPr="00194E1C" w:rsidRDefault="006E4003" w:rsidP="006E4003">
      <w:pPr>
        <w:tabs>
          <w:tab w:val="left" w:pos="851"/>
        </w:tabs>
        <w:ind w:left="851"/>
        <w:rPr>
          <w:sz w:val="24"/>
          <w:szCs w:val="24"/>
        </w:rPr>
      </w:pPr>
    </w:p>
    <w:p w14:paraId="3B59AB69" w14:textId="3DDBD842"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er beregnet til kortvarig anvendelse. Hvis den bruges over en længere periode, skal yderligere advarsler og forsigtighedsregler, som beskrevet for langvarig administration af lægemidler, der indeholder </w:t>
      </w:r>
      <w:proofErr w:type="spellStart"/>
      <w:r w:rsidRPr="00194E1C">
        <w:rPr>
          <w:sz w:val="24"/>
          <w:szCs w:val="24"/>
        </w:rPr>
        <w:t>glukokortikoider</w:t>
      </w:r>
      <w:proofErr w:type="spellEnd"/>
      <w:r w:rsidRPr="00194E1C">
        <w:rPr>
          <w:sz w:val="24"/>
          <w:szCs w:val="24"/>
        </w:rPr>
        <w:t>, overvejes.</w:t>
      </w:r>
    </w:p>
    <w:p w14:paraId="7A11A445" w14:textId="77777777" w:rsidR="006E4003" w:rsidRPr="00194E1C" w:rsidRDefault="006E4003" w:rsidP="006E4003">
      <w:pPr>
        <w:tabs>
          <w:tab w:val="left" w:pos="851"/>
        </w:tabs>
        <w:ind w:left="851"/>
        <w:rPr>
          <w:sz w:val="24"/>
          <w:szCs w:val="24"/>
        </w:rPr>
      </w:pPr>
    </w:p>
    <w:p w14:paraId="11D7F610" w14:textId="77777777" w:rsidR="006E4003" w:rsidRPr="00194E1C" w:rsidRDefault="006E4003" w:rsidP="006E4003">
      <w:pPr>
        <w:tabs>
          <w:tab w:val="left" w:pos="851"/>
        </w:tabs>
        <w:ind w:left="851"/>
        <w:rPr>
          <w:sz w:val="24"/>
          <w:szCs w:val="24"/>
        </w:rPr>
      </w:pPr>
      <w:r w:rsidRPr="00194E1C">
        <w:rPr>
          <w:sz w:val="24"/>
          <w:szCs w:val="24"/>
        </w:rPr>
        <w:t>Mulige systemiske bivirkninger og interaktioner skal tages i betragtning efter lokal administration.</w:t>
      </w:r>
    </w:p>
    <w:p w14:paraId="25077531" w14:textId="77777777" w:rsidR="006E4003" w:rsidRPr="00194E1C" w:rsidRDefault="006E4003" w:rsidP="006E4003">
      <w:pPr>
        <w:tabs>
          <w:tab w:val="left" w:pos="851"/>
        </w:tabs>
        <w:ind w:left="851"/>
        <w:rPr>
          <w:sz w:val="24"/>
          <w:szCs w:val="24"/>
        </w:rPr>
      </w:pPr>
    </w:p>
    <w:p w14:paraId="2A27A72D" w14:textId="77777777" w:rsidR="006E4003" w:rsidRPr="00194E1C" w:rsidRDefault="006E4003" w:rsidP="006E4003">
      <w:pPr>
        <w:tabs>
          <w:tab w:val="left" w:pos="851"/>
        </w:tabs>
        <w:ind w:left="851"/>
        <w:rPr>
          <w:sz w:val="24"/>
          <w:szCs w:val="24"/>
        </w:rPr>
      </w:pPr>
      <w:proofErr w:type="spellStart"/>
      <w:r w:rsidRPr="00194E1C">
        <w:rPr>
          <w:sz w:val="24"/>
          <w:szCs w:val="24"/>
        </w:rPr>
        <w:lastRenderedPageBreak/>
        <w:t>Intra-artikulær</w:t>
      </w:r>
      <w:proofErr w:type="spellEnd"/>
      <w:r w:rsidRPr="00194E1C">
        <w:rPr>
          <w:sz w:val="24"/>
          <w:szCs w:val="24"/>
        </w:rPr>
        <w:t xml:space="preserve"> administration af </w:t>
      </w:r>
      <w:proofErr w:type="spellStart"/>
      <w:r w:rsidRPr="00194E1C">
        <w:rPr>
          <w:sz w:val="24"/>
          <w:szCs w:val="24"/>
        </w:rPr>
        <w:t>glukokortikoider</w:t>
      </w:r>
      <w:proofErr w:type="spellEnd"/>
      <w:r w:rsidRPr="00194E1C">
        <w:rPr>
          <w:sz w:val="24"/>
          <w:szCs w:val="24"/>
        </w:rPr>
        <w:t xml:space="preserve"> øger risikoen for infektioner i led. Langvarig administration og gentagne injektioner af </w:t>
      </w:r>
      <w:proofErr w:type="spellStart"/>
      <w:r w:rsidRPr="00194E1C">
        <w:rPr>
          <w:sz w:val="24"/>
          <w:szCs w:val="24"/>
        </w:rPr>
        <w:t>glukokortikoider</w:t>
      </w:r>
      <w:proofErr w:type="spellEnd"/>
      <w:r w:rsidRPr="00194E1C">
        <w:rPr>
          <w:sz w:val="24"/>
          <w:szCs w:val="24"/>
        </w:rPr>
        <w:t xml:space="preserve"> i vægtbærende led kan forværre slidrelaterede ændringer i leddene. Dette skyldes sandsynligvis overbelastning af de berørte led, efter at smerter eller andre symptomer er lindret.</w:t>
      </w:r>
    </w:p>
    <w:p w14:paraId="4E454309" w14:textId="77777777" w:rsidR="006E4003" w:rsidRPr="00194E1C" w:rsidRDefault="006E4003" w:rsidP="006E4003">
      <w:pPr>
        <w:tabs>
          <w:tab w:val="left" w:pos="851"/>
        </w:tabs>
        <w:ind w:left="851"/>
        <w:rPr>
          <w:sz w:val="24"/>
          <w:szCs w:val="24"/>
        </w:rPr>
      </w:pPr>
    </w:p>
    <w:p w14:paraId="52299A5E"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 xml:space="preserve">Børn og unge </w:t>
      </w:r>
    </w:p>
    <w:p w14:paraId="2113E9C8" w14:textId="77777777" w:rsidR="006E4003" w:rsidRPr="00194E1C" w:rsidRDefault="006E4003" w:rsidP="006E4003">
      <w:pPr>
        <w:tabs>
          <w:tab w:val="left" w:pos="851"/>
        </w:tabs>
        <w:ind w:left="851"/>
        <w:rPr>
          <w:i/>
          <w:iCs/>
          <w:sz w:val="24"/>
          <w:szCs w:val="24"/>
          <w:u w:val="single"/>
        </w:rPr>
      </w:pPr>
    </w:p>
    <w:p w14:paraId="13FC6B23" w14:textId="5A100A6B" w:rsidR="006E4003" w:rsidRPr="00194E1C" w:rsidRDefault="006E4003" w:rsidP="006E4003">
      <w:pPr>
        <w:tabs>
          <w:tab w:val="left" w:pos="851"/>
        </w:tabs>
        <w:ind w:left="851"/>
        <w:rPr>
          <w:sz w:val="24"/>
          <w:szCs w:val="24"/>
        </w:rPr>
      </w:pPr>
      <w:r w:rsidRPr="00194E1C">
        <w:rPr>
          <w:sz w:val="24"/>
          <w:szCs w:val="24"/>
        </w:rPr>
        <w:t>I børns vækstfase skal benefit/</w:t>
      </w:r>
      <w:proofErr w:type="spellStart"/>
      <w:r w:rsidRPr="00194E1C">
        <w:rPr>
          <w:sz w:val="24"/>
          <w:szCs w:val="24"/>
        </w:rPr>
        <w:t>risk</w:t>
      </w:r>
      <w:proofErr w:type="spellEnd"/>
      <w:r w:rsidRPr="00194E1C">
        <w:rPr>
          <w:sz w:val="24"/>
          <w:szCs w:val="24"/>
        </w:rPr>
        <w:t xml:space="preserve"> forholdet ved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vurderes nøje.</w:t>
      </w:r>
    </w:p>
    <w:p w14:paraId="55A6CA25" w14:textId="77777777" w:rsidR="006E4003" w:rsidRPr="00194E1C" w:rsidRDefault="006E4003" w:rsidP="006E4003">
      <w:pPr>
        <w:tabs>
          <w:tab w:val="left" w:pos="851"/>
        </w:tabs>
        <w:ind w:left="851"/>
        <w:rPr>
          <w:sz w:val="24"/>
          <w:szCs w:val="24"/>
        </w:rPr>
      </w:pPr>
    </w:p>
    <w:p w14:paraId="7AA5E2A0" w14:textId="77777777" w:rsidR="006E4003" w:rsidRPr="00194E1C" w:rsidRDefault="006E4003" w:rsidP="006E4003">
      <w:pPr>
        <w:tabs>
          <w:tab w:val="left" w:pos="851"/>
        </w:tabs>
        <w:ind w:left="851"/>
        <w:rPr>
          <w:i/>
          <w:iCs/>
          <w:sz w:val="24"/>
          <w:szCs w:val="24"/>
        </w:rPr>
      </w:pPr>
      <w:r w:rsidRPr="00194E1C">
        <w:rPr>
          <w:i/>
          <w:iCs/>
          <w:sz w:val="24"/>
          <w:szCs w:val="24"/>
        </w:rPr>
        <w:t>Præmature nyfødte</w:t>
      </w:r>
    </w:p>
    <w:p w14:paraId="48F417A0" w14:textId="77777777" w:rsidR="006E4003" w:rsidRPr="00194E1C" w:rsidRDefault="006E4003" w:rsidP="006E4003">
      <w:pPr>
        <w:tabs>
          <w:tab w:val="left" w:pos="851"/>
        </w:tabs>
        <w:ind w:left="851"/>
        <w:rPr>
          <w:sz w:val="24"/>
          <w:szCs w:val="24"/>
        </w:rPr>
      </w:pPr>
      <w:r w:rsidRPr="00194E1C">
        <w:rPr>
          <w:sz w:val="24"/>
          <w:szCs w:val="24"/>
        </w:rPr>
        <w:t xml:space="preserve">Tilgængelige data tyder på langvarige </w:t>
      </w:r>
      <w:proofErr w:type="spellStart"/>
      <w:r w:rsidRPr="00194E1C">
        <w:rPr>
          <w:sz w:val="24"/>
          <w:szCs w:val="24"/>
        </w:rPr>
        <w:t>neuroudviklingsmæssige</w:t>
      </w:r>
      <w:proofErr w:type="spellEnd"/>
      <w:r w:rsidRPr="00194E1C">
        <w:rPr>
          <w:sz w:val="24"/>
          <w:szCs w:val="24"/>
        </w:rPr>
        <w:t xml:space="preserve"> bivirkninger efter tidlig behandling (&lt; 96 timer efter fødslen) af præmature spædbørn med kronisk lungesygdom med en initialdosis på 0,25 mg/kg 2 gange dagligt.</w:t>
      </w:r>
    </w:p>
    <w:p w14:paraId="573B2692" w14:textId="614097B3" w:rsidR="006E4003" w:rsidRDefault="006E4003" w:rsidP="006E4003">
      <w:pPr>
        <w:tabs>
          <w:tab w:val="left" w:pos="851"/>
        </w:tabs>
        <w:ind w:left="851"/>
        <w:rPr>
          <w:sz w:val="24"/>
          <w:szCs w:val="24"/>
        </w:rPr>
      </w:pPr>
    </w:p>
    <w:p w14:paraId="11709464" w14:textId="77777777" w:rsidR="008A4EEB" w:rsidRPr="009A7910" w:rsidRDefault="008A4EEB" w:rsidP="008A4EEB">
      <w:pPr>
        <w:tabs>
          <w:tab w:val="left" w:pos="851"/>
        </w:tabs>
        <w:ind w:left="851"/>
        <w:rPr>
          <w:i/>
          <w:iCs/>
          <w:sz w:val="24"/>
          <w:szCs w:val="24"/>
        </w:rPr>
      </w:pPr>
      <w:proofErr w:type="spellStart"/>
      <w:r w:rsidRPr="009A7910">
        <w:rPr>
          <w:i/>
          <w:iCs/>
          <w:sz w:val="24"/>
          <w:szCs w:val="24"/>
        </w:rPr>
        <w:t>Hypertrofisk</w:t>
      </w:r>
      <w:proofErr w:type="spellEnd"/>
      <w:r w:rsidRPr="009A7910">
        <w:rPr>
          <w:i/>
          <w:iCs/>
          <w:sz w:val="24"/>
          <w:szCs w:val="24"/>
        </w:rPr>
        <w:t xml:space="preserve"> </w:t>
      </w:r>
      <w:proofErr w:type="spellStart"/>
      <w:r w:rsidRPr="009A7910">
        <w:rPr>
          <w:i/>
          <w:iCs/>
          <w:sz w:val="24"/>
          <w:szCs w:val="24"/>
        </w:rPr>
        <w:t>kardiomyopati</w:t>
      </w:r>
      <w:proofErr w:type="spellEnd"/>
    </w:p>
    <w:p w14:paraId="26F97D3F" w14:textId="77777777" w:rsidR="008A4EEB" w:rsidRDefault="008A4EEB" w:rsidP="008A4EEB">
      <w:pPr>
        <w:tabs>
          <w:tab w:val="left" w:pos="851"/>
        </w:tabs>
        <w:ind w:left="851"/>
        <w:rPr>
          <w:sz w:val="24"/>
          <w:szCs w:val="24"/>
        </w:rPr>
      </w:pPr>
      <w:r w:rsidRPr="00D81E85">
        <w:rPr>
          <w:sz w:val="24"/>
          <w:szCs w:val="24"/>
        </w:rPr>
        <w:t xml:space="preserve">Der blev rapporteret om </w:t>
      </w:r>
      <w:proofErr w:type="spellStart"/>
      <w:r w:rsidRPr="00D81E85">
        <w:rPr>
          <w:sz w:val="24"/>
          <w:szCs w:val="24"/>
        </w:rPr>
        <w:t>hypertrofisk</w:t>
      </w:r>
      <w:proofErr w:type="spellEnd"/>
      <w:r w:rsidRPr="00D81E85">
        <w:rPr>
          <w:sz w:val="24"/>
          <w:szCs w:val="24"/>
        </w:rPr>
        <w:t xml:space="preserve"> </w:t>
      </w:r>
      <w:proofErr w:type="spellStart"/>
      <w:r w:rsidRPr="00D81E85">
        <w:rPr>
          <w:sz w:val="24"/>
          <w:szCs w:val="24"/>
        </w:rPr>
        <w:t>kardiomyopati</w:t>
      </w:r>
      <w:proofErr w:type="spellEnd"/>
      <w:r w:rsidRPr="00D81E85">
        <w:rPr>
          <w:sz w:val="24"/>
          <w:szCs w:val="24"/>
        </w:rPr>
        <w:t xml:space="preserve"> efter systemisk administration af </w:t>
      </w:r>
      <w:proofErr w:type="spellStart"/>
      <w:r w:rsidRPr="00D81E85">
        <w:rPr>
          <w:sz w:val="24"/>
          <w:szCs w:val="24"/>
        </w:rPr>
        <w:t>kortikosteroider</w:t>
      </w:r>
      <w:proofErr w:type="spellEnd"/>
      <w:r w:rsidRPr="00D81E85">
        <w:rPr>
          <w:sz w:val="24"/>
          <w:szCs w:val="24"/>
        </w:rPr>
        <w:t xml:space="preserve">, herunder </w:t>
      </w:r>
      <w:proofErr w:type="spellStart"/>
      <w:r w:rsidRPr="00D81E85">
        <w:rPr>
          <w:sz w:val="24"/>
          <w:szCs w:val="24"/>
        </w:rPr>
        <w:t>dexamethason</w:t>
      </w:r>
      <w:proofErr w:type="spellEnd"/>
      <w:r w:rsidRPr="00D81E85">
        <w:rPr>
          <w:sz w:val="24"/>
          <w:szCs w:val="24"/>
        </w:rPr>
        <w:t xml:space="preserve">, til for tidligt fødte børn. I de fleste indberettede tilfælde var dette reversibelt ved </w:t>
      </w:r>
      <w:proofErr w:type="spellStart"/>
      <w:r w:rsidRPr="00D81E85">
        <w:rPr>
          <w:sz w:val="24"/>
          <w:szCs w:val="24"/>
        </w:rPr>
        <w:t>seponering</w:t>
      </w:r>
      <w:proofErr w:type="spellEnd"/>
      <w:r w:rsidRPr="00D81E85">
        <w:rPr>
          <w:sz w:val="24"/>
          <w:szCs w:val="24"/>
        </w:rPr>
        <w:t xml:space="preserve"> af behandlingen. Hos for tidligt fødte børn, der behandles med systemisk </w:t>
      </w:r>
      <w:proofErr w:type="spellStart"/>
      <w:r w:rsidRPr="00D81E85">
        <w:rPr>
          <w:sz w:val="24"/>
          <w:szCs w:val="24"/>
        </w:rPr>
        <w:t>dexamethason</w:t>
      </w:r>
      <w:proofErr w:type="spellEnd"/>
      <w:r w:rsidRPr="00D81E85">
        <w:rPr>
          <w:sz w:val="24"/>
          <w:szCs w:val="24"/>
        </w:rPr>
        <w:t>, skal der foretages en diagnostisk vurdering og overvågning af hjertefunktionen og -strukturen (punkt 4.8).</w:t>
      </w:r>
    </w:p>
    <w:p w14:paraId="06088F5D" w14:textId="77777777" w:rsidR="008A4EEB" w:rsidRPr="00194E1C" w:rsidRDefault="008A4EEB" w:rsidP="006E4003">
      <w:pPr>
        <w:tabs>
          <w:tab w:val="left" w:pos="851"/>
        </w:tabs>
        <w:ind w:left="851"/>
        <w:rPr>
          <w:sz w:val="24"/>
          <w:szCs w:val="24"/>
        </w:rPr>
      </w:pPr>
    </w:p>
    <w:p w14:paraId="134399E4" w14:textId="77777777" w:rsidR="006E4003" w:rsidRPr="00194E1C" w:rsidRDefault="006E4003" w:rsidP="006E4003">
      <w:pPr>
        <w:tabs>
          <w:tab w:val="left" w:pos="851"/>
        </w:tabs>
        <w:ind w:left="851"/>
        <w:rPr>
          <w:i/>
          <w:iCs/>
          <w:sz w:val="24"/>
          <w:szCs w:val="24"/>
        </w:rPr>
      </w:pPr>
      <w:r w:rsidRPr="00194E1C">
        <w:rPr>
          <w:i/>
          <w:iCs/>
          <w:sz w:val="24"/>
          <w:szCs w:val="24"/>
        </w:rPr>
        <w:t>Propylenglykol indhold</w:t>
      </w:r>
    </w:p>
    <w:p w14:paraId="2373740E" w14:textId="4126778F" w:rsidR="006E4003" w:rsidRPr="00194E1C" w:rsidRDefault="006E4003" w:rsidP="006E4003">
      <w:pPr>
        <w:tabs>
          <w:tab w:val="left" w:pos="851"/>
        </w:tabs>
        <w:ind w:left="851"/>
        <w:rPr>
          <w:sz w:val="24"/>
          <w:szCs w:val="24"/>
        </w:rPr>
      </w:pPr>
      <w:r w:rsidRPr="00194E1C">
        <w:rPr>
          <w:sz w:val="24"/>
          <w:szCs w:val="24"/>
        </w:rPr>
        <w:t xml:space="preserve">På grund af produktets propylenglykolindhold (20 mg pr. ml) skal der udvises forsigtighed, når der anvendes høje doser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til spædbørn og børn under 5 år, og/eller i længere tid (se pkt. 2 og 4.2). Følgende pædiatriske populationer har særlig risiko for at udvikle propylenglykol-toksicitet:</w:t>
      </w:r>
    </w:p>
    <w:p w14:paraId="1F3807B8" w14:textId="77777777" w:rsidR="006E4003" w:rsidRPr="00194E1C" w:rsidRDefault="006E4003" w:rsidP="006E4003">
      <w:pPr>
        <w:tabs>
          <w:tab w:val="left" w:pos="851"/>
        </w:tabs>
        <w:ind w:left="851"/>
        <w:rPr>
          <w:sz w:val="24"/>
          <w:szCs w:val="24"/>
        </w:rPr>
      </w:pPr>
    </w:p>
    <w:p w14:paraId="438CCE06" w14:textId="14CA26AA"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Spædbørn (nyfødte, yng</w:t>
      </w:r>
      <w:r w:rsidR="008C4039">
        <w:rPr>
          <w:i/>
          <w:iCs/>
          <w:sz w:val="24"/>
          <w:szCs w:val="24"/>
        </w:rPr>
        <w:t>r</w:t>
      </w:r>
      <w:r w:rsidRPr="00194E1C">
        <w:rPr>
          <w:i/>
          <w:iCs/>
          <w:sz w:val="24"/>
          <w:szCs w:val="24"/>
        </w:rPr>
        <w:t>e end 4 uger gamle)</w:t>
      </w:r>
    </w:p>
    <w:p w14:paraId="0BC88E28" w14:textId="61DB80B4"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anbefales ikke til brug hos for tidligt fødte eller </w:t>
      </w:r>
      <w:proofErr w:type="spellStart"/>
      <w:r w:rsidRPr="00194E1C">
        <w:rPr>
          <w:sz w:val="24"/>
          <w:szCs w:val="24"/>
        </w:rPr>
        <w:t>fuldborne</w:t>
      </w:r>
      <w:proofErr w:type="spellEnd"/>
      <w:r w:rsidRPr="00194E1C">
        <w:rPr>
          <w:sz w:val="24"/>
          <w:szCs w:val="24"/>
        </w:rPr>
        <w:t xml:space="preserve"> nyfødte. Efter en omhyggelig individuel vurdering kan produktet imidlertid overvejes hos et nyfødt barn, hvis der af en sundhedsperson/ordinerende læge vurderes, at brugen af produktet opvejer potentielle risici.</w:t>
      </w:r>
    </w:p>
    <w:p w14:paraId="28023D12" w14:textId="0CB8A65C" w:rsidR="006E4003" w:rsidRPr="00194E1C" w:rsidRDefault="006E4003" w:rsidP="006E4003">
      <w:pPr>
        <w:tabs>
          <w:tab w:val="left" w:pos="851"/>
        </w:tabs>
        <w:ind w:left="851"/>
        <w:rPr>
          <w:sz w:val="24"/>
          <w:szCs w:val="24"/>
        </w:rPr>
      </w:pPr>
      <w:r w:rsidRPr="00194E1C">
        <w:rPr>
          <w:sz w:val="24"/>
          <w:szCs w:val="24"/>
        </w:rPr>
        <w:t xml:space="preserve">Når der kræves højere doser end 0,05 ml/kg/dag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hos nyfødte, kan den tilsvarende dosis af propylenglykol overstige grænsen på </w:t>
      </w:r>
      <w:r w:rsidRPr="00194E1C">
        <w:rPr>
          <w:b/>
          <w:bCs/>
          <w:sz w:val="24"/>
          <w:szCs w:val="24"/>
        </w:rPr>
        <w:t>1</w:t>
      </w:r>
      <w:r w:rsidR="008C4039">
        <w:rPr>
          <w:b/>
          <w:bCs/>
          <w:sz w:val="24"/>
          <w:szCs w:val="24"/>
        </w:rPr>
        <w:t> </w:t>
      </w:r>
      <w:r w:rsidRPr="00194E1C">
        <w:rPr>
          <w:b/>
          <w:bCs/>
          <w:sz w:val="24"/>
          <w:szCs w:val="24"/>
        </w:rPr>
        <w:t>mg/kg/dag</w:t>
      </w:r>
      <w:r w:rsidRPr="00194E1C">
        <w:rPr>
          <w:sz w:val="24"/>
          <w:szCs w:val="24"/>
        </w:rPr>
        <w:t xml:space="preserve">. Overskridelse af denne grænse hos nyfødte kan medføre alvorlige bivirkninger ved samtidig administration med substrater til </w:t>
      </w:r>
      <w:proofErr w:type="spellStart"/>
      <w:r w:rsidRPr="00194E1C">
        <w:rPr>
          <w:sz w:val="24"/>
          <w:szCs w:val="24"/>
        </w:rPr>
        <w:t>alkoholdehydrogenase</w:t>
      </w:r>
      <w:proofErr w:type="spellEnd"/>
      <w:r w:rsidRPr="00194E1C">
        <w:rPr>
          <w:sz w:val="24"/>
          <w:szCs w:val="24"/>
        </w:rPr>
        <w:t xml:space="preserve">, såsom </w:t>
      </w:r>
      <w:proofErr w:type="spellStart"/>
      <w:r w:rsidRPr="00194E1C">
        <w:rPr>
          <w:sz w:val="24"/>
          <w:szCs w:val="24"/>
        </w:rPr>
        <w:t>ethanol</w:t>
      </w:r>
      <w:proofErr w:type="spellEnd"/>
      <w:r w:rsidRPr="00194E1C">
        <w:rPr>
          <w:sz w:val="24"/>
          <w:szCs w:val="24"/>
        </w:rPr>
        <w:t>, især hvis de får anden medicin, der indeholder propylenglykol eller alkohol. Tæt medicinsk overvågning for tegn på toksicitet er nødvendig.</w:t>
      </w:r>
    </w:p>
    <w:p w14:paraId="78ED9947" w14:textId="77777777" w:rsidR="006E4003" w:rsidRPr="00194E1C" w:rsidRDefault="006E4003" w:rsidP="006E4003">
      <w:pPr>
        <w:tabs>
          <w:tab w:val="left" w:pos="851"/>
        </w:tabs>
        <w:ind w:left="851"/>
        <w:rPr>
          <w:sz w:val="24"/>
          <w:szCs w:val="24"/>
        </w:rPr>
      </w:pPr>
    </w:p>
    <w:p w14:paraId="4E1E2C68" w14:textId="77777777" w:rsidR="006E4003" w:rsidRPr="00194E1C" w:rsidRDefault="006E4003" w:rsidP="006E4003">
      <w:pPr>
        <w:tabs>
          <w:tab w:val="left" w:pos="851"/>
        </w:tabs>
        <w:ind w:left="851"/>
        <w:rPr>
          <w:i/>
          <w:iCs/>
          <w:sz w:val="24"/>
          <w:szCs w:val="24"/>
        </w:rPr>
      </w:pPr>
      <w:r w:rsidRPr="00194E1C">
        <w:rPr>
          <w:sz w:val="24"/>
          <w:szCs w:val="24"/>
        </w:rPr>
        <w:t>•</w:t>
      </w:r>
      <w:r w:rsidRPr="00194E1C">
        <w:rPr>
          <w:sz w:val="24"/>
          <w:szCs w:val="24"/>
        </w:rPr>
        <w:tab/>
      </w:r>
      <w:r w:rsidRPr="00194E1C">
        <w:rPr>
          <w:i/>
          <w:iCs/>
          <w:sz w:val="24"/>
          <w:szCs w:val="24"/>
        </w:rPr>
        <w:t>Spædbørn (børn ældre end 4 uger gamle) og børn yngre end 5 år</w:t>
      </w:r>
    </w:p>
    <w:p w14:paraId="769A761B" w14:textId="017DC544" w:rsidR="006E4003" w:rsidRPr="00194E1C" w:rsidRDefault="006E4003" w:rsidP="006E4003">
      <w:pPr>
        <w:tabs>
          <w:tab w:val="left" w:pos="851"/>
        </w:tabs>
        <w:ind w:left="851"/>
        <w:rPr>
          <w:sz w:val="24"/>
          <w:szCs w:val="24"/>
        </w:rPr>
      </w:pPr>
      <w:r w:rsidRPr="00194E1C">
        <w:rPr>
          <w:sz w:val="24"/>
          <w:szCs w:val="24"/>
        </w:rPr>
        <w:t xml:space="preserve">Når der kræves højere doser end 2,5 ml/kg/dag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den tilsvarende dosis propylenglykol overstige grænsen på </w:t>
      </w:r>
      <w:r w:rsidRPr="00194E1C">
        <w:rPr>
          <w:b/>
          <w:bCs/>
          <w:sz w:val="24"/>
          <w:szCs w:val="24"/>
        </w:rPr>
        <w:t>50 mg/kg/dag</w:t>
      </w:r>
      <w:r w:rsidRPr="00194E1C">
        <w:rPr>
          <w:sz w:val="24"/>
          <w:szCs w:val="24"/>
        </w:rPr>
        <w:t xml:space="preserve">. Samtidig administration af propylenglykol i doser på 50 mg/kg/dag og derover med ethvert substrat til </w:t>
      </w:r>
      <w:proofErr w:type="spellStart"/>
      <w:r w:rsidRPr="00194E1C">
        <w:rPr>
          <w:sz w:val="24"/>
          <w:szCs w:val="24"/>
        </w:rPr>
        <w:t>alkoholdehydrogenase</w:t>
      </w:r>
      <w:proofErr w:type="spellEnd"/>
      <w:r w:rsidRPr="00194E1C">
        <w:rPr>
          <w:sz w:val="24"/>
          <w:szCs w:val="24"/>
        </w:rPr>
        <w:t xml:space="preserve"> (såsom </w:t>
      </w:r>
      <w:proofErr w:type="spellStart"/>
      <w:r w:rsidRPr="00194E1C">
        <w:rPr>
          <w:sz w:val="24"/>
          <w:szCs w:val="24"/>
        </w:rPr>
        <w:t>ethanol</w:t>
      </w:r>
      <w:proofErr w:type="spellEnd"/>
      <w:r w:rsidRPr="00194E1C">
        <w:rPr>
          <w:sz w:val="24"/>
          <w:szCs w:val="24"/>
        </w:rPr>
        <w:t xml:space="preserve">) kan medføre alvorlige bivirkninger hos </w:t>
      </w:r>
      <w:r w:rsidRPr="00194E1C">
        <w:rPr>
          <w:b/>
          <w:bCs/>
          <w:sz w:val="24"/>
          <w:szCs w:val="24"/>
        </w:rPr>
        <w:t xml:space="preserve">spædbørn </w:t>
      </w:r>
      <w:r w:rsidRPr="00194E1C">
        <w:rPr>
          <w:sz w:val="24"/>
          <w:szCs w:val="24"/>
        </w:rPr>
        <w:t xml:space="preserve">og </w:t>
      </w:r>
      <w:r w:rsidRPr="00194E1C">
        <w:rPr>
          <w:b/>
          <w:bCs/>
          <w:sz w:val="24"/>
          <w:szCs w:val="24"/>
        </w:rPr>
        <w:t>børn under 5 år</w:t>
      </w:r>
      <w:r w:rsidRPr="00194E1C">
        <w:rPr>
          <w:sz w:val="24"/>
          <w:szCs w:val="24"/>
        </w:rPr>
        <w:t xml:space="preserve">, især hvis de får anden medicin, der indeholder propylenglykol eller alkohol.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bør derfor anvendes med forsigtighed i denne population.</w:t>
      </w:r>
    </w:p>
    <w:p w14:paraId="1EB1F255" w14:textId="59D79E18" w:rsidR="006E4003" w:rsidRPr="00194E1C" w:rsidRDefault="006E4003" w:rsidP="006E4003">
      <w:pPr>
        <w:tabs>
          <w:tab w:val="left" w:pos="851"/>
        </w:tabs>
        <w:ind w:left="851"/>
        <w:rPr>
          <w:sz w:val="24"/>
          <w:szCs w:val="24"/>
        </w:rPr>
      </w:pPr>
      <w:r w:rsidRPr="00194E1C">
        <w:rPr>
          <w:sz w:val="24"/>
          <w:szCs w:val="24"/>
        </w:rPr>
        <w:t>I børns vækstfase skal benefit/</w:t>
      </w:r>
      <w:proofErr w:type="spellStart"/>
      <w:r w:rsidRPr="00194E1C">
        <w:rPr>
          <w:sz w:val="24"/>
          <w:szCs w:val="24"/>
        </w:rPr>
        <w:t>risk</w:t>
      </w:r>
      <w:proofErr w:type="spellEnd"/>
      <w:r w:rsidRPr="00194E1C">
        <w:rPr>
          <w:sz w:val="24"/>
          <w:szCs w:val="24"/>
        </w:rPr>
        <w:t xml:space="preserve"> forholdet ved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vurderes nøje.</w:t>
      </w:r>
    </w:p>
    <w:p w14:paraId="2BAA588F" w14:textId="77777777" w:rsidR="006E4003" w:rsidRPr="00194E1C" w:rsidRDefault="006E4003" w:rsidP="006E4003">
      <w:pPr>
        <w:tabs>
          <w:tab w:val="left" w:pos="851"/>
        </w:tabs>
        <w:ind w:left="851"/>
        <w:rPr>
          <w:sz w:val="24"/>
          <w:szCs w:val="24"/>
        </w:rPr>
      </w:pPr>
    </w:p>
    <w:p w14:paraId="411429D6" w14:textId="77777777" w:rsidR="006E4003" w:rsidRPr="00194E1C" w:rsidRDefault="006E4003" w:rsidP="006E4003">
      <w:pPr>
        <w:tabs>
          <w:tab w:val="left" w:pos="851"/>
        </w:tabs>
        <w:ind w:left="851"/>
        <w:rPr>
          <w:i/>
          <w:iCs/>
          <w:sz w:val="24"/>
          <w:szCs w:val="24"/>
          <w:u w:val="single"/>
        </w:rPr>
      </w:pPr>
      <w:r w:rsidRPr="00194E1C">
        <w:rPr>
          <w:i/>
          <w:iCs/>
          <w:sz w:val="24"/>
          <w:szCs w:val="24"/>
          <w:u w:val="single"/>
        </w:rPr>
        <w:lastRenderedPageBreak/>
        <w:t>Ældre</w:t>
      </w:r>
    </w:p>
    <w:p w14:paraId="3D95BFF3" w14:textId="018D82DC" w:rsidR="006E4003" w:rsidRPr="00194E1C" w:rsidRDefault="006E4003" w:rsidP="006E4003">
      <w:pPr>
        <w:tabs>
          <w:tab w:val="left" w:pos="851"/>
        </w:tabs>
        <w:ind w:left="851"/>
        <w:rPr>
          <w:sz w:val="24"/>
          <w:szCs w:val="24"/>
        </w:rPr>
      </w:pPr>
      <w:r w:rsidRPr="00194E1C">
        <w:rPr>
          <w:sz w:val="24"/>
          <w:szCs w:val="24"/>
        </w:rPr>
        <w:t>Da ældre patienter har øget risiko for at få osteoporose, skal benefit/</w:t>
      </w:r>
      <w:proofErr w:type="spellStart"/>
      <w:r w:rsidRPr="00194E1C">
        <w:rPr>
          <w:sz w:val="24"/>
          <w:szCs w:val="24"/>
        </w:rPr>
        <w:t>risk</w:t>
      </w:r>
      <w:proofErr w:type="spellEnd"/>
      <w:r w:rsidRPr="00194E1C">
        <w:rPr>
          <w:sz w:val="24"/>
          <w:szCs w:val="24"/>
        </w:rPr>
        <w:t xml:space="preserve"> forholdet ved behandling med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vurderes nøje.</w:t>
      </w:r>
    </w:p>
    <w:p w14:paraId="34F19283" w14:textId="77777777" w:rsidR="006E4003" w:rsidRPr="00194E1C" w:rsidRDefault="006E4003" w:rsidP="006E4003">
      <w:pPr>
        <w:tabs>
          <w:tab w:val="left" w:pos="851"/>
        </w:tabs>
        <w:ind w:left="851"/>
        <w:rPr>
          <w:sz w:val="24"/>
          <w:szCs w:val="24"/>
        </w:rPr>
      </w:pPr>
    </w:p>
    <w:p w14:paraId="328E7F23"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Nedsat lever- og nyrefunktion</w:t>
      </w:r>
    </w:p>
    <w:p w14:paraId="1FB02980" w14:textId="7216011F" w:rsidR="006E4003" w:rsidRPr="00194E1C" w:rsidRDefault="006E4003" w:rsidP="006E4003">
      <w:pPr>
        <w:tabs>
          <w:tab w:val="left" w:pos="851"/>
        </w:tabs>
        <w:ind w:left="851"/>
        <w:rPr>
          <w:sz w:val="24"/>
          <w:szCs w:val="24"/>
        </w:rPr>
      </w:pPr>
      <w:r w:rsidRPr="00194E1C">
        <w:rPr>
          <w:sz w:val="24"/>
          <w:szCs w:val="24"/>
        </w:rPr>
        <w:t xml:space="preserve">På grund af produktets propylenglykol indhold er hyppig medicinsk overvågning nødvendig hos patienter med nyreinsufficiens eller leversvigt, fordi der er rapporteret om forskellige bivirkninger, der tilskrives propylenglykol, såsom nedsat nyrefunktion (akut </w:t>
      </w:r>
      <w:proofErr w:type="spellStart"/>
      <w:r w:rsidRPr="00194E1C">
        <w:rPr>
          <w:sz w:val="24"/>
          <w:szCs w:val="24"/>
        </w:rPr>
        <w:t>tubulær</w:t>
      </w:r>
      <w:proofErr w:type="spellEnd"/>
      <w:r w:rsidRPr="00194E1C">
        <w:rPr>
          <w:sz w:val="24"/>
          <w:szCs w:val="24"/>
        </w:rPr>
        <w:t xml:space="preserve"> nekrose), akut nyresvigt og leverdysfunktion (se pkt. 2 og 4.2). Daglig eksponering for propylenglykol hos disse patienter bør ikke overstige </w:t>
      </w:r>
      <w:r w:rsidRPr="00194E1C">
        <w:rPr>
          <w:b/>
          <w:bCs/>
          <w:sz w:val="24"/>
          <w:szCs w:val="24"/>
        </w:rPr>
        <w:t>50 mg/kg</w:t>
      </w:r>
      <w:r w:rsidRPr="00194E1C">
        <w:rPr>
          <w:sz w:val="24"/>
          <w:szCs w:val="24"/>
        </w:rPr>
        <w:t xml:space="preserve">, svarende til 2,5 ml/kg/dag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w:t>
      </w:r>
    </w:p>
    <w:p w14:paraId="4434C76D" w14:textId="77777777" w:rsidR="006E4003" w:rsidRPr="00194E1C" w:rsidRDefault="006E4003" w:rsidP="006E4003">
      <w:pPr>
        <w:tabs>
          <w:tab w:val="left" w:pos="851"/>
        </w:tabs>
        <w:ind w:left="851"/>
        <w:rPr>
          <w:sz w:val="24"/>
          <w:szCs w:val="24"/>
        </w:rPr>
      </w:pPr>
    </w:p>
    <w:p w14:paraId="37D375B8" w14:textId="1D0B537C" w:rsidR="006E4003" w:rsidRPr="00194E1C" w:rsidRDefault="006E4003" w:rsidP="006E4003">
      <w:pPr>
        <w:tabs>
          <w:tab w:val="left" w:pos="851"/>
        </w:tabs>
        <w:ind w:left="851"/>
        <w:rPr>
          <w:sz w:val="24"/>
          <w:szCs w:val="24"/>
        </w:rPr>
      </w:pPr>
      <w:r w:rsidRPr="00194E1C">
        <w:rPr>
          <w:sz w:val="24"/>
          <w:szCs w:val="24"/>
        </w:rPr>
        <w:t xml:space="preserve">Brugen af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kan resultere i positive dopingtest resultater.</w:t>
      </w:r>
    </w:p>
    <w:p w14:paraId="4657D482" w14:textId="77777777" w:rsidR="006E4003" w:rsidRPr="00194E1C" w:rsidRDefault="006E4003" w:rsidP="006E4003">
      <w:pPr>
        <w:tabs>
          <w:tab w:val="left" w:pos="851"/>
        </w:tabs>
        <w:ind w:left="851"/>
        <w:rPr>
          <w:sz w:val="24"/>
          <w:szCs w:val="24"/>
        </w:rPr>
      </w:pPr>
    </w:p>
    <w:p w14:paraId="32804FB3" w14:textId="77777777" w:rsidR="006E4003" w:rsidRPr="00194E1C" w:rsidRDefault="006E4003" w:rsidP="006E4003">
      <w:pPr>
        <w:tabs>
          <w:tab w:val="left" w:pos="851"/>
        </w:tabs>
        <w:ind w:left="851"/>
        <w:rPr>
          <w:sz w:val="24"/>
          <w:szCs w:val="24"/>
          <w:u w:val="single"/>
        </w:rPr>
      </w:pPr>
      <w:r w:rsidRPr="00194E1C">
        <w:rPr>
          <w:sz w:val="24"/>
          <w:szCs w:val="24"/>
          <w:u w:val="single"/>
        </w:rPr>
        <w:t>Natrium</w:t>
      </w:r>
    </w:p>
    <w:p w14:paraId="7F7E6303" w14:textId="77777777" w:rsidR="006E4003" w:rsidRPr="00194E1C" w:rsidRDefault="006E4003" w:rsidP="006E4003">
      <w:pPr>
        <w:tabs>
          <w:tab w:val="left" w:pos="851"/>
        </w:tabs>
        <w:ind w:left="851"/>
        <w:rPr>
          <w:sz w:val="24"/>
          <w:szCs w:val="24"/>
        </w:rPr>
      </w:pPr>
      <w:r w:rsidRPr="00194E1C">
        <w:rPr>
          <w:sz w:val="24"/>
          <w:szCs w:val="24"/>
        </w:rPr>
        <w:t>Dette lægemiddel indeholder op til 1,9 mmol (43 mg) natrium pr. maksimale enkeltdosis (350 mg til en person, der vejer 70 kg) svarende til 2,15 % af den WHO-anbefalede maksimale daglige indtagelse af 2 g natrium for en voksen.</w:t>
      </w:r>
    </w:p>
    <w:p w14:paraId="595C08A9" w14:textId="77777777" w:rsidR="009260DE" w:rsidRPr="00194E1C" w:rsidRDefault="009260DE" w:rsidP="009260DE">
      <w:pPr>
        <w:tabs>
          <w:tab w:val="left" w:pos="851"/>
        </w:tabs>
        <w:ind w:left="851"/>
        <w:rPr>
          <w:sz w:val="24"/>
          <w:szCs w:val="24"/>
        </w:rPr>
      </w:pPr>
    </w:p>
    <w:p w14:paraId="3AC5293D" w14:textId="77777777" w:rsidR="009260DE" w:rsidRPr="00194E1C" w:rsidRDefault="009260DE" w:rsidP="009260DE">
      <w:pPr>
        <w:tabs>
          <w:tab w:val="left" w:pos="851"/>
        </w:tabs>
        <w:ind w:left="851" w:hanging="851"/>
        <w:rPr>
          <w:b/>
          <w:sz w:val="24"/>
          <w:szCs w:val="24"/>
        </w:rPr>
      </w:pPr>
      <w:r w:rsidRPr="00194E1C">
        <w:rPr>
          <w:b/>
          <w:sz w:val="24"/>
          <w:szCs w:val="24"/>
        </w:rPr>
        <w:t>4.5</w:t>
      </w:r>
      <w:r w:rsidRPr="00194E1C">
        <w:rPr>
          <w:b/>
          <w:sz w:val="24"/>
          <w:szCs w:val="24"/>
        </w:rPr>
        <w:tab/>
        <w:t>Interaktion med andre lægemidler og andre former for interaktion</w:t>
      </w:r>
    </w:p>
    <w:p w14:paraId="07631E5F" w14:textId="77777777" w:rsidR="006E4003" w:rsidRPr="00194E1C" w:rsidRDefault="006E4003" w:rsidP="006E4003">
      <w:pPr>
        <w:tabs>
          <w:tab w:val="left" w:pos="851"/>
        </w:tabs>
        <w:ind w:left="851"/>
        <w:rPr>
          <w:sz w:val="24"/>
          <w:szCs w:val="24"/>
          <w:lang w:eastAsia="da-DK"/>
        </w:rPr>
      </w:pPr>
      <w:r w:rsidRPr="00194E1C">
        <w:rPr>
          <w:sz w:val="24"/>
          <w:szCs w:val="24"/>
        </w:rPr>
        <w:t xml:space="preserve">Risikoen for </w:t>
      </w:r>
      <w:proofErr w:type="spellStart"/>
      <w:r w:rsidRPr="00194E1C">
        <w:rPr>
          <w:sz w:val="24"/>
          <w:szCs w:val="24"/>
        </w:rPr>
        <w:t>gastrointestinale</w:t>
      </w:r>
      <w:proofErr w:type="spellEnd"/>
      <w:r w:rsidRPr="00194E1C">
        <w:rPr>
          <w:sz w:val="24"/>
          <w:szCs w:val="24"/>
        </w:rPr>
        <w:t xml:space="preserve"> sår og </w:t>
      </w:r>
      <w:proofErr w:type="spellStart"/>
      <w:r w:rsidRPr="00194E1C">
        <w:rPr>
          <w:sz w:val="24"/>
          <w:szCs w:val="24"/>
        </w:rPr>
        <w:t>gastrointestinal</w:t>
      </w:r>
      <w:proofErr w:type="spellEnd"/>
      <w:r w:rsidRPr="00194E1C">
        <w:rPr>
          <w:sz w:val="24"/>
          <w:szCs w:val="24"/>
        </w:rPr>
        <w:t xml:space="preserve"> blødning er øget ved samtidig administration med non-</w:t>
      </w:r>
      <w:proofErr w:type="spellStart"/>
      <w:r w:rsidRPr="00194E1C">
        <w:rPr>
          <w:sz w:val="24"/>
          <w:szCs w:val="24"/>
        </w:rPr>
        <w:t>steroide</w:t>
      </w:r>
      <w:proofErr w:type="spellEnd"/>
      <w:r w:rsidRPr="00194E1C">
        <w:rPr>
          <w:sz w:val="24"/>
          <w:szCs w:val="24"/>
        </w:rPr>
        <w:t xml:space="preserve"> anti-inflammatoriske midler (</w:t>
      </w:r>
      <w:proofErr w:type="spellStart"/>
      <w:r w:rsidRPr="00194E1C">
        <w:rPr>
          <w:sz w:val="24"/>
          <w:szCs w:val="24"/>
        </w:rPr>
        <w:t>NSAID’er</w:t>
      </w:r>
      <w:proofErr w:type="spellEnd"/>
      <w:r w:rsidRPr="00194E1C">
        <w:rPr>
          <w:sz w:val="24"/>
          <w:szCs w:val="24"/>
        </w:rPr>
        <w:t xml:space="preserve">), </w:t>
      </w:r>
      <w:proofErr w:type="spellStart"/>
      <w:r w:rsidRPr="00194E1C">
        <w:rPr>
          <w:sz w:val="24"/>
          <w:szCs w:val="24"/>
        </w:rPr>
        <w:t>salicylater</w:t>
      </w:r>
      <w:proofErr w:type="spellEnd"/>
      <w:r w:rsidRPr="00194E1C">
        <w:rPr>
          <w:sz w:val="24"/>
          <w:szCs w:val="24"/>
        </w:rPr>
        <w:t xml:space="preserve"> og </w:t>
      </w:r>
      <w:proofErr w:type="spellStart"/>
      <w:r w:rsidRPr="00194E1C">
        <w:rPr>
          <w:sz w:val="24"/>
          <w:szCs w:val="24"/>
        </w:rPr>
        <w:t>indometacin</w:t>
      </w:r>
      <w:proofErr w:type="spellEnd"/>
      <w:r w:rsidRPr="00194E1C">
        <w:rPr>
          <w:sz w:val="24"/>
          <w:szCs w:val="24"/>
        </w:rPr>
        <w:t>.</w:t>
      </w:r>
    </w:p>
    <w:p w14:paraId="0090D6E4" w14:textId="77777777" w:rsidR="006E4003" w:rsidRPr="00194E1C" w:rsidRDefault="006E4003" w:rsidP="006E4003">
      <w:pPr>
        <w:tabs>
          <w:tab w:val="left" w:pos="851"/>
        </w:tabs>
        <w:ind w:left="851"/>
        <w:rPr>
          <w:sz w:val="24"/>
          <w:szCs w:val="24"/>
        </w:rPr>
      </w:pPr>
    </w:p>
    <w:p w14:paraId="4F909B08" w14:textId="77777777" w:rsidR="006E4003" w:rsidRPr="00194E1C" w:rsidRDefault="006E4003" w:rsidP="006E4003">
      <w:pPr>
        <w:tabs>
          <w:tab w:val="left" w:pos="851"/>
        </w:tabs>
        <w:ind w:left="851"/>
        <w:rPr>
          <w:sz w:val="24"/>
          <w:szCs w:val="24"/>
        </w:rPr>
      </w:pPr>
      <w:r w:rsidRPr="00194E1C">
        <w:rPr>
          <w:sz w:val="24"/>
          <w:szCs w:val="24"/>
        </w:rPr>
        <w:t xml:space="preserve">Halveringstiden af </w:t>
      </w:r>
      <w:proofErr w:type="spellStart"/>
      <w:r w:rsidRPr="00194E1C">
        <w:rPr>
          <w:sz w:val="24"/>
          <w:szCs w:val="24"/>
        </w:rPr>
        <w:t>glukokortikoider</w:t>
      </w:r>
      <w:proofErr w:type="spellEnd"/>
      <w:r w:rsidRPr="00194E1C">
        <w:rPr>
          <w:sz w:val="24"/>
          <w:szCs w:val="24"/>
        </w:rPr>
        <w:t xml:space="preserve"> kan blive forlænget ved samtidig administration af østrogener (f.eks. orale </w:t>
      </w:r>
      <w:proofErr w:type="spellStart"/>
      <w:r w:rsidRPr="00194E1C">
        <w:rPr>
          <w:sz w:val="24"/>
          <w:szCs w:val="24"/>
        </w:rPr>
        <w:t>kontraceptiva</w:t>
      </w:r>
      <w:proofErr w:type="spellEnd"/>
      <w:r w:rsidRPr="00194E1C">
        <w:rPr>
          <w:sz w:val="24"/>
          <w:szCs w:val="24"/>
        </w:rPr>
        <w:t xml:space="preserve">). Derfor kan virkningen af </w:t>
      </w:r>
      <w:proofErr w:type="spellStart"/>
      <w:r w:rsidRPr="00194E1C">
        <w:rPr>
          <w:sz w:val="24"/>
          <w:szCs w:val="24"/>
        </w:rPr>
        <w:t>kortikoider</w:t>
      </w:r>
      <w:proofErr w:type="spellEnd"/>
      <w:r w:rsidRPr="00194E1C">
        <w:rPr>
          <w:sz w:val="24"/>
          <w:szCs w:val="24"/>
        </w:rPr>
        <w:t xml:space="preserve"> være øget.</w:t>
      </w:r>
    </w:p>
    <w:p w14:paraId="79985034" w14:textId="77777777" w:rsidR="006E4003" w:rsidRPr="00194E1C" w:rsidRDefault="006E4003" w:rsidP="006E4003">
      <w:pPr>
        <w:tabs>
          <w:tab w:val="left" w:pos="851"/>
        </w:tabs>
        <w:ind w:left="851"/>
        <w:rPr>
          <w:sz w:val="24"/>
          <w:szCs w:val="24"/>
        </w:rPr>
      </w:pPr>
      <w:r w:rsidRPr="00194E1C">
        <w:rPr>
          <w:sz w:val="24"/>
          <w:szCs w:val="24"/>
        </w:rPr>
        <w:t xml:space="preserve">  </w:t>
      </w:r>
    </w:p>
    <w:p w14:paraId="6349DF70" w14:textId="77777777" w:rsidR="006E4003" w:rsidRPr="00194E1C" w:rsidRDefault="006E4003" w:rsidP="006E4003">
      <w:pPr>
        <w:tabs>
          <w:tab w:val="left" w:pos="851"/>
        </w:tabs>
        <w:ind w:left="851"/>
        <w:rPr>
          <w:sz w:val="24"/>
          <w:szCs w:val="24"/>
        </w:rPr>
      </w:pPr>
      <w:r w:rsidRPr="00194E1C">
        <w:rPr>
          <w:sz w:val="24"/>
          <w:szCs w:val="24"/>
        </w:rPr>
        <w:t xml:space="preserve">CYP3A4 inducerende lægemidler, såsom </w:t>
      </w:r>
      <w:proofErr w:type="spellStart"/>
      <w:r w:rsidRPr="00194E1C">
        <w:rPr>
          <w:sz w:val="24"/>
          <w:szCs w:val="24"/>
        </w:rPr>
        <w:t>phenytoin</w:t>
      </w:r>
      <w:proofErr w:type="spellEnd"/>
      <w:r w:rsidRPr="00194E1C">
        <w:rPr>
          <w:sz w:val="24"/>
          <w:szCs w:val="24"/>
        </w:rPr>
        <w:t xml:space="preserve">, barbiturater, </w:t>
      </w:r>
      <w:proofErr w:type="spellStart"/>
      <w:r w:rsidRPr="00194E1C">
        <w:rPr>
          <w:sz w:val="24"/>
          <w:szCs w:val="24"/>
        </w:rPr>
        <w:t>carbamazepin</w:t>
      </w:r>
      <w:proofErr w:type="spellEnd"/>
      <w:r w:rsidRPr="00194E1C">
        <w:rPr>
          <w:sz w:val="24"/>
          <w:szCs w:val="24"/>
        </w:rPr>
        <w:t xml:space="preserve"> </w:t>
      </w:r>
      <w:proofErr w:type="spellStart"/>
      <w:r w:rsidRPr="00194E1C">
        <w:rPr>
          <w:sz w:val="24"/>
          <w:szCs w:val="24"/>
        </w:rPr>
        <w:t>primidon</w:t>
      </w:r>
      <w:proofErr w:type="spellEnd"/>
      <w:r w:rsidRPr="00194E1C">
        <w:rPr>
          <w:sz w:val="24"/>
          <w:szCs w:val="24"/>
        </w:rPr>
        <w:t xml:space="preserve">, </w:t>
      </w:r>
      <w:proofErr w:type="spellStart"/>
      <w:r w:rsidRPr="00194E1C">
        <w:rPr>
          <w:sz w:val="24"/>
          <w:szCs w:val="24"/>
        </w:rPr>
        <w:t>rifampicin</w:t>
      </w:r>
      <w:proofErr w:type="spellEnd"/>
      <w:r w:rsidRPr="00194E1C">
        <w:rPr>
          <w:sz w:val="24"/>
          <w:szCs w:val="24"/>
        </w:rPr>
        <w:t xml:space="preserve"> kan øge den metaboliske </w:t>
      </w:r>
      <w:proofErr w:type="spellStart"/>
      <w:r w:rsidRPr="00194E1C">
        <w:rPr>
          <w:sz w:val="24"/>
          <w:szCs w:val="24"/>
        </w:rPr>
        <w:t>clearance</w:t>
      </w:r>
      <w:proofErr w:type="spellEnd"/>
      <w:r w:rsidRPr="00194E1C">
        <w:rPr>
          <w:sz w:val="24"/>
          <w:szCs w:val="24"/>
        </w:rPr>
        <w:t xml:space="preserve"> af </w:t>
      </w:r>
      <w:proofErr w:type="spellStart"/>
      <w:r w:rsidRPr="00194E1C">
        <w:rPr>
          <w:sz w:val="24"/>
          <w:szCs w:val="24"/>
        </w:rPr>
        <w:t>kortikosteroider</w:t>
      </w:r>
      <w:proofErr w:type="spellEnd"/>
      <w:r w:rsidRPr="00194E1C">
        <w:rPr>
          <w:sz w:val="24"/>
          <w:szCs w:val="24"/>
        </w:rPr>
        <w:t xml:space="preserve">, hvilket resulterer i nedsat plasmakoncentration og reduceret farmakologisk aktivitet. Dette kan nødvendiggøre en dosis justering. </w:t>
      </w:r>
    </w:p>
    <w:p w14:paraId="240DB1F7" w14:textId="77777777" w:rsidR="006E4003" w:rsidRPr="00194E1C" w:rsidRDefault="006E4003" w:rsidP="006E4003">
      <w:pPr>
        <w:tabs>
          <w:tab w:val="left" w:pos="851"/>
        </w:tabs>
        <w:ind w:left="851"/>
        <w:rPr>
          <w:sz w:val="24"/>
          <w:szCs w:val="24"/>
        </w:rPr>
      </w:pPr>
    </w:p>
    <w:p w14:paraId="3C71283F" w14:textId="77777777" w:rsidR="006E4003" w:rsidRPr="00194E1C" w:rsidRDefault="006E4003" w:rsidP="006E4003">
      <w:pPr>
        <w:tabs>
          <w:tab w:val="left" w:pos="851"/>
        </w:tabs>
        <w:ind w:left="851"/>
        <w:rPr>
          <w:sz w:val="24"/>
          <w:szCs w:val="24"/>
        </w:rPr>
      </w:pPr>
      <w:r w:rsidRPr="00194E1C">
        <w:rPr>
          <w:sz w:val="24"/>
          <w:szCs w:val="24"/>
        </w:rPr>
        <w:t xml:space="preserve">CYP3A4-hæmmere (inklusive </w:t>
      </w:r>
      <w:proofErr w:type="spellStart"/>
      <w:r w:rsidRPr="00194E1C">
        <w:rPr>
          <w:sz w:val="24"/>
          <w:szCs w:val="24"/>
        </w:rPr>
        <w:t>ketoconazol</w:t>
      </w:r>
      <w:proofErr w:type="spellEnd"/>
      <w:r w:rsidRPr="00194E1C">
        <w:rPr>
          <w:sz w:val="24"/>
          <w:szCs w:val="24"/>
        </w:rPr>
        <w:t xml:space="preserve">, </w:t>
      </w:r>
      <w:proofErr w:type="spellStart"/>
      <w:r w:rsidRPr="00194E1C">
        <w:rPr>
          <w:sz w:val="24"/>
          <w:szCs w:val="24"/>
        </w:rPr>
        <w:t>itraconazol</w:t>
      </w:r>
      <w:proofErr w:type="spellEnd"/>
      <w:r w:rsidRPr="00194E1C">
        <w:rPr>
          <w:sz w:val="24"/>
          <w:szCs w:val="24"/>
        </w:rPr>
        <w:t xml:space="preserve"> og </w:t>
      </w:r>
      <w:proofErr w:type="spellStart"/>
      <w:r w:rsidRPr="00194E1C">
        <w:rPr>
          <w:sz w:val="24"/>
          <w:szCs w:val="24"/>
        </w:rPr>
        <w:t>cobicistat</w:t>
      </w:r>
      <w:proofErr w:type="spellEnd"/>
      <w:r w:rsidRPr="00194E1C">
        <w:rPr>
          <w:sz w:val="24"/>
          <w:szCs w:val="24"/>
        </w:rPr>
        <w:t xml:space="preserve">) kan reducere </w:t>
      </w:r>
      <w:proofErr w:type="spellStart"/>
      <w:r w:rsidRPr="00194E1C">
        <w:rPr>
          <w:sz w:val="24"/>
          <w:szCs w:val="24"/>
        </w:rPr>
        <w:t>dexamethason-clearance</w:t>
      </w:r>
      <w:proofErr w:type="spellEnd"/>
      <w:r w:rsidRPr="00194E1C">
        <w:rPr>
          <w:sz w:val="24"/>
          <w:szCs w:val="24"/>
        </w:rPr>
        <w:t>, hvilket kan føre til en øget effekt og binyresuppression/</w:t>
      </w:r>
      <w:proofErr w:type="spellStart"/>
      <w:r w:rsidRPr="00194E1C">
        <w:rPr>
          <w:sz w:val="24"/>
          <w:szCs w:val="24"/>
        </w:rPr>
        <w:t>Cushings</w:t>
      </w:r>
      <w:proofErr w:type="spellEnd"/>
      <w:r w:rsidRPr="00194E1C">
        <w:rPr>
          <w:sz w:val="24"/>
          <w:szCs w:val="24"/>
        </w:rPr>
        <w:t xml:space="preserve"> syndrom. Kombinationen bør undgås, medmindre fordelen opvejer den øgede risiko for systemiske </w:t>
      </w:r>
      <w:proofErr w:type="spellStart"/>
      <w:r w:rsidRPr="00194E1C">
        <w:rPr>
          <w:sz w:val="24"/>
          <w:szCs w:val="24"/>
        </w:rPr>
        <w:t>kortikosteroid</w:t>
      </w:r>
      <w:proofErr w:type="spellEnd"/>
      <w:r w:rsidRPr="00194E1C">
        <w:rPr>
          <w:sz w:val="24"/>
          <w:szCs w:val="24"/>
        </w:rPr>
        <w:t xml:space="preserve">-bivirkninger. I dette tilfælde skal patienter overvåges for systemiske </w:t>
      </w:r>
      <w:proofErr w:type="spellStart"/>
      <w:r w:rsidRPr="00194E1C">
        <w:rPr>
          <w:sz w:val="24"/>
          <w:szCs w:val="24"/>
        </w:rPr>
        <w:t>kortikosteroid</w:t>
      </w:r>
      <w:proofErr w:type="spellEnd"/>
      <w:r w:rsidRPr="00194E1C">
        <w:rPr>
          <w:sz w:val="24"/>
          <w:szCs w:val="24"/>
        </w:rPr>
        <w:t xml:space="preserve"> effekter.</w:t>
      </w:r>
    </w:p>
    <w:p w14:paraId="5C21D8B8" w14:textId="77777777" w:rsidR="006E4003" w:rsidRPr="00194E1C" w:rsidRDefault="006E4003" w:rsidP="006E4003">
      <w:pPr>
        <w:tabs>
          <w:tab w:val="left" w:pos="851"/>
        </w:tabs>
        <w:ind w:left="851"/>
        <w:rPr>
          <w:sz w:val="24"/>
          <w:szCs w:val="24"/>
        </w:rPr>
      </w:pPr>
    </w:p>
    <w:p w14:paraId="1983F0E6" w14:textId="77777777" w:rsidR="006E4003" w:rsidRPr="00194E1C" w:rsidRDefault="006E4003" w:rsidP="006E4003">
      <w:pPr>
        <w:tabs>
          <w:tab w:val="left" w:pos="851"/>
        </w:tabs>
        <w:ind w:left="851"/>
        <w:rPr>
          <w:sz w:val="24"/>
          <w:szCs w:val="24"/>
        </w:rPr>
      </w:pPr>
      <w:proofErr w:type="spellStart"/>
      <w:r w:rsidRPr="00194E1C">
        <w:rPr>
          <w:sz w:val="24"/>
          <w:szCs w:val="24"/>
        </w:rPr>
        <w:t>Efedrin</w:t>
      </w:r>
      <w:proofErr w:type="spellEnd"/>
      <w:r w:rsidRPr="00194E1C">
        <w:rPr>
          <w:sz w:val="24"/>
          <w:szCs w:val="24"/>
        </w:rPr>
        <w:t xml:space="preserve"> kan øge metabolismen af </w:t>
      </w:r>
      <w:proofErr w:type="spellStart"/>
      <w:r w:rsidRPr="00194E1C">
        <w:rPr>
          <w:sz w:val="24"/>
          <w:szCs w:val="24"/>
        </w:rPr>
        <w:t>glukokortikoider</w:t>
      </w:r>
      <w:proofErr w:type="spellEnd"/>
      <w:r w:rsidRPr="00194E1C">
        <w:rPr>
          <w:sz w:val="24"/>
          <w:szCs w:val="24"/>
        </w:rPr>
        <w:t>, og dermed kan deres effektivitet være nedsat.</w:t>
      </w:r>
    </w:p>
    <w:p w14:paraId="75BD6A2A" w14:textId="77777777" w:rsidR="006E4003" w:rsidRPr="00194E1C" w:rsidRDefault="006E4003" w:rsidP="006E4003">
      <w:pPr>
        <w:tabs>
          <w:tab w:val="left" w:pos="851"/>
        </w:tabs>
        <w:ind w:left="851"/>
        <w:rPr>
          <w:sz w:val="24"/>
          <w:szCs w:val="24"/>
        </w:rPr>
      </w:pPr>
      <w:r w:rsidRPr="00194E1C">
        <w:rPr>
          <w:sz w:val="24"/>
          <w:szCs w:val="24"/>
        </w:rPr>
        <w:t xml:space="preserve"> </w:t>
      </w:r>
    </w:p>
    <w:p w14:paraId="7E9EB973" w14:textId="77777777" w:rsidR="006E4003" w:rsidRPr="00194E1C" w:rsidRDefault="006E4003" w:rsidP="006E4003">
      <w:pPr>
        <w:tabs>
          <w:tab w:val="left" w:pos="851"/>
        </w:tabs>
        <w:ind w:left="851"/>
        <w:rPr>
          <w:sz w:val="24"/>
          <w:szCs w:val="24"/>
        </w:rPr>
      </w:pPr>
      <w:r w:rsidRPr="00194E1C">
        <w:rPr>
          <w:sz w:val="24"/>
          <w:szCs w:val="24"/>
        </w:rPr>
        <w:t xml:space="preserve">Samtidig behandling med </w:t>
      </w:r>
      <w:proofErr w:type="spellStart"/>
      <w:r w:rsidRPr="00194E1C">
        <w:rPr>
          <w:sz w:val="24"/>
          <w:szCs w:val="24"/>
        </w:rPr>
        <w:t>angiotensin</w:t>
      </w:r>
      <w:proofErr w:type="spellEnd"/>
      <w:r w:rsidRPr="00194E1C">
        <w:rPr>
          <w:sz w:val="24"/>
          <w:szCs w:val="24"/>
        </w:rPr>
        <w:t>-konverterende enzym (ACE) kan øge risikoen for ændringer i antallet af blodlegemer.</w:t>
      </w:r>
    </w:p>
    <w:p w14:paraId="2A3D7C12" w14:textId="77777777" w:rsidR="006E4003" w:rsidRPr="00194E1C" w:rsidRDefault="006E4003" w:rsidP="006E4003">
      <w:pPr>
        <w:tabs>
          <w:tab w:val="left" w:pos="851"/>
        </w:tabs>
        <w:ind w:left="851"/>
        <w:rPr>
          <w:sz w:val="24"/>
          <w:szCs w:val="24"/>
        </w:rPr>
      </w:pPr>
    </w:p>
    <w:p w14:paraId="13CD8BCB" w14:textId="77777777" w:rsidR="006E4003" w:rsidRPr="00194E1C" w:rsidRDefault="006E4003" w:rsidP="006E4003">
      <w:pPr>
        <w:tabs>
          <w:tab w:val="left" w:pos="851"/>
        </w:tabs>
        <w:ind w:left="851"/>
        <w:rPr>
          <w:sz w:val="24"/>
          <w:szCs w:val="24"/>
        </w:rPr>
      </w:pPr>
      <w:proofErr w:type="spellStart"/>
      <w:r w:rsidRPr="00194E1C">
        <w:rPr>
          <w:sz w:val="24"/>
          <w:szCs w:val="24"/>
        </w:rPr>
        <w:t>Kortikosteroider</w:t>
      </w:r>
      <w:proofErr w:type="spellEnd"/>
      <w:r w:rsidRPr="00194E1C">
        <w:rPr>
          <w:sz w:val="24"/>
          <w:szCs w:val="24"/>
        </w:rPr>
        <w:t xml:space="preserve"> kan medføre elektrolyt ubalance (kaliummangel) hvilket kan øge risikoen for </w:t>
      </w:r>
      <w:proofErr w:type="spellStart"/>
      <w:r w:rsidRPr="00194E1C">
        <w:rPr>
          <w:sz w:val="24"/>
          <w:szCs w:val="24"/>
        </w:rPr>
        <w:t>Digoxin</w:t>
      </w:r>
      <w:proofErr w:type="spellEnd"/>
      <w:r w:rsidRPr="00194E1C">
        <w:rPr>
          <w:sz w:val="24"/>
          <w:szCs w:val="24"/>
        </w:rPr>
        <w:t xml:space="preserve"> (hjerteglykosider) toksicitet.</w:t>
      </w:r>
    </w:p>
    <w:p w14:paraId="4F78A8A3" w14:textId="77777777" w:rsidR="006E4003" w:rsidRPr="00194E1C" w:rsidRDefault="006E4003" w:rsidP="006E4003">
      <w:pPr>
        <w:tabs>
          <w:tab w:val="left" w:pos="851"/>
        </w:tabs>
        <w:ind w:left="851"/>
        <w:rPr>
          <w:sz w:val="24"/>
          <w:szCs w:val="24"/>
        </w:rPr>
      </w:pPr>
    </w:p>
    <w:p w14:paraId="62EA5067" w14:textId="77777777" w:rsidR="006E4003" w:rsidRPr="00194E1C" w:rsidRDefault="006E4003" w:rsidP="006E4003">
      <w:pPr>
        <w:tabs>
          <w:tab w:val="left" w:pos="851"/>
        </w:tabs>
        <w:ind w:left="851"/>
        <w:rPr>
          <w:sz w:val="24"/>
          <w:szCs w:val="24"/>
        </w:rPr>
      </w:pPr>
      <w:r w:rsidRPr="00194E1C">
        <w:rPr>
          <w:sz w:val="24"/>
          <w:szCs w:val="24"/>
        </w:rPr>
        <w:t xml:space="preserve">Når </w:t>
      </w:r>
      <w:proofErr w:type="spellStart"/>
      <w:r w:rsidRPr="00194E1C">
        <w:rPr>
          <w:sz w:val="24"/>
          <w:szCs w:val="24"/>
        </w:rPr>
        <w:t>kortikoider</w:t>
      </w:r>
      <w:proofErr w:type="spellEnd"/>
      <w:r w:rsidRPr="00194E1C">
        <w:rPr>
          <w:sz w:val="24"/>
          <w:szCs w:val="24"/>
        </w:rPr>
        <w:t xml:space="preserve"> administreres samtidig med ikke-kaliumbesparende </w:t>
      </w:r>
      <w:proofErr w:type="spellStart"/>
      <w:r w:rsidRPr="00194E1C">
        <w:rPr>
          <w:sz w:val="24"/>
          <w:szCs w:val="24"/>
        </w:rPr>
        <w:t>diuretika</w:t>
      </w:r>
      <w:proofErr w:type="spellEnd"/>
      <w:r w:rsidRPr="00194E1C">
        <w:rPr>
          <w:sz w:val="24"/>
          <w:szCs w:val="24"/>
        </w:rPr>
        <w:t xml:space="preserve"> eller afføringsmidler, skal patienterne observeres nøje for at undgå udvikling af </w:t>
      </w:r>
      <w:proofErr w:type="spellStart"/>
      <w:r w:rsidRPr="00194E1C">
        <w:rPr>
          <w:sz w:val="24"/>
          <w:szCs w:val="24"/>
        </w:rPr>
        <w:t>hypokaliæmi</w:t>
      </w:r>
      <w:proofErr w:type="spellEnd"/>
      <w:r w:rsidRPr="00194E1C">
        <w:rPr>
          <w:sz w:val="24"/>
          <w:szCs w:val="24"/>
        </w:rPr>
        <w:t>, på grund af øget kaliumudskillelse.</w:t>
      </w:r>
    </w:p>
    <w:p w14:paraId="521B5B6E" w14:textId="77777777" w:rsidR="006E4003" w:rsidRPr="00194E1C" w:rsidRDefault="006E4003" w:rsidP="006E4003">
      <w:pPr>
        <w:tabs>
          <w:tab w:val="left" w:pos="851"/>
        </w:tabs>
        <w:ind w:left="851"/>
        <w:rPr>
          <w:sz w:val="24"/>
          <w:szCs w:val="24"/>
        </w:rPr>
      </w:pPr>
    </w:p>
    <w:p w14:paraId="7E8F66E5" w14:textId="77777777" w:rsidR="006E4003" w:rsidRPr="00194E1C" w:rsidRDefault="006E4003" w:rsidP="006E4003">
      <w:pPr>
        <w:tabs>
          <w:tab w:val="left" w:pos="851"/>
        </w:tabs>
        <w:ind w:left="851"/>
        <w:rPr>
          <w:sz w:val="24"/>
          <w:szCs w:val="24"/>
        </w:rPr>
      </w:pPr>
      <w:r w:rsidRPr="00194E1C">
        <w:rPr>
          <w:sz w:val="24"/>
          <w:szCs w:val="24"/>
        </w:rPr>
        <w:t xml:space="preserve">Effekten af </w:t>
      </w:r>
      <w:proofErr w:type="spellStart"/>
      <w:r w:rsidRPr="00194E1C">
        <w:rPr>
          <w:sz w:val="24"/>
          <w:szCs w:val="24"/>
        </w:rPr>
        <w:t>coumarin</w:t>
      </w:r>
      <w:proofErr w:type="spellEnd"/>
      <w:r w:rsidRPr="00194E1C">
        <w:rPr>
          <w:sz w:val="24"/>
          <w:szCs w:val="24"/>
        </w:rPr>
        <w:t xml:space="preserve"> </w:t>
      </w:r>
      <w:proofErr w:type="spellStart"/>
      <w:r w:rsidRPr="00194E1C">
        <w:rPr>
          <w:sz w:val="24"/>
          <w:szCs w:val="24"/>
        </w:rPr>
        <w:t>antikoagulantia</w:t>
      </w:r>
      <w:proofErr w:type="spellEnd"/>
      <w:r w:rsidRPr="00194E1C">
        <w:rPr>
          <w:sz w:val="24"/>
          <w:szCs w:val="24"/>
        </w:rPr>
        <w:t xml:space="preserve"> kan påvirkes ved samtidig </w:t>
      </w:r>
      <w:proofErr w:type="spellStart"/>
      <w:r w:rsidRPr="00194E1C">
        <w:rPr>
          <w:sz w:val="24"/>
          <w:szCs w:val="24"/>
        </w:rPr>
        <w:t>kortikosteroidbehandling</w:t>
      </w:r>
      <w:proofErr w:type="spellEnd"/>
      <w:r w:rsidRPr="00194E1C">
        <w:rPr>
          <w:sz w:val="24"/>
          <w:szCs w:val="24"/>
        </w:rPr>
        <w:t xml:space="preserve">. For at undgå spontan blødning, skal </w:t>
      </w:r>
      <w:proofErr w:type="spellStart"/>
      <w:r w:rsidRPr="00194E1C">
        <w:rPr>
          <w:sz w:val="24"/>
          <w:szCs w:val="24"/>
        </w:rPr>
        <w:t>protrombintid</w:t>
      </w:r>
      <w:proofErr w:type="spellEnd"/>
      <w:r w:rsidRPr="00194E1C">
        <w:rPr>
          <w:sz w:val="24"/>
          <w:szCs w:val="24"/>
        </w:rPr>
        <w:t xml:space="preserve"> kontrolleres jævnligt hos patienter i samtidig behandling med </w:t>
      </w:r>
      <w:proofErr w:type="spellStart"/>
      <w:r w:rsidRPr="00194E1C">
        <w:rPr>
          <w:sz w:val="24"/>
          <w:szCs w:val="24"/>
        </w:rPr>
        <w:t>antikoagulantia</w:t>
      </w:r>
      <w:proofErr w:type="spellEnd"/>
      <w:r w:rsidRPr="00194E1C">
        <w:rPr>
          <w:sz w:val="24"/>
          <w:szCs w:val="24"/>
        </w:rPr>
        <w:t xml:space="preserve"> og </w:t>
      </w:r>
      <w:proofErr w:type="spellStart"/>
      <w:r w:rsidRPr="00194E1C">
        <w:rPr>
          <w:sz w:val="24"/>
          <w:szCs w:val="24"/>
        </w:rPr>
        <w:t>kortikosteroider</w:t>
      </w:r>
      <w:proofErr w:type="spellEnd"/>
      <w:r w:rsidRPr="00194E1C">
        <w:rPr>
          <w:sz w:val="24"/>
          <w:szCs w:val="24"/>
        </w:rPr>
        <w:t xml:space="preserve">. </w:t>
      </w:r>
    </w:p>
    <w:p w14:paraId="5E6B5A86" w14:textId="77777777" w:rsidR="006E4003" w:rsidRPr="00194E1C" w:rsidRDefault="006E4003" w:rsidP="006E4003">
      <w:pPr>
        <w:tabs>
          <w:tab w:val="left" w:pos="851"/>
        </w:tabs>
        <w:ind w:left="851"/>
        <w:rPr>
          <w:sz w:val="24"/>
          <w:szCs w:val="24"/>
        </w:rPr>
      </w:pPr>
      <w:r w:rsidRPr="00194E1C">
        <w:rPr>
          <w:sz w:val="24"/>
          <w:szCs w:val="24"/>
        </w:rPr>
        <w:t xml:space="preserve">Dosisjustering af </w:t>
      </w:r>
      <w:proofErr w:type="spellStart"/>
      <w:r w:rsidRPr="00194E1C">
        <w:rPr>
          <w:sz w:val="24"/>
          <w:szCs w:val="24"/>
        </w:rPr>
        <w:t>antikoagulanten</w:t>
      </w:r>
      <w:proofErr w:type="spellEnd"/>
      <w:r w:rsidRPr="00194E1C">
        <w:rPr>
          <w:sz w:val="24"/>
          <w:szCs w:val="24"/>
        </w:rPr>
        <w:t xml:space="preserve"> kan blive nødvendig ved samtidig administration.</w:t>
      </w:r>
    </w:p>
    <w:p w14:paraId="577C9FEB" w14:textId="77777777" w:rsidR="006E4003" w:rsidRPr="00194E1C" w:rsidRDefault="006E4003" w:rsidP="006E4003">
      <w:pPr>
        <w:tabs>
          <w:tab w:val="left" w:pos="851"/>
        </w:tabs>
        <w:ind w:left="851"/>
        <w:rPr>
          <w:sz w:val="24"/>
          <w:szCs w:val="24"/>
        </w:rPr>
      </w:pPr>
    </w:p>
    <w:p w14:paraId="630FE105" w14:textId="77777777" w:rsidR="006E4003" w:rsidRPr="00194E1C" w:rsidRDefault="006E4003" w:rsidP="006E4003">
      <w:pPr>
        <w:tabs>
          <w:tab w:val="left" w:pos="851"/>
        </w:tabs>
        <w:ind w:left="851"/>
        <w:rPr>
          <w:sz w:val="24"/>
          <w:szCs w:val="24"/>
        </w:rPr>
      </w:pPr>
      <w:r w:rsidRPr="00194E1C">
        <w:rPr>
          <w:sz w:val="24"/>
          <w:szCs w:val="24"/>
        </w:rPr>
        <w:t xml:space="preserve">De ønskede virkninger af hypoglykæmiske midler (inklusive insulin) modvirkes af </w:t>
      </w:r>
      <w:proofErr w:type="spellStart"/>
      <w:r w:rsidRPr="00194E1C">
        <w:rPr>
          <w:sz w:val="24"/>
          <w:szCs w:val="24"/>
        </w:rPr>
        <w:t>kortikosteroider</w:t>
      </w:r>
      <w:proofErr w:type="spellEnd"/>
      <w:r w:rsidRPr="00194E1C">
        <w:rPr>
          <w:sz w:val="24"/>
          <w:szCs w:val="24"/>
        </w:rPr>
        <w:t>.</w:t>
      </w:r>
    </w:p>
    <w:p w14:paraId="7338772C" w14:textId="77777777" w:rsidR="006E4003" w:rsidRPr="00194E1C" w:rsidRDefault="006E4003" w:rsidP="006E4003">
      <w:pPr>
        <w:tabs>
          <w:tab w:val="left" w:pos="851"/>
        </w:tabs>
        <w:ind w:left="851"/>
        <w:rPr>
          <w:sz w:val="24"/>
          <w:szCs w:val="24"/>
        </w:rPr>
      </w:pPr>
    </w:p>
    <w:p w14:paraId="5840C493" w14:textId="77777777" w:rsidR="006E4003" w:rsidRPr="00194E1C" w:rsidRDefault="006E4003" w:rsidP="006E4003">
      <w:pPr>
        <w:tabs>
          <w:tab w:val="left" w:pos="851"/>
        </w:tabs>
        <w:ind w:left="851"/>
        <w:rPr>
          <w:sz w:val="24"/>
          <w:szCs w:val="24"/>
        </w:rPr>
      </w:pPr>
      <w:r w:rsidRPr="00194E1C">
        <w:rPr>
          <w:sz w:val="24"/>
          <w:szCs w:val="24"/>
        </w:rPr>
        <w:t xml:space="preserve">I tilfælde af samtidig anvendelse af </w:t>
      </w:r>
      <w:proofErr w:type="spellStart"/>
      <w:r w:rsidRPr="00194E1C">
        <w:rPr>
          <w:sz w:val="24"/>
          <w:szCs w:val="24"/>
        </w:rPr>
        <w:t>glukokortikoider</w:t>
      </w:r>
      <w:proofErr w:type="spellEnd"/>
      <w:r w:rsidRPr="00194E1C">
        <w:rPr>
          <w:sz w:val="24"/>
          <w:szCs w:val="24"/>
        </w:rPr>
        <w:t xml:space="preserve"> med atropin eller andre </w:t>
      </w:r>
      <w:proofErr w:type="spellStart"/>
      <w:r w:rsidRPr="00194E1C">
        <w:rPr>
          <w:sz w:val="24"/>
          <w:szCs w:val="24"/>
        </w:rPr>
        <w:t>antikolinergika</w:t>
      </w:r>
      <w:proofErr w:type="spellEnd"/>
      <w:r w:rsidRPr="00194E1C">
        <w:rPr>
          <w:sz w:val="24"/>
          <w:szCs w:val="24"/>
        </w:rPr>
        <w:t xml:space="preserve"> kan </w:t>
      </w:r>
      <w:proofErr w:type="spellStart"/>
      <w:r w:rsidRPr="00194E1C">
        <w:rPr>
          <w:sz w:val="24"/>
          <w:szCs w:val="24"/>
        </w:rPr>
        <w:t>intraokulært</w:t>
      </w:r>
      <w:proofErr w:type="spellEnd"/>
      <w:r w:rsidRPr="00194E1C">
        <w:rPr>
          <w:sz w:val="24"/>
          <w:szCs w:val="24"/>
        </w:rPr>
        <w:t xml:space="preserve"> tryk stige.</w:t>
      </w:r>
    </w:p>
    <w:p w14:paraId="47C22354" w14:textId="77777777" w:rsidR="006E4003" w:rsidRPr="00194E1C" w:rsidRDefault="006E4003" w:rsidP="006E4003">
      <w:pPr>
        <w:tabs>
          <w:tab w:val="left" w:pos="851"/>
        </w:tabs>
        <w:ind w:left="851"/>
        <w:rPr>
          <w:sz w:val="24"/>
          <w:szCs w:val="24"/>
        </w:rPr>
      </w:pPr>
    </w:p>
    <w:p w14:paraId="7DD224E1" w14:textId="77777777" w:rsidR="006E4003" w:rsidRPr="00194E1C" w:rsidRDefault="006E4003" w:rsidP="006E4003">
      <w:pPr>
        <w:tabs>
          <w:tab w:val="left" w:pos="851"/>
        </w:tabs>
        <w:ind w:left="851"/>
        <w:rPr>
          <w:sz w:val="24"/>
          <w:szCs w:val="24"/>
        </w:rPr>
      </w:pPr>
      <w:r w:rsidRPr="00194E1C">
        <w:rPr>
          <w:sz w:val="24"/>
          <w:szCs w:val="24"/>
        </w:rPr>
        <w:t xml:space="preserve">Den muskelrelakserende virkning kan vare længere ved samtidig anvendelse af </w:t>
      </w:r>
      <w:proofErr w:type="spellStart"/>
      <w:r w:rsidRPr="00194E1C">
        <w:rPr>
          <w:sz w:val="24"/>
          <w:szCs w:val="24"/>
        </w:rPr>
        <w:t>glukokotikoider</w:t>
      </w:r>
      <w:proofErr w:type="spellEnd"/>
      <w:r w:rsidRPr="00194E1C">
        <w:rPr>
          <w:sz w:val="24"/>
          <w:szCs w:val="24"/>
        </w:rPr>
        <w:t xml:space="preserve"> med ikke-</w:t>
      </w:r>
      <w:proofErr w:type="spellStart"/>
      <w:r w:rsidRPr="00194E1C">
        <w:rPr>
          <w:sz w:val="24"/>
          <w:szCs w:val="24"/>
        </w:rPr>
        <w:t>depolariserende</w:t>
      </w:r>
      <w:proofErr w:type="spellEnd"/>
      <w:r w:rsidRPr="00194E1C">
        <w:rPr>
          <w:sz w:val="24"/>
          <w:szCs w:val="24"/>
        </w:rPr>
        <w:t xml:space="preserve"> </w:t>
      </w:r>
      <w:proofErr w:type="spellStart"/>
      <w:r w:rsidRPr="00194E1C">
        <w:rPr>
          <w:sz w:val="24"/>
          <w:szCs w:val="24"/>
        </w:rPr>
        <w:t>muskelrelaksantia</w:t>
      </w:r>
      <w:proofErr w:type="spellEnd"/>
      <w:r w:rsidRPr="00194E1C">
        <w:rPr>
          <w:sz w:val="24"/>
          <w:szCs w:val="24"/>
        </w:rPr>
        <w:t>.</w:t>
      </w:r>
    </w:p>
    <w:p w14:paraId="01DDC401" w14:textId="77777777" w:rsidR="006E4003" w:rsidRPr="00194E1C" w:rsidRDefault="006E4003" w:rsidP="006E4003">
      <w:pPr>
        <w:tabs>
          <w:tab w:val="left" w:pos="851"/>
        </w:tabs>
        <w:ind w:left="851"/>
        <w:rPr>
          <w:sz w:val="24"/>
          <w:szCs w:val="24"/>
        </w:rPr>
      </w:pPr>
    </w:p>
    <w:p w14:paraId="33B4FC02" w14:textId="77777777" w:rsidR="006E4003" w:rsidRPr="00194E1C" w:rsidRDefault="006E4003" w:rsidP="006E4003">
      <w:pPr>
        <w:tabs>
          <w:tab w:val="left" w:pos="851"/>
        </w:tabs>
        <w:ind w:left="851"/>
        <w:rPr>
          <w:sz w:val="24"/>
          <w:szCs w:val="24"/>
        </w:rPr>
      </w:pPr>
      <w:proofErr w:type="spellStart"/>
      <w:r w:rsidRPr="00194E1C">
        <w:rPr>
          <w:sz w:val="24"/>
          <w:szCs w:val="24"/>
        </w:rPr>
        <w:t>Kortikosteroider</w:t>
      </w:r>
      <w:proofErr w:type="spellEnd"/>
      <w:r w:rsidRPr="00194E1C">
        <w:rPr>
          <w:sz w:val="24"/>
          <w:szCs w:val="24"/>
        </w:rPr>
        <w:t xml:space="preserve"> kan medføre et fald i koncentrationen af </w:t>
      </w:r>
      <w:proofErr w:type="spellStart"/>
      <w:r w:rsidRPr="00194E1C">
        <w:rPr>
          <w:sz w:val="24"/>
          <w:szCs w:val="24"/>
        </w:rPr>
        <w:t>praziquantel</w:t>
      </w:r>
      <w:proofErr w:type="spellEnd"/>
      <w:r w:rsidRPr="00194E1C">
        <w:rPr>
          <w:sz w:val="24"/>
          <w:szCs w:val="24"/>
        </w:rPr>
        <w:t xml:space="preserve"> i blodet.</w:t>
      </w:r>
    </w:p>
    <w:p w14:paraId="4134A18F" w14:textId="77777777" w:rsidR="006E4003" w:rsidRPr="00194E1C" w:rsidRDefault="006E4003" w:rsidP="006E4003">
      <w:pPr>
        <w:tabs>
          <w:tab w:val="left" w:pos="851"/>
        </w:tabs>
        <w:ind w:left="851"/>
        <w:rPr>
          <w:sz w:val="24"/>
          <w:szCs w:val="24"/>
        </w:rPr>
      </w:pPr>
    </w:p>
    <w:p w14:paraId="1B26CAB6" w14:textId="77777777" w:rsidR="006E4003" w:rsidRPr="00194E1C" w:rsidRDefault="006E4003" w:rsidP="006E4003">
      <w:pPr>
        <w:tabs>
          <w:tab w:val="left" w:pos="851"/>
        </w:tabs>
        <w:ind w:left="851"/>
        <w:rPr>
          <w:sz w:val="24"/>
          <w:szCs w:val="24"/>
        </w:rPr>
      </w:pPr>
      <w:r w:rsidRPr="00194E1C">
        <w:rPr>
          <w:sz w:val="24"/>
          <w:szCs w:val="24"/>
        </w:rPr>
        <w:t xml:space="preserve">Der er en øget risiko for </w:t>
      </w:r>
      <w:proofErr w:type="spellStart"/>
      <w:r w:rsidRPr="00194E1C">
        <w:rPr>
          <w:sz w:val="24"/>
          <w:szCs w:val="24"/>
        </w:rPr>
        <w:t>myopatier</w:t>
      </w:r>
      <w:proofErr w:type="spellEnd"/>
      <w:r w:rsidRPr="00194E1C">
        <w:rPr>
          <w:sz w:val="24"/>
          <w:szCs w:val="24"/>
        </w:rPr>
        <w:t xml:space="preserve"> og </w:t>
      </w:r>
      <w:proofErr w:type="spellStart"/>
      <w:r w:rsidRPr="00194E1C">
        <w:rPr>
          <w:sz w:val="24"/>
          <w:szCs w:val="24"/>
        </w:rPr>
        <w:t>kardiomyopatier</w:t>
      </w:r>
      <w:proofErr w:type="spellEnd"/>
      <w:r w:rsidRPr="00194E1C">
        <w:rPr>
          <w:sz w:val="24"/>
          <w:szCs w:val="24"/>
        </w:rPr>
        <w:t xml:space="preserve"> når </w:t>
      </w:r>
      <w:proofErr w:type="spellStart"/>
      <w:r w:rsidRPr="00194E1C">
        <w:rPr>
          <w:sz w:val="24"/>
          <w:szCs w:val="24"/>
        </w:rPr>
        <w:t>dexamethason</w:t>
      </w:r>
      <w:proofErr w:type="spellEnd"/>
      <w:r w:rsidRPr="00194E1C">
        <w:rPr>
          <w:sz w:val="24"/>
          <w:szCs w:val="24"/>
        </w:rPr>
        <w:t xml:space="preserve"> anvendes samtidig med </w:t>
      </w:r>
      <w:proofErr w:type="spellStart"/>
      <w:r w:rsidRPr="00194E1C">
        <w:rPr>
          <w:sz w:val="24"/>
          <w:szCs w:val="24"/>
        </w:rPr>
        <w:t>chloroquin</w:t>
      </w:r>
      <w:proofErr w:type="spellEnd"/>
      <w:r w:rsidRPr="00194E1C">
        <w:rPr>
          <w:sz w:val="24"/>
          <w:szCs w:val="24"/>
        </w:rPr>
        <w:t xml:space="preserve">, </w:t>
      </w:r>
      <w:proofErr w:type="spellStart"/>
      <w:r w:rsidRPr="00194E1C">
        <w:rPr>
          <w:sz w:val="24"/>
          <w:szCs w:val="24"/>
        </w:rPr>
        <w:t>hydroxychloroquin</w:t>
      </w:r>
      <w:proofErr w:type="spellEnd"/>
      <w:r w:rsidRPr="00194E1C">
        <w:rPr>
          <w:sz w:val="24"/>
          <w:szCs w:val="24"/>
        </w:rPr>
        <w:t xml:space="preserve"> og </w:t>
      </w:r>
      <w:proofErr w:type="spellStart"/>
      <w:r w:rsidRPr="00194E1C">
        <w:rPr>
          <w:sz w:val="24"/>
          <w:szCs w:val="24"/>
        </w:rPr>
        <w:t>mefloquin</w:t>
      </w:r>
      <w:proofErr w:type="spellEnd"/>
      <w:r w:rsidRPr="00194E1C">
        <w:rPr>
          <w:sz w:val="24"/>
          <w:szCs w:val="24"/>
        </w:rPr>
        <w:t>.</w:t>
      </w:r>
    </w:p>
    <w:p w14:paraId="3A3B60D7" w14:textId="77777777" w:rsidR="006E4003" w:rsidRPr="00194E1C" w:rsidRDefault="006E4003" w:rsidP="006E4003">
      <w:pPr>
        <w:tabs>
          <w:tab w:val="left" w:pos="851"/>
        </w:tabs>
        <w:ind w:left="851"/>
        <w:rPr>
          <w:sz w:val="24"/>
          <w:szCs w:val="24"/>
        </w:rPr>
      </w:pPr>
      <w:r w:rsidRPr="00194E1C">
        <w:rPr>
          <w:sz w:val="24"/>
          <w:szCs w:val="24"/>
        </w:rPr>
        <w:t xml:space="preserve">  </w:t>
      </w:r>
    </w:p>
    <w:p w14:paraId="12FEDED7" w14:textId="77777777" w:rsidR="006E4003" w:rsidRPr="00194E1C" w:rsidRDefault="006E4003" w:rsidP="006E4003">
      <w:pPr>
        <w:tabs>
          <w:tab w:val="left" w:pos="851"/>
        </w:tabs>
        <w:ind w:left="851"/>
        <w:rPr>
          <w:sz w:val="24"/>
          <w:szCs w:val="24"/>
        </w:rPr>
      </w:pPr>
      <w:r w:rsidRPr="00194E1C">
        <w:rPr>
          <w:sz w:val="24"/>
          <w:szCs w:val="24"/>
        </w:rPr>
        <w:t xml:space="preserve">Reduceret stigning i </w:t>
      </w:r>
      <w:proofErr w:type="spellStart"/>
      <w:r w:rsidRPr="00194E1C">
        <w:rPr>
          <w:sz w:val="24"/>
          <w:szCs w:val="24"/>
        </w:rPr>
        <w:t>thyroid</w:t>
      </w:r>
      <w:proofErr w:type="spellEnd"/>
      <w:r w:rsidRPr="00194E1C">
        <w:rPr>
          <w:sz w:val="24"/>
          <w:szCs w:val="24"/>
        </w:rPr>
        <w:t xml:space="preserve"> stimulerende hormon (TSH) kan bemærkes ved administration af </w:t>
      </w:r>
      <w:proofErr w:type="spellStart"/>
      <w:r w:rsidRPr="00194E1C">
        <w:rPr>
          <w:sz w:val="24"/>
          <w:szCs w:val="24"/>
        </w:rPr>
        <w:t>protirelin</w:t>
      </w:r>
      <w:proofErr w:type="spellEnd"/>
      <w:r w:rsidRPr="00194E1C">
        <w:rPr>
          <w:sz w:val="24"/>
          <w:szCs w:val="24"/>
        </w:rPr>
        <w:t>.</w:t>
      </w:r>
    </w:p>
    <w:p w14:paraId="56B7A390" w14:textId="77777777" w:rsidR="006E4003" w:rsidRPr="00194E1C" w:rsidRDefault="006E4003" w:rsidP="006E4003">
      <w:pPr>
        <w:tabs>
          <w:tab w:val="left" w:pos="851"/>
        </w:tabs>
        <w:ind w:left="851"/>
        <w:rPr>
          <w:sz w:val="24"/>
          <w:szCs w:val="24"/>
        </w:rPr>
      </w:pPr>
    </w:p>
    <w:p w14:paraId="5E0AB3C3" w14:textId="77777777" w:rsidR="006E4003" w:rsidRPr="00194E1C" w:rsidRDefault="006E4003" w:rsidP="006E4003">
      <w:pPr>
        <w:tabs>
          <w:tab w:val="left" w:pos="851"/>
        </w:tabs>
        <w:ind w:left="851"/>
        <w:rPr>
          <w:sz w:val="24"/>
          <w:szCs w:val="24"/>
        </w:rPr>
      </w:pPr>
      <w:r w:rsidRPr="00194E1C">
        <w:rPr>
          <w:sz w:val="24"/>
          <w:szCs w:val="24"/>
        </w:rPr>
        <w:t xml:space="preserve">Ved samtidig administration med andre </w:t>
      </w:r>
      <w:proofErr w:type="spellStart"/>
      <w:r w:rsidRPr="00194E1C">
        <w:rPr>
          <w:sz w:val="24"/>
          <w:szCs w:val="24"/>
        </w:rPr>
        <w:t>immunosuppressiva</w:t>
      </w:r>
      <w:proofErr w:type="spellEnd"/>
      <w:r w:rsidRPr="00194E1C">
        <w:rPr>
          <w:sz w:val="24"/>
          <w:szCs w:val="24"/>
        </w:rPr>
        <w:t xml:space="preserve">, er der en øget modtagelighed over for infektioner og mulig forværring eller manifestation af latente infektioner. Derudover i kombination med </w:t>
      </w:r>
      <w:proofErr w:type="spellStart"/>
      <w:r w:rsidRPr="00194E1C">
        <w:rPr>
          <w:sz w:val="24"/>
          <w:szCs w:val="24"/>
        </w:rPr>
        <w:t>cyclosporin</w:t>
      </w:r>
      <w:proofErr w:type="spellEnd"/>
      <w:r w:rsidRPr="00194E1C">
        <w:rPr>
          <w:sz w:val="24"/>
          <w:szCs w:val="24"/>
        </w:rPr>
        <w:t xml:space="preserve">, er indholdet af </w:t>
      </w:r>
      <w:proofErr w:type="spellStart"/>
      <w:r w:rsidRPr="00194E1C">
        <w:rPr>
          <w:sz w:val="24"/>
          <w:szCs w:val="24"/>
        </w:rPr>
        <w:t>cyclosporin</w:t>
      </w:r>
      <w:proofErr w:type="spellEnd"/>
      <w:r w:rsidRPr="00194E1C">
        <w:rPr>
          <w:sz w:val="24"/>
          <w:szCs w:val="24"/>
        </w:rPr>
        <w:t xml:space="preserve"> i blod øget, og en risiko for cerebrale anfald øges også.</w:t>
      </w:r>
    </w:p>
    <w:p w14:paraId="5B9F219F" w14:textId="77777777" w:rsidR="006E4003" w:rsidRPr="00194E1C" w:rsidRDefault="006E4003" w:rsidP="006E4003">
      <w:pPr>
        <w:tabs>
          <w:tab w:val="left" w:pos="851"/>
        </w:tabs>
        <w:ind w:left="851"/>
        <w:rPr>
          <w:sz w:val="24"/>
          <w:szCs w:val="24"/>
        </w:rPr>
      </w:pPr>
      <w:r w:rsidRPr="00194E1C">
        <w:rPr>
          <w:sz w:val="24"/>
          <w:szCs w:val="24"/>
        </w:rPr>
        <w:t xml:space="preserve">Samtidig anvendelse med </w:t>
      </w:r>
      <w:proofErr w:type="spellStart"/>
      <w:r w:rsidRPr="00194E1C">
        <w:rPr>
          <w:sz w:val="24"/>
          <w:szCs w:val="24"/>
        </w:rPr>
        <w:t>fluoroquinoloner</w:t>
      </w:r>
      <w:proofErr w:type="spellEnd"/>
      <w:r w:rsidRPr="00194E1C">
        <w:rPr>
          <w:sz w:val="24"/>
          <w:szCs w:val="24"/>
        </w:rPr>
        <w:t xml:space="preserve"> kan øge risikoen for </w:t>
      </w:r>
      <w:proofErr w:type="spellStart"/>
      <w:r w:rsidRPr="00194E1C">
        <w:rPr>
          <w:sz w:val="24"/>
          <w:szCs w:val="24"/>
        </w:rPr>
        <w:t>senelidelser</w:t>
      </w:r>
      <w:proofErr w:type="spellEnd"/>
      <w:r w:rsidRPr="00194E1C">
        <w:rPr>
          <w:sz w:val="24"/>
          <w:szCs w:val="24"/>
        </w:rPr>
        <w:t>.</w:t>
      </w:r>
    </w:p>
    <w:p w14:paraId="02D9AC2E" w14:textId="77777777" w:rsidR="006E4003" w:rsidRPr="00194E1C" w:rsidRDefault="006E4003" w:rsidP="006E4003">
      <w:pPr>
        <w:tabs>
          <w:tab w:val="left" w:pos="851"/>
        </w:tabs>
        <w:ind w:left="851"/>
        <w:rPr>
          <w:sz w:val="24"/>
          <w:szCs w:val="24"/>
        </w:rPr>
      </w:pPr>
    </w:p>
    <w:p w14:paraId="73AF04E6" w14:textId="77777777" w:rsidR="006E4003" w:rsidRPr="00194E1C" w:rsidRDefault="006E4003" w:rsidP="006E4003">
      <w:pPr>
        <w:tabs>
          <w:tab w:val="left" w:pos="851"/>
        </w:tabs>
        <w:ind w:left="851"/>
        <w:rPr>
          <w:sz w:val="24"/>
          <w:szCs w:val="24"/>
        </w:rPr>
      </w:pPr>
      <w:r w:rsidRPr="00194E1C">
        <w:rPr>
          <w:sz w:val="24"/>
          <w:szCs w:val="24"/>
        </w:rPr>
        <w:t>Hudreaktioner i allergitest kan blive undertrykt.</w:t>
      </w:r>
    </w:p>
    <w:p w14:paraId="0273F5CB" w14:textId="77777777" w:rsidR="009260DE" w:rsidRPr="00194E1C" w:rsidRDefault="009260DE" w:rsidP="009260DE">
      <w:pPr>
        <w:tabs>
          <w:tab w:val="left" w:pos="851"/>
        </w:tabs>
        <w:ind w:left="851"/>
        <w:rPr>
          <w:sz w:val="24"/>
          <w:szCs w:val="24"/>
        </w:rPr>
      </w:pPr>
    </w:p>
    <w:p w14:paraId="35A92BE9" w14:textId="794C1708" w:rsidR="009260DE" w:rsidRPr="00194E1C" w:rsidRDefault="009260DE" w:rsidP="009260DE">
      <w:pPr>
        <w:tabs>
          <w:tab w:val="left" w:pos="851"/>
        </w:tabs>
        <w:ind w:left="851" w:hanging="851"/>
        <w:rPr>
          <w:b/>
          <w:sz w:val="24"/>
          <w:szCs w:val="24"/>
        </w:rPr>
      </w:pPr>
      <w:r w:rsidRPr="00194E1C">
        <w:rPr>
          <w:b/>
          <w:sz w:val="24"/>
          <w:szCs w:val="24"/>
        </w:rPr>
        <w:t>4.6</w:t>
      </w:r>
      <w:r w:rsidRPr="00194E1C">
        <w:rPr>
          <w:b/>
          <w:sz w:val="24"/>
          <w:szCs w:val="24"/>
        </w:rPr>
        <w:tab/>
      </w:r>
      <w:r w:rsidR="00580E8E">
        <w:rPr>
          <w:b/>
          <w:sz w:val="24"/>
          <w:szCs w:val="24"/>
        </w:rPr>
        <w:t>Fertilitet, gr</w:t>
      </w:r>
      <w:r w:rsidRPr="00194E1C">
        <w:rPr>
          <w:b/>
          <w:sz w:val="24"/>
          <w:szCs w:val="24"/>
        </w:rPr>
        <w:t>aviditet og amning</w:t>
      </w:r>
    </w:p>
    <w:p w14:paraId="1AAF8054" w14:textId="77777777" w:rsidR="0054418C" w:rsidRDefault="0054418C" w:rsidP="006E4003">
      <w:pPr>
        <w:tabs>
          <w:tab w:val="left" w:pos="851"/>
        </w:tabs>
        <w:ind w:left="851"/>
        <w:rPr>
          <w:i/>
          <w:iCs/>
          <w:sz w:val="24"/>
          <w:szCs w:val="24"/>
          <w:u w:val="single"/>
        </w:rPr>
      </w:pPr>
    </w:p>
    <w:p w14:paraId="6A1D7651" w14:textId="644A8A7B" w:rsidR="006E4003" w:rsidRPr="00194E1C" w:rsidRDefault="006E4003" w:rsidP="006E4003">
      <w:pPr>
        <w:tabs>
          <w:tab w:val="left" w:pos="851"/>
        </w:tabs>
        <w:ind w:left="851"/>
        <w:rPr>
          <w:i/>
          <w:iCs/>
          <w:sz w:val="24"/>
          <w:szCs w:val="24"/>
          <w:u w:val="single"/>
          <w:lang w:eastAsia="da-DK"/>
        </w:rPr>
      </w:pPr>
      <w:r w:rsidRPr="00194E1C">
        <w:rPr>
          <w:i/>
          <w:iCs/>
          <w:sz w:val="24"/>
          <w:szCs w:val="24"/>
          <w:u w:val="single"/>
        </w:rPr>
        <w:t>Graviditet</w:t>
      </w:r>
    </w:p>
    <w:p w14:paraId="0750F92A" w14:textId="77777777" w:rsidR="006E4003" w:rsidRPr="00194E1C" w:rsidRDefault="006E4003" w:rsidP="006E4003">
      <w:pPr>
        <w:tabs>
          <w:tab w:val="left" w:pos="851"/>
        </w:tabs>
        <w:ind w:left="851"/>
        <w:rPr>
          <w:sz w:val="24"/>
          <w:szCs w:val="24"/>
        </w:rPr>
      </w:pPr>
      <w:proofErr w:type="spellStart"/>
      <w:r w:rsidRPr="00194E1C">
        <w:rPr>
          <w:sz w:val="24"/>
          <w:szCs w:val="24"/>
        </w:rPr>
        <w:t>Dexamethason</w:t>
      </w:r>
      <w:proofErr w:type="spellEnd"/>
      <w:r w:rsidRPr="00194E1C">
        <w:rPr>
          <w:sz w:val="24"/>
          <w:szCs w:val="24"/>
        </w:rPr>
        <w:t xml:space="preserve"> passerer placenta. </w:t>
      </w:r>
    </w:p>
    <w:p w14:paraId="48737DC6" w14:textId="77777777" w:rsidR="006E4003" w:rsidRPr="00194E1C" w:rsidRDefault="006E4003" w:rsidP="006E4003">
      <w:pPr>
        <w:tabs>
          <w:tab w:val="left" w:pos="851"/>
        </w:tabs>
        <w:ind w:left="851"/>
        <w:rPr>
          <w:sz w:val="24"/>
          <w:szCs w:val="24"/>
        </w:rPr>
      </w:pPr>
      <w:r w:rsidRPr="00194E1C">
        <w:rPr>
          <w:sz w:val="24"/>
          <w:szCs w:val="24"/>
        </w:rPr>
        <w:t xml:space="preserve">Under graviditeten, specielt i første trimester, må </w:t>
      </w:r>
      <w:proofErr w:type="spellStart"/>
      <w:r w:rsidRPr="00194E1C">
        <w:rPr>
          <w:sz w:val="24"/>
          <w:szCs w:val="24"/>
        </w:rPr>
        <w:t>dexamethason</w:t>
      </w:r>
      <w:proofErr w:type="spellEnd"/>
      <w:r w:rsidRPr="00194E1C">
        <w:rPr>
          <w:sz w:val="24"/>
          <w:szCs w:val="24"/>
        </w:rPr>
        <w:t xml:space="preserve"> kun administreres efter omhyggelig vurdering af benefit-</w:t>
      </w:r>
      <w:proofErr w:type="spellStart"/>
      <w:r w:rsidRPr="00194E1C">
        <w:rPr>
          <w:sz w:val="24"/>
          <w:szCs w:val="24"/>
        </w:rPr>
        <w:t>risk</w:t>
      </w:r>
      <w:proofErr w:type="spellEnd"/>
      <w:r w:rsidRPr="00194E1C">
        <w:rPr>
          <w:sz w:val="24"/>
          <w:szCs w:val="24"/>
        </w:rPr>
        <w:t>.</w:t>
      </w:r>
    </w:p>
    <w:p w14:paraId="11ACF3A4" w14:textId="77777777" w:rsidR="006E4003" w:rsidRPr="00194E1C" w:rsidRDefault="006E4003" w:rsidP="006E4003">
      <w:pPr>
        <w:tabs>
          <w:tab w:val="left" w:pos="851"/>
        </w:tabs>
        <w:ind w:left="851"/>
        <w:rPr>
          <w:sz w:val="24"/>
          <w:szCs w:val="24"/>
        </w:rPr>
      </w:pPr>
      <w:proofErr w:type="spellStart"/>
      <w:r w:rsidRPr="00194E1C">
        <w:rPr>
          <w:sz w:val="24"/>
          <w:szCs w:val="24"/>
        </w:rPr>
        <w:t>Kortikosteroider</w:t>
      </w:r>
      <w:proofErr w:type="spellEnd"/>
      <w:r w:rsidRPr="00194E1C">
        <w:rPr>
          <w:sz w:val="24"/>
          <w:szCs w:val="24"/>
        </w:rPr>
        <w:t xml:space="preserve"> bør kun ordineres, når fordelene for moderen og barnet opvejer risiciene. </w:t>
      </w:r>
    </w:p>
    <w:p w14:paraId="330BA4D5" w14:textId="77777777" w:rsidR="006E4003" w:rsidRPr="00194E1C" w:rsidRDefault="006E4003" w:rsidP="006E4003">
      <w:pPr>
        <w:tabs>
          <w:tab w:val="left" w:pos="851"/>
        </w:tabs>
        <w:ind w:left="851"/>
        <w:rPr>
          <w:sz w:val="24"/>
          <w:szCs w:val="24"/>
        </w:rPr>
      </w:pPr>
    </w:p>
    <w:p w14:paraId="437DBC5F" w14:textId="77777777" w:rsidR="008A4EEB" w:rsidRPr="00194E1C" w:rsidRDefault="008A4EEB" w:rsidP="008A4EEB">
      <w:pPr>
        <w:tabs>
          <w:tab w:val="left" w:pos="851"/>
        </w:tabs>
        <w:ind w:left="851"/>
        <w:rPr>
          <w:sz w:val="24"/>
          <w:szCs w:val="24"/>
        </w:rPr>
      </w:pPr>
      <w:r w:rsidRPr="00194E1C">
        <w:rPr>
          <w:sz w:val="24"/>
          <w:szCs w:val="24"/>
        </w:rPr>
        <w:t xml:space="preserve">Ved langvarig eller gentagne behandling under graviditeten, kan </w:t>
      </w:r>
      <w:proofErr w:type="spellStart"/>
      <w:r w:rsidRPr="00194E1C">
        <w:rPr>
          <w:sz w:val="24"/>
          <w:szCs w:val="24"/>
        </w:rPr>
        <w:t>kortikosteroider</w:t>
      </w:r>
      <w:proofErr w:type="spellEnd"/>
      <w:r w:rsidRPr="00194E1C">
        <w:rPr>
          <w:sz w:val="24"/>
          <w:szCs w:val="24"/>
        </w:rPr>
        <w:t xml:space="preserve"> øge risikoen for intrauterin væksthæmning.</w:t>
      </w:r>
    </w:p>
    <w:p w14:paraId="49B060ED" w14:textId="77777777" w:rsidR="008A4EEB" w:rsidRDefault="008A4EEB" w:rsidP="008A4EEB">
      <w:pPr>
        <w:tabs>
          <w:tab w:val="left" w:pos="851"/>
        </w:tabs>
        <w:ind w:left="851"/>
        <w:rPr>
          <w:sz w:val="24"/>
          <w:szCs w:val="24"/>
        </w:rPr>
      </w:pPr>
    </w:p>
    <w:p w14:paraId="0E834AD4" w14:textId="77777777" w:rsidR="008A4EEB" w:rsidRDefault="008A4EEB" w:rsidP="008A4EEB">
      <w:pPr>
        <w:tabs>
          <w:tab w:val="left" w:pos="851"/>
        </w:tabs>
        <w:ind w:left="851"/>
        <w:rPr>
          <w:sz w:val="24"/>
          <w:szCs w:val="24"/>
        </w:rPr>
      </w:pPr>
      <w:r w:rsidRPr="00D81E85">
        <w:rPr>
          <w:sz w:val="24"/>
          <w:szCs w:val="24"/>
        </w:rPr>
        <w:t xml:space="preserve">Studier har vist en øget risiko for hypoglykæmi hos nyfødte efter kortvarig administration af </w:t>
      </w:r>
      <w:proofErr w:type="spellStart"/>
      <w:r w:rsidRPr="00D81E85">
        <w:rPr>
          <w:sz w:val="24"/>
          <w:szCs w:val="24"/>
        </w:rPr>
        <w:t>kortikosteroider</w:t>
      </w:r>
      <w:proofErr w:type="spellEnd"/>
      <w:r w:rsidRPr="00D81E85">
        <w:rPr>
          <w:sz w:val="24"/>
          <w:szCs w:val="24"/>
        </w:rPr>
        <w:t xml:space="preserve">, herunder </w:t>
      </w:r>
      <w:proofErr w:type="spellStart"/>
      <w:r w:rsidRPr="00D81E85">
        <w:rPr>
          <w:sz w:val="24"/>
          <w:szCs w:val="24"/>
        </w:rPr>
        <w:t>dexamethason</w:t>
      </w:r>
      <w:proofErr w:type="spellEnd"/>
      <w:r w:rsidRPr="00D81E85">
        <w:rPr>
          <w:sz w:val="24"/>
          <w:szCs w:val="24"/>
        </w:rPr>
        <w:t>, hos kvinder, der er i risiko for sen præmatur fødsel.</w:t>
      </w:r>
    </w:p>
    <w:p w14:paraId="27D72AA1" w14:textId="77777777" w:rsidR="006E4003" w:rsidRPr="00194E1C" w:rsidRDefault="006E4003" w:rsidP="006E4003">
      <w:pPr>
        <w:tabs>
          <w:tab w:val="left" w:pos="851"/>
        </w:tabs>
        <w:ind w:left="851"/>
        <w:rPr>
          <w:sz w:val="24"/>
          <w:szCs w:val="24"/>
        </w:rPr>
      </w:pPr>
    </w:p>
    <w:p w14:paraId="048B2F85" w14:textId="77777777" w:rsidR="006E4003" w:rsidRPr="00194E1C" w:rsidRDefault="006E4003" w:rsidP="006E4003">
      <w:pPr>
        <w:tabs>
          <w:tab w:val="left" w:pos="851"/>
        </w:tabs>
        <w:ind w:left="851"/>
        <w:rPr>
          <w:sz w:val="24"/>
          <w:szCs w:val="24"/>
        </w:rPr>
      </w:pPr>
      <w:r w:rsidRPr="00194E1C">
        <w:rPr>
          <w:sz w:val="24"/>
          <w:szCs w:val="24"/>
        </w:rPr>
        <w:t xml:space="preserve">Administration af </w:t>
      </w:r>
      <w:proofErr w:type="spellStart"/>
      <w:r w:rsidRPr="00194E1C">
        <w:rPr>
          <w:sz w:val="24"/>
          <w:szCs w:val="24"/>
        </w:rPr>
        <w:t>kortikosteroider</w:t>
      </w:r>
      <w:proofErr w:type="spellEnd"/>
      <w:r w:rsidRPr="00194E1C">
        <w:rPr>
          <w:sz w:val="24"/>
          <w:szCs w:val="24"/>
        </w:rPr>
        <w:t xml:space="preserve"> til drægtige dyr kan medføre abnormiteter i fostrets udvikling, herunder ganespalte, intrauterin væksthæmning og påvirkning af hjernens vækst og udvikling. Der er ikke bevis for, at </w:t>
      </w:r>
      <w:proofErr w:type="spellStart"/>
      <w:r w:rsidRPr="00194E1C">
        <w:rPr>
          <w:sz w:val="24"/>
          <w:szCs w:val="24"/>
        </w:rPr>
        <w:t>kortikosteroider</w:t>
      </w:r>
      <w:proofErr w:type="spellEnd"/>
      <w:r w:rsidRPr="00194E1C">
        <w:rPr>
          <w:sz w:val="24"/>
          <w:szCs w:val="24"/>
        </w:rPr>
        <w:t xml:space="preserve"> medfører en øget forekomst af medfødte abnormiteter, såsom læbe- og ganespalte, hos mennesker (se pkt. 5.3). </w:t>
      </w:r>
    </w:p>
    <w:p w14:paraId="6AAAAA4D" w14:textId="77777777" w:rsidR="006E4003" w:rsidRPr="00194E1C" w:rsidRDefault="006E4003" w:rsidP="006E4003">
      <w:pPr>
        <w:tabs>
          <w:tab w:val="left" w:pos="851"/>
        </w:tabs>
        <w:ind w:left="851"/>
        <w:rPr>
          <w:sz w:val="24"/>
          <w:szCs w:val="24"/>
        </w:rPr>
      </w:pPr>
    </w:p>
    <w:p w14:paraId="30543386" w14:textId="77777777" w:rsidR="006E4003" w:rsidRPr="00194E1C" w:rsidRDefault="006E4003" w:rsidP="006E4003">
      <w:pPr>
        <w:tabs>
          <w:tab w:val="left" w:pos="851"/>
        </w:tabs>
        <w:ind w:left="851"/>
        <w:rPr>
          <w:sz w:val="24"/>
          <w:szCs w:val="24"/>
        </w:rPr>
      </w:pPr>
      <w:r w:rsidRPr="00194E1C">
        <w:rPr>
          <w:sz w:val="24"/>
          <w:szCs w:val="24"/>
        </w:rPr>
        <w:lastRenderedPageBreak/>
        <w:t xml:space="preserve">Hvis </w:t>
      </w:r>
      <w:proofErr w:type="spellStart"/>
      <w:r w:rsidRPr="00194E1C">
        <w:rPr>
          <w:sz w:val="24"/>
          <w:szCs w:val="24"/>
        </w:rPr>
        <w:t>glukokortikoider</w:t>
      </w:r>
      <w:proofErr w:type="spellEnd"/>
      <w:r w:rsidRPr="00194E1C">
        <w:rPr>
          <w:sz w:val="24"/>
          <w:szCs w:val="24"/>
        </w:rPr>
        <w:t xml:space="preserve"> administreres mod slutningen af graviditeten, er der en risiko for atrofi af fostrets binyrebark, hvilket kan nødvendiggøre, at den nyfødte skal have substitutionsbehandling, som langsomt skal reduceres.</w:t>
      </w:r>
    </w:p>
    <w:p w14:paraId="29497692" w14:textId="77777777" w:rsidR="006E4003" w:rsidRPr="00194E1C" w:rsidRDefault="006E4003" w:rsidP="006E4003">
      <w:pPr>
        <w:tabs>
          <w:tab w:val="left" w:pos="851"/>
        </w:tabs>
        <w:ind w:left="851"/>
        <w:rPr>
          <w:sz w:val="24"/>
          <w:szCs w:val="24"/>
        </w:rPr>
      </w:pPr>
    </w:p>
    <w:p w14:paraId="02567F2F" w14:textId="458A3DA9"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indeholder propylenglykol. Selvom det ikke har vist sig, at propylenglykol forårsager reproduktionstoksicitet eller udviklingstoksicitet hos dyr eller mennesker, kan det nå fosteret.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bør anvendes med forsigtighed under graviditet. Omhyggelig vurdering af de potentielle fordele og forbundne risici ved samtidig administration med propylenglykol bør foretages individuelt.</w:t>
      </w:r>
    </w:p>
    <w:p w14:paraId="4B59CDC5" w14:textId="77777777" w:rsidR="006E4003" w:rsidRPr="00194E1C" w:rsidRDefault="006E4003" w:rsidP="006E4003">
      <w:pPr>
        <w:tabs>
          <w:tab w:val="left" w:pos="851"/>
        </w:tabs>
        <w:ind w:left="851"/>
        <w:rPr>
          <w:sz w:val="24"/>
          <w:szCs w:val="24"/>
        </w:rPr>
      </w:pPr>
      <w:r w:rsidRPr="00194E1C">
        <w:rPr>
          <w:sz w:val="24"/>
          <w:szCs w:val="24"/>
        </w:rPr>
        <w:t xml:space="preserve"> </w:t>
      </w:r>
    </w:p>
    <w:p w14:paraId="4F37D20A"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Amning</w:t>
      </w:r>
    </w:p>
    <w:p w14:paraId="2B81A173" w14:textId="77777777" w:rsidR="006E4003" w:rsidRPr="00194E1C" w:rsidRDefault="006E4003" w:rsidP="006E4003">
      <w:pPr>
        <w:tabs>
          <w:tab w:val="left" w:pos="851"/>
        </w:tabs>
        <w:ind w:left="851"/>
        <w:rPr>
          <w:sz w:val="24"/>
          <w:szCs w:val="24"/>
        </w:rPr>
      </w:pPr>
      <w:proofErr w:type="spellStart"/>
      <w:r w:rsidRPr="00194E1C">
        <w:rPr>
          <w:sz w:val="24"/>
          <w:szCs w:val="24"/>
        </w:rPr>
        <w:t>Dexamethason</w:t>
      </w:r>
      <w:proofErr w:type="spellEnd"/>
      <w:r w:rsidRPr="00194E1C">
        <w:rPr>
          <w:sz w:val="24"/>
          <w:szCs w:val="24"/>
        </w:rPr>
        <w:t xml:space="preserve"> udskilles i brystmælk. Ingen tilfælde af skader på spædbørn har været rapporteret.</w:t>
      </w:r>
    </w:p>
    <w:p w14:paraId="271B8E1F" w14:textId="77777777" w:rsidR="006E4003" w:rsidRPr="00194E1C" w:rsidRDefault="006E4003" w:rsidP="006E4003">
      <w:pPr>
        <w:tabs>
          <w:tab w:val="left" w:pos="851"/>
        </w:tabs>
        <w:ind w:left="851"/>
        <w:rPr>
          <w:sz w:val="24"/>
          <w:szCs w:val="24"/>
        </w:rPr>
      </w:pPr>
    </w:p>
    <w:p w14:paraId="672810D4" w14:textId="4D6EB664"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skal anvendes under de strengeste indikationer under amning. En nøje vurdering af de potentielle fordele og dermed forbundne risici ved behandlingen skal foretages individuelt.</w:t>
      </w:r>
    </w:p>
    <w:p w14:paraId="071A7F7E" w14:textId="77777777" w:rsidR="006E4003" w:rsidRPr="00194E1C" w:rsidRDefault="006E4003" w:rsidP="006E4003">
      <w:pPr>
        <w:tabs>
          <w:tab w:val="left" w:pos="851"/>
        </w:tabs>
        <w:ind w:left="851"/>
        <w:rPr>
          <w:sz w:val="24"/>
          <w:szCs w:val="24"/>
        </w:rPr>
      </w:pPr>
    </w:p>
    <w:p w14:paraId="1E99BC86" w14:textId="77777777" w:rsidR="006E4003" w:rsidRPr="00194E1C" w:rsidRDefault="006E4003" w:rsidP="006E4003">
      <w:pPr>
        <w:tabs>
          <w:tab w:val="left" w:pos="851"/>
        </w:tabs>
        <w:ind w:left="851"/>
        <w:rPr>
          <w:sz w:val="24"/>
          <w:szCs w:val="24"/>
        </w:rPr>
      </w:pPr>
      <w:r w:rsidRPr="00194E1C">
        <w:rPr>
          <w:sz w:val="24"/>
          <w:szCs w:val="24"/>
        </w:rPr>
        <w:t>Hvis sygdommen kræver højere doser, bør amning ophøre.</w:t>
      </w:r>
    </w:p>
    <w:p w14:paraId="0AE2198E" w14:textId="77777777" w:rsidR="006E4003" w:rsidRPr="00194E1C" w:rsidRDefault="006E4003" w:rsidP="006E4003">
      <w:pPr>
        <w:tabs>
          <w:tab w:val="left" w:pos="851"/>
        </w:tabs>
        <w:ind w:left="851"/>
        <w:rPr>
          <w:sz w:val="24"/>
          <w:szCs w:val="24"/>
        </w:rPr>
      </w:pPr>
    </w:p>
    <w:p w14:paraId="1EFB0AE5" w14:textId="4D33D202"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indeholder propylenglykol, som også blev påvist i modermælk. Selvom propylenglykol ikke har vist sig at forårsage reproduktionstoksicitet eller udviklingstoksicitet hos dyr og mennesker, bør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anvendes med forsigtighed af ammende kvinder. Omhyggelig vurdering af de potentielle fordele og forbundne risici ved behandling med steroider og propylenglykol bør foretages individuelt.</w:t>
      </w:r>
    </w:p>
    <w:p w14:paraId="2ED88C93" w14:textId="77777777" w:rsidR="009260DE" w:rsidRPr="00194E1C" w:rsidRDefault="009260DE" w:rsidP="009260DE">
      <w:pPr>
        <w:tabs>
          <w:tab w:val="left" w:pos="851"/>
        </w:tabs>
        <w:ind w:left="851"/>
        <w:rPr>
          <w:sz w:val="24"/>
          <w:szCs w:val="24"/>
        </w:rPr>
      </w:pPr>
    </w:p>
    <w:p w14:paraId="4495BCA4" w14:textId="1EB26C44" w:rsidR="009260DE" w:rsidRPr="00194E1C" w:rsidRDefault="009260DE" w:rsidP="009260DE">
      <w:pPr>
        <w:tabs>
          <w:tab w:val="left" w:pos="851"/>
        </w:tabs>
        <w:ind w:left="851" w:hanging="851"/>
        <w:rPr>
          <w:b/>
          <w:sz w:val="24"/>
          <w:szCs w:val="24"/>
        </w:rPr>
      </w:pPr>
      <w:r w:rsidRPr="00194E1C">
        <w:rPr>
          <w:b/>
          <w:sz w:val="24"/>
          <w:szCs w:val="24"/>
        </w:rPr>
        <w:t>4.7</w:t>
      </w:r>
      <w:r w:rsidRPr="00194E1C">
        <w:rPr>
          <w:b/>
          <w:sz w:val="24"/>
          <w:szCs w:val="24"/>
        </w:rPr>
        <w:tab/>
        <w:t>Virkning på evnen til at føre motorkøretøj eller betjene maskiner</w:t>
      </w:r>
    </w:p>
    <w:p w14:paraId="02B08FB0" w14:textId="77777777" w:rsidR="006E4003" w:rsidRPr="00194E1C" w:rsidRDefault="006E4003" w:rsidP="006E4003">
      <w:pPr>
        <w:tabs>
          <w:tab w:val="left" w:pos="851"/>
        </w:tabs>
        <w:ind w:left="851"/>
        <w:rPr>
          <w:sz w:val="24"/>
          <w:szCs w:val="24"/>
          <w:lang w:eastAsia="da-DK"/>
        </w:rPr>
      </w:pPr>
      <w:r w:rsidRPr="00194E1C">
        <w:rPr>
          <w:sz w:val="24"/>
          <w:szCs w:val="24"/>
        </w:rPr>
        <w:t>Ikke mærkning</w:t>
      </w:r>
    </w:p>
    <w:p w14:paraId="4A8513FA" w14:textId="6F3628A2" w:rsidR="006E4003" w:rsidRPr="00194E1C" w:rsidRDefault="006E4003" w:rsidP="006E4003">
      <w:pPr>
        <w:tabs>
          <w:tab w:val="left" w:pos="851"/>
        </w:tabs>
        <w:ind w:left="851"/>
        <w:rPr>
          <w:sz w:val="24"/>
          <w:szCs w:val="24"/>
        </w:rPr>
      </w:pP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har ingen eller ringe effekt på evnen til at føre motorkøretøj eller betjene maskiner. Det samme gælder for arbejde i farlige omgivelser.</w:t>
      </w:r>
    </w:p>
    <w:p w14:paraId="312B996E" w14:textId="77777777" w:rsidR="009260DE" w:rsidRPr="00194E1C" w:rsidRDefault="009260DE" w:rsidP="009260DE">
      <w:pPr>
        <w:tabs>
          <w:tab w:val="left" w:pos="851"/>
        </w:tabs>
        <w:ind w:left="851"/>
        <w:rPr>
          <w:sz w:val="24"/>
          <w:szCs w:val="24"/>
        </w:rPr>
      </w:pPr>
    </w:p>
    <w:p w14:paraId="70A9DC30" w14:textId="77777777" w:rsidR="009260DE" w:rsidRPr="00194E1C" w:rsidRDefault="009260DE" w:rsidP="009260DE">
      <w:pPr>
        <w:tabs>
          <w:tab w:val="left" w:pos="851"/>
        </w:tabs>
        <w:ind w:left="851" w:hanging="851"/>
        <w:rPr>
          <w:b/>
          <w:sz w:val="24"/>
          <w:szCs w:val="24"/>
        </w:rPr>
      </w:pPr>
      <w:r w:rsidRPr="00194E1C">
        <w:rPr>
          <w:b/>
          <w:sz w:val="24"/>
          <w:szCs w:val="24"/>
        </w:rPr>
        <w:t>4.8</w:t>
      </w:r>
      <w:r w:rsidRPr="00194E1C">
        <w:rPr>
          <w:b/>
          <w:sz w:val="24"/>
          <w:szCs w:val="24"/>
        </w:rPr>
        <w:tab/>
        <w:t>Bivirkninger</w:t>
      </w:r>
    </w:p>
    <w:p w14:paraId="1C7FBD63" w14:textId="77777777" w:rsidR="006E4003" w:rsidRPr="00194E1C" w:rsidRDefault="006E4003" w:rsidP="006E4003">
      <w:pPr>
        <w:tabs>
          <w:tab w:val="left" w:pos="851"/>
        </w:tabs>
        <w:ind w:left="851"/>
        <w:rPr>
          <w:sz w:val="24"/>
          <w:szCs w:val="24"/>
          <w:lang w:eastAsia="da-DK"/>
        </w:rPr>
      </w:pPr>
      <w:r w:rsidRPr="00194E1C">
        <w:rPr>
          <w:sz w:val="24"/>
          <w:szCs w:val="24"/>
        </w:rPr>
        <w:t xml:space="preserve">Risikoen for bivirkninger er lav under kortvarig behandling med </w:t>
      </w:r>
      <w:proofErr w:type="spellStart"/>
      <w:r w:rsidRPr="00194E1C">
        <w:rPr>
          <w:sz w:val="24"/>
          <w:szCs w:val="24"/>
        </w:rPr>
        <w:t>dexamethason</w:t>
      </w:r>
      <w:proofErr w:type="spellEnd"/>
      <w:r w:rsidRPr="00194E1C">
        <w:rPr>
          <w:sz w:val="24"/>
          <w:szCs w:val="24"/>
        </w:rPr>
        <w:t xml:space="preserve"> med undtagelse af parenteral højdosis-behandling, hvor ændringer i elektrolytter, forekomst af ødem, mulig blodtryksstigning, hjertestop, hjerterytmeforstyrrelser eller krampeanfald kan forekomme, og kliniske manifestationer af infektioner kan også observeres under kortvarig behandling. Opmærksomheden bør rettes mod mulige sår i mave eller tarm, som ofte er stressbetingede, fordi </w:t>
      </w:r>
      <w:proofErr w:type="spellStart"/>
      <w:r w:rsidRPr="00194E1C">
        <w:rPr>
          <w:sz w:val="24"/>
          <w:szCs w:val="24"/>
        </w:rPr>
        <w:t>kortikoidbehandling</w:t>
      </w:r>
      <w:proofErr w:type="spellEnd"/>
      <w:r w:rsidRPr="00194E1C">
        <w:rPr>
          <w:sz w:val="24"/>
          <w:szCs w:val="24"/>
        </w:rPr>
        <w:t xml:space="preserve"> kan reducere deres symptomer, og kan reducere glukosetolerance.</w:t>
      </w:r>
    </w:p>
    <w:p w14:paraId="6B914180" w14:textId="77777777" w:rsidR="006E4003" w:rsidRPr="00194E1C" w:rsidRDefault="006E4003" w:rsidP="006E4003">
      <w:pPr>
        <w:tabs>
          <w:tab w:val="left" w:pos="851"/>
        </w:tabs>
        <w:ind w:left="851"/>
        <w:rPr>
          <w:sz w:val="24"/>
          <w:szCs w:val="24"/>
        </w:rPr>
      </w:pPr>
    </w:p>
    <w:p w14:paraId="3E8AB0BB" w14:textId="2BAAC0ED" w:rsidR="006E4003" w:rsidRPr="00194E1C" w:rsidRDefault="006E4003" w:rsidP="006E4003">
      <w:pPr>
        <w:tabs>
          <w:tab w:val="left" w:pos="851"/>
        </w:tabs>
        <w:ind w:left="851"/>
        <w:rPr>
          <w:sz w:val="24"/>
          <w:szCs w:val="24"/>
        </w:rPr>
      </w:pPr>
      <w:r w:rsidRPr="00194E1C">
        <w:rPr>
          <w:sz w:val="24"/>
          <w:szCs w:val="24"/>
        </w:rPr>
        <w:t xml:space="preserve">Forekomsten af forudsigelige bivirkninger, herunder </w:t>
      </w:r>
      <w:proofErr w:type="spellStart"/>
      <w:r w:rsidRPr="00194E1C">
        <w:rPr>
          <w:sz w:val="24"/>
          <w:szCs w:val="24"/>
        </w:rPr>
        <w:t>hypothalamus</w:t>
      </w:r>
      <w:proofErr w:type="spellEnd"/>
      <w:r w:rsidRPr="00194E1C">
        <w:rPr>
          <w:sz w:val="24"/>
          <w:szCs w:val="24"/>
        </w:rPr>
        <w:t>-hypofyse-</w:t>
      </w:r>
      <w:proofErr w:type="spellStart"/>
      <w:r w:rsidRPr="00194E1C">
        <w:rPr>
          <w:sz w:val="24"/>
          <w:szCs w:val="24"/>
        </w:rPr>
        <w:t>adrenal</w:t>
      </w:r>
      <w:proofErr w:type="spellEnd"/>
      <w:r w:rsidRPr="00194E1C">
        <w:rPr>
          <w:sz w:val="24"/>
          <w:szCs w:val="24"/>
        </w:rPr>
        <w:t xml:space="preserve"> suppression, korrelerer med den relative styrke af lægemidlet, dosering, timing af administration og varighed af behandlingen (se pkt.</w:t>
      </w:r>
      <w:r w:rsidR="00B75975">
        <w:rPr>
          <w:sz w:val="24"/>
          <w:szCs w:val="24"/>
        </w:rPr>
        <w:t xml:space="preserve"> </w:t>
      </w:r>
      <w:r w:rsidRPr="00194E1C">
        <w:rPr>
          <w:sz w:val="24"/>
          <w:szCs w:val="24"/>
        </w:rPr>
        <w:t>4.4).</w:t>
      </w:r>
    </w:p>
    <w:p w14:paraId="69AAB8B1" w14:textId="77777777" w:rsidR="006E4003" w:rsidRPr="00194E1C" w:rsidRDefault="006E4003" w:rsidP="006E4003">
      <w:pPr>
        <w:tabs>
          <w:tab w:val="left" w:pos="851"/>
        </w:tabs>
        <w:ind w:left="851"/>
        <w:rPr>
          <w:sz w:val="24"/>
          <w:szCs w:val="24"/>
        </w:rPr>
      </w:pPr>
    </w:p>
    <w:p w14:paraId="557C586F" w14:textId="77777777" w:rsidR="006E4003" w:rsidRPr="00194E1C" w:rsidRDefault="006E4003" w:rsidP="006E4003">
      <w:pPr>
        <w:tabs>
          <w:tab w:val="left" w:pos="851"/>
        </w:tabs>
        <w:ind w:left="851"/>
        <w:rPr>
          <w:sz w:val="24"/>
          <w:szCs w:val="24"/>
        </w:rPr>
      </w:pPr>
      <w:r w:rsidRPr="00194E1C">
        <w:rPr>
          <w:sz w:val="24"/>
          <w:szCs w:val="24"/>
        </w:rPr>
        <w:t xml:space="preserve">Bivirkningerne anføres nedenfor i henhold til </w:t>
      </w:r>
      <w:proofErr w:type="spellStart"/>
      <w:r w:rsidRPr="00194E1C">
        <w:rPr>
          <w:sz w:val="24"/>
          <w:szCs w:val="24"/>
        </w:rPr>
        <w:t>MedDRA</w:t>
      </w:r>
      <w:proofErr w:type="spellEnd"/>
      <w:r w:rsidRPr="00194E1C">
        <w:rPr>
          <w:sz w:val="24"/>
          <w:szCs w:val="24"/>
        </w:rPr>
        <w:t xml:space="preserve"> organklasser og frekvens. Frekvenserne defineres som: Meget almindelig (</w:t>
      </w:r>
      <w:r w:rsidRPr="00194E1C">
        <w:rPr>
          <w:sz w:val="24"/>
          <w:szCs w:val="24"/>
        </w:rPr>
        <w:sym w:font="Symbol" w:char="F0B3"/>
      </w:r>
      <w:r w:rsidRPr="00194E1C">
        <w:rPr>
          <w:sz w:val="24"/>
          <w:szCs w:val="24"/>
        </w:rPr>
        <w:t>1/10), almindelig (</w:t>
      </w:r>
      <w:r w:rsidRPr="00194E1C">
        <w:rPr>
          <w:sz w:val="24"/>
          <w:szCs w:val="24"/>
        </w:rPr>
        <w:sym w:font="Symbol" w:char="F0B3"/>
      </w:r>
      <w:r w:rsidRPr="00194E1C">
        <w:rPr>
          <w:sz w:val="24"/>
          <w:szCs w:val="24"/>
        </w:rPr>
        <w:t>1/100 til &lt;1/10), ikke almindelig (</w:t>
      </w:r>
      <w:r w:rsidRPr="00194E1C">
        <w:rPr>
          <w:sz w:val="24"/>
          <w:szCs w:val="24"/>
        </w:rPr>
        <w:sym w:font="Symbol" w:char="F0B3"/>
      </w:r>
      <w:r w:rsidRPr="00194E1C">
        <w:rPr>
          <w:sz w:val="24"/>
          <w:szCs w:val="24"/>
        </w:rPr>
        <w:t>1/1.000 til &lt;1/100), sjælden (</w:t>
      </w:r>
      <w:r w:rsidRPr="00194E1C">
        <w:rPr>
          <w:sz w:val="24"/>
          <w:szCs w:val="24"/>
        </w:rPr>
        <w:sym w:font="Symbol" w:char="F0B3"/>
      </w:r>
      <w:r w:rsidRPr="00194E1C">
        <w:rPr>
          <w:sz w:val="24"/>
          <w:szCs w:val="24"/>
        </w:rPr>
        <w:t>1/10.000 til &lt;1/1.000), meget sjælden (&lt;1/10.000), ikke kendt (kan ikke estimeres ud fra forhåndenværende data).</w:t>
      </w:r>
    </w:p>
    <w:p w14:paraId="1E597703" w14:textId="77777777" w:rsidR="006E4003" w:rsidRPr="00194E1C" w:rsidRDefault="006E4003" w:rsidP="006E4003">
      <w:pPr>
        <w:tabs>
          <w:tab w:val="left" w:pos="851"/>
        </w:tabs>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24" w:type="dxa"/>
          <w:left w:w="24" w:type="dxa"/>
          <w:bottom w:w="24" w:type="dxa"/>
          <w:right w:w="24" w:type="dxa"/>
        </w:tblCellMar>
        <w:tblLook w:val="04A0" w:firstRow="1" w:lastRow="0" w:firstColumn="1" w:lastColumn="0" w:noHBand="0" w:noVBand="1"/>
      </w:tblPr>
      <w:tblGrid>
        <w:gridCol w:w="2880"/>
        <w:gridCol w:w="1817"/>
        <w:gridCol w:w="4925"/>
      </w:tblGrid>
      <w:tr w:rsidR="006E4003" w:rsidRPr="00B75975" w14:paraId="6B390302"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9377C03" w14:textId="77777777" w:rsidR="006E4003" w:rsidRPr="00B75975" w:rsidRDefault="006E4003" w:rsidP="008A4EEB">
            <w:pPr>
              <w:keepNext/>
              <w:rPr>
                <w:color w:val="000000"/>
                <w:sz w:val="24"/>
                <w:szCs w:val="24"/>
                <w:lang w:eastAsia="sk-SK"/>
              </w:rPr>
            </w:pPr>
            <w:r w:rsidRPr="00B75975">
              <w:rPr>
                <w:b/>
                <w:color w:val="000000"/>
                <w:sz w:val="24"/>
                <w:szCs w:val="24"/>
                <w:lang w:eastAsia="sk-SK"/>
              </w:rPr>
              <w:lastRenderedPageBreak/>
              <w:t>Systemorganklasser</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09D7BB3" w14:textId="77777777" w:rsidR="006E4003" w:rsidRPr="00B75975" w:rsidRDefault="006E4003" w:rsidP="00194E1C">
            <w:pPr>
              <w:rPr>
                <w:color w:val="000000"/>
                <w:sz w:val="24"/>
                <w:szCs w:val="24"/>
                <w:lang w:eastAsia="sk-SK"/>
              </w:rPr>
            </w:pPr>
            <w:r w:rsidRPr="00B75975">
              <w:rPr>
                <w:b/>
                <w:bCs/>
                <w:color w:val="000000"/>
                <w:sz w:val="24"/>
                <w:szCs w:val="24"/>
                <w:lang w:eastAsia="sk-SK"/>
              </w:rPr>
              <w:t>Frekvens</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49F3821" w14:textId="77777777" w:rsidR="006E4003" w:rsidRPr="00B75975" w:rsidRDefault="006E4003" w:rsidP="00194E1C">
            <w:pPr>
              <w:rPr>
                <w:color w:val="000000"/>
                <w:sz w:val="24"/>
                <w:szCs w:val="24"/>
                <w:lang w:eastAsia="sk-SK"/>
              </w:rPr>
            </w:pPr>
            <w:r w:rsidRPr="00B75975">
              <w:rPr>
                <w:b/>
                <w:bCs/>
                <w:color w:val="000000"/>
                <w:sz w:val="24"/>
                <w:szCs w:val="24"/>
                <w:lang w:eastAsia="sk-SK"/>
              </w:rPr>
              <w:t>Bivirkning</w:t>
            </w:r>
          </w:p>
        </w:tc>
      </w:tr>
      <w:tr w:rsidR="006E4003" w:rsidRPr="00B75975" w14:paraId="14B45F29" w14:textId="77777777" w:rsidTr="00194E1C">
        <w:trPr>
          <w:trHeight w:val="1420"/>
        </w:trPr>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5354656" w14:textId="77777777" w:rsidR="006E4003" w:rsidRPr="00B75975" w:rsidRDefault="006E4003" w:rsidP="00194E1C">
            <w:pPr>
              <w:rPr>
                <w:color w:val="000000"/>
                <w:sz w:val="24"/>
                <w:szCs w:val="24"/>
                <w:lang w:eastAsia="sk-SK"/>
              </w:rPr>
            </w:pPr>
            <w:r w:rsidRPr="00B75975">
              <w:rPr>
                <w:iCs/>
                <w:color w:val="000000"/>
                <w:sz w:val="24"/>
                <w:szCs w:val="24"/>
                <w:lang w:eastAsia="sk-SK"/>
              </w:rPr>
              <w:t>Infektioner og parasitære sygdomme</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7D80637"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57355ED" w14:textId="77777777" w:rsidR="006E4003" w:rsidRPr="00B75975" w:rsidRDefault="006E4003" w:rsidP="00194E1C">
            <w:pPr>
              <w:ind w:hanging="9"/>
              <w:rPr>
                <w:sz w:val="24"/>
                <w:szCs w:val="24"/>
                <w:lang w:eastAsia="en-GB"/>
              </w:rPr>
            </w:pPr>
            <w:r w:rsidRPr="00B75975">
              <w:rPr>
                <w:sz w:val="24"/>
                <w:szCs w:val="24"/>
                <w:lang w:eastAsia="en-GB"/>
              </w:rPr>
              <w:t xml:space="preserve">Maskering af infektioner, manifestation og forværring af virusinfektioner, svampeinfektioner, infektioner med bakterier og parasitter samt opportunistiske infektioner, aktivering af </w:t>
            </w:r>
            <w:proofErr w:type="spellStart"/>
            <w:r w:rsidRPr="00B75975">
              <w:rPr>
                <w:sz w:val="24"/>
                <w:szCs w:val="24"/>
                <w:lang w:eastAsia="en-GB"/>
              </w:rPr>
              <w:t>strongyloidiasis</w:t>
            </w:r>
            <w:proofErr w:type="spellEnd"/>
            <w:r w:rsidRPr="00B75975">
              <w:rPr>
                <w:sz w:val="24"/>
                <w:szCs w:val="24"/>
                <w:lang w:eastAsia="en-GB"/>
              </w:rPr>
              <w:t xml:space="preserve"> (se pkt. 4.4).</w:t>
            </w:r>
          </w:p>
        </w:tc>
      </w:tr>
      <w:tr w:rsidR="006E4003" w:rsidRPr="00B75975" w14:paraId="04F8014F" w14:textId="77777777" w:rsidTr="00194E1C">
        <w:trPr>
          <w:trHeight w:val="636"/>
        </w:trPr>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6B3573F" w14:textId="77777777" w:rsidR="006E4003" w:rsidRPr="00B75975" w:rsidRDefault="006E4003" w:rsidP="00194E1C">
            <w:pPr>
              <w:rPr>
                <w:iCs/>
                <w:color w:val="000000"/>
                <w:sz w:val="24"/>
                <w:szCs w:val="24"/>
                <w:lang w:eastAsia="sk-SK"/>
              </w:rPr>
            </w:pPr>
            <w:r w:rsidRPr="00B75975">
              <w:rPr>
                <w:iCs/>
                <w:color w:val="000000"/>
                <w:sz w:val="24"/>
                <w:szCs w:val="24"/>
                <w:lang w:eastAsia="sk-SK"/>
              </w:rPr>
              <w:t>Blod og lymfesystem</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927044D"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8DCAD7A" w14:textId="77777777" w:rsidR="006E4003" w:rsidRPr="00B75975" w:rsidRDefault="006E4003" w:rsidP="00194E1C">
            <w:pPr>
              <w:rPr>
                <w:color w:val="000000"/>
                <w:sz w:val="24"/>
                <w:szCs w:val="24"/>
                <w:lang w:eastAsia="sk-SK"/>
              </w:rPr>
            </w:pPr>
            <w:r w:rsidRPr="00B75975">
              <w:rPr>
                <w:color w:val="000000"/>
                <w:sz w:val="24"/>
                <w:szCs w:val="24"/>
                <w:lang w:eastAsia="sk-SK"/>
              </w:rPr>
              <w:t xml:space="preserve">Moderat leukocytose, </w:t>
            </w:r>
            <w:proofErr w:type="spellStart"/>
            <w:r w:rsidRPr="00B75975">
              <w:rPr>
                <w:color w:val="000000"/>
                <w:sz w:val="24"/>
                <w:szCs w:val="24"/>
                <w:lang w:eastAsia="sk-SK"/>
              </w:rPr>
              <w:t>lymfocytopeni</w:t>
            </w:r>
            <w:proofErr w:type="spellEnd"/>
            <w:r w:rsidRPr="00B75975">
              <w:rPr>
                <w:color w:val="000000"/>
                <w:sz w:val="24"/>
                <w:szCs w:val="24"/>
                <w:lang w:eastAsia="sk-SK"/>
              </w:rPr>
              <w:t xml:space="preserve">, </w:t>
            </w:r>
            <w:proofErr w:type="spellStart"/>
            <w:r w:rsidRPr="00B75975">
              <w:rPr>
                <w:color w:val="000000"/>
                <w:sz w:val="24"/>
                <w:szCs w:val="24"/>
                <w:lang w:eastAsia="sk-SK"/>
              </w:rPr>
              <w:t>eosinofeni</w:t>
            </w:r>
            <w:proofErr w:type="spellEnd"/>
            <w:r w:rsidRPr="00B75975">
              <w:rPr>
                <w:color w:val="000000"/>
                <w:sz w:val="24"/>
                <w:szCs w:val="24"/>
                <w:lang w:eastAsia="sk-SK"/>
              </w:rPr>
              <w:t xml:space="preserve">, </w:t>
            </w:r>
            <w:proofErr w:type="spellStart"/>
            <w:r w:rsidRPr="00B75975">
              <w:rPr>
                <w:color w:val="000000"/>
                <w:sz w:val="24"/>
                <w:szCs w:val="24"/>
                <w:lang w:eastAsia="sk-SK"/>
              </w:rPr>
              <w:t>polycytæmi</w:t>
            </w:r>
            <w:proofErr w:type="spellEnd"/>
            <w:r w:rsidRPr="00B75975">
              <w:rPr>
                <w:color w:val="000000"/>
                <w:sz w:val="24"/>
                <w:szCs w:val="24"/>
                <w:lang w:eastAsia="sk-SK"/>
              </w:rPr>
              <w:t>.</w:t>
            </w:r>
          </w:p>
        </w:tc>
      </w:tr>
      <w:tr w:rsidR="006E4003" w:rsidRPr="00B75975" w14:paraId="65FAD66D" w14:textId="77777777" w:rsidTr="00194E1C">
        <w:trPr>
          <w:trHeight w:val="1768"/>
        </w:trPr>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956DAF6" w14:textId="77777777" w:rsidR="006E4003" w:rsidRPr="00B75975" w:rsidRDefault="006E4003" w:rsidP="00194E1C">
            <w:pPr>
              <w:rPr>
                <w:iCs/>
                <w:color w:val="000000"/>
                <w:sz w:val="24"/>
                <w:szCs w:val="24"/>
                <w:lang w:eastAsia="sk-SK"/>
              </w:rPr>
            </w:pPr>
            <w:r w:rsidRPr="00B75975">
              <w:rPr>
                <w:iCs/>
                <w:color w:val="000000"/>
                <w:sz w:val="24"/>
                <w:szCs w:val="24"/>
                <w:lang w:eastAsia="sk-SK"/>
              </w:rPr>
              <w:t>Immunsystemet</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41AF019"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879DC08" w14:textId="77777777" w:rsidR="006E4003" w:rsidRPr="00B75975" w:rsidRDefault="006E4003" w:rsidP="00194E1C">
            <w:pPr>
              <w:rPr>
                <w:color w:val="000000"/>
                <w:sz w:val="24"/>
                <w:szCs w:val="24"/>
                <w:lang w:eastAsia="sk-SK"/>
              </w:rPr>
            </w:pPr>
            <w:r w:rsidRPr="00B75975">
              <w:rPr>
                <w:color w:val="000000"/>
                <w:sz w:val="24"/>
                <w:szCs w:val="24"/>
                <w:lang w:eastAsia="sk-SK"/>
              </w:rPr>
              <w:t xml:space="preserve">Overfølsomhedsreaktion (f.eks. medicinsk induceret </w:t>
            </w:r>
            <w:proofErr w:type="spellStart"/>
            <w:r w:rsidRPr="00B75975">
              <w:rPr>
                <w:color w:val="000000"/>
                <w:sz w:val="24"/>
                <w:szCs w:val="24"/>
                <w:lang w:eastAsia="sk-SK"/>
              </w:rPr>
              <w:t>exanthema</w:t>
            </w:r>
            <w:proofErr w:type="spellEnd"/>
            <w:r w:rsidRPr="00B75975">
              <w:rPr>
                <w:color w:val="000000"/>
                <w:sz w:val="24"/>
                <w:szCs w:val="24"/>
                <w:lang w:eastAsia="sk-SK"/>
              </w:rPr>
              <w:t xml:space="preserve">), alvorlige </w:t>
            </w:r>
            <w:proofErr w:type="spellStart"/>
            <w:r w:rsidRPr="00B75975">
              <w:rPr>
                <w:color w:val="000000"/>
                <w:sz w:val="24"/>
                <w:szCs w:val="24"/>
                <w:lang w:eastAsia="sk-SK"/>
              </w:rPr>
              <w:t>anafylaktiske</w:t>
            </w:r>
            <w:proofErr w:type="spellEnd"/>
            <w:r w:rsidRPr="00B75975">
              <w:rPr>
                <w:color w:val="000000"/>
                <w:sz w:val="24"/>
                <w:szCs w:val="24"/>
                <w:lang w:eastAsia="sk-SK"/>
              </w:rPr>
              <w:t xml:space="preserve"> reaktioner, såsom </w:t>
            </w:r>
            <w:proofErr w:type="spellStart"/>
            <w:r w:rsidRPr="00B75975">
              <w:rPr>
                <w:color w:val="000000"/>
                <w:sz w:val="24"/>
                <w:szCs w:val="24"/>
                <w:lang w:eastAsia="sk-SK"/>
              </w:rPr>
              <w:t>arytmier</w:t>
            </w:r>
            <w:proofErr w:type="spellEnd"/>
            <w:r w:rsidRPr="00B75975">
              <w:rPr>
                <w:color w:val="000000"/>
                <w:sz w:val="24"/>
                <w:szCs w:val="24"/>
                <w:lang w:eastAsia="sk-SK"/>
              </w:rPr>
              <w:t xml:space="preserve">, </w:t>
            </w:r>
            <w:proofErr w:type="spellStart"/>
            <w:r w:rsidRPr="00B75975">
              <w:rPr>
                <w:color w:val="000000"/>
                <w:sz w:val="24"/>
                <w:szCs w:val="24"/>
                <w:lang w:eastAsia="sk-SK"/>
              </w:rPr>
              <w:t>bronchospasme</w:t>
            </w:r>
            <w:proofErr w:type="spellEnd"/>
            <w:r w:rsidRPr="00B75975">
              <w:rPr>
                <w:color w:val="000000"/>
                <w:sz w:val="24"/>
                <w:szCs w:val="24"/>
                <w:lang w:eastAsia="sk-SK"/>
              </w:rPr>
              <w:t xml:space="preserve">, </w:t>
            </w:r>
            <w:proofErr w:type="spellStart"/>
            <w:r w:rsidRPr="00B75975">
              <w:rPr>
                <w:color w:val="000000"/>
                <w:sz w:val="24"/>
                <w:szCs w:val="24"/>
                <w:lang w:eastAsia="sk-SK"/>
              </w:rPr>
              <w:t>hypo</w:t>
            </w:r>
            <w:proofErr w:type="spellEnd"/>
            <w:r w:rsidRPr="00B75975">
              <w:rPr>
                <w:color w:val="000000"/>
                <w:sz w:val="24"/>
                <w:szCs w:val="24"/>
                <w:lang w:eastAsia="sk-SK"/>
              </w:rPr>
              <w:t>- eller hypertension, kredsløbskollaps, hjertestop, svækkelse af immunsystemet.</w:t>
            </w:r>
          </w:p>
        </w:tc>
      </w:tr>
      <w:tr w:rsidR="006E4003" w:rsidRPr="00B75975" w14:paraId="5FECECA1"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301044A" w14:textId="77777777" w:rsidR="006E4003" w:rsidRPr="00B75975" w:rsidRDefault="006E4003" w:rsidP="00194E1C">
            <w:pPr>
              <w:rPr>
                <w:color w:val="000000"/>
                <w:sz w:val="24"/>
                <w:szCs w:val="24"/>
                <w:lang w:eastAsia="sk-SK"/>
              </w:rPr>
            </w:pPr>
            <w:r w:rsidRPr="00B75975">
              <w:rPr>
                <w:color w:val="000000"/>
                <w:sz w:val="24"/>
                <w:szCs w:val="24"/>
                <w:lang w:eastAsia="sk-SK"/>
              </w:rPr>
              <w:t>Det endokrine system</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90E6BEA"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94ED276" w14:textId="77777777" w:rsidR="006E4003" w:rsidRPr="00B75975" w:rsidRDefault="006E4003" w:rsidP="00194E1C">
            <w:pPr>
              <w:rPr>
                <w:color w:val="000000"/>
                <w:sz w:val="24"/>
                <w:szCs w:val="24"/>
                <w:lang w:eastAsia="sk-SK"/>
              </w:rPr>
            </w:pPr>
            <w:proofErr w:type="spellStart"/>
            <w:r w:rsidRPr="00B75975">
              <w:rPr>
                <w:sz w:val="24"/>
                <w:szCs w:val="24"/>
                <w:lang w:eastAsia="en-GB"/>
              </w:rPr>
              <w:t>Cushings</w:t>
            </w:r>
            <w:proofErr w:type="spellEnd"/>
            <w:r w:rsidRPr="00B75975">
              <w:rPr>
                <w:sz w:val="24"/>
                <w:szCs w:val="24"/>
                <w:lang w:eastAsia="en-GB"/>
              </w:rPr>
              <w:t xml:space="preserve"> syndrom (typiske symptomer: måneansigt, central fedme og </w:t>
            </w:r>
            <w:proofErr w:type="spellStart"/>
            <w:r w:rsidRPr="00B75975">
              <w:rPr>
                <w:sz w:val="24"/>
                <w:szCs w:val="24"/>
                <w:lang w:eastAsia="en-GB"/>
              </w:rPr>
              <w:t>plethora</w:t>
            </w:r>
            <w:proofErr w:type="spellEnd"/>
            <w:r w:rsidRPr="00B75975">
              <w:rPr>
                <w:sz w:val="24"/>
                <w:szCs w:val="24"/>
                <w:lang w:eastAsia="en-GB"/>
              </w:rPr>
              <w:t xml:space="preserve">), </w:t>
            </w:r>
            <w:proofErr w:type="spellStart"/>
            <w:r w:rsidRPr="00B75975">
              <w:rPr>
                <w:sz w:val="24"/>
                <w:szCs w:val="24"/>
                <w:lang w:eastAsia="en-GB"/>
              </w:rPr>
              <w:t>adrenal</w:t>
            </w:r>
            <w:proofErr w:type="spellEnd"/>
            <w:r w:rsidRPr="00B75975">
              <w:rPr>
                <w:sz w:val="24"/>
                <w:szCs w:val="24"/>
                <w:lang w:eastAsia="en-GB"/>
              </w:rPr>
              <w:t xml:space="preserve"> suppression (se pkt. 4.4).</w:t>
            </w:r>
          </w:p>
        </w:tc>
      </w:tr>
      <w:tr w:rsidR="006E4003" w:rsidRPr="00B75975" w14:paraId="5B428D57"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F3ECEC2" w14:textId="77777777" w:rsidR="006E4003" w:rsidRPr="00B75975" w:rsidRDefault="006E4003" w:rsidP="00194E1C">
            <w:pPr>
              <w:rPr>
                <w:color w:val="000000"/>
                <w:sz w:val="24"/>
                <w:szCs w:val="24"/>
                <w:lang w:eastAsia="sk-SK"/>
              </w:rPr>
            </w:pPr>
            <w:r w:rsidRPr="00B75975">
              <w:rPr>
                <w:color w:val="000000"/>
                <w:sz w:val="24"/>
                <w:szCs w:val="24"/>
                <w:lang w:eastAsia="sk-SK"/>
              </w:rPr>
              <w:t>Metabolisme og ernæring</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78E9C07"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504912F" w14:textId="77777777" w:rsidR="006E4003" w:rsidRPr="00B75975" w:rsidRDefault="006E4003" w:rsidP="00194E1C">
            <w:pPr>
              <w:rPr>
                <w:color w:val="000000"/>
                <w:sz w:val="24"/>
                <w:szCs w:val="24"/>
                <w:lang w:eastAsia="sk-SK"/>
              </w:rPr>
            </w:pPr>
            <w:r w:rsidRPr="00B75975">
              <w:rPr>
                <w:sz w:val="24"/>
                <w:szCs w:val="24"/>
                <w:lang w:eastAsia="en-GB"/>
              </w:rPr>
              <w:t xml:space="preserve">Natriumretention med ødem, øget udskillelse af kalium (risiko for </w:t>
            </w:r>
            <w:proofErr w:type="spellStart"/>
            <w:r w:rsidRPr="00B75975">
              <w:rPr>
                <w:sz w:val="24"/>
                <w:szCs w:val="24"/>
                <w:lang w:eastAsia="en-GB"/>
              </w:rPr>
              <w:t>arytmier</w:t>
            </w:r>
            <w:proofErr w:type="spellEnd"/>
            <w:r w:rsidRPr="00B75975">
              <w:rPr>
                <w:sz w:val="24"/>
                <w:szCs w:val="24"/>
                <w:lang w:eastAsia="en-GB"/>
              </w:rPr>
              <w:t xml:space="preserve">), vægtstigning, nedsat </w:t>
            </w:r>
            <w:proofErr w:type="spellStart"/>
            <w:r w:rsidRPr="00B75975">
              <w:rPr>
                <w:sz w:val="24"/>
                <w:szCs w:val="24"/>
                <w:lang w:eastAsia="en-GB"/>
              </w:rPr>
              <w:t>glucosetolerance</w:t>
            </w:r>
            <w:proofErr w:type="spellEnd"/>
            <w:r w:rsidRPr="00B75975">
              <w:rPr>
                <w:sz w:val="24"/>
                <w:szCs w:val="24"/>
                <w:lang w:eastAsia="en-GB"/>
              </w:rPr>
              <w:t xml:space="preserve">, diabetes mellitus, </w:t>
            </w:r>
            <w:proofErr w:type="spellStart"/>
            <w:r w:rsidRPr="00B75975">
              <w:rPr>
                <w:sz w:val="24"/>
                <w:szCs w:val="24"/>
                <w:lang w:eastAsia="en-GB"/>
              </w:rPr>
              <w:t>hyperkolesterolæmi</w:t>
            </w:r>
            <w:proofErr w:type="spellEnd"/>
            <w:r w:rsidRPr="00B75975">
              <w:rPr>
                <w:sz w:val="24"/>
                <w:szCs w:val="24"/>
                <w:lang w:eastAsia="en-GB"/>
              </w:rPr>
              <w:t xml:space="preserve"> og </w:t>
            </w:r>
            <w:proofErr w:type="spellStart"/>
            <w:r w:rsidRPr="00B75975">
              <w:rPr>
                <w:sz w:val="24"/>
                <w:szCs w:val="24"/>
                <w:lang w:eastAsia="en-GB"/>
              </w:rPr>
              <w:t>hypertriglyceridæmi</w:t>
            </w:r>
            <w:proofErr w:type="spellEnd"/>
            <w:r w:rsidRPr="00B75975">
              <w:rPr>
                <w:sz w:val="24"/>
                <w:szCs w:val="24"/>
                <w:lang w:eastAsia="en-GB"/>
              </w:rPr>
              <w:t xml:space="preserve">, øget appetit. </w:t>
            </w:r>
          </w:p>
        </w:tc>
      </w:tr>
      <w:tr w:rsidR="006E4003" w:rsidRPr="00B75975" w14:paraId="784F433A" w14:textId="77777777" w:rsidTr="00194E1C">
        <w:trPr>
          <w:trHeight w:val="1205"/>
        </w:trPr>
        <w:tc>
          <w:tcPr>
            <w:tcW w:w="1497" w:type="pct"/>
            <w:tcBorders>
              <w:top w:val="outset" w:sz="6" w:space="0" w:color="7B7B7B"/>
              <w:left w:val="outset" w:sz="6" w:space="0" w:color="7B7B7B"/>
              <w:bottom w:val="nil"/>
              <w:right w:val="outset" w:sz="6" w:space="0" w:color="7B7B7B"/>
            </w:tcBorders>
            <w:tcMar>
              <w:top w:w="30" w:type="dxa"/>
              <w:left w:w="30" w:type="dxa"/>
              <w:bottom w:w="30" w:type="dxa"/>
              <w:right w:w="30" w:type="dxa"/>
            </w:tcMar>
            <w:hideMark/>
          </w:tcPr>
          <w:p w14:paraId="23353792" w14:textId="77777777" w:rsidR="006E4003" w:rsidRPr="00B75975" w:rsidRDefault="006E4003" w:rsidP="00194E1C">
            <w:pPr>
              <w:rPr>
                <w:color w:val="000000"/>
                <w:sz w:val="24"/>
                <w:szCs w:val="24"/>
                <w:lang w:eastAsia="sk-SK"/>
              </w:rPr>
            </w:pPr>
            <w:r w:rsidRPr="00B75975">
              <w:rPr>
                <w:color w:val="000000"/>
                <w:sz w:val="24"/>
                <w:szCs w:val="24"/>
                <w:lang w:eastAsia="sk-SK"/>
              </w:rPr>
              <w:t>Psykiske forstyrrelser</w:t>
            </w:r>
          </w:p>
        </w:tc>
        <w:tc>
          <w:tcPr>
            <w:tcW w:w="944" w:type="pct"/>
            <w:tcBorders>
              <w:top w:val="outset" w:sz="6" w:space="0" w:color="7B7B7B"/>
              <w:left w:val="outset" w:sz="6" w:space="0" w:color="7B7B7B"/>
              <w:bottom w:val="nil"/>
              <w:right w:val="outset" w:sz="6" w:space="0" w:color="7B7B7B"/>
            </w:tcBorders>
            <w:tcMar>
              <w:top w:w="30" w:type="dxa"/>
              <w:left w:w="30" w:type="dxa"/>
              <w:bottom w:w="30" w:type="dxa"/>
              <w:right w:w="30" w:type="dxa"/>
            </w:tcMar>
            <w:hideMark/>
          </w:tcPr>
          <w:p w14:paraId="4BA1A445"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nil"/>
              <w:right w:val="outset" w:sz="6" w:space="0" w:color="7B7B7B"/>
            </w:tcBorders>
            <w:tcMar>
              <w:top w:w="30" w:type="dxa"/>
              <w:left w:w="30" w:type="dxa"/>
              <w:bottom w:w="30" w:type="dxa"/>
              <w:right w:w="30" w:type="dxa"/>
            </w:tcMar>
            <w:hideMark/>
          </w:tcPr>
          <w:p w14:paraId="1327C8CE" w14:textId="77777777" w:rsidR="006E4003" w:rsidRPr="00B75975" w:rsidRDefault="006E4003" w:rsidP="00194E1C">
            <w:pPr>
              <w:rPr>
                <w:color w:val="000000"/>
                <w:sz w:val="24"/>
                <w:szCs w:val="24"/>
                <w:lang w:eastAsia="sk-SK"/>
              </w:rPr>
            </w:pPr>
            <w:r w:rsidRPr="00B75975">
              <w:rPr>
                <w:sz w:val="24"/>
                <w:szCs w:val="24"/>
                <w:lang w:eastAsia="en-GB"/>
              </w:rPr>
              <w:t xml:space="preserve">Depression, irritabilitet, eufori, øget energiniveau, psykoser, mani, hallucinationer, emotionel labilitet, angst, søvnforstyrrelser, </w:t>
            </w:r>
            <w:proofErr w:type="spellStart"/>
            <w:r w:rsidRPr="00B75975">
              <w:rPr>
                <w:sz w:val="24"/>
                <w:szCs w:val="24"/>
                <w:lang w:eastAsia="en-GB"/>
              </w:rPr>
              <w:t>suicidalitet</w:t>
            </w:r>
            <w:proofErr w:type="spellEnd"/>
            <w:r w:rsidRPr="00B75975">
              <w:rPr>
                <w:sz w:val="24"/>
                <w:szCs w:val="24"/>
                <w:lang w:eastAsia="en-GB"/>
              </w:rPr>
              <w:t>.</w:t>
            </w:r>
          </w:p>
        </w:tc>
      </w:tr>
      <w:tr w:rsidR="006E4003" w:rsidRPr="00B75975" w14:paraId="2E83A0D0"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3D2F159" w14:textId="77777777" w:rsidR="006E4003" w:rsidRPr="00B75975" w:rsidRDefault="006E4003" w:rsidP="00194E1C">
            <w:pPr>
              <w:rPr>
                <w:color w:val="000000"/>
                <w:sz w:val="24"/>
                <w:szCs w:val="24"/>
                <w:lang w:eastAsia="sk-SK"/>
              </w:rPr>
            </w:pPr>
            <w:r w:rsidRPr="00B75975">
              <w:rPr>
                <w:color w:val="000000"/>
                <w:sz w:val="24"/>
                <w:szCs w:val="24"/>
                <w:lang w:eastAsia="sk-SK"/>
              </w:rPr>
              <w:t>Nervesystemet</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E819EC1"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DB40729" w14:textId="77777777" w:rsidR="006E4003" w:rsidRPr="00B75975" w:rsidRDefault="006E4003" w:rsidP="00194E1C">
            <w:pPr>
              <w:rPr>
                <w:color w:val="000000"/>
                <w:sz w:val="24"/>
                <w:szCs w:val="24"/>
                <w:lang w:eastAsia="sk-SK"/>
              </w:rPr>
            </w:pPr>
            <w:r w:rsidRPr="00B75975">
              <w:rPr>
                <w:sz w:val="24"/>
                <w:szCs w:val="24"/>
                <w:lang w:eastAsia="en-GB"/>
              </w:rPr>
              <w:t xml:space="preserve">Pseudotumor </w:t>
            </w:r>
            <w:proofErr w:type="spellStart"/>
            <w:r w:rsidRPr="00B75975">
              <w:rPr>
                <w:sz w:val="24"/>
                <w:szCs w:val="24"/>
                <w:lang w:eastAsia="en-GB"/>
              </w:rPr>
              <w:t>cerebri</w:t>
            </w:r>
            <w:proofErr w:type="spellEnd"/>
            <w:r w:rsidRPr="00B75975">
              <w:rPr>
                <w:sz w:val="24"/>
                <w:szCs w:val="24"/>
                <w:lang w:eastAsia="en-GB"/>
              </w:rPr>
              <w:t>, manifestation af latent epilepsi, stigning i følsomhed over for anfald i manifest epilepsi.</w:t>
            </w:r>
          </w:p>
        </w:tc>
      </w:tr>
      <w:tr w:rsidR="006E4003" w:rsidRPr="00B75975" w14:paraId="3871D309"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ABD1B37" w14:textId="77777777" w:rsidR="006E4003" w:rsidRPr="00B75975" w:rsidRDefault="006E4003" w:rsidP="00194E1C">
            <w:pPr>
              <w:rPr>
                <w:color w:val="000000"/>
                <w:sz w:val="24"/>
                <w:szCs w:val="24"/>
                <w:lang w:eastAsia="sk-SK"/>
              </w:rPr>
            </w:pPr>
            <w:r w:rsidRPr="00B75975">
              <w:rPr>
                <w:color w:val="000000"/>
                <w:sz w:val="24"/>
                <w:szCs w:val="24"/>
                <w:lang w:eastAsia="sk-SK"/>
              </w:rPr>
              <w:t>Øjne</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3C9C3AE"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E64B49D" w14:textId="77777777" w:rsidR="006E4003" w:rsidRPr="00B75975" w:rsidRDefault="006E4003" w:rsidP="00194E1C">
            <w:pPr>
              <w:spacing w:after="120"/>
              <w:rPr>
                <w:color w:val="000000"/>
                <w:sz w:val="24"/>
                <w:szCs w:val="24"/>
                <w:lang w:eastAsia="sk-SK"/>
              </w:rPr>
            </w:pPr>
            <w:r w:rsidRPr="00B75975">
              <w:rPr>
                <w:sz w:val="24"/>
                <w:szCs w:val="24"/>
                <w:lang w:eastAsia="en-GB"/>
              </w:rPr>
              <w:t xml:space="preserve">Katarakt, især med </w:t>
            </w:r>
            <w:proofErr w:type="spellStart"/>
            <w:r w:rsidRPr="00B75975">
              <w:rPr>
                <w:sz w:val="24"/>
                <w:szCs w:val="24"/>
                <w:lang w:eastAsia="en-GB"/>
              </w:rPr>
              <w:t>posterior</w:t>
            </w:r>
            <w:proofErr w:type="spellEnd"/>
            <w:r w:rsidRPr="00B75975">
              <w:rPr>
                <w:sz w:val="24"/>
                <w:szCs w:val="24"/>
                <w:lang w:eastAsia="en-GB"/>
              </w:rPr>
              <w:t xml:space="preserve"> </w:t>
            </w:r>
            <w:proofErr w:type="spellStart"/>
            <w:r w:rsidRPr="00B75975">
              <w:rPr>
                <w:sz w:val="24"/>
                <w:szCs w:val="24"/>
                <w:lang w:eastAsia="en-GB"/>
              </w:rPr>
              <w:t>subkapsulær</w:t>
            </w:r>
            <w:proofErr w:type="spellEnd"/>
            <w:r w:rsidRPr="00B75975">
              <w:rPr>
                <w:sz w:val="24"/>
                <w:szCs w:val="24"/>
                <w:lang w:eastAsia="en-GB"/>
              </w:rPr>
              <w:t xml:space="preserve"> opacitet, </w:t>
            </w:r>
            <w:proofErr w:type="spellStart"/>
            <w:r w:rsidRPr="00B75975">
              <w:rPr>
                <w:sz w:val="24"/>
                <w:szCs w:val="24"/>
                <w:lang w:eastAsia="en-GB"/>
              </w:rPr>
              <w:t>glaukom</w:t>
            </w:r>
            <w:proofErr w:type="spellEnd"/>
            <w:r w:rsidRPr="00B75975">
              <w:rPr>
                <w:sz w:val="24"/>
                <w:szCs w:val="24"/>
                <w:lang w:eastAsia="en-GB"/>
              </w:rPr>
              <w:t xml:space="preserve">, forværring af symptomer forbundet med hornhindesår, øget forekomst af virus-, svampe- og bakterieinfektioner i øjet, forværring af bakterieinfektioner i hornhinde, </w:t>
            </w:r>
            <w:proofErr w:type="spellStart"/>
            <w:r w:rsidRPr="00B75975">
              <w:rPr>
                <w:sz w:val="24"/>
                <w:szCs w:val="24"/>
                <w:lang w:eastAsia="en-GB"/>
              </w:rPr>
              <w:t>ptose</w:t>
            </w:r>
            <w:proofErr w:type="spellEnd"/>
            <w:r w:rsidRPr="00B75975">
              <w:rPr>
                <w:sz w:val="24"/>
                <w:szCs w:val="24"/>
                <w:lang w:eastAsia="en-GB"/>
              </w:rPr>
              <w:t xml:space="preserve">, </w:t>
            </w:r>
            <w:proofErr w:type="spellStart"/>
            <w:r w:rsidRPr="00B75975">
              <w:rPr>
                <w:sz w:val="24"/>
                <w:szCs w:val="24"/>
                <w:lang w:eastAsia="en-GB"/>
              </w:rPr>
              <w:t>mydriasis</w:t>
            </w:r>
            <w:proofErr w:type="spellEnd"/>
            <w:r w:rsidRPr="00B75975">
              <w:rPr>
                <w:sz w:val="24"/>
                <w:szCs w:val="24"/>
                <w:lang w:eastAsia="en-GB"/>
              </w:rPr>
              <w:t xml:space="preserve">, </w:t>
            </w:r>
            <w:proofErr w:type="spellStart"/>
            <w:r w:rsidRPr="00B75975">
              <w:rPr>
                <w:sz w:val="24"/>
                <w:szCs w:val="24"/>
                <w:lang w:eastAsia="en-GB"/>
              </w:rPr>
              <w:t>chemosis</w:t>
            </w:r>
            <w:proofErr w:type="spellEnd"/>
            <w:r w:rsidRPr="00B75975">
              <w:rPr>
                <w:sz w:val="24"/>
                <w:szCs w:val="24"/>
                <w:lang w:eastAsia="en-GB"/>
              </w:rPr>
              <w:t xml:space="preserve">, </w:t>
            </w:r>
            <w:proofErr w:type="spellStart"/>
            <w:r w:rsidRPr="00B75975">
              <w:rPr>
                <w:sz w:val="24"/>
                <w:szCs w:val="24"/>
                <w:lang w:eastAsia="en-GB"/>
              </w:rPr>
              <w:t>iatrogen</w:t>
            </w:r>
            <w:proofErr w:type="spellEnd"/>
            <w:r w:rsidRPr="00B75975">
              <w:rPr>
                <w:sz w:val="24"/>
                <w:szCs w:val="24"/>
                <w:lang w:eastAsia="en-GB"/>
              </w:rPr>
              <w:t xml:space="preserve"> </w:t>
            </w:r>
            <w:proofErr w:type="spellStart"/>
            <w:r w:rsidRPr="00B75975">
              <w:rPr>
                <w:sz w:val="24"/>
                <w:szCs w:val="24"/>
                <w:lang w:eastAsia="en-GB"/>
              </w:rPr>
              <w:t>scleral</w:t>
            </w:r>
            <w:proofErr w:type="spellEnd"/>
            <w:r w:rsidRPr="00B75975">
              <w:rPr>
                <w:sz w:val="24"/>
                <w:szCs w:val="24"/>
                <w:lang w:eastAsia="en-GB"/>
              </w:rPr>
              <w:t xml:space="preserve"> perforation, </w:t>
            </w:r>
            <w:proofErr w:type="spellStart"/>
            <w:r w:rsidRPr="00B75975">
              <w:rPr>
                <w:sz w:val="24"/>
                <w:szCs w:val="24"/>
                <w:lang w:eastAsia="en-GB"/>
              </w:rPr>
              <w:t>korioretinopati</w:t>
            </w:r>
            <w:proofErr w:type="spellEnd"/>
            <w:r w:rsidRPr="00B75975">
              <w:rPr>
                <w:sz w:val="24"/>
                <w:szCs w:val="24"/>
                <w:lang w:eastAsia="en-GB"/>
              </w:rPr>
              <w:t xml:space="preserve">. Sjældne tilfælde af reversibel </w:t>
            </w:r>
            <w:proofErr w:type="spellStart"/>
            <w:r w:rsidRPr="00B75975">
              <w:rPr>
                <w:sz w:val="24"/>
                <w:szCs w:val="24"/>
                <w:lang w:eastAsia="en-GB"/>
              </w:rPr>
              <w:t>exophthalmos</w:t>
            </w:r>
            <w:proofErr w:type="spellEnd"/>
            <w:r w:rsidRPr="00B75975">
              <w:rPr>
                <w:sz w:val="24"/>
                <w:szCs w:val="24"/>
                <w:lang w:eastAsia="en-GB"/>
              </w:rPr>
              <w:t>. Sløret syn (se også pkt. 4.4).</w:t>
            </w:r>
          </w:p>
        </w:tc>
      </w:tr>
      <w:tr w:rsidR="008A4EEB" w:rsidRPr="00B75975" w14:paraId="615F409B"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tcPr>
          <w:p w14:paraId="7176231A" w14:textId="4679B1B2" w:rsidR="008A4EEB" w:rsidRPr="00B75975" w:rsidRDefault="008A4EEB" w:rsidP="00194E1C">
            <w:pPr>
              <w:rPr>
                <w:color w:val="000000"/>
                <w:sz w:val="24"/>
                <w:szCs w:val="24"/>
                <w:lang w:eastAsia="sk-SK"/>
              </w:rPr>
            </w:pPr>
            <w:r>
              <w:rPr>
                <w:color w:val="000000"/>
                <w:sz w:val="24"/>
                <w:szCs w:val="24"/>
                <w:lang w:eastAsia="sk-SK"/>
              </w:rPr>
              <w:t>Hjerte</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tcPr>
          <w:p w14:paraId="5C2D8019" w14:textId="7EFA203D" w:rsidR="008A4EEB" w:rsidRPr="00B75975" w:rsidRDefault="008A4EEB" w:rsidP="00194E1C">
            <w:pPr>
              <w:rPr>
                <w:sz w:val="24"/>
                <w:szCs w:val="24"/>
                <w:lang w:eastAsia="en-GB"/>
              </w:rPr>
            </w:pPr>
            <w:r>
              <w:rPr>
                <w:sz w:val="24"/>
                <w:szCs w:val="24"/>
                <w:lang w:eastAsia="en-GB"/>
              </w:rPr>
              <w:t>Ikke kendt</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tcPr>
          <w:p w14:paraId="58982F66" w14:textId="79050425" w:rsidR="008A4EEB" w:rsidRPr="00B75975" w:rsidRDefault="008A4EEB" w:rsidP="00194E1C">
            <w:pPr>
              <w:spacing w:after="120"/>
              <w:rPr>
                <w:sz w:val="24"/>
                <w:szCs w:val="24"/>
                <w:lang w:eastAsia="en-GB"/>
              </w:rPr>
            </w:pPr>
            <w:proofErr w:type="spellStart"/>
            <w:r>
              <w:rPr>
                <w:sz w:val="24"/>
                <w:szCs w:val="24"/>
                <w:lang w:eastAsia="en-GB"/>
              </w:rPr>
              <w:t>H</w:t>
            </w:r>
            <w:r w:rsidRPr="00E6138C">
              <w:rPr>
                <w:sz w:val="24"/>
                <w:szCs w:val="24"/>
                <w:lang w:eastAsia="en-GB"/>
              </w:rPr>
              <w:t>ypertrofisk</w:t>
            </w:r>
            <w:proofErr w:type="spellEnd"/>
            <w:r w:rsidRPr="00E6138C">
              <w:rPr>
                <w:sz w:val="24"/>
                <w:szCs w:val="24"/>
                <w:lang w:eastAsia="en-GB"/>
              </w:rPr>
              <w:t xml:space="preserve"> </w:t>
            </w:r>
            <w:proofErr w:type="spellStart"/>
            <w:r w:rsidRPr="00E6138C">
              <w:rPr>
                <w:sz w:val="24"/>
                <w:szCs w:val="24"/>
                <w:lang w:eastAsia="en-GB"/>
              </w:rPr>
              <w:t>kardiomyopati</w:t>
            </w:r>
            <w:proofErr w:type="spellEnd"/>
            <w:r w:rsidRPr="00E6138C">
              <w:rPr>
                <w:sz w:val="24"/>
                <w:szCs w:val="24"/>
                <w:lang w:eastAsia="en-GB"/>
              </w:rPr>
              <w:t xml:space="preserve"> hos for tidligt fødte børn (se pkt. 4.4).</w:t>
            </w:r>
          </w:p>
        </w:tc>
      </w:tr>
      <w:tr w:rsidR="006E4003" w:rsidRPr="00B75975" w14:paraId="6C2B4150"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1B9DE9C" w14:textId="77777777" w:rsidR="006E4003" w:rsidRPr="00B75975" w:rsidRDefault="006E4003" w:rsidP="00194E1C">
            <w:pPr>
              <w:rPr>
                <w:color w:val="000000"/>
                <w:sz w:val="24"/>
                <w:szCs w:val="24"/>
                <w:lang w:eastAsia="sk-SK"/>
              </w:rPr>
            </w:pPr>
            <w:proofErr w:type="spellStart"/>
            <w:r w:rsidRPr="00B75975">
              <w:rPr>
                <w:color w:val="000000"/>
                <w:sz w:val="24"/>
                <w:szCs w:val="24"/>
                <w:lang w:eastAsia="sk-SK"/>
              </w:rPr>
              <w:t>Vaskulære</w:t>
            </w:r>
            <w:proofErr w:type="spellEnd"/>
            <w:r w:rsidRPr="00B75975">
              <w:rPr>
                <w:color w:val="000000"/>
                <w:sz w:val="24"/>
                <w:szCs w:val="24"/>
                <w:lang w:eastAsia="sk-SK"/>
              </w:rPr>
              <w:t xml:space="preserve"> sygdomme</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29DAE15"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62C4A4E" w14:textId="77777777" w:rsidR="006E4003" w:rsidRPr="00B75975" w:rsidRDefault="006E4003" w:rsidP="00194E1C">
            <w:pPr>
              <w:rPr>
                <w:color w:val="000000"/>
                <w:sz w:val="24"/>
                <w:szCs w:val="24"/>
                <w:lang w:eastAsia="sk-SK"/>
              </w:rPr>
            </w:pPr>
            <w:r w:rsidRPr="00B75975">
              <w:rPr>
                <w:sz w:val="24"/>
                <w:szCs w:val="24"/>
                <w:lang w:eastAsia="en-GB"/>
              </w:rPr>
              <w:t xml:space="preserve">Hypertension, øget risiko for aterosklerose og trombose, </w:t>
            </w:r>
            <w:proofErr w:type="spellStart"/>
            <w:r w:rsidRPr="00B75975">
              <w:rPr>
                <w:sz w:val="24"/>
                <w:szCs w:val="24"/>
                <w:lang w:eastAsia="en-GB"/>
              </w:rPr>
              <w:t>vasculitis</w:t>
            </w:r>
            <w:proofErr w:type="spellEnd"/>
            <w:r w:rsidRPr="00B75975">
              <w:rPr>
                <w:sz w:val="24"/>
                <w:szCs w:val="24"/>
                <w:lang w:eastAsia="en-GB"/>
              </w:rPr>
              <w:t xml:space="preserve"> (også som abstinenssyndrom efter langvarig behandling), øget kapillærskørhed.</w:t>
            </w:r>
          </w:p>
        </w:tc>
      </w:tr>
      <w:tr w:rsidR="006E4003" w:rsidRPr="00B75975" w14:paraId="49995727"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27595FE" w14:textId="77777777" w:rsidR="006E4003" w:rsidRPr="00B75975" w:rsidRDefault="006E4003" w:rsidP="00194E1C">
            <w:pPr>
              <w:rPr>
                <w:color w:val="000000"/>
                <w:sz w:val="24"/>
                <w:szCs w:val="24"/>
                <w:lang w:eastAsia="sk-SK"/>
              </w:rPr>
            </w:pPr>
            <w:r w:rsidRPr="00B75975">
              <w:rPr>
                <w:color w:val="000000"/>
                <w:sz w:val="24"/>
                <w:szCs w:val="24"/>
                <w:lang w:eastAsia="sk-SK"/>
              </w:rPr>
              <w:t>Mave-tarm-kanalen</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4081BE6"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6230C3D" w14:textId="77777777" w:rsidR="006E4003" w:rsidRPr="00B75975" w:rsidRDefault="006E4003" w:rsidP="00194E1C">
            <w:pPr>
              <w:rPr>
                <w:color w:val="000000"/>
                <w:sz w:val="24"/>
                <w:szCs w:val="24"/>
                <w:lang w:eastAsia="sk-SK"/>
              </w:rPr>
            </w:pPr>
            <w:proofErr w:type="spellStart"/>
            <w:r w:rsidRPr="00B75975">
              <w:rPr>
                <w:sz w:val="24"/>
                <w:szCs w:val="24"/>
                <w:lang w:eastAsia="en-GB"/>
              </w:rPr>
              <w:t>Gastrointestinale</w:t>
            </w:r>
            <w:proofErr w:type="spellEnd"/>
            <w:r w:rsidRPr="00B75975">
              <w:rPr>
                <w:sz w:val="24"/>
                <w:szCs w:val="24"/>
                <w:lang w:eastAsia="en-GB"/>
              </w:rPr>
              <w:t xml:space="preserve"> sår, </w:t>
            </w:r>
            <w:proofErr w:type="spellStart"/>
            <w:r w:rsidRPr="00B75975">
              <w:rPr>
                <w:sz w:val="24"/>
                <w:szCs w:val="24"/>
                <w:lang w:eastAsia="en-GB"/>
              </w:rPr>
              <w:t>gastrointestinal</w:t>
            </w:r>
            <w:proofErr w:type="spellEnd"/>
            <w:r w:rsidRPr="00B75975">
              <w:rPr>
                <w:sz w:val="24"/>
                <w:szCs w:val="24"/>
                <w:lang w:eastAsia="en-GB"/>
              </w:rPr>
              <w:t xml:space="preserve"> blødning, </w:t>
            </w:r>
            <w:proofErr w:type="spellStart"/>
            <w:r w:rsidRPr="00B75975">
              <w:rPr>
                <w:sz w:val="24"/>
                <w:szCs w:val="24"/>
                <w:lang w:eastAsia="en-GB"/>
              </w:rPr>
              <w:t>pancreatitis</w:t>
            </w:r>
            <w:proofErr w:type="spellEnd"/>
            <w:r w:rsidRPr="00B75975">
              <w:rPr>
                <w:sz w:val="24"/>
                <w:szCs w:val="24"/>
                <w:lang w:eastAsia="en-GB"/>
              </w:rPr>
              <w:t>, mavegener.</w:t>
            </w:r>
          </w:p>
        </w:tc>
      </w:tr>
      <w:tr w:rsidR="006E4003" w:rsidRPr="00B75975" w14:paraId="2DDCD0AD"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AB14897" w14:textId="77777777" w:rsidR="006E4003" w:rsidRPr="00B75975" w:rsidRDefault="006E4003" w:rsidP="00194E1C">
            <w:pPr>
              <w:rPr>
                <w:color w:val="000000"/>
                <w:sz w:val="24"/>
                <w:szCs w:val="24"/>
                <w:lang w:eastAsia="sk-SK"/>
              </w:rPr>
            </w:pPr>
            <w:r w:rsidRPr="00B75975">
              <w:rPr>
                <w:color w:val="000000"/>
                <w:sz w:val="24"/>
                <w:szCs w:val="24"/>
                <w:lang w:eastAsia="sk-SK"/>
              </w:rPr>
              <w:lastRenderedPageBreak/>
              <w:t>Hud og subkutane væv</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E3A7F08"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52815E5" w14:textId="77777777" w:rsidR="006E4003" w:rsidRPr="00B75975" w:rsidRDefault="006E4003" w:rsidP="00194E1C">
            <w:pPr>
              <w:rPr>
                <w:color w:val="000000"/>
                <w:sz w:val="24"/>
                <w:szCs w:val="24"/>
                <w:lang w:eastAsia="sk-SK"/>
              </w:rPr>
            </w:pPr>
            <w:proofErr w:type="spellStart"/>
            <w:r w:rsidRPr="00B75975">
              <w:rPr>
                <w:sz w:val="24"/>
                <w:szCs w:val="24"/>
                <w:lang w:eastAsia="en-GB"/>
              </w:rPr>
              <w:t>Striae</w:t>
            </w:r>
            <w:proofErr w:type="spellEnd"/>
            <w:r w:rsidRPr="00B75975">
              <w:rPr>
                <w:sz w:val="24"/>
                <w:szCs w:val="24"/>
                <w:lang w:eastAsia="en-GB"/>
              </w:rPr>
              <w:t xml:space="preserve"> </w:t>
            </w:r>
            <w:proofErr w:type="spellStart"/>
            <w:r w:rsidRPr="00B75975">
              <w:rPr>
                <w:sz w:val="24"/>
                <w:szCs w:val="24"/>
                <w:lang w:eastAsia="en-GB"/>
              </w:rPr>
              <w:t>rubra</w:t>
            </w:r>
            <w:proofErr w:type="spellEnd"/>
            <w:r w:rsidRPr="00B75975">
              <w:rPr>
                <w:sz w:val="24"/>
                <w:szCs w:val="24"/>
                <w:lang w:eastAsia="en-GB"/>
              </w:rPr>
              <w:t xml:space="preserve">, atrofi, </w:t>
            </w:r>
            <w:proofErr w:type="spellStart"/>
            <w:r w:rsidRPr="00B75975">
              <w:rPr>
                <w:sz w:val="24"/>
                <w:szCs w:val="24"/>
                <w:lang w:eastAsia="en-GB"/>
              </w:rPr>
              <w:t>telangiektasi</w:t>
            </w:r>
            <w:proofErr w:type="spellEnd"/>
            <w:r w:rsidRPr="00B75975">
              <w:rPr>
                <w:sz w:val="24"/>
                <w:szCs w:val="24"/>
                <w:lang w:eastAsia="en-GB"/>
              </w:rPr>
              <w:t xml:space="preserve">, </w:t>
            </w:r>
            <w:proofErr w:type="spellStart"/>
            <w:r w:rsidRPr="00B75975">
              <w:rPr>
                <w:sz w:val="24"/>
                <w:szCs w:val="24"/>
                <w:lang w:eastAsia="en-GB"/>
              </w:rPr>
              <w:t>petekkier</w:t>
            </w:r>
            <w:proofErr w:type="spellEnd"/>
            <w:r w:rsidRPr="00B75975">
              <w:rPr>
                <w:sz w:val="24"/>
                <w:szCs w:val="24"/>
                <w:lang w:eastAsia="en-GB"/>
              </w:rPr>
              <w:t xml:space="preserve">, </w:t>
            </w:r>
            <w:proofErr w:type="spellStart"/>
            <w:r w:rsidRPr="00B75975">
              <w:rPr>
                <w:sz w:val="24"/>
                <w:szCs w:val="24"/>
                <w:lang w:eastAsia="en-GB"/>
              </w:rPr>
              <w:t>ekkymose</w:t>
            </w:r>
            <w:proofErr w:type="spellEnd"/>
            <w:r w:rsidRPr="00B75975">
              <w:rPr>
                <w:sz w:val="24"/>
                <w:szCs w:val="24"/>
                <w:lang w:eastAsia="en-GB"/>
              </w:rPr>
              <w:t xml:space="preserve">, </w:t>
            </w:r>
            <w:proofErr w:type="spellStart"/>
            <w:r w:rsidRPr="00B75975">
              <w:rPr>
                <w:sz w:val="24"/>
                <w:szCs w:val="24"/>
                <w:lang w:eastAsia="en-GB"/>
              </w:rPr>
              <w:t>hypertrichose</w:t>
            </w:r>
            <w:proofErr w:type="spellEnd"/>
            <w:r w:rsidRPr="00B75975">
              <w:rPr>
                <w:sz w:val="24"/>
                <w:szCs w:val="24"/>
                <w:lang w:eastAsia="en-GB"/>
              </w:rPr>
              <w:t xml:space="preserve">, steroidinduceret akne, </w:t>
            </w:r>
            <w:proofErr w:type="spellStart"/>
            <w:r w:rsidRPr="00B75975">
              <w:rPr>
                <w:sz w:val="24"/>
                <w:szCs w:val="24"/>
                <w:lang w:eastAsia="en-GB"/>
              </w:rPr>
              <w:t>rosacea</w:t>
            </w:r>
            <w:proofErr w:type="spellEnd"/>
            <w:r w:rsidRPr="00B75975">
              <w:rPr>
                <w:sz w:val="24"/>
                <w:szCs w:val="24"/>
                <w:lang w:eastAsia="en-GB"/>
              </w:rPr>
              <w:t xml:space="preserve">-lignende (perioral) </w:t>
            </w:r>
            <w:proofErr w:type="spellStart"/>
            <w:r w:rsidRPr="00B75975">
              <w:rPr>
                <w:sz w:val="24"/>
                <w:szCs w:val="24"/>
                <w:lang w:eastAsia="en-GB"/>
              </w:rPr>
              <w:t>dermatitis</w:t>
            </w:r>
            <w:proofErr w:type="spellEnd"/>
            <w:r w:rsidRPr="00B75975">
              <w:rPr>
                <w:sz w:val="24"/>
                <w:szCs w:val="24"/>
                <w:lang w:eastAsia="en-GB"/>
              </w:rPr>
              <w:t xml:space="preserve">, ændringer i hudpigmentering. </w:t>
            </w:r>
          </w:p>
        </w:tc>
      </w:tr>
      <w:tr w:rsidR="006E4003" w:rsidRPr="00B75975" w14:paraId="47A24242"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B3E5890" w14:textId="77777777" w:rsidR="006E4003" w:rsidRPr="00B75975" w:rsidRDefault="006E4003" w:rsidP="00194E1C">
            <w:pPr>
              <w:rPr>
                <w:color w:val="000000"/>
                <w:sz w:val="24"/>
                <w:szCs w:val="24"/>
                <w:lang w:eastAsia="sk-SK"/>
              </w:rPr>
            </w:pPr>
            <w:r w:rsidRPr="00B75975">
              <w:rPr>
                <w:color w:val="000000"/>
                <w:sz w:val="24"/>
                <w:szCs w:val="24"/>
                <w:lang w:eastAsia="sk-SK"/>
              </w:rPr>
              <w:t>Knogler, led, muskler og bindevæv</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1D84C60"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1F6E455" w14:textId="77777777" w:rsidR="006E4003" w:rsidRPr="00B75975" w:rsidRDefault="006E4003" w:rsidP="00194E1C">
            <w:pPr>
              <w:rPr>
                <w:color w:val="000000"/>
                <w:sz w:val="24"/>
                <w:szCs w:val="24"/>
                <w:lang w:eastAsia="sk-SK"/>
              </w:rPr>
            </w:pPr>
            <w:proofErr w:type="spellStart"/>
            <w:r w:rsidRPr="00B75975">
              <w:rPr>
                <w:color w:val="000000"/>
                <w:sz w:val="24"/>
                <w:szCs w:val="24"/>
                <w:lang w:eastAsia="sk-SK"/>
              </w:rPr>
              <w:t>Myopati</w:t>
            </w:r>
            <w:proofErr w:type="spellEnd"/>
            <w:r w:rsidRPr="00B75975">
              <w:rPr>
                <w:color w:val="000000"/>
                <w:sz w:val="24"/>
                <w:szCs w:val="24"/>
                <w:lang w:eastAsia="sk-SK"/>
              </w:rPr>
              <w:t xml:space="preserve">, muskelatrofi og -svaghed, steroid </w:t>
            </w:r>
            <w:proofErr w:type="spellStart"/>
            <w:r w:rsidRPr="00B75975">
              <w:rPr>
                <w:color w:val="000000"/>
                <w:sz w:val="24"/>
                <w:szCs w:val="24"/>
                <w:lang w:eastAsia="sk-SK"/>
              </w:rPr>
              <w:t>myopati</w:t>
            </w:r>
            <w:proofErr w:type="spellEnd"/>
            <w:r w:rsidRPr="00B75975">
              <w:rPr>
                <w:color w:val="000000"/>
                <w:sz w:val="24"/>
                <w:szCs w:val="24"/>
                <w:lang w:eastAsia="sk-SK"/>
              </w:rPr>
              <w:t xml:space="preserve">, osteoporose (dosisafhængig, muligvis også ved kortvarig administration), aseptisk knoglenekrose, </w:t>
            </w:r>
            <w:proofErr w:type="spellStart"/>
            <w:r w:rsidRPr="00B75975">
              <w:rPr>
                <w:color w:val="000000"/>
                <w:sz w:val="24"/>
                <w:szCs w:val="24"/>
                <w:lang w:eastAsia="sk-SK"/>
              </w:rPr>
              <w:t>senelidelser</w:t>
            </w:r>
            <w:proofErr w:type="spellEnd"/>
            <w:r w:rsidRPr="00B75975">
              <w:rPr>
                <w:color w:val="000000"/>
                <w:sz w:val="24"/>
                <w:szCs w:val="24"/>
                <w:lang w:eastAsia="sk-SK"/>
              </w:rPr>
              <w:t xml:space="preserve">, </w:t>
            </w:r>
            <w:proofErr w:type="spellStart"/>
            <w:r w:rsidRPr="00B75975">
              <w:rPr>
                <w:color w:val="000000"/>
                <w:sz w:val="24"/>
                <w:szCs w:val="24"/>
                <w:lang w:eastAsia="sk-SK"/>
              </w:rPr>
              <w:t>tendinitis</w:t>
            </w:r>
            <w:proofErr w:type="spellEnd"/>
            <w:r w:rsidRPr="00B75975">
              <w:rPr>
                <w:color w:val="000000"/>
                <w:sz w:val="24"/>
                <w:szCs w:val="24"/>
                <w:lang w:eastAsia="sk-SK"/>
              </w:rPr>
              <w:t xml:space="preserve">, </w:t>
            </w:r>
            <w:proofErr w:type="spellStart"/>
            <w:r w:rsidRPr="00B75975">
              <w:rPr>
                <w:color w:val="000000"/>
                <w:sz w:val="24"/>
                <w:szCs w:val="24"/>
                <w:lang w:eastAsia="sk-SK"/>
              </w:rPr>
              <w:t>seneruptur</w:t>
            </w:r>
            <w:proofErr w:type="spellEnd"/>
            <w:r w:rsidRPr="00B75975">
              <w:rPr>
                <w:color w:val="000000"/>
                <w:sz w:val="24"/>
                <w:szCs w:val="24"/>
                <w:lang w:eastAsia="sk-SK"/>
              </w:rPr>
              <w:t xml:space="preserve">, </w:t>
            </w:r>
            <w:proofErr w:type="spellStart"/>
            <w:r w:rsidRPr="00B75975">
              <w:rPr>
                <w:color w:val="000000"/>
                <w:sz w:val="24"/>
                <w:szCs w:val="24"/>
                <w:lang w:eastAsia="sk-SK"/>
              </w:rPr>
              <w:t>epidural</w:t>
            </w:r>
            <w:proofErr w:type="spellEnd"/>
            <w:r w:rsidRPr="00B75975">
              <w:rPr>
                <w:color w:val="000000"/>
                <w:sz w:val="24"/>
                <w:szCs w:val="24"/>
                <w:lang w:eastAsia="sk-SK"/>
              </w:rPr>
              <w:t xml:space="preserve"> </w:t>
            </w:r>
            <w:proofErr w:type="spellStart"/>
            <w:r w:rsidRPr="00B75975">
              <w:rPr>
                <w:color w:val="000000"/>
                <w:sz w:val="24"/>
                <w:szCs w:val="24"/>
                <w:lang w:eastAsia="sk-SK"/>
              </w:rPr>
              <w:t>lipomatose</w:t>
            </w:r>
            <w:proofErr w:type="spellEnd"/>
            <w:r w:rsidRPr="00B75975">
              <w:rPr>
                <w:color w:val="000000"/>
                <w:sz w:val="24"/>
                <w:szCs w:val="24"/>
                <w:lang w:eastAsia="sk-SK"/>
              </w:rPr>
              <w:t>, væksthæmning hos børn.</w:t>
            </w:r>
          </w:p>
        </w:tc>
      </w:tr>
      <w:tr w:rsidR="006E4003" w:rsidRPr="00B75975" w14:paraId="6C972BA8"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6D4AC5A" w14:textId="77777777" w:rsidR="006E4003" w:rsidRPr="00B75975" w:rsidRDefault="006E4003" w:rsidP="00194E1C">
            <w:pPr>
              <w:rPr>
                <w:color w:val="000000"/>
                <w:sz w:val="24"/>
                <w:szCs w:val="24"/>
                <w:lang w:eastAsia="sk-SK"/>
              </w:rPr>
            </w:pPr>
            <w:r w:rsidRPr="00B75975">
              <w:rPr>
                <w:color w:val="000000"/>
                <w:sz w:val="24"/>
                <w:szCs w:val="24"/>
                <w:lang w:eastAsia="sk-SK"/>
              </w:rPr>
              <w:t>Det reproduktive system og mammae</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7E4D263"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067E3B3" w14:textId="77777777" w:rsidR="006E4003" w:rsidRPr="00B75975" w:rsidRDefault="006E4003" w:rsidP="00194E1C">
            <w:pPr>
              <w:rPr>
                <w:sz w:val="24"/>
                <w:szCs w:val="24"/>
                <w:lang w:eastAsia="en-GB"/>
              </w:rPr>
            </w:pPr>
            <w:r w:rsidRPr="00B75975">
              <w:rPr>
                <w:sz w:val="24"/>
                <w:szCs w:val="24"/>
                <w:lang w:eastAsia="en-GB"/>
              </w:rPr>
              <w:t xml:space="preserve">Forstyrrelser i kønshormonudskillelsen (som en følge heraf: uregelmæssig menstruation op til </w:t>
            </w:r>
            <w:proofErr w:type="spellStart"/>
            <w:r w:rsidRPr="00B75975">
              <w:rPr>
                <w:sz w:val="24"/>
                <w:szCs w:val="24"/>
                <w:lang w:eastAsia="en-GB"/>
              </w:rPr>
              <w:t>amenorré</w:t>
            </w:r>
            <w:proofErr w:type="spellEnd"/>
            <w:r w:rsidRPr="00B75975">
              <w:rPr>
                <w:sz w:val="24"/>
                <w:szCs w:val="24"/>
                <w:lang w:eastAsia="en-GB"/>
              </w:rPr>
              <w:t xml:space="preserve">, </w:t>
            </w:r>
            <w:proofErr w:type="spellStart"/>
            <w:r w:rsidRPr="00B75975">
              <w:rPr>
                <w:sz w:val="24"/>
                <w:szCs w:val="24"/>
                <w:lang w:eastAsia="en-GB"/>
              </w:rPr>
              <w:t>hirsutisme</w:t>
            </w:r>
            <w:proofErr w:type="spellEnd"/>
            <w:r w:rsidRPr="00B75975">
              <w:rPr>
                <w:sz w:val="24"/>
                <w:szCs w:val="24"/>
                <w:lang w:eastAsia="en-GB"/>
              </w:rPr>
              <w:t>, impotens).</w:t>
            </w:r>
          </w:p>
        </w:tc>
      </w:tr>
      <w:tr w:rsidR="006E4003" w:rsidRPr="00B75975" w14:paraId="5FCE1AF7" w14:textId="77777777" w:rsidTr="00194E1C">
        <w:tc>
          <w:tcPr>
            <w:tcW w:w="14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E72BFDE" w14:textId="77777777" w:rsidR="006E4003" w:rsidRPr="00B75975" w:rsidRDefault="006E4003" w:rsidP="00194E1C">
            <w:pPr>
              <w:rPr>
                <w:color w:val="000000"/>
                <w:sz w:val="24"/>
                <w:szCs w:val="24"/>
                <w:lang w:eastAsia="sk-SK"/>
              </w:rPr>
            </w:pPr>
            <w:r w:rsidRPr="00B75975">
              <w:rPr>
                <w:color w:val="000000"/>
                <w:sz w:val="24"/>
                <w:szCs w:val="24"/>
                <w:lang w:eastAsia="sk-SK"/>
              </w:rPr>
              <w:t>Almene symptomer og reaktioner på administrationsstedet</w:t>
            </w:r>
          </w:p>
        </w:tc>
        <w:tc>
          <w:tcPr>
            <w:tcW w:w="94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337A0F6" w14:textId="77777777" w:rsidR="006E4003" w:rsidRPr="00B75975" w:rsidRDefault="006E4003" w:rsidP="00194E1C">
            <w:pPr>
              <w:rPr>
                <w:color w:val="000000"/>
                <w:sz w:val="24"/>
                <w:szCs w:val="24"/>
                <w:lang w:eastAsia="sk-SK"/>
              </w:rPr>
            </w:pPr>
            <w:r w:rsidRPr="00B75975">
              <w:rPr>
                <w:sz w:val="24"/>
                <w:szCs w:val="24"/>
                <w:lang w:eastAsia="en-GB"/>
              </w:rPr>
              <w:t xml:space="preserve">Ikke kendt </w:t>
            </w:r>
          </w:p>
        </w:tc>
        <w:tc>
          <w:tcPr>
            <w:tcW w:w="255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826B3D7" w14:textId="77777777" w:rsidR="006E4003" w:rsidRPr="00B75975" w:rsidRDefault="006E4003" w:rsidP="00194E1C">
            <w:pPr>
              <w:rPr>
                <w:color w:val="000000"/>
                <w:sz w:val="24"/>
                <w:szCs w:val="24"/>
                <w:lang w:eastAsia="sk-SK"/>
              </w:rPr>
            </w:pPr>
            <w:r w:rsidRPr="00B75975">
              <w:rPr>
                <w:sz w:val="24"/>
                <w:szCs w:val="24"/>
                <w:lang w:eastAsia="en-GB"/>
              </w:rPr>
              <w:t>Forsinket sårheling.</w:t>
            </w:r>
          </w:p>
        </w:tc>
      </w:tr>
    </w:tbl>
    <w:p w14:paraId="00ED6A19" w14:textId="77777777" w:rsidR="006E4003" w:rsidRPr="00194E1C" w:rsidRDefault="006E4003" w:rsidP="006E4003">
      <w:pPr>
        <w:pStyle w:val="Sidehoved"/>
        <w:tabs>
          <w:tab w:val="left" w:pos="851"/>
        </w:tabs>
        <w:ind w:left="851"/>
        <w:rPr>
          <w:szCs w:val="24"/>
        </w:rPr>
      </w:pPr>
    </w:p>
    <w:p w14:paraId="2F0BF7EE" w14:textId="77777777" w:rsidR="006E4003" w:rsidRPr="00194E1C" w:rsidRDefault="006E4003" w:rsidP="006E4003">
      <w:pPr>
        <w:pStyle w:val="Sidehoved"/>
        <w:tabs>
          <w:tab w:val="left" w:pos="851"/>
        </w:tabs>
        <w:ind w:left="851"/>
        <w:rPr>
          <w:szCs w:val="24"/>
        </w:rPr>
      </w:pPr>
      <w:r w:rsidRPr="00194E1C">
        <w:rPr>
          <w:szCs w:val="24"/>
        </w:rPr>
        <w:t>Lokal administration:</w:t>
      </w:r>
    </w:p>
    <w:p w14:paraId="79333DCD" w14:textId="77777777" w:rsidR="006E4003" w:rsidRPr="00194E1C" w:rsidRDefault="006E4003" w:rsidP="006E4003">
      <w:pPr>
        <w:pStyle w:val="Sidehoved"/>
        <w:tabs>
          <w:tab w:val="left" w:pos="851"/>
        </w:tabs>
        <w:ind w:left="851"/>
        <w:rPr>
          <w:szCs w:val="24"/>
        </w:rPr>
      </w:pPr>
      <w:r w:rsidRPr="00194E1C">
        <w:rPr>
          <w:szCs w:val="24"/>
        </w:rPr>
        <w:t xml:space="preserve">Lokal irritation og </w:t>
      </w:r>
      <w:proofErr w:type="spellStart"/>
      <w:r w:rsidRPr="00194E1C">
        <w:rPr>
          <w:szCs w:val="24"/>
        </w:rPr>
        <w:t>intolerabilitetsreaktioner</w:t>
      </w:r>
      <w:proofErr w:type="spellEnd"/>
      <w:r w:rsidRPr="00194E1C">
        <w:rPr>
          <w:szCs w:val="24"/>
        </w:rPr>
        <w:t xml:space="preserve"> er mulige (varmefølelse, langvarige smerter). Hudatrofi og atrofi af subkutant væv ved injektionsstedet kan ikke udelukkes, hvis </w:t>
      </w:r>
      <w:proofErr w:type="spellStart"/>
      <w:r w:rsidRPr="00194E1C">
        <w:rPr>
          <w:szCs w:val="24"/>
        </w:rPr>
        <w:t>kortikoider</w:t>
      </w:r>
      <w:proofErr w:type="spellEnd"/>
      <w:r w:rsidRPr="00194E1C">
        <w:rPr>
          <w:szCs w:val="24"/>
        </w:rPr>
        <w:t xml:space="preserve"> ikke injiceres omhyggeligt i </w:t>
      </w:r>
      <w:proofErr w:type="spellStart"/>
      <w:r w:rsidRPr="00194E1C">
        <w:rPr>
          <w:szCs w:val="24"/>
        </w:rPr>
        <w:t>ledkaviteten</w:t>
      </w:r>
      <w:proofErr w:type="spellEnd"/>
      <w:r w:rsidRPr="00194E1C">
        <w:rPr>
          <w:szCs w:val="24"/>
        </w:rPr>
        <w:t>.</w:t>
      </w:r>
    </w:p>
    <w:p w14:paraId="3DD6CCBC" w14:textId="77777777" w:rsidR="006E4003" w:rsidRPr="00194E1C" w:rsidRDefault="006E4003" w:rsidP="006E4003">
      <w:pPr>
        <w:pStyle w:val="Sidehoved"/>
        <w:tabs>
          <w:tab w:val="left" w:pos="851"/>
        </w:tabs>
        <w:ind w:left="851"/>
        <w:rPr>
          <w:szCs w:val="24"/>
        </w:rPr>
      </w:pPr>
    </w:p>
    <w:p w14:paraId="74790FB3" w14:textId="77777777" w:rsidR="006E4003" w:rsidRPr="00194E1C" w:rsidRDefault="006E4003" w:rsidP="006E4003">
      <w:pPr>
        <w:pStyle w:val="Sidehoved"/>
        <w:tabs>
          <w:tab w:val="left" w:pos="851"/>
        </w:tabs>
        <w:ind w:left="851"/>
        <w:rPr>
          <w:szCs w:val="24"/>
          <w:u w:val="single"/>
        </w:rPr>
      </w:pPr>
      <w:r w:rsidRPr="00194E1C">
        <w:rPr>
          <w:szCs w:val="24"/>
          <w:u w:val="single"/>
        </w:rPr>
        <w:t>Indberetning af formodede bivirkninger</w:t>
      </w:r>
    </w:p>
    <w:p w14:paraId="635C4A33" w14:textId="77777777" w:rsidR="006E4003" w:rsidRPr="00194E1C" w:rsidRDefault="006E4003" w:rsidP="006E4003">
      <w:pPr>
        <w:pStyle w:val="Sidehoved"/>
        <w:tabs>
          <w:tab w:val="left" w:pos="851"/>
        </w:tabs>
        <w:ind w:left="851"/>
        <w:rPr>
          <w:szCs w:val="24"/>
        </w:rPr>
      </w:pPr>
      <w:r w:rsidRPr="00194E1C">
        <w:rPr>
          <w:szCs w:val="24"/>
        </w:rPr>
        <w:t>Når lægemidlet er godkendt, er indberetning af formodede bivirkninger vigtig. Det muliggør løbende overvågning af benefit/</w:t>
      </w:r>
      <w:proofErr w:type="spellStart"/>
      <w:r w:rsidRPr="00194E1C">
        <w:rPr>
          <w:szCs w:val="24"/>
        </w:rPr>
        <w:t>risk</w:t>
      </w:r>
      <w:proofErr w:type="spellEnd"/>
      <w:r w:rsidRPr="00194E1C">
        <w:rPr>
          <w:szCs w:val="24"/>
        </w:rPr>
        <w:t>-forholdet for lægemidlet. Sundhedspersoner anmodes om at indberette alle formodede bivirkninger via:</w:t>
      </w:r>
    </w:p>
    <w:p w14:paraId="20204C36" w14:textId="77777777" w:rsidR="003526C2" w:rsidRDefault="003526C2" w:rsidP="006E4003">
      <w:pPr>
        <w:pStyle w:val="Sidehoved"/>
        <w:tabs>
          <w:tab w:val="left" w:pos="851"/>
        </w:tabs>
        <w:ind w:left="851"/>
        <w:rPr>
          <w:szCs w:val="24"/>
        </w:rPr>
      </w:pPr>
    </w:p>
    <w:p w14:paraId="66977040" w14:textId="187A1FBD" w:rsidR="006E4003" w:rsidRPr="00194E1C" w:rsidRDefault="006E4003" w:rsidP="006E4003">
      <w:pPr>
        <w:pStyle w:val="Sidehoved"/>
        <w:tabs>
          <w:tab w:val="left" w:pos="851"/>
        </w:tabs>
        <w:ind w:left="851"/>
        <w:rPr>
          <w:szCs w:val="24"/>
        </w:rPr>
      </w:pPr>
      <w:r w:rsidRPr="00194E1C">
        <w:rPr>
          <w:szCs w:val="24"/>
        </w:rPr>
        <w:t>Lægemiddelstyrelsen</w:t>
      </w:r>
    </w:p>
    <w:p w14:paraId="5ABA2C67" w14:textId="77777777" w:rsidR="006E4003" w:rsidRPr="00194E1C" w:rsidRDefault="006E4003" w:rsidP="006E4003">
      <w:pPr>
        <w:pStyle w:val="Sidehoved"/>
        <w:tabs>
          <w:tab w:val="left" w:pos="851"/>
        </w:tabs>
        <w:ind w:left="851"/>
        <w:rPr>
          <w:szCs w:val="24"/>
        </w:rPr>
      </w:pPr>
      <w:r w:rsidRPr="00194E1C">
        <w:rPr>
          <w:szCs w:val="24"/>
        </w:rPr>
        <w:t>Axel Heides Gade 1</w:t>
      </w:r>
    </w:p>
    <w:p w14:paraId="33464D80" w14:textId="77777777" w:rsidR="006E4003" w:rsidRPr="00194E1C" w:rsidRDefault="006E4003" w:rsidP="006E4003">
      <w:pPr>
        <w:pStyle w:val="Sidehoved"/>
        <w:tabs>
          <w:tab w:val="left" w:pos="851"/>
        </w:tabs>
        <w:ind w:left="851"/>
        <w:rPr>
          <w:szCs w:val="24"/>
        </w:rPr>
      </w:pPr>
      <w:r w:rsidRPr="00194E1C">
        <w:rPr>
          <w:szCs w:val="24"/>
        </w:rPr>
        <w:t>DK-2300 København S</w:t>
      </w:r>
    </w:p>
    <w:p w14:paraId="2B17F86D" w14:textId="77777777" w:rsidR="006E4003" w:rsidRPr="00194E1C" w:rsidRDefault="006E4003" w:rsidP="006E4003">
      <w:pPr>
        <w:pStyle w:val="Sidehoved"/>
        <w:tabs>
          <w:tab w:val="left" w:pos="851"/>
        </w:tabs>
        <w:ind w:left="851"/>
        <w:rPr>
          <w:szCs w:val="24"/>
        </w:rPr>
      </w:pPr>
      <w:r w:rsidRPr="00194E1C">
        <w:rPr>
          <w:szCs w:val="24"/>
        </w:rPr>
        <w:t xml:space="preserve">Websted: </w:t>
      </w:r>
      <w:hyperlink r:id="rId8" w:history="1">
        <w:r w:rsidRPr="00194E1C">
          <w:rPr>
            <w:rStyle w:val="Hyperlink"/>
            <w:szCs w:val="24"/>
          </w:rPr>
          <w:t>www.meldenbivirkning.dk</w:t>
        </w:r>
      </w:hyperlink>
    </w:p>
    <w:p w14:paraId="6DE79839" w14:textId="77777777" w:rsidR="009260DE" w:rsidRPr="00194E1C" w:rsidRDefault="009260DE" w:rsidP="00A10294">
      <w:pPr>
        <w:tabs>
          <w:tab w:val="left" w:pos="851"/>
        </w:tabs>
        <w:ind w:left="851"/>
        <w:rPr>
          <w:sz w:val="24"/>
          <w:szCs w:val="24"/>
        </w:rPr>
      </w:pPr>
    </w:p>
    <w:p w14:paraId="68C7C1EF" w14:textId="77777777" w:rsidR="009260DE" w:rsidRPr="00194E1C" w:rsidRDefault="009260DE" w:rsidP="009260DE">
      <w:pPr>
        <w:tabs>
          <w:tab w:val="left" w:pos="851"/>
        </w:tabs>
        <w:ind w:left="851" w:hanging="851"/>
        <w:rPr>
          <w:b/>
          <w:sz w:val="24"/>
          <w:szCs w:val="24"/>
        </w:rPr>
      </w:pPr>
      <w:r w:rsidRPr="00194E1C">
        <w:rPr>
          <w:b/>
          <w:sz w:val="24"/>
          <w:szCs w:val="24"/>
        </w:rPr>
        <w:t>4.9</w:t>
      </w:r>
      <w:r w:rsidRPr="00194E1C">
        <w:rPr>
          <w:b/>
          <w:sz w:val="24"/>
          <w:szCs w:val="24"/>
        </w:rPr>
        <w:tab/>
        <w:t>Overdosering</w:t>
      </w:r>
    </w:p>
    <w:p w14:paraId="3E733F20" w14:textId="77777777" w:rsidR="00B75975" w:rsidRDefault="00B75975" w:rsidP="006E4003">
      <w:pPr>
        <w:tabs>
          <w:tab w:val="left" w:pos="851"/>
        </w:tabs>
        <w:ind w:left="851"/>
        <w:rPr>
          <w:i/>
          <w:iCs/>
          <w:sz w:val="24"/>
          <w:szCs w:val="24"/>
        </w:rPr>
      </w:pPr>
    </w:p>
    <w:p w14:paraId="744EE511" w14:textId="50B803B6" w:rsidR="006E4003" w:rsidRPr="00194E1C" w:rsidRDefault="006E4003" w:rsidP="006E4003">
      <w:pPr>
        <w:tabs>
          <w:tab w:val="left" w:pos="851"/>
        </w:tabs>
        <w:ind w:left="851"/>
        <w:rPr>
          <w:i/>
          <w:iCs/>
          <w:sz w:val="24"/>
          <w:szCs w:val="24"/>
          <w:lang w:eastAsia="da-DK"/>
        </w:rPr>
      </w:pPr>
      <w:r w:rsidRPr="00194E1C">
        <w:rPr>
          <w:i/>
          <w:iCs/>
          <w:sz w:val="24"/>
          <w:szCs w:val="24"/>
        </w:rPr>
        <w:t xml:space="preserve">Symptomer: </w:t>
      </w:r>
    </w:p>
    <w:p w14:paraId="11B6B24B" w14:textId="77777777" w:rsidR="006E4003" w:rsidRPr="00194E1C" w:rsidRDefault="006E4003" w:rsidP="006E4003">
      <w:pPr>
        <w:tabs>
          <w:tab w:val="left" w:pos="851"/>
        </w:tabs>
        <w:ind w:left="851"/>
        <w:rPr>
          <w:sz w:val="24"/>
          <w:szCs w:val="24"/>
        </w:rPr>
      </w:pPr>
      <w:r w:rsidRPr="00194E1C">
        <w:rPr>
          <w:sz w:val="24"/>
          <w:szCs w:val="24"/>
        </w:rPr>
        <w:t xml:space="preserve">Akutte </w:t>
      </w:r>
      <w:proofErr w:type="spellStart"/>
      <w:r w:rsidRPr="00194E1C">
        <w:rPr>
          <w:sz w:val="24"/>
          <w:szCs w:val="24"/>
        </w:rPr>
        <w:t>intoksikationer</w:t>
      </w:r>
      <w:proofErr w:type="spellEnd"/>
      <w:r w:rsidRPr="00194E1C">
        <w:rPr>
          <w:sz w:val="24"/>
          <w:szCs w:val="24"/>
        </w:rPr>
        <w:t xml:space="preserve"> med </w:t>
      </w:r>
      <w:proofErr w:type="spellStart"/>
      <w:r w:rsidRPr="00194E1C">
        <w:rPr>
          <w:sz w:val="24"/>
          <w:szCs w:val="24"/>
        </w:rPr>
        <w:t>dexamethason</w:t>
      </w:r>
      <w:proofErr w:type="spellEnd"/>
      <w:r w:rsidRPr="00194E1C">
        <w:rPr>
          <w:sz w:val="24"/>
          <w:szCs w:val="24"/>
        </w:rPr>
        <w:t xml:space="preserve"> kendes ikke. I tilfælde af kronisk overdosering kan en stigning i bivirkninger (se pkt. 4.8), især endokrine, metaboliske og elektrolytrelaterede virkninger, forventes.</w:t>
      </w:r>
    </w:p>
    <w:p w14:paraId="28E29721" w14:textId="77777777" w:rsidR="006E4003" w:rsidRPr="00194E1C" w:rsidRDefault="006E4003" w:rsidP="006E4003">
      <w:pPr>
        <w:tabs>
          <w:tab w:val="left" w:pos="851"/>
        </w:tabs>
        <w:ind w:left="851"/>
        <w:rPr>
          <w:sz w:val="24"/>
          <w:szCs w:val="24"/>
        </w:rPr>
      </w:pPr>
    </w:p>
    <w:p w14:paraId="17CC8317" w14:textId="77777777" w:rsidR="006E4003" w:rsidRPr="00194E1C" w:rsidRDefault="006E4003" w:rsidP="006E4003">
      <w:pPr>
        <w:tabs>
          <w:tab w:val="left" w:pos="851"/>
        </w:tabs>
        <w:ind w:left="851"/>
        <w:rPr>
          <w:sz w:val="24"/>
          <w:szCs w:val="24"/>
        </w:rPr>
      </w:pPr>
      <w:r w:rsidRPr="00194E1C">
        <w:rPr>
          <w:sz w:val="24"/>
          <w:szCs w:val="24"/>
        </w:rPr>
        <w:t xml:space="preserve">Ingen modgift er tilgængelig. Behandling er sandsynligvis ikke indiceret til reaktioner på grund af kronisk forgiftning, medmindre patienten har en tilstand, der gør ham/hende usædvanlig modtagelig for at opleve bivirkninger fra </w:t>
      </w:r>
      <w:proofErr w:type="spellStart"/>
      <w:r w:rsidRPr="00194E1C">
        <w:rPr>
          <w:sz w:val="24"/>
          <w:szCs w:val="24"/>
        </w:rPr>
        <w:t>kortikosteroider</w:t>
      </w:r>
      <w:proofErr w:type="spellEnd"/>
      <w:r w:rsidRPr="00194E1C">
        <w:rPr>
          <w:sz w:val="24"/>
          <w:szCs w:val="24"/>
        </w:rPr>
        <w:t>. I dette tilfælde bør symptomatisk behandling iværksættes efter behov.</w:t>
      </w:r>
    </w:p>
    <w:p w14:paraId="1BCDC261" w14:textId="77777777" w:rsidR="006E4003" w:rsidRPr="00194E1C" w:rsidRDefault="006E4003" w:rsidP="006E4003">
      <w:pPr>
        <w:tabs>
          <w:tab w:val="left" w:pos="851"/>
        </w:tabs>
        <w:ind w:left="851"/>
        <w:rPr>
          <w:sz w:val="24"/>
          <w:szCs w:val="24"/>
        </w:rPr>
      </w:pPr>
    </w:p>
    <w:p w14:paraId="3FA6BF7B" w14:textId="77777777" w:rsidR="006E4003" w:rsidRPr="00194E1C" w:rsidRDefault="006E4003" w:rsidP="006E4003">
      <w:pPr>
        <w:tabs>
          <w:tab w:val="left" w:pos="851"/>
        </w:tabs>
        <w:ind w:left="851"/>
        <w:rPr>
          <w:sz w:val="24"/>
          <w:szCs w:val="24"/>
        </w:rPr>
      </w:pPr>
      <w:proofErr w:type="spellStart"/>
      <w:r w:rsidRPr="00194E1C">
        <w:rPr>
          <w:sz w:val="24"/>
          <w:szCs w:val="24"/>
        </w:rPr>
        <w:t>Anafylaktiske</w:t>
      </w:r>
      <w:proofErr w:type="spellEnd"/>
      <w:r w:rsidRPr="00194E1C">
        <w:rPr>
          <w:sz w:val="24"/>
          <w:szCs w:val="24"/>
        </w:rPr>
        <w:t xml:space="preserve"> reaktioner og overfølsomhedsreaktioner kan behandles med adrenalin, overtryksventilation og </w:t>
      </w:r>
      <w:proofErr w:type="spellStart"/>
      <w:r w:rsidRPr="00194E1C">
        <w:rPr>
          <w:sz w:val="24"/>
          <w:szCs w:val="24"/>
        </w:rPr>
        <w:t>aminophyllin</w:t>
      </w:r>
      <w:proofErr w:type="spellEnd"/>
      <w:r w:rsidRPr="00194E1C">
        <w:rPr>
          <w:sz w:val="24"/>
          <w:szCs w:val="24"/>
        </w:rPr>
        <w:t>.</w:t>
      </w:r>
    </w:p>
    <w:p w14:paraId="74DBF9FA" w14:textId="77777777" w:rsidR="009260DE" w:rsidRPr="00194E1C" w:rsidRDefault="009260DE" w:rsidP="009260DE">
      <w:pPr>
        <w:tabs>
          <w:tab w:val="left" w:pos="851"/>
        </w:tabs>
        <w:ind w:left="851"/>
        <w:rPr>
          <w:sz w:val="24"/>
          <w:szCs w:val="24"/>
        </w:rPr>
      </w:pPr>
    </w:p>
    <w:p w14:paraId="3611D34C" w14:textId="77777777" w:rsidR="009260DE" w:rsidRPr="00194E1C" w:rsidRDefault="009260DE" w:rsidP="009260DE">
      <w:pPr>
        <w:tabs>
          <w:tab w:val="left" w:pos="851"/>
        </w:tabs>
        <w:ind w:left="851" w:hanging="851"/>
        <w:rPr>
          <w:b/>
          <w:sz w:val="24"/>
          <w:szCs w:val="24"/>
        </w:rPr>
      </w:pPr>
      <w:r w:rsidRPr="00194E1C">
        <w:rPr>
          <w:b/>
          <w:sz w:val="24"/>
          <w:szCs w:val="24"/>
        </w:rPr>
        <w:t>4.10</w:t>
      </w:r>
      <w:r w:rsidRPr="00194E1C">
        <w:rPr>
          <w:b/>
          <w:sz w:val="24"/>
          <w:szCs w:val="24"/>
        </w:rPr>
        <w:tab/>
        <w:t>Udlevering</w:t>
      </w:r>
    </w:p>
    <w:p w14:paraId="64E3DE9A" w14:textId="305682C4" w:rsidR="009260DE" w:rsidRPr="00194E1C" w:rsidRDefault="006E4003" w:rsidP="009260DE">
      <w:pPr>
        <w:tabs>
          <w:tab w:val="left" w:pos="851"/>
        </w:tabs>
        <w:ind w:left="851"/>
        <w:rPr>
          <w:sz w:val="24"/>
          <w:szCs w:val="24"/>
        </w:rPr>
      </w:pPr>
      <w:r w:rsidRPr="00194E1C">
        <w:rPr>
          <w:sz w:val="24"/>
          <w:szCs w:val="24"/>
        </w:rPr>
        <w:t>B</w:t>
      </w:r>
    </w:p>
    <w:p w14:paraId="14DFAB8A" w14:textId="77777777" w:rsidR="009260DE" w:rsidRPr="00194E1C" w:rsidRDefault="009260DE" w:rsidP="009260DE">
      <w:pPr>
        <w:tabs>
          <w:tab w:val="left" w:pos="851"/>
        </w:tabs>
        <w:ind w:left="851"/>
        <w:rPr>
          <w:sz w:val="24"/>
          <w:szCs w:val="24"/>
        </w:rPr>
      </w:pPr>
    </w:p>
    <w:p w14:paraId="63C48EB1" w14:textId="507CF9E0" w:rsidR="009260DE" w:rsidRDefault="009260DE" w:rsidP="009260DE">
      <w:pPr>
        <w:tabs>
          <w:tab w:val="left" w:pos="851"/>
        </w:tabs>
        <w:ind w:left="851"/>
        <w:rPr>
          <w:sz w:val="24"/>
          <w:szCs w:val="24"/>
        </w:rPr>
      </w:pPr>
    </w:p>
    <w:p w14:paraId="658AD8B8" w14:textId="77777777" w:rsidR="008A4EEB" w:rsidRPr="00194E1C" w:rsidRDefault="008A4EEB" w:rsidP="009260DE">
      <w:pPr>
        <w:tabs>
          <w:tab w:val="left" w:pos="851"/>
        </w:tabs>
        <w:ind w:left="851"/>
        <w:rPr>
          <w:sz w:val="24"/>
          <w:szCs w:val="24"/>
        </w:rPr>
      </w:pPr>
    </w:p>
    <w:p w14:paraId="06A31A09" w14:textId="77777777" w:rsidR="009260DE" w:rsidRPr="00194E1C" w:rsidRDefault="009260DE" w:rsidP="008A4EEB">
      <w:pPr>
        <w:keepNext/>
        <w:tabs>
          <w:tab w:val="left" w:pos="851"/>
        </w:tabs>
        <w:ind w:left="851" w:hanging="851"/>
        <w:rPr>
          <w:b/>
          <w:sz w:val="24"/>
          <w:szCs w:val="24"/>
        </w:rPr>
      </w:pPr>
      <w:r w:rsidRPr="00194E1C">
        <w:rPr>
          <w:b/>
          <w:sz w:val="24"/>
          <w:szCs w:val="24"/>
        </w:rPr>
        <w:t>5.</w:t>
      </w:r>
      <w:r w:rsidRPr="00194E1C">
        <w:rPr>
          <w:b/>
          <w:sz w:val="24"/>
          <w:szCs w:val="24"/>
        </w:rPr>
        <w:tab/>
        <w:t>FARMAKOLOGISKE EGENSKABER</w:t>
      </w:r>
    </w:p>
    <w:p w14:paraId="3A2A76CE" w14:textId="77777777" w:rsidR="009260DE" w:rsidRPr="00194E1C" w:rsidRDefault="009260DE" w:rsidP="009260DE">
      <w:pPr>
        <w:tabs>
          <w:tab w:val="left" w:pos="851"/>
        </w:tabs>
        <w:ind w:left="851"/>
        <w:rPr>
          <w:sz w:val="24"/>
          <w:szCs w:val="24"/>
        </w:rPr>
      </w:pPr>
    </w:p>
    <w:p w14:paraId="16CB7486" w14:textId="3DF03B74" w:rsidR="009260DE" w:rsidRDefault="009260DE" w:rsidP="009260DE">
      <w:pPr>
        <w:tabs>
          <w:tab w:val="num" w:pos="851"/>
        </w:tabs>
        <w:ind w:left="851" w:hanging="851"/>
        <w:rPr>
          <w:b/>
          <w:sz w:val="24"/>
          <w:szCs w:val="24"/>
        </w:rPr>
      </w:pPr>
      <w:r w:rsidRPr="00194E1C">
        <w:rPr>
          <w:b/>
          <w:sz w:val="24"/>
          <w:szCs w:val="24"/>
        </w:rPr>
        <w:t>5.1</w:t>
      </w:r>
      <w:r w:rsidRPr="00194E1C">
        <w:rPr>
          <w:b/>
          <w:sz w:val="24"/>
          <w:szCs w:val="24"/>
        </w:rPr>
        <w:tab/>
      </w:r>
      <w:proofErr w:type="spellStart"/>
      <w:r w:rsidRPr="00194E1C">
        <w:rPr>
          <w:b/>
          <w:sz w:val="24"/>
          <w:szCs w:val="24"/>
        </w:rPr>
        <w:t>Farmakodynamiske</w:t>
      </w:r>
      <w:proofErr w:type="spellEnd"/>
      <w:r w:rsidRPr="00194E1C">
        <w:rPr>
          <w:b/>
          <w:sz w:val="24"/>
          <w:szCs w:val="24"/>
        </w:rPr>
        <w:t xml:space="preserve"> egenskaber</w:t>
      </w:r>
    </w:p>
    <w:p w14:paraId="4425A74F" w14:textId="7C2BBFE5" w:rsidR="00580E8E" w:rsidRPr="00194E1C" w:rsidRDefault="00580E8E" w:rsidP="009260DE">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194E1C">
        <w:rPr>
          <w:sz w:val="24"/>
          <w:szCs w:val="24"/>
        </w:rPr>
        <w:t>Glukokortikoider</w:t>
      </w:r>
      <w:proofErr w:type="spellEnd"/>
      <w:r>
        <w:rPr>
          <w:sz w:val="24"/>
          <w:szCs w:val="24"/>
        </w:rPr>
        <w:t xml:space="preserve">, </w:t>
      </w:r>
      <w:r w:rsidRPr="00194E1C">
        <w:rPr>
          <w:sz w:val="24"/>
          <w:szCs w:val="24"/>
        </w:rPr>
        <w:t>ATC-kode: H 02 AB 02</w:t>
      </w:r>
      <w:r>
        <w:rPr>
          <w:sz w:val="24"/>
          <w:szCs w:val="24"/>
        </w:rPr>
        <w:t>.</w:t>
      </w:r>
    </w:p>
    <w:p w14:paraId="4E90C5DF" w14:textId="77777777" w:rsidR="003526C2" w:rsidRDefault="003526C2" w:rsidP="006E4003">
      <w:pPr>
        <w:tabs>
          <w:tab w:val="left" w:pos="851"/>
        </w:tabs>
        <w:ind w:left="851"/>
        <w:rPr>
          <w:sz w:val="24"/>
          <w:szCs w:val="24"/>
          <w:u w:val="single"/>
        </w:rPr>
      </w:pPr>
    </w:p>
    <w:p w14:paraId="36AB6160" w14:textId="12187016" w:rsidR="006E4003" w:rsidRPr="00194E1C" w:rsidRDefault="006E4003" w:rsidP="006E4003">
      <w:pPr>
        <w:tabs>
          <w:tab w:val="left" w:pos="851"/>
        </w:tabs>
        <w:ind w:left="851"/>
        <w:rPr>
          <w:sz w:val="24"/>
          <w:szCs w:val="24"/>
          <w:u w:val="single"/>
          <w:lang w:eastAsia="da-DK"/>
        </w:rPr>
      </w:pPr>
      <w:proofErr w:type="spellStart"/>
      <w:r w:rsidRPr="00194E1C">
        <w:rPr>
          <w:sz w:val="24"/>
          <w:szCs w:val="24"/>
          <w:u w:val="single"/>
        </w:rPr>
        <w:t>Farmakodynamiske</w:t>
      </w:r>
      <w:proofErr w:type="spellEnd"/>
      <w:r w:rsidRPr="00194E1C">
        <w:rPr>
          <w:sz w:val="24"/>
          <w:szCs w:val="24"/>
          <w:u w:val="single"/>
        </w:rPr>
        <w:t xml:space="preserve"> virkninger </w:t>
      </w:r>
    </w:p>
    <w:p w14:paraId="67C360E9" w14:textId="77777777" w:rsidR="006E4003" w:rsidRPr="00194E1C" w:rsidRDefault="006E4003" w:rsidP="006E4003">
      <w:pPr>
        <w:tabs>
          <w:tab w:val="left" w:pos="851"/>
        </w:tabs>
        <w:ind w:left="851"/>
        <w:rPr>
          <w:sz w:val="24"/>
          <w:szCs w:val="24"/>
        </w:rPr>
      </w:pPr>
      <w:proofErr w:type="spellStart"/>
      <w:r w:rsidRPr="00194E1C">
        <w:rPr>
          <w:sz w:val="24"/>
          <w:szCs w:val="24"/>
        </w:rPr>
        <w:t>Dexamethason</w:t>
      </w:r>
      <w:proofErr w:type="spellEnd"/>
      <w:r w:rsidRPr="00194E1C">
        <w:rPr>
          <w:sz w:val="24"/>
          <w:szCs w:val="24"/>
        </w:rPr>
        <w:t xml:space="preserve"> er et </w:t>
      </w:r>
      <w:proofErr w:type="spellStart"/>
      <w:r w:rsidRPr="00194E1C">
        <w:rPr>
          <w:sz w:val="24"/>
          <w:szCs w:val="24"/>
        </w:rPr>
        <w:t>monofluorineret</w:t>
      </w:r>
      <w:proofErr w:type="spellEnd"/>
      <w:r w:rsidRPr="00194E1C">
        <w:rPr>
          <w:sz w:val="24"/>
          <w:szCs w:val="24"/>
        </w:rPr>
        <w:t xml:space="preserve"> </w:t>
      </w:r>
      <w:proofErr w:type="spellStart"/>
      <w:r w:rsidRPr="00194E1C">
        <w:rPr>
          <w:sz w:val="24"/>
          <w:szCs w:val="24"/>
        </w:rPr>
        <w:t>glukokortikoid</w:t>
      </w:r>
      <w:proofErr w:type="spellEnd"/>
      <w:r w:rsidRPr="00194E1C">
        <w:rPr>
          <w:sz w:val="24"/>
          <w:szCs w:val="24"/>
        </w:rPr>
        <w:t xml:space="preserve"> med udtalte antiallergiske, antiinflammatoriske og membranstabiliserende egenskaber og virkninger på kulhydrat-, protein- og fedtmetabolisme</w:t>
      </w:r>
    </w:p>
    <w:p w14:paraId="4D69BDF5" w14:textId="77777777" w:rsidR="006E4003" w:rsidRPr="00194E1C" w:rsidRDefault="006E4003" w:rsidP="006E4003">
      <w:pPr>
        <w:tabs>
          <w:tab w:val="left" w:pos="851"/>
        </w:tabs>
        <w:ind w:left="851"/>
        <w:rPr>
          <w:sz w:val="24"/>
          <w:szCs w:val="24"/>
        </w:rPr>
      </w:pPr>
    </w:p>
    <w:p w14:paraId="6CA94EBF" w14:textId="77777777" w:rsidR="006E4003" w:rsidRPr="00194E1C" w:rsidRDefault="006E4003" w:rsidP="006E4003">
      <w:pPr>
        <w:tabs>
          <w:tab w:val="left" w:pos="851"/>
        </w:tabs>
        <w:ind w:left="851"/>
        <w:rPr>
          <w:sz w:val="24"/>
          <w:szCs w:val="24"/>
        </w:rPr>
      </w:pPr>
      <w:proofErr w:type="spellStart"/>
      <w:r w:rsidRPr="00194E1C">
        <w:rPr>
          <w:sz w:val="24"/>
          <w:szCs w:val="24"/>
        </w:rPr>
        <w:t>Dexamethason</w:t>
      </w:r>
      <w:proofErr w:type="spellEnd"/>
      <w:r w:rsidRPr="00194E1C">
        <w:rPr>
          <w:sz w:val="24"/>
          <w:szCs w:val="24"/>
        </w:rPr>
        <w:t xml:space="preserve"> har virkninger som andre basale </w:t>
      </w:r>
      <w:proofErr w:type="spellStart"/>
      <w:r w:rsidRPr="00194E1C">
        <w:rPr>
          <w:sz w:val="24"/>
          <w:szCs w:val="24"/>
        </w:rPr>
        <w:t>glukokortikoider</w:t>
      </w:r>
      <w:proofErr w:type="spellEnd"/>
      <w:r w:rsidRPr="00194E1C">
        <w:rPr>
          <w:sz w:val="24"/>
          <w:szCs w:val="24"/>
        </w:rPr>
        <w:t xml:space="preserve"> og er blandt de mest aktive </w:t>
      </w:r>
      <w:proofErr w:type="spellStart"/>
      <w:r w:rsidRPr="00194E1C">
        <w:rPr>
          <w:sz w:val="24"/>
          <w:szCs w:val="24"/>
        </w:rPr>
        <w:t>glukokortikoider</w:t>
      </w:r>
      <w:proofErr w:type="spellEnd"/>
      <w:r w:rsidRPr="00194E1C">
        <w:rPr>
          <w:sz w:val="24"/>
          <w:szCs w:val="24"/>
        </w:rPr>
        <w:t>.</w:t>
      </w:r>
    </w:p>
    <w:p w14:paraId="363EE10F" w14:textId="65BF9766" w:rsidR="006E4003" w:rsidRPr="00194E1C" w:rsidRDefault="006E4003" w:rsidP="006E4003">
      <w:pPr>
        <w:tabs>
          <w:tab w:val="left" w:pos="851"/>
        </w:tabs>
        <w:ind w:left="851"/>
        <w:rPr>
          <w:sz w:val="24"/>
          <w:szCs w:val="24"/>
        </w:rPr>
      </w:pPr>
      <w:proofErr w:type="spellStart"/>
      <w:r w:rsidRPr="00194E1C">
        <w:rPr>
          <w:sz w:val="24"/>
          <w:szCs w:val="24"/>
        </w:rPr>
        <w:t>Dexamethason</w:t>
      </w:r>
      <w:proofErr w:type="spellEnd"/>
      <w:r w:rsidRPr="00194E1C">
        <w:rPr>
          <w:sz w:val="24"/>
          <w:szCs w:val="24"/>
        </w:rPr>
        <w:t xml:space="preserve"> har cirka 7,5 gange større </w:t>
      </w:r>
      <w:proofErr w:type="spellStart"/>
      <w:r w:rsidRPr="00194E1C">
        <w:rPr>
          <w:sz w:val="24"/>
          <w:szCs w:val="24"/>
        </w:rPr>
        <w:t>glukokortikoid</w:t>
      </w:r>
      <w:proofErr w:type="spellEnd"/>
      <w:r w:rsidR="003526C2">
        <w:rPr>
          <w:sz w:val="24"/>
          <w:szCs w:val="24"/>
        </w:rPr>
        <w:t xml:space="preserve"> </w:t>
      </w:r>
      <w:r w:rsidRPr="00194E1C">
        <w:rPr>
          <w:sz w:val="24"/>
          <w:szCs w:val="24"/>
        </w:rPr>
        <w:t xml:space="preserve">virkning end </w:t>
      </w:r>
      <w:proofErr w:type="spellStart"/>
      <w:r w:rsidRPr="00194E1C">
        <w:rPr>
          <w:sz w:val="24"/>
          <w:szCs w:val="24"/>
        </w:rPr>
        <w:t>prednisolon</w:t>
      </w:r>
      <w:proofErr w:type="spellEnd"/>
      <w:r w:rsidRPr="00194E1C">
        <w:rPr>
          <w:sz w:val="24"/>
          <w:szCs w:val="24"/>
        </w:rPr>
        <w:t xml:space="preserve"> og </w:t>
      </w:r>
      <w:proofErr w:type="spellStart"/>
      <w:r w:rsidRPr="00194E1C">
        <w:rPr>
          <w:sz w:val="24"/>
          <w:szCs w:val="24"/>
        </w:rPr>
        <w:t>prednison</w:t>
      </w:r>
      <w:proofErr w:type="spellEnd"/>
      <w:r w:rsidRPr="00194E1C">
        <w:rPr>
          <w:sz w:val="24"/>
          <w:szCs w:val="24"/>
        </w:rPr>
        <w:t xml:space="preserve">, og sammenlignet med </w:t>
      </w:r>
      <w:proofErr w:type="spellStart"/>
      <w:r w:rsidRPr="00194E1C">
        <w:rPr>
          <w:sz w:val="24"/>
          <w:szCs w:val="24"/>
        </w:rPr>
        <w:t>hydrokortison</w:t>
      </w:r>
      <w:proofErr w:type="spellEnd"/>
      <w:r w:rsidRPr="00194E1C">
        <w:rPr>
          <w:sz w:val="24"/>
          <w:szCs w:val="24"/>
        </w:rPr>
        <w:t xml:space="preserve"> har det en 30 gange større virkning. </w:t>
      </w:r>
      <w:proofErr w:type="spellStart"/>
      <w:r w:rsidRPr="00194E1C">
        <w:rPr>
          <w:sz w:val="24"/>
          <w:szCs w:val="24"/>
        </w:rPr>
        <w:t>Dexamethason</w:t>
      </w:r>
      <w:proofErr w:type="spellEnd"/>
      <w:r w:rsidRPr="00194E1C">
        <w:rPr>
          <w:sz w:val="24"/>
          <w:szCs w:val="24"/>
        </w:rPr>
        <w:t xml:space="preserve"> har ingen </w:t>
      </w:r>
      <w:proofErr w:type="spellStart"/>
      <w:r w:rsidRPr="00194E1C">
        <w:rPr>
          <w:sz w:val="24"/>
          <w:szCs w:val="24"/>
        </w:rPr>
        <w:t>mineralokortikoide</w:t>
      </w:r>
      <w:proofErr w:type="spellEnd"/>
      <w:r w:rsidRPr="00194E1C">
        <w:rPr>
          <w:sz w:val="24"/>
          <w:szCs w:val="24"/>
        </w:rPr>
        <w:t xml:space="preserve"> virkninger.</w:t>
      </w:r>
    </w:p>
    <w:p w14:paraId="254CD70A" w14:textId="77777777" w:rsidR="006E4003" w:rsidRPr="00194E1C" w:rsidRDefault="006E4003" w:rsidP="006E4003">
      <w:pPr>
        <w:tabs>
          <w:tab w:val="left" w:pos="851"/>
        </w:tabs>
        <w:ind w:left="851"/>
        <w:rPr>
          <w:sz w:val="24"/>
          <w:szCs w:val="24"/>
        </w:rPr>
      </w:pPr>
    </w:p>
    <w:p w14:paraId="0FE26544" w14:textId="77777777" w:rsidR="006E4003" w:rsidRPr="00194E1C" w:rsidRDefault="006E4003" w:rsidP="006E4003">
      <w:pPr>
        <w:tabs>
          <w:tab w:val="left" w:pos="851"/>
        </w:tabs>
        <w:ind w:left="851"/>
        <w:rPr>
          <w:sz w:val="24"/>
          <w:szCs w:val="24"/>
        </w:rPr>
      </w:pPr>
      <w:proofErr w:type="spellStart"/>
      <w:r w:rsidRPr="00194E1C">
        <w:rPr>
          <w:sz w:val="24"/>
          <w:szCs w:val="24"/>
        </w:rPr>
        <w:t>Glukokortikoider</w:t>
      </w:r>
      <w:proofErr w:type="spellEnd"/>
      <w:r w:rsidRPr="00194E1C">
        <w:rPr>
          <w:sz w:val="24"/>
          <w:szCs w:val="24"/>
        </w:rPr>
        <w:t xml:space="preserve">, f.eks. </w:t>
      </w:r>
      <w:proofErr w:type="spellStart"/>
      <w:r w:rsidRPr="00194E1C">
        <w:rPr>
          <w:sz w:val="24"/>
          <w:szCs w:val="24"/>
        </w:rPr>
        <w:t>dexamethason</w:t>
      </w:r>
      <w:proofErr w:type="spellEnd"/>
      <w:r w:rsidRPr="00194E1C">
        <w:rPr>
          <w:sz w:val="24"/>
          <w:szCs w:val="24"/>
        </w:rPr>
        <w:t xml:space="preserve">, udøver deres biologiske virkninger ved at aktivere transskriptionen af </w:t>
      </w:r>
      <w:proofErr w:type="spellStart"/>
      <w:r w:rsidRPr="00194E1C">
        <w:rPr>
          <w:sz w:val="24"/>
          <w:szCs w:val="24"/>
        </w:rPr>
        <w:t>kortikosteroidfølsomme</w:t>
      </w:r>
      <w:proofErr w:type="spellEnd"/>
      <w:r w:rsidRPr="00194E1C">
        <w:rPr>
          <w:sz w:val="24"/>
          <w:szCs w:val="24"/>
        </w:rPr>
        <w:t xml:space="preserve"> gener. De antiinflammatoriske, immunsuppressive og </w:t>
      </w:r>
      <w:proofErr w:type="spellStart"/>
      <w:r w:rsidRPr="00194E1C">
        <w:rPr>
          <w:sz w:val="24"/>
          <w:szCs w:val="24"/>
        </w:rPr>
        <w:t>antiproliferative</w:t>
      </w:r>
      <w:proofErr w:type="spellEnd"/>
      <w:r w:rsidRPr="00194E1C">
        <w:rPr>
          <w:sz w:val="24"/>
          <w:szCs w:val="24"/>
        </w:rPr>
        <w:t xml:space="preserve"> virkninger er forårsaget af reduceret dannelse, frigørelse og aktivitet af inflammatoriske </w:t>
      </w:r>
      <w:proofErr w:type="spellStart"/>
      <w:r w:rsidRPr="00194E1C">
        <w:rPr>
          <w:sz w:val="24"/>
          <w:szCs w:val="24"/>
        </w:rPr>
        <w:t>mediatorer</w:t>
      </w:r>
      <w:proofErr w:type="spellEnd"/>
      <w:r w:rsidRPr="00194E1C">
        <w:rPr>
          <w:sz w:val="24"/>
          <w:szCs w:val="24"/>
        </w:rPr>
        <w:t xml:space="preserve">, ved hæmningen af specifikke funktioner og migrationen af inflammatoriske celler. Desuden kan virkningen af sensibiliserede T-lymfocytter og makrofager på målceller blive forhindret af </w:t>
      </w:r>
      <w:proofErr w:type="spellStart"/>
      <w:r w:rsidRPr="00194E1C">
        <w:rPr>
          <w:sz w:val="24"/>
          <w:szCs w:val="24"/>
        </w:rPr>
        <w:t>kortikosteroider</w:t>
      </w:r>
      <w:proofErr w:type="spellEnd"/>
      <w:r w:rsidRPr="00194E1C">
        <w:rPr>
          <w:sz w:val="24"/>
          <w:szCs w:val="24"/>
        </w:rPr>
        <w:t>.</w:t>
      </w:r>
    </w:p>
    <w:p w14:paraId="7B5391E1" w14:textId="77777777" w:rsidR="006E4003" w:rsidRPr="00194E1C" w:rsidRDefault="006E4003" w:rsidP="006E4003">
      <w:pPr>
        <w:tabs>
          <w:tab w:val="left" w:pos="851"/>
        </w:tabs>
        <w:ind w:left="851"/>
        <w:rPr>
          <w:sz w:val="24"/>
          <w:szCs w:val="24"/>
        </w:rPr>
      </w:pPr>
    </w:p>
    <w:p w14:paraId="50105D13" w14:textId="77777777" w:rsidR="006E4003" w:rsidRPr="00194E1C" w:rsidRDefault="006E4003" w:rsidP="006E4003">
      <w:pPr>
        <w:tabs>
          <w:tab w:val="left" w:pos="851"/>
        </w:tabs>
        <w:ind w:left="851"/>
        <w:rPr>
          <w:sz w:val="24"/>
          <w:szCs w:val="24"/>
        </w:rPr>
      </w:pPr>
      <w:r w:rsidRPr="00194E1C">
        <w:rPr>
          <w:sz w:val="24"/>
          <w:szCs w:val="24"/>
        </w:rPr>
        <w:t xml:space="preserve">Når det er nødvendigt med langvarig </w:t>
      </w:r>
      <w:proofErr w:type="spellStart"/>
      <w:r w:rsidRPr="00194E1C">
        <w:rPr>
          <w:sz w:val="24"/>
          <w:szCs w:val="24"/>
        </w:rPr>
        <w:t>kortikoidbehandling</w:t>
      </w:r>
      <w:proofErr w:type="spellEnd"/>
      <w:r w:rsidRPr="00194E1C">
        <w:rPr>
          <w:sz w:val="24"/>
          <w:szCs w:val="24"/>
        </w:rPr>
        <w:t xml:space="preserve">, skal muligheden for induktion af forbigående </w:t>
      </w:r>
      <w:proofErr w:type="spellStart"/>
      <w:r w:rsidRPr="00194E1C">
        <w:rPr>
          <w:sz w:val="24"/>
          <w:szCs w:val="24"/>
        </w:rPr>
        <w:t>adrenal</w:t>
      </w:r>
      <w:proofErr w:type="spellEnd"/>
      <w:r w:rsidRPr="00194E1C">
        <w:rPr>
          <w:sz w:val="24"/>
          <w:szCs w:val="24"/>
        </w:rPr>
        <w:t xml:space="preserve"> insufficiens overvejes. Undertrykkelsen af </w:t>
      </w:r>
      <w:proofErr w:type="spellStart"/>
      <w:r w:rsidRPr="00194E1C">
        <w:rPr>
          <w:sz w:val="24"/>
          <w:szCs w:val="24"/>
        </w:rPr>
        <w:t>hypothalamus</w:t>
      </w:r>
      <w:proofErr w:type="spellEnd"/>
      <w:r w:rsidRPr="00194E1C">
        <w:rPr>
          <w:sz w:val="24"/>
          <w:szCs w:val="24"/>
        </w:rPr>
        <w:t>-hypofyse-binyrebark-aksen afhænger også af individuelle faktorer.</w:t>
      </w:r>
    </w:p>
    <w:p w14:paraId="1ECF70F4" w14:textId="77777777" w:rsidR="006E4003" w:rsidRPr="00194E1C" w:rsidRDefault="006E4003" w:rsidP="006E4003">
      <w:pPr>
        <w:tabs>
          <w:tab w:val="left" w:pos="851"/>
        </w:tabs>
        <w:ind w:left="851"/>
        <w:rPr>
          <w:sz w:val="24"/>
          <w:szCs w:val="24"/>
        </w:rPr>
      </w:pPr>
    </w:p>
    <w:p w14:paraId="172D0C52" w14:textId="77777777" w:rsidR="006E4003" w:rsidRPr="00194E1C" w:rsidRDefault="006E4003" w:rsidP="006E4003">
      <w:pPr>
        <w:tabs>
          <w:tab w:val="left" w:pos="851"/>
        </w:tabs>
        <w:ind w:left="851"/>
        <w:rPr>
          <w:i/>
          <w:iCs/>
          <w:sz w:val="24"/>
          <w:szCs w:val="24"/>
          <w:u w:val="single"/>
        </w:rPr>
      </w:pPr>
      <w:r w:rsidRPr="00194E1C">
        <w:rPr>
          <w:i/>
          <w:iCs/>
          <w:sz w:val="24"/>
          <w:szCs w:val="24"/>
          <w:u w:val="single"/>
        </w:rPr>
        <w:t>Klinisk effekt og sikkerhed – COVID-19</w:t>
      </w:r>
    </w:p>
    <w:p w14:paraId="363E6ACD" w14:textId="77777777" w:rsidR="006E4003" w:rsidRPr="00194E1C" w:rsidRDefault="006E4003" w:rsidP="006E4003">
      <w:pPr>
        <w:tabs>
          <w:tab w:val="left" w:pos="851"/>
        </w:tabs>
        <w:ind w:left="851"/>
        <w:rPr>
          <w:i/>
          <w:iCs/>
          <w:sz w:val="24"/>
          <w:szCs w:val="24"/>
          <w:u w:val="single"/>
        </w:rPr>
      </w:pPr>
    </w:p>
    <w:p w14:paraId="1393F91E" w14:textId="77777777" w:rsidR="006E4003" w:rsidRPr="00194E1C" w:rsidRDefault="006E4003" w:rsidP="006E4003">
      <w:pPr>
        <w:tabs>
          <w:tab w:val="left" w:pos="851"/>
        </w:tabs>
        <w:ind w:left="851"/>
        <w:rPr>
          <w:sz w:val="24"/>
          <w:szCs w:val="24"/>
          <w:u w:val="single"/>
        </w:rPr>
      </w:pPr>
      <w:r w:rsidRPr="00194E1C">
        <w:rPr>
          <w:sz w:val="24"/>
          <w:szCs w:val="24"/>
          <w:u w:val="single"/>
        </w:rPr>
        <w:t>Klinisk effekt</w:t>
      </w:r>
    </w:p>
    <w:p w14:paraId="2EC8A1AE" w14:textId="77777777" w:rsidR="006E4003" w:rsidRPr="00194E1C" w:rsidRDefault="006E4003" w:rsidP="006E4003">
      <w:pPr>
        <w:tabs>
          <w:tab w:val="left" w:pos="851"/>
        </w:tabs>
        <w:ind w:left="851"/>
        <w:rPr>
          <w:sz w:val="24"/>
          <w:szCs w:val="24"/>
          <w:u w:val="single"/>
        </w:rPr>
      </w:pPr>
    </w:p>
    <w:p w14:paraId="61EF6960" w14:textId="77777777" w:rsidR="006E4003" w:rsidRPr="00194E1C" w:rsidRDefault="006E4003" w:rsidP="006E4003">
      <w:pPr>
        <w:tabs>
          <w:tab w:val="left" w:pos="851"/>
        </w:tabs>
        <w:ind w:left="851"/>
        <w:rPr>
          <w:sz w:val="24"/>
          <w:szCs w:val="24"/>
        </w:rPr>
      </w:pPr>
      <w:r w:rsidRPr="00194E1C">
        <w:rPr>
          <w:sz w:val="24"/>
          <w:szCs w:val="24"/>
        </w:rPr>
        <w:t>RECOVERY-studiet (</w:t>
      </w:r>
      <w:proofErr w:type="spellStart"/>
      <w:r w:rsidRPr="00194E1C">
        <w:rPr>
          <w:sz w:val="24"/>
          <w:szCs w:val="24"/>
        </w:rPr>
        <w:t>Randomized</w:t>
      </w:r>
      <w:proofErr w:type="spellEnd"/>
      <w:r w:rsidRPr="00194E1C">
        <w:rPr>
          <w:sz w:val="24"/>
          <w:szCs w:val="24"/>
        </w:rPr>
        <w:t xml:space="preserve"> Evaluation of COVid-19 </w:t>
      </w:r>
      <w:proofErr w:type="spellStart"/>
      <w:r w:rsidRPr="00194E1C">
        <w:rPr>
          <w:sz w:val="24"/>
          <w:szCs w:val="24"/>
        </w:rPr>
        <w:t>thERapY</w:t>
      </w:r>
      <w:proofErr w:type="spellEnd"/>
      <w:r w:rsidRPr="00194E1C">
        <w:rPr>
          <w:sz w:val="24"/>
          <w:szCs w:val="24"/>
        </w:rPr>
        <w:t>)</w:t>
      </w:r>
      <w:r w:rsidRPr="00194E1C">
        <w:rPr>
          <w:rStyle w:val="Fodnotehenvisning"/>
          <w:sz w:val="24"/>
          <w:szCs w:val="24"/>
        </w:rPr>
        <w:footnoteReference w:id="1"/>
      </w:r>
      <w:r w:rsidRPr="00194E1C">
        <w:rPr>
          <w:sz w:val="24"/>
          <w:szCs w:val="24"/>
        </w:rPr>
        <w:t xml:space="preserve"> er et </w:t>
      </w:r>
      <w:proofErr w:type="spellStart"/>
      <w:r w:rsidRPr="00194E1C">
        <w:rPr>
          <w:sz w:val="24"/>
          <w:szCs w:val="24"/>
        </w:rPr>
        <w:t>investigator</w:t>
      </w:r>
      <w:proofErr w:type="spellEnd"/>
      <w:r w:rsidRPr="00194E1C">
        <w:rPr>
          <w:sz w:val="24"/>
          <w:szCs w:val="24"/>
        </w:rPr>
        <w:t>-initieret, individuelt randomiseret, kontrolleret, åbent, adaptivt platformstudie til evaluering af effekten af potentielle behandlinger hos patienter, der er indlagt med COVID 19.</w:t>
      </w:r>
    </w:p>
    <w:p w14:paraId="38AA678F" w14:textId="77777777" w:rsidR="006E4003" w:rsidRPr="00194E1C" w:rsidRDefault="006E4003" w:rsidP="006E4003">
      <w:pPr>
        <w:tabs>
          <w:tab w:val="left" w:pos="851"/>
        </w:tabs>
        <w:ind w:left="851"/>
        <w:rPr>
          <w:sz w:val="24"/>
          <w:szCs w:val="24"/>
        </w:rPr>
      </w:pPr>
    </w:p>
    <w:p w14:paraId="7C53B110" w14:textId="77777777" w:rsidR="006E4003" w:rsidRPr="00194E1C" w:rsidRDefault="006E4003" w:rsidP="006E4003">
      <w:pPr>
        <w:tabs>
          <w:tab w:val="left" w:pos="851"/>
        </w:tabs>
        <w:ind w:left="851"/>
        <w:rPr>
          <w:sz w:val="24"/>
          <w:szCs w:val="24"/>
        </w:rPr>
      </w:pPr>
      <w:r w:rsidRPr="00194E1C">
        <w:rPr>
          <w:sz w:val="24"/>
          <w:szCs w:val="24"/>
        </w:rPr>
        <w:t>Studiet blev udført på 176 hospitalsafdelinger i Storbritannien.</w:t>
      </w:r>
    </w:p>
    <w:p w14:paraId="31BCA408" w14:textId="77777777" w:rsidR="006E4003" w:rsidRPr="00194E1C" w:rsidRDefault="006E4003" w:rsidP="006E4003">
      <w:pPr>
        <w:tabs>
          <w:tab w:val="left" w:pos="851"/>
        </w:tabs>
        <w:ind w:left="851"/>
        <w:rPr>
          <w:sz w:val="24"/>
          <w:szCs w:val="24"/>
        </w:rPr>
      </w:pPr>
    </w:p>
    <w:p w14:paraId="2CED8C11" w14:textId="77777777" w:rsidR="006E4003" w:rsidRPr="00194E1C" w:rsidRDefault="006E4003" w:rsidP="006E4003">
      <w:pPr>
        <w:tabs>
          <w:tab w:val="left" w:pos="851"/>
        </w:tabs>
        <w:ind w:left="851"/>
        <w:rPr>
          <w:sz w:val="24"/>
          <w:szCs w:val="24"/>
        </w:rPr>
      </w:pPr>
      <w:r w:rsidRPr="00194E1C">
        <w:rPr>
          <w:sz w:val="24"/>
          <w:szCs w:val="24"/>
        </w:rPr>
        <w:t xml:space="preserve">6.425 patienter blev randomiserede til enten at få </w:t>
      </w:r>
      <w:proofErr w:type="spellStart"/>
      <w:r w:rsidRPr="00194E1C">
        <w:rPr>
          <w:sz w:val="24"/>
          <w:szCs w:val="24"/>
        </w:rPr>
        <w:t>dexamethason</w:t>
      </w:r>
      <w:proofErr w:type="spellEnd"/>
      <w:r w:rsidRPr="00194E1C">
        <w:rPr>
          <w:sz w:val="24"/>
          <w:szCs w:val="24"/>
        </w:rPr>
        <w:t xml:space="preserve"> (2.104 patienter) eller almindelig pleje alene (4.321 patienter). 89 % af patienterne havde laboratoriebekræftet SARS </w:t>
      </w:r>
      <w:proofErr w:type="spellStart"/>
      <w:r w:rsidRPr="00194E1C">
        <w:rPr>
          <w:sz w:val="24"/>
          <w:szCs w:val="24"/>
        </w:rPr>
        <w:t>CoV</w:t>
      </w:r>
      <w:proofErr w:type="spellEnd"/>
      <w:r w:rsidRPr="00194E1C">
        <w:rPr>
          <w:sz w:val="24"/>
          <w:szCs w:val="24"/>
        </w:rPr>
        <w:t xml:space="preserve"> 2-infektion.</w:t>
      </w:r>
    </w:p>
    <w:p w14:paraId="302334C1" w14:textId="77777777" w:rsidR="006E4003" w:rsidRPr="00194E1C" w:rsidRDefault="006E4003" w:rsidP="006E4003">
      <w:pPr>
        <w:tabs>
          <w:tab w:val="left" w:pos="851"/>
        </w:tabs>
        <w:ind w:left="851"/>
        <w:rPr>
          <w:sz w:val="24"/>
          <w:szCs w:val="24"/>
        </w:rPr>
      </w:pPr>
    </w:p>
    <w:p w14:paraId="51AB9C04" w14:textId="77777777" w:rsidR="006E4003" w:rsidRPr="00194E1C" w:rsidRDefault="006E4003" w:rsidP="006E4003">
      <w:pPr>
        <w:tabs>
          <w:tab w:val="left" w:pos="851"/>
        </w:tabs>
        <w:ind w:left="851"/>
        <w:rPr>
          <w:sz w:val="24"/>
          <w:szCs w:val="24"/>
        </w:rPr>
      </w:pPr>
      <w:r w:rsidRPr="00194E1C">
        <w:rPr>
          <w:sz w:val="24"/>
          <w:szCs w:val="24"/>
        </w:rPr>
        <w:t xml:space="preserve">Ved </w:t>
      </w:r>
      <w:proofErr w:type="spellStart"/>
      <w:r w:rsidRPr="00194E1C">
        <w:rPr>
          <w:sz w:val="24"/>
          <w:szCs w:val="24"/>
        </w:rPr>
        <w:t>randomisering</w:t>
      </w:r>
      <w:proofErr w:type="spellEnd"/>
      <w:r w:rsidRPr="00194E1C">
        <w:rPr>
          <w:sz w:val="24"/>
          <w:szCs w:val="24"/>
        </w:rPr>
        <w:t xml:space="preserve"> fik 16 % af patienterne invasiv mekanisk ventilation eller ekstrakorporal </w:t>
      </w:r>
      <w:proofErr w:type="spellStart"/>
      <w:r w:rsidRPr="00194E1C">
        <w:rPr>
          <w:sz w:val="24"/>
          <w:szCs w:val="24"/>
        </w:rPr>
        <w:t>membranoxygenering</w:t>
      </w:r>
      <w:proofErr w:type="spellEnd"/>
      <w:r w:rsidRPr="00194E1C">
        <w:rPr>
          <w:sz w:val="24"/>
          <w:szCs w:val="24"/>
        </w:rPr>
        <w:t>, 60 % fik kun ilt (med eller uden non invasiv ventilation) og 24 % fik ingen af delene.</w:t>
      </w:r>
    </w:p>
    <w:p w14:paraId="3F8D1F5E" w14:textId="77777777" w:rsidR="006E4003" w:rsidRPr="00194E1C" w:rsidRDefault="006E4003" w:rsidP="006E4003">
      <w:pPr>
        <w:tabs>
          <w:tab w:val="left" w:pos="851"/>
        </w:tabs>
        <w:ind w:left="851"/>
        <w:rPr>
          <w:sz w:val="24"/>
          <w:szCs w:val="24"/>
        </w:rPr>
      </w:pPr>
    </w:p>
    <w:p w14:paraId="23F931CA" w14:textId="77777777" w:rsidR="006E4003" w:rsidRPr="00194E1C" w:rsidRDefault="006E4003" w:rsidP="006E4003">
      <w:pPr>
        <w:tabs>
          <w:tab w:val="left" w:pos="851"/>
        </w:tabs>
        <w:ind w:left="851"/>
        <w:rPr>
          <w:sz w:val="24"/>
          <w:szCs w:val="24"/>
        </w:rPr>
      </w:pPr>
      <w:r w:rsidRPr="00194E1C">
        <w:rPr>
          <w:sz w:val="24"/>
          <w:szCs w:val="24"/>
        </w:rPr>
        <w:lastRenderedPageBreak/>
        <w:t>Patienternes gennemsnitsalder var 66,1+/-15,7 år. 36 % af patienterne var kvinder. 24 % af patienterne havde diabetes, 27 % havde hjertesygdom og 21 % havde kronisk lungesygdom.</w:t>
      </w:r>
    </w:p>
    <w:p w14:paraId="29F7E7A7" w14:textId="77777777" w:rsidR="006E4003" w:rsidRPr="00194E1C" w:rsidRDefault="006E4003" w:rsidP="006E4003">
      <w:pPr>
        <w:tabs>
          <w:tab w:val="left" w:pos="851"/>
        </w:tabs>
        <w:ind w:left="851"/>
        <w:rPr>
          <w:sz w:val="24"/>
          <w:szCs w:val="24"/>
        </w:rPr>
      </w:pPr>
    </w:p>
    <w:p w14:paraId="267EC045" w14:textId="77777777" w:rsidR="006E4003" w:rsidRPr="00194E1C" w:rsidRDefault="006E4003" w:rsidP="006E4003">
      <w:pPr>
        <w:tabs>
          <w:tab w:val="left" w:pos="851"/>
        </w:tabs>
        <w:ind w:left="851"/>
        <w:rPr>
          <w:b/>
          <w:bCs/>
          <w:sz w:val="24"/>
          <w:szCs w:val="24"/>
        </w:rPr>
      </w:pPr>
      <w:r w:rsidRPr="00194E1C">
        <w:rPr>
          <w:b/>
          <w:bCs/>
          <w:sz w:val="24"/>
          <w:szCs w:val="24"/>
        </w:rPr>
        <w:t>Primært endepunkt</w:t>
      </w:r>
    </w:p>
    <w:p w14:paraId="67A2DF4C" w14:textId="77777777" w:rsidR="006E4003" w:rsidRPr="00194E1C" w:rsidRDefault="006E4003" w:rsidP="006E4003">
      <w:pPr>
        <w:tabs>
          <w:tab w:val="left" w:pos="851"/>
        </w:tabs>
        <w:ind w:left="851"/>
        <w:rPr>
          <w:b/>
          <w:bCs/>
          <w:sz w:val="24"/>
          <w:szCs w:val="24"/>
        </w:rPr>
      </w:pPr>
    </w:p>
    <w:p w14:paraId="6E5D4458" w14:textId="77777777" w:rsidR="006E4003" w:rsidRPr="00194E1C" w:rsidRDefault="006E4003" w:rsidP="006E4003">
      <w:pPr>
        <w:tabs>
          <w:tab w:val="left" w:pos="851"/>
        </w:tabs>
        <w:ind w:left="851"/>
        <w:rPr>
          <w:sz w:val="24"/>
          <w:szCs w:val="24"/>
        </w:rPr>
      </w:pPr>
      <w:r w:rsidRPr="00194E1C">
        <w:rPr>
          <w:sz w:val="24"/>
          <w:szCs w:val="24"/>
        </w:rPr>
        <w:t xml:space="preserve">Dødeligheden efter 28 dage var signifikant lavere i </w:t>
      </w:r>
      <w:proofErr w:type="spellStart"/>
      <w:r w:rsidRPr="00194E1C">
        <w:rPr>
          <w:sz w:val="24"/>
          <w:szCs w:val="24"/>
        </w:rPr>
        <w:t>dexamethasongruppen</w:t>
      </w:r>
      <w:proofErr w:type="spellEnd"/>
      <w:r w:rsidRPr="00194E1C">
        <w:rPr>
          <w:sz w:val="24"/>
          <w:szCs w:val="24"/>
        </w:rPr>
        <w:t xml:space="preserve"> end i gruppen, der fik almindelig pleje, med rapporterede dødsfald hos henholdsvis 482 ud af 2.104 patienter (22,9 %) og hos 1.110 ud af 4.321 patienter (25,7 %) (rate ratio, 0,83; 95 % konfidensinterval [CI], 0,75-0,93; p &lt;0,001).</w:t>
      </w:r>
    </w:p>
    <w:p w14:paraId="0B13C6BA" w14:textId="77777777" w:rsidR="006E4003" w:rsidRPr="00194E1C" w:rsidRDefault="006E4003" w:rsidP="006E4003">
      <w:pPr>
        <w:tabs>
          <w:tab w:val="left" w:pos="851"/>
        </w:tabs>
        <w:ind w:left="851"/>
        <w:rPr>
          <w:sz w:val="24"/>
          <w:szCs w:val="24"/>
        </w:rPr>
      </w:pPr>
    </w:p>
    <w:p w14:paraId="10BB90A2" w14:textId="77777777" w:rsidR="006E4003" w:rsidRPr="00194E1C" w:rsidRDefault="006E4003" w:rsidP="006E4003">
      <w:pPr>
        <w:tabs>
          <w:tab w:val="left" w:pos="851"/>
        </w:tabs>
        <w:ind w:left="851"/>
        <w:rPr>
          <w:sz w:val="24"/>
          <w:szCs w:val="24"/>
        </w:rPr>
      </w:pPr>
      <w:r w:rsidRPr="00194E1C">
        <w:rPr>
          <w:sz w:val="24"/>
          <w:szCs w:val="24"/>
        </w:rPr>
        <w:t xml:space="preserve">I </w:t>
      </w:r>
      <w:proofErr w:type="spellStart"/>
      <w:r w:rsidRPr="00194E1C">
        <w:rPr>
          <w:sz w:val="24"/>
          <w:szCs w:val="24"/>
        </w:rPr>
        <w:t>dexamethasongruppen</w:t>
      </w:r>
      <w:proofErr w:type="spellEnd"/>
      <w:r w:rsidRPr="00194E1C">
        <w:rPr>
          <w:sz w:val="24"/>
          <w:szCs w:val="24"/>
        </w:rPr>
        <w:t xml:space="preserve"> var </w:t>
      </w:r>
      <w:proofErr w:type="spellStart"/>
      <w:r w:rsidRPr="00194E1C">
        <w:rPr>
          <w:sz w:val="24"/>
          <w:szCs w:val="24"/>
        </w:rPr>
        <w:t>incidensen</w:t>
      </w:r>
      <w:proofErr w:type="spellEnd"/>
      <w:r w:rsidRPr="00194E1C">
        <w:rPr>
          <w:sz w:val="24"/>
          <w:szCs w:val="24"/>
        </w:rPr>
        <w:t xml:space="preserve"> af dødsfald lavere end i gruppen, der fik almindelig pleje, blandt patienter, der fik invasiv mekanisk ventilation (29,3 % vs. 41,4 %; rate ratio, 0,64; 95 % CI, 0,51-0.81), og hos patienter, der fik supplerende iltbehandling uden invasiv mekanisk ventilation (23,3 % vs. 26,2 %; rate ratio, 0,82; 95 % CI, 0,72-0,94).</w:t>
      </w:r>
    </w:p>
    <w:p w14:paraId="06A86023" w14:textId="77777777" w:rsidR="006E4003" w:rsidRPr="00194E1C" w:rsidRDefault="006E4003" w:rsidP="006E4003">
      <w:pPr>
        <w:tabs>
          <w:tab w:val="left" w:pos="851"/>
        </w:tabs>
        <w:ind w:left="851"/>
        <w:rPr>
          <w:sz w:val="24"/>
          <w:szCs w:val="24"/>
        </w:rPr>
      </w:pPr>
    </w:p>
    <w:p w14:paraId="047CC48F" w14:textId="77777777" w:rsidR="006E4003" w:rsidRPr="00194E1C" w:rsidRDefault="006E4003" w:rsidP="006E4003">
      <w:pPr>
        <w:tabs>
          <w:tab w:val="left" w:pos="851"/>
        </w:tabs>
        <w:ind w:left="851"/>
        <w:rPr>
          <w:sz w:val="24"/>
          <w:szCs w:val="24"/>
        </w:rPr>
      </w:pPr>
      <w:r w:rsidRPr="00194E1C">
        <w:rPr>
          <w:sz w:val="24"/>
          <w:szCs w:val="24"/>
        </w:rPr>
        <w:t xml:space="preserve">Der var ingen klar effekt af </w:t>
      </w:r>
      <w:proofErr w:type="spellStart"/>
      <w:r w:rsidRPr="00194E1C">
        <w:rPr>
          <w:sz w:val="24"/>
          <w:szCs w:val="24"/>
        </w:rPr>
        <w:t>dexamethason</w:t>
      </w:r>
      <w:proofErr w:type="spellEnd"/>
      <w:r w:rsidRPr="00194E1C">
        <w:rPr>
          <w:sz w:val="24"/>
          <w:szCs w:val="24"/>
        </w:rPr>
        <w:t xml:space="preserve"> blandt patienter, der ikke fik respiratorisk støtte ved </w:t>
      </w:r>
      <w:proofErr w:type="spellStart"/>
      <w:r w:rsidRPr="00194E1C">
        <w:rPr>
          <w:sz w:val="24"/>
          <w:szCs w:val="24"/>
        </w:rPr>
        <w:t>randomisering</w:t>
      </w:r>
      <w:proofErr w:type="spellEnd"/>
      <w:r w:rsidRPr="00194E1C">
        <w:rPr>
          <w:sz w:val="24"/>
          <w:szCs w:val="24"/>
        </w:rPr>
        <w:t xml:space="preserve"> (17,8 % vs. 14,0 %; rate ratio, 1,19; 95 % CI, 0,91-1,55).</w:t>
      </w:r>
    </w:p>
    <w:p w14:paraId="418D4B03" w14:textId="77777777" w:rsidR="006E4003" w:rsidRPr="00194E1C" w:rsidRDefault="006E4003" w:rsidP="006E4003">
      <w:pPr>
        <w:tabs>
          <w:tab w:val="left" w:pos="851"/>
        </w:tabs>
        <w:ind w:left="851"/>
        <w:rPr>
          <w:sz w:val="24"/>
          <w:szCs w:val="24"/>
        </w:rPr>
      </w:pPr>
    </w:p>
    <w:p w14:paraId="64837A3E" w14:textId="77777777" w:rsidR="006E4003" w:rsidRPr="00194E1C" w:rsidRDefault="006E4003" w:rsidP="006E4003">
      <w:pPr>
        <w:tabs>
          <w:tab w:val="left" w:pos="851"/>
        </w:tabs>
        <w:ind w:left="851"/>
        <w:rPr>
          <w:b/>
          <w:bCs/>
          <w:sz w:val="24"/>
          <w:szCs w:val="24"/>
        </w:rPr>
      </w:pPr>
      <w:r w:rsidRPr="00194E1C">
        <w:rPr>
          <w:b/>
          <w:bCs/>
          <w:sz w:val="24"/>
          <w:szCs w:val="24"/>
        </w:rPr>
        <w:t>Sekundære endepunkter</w:t>
      </w:r>
    </w:p>
    <w:p w14:paraId="22F599A8" w14:textId="77777777" w:rsidR="006E4003" w:rsidRPr="00194E1C" w:rsidRDefault="006E4003" w:rsidP="006E4003">
      <w:pPr>
        <w:tabs>
          <w:tab w:val="left" w:pos="851"/>
        </w:tabs>
        <w:ind w:left="851"/>
        <w:rPr>
          <w:b/>
          <w:bCs/>
          <w:sz w:val="24"/>
          <w:szCs w:val="24"/>
        </w:rPr>
      </w:pPr>
    </w:p>
    <w:p w14:paraId="4314828B" w14:textId="77777777" w:rsidR="006E4003" w:rsidRPr="00194E1C" w:rsidRDefault="006E4003" w:rsidP="006E4003">
      <w:pPr>
        <w:tabs>
          <w:tab w:val="left" w:pos="851"/>
        </w:tabs>
        <w:ind w:left="851"/>
        <w:rPr>
          <w:sz w:val="24"/>
          <w:szCs w:val="24"/>
        </w:rPr>
      </w:pPr>
      <w:r w:rsidRPr="00194E1C">
        <w:rPr>
          <w:sz w:val="24"/>
          <w:szCs w:val="24"/>
        </w:rPr>
        <w:t xml:space="preserve">Patienterne i </w:t>
      </w:r>
      <w:proofErr w:type="spellStart"/>
      <w:r w:rsidRPr="00194E1C">
        <w:rPr>
          <w:sz w:val="24"/>
          <w:szCs w:val="24"/>
        </w:rPr>
        <w:t>dexamethasongruppen</w:t>
      </w:r>
      <w:proofErr w:type="spellEnd"/>
      <w:r w:rsidRPr="00194E1C">
        <w:rPr>
          <w:sz w:val="24"/>
          <w:szCs w:val="24"/>
        </w:rPr>
        <w:t xml:space="preserve"> havde en kortere indlæggelsestid end patienterne i gruppen, der fik almindelig pleje (gennemsnit, 12 dage vs. 13 dage), og en større sandsynlighed for at blive udskrevet i live inden for 28 dage (rate ratio, 1,10; 95 % CI, 1,03-1,17).</w:t>
      </w:r>
    </w:p>
    <w:p w14:paraId="04E0F766" w14:textId="77777777" w:rsidR="006E4003" w:rsidRPr="00194E1C" w:rsidRDefault="006E4003" w:rsidP="006E4003">
      <w:pPr>
        <w:tabs>
          <w:tab w:val="left" w:pos="851"/>
        </w:tabs>
        <w:ind w:left="851"/>
        <w:rPr>
          <w:sz w:val="24"/>
          <w:szCs w:val="24"/>
        </w:rPr>
      </w:pPr>
    </w:p>
    <w:p w14:paraId="457FC2EB" w14:textId="77777777" w:rsidR="006E4003" w:rsidRPr="00194E1C" w:rsidRDefault="006E4003" w:rsidP="006E4003">
      <w:pPr>
        <w:tabs>
          <w:tab w:val="left" w:pos="851"/>
        </w:tabs>
        <w:ind w:left="851"/>
        <w:rPr>
          <w:sz w:val="24"/>
          <w:szCs w:val="24"/>
        </w:rPr>
      </w:pPr>
      <w:r w:rsidRPr="00194E1C">
        <w:rPr>
          <w:sz w:val="24"/>
          <w:szCs w:val="24"/>
        </w:rPr>
        <w:t xml:space="preserve">I overensstemmelse med det primære endepunkt sås den største effekt med hensyn til udskrivelse inden for 28 dage blandt patienter, der fik invasiv mekanisk ventilation ved </w:t>
      </w:r>
      <w:proofErr w:type="spellStart"/>
      <w:r w:rsidRPr="00194E1C">
        <w:rPr>
          <w:sz w:val="24"/>
          <w:szCs w:val="24"/>
        </w:rPr>
        <w:t>randomisering</w:t>
      </w:r>
      <w:proofErr w:type="spellEnd"/>
      <w:r w:rsidRPr="00194E1C">
        <w:rPr>
          <w:sz w:val="24"/>
          <w:szCs w:val="24"/>
        </w:rPr>
        <w:t xml:space="preserve"> (rate ratio 1,48; 95 % CI 1,16-1,90), efterfulgt af ilt alene (rate ratio, 1,15; 95 % CI, 1,06-1,24) og ingen gavnlig effekt hos patienter, der ikke fik ilt (rate ratio, 0,96; 95 % CI, 0,85-1,08).</w:t>
      </w:r>
    </w:p>
    <w:p w14:paraId="51659A6B" w14:textId="77777777" w:rsidR="006E4003" w:rsidRPr="00194E1C" w:rsidRDefault="006E4003" w:rsidP="006E4003">
      <w:pPr>
        <w:tabs>
          <w:tab w:val="left" w:pos="851"/>
        </w:tabs>
        <w:ind w:left="851"/>
        <w:rPr>
          <w:sz w:val="24"/>
          <w:szCs w:val="24"/>
        </w:rPr>
      </w:pPr>
    </w:p>
    <w:tbl>
      <w:tblPr>
        <w:tblW w:w="8647"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2078"/>
        <w:gridCol w:w="1891"/>
        <w:gridCol w:w="1701"/>
      </w:tblGrid>
      <w:tr w:rsidR="006E4003" w:rsidRPr="00303B8F" w14:paraId="7A353A3A" w14:textId="77777777">
        <w:tc>
          <w:tcPr>
            <w:tcW w:w="2977" w:type="dxa"/>
            <w:tcBorders>
              <w:top w:val="single" w:sz="4" w:space="0" w:color="auto"/>
              <w:left w:val="single" w:sz="4" w:space="0" w:color="auto"/>
              <w:bottom w:val="nil"/>
              <w:right w:val="nil"/>
            </w:tcBorders>
          </w:tcPr>
          <w:p w14:paraId="41E1EE09" w14:textId="77777777" w:rsidR="006E4003" w:rsidRPr="003526C2" w:rsidRDefault="006E4003">
            <w:pPr>
              <w:rPr>
                <w:b/>
                <w:sz w:val="22"/>
                <w:szCs w:val="22"/>
              </w:rPr>
            </w:pPr>
          </w:p>
          <w:p w14:paraId="1375B014" w14:textId="77777777" w:rsidR="006E4003" w:rsidRPr="003526C2" w:rsidRDefault="006E4003">
            <w:pPr>
              <w:rPr>
                <w:b/>
                <w:sz w:val="22"/>
                <w:szCs w:val="22"/>
              </w:rPr>
            </w:pPr>
            <w:r w:rsidRPr="003526C2">
              <w:rPr>
                <w:b/>
                <w:sz w:val="22"/>
                <w:szCs w:val="22"/>
              </w:rPr>
              <w:t>Resultat</w:t>
            </w:r>
          </w:p>
        </w:tc>
        <w:tc>
          <w:tcPr>
            <w:tcW w:w="2078" w:type="dxa"/>
            <w:tcBorders>
              <w:top w:val="single" w:sz="4" w:space="0" w:color="auto"/>
              <w:left w:val="nil"/>
              <w:bottom w:val="nil"/>
              <w:right w:val="nil"/>
            </w:tcBorders>
            <w:hideMark/>
          </w:tcPr>
          <w:p w14:paraId="24F0BCD2" w14:textId="77777777" w:rsidR="006E4003" w:rsidRPr="003526C2" w:rsidRDefault="006E4003">
            <w:pPr>
              <w:jc w:val="center"/>
              <w:rPr>
                <w:b/>
                <w:sz w:val="22"/>
                <w:szCs w:val="22"/>
              </w:rPr>
            </w:pPr>
            <w:proofErr w:type="spellStart"/>
            <w:r w:rsidRPr="003526C2">
              <w:rPr>
                <w:b/>
                <w:sz w:val="22"/>
                <w:szCs w:val="22"/>
              </w:rPr>
              <w:t>Dexamethason</w:t>
            </w:r>
            <w:proofErr w:type="spellEnd"/>
          </w:p>
          <w:p w14:paraId="428877B1" w14:textId="77777777" w:rsidR="006E4003" w:rsidRPr="003526C2" w:rsidRDefault="006E4003">
            <w:pPr>
              <w:jc w:val="center"/>
              <w:rPr>
                <w:b/>
                <w:sz w:val="22"/>
                <w:szCs w:val="22"/>
              </w:rPr>
            </w:pPr>
            <w:r w:rsidRPr="003526C2">
              <w:rPr>
                <w:b/>
                <w:sz w:val="22"/>
                <w:szCs w:val="22"/>
              </w:rPr>
              <w:t>(N = 2104)</w:t>
            </w:r>
          </w:p>
        </w:tc>
        <w:tc>
          <w:tcPr>
            <w:tcW w:w="1891" w:type="dxa"/>
            <w:tcBorders>
              <w:top w:val="single" w:sz="4" w:space="0" w:color="auto"/>
              <w:left w:val="nil"/>
              <w:bottom w:val="nil"/>
              <w:right w:val="nil"/>
            </w:tcBorders>
          </w:tcPr>
          <w:p w14:paraId="08648C02" w14:textId="77777777" w:rsidR="006E4003" w:rsidRPr="003526C2" w:rsidRDefault="006E4003">
            <w:pPr>
              <w:jc w:val="center"/>
              <w:rPr>
                <w:b/>
                <w:sz w:val="22"/>
                <w:szCs w:val="22"/>
              </w:rPr>
            </w:pPr>
            <w:r w:rsidRPr="003526C2">
              <w:rPr>
                <w:b/>
                <w:sz w:val="22"/>
                <w:szCs w:val="22"/>
              </w:rPr>
              <w:t>Almindelig pleje</w:t>
            </w:r>
          </w:p>
          <w:p w14:paraId="145BDFE0" w14:textId="77777777" w:rsidR="006E4003" w:rsidRPr="003526C2" w:rsidRDefault="006E4003">
            <w:pPr>
              <w:jc w:val="center"/>
              <w:rPr>
                <w:b/>
                <w:sz w:val="22"/>
                <w:szCs w:val="22"/>
              </w:rPr>
            </w:pPr>
            <w:r w:rsidRPr="003526C2">
              <w:rPr>
                <w:b/>
                <w:sz w:val="22"/>
                <w:szCs w:val="22"/>
              </w:rPr>
              <w:t>(N = 4321)</w:t>
            </w:r>
          </w:p>
          <w:p w14:paraId="23A8623A" w14:textId="77777777" w:rsidR="006E4003" w:rsidRPr="003526C2" w:rsidRDefault="006E4003">
            <w:pPr>
              <w:jc w:val="center"/>
              <w:rPr>
                <w:b/>
                <w:sz w:val="22"/>
                <w:szCs w:val="22"/>
              </w:rPr>
            </w:pPr>
          </w:p>
        </w:tc>
        <w:tc>
          <w:tcPr>
            <w:tcW w:w="1701" w:type="dxa"/>
            <w:tcBorders>
              <w:top w:val="single" w:sz="4" w:space="0" w:color="auto"/>
              <w:left w:val="nil"/>
              <w:bottom w:val="nil"/>
              <w:right w:val="single" w:sz="4" w:space="0" w:color="auto"/>
            </w:tcBorders>
            <w:hideMark/>
          </w:tcPr>
          <w:p w14:paraId="0DCD1A59" w14:textId="77777777" w:rsidR="006E4003" w:rsidRPr="009F61AE" w:rsidRDefault="006E4003">
            <w:pPr>
              <w:jc w:val="center"/>
              <w:rPr>
                <w:b/>
                <w:sz w:val="22"/>
                <w:szCs w:val="22"/>
                <w:lang w:val="sv-SE"/>
              </w:rPr>
            </w:pPr>
            <w:r w:rsidRPr="009F61AE">
              <w:rPr>
                <w:b/>
                <w:sz w:val="22"/>
                <w:szCs w:val="22"/>
                <w:lang w:val="sv-SE"/>
              </w:rPr>
              <w:t xml:space="preserve">Rate eller risk </w:t>
            </w:r>
            <w:proofErr w:type="spellStart"/>
            <w:r w:rsidRPr="009F61AE">
              <w:rPr>
                <w:b/>
                <w:sz w:val="22"/>
                <w:szCs w:val="22"/>
                <w:lang w:val="sv-SE"/>
              </w:rPr>
              <w:t>ratio</w:t>
            </w:r>
            <w:proofErr w:type="spellEnd"/>
          </w:p>
          <w:p w14:paraId="1078828E" w14:textId="77777777" w:rsidR="006E4003" w:rsidRPr="009F61AE" w:rsidRDefault="006E4003">
            <w:pPr>
              <w:jc w:val="center"/>
              <w:rPr>
                <w:b/>
                <w:sz w:val="22"/>
                <w:szCs w:val="22"/>
                <w:lang w:val="sv-SE"/>
              </w:rPr>
            </w:pPr>
            <w:r w:rsidRPr="009F61AE">
              <w:rPr>
                <w:b/>
                <w:sz w:val="22"/>
                <w:szCs w:val="22"/>
                <w:lang w:val="sv-SE"/>
              </w:rPr>
              <w:t>(95% CI)</w:t>
            </w:r>
            <w:r w:rsidRPr="009F61AE">
              <w:rPr>
                <w:sz w:val="22"/>
                <w:szCs w:val="22"/>
                <w:lang w:val="sv-SE"/>
              </w:rPr>
              <w:t xml:space="preserve"> </w:t>
            </w:r>
            <w:r w:rsidRPr="009F61AE">
              <w:rPr>
                <w:b/>
                <w:sz w:val="22"/>
                <w:szCs w:val="22"/>
                <w:lang w:val="sv-SE"/>
              </w:rPr>
              <w:t>*</w:t>
            </w:r>
          </w:p>
        </w:tc>
      </w:tr>
      <w:tr w:rsidR="006E4003" w:rsidRPr="003526C2" w14:paraId="2FBE871D" w14:textId="77777777">
        <w:tc>
          <w:tcPr>
            <w:tcW w:w="2977" w:type="dxa"/>
            <w:tcBorders>
              <w:top w:val="nil"/>
              <w:left w:val="single" w:sz="4" w:space="0" w:color="auto"/>
              <w:bottom w:val="nil"/>
              <w:right w:val="nil"/>
            </w:tcBorders>
          </w:tcPr>
          <w:p w14:paraId="6707CF8F" w14:textId="77777777" w:rsidR="006E4003" w:rsidRPr="009F61AE" w:rsidRDefault="006E4003">
            <w:pPr>
              <w:rPr>
                <w:b/>
                <w:sz w:val="22"/>
                <w:szCs w:val="22"/>
                <w:lang w:val="sv-SE"/>
              </w:rPr>
            </w:pPr>
          </w:p>
        </w:tc>
        <w:tc>
          <w:tcPr>
            <w:tcW w:w="5670" w:type="dxa"/>
            <w:gridSpan w:val="3"/>
            <w:tcBorders>
              <w:top w:val="nil"/>
              <w:left w:val="nil"/>
              <w:bottom w:val="nil"/>
              <w:right w:val="single" w:sz="4" w:space="0" w:color="auto"/>
            </w:tcBorders>
          </w:tcPr>
          <w:p w14:paraId="31B290F8" w14:textId="77777777" w:rsidR="006E4003" w:rsidRPr="003526C2" w:rsidRDefault="006E4003">
            <w:pPr>
              <w:jc w:val="center"/>
              <w:rPr>
                <w:i/>
                <w:iCs/>
                <w:sz w:val="22"/>
                <w:szCs w:val="22"/>
              </w:rPr>
            </w:pPr>
            <w:r w:rsidRPr="003526C2">
              <w:rPr>
                <w:i/>
                <w:iCs/>
                <w:sz w:val="22"/>
                <w:szCs w:val="22"/>
              </w:rPr>
              <w:t>antal/samlet antal patienter (%)</w:t>
            </w:r>
          </w:p>
          <w:p w14:paraId="2A7042C7" w14:textId="77777777" w:rsidR="006E4003" w:rsidRPr="003526C2" w:rsidRDefault="006E4003">
            <w:pPr>
              <w:jc w:val="center"/>
              <w:rPr>
                <w:b/>
                <w:sz w:val="22"/>
                <w:szCs w:val="22"/>
              </w:rPr>
            </w:pPr>
          </w:p>
        </w:tc>
      </w:tr>
      <w:tr w:rsidR="006E4003" w:rsidRPr="003526C2" w14:paraId="0A988738" w14:textId="77777777">
        <w:tc>
          <w:tcPr>
            <w:tcW w:w="2977" w:type="dxa"/>
            <w:tcBorders>
              <w:top w:val="nil"/>
              <w:left w:val="single" w:sz="4" w:space="0" w:color="auto"/>
              <w:bottom w:val="nil"/>
              <w:right w:val="nil"/>
            </w:tcBorders>
            <w:shd w:val="clear" w:color="auto" w:fill="E7E6E6"/>
            <w:hideMark/>
          </w:tcPr>
          <w:p w14:paraId="3B522D91" w14:textId="77777777" w:rsidR="006E4003" w:rsidRPr="003526C2" w:rsidRDefault="006E4003">
            <w:pPr>
              <w:spacing w:before="60" w:after="60"/>
              <w:rPr>
                <w:b/>
                <w:sz w:val="22"/>
                <w:szCs w:val="22"/>
              </w:rPr>
            </w:pPr>
            <w:r w:rsidRPr="003526C2">
              <w:rPr>
                <w:b/>
                <w:sz w:val="22"/>
                <w:szCs w:val="22"/>
              </w:rPr>
              <w:t>Primært resultat</w:t>
            </w:r>
          </w:p>
        </w:tc>
        <w:tc>
          <w:tcPr>
            <w:tcW w:w="2078" w:type="dxa"/>
            <w:tcBorders>
              <w:top w:val="nil"/>
              <w:left w:val="nil"/>
              <w:bottom w:val="nil"/>
              <w:right w:val="nil"/>
            </w:tcBorders>
            <w:shd w:val="clear" w:color="auto" w:fill="E7E6E6"/>
          </w:tcPr>
          <w:p w14:paraId="5AAAD8D5" w14:textId="77777777" w:rsidR="006E4003" w:rsidRPr="003526C2" w:rsidRDefault="006E4003">
            <w:pPr>
              <w:rPr>
                <w:sz w:val="22"/>
                <w:szCs w:val="22"/>
              </w:rPr>
            </w:pPr>
          </w:p>
        </w:tc>
        <w:tc>
          <w:tcPr>
            <w:tcW w:w="1891" w:type="dxa"/>
            <w:tcBorders>
              <w:top w:val="nil"/>
              <w:left w:val="nil"/>
              <w:bottom w:val="nil"/>
              <w:right w:val="nil"/>
            </w:tcBorders>
            <w:shd w:val="clear" w:color="auto" w:fill="E7E6E6"/>
          </w:tcPr>
          <w:p w14:paraId="674D5651" w14:textId="77777777" w:rsidR="006E4003" w:rsidRPr="003526C2" w:rsidRDefault="006E4003">
            <w:pPr>
              <w:rPr>
                <w:sz w:val="22"/>
                <w:szCs w:val="22"/>
              </w:rPr>
            </w:pPr>
          </w:p>
        </w:tc>
        <w:tc>
          <w:tcPr>
            <w:tcW w:w="1701" w:type="dxa"/>
            <w:tcBorders>
              <w:top w:val="nil"/>
              <w:left w:val="nil"/>
              <w:bottom w:val="nil"/>
              <w:right w:val="single" w:sz="4" w:space="0" w:color="auto"/>
            </w:tcBorders>
            <w:shd w:val="clear" w:color="auto" w:fill="E7E6E6"/>
          </w:tcPr>
          <w:p w14:paraId="1CF553B2" w14:textId="77777777" w:rsidR="006E4003" w:rsidRPr="003526C2" w:rsidRDefault="006E4003">
            <w:pPr>
              <w:rPr>
                <w:sz w:val="22"/>
                <w:szCs w:val="22"/>
              </w:rPr>
            </w:pPr>
          </w:p>
        </w:tc>
      </w:tr>
      <w:tr w:rsidR="006E4003" w:rsidRPr="003526C2" w14:paraId="76ADC43C" w14:textId="77777777">
        <w:tc>
          <w:tcPr>
            <w:tcW w:w="2977" w:type="dxa"/>
            <w:tcBorders>
              <w:top w:val="nil"/>
              <w:left w:val="single" w:sz="4" w:space="0" w:color="auto"/>
              <w:bottom w:val="nil"/>
              <w:right w:val="nil"/>
            </w:tcBorders>
            <w:hideMark/>
          </w:tcPr>
          <w:p w14:paraId="188821A0" w14:textId="77777777" w:rsidR="006E4003" w:rsidRPr="003526C2" w:rsidRDefault="006E4003">
            <w:pPr>
              <w:spacing w:before="60" w:after="60"/>
              <w:rPr>
                <w:sz w:val="22"/>
                <w:szCs w:val="22"/>
              </w:rPr>
            </w:pPr>
            <w:r w:rsidRPr="003526C2">
              <w:rPr>
                <w:sz w:val="22"/>
                <w:szCs w:val="22"/>
              </w:rPr>
              <w:t>Dødelighed efter 28 dage</w:t>
            </w:r>
          </w:p>
        </w:tc>
        <w:tc>
          <w:tcPr>
            <w:tcW w:w="2078" w:type="dxa"/>
            <w:tcBorders>
              <w:top w:val="nil"/>
              <w:left w:val="nil"/>
              <w:bottom w:val="nil"/>
              <w:right w:val="nil"/>
            </w:tcBorders>
            <w:hideMark/>
          </w:tcPr>
          <w:p w14:paraId="397EA608" w14:textId="77777777" w:rsidR="006E4003" w:rsidRPr="003526C2" w:rsidRDefault="006E4003">
            <w:pPr>
              <w:spacing w:before="60" w:after="60"/>
              <w:rPr>
                <w:sz w:val="22"/>
                <w:szCs w:val="22"/>
              </w:rPr>
            </w:pPr>
            <w:r w:rsidRPr="003526C2">
              <w:rPr>
                <w:sz w:val="22"/>
                <w:szCs w:val="22"/>
              </w:rPr>
              <w:t>482/2.104 (22,9)</w:t>
            </w:r>
          </w:p>
        </w:tc>
        <w:tc>
          <w:tcPr>
            <w:tcW w:w="1891" w:type="dxa"/>
            <w:tcBorders>
              <w:top w:val="nil"/>
              <w:left w:val="nil"/>
              <w:bottom w:val="nil"/>
              <w:right w:val="nil"/>
            </w:tcBorders>
            <w:hideMark/>
          </w:tcPr>
          <w:p w14:paraId="4AB44F81" w14:textId="77777777" w:rsidR="006E4003" w:rsidRPr="003526C2" w:rsidRDefault="006E4003">
            <w:pPr>
              <w:spacing w:before="60" w:after="60"/>
              <w:rPr>
                <w:sz w:val="22"/>
                <w:szCs w:val="22"/>
              </w:rPr>
            </w:pPr>
            <w:r w:rsidRPr="003526C2">
              <w:rPr>
                <w:sz w:val="22"/>
                <w:szCs w:val="22"/>
              </w:rPr>
              <w:t>1.110/4.321 (25,7)</w:t>
            </w:r>
          </w:p>
        </w:tc>
        <w:tc>
          <w:tcPr>
            <w:tcW w:w="1701" w:type="dxa"/>
            <w:tcBorders>
              <w:top w:val="nil"/>
              <w:left w:val="nil"/>
              <w:bottom w:val="nil"/>
              <w:right w:val="single" w:sz="4" w:space="0" w:color="auto"/>
            </w:tcBorders>
            <w:hideMark/>
          </w:tcPr>
          <w:p w14:paraId="025AF676" w14:textId="77777777" w:rsidR="006E4003" w:rsidRPr="003526C2" w:rsidRDefault="006E4003">
            <w:pPr>
              <w:spacing w:before="60" w:after="60"/>
              <w:rPr>
                <w:sz w:val="22"/>
                <w:szCs w:val="22"/>
              </w:rPr>
            </w:pPr>
            <w:r w:rsidRPr="003526C2">
              <w:rPr>
                <w:sz w:val="22"/>
                <w:szCs w:val="22"/>
              </w:rPr>
              <w:t>0,83 (0,75-0,93)</w:t>
            </w:r>
          </w:p>
        </w:tc>
      </w:tr>
      <w:tr w:rsidR="006E4003" w:rsidRPr="003526C2" w14:paraId="1953143B" w14:textId="77777777">
        <w:tc>
          <w:tcPr>
            <w:tcW w:w="2977" w:type="dxa"/>
            <w:tcBorders>
              <w:top w:val="nil"/>
              <w:left w:val="single" w:sz="4" w:space="0" w:color="auto"/>
              <w:bottom w:val="nil"/>
              <w:right w:val="nil"/>
            </w:tcBorders>
            <w:shd w:val="clear" w:color="auto" w:fill="E7E6E6"/>
            <w:hideMark/>
          </w:tcPr>
          <w:p w14:paraId="034E3AEC" w14:textId="77777777" w:rsidR="006E4003" w:rsidRPr="003526C2" w:rsidRDefault="006E4003">
            <w:pPr>
              <w:spacing w:before="60" w:after="60"/>
              <w:rPr>
                <w:b/>
                <w:sz w:val="22"/>
                <w:szCs w:val="22"/>
              </w:rPr>
            </w:pPr>
            <w:r w:rsidRPr="003526C2">
              <w:rPr>
                <w:b/>
                <w:sz w:val="22"/>
                <w:szCs w:val="22"/>
              </w:rPr>
              <w:t>Sekundære resultater</w:t>
            </w:r>
          </w:p>
        </w:tc>
        <w:tc>
          <w:tcPr>
            <w:tcW w:w="2078" w:type="dxa"/>
            <w:tcBorders>
              <w:top w:val="nil"/>
              <w:left w:val="nil"/>
              <w:bottom w:val="nil"/>
              <w:right w:val="nil"/>
            </w:tcBorders>
            <w:shd w:val="clear" w:color="auto" w:fill="E7E6E6"/>
          </w:tcPr>
          <w:p w14:paraId="6B37235C" w14:textId="77777777" w:rsidR="006E4003" w:rsidRPr="003526C2" w:rsidRDefault="006E4003">
            <w:pPr>
              <w:spacing w:before="60" w:after="60"/>
              <w:rPr>
                <w:sz w:val="22"/>
                <w:szCs w:val="22"/>
              </w:rPr>
            </w:pPr>
          </w:p>
        </w:tc>
        <w:tc>
          <w:tcPr>
            <w:tcW w:w="1891" w:type="dxa"/>
            <w:tcBorders>
              <w:top w:val="nil"/>
              <w:left w:val="nil"/>
              <w:bottom w:val="nil"/>
              <w:right w:val="nil"/>
            </w:tcBorders>
            <w:shd w:val="clear" w:color="auto" w:fill="E7E6E6"/>
          </w:tcPr>
          <w:p w14:paraId="3D546009" w14:textId="77777777" w:rsidR="006E4003" w:rsidRPr="003526C2" w:rsidRDefault="006E4003">
            <w:pPr>
              <w:spacing w:before="60" w:after="60"/>
              <w:rPr>
                <w:sz w:val="22"/>
                <w:szCs w:val="22"/>
              </w:rPr>
            </w:pPr>
          </w:p>
        </w:tc>
        <w:tc>
          <w:tcPr>
            <w:tcW w:w="1701" w:type="dxa"/>
            <w:tcBorders>
              <w:top w:val="nil"/>
              <w:left w:val="nil"/>
              <w:bottom w:val="nil"/>
              <w:right w:val="single" w:sz="4" w:space="0" w:color="auto"/>
            </w:tcBorders>
            <w:shd w:val="clear" w:color="auto" w:fill="E7E6E6"/>
          </w:tcPr>
          <w:p w14:paraId="68F4FB21" w14:textId="77777777" w:rsidR="006E4003" w:rsidRPr="003526C2" w:rsidRDefault="006E4003">
            <w:pPr>
              <w:spacing w:before="60" w:after="60"/>
              <w:rPr>
                <w:sz w:val="22"/>
                <w:szCs w:val="22"/>
              </w:rPr>
            </w:pPr>
          </w:p>
        </w:tc>
      </w:tr>
      <w:tr w:rsidR="006E4003" w:rsidRPr="003526C2" w14:paraId="6EE4748D" w14:textId="77777777">
        <w:tc>
          <w:tcPr>
            <w:tcW w:w="2977" w:type="dxa"/>
            <w:tcBorders>
              <w:top w:val="nil"/>
              <w:left w:val="single" w:sz="4" w:space="0" w:color="auto"/>
              <w:bottom w:val="nil"/>
              <w:right w:val="nil"/>
            </w:tcBorders>
            <w:hideMark/>
          </w:tcPr>
          <w:p w14:paraId="233BDCD9" w14:textId="77777777" w:rsidR="006E4003" w:rsidRPr="003526C2" w:rsidRDefault="006E4003">
            <w:pPr>
              <w:spacing w:before="60" w:after="60"/>
              <w:rPr>
                <w:sz w:val="22"/>
                <w:szCs w:val="22"/>
              </w:rPr>
            </w:pPr>
            <w:r w:rsidRPr="003526C2">
              <w:rPr>
                <w:sz w:val="22"/>
                <w:szCs w:val="22"/>
              </w:rPr>
              <w:t>Udskrevet fra hospitalet inden for 28 dage</w:t>
            </w:r>
          </w:p>
        </w:tc>
        <w:tc>
          <w:tcPr>
            <w:tcW w:w="2078" w:type="dxa"/>
            <w:tcBorders>
              <w:top w:val="nil"/>
              <w:left w:val="nil"/>
              <w:bottom w:val="nil"/>
              <w:right w:val="nil"/>
            </w:tcBorders>
            <w:hideMark/>
          </w:tcPr>
          <w:p w14:paraId="4A943A43" w14:textId="77777777" w:rsidR="006E4003" w:rsidRPr="003526C2" w:rsidRDefault="006E4003">
            <w:pPr>
              <w:spacing w:before="60" w:after="60"/>
              <w:rPr>
                <w:sz w:val="22"/>
                <w:szCs w:val="22"/>
              </w:rPr>
            </w:pPr>
            <w:r w:rsidRPr="003526C2">
              <w:rPr>
                <w:sz w:val="22"/>
                <w:szCs w:val="22"/>
              </w:rPr>
              <w:t>1.413/2.104 (67,2)</w:t>
            </w:r>
          </w:p>
        </w:tc>
        <w:tc>
          <w:tcPr>
            <w:tcW w:w="1891" w:type="dxa"/>
            <w:tcBorders>
              <w:top w:val="nil"/>
              <w:left w:val="nil"/>
              <w:bottom w:val="nil"/>
              <w:right w:val="nil"/>
            </w:tcBorders>
            <w:hideMark/>
          </w:tcPr>
          <w:p w14:paraId="338BF67B" w14:textId="77777777" w:rsidR="006E4003" w:rsidRPr="003526C2" w:rsidRDefault="006E4003">
            <w:pPr>
              <w:spacing w:before="60" w:after="60"/>
              <w:rPr>
                <w:sz w:val="22"/>
                <w:szCs w:val="22"/>
              </w:rPr>
            </w:pPr>
            <w:r w:rsidRPr="003526C2">
              <w:rPr>
                <w:sz w:val="22"/>
                <w:szCs w:val="22"/>
              </w:rPr>
              <w:t>2.745/4.321 (63,5)</w:t>
            </w:r>
          </w:p>
        </w:tc>
        <w:tc>
          <w:tcPr>
            <w:tcW w:w="1701" w:type="dxa"/>
            <w:tcBorders>
              <w:top w:val="nil"/>
              <w:left w:val="nil"/>
              <w:bottom w:val="nil"/>
              <w:right w:val="single" w:sz="4" w:space="0" w:color="auto"/>
            </w:tcBorders>
            <w:hideMark/>
          </w:tcPr>
          <w:p w14:paraId="1B7B93DE" w14:textId="77777777" w:rsidR="006E4003" w:rsidRPr="003526C2" w:rsidRDefault="006E4003">
            <w:pPr>
              <w:spacing w:before="60" w:after="60"/>
              <w:rPr>
                <w:sz w:val="22"/>
                <w:szCs w:val="22"/>
              </w:rPr>
            </w:pPr>
            <w:r w:rsidRPr="003526C2">
              <w:rPr>
                <w:sz w:val="22"/>
                <w:szCs w:val="22"/>
              </w:rPr>
              <w:t>1,10 (1,03-1,17)</w:t>
            </w:r>
          </w:p>
        </w:tc>
      </w:tr>
      <w:tr w:rsidR="006E4003" w:rsidRPr="003526C2" w14:paraId="66A244DF" w14:textId="77777777">
        <w:tc>
          <w:tcPr>
            <w:tcW w:w="2977" w:type="dxa"/>
            <w:tcBorders>
              <w:top w:val="nil"/>
              <w:left w:val="single" w:sz="4" w:space="0" w:color="auto"/>
              <w:bottom w:val="nil"/>
              <w:right w:val="nil"/>
            </w:tcBorders>
            <w:shd w:val="clear" w:color="auto" w:fill="E7E6E6"/>
            <w:hideMark/>
          </w:tcPr>
          <w:p w14:paraId="4D583B4F" w14:textId="77777777" w:rsidR="006E4003" w:rsidRPr="003526C2" w:rsidRDefault="006E4003">
            <w:pPr>
              <w:spacing w:before="60" w:after="60"/>
              <w:rPr>
                <w:sz w:val="22"/>
                <w:szCs w:val="22"/>
              </w:rPr>
            </w:pPr>
            <w:r w:rsidRPr="003526C2">
              <w:rPr>
                <w:sz w:val="22"/>
                <w:szCs w:val="22"/>
              </w:rPr>
              <w:t>Invasiv mekanisk ventilation eller død †</w:t>
            </w:r>
          </w:p>
        </w:tc>
        <w:tc>
          <w:tcPr>
            <w:tcW w:w="2078" w:type="dxa"/>
            <w:tcBorders>
              <w:top w:val="nil"/>
              <w:left w:val="nil"/>
              <w:bottom w:val="nil"/>
              <w:right w:val="nil"/>
            </w:tcBorders>
            <w:shd w:val="clear" w:color="auto" w:fill="E7E6E6"/>
            <w:hideMark/>
          </w:tcPr>
          <w:p w14:paraId="4CE829BA" w14:textId="77777777" w:rsidR="006E4003" w:rsidRPr="003526C2" w:rsidRDefault="006E4003">
            <w:pPr>
              <w:spacing w:before="60" w:after="60"/>
              <w:rPr>
                <w:sz w:val="22"/>
                <w:szCs w:val="22"/>
              </w:rPr>
            </w:pPr>
            <w:r w:rsidRPr="003526C2">
              <w:rPr>
                <w:sz w:val="22"/>
                <w:szCs w:val="22"/>
              </w:rPr>
              <w:t>456/1.780 (25,6)</w:t>
            </w:r>
          </w:p>
        </w:tc>
        <w:tc>
          <w:tcPr>
            <w:tcW w:w="1891" w:type="dxa"/>
            <w:tcBorders>
              <w:top w:val="nil"/>
              <w:left w:val="nil"/>
              <w:bottom w:val="nil"/>
              <w:right w:val="nil"/>
            </w:tcBorders>
            <w:shd w:val="clear" w:color="auto" w:fill="E7E6E6"/>
            <w:hideMark/>
          </w:tcPr>
          <w:p w14:paraId="0195B138" w14:textId="77777777" w:rsidR="006E4003" w:rsidRPr="003526C2" w:rsidRDefault="006E4003">
            <w:pPr>
              <w:spacing w:before="60" w:after="60"/>
              <w:rPr>
                <w:sz w:val="22"/>
                <w:szCs w:val="22"/>
              </w:rPr>
            </w:pPr>
            <w:r w:rsidRPr="003526C2">
              <w:rPr>
                <w:sz w:val="22"/>
                <w:szCs w:val="22"/>
              </w:rPr>
              <w:t>994/3.638 (27,3)</w:t>
            </w:r>
          </w:p>
        </w:tc>
        <w:tc>
          <w:tcPr>
            <w:tcW w:w="1701" w:type="dxa"/>
            <w:tcBorders>
              <w:top w:val="nil"/>
              <w:left w:val="nil"/>
              <w:bottom w:val="nil"/>
              <w:right w:val="single" w:sz="4" w:space="0" w:color="auto"/>
            </w:tcBorders>
            <w:shd w:val="clear" w:color="auto" w:fill="E7E6E6"/>
            <w:hideMark/>
          </w:tcPr>
          <w:p w14:paraId="66BC735B" w14:textId="77777777" w:rsidR="006E4003" w:rsidRPr="003526C2" w:rsidRDefault="006E4003">
            <w:pPr>
              <w:spacing w:before="60" w:after="60"/>
              <w:rPr>
                <w:sz w:val="22"/>
                <w:szCs w:val="22"/>
              </w:rPr>
            </w:pPr>
            <w:r w:rsidRPr="003526C2">
              <w:rPr>
                <w:sz w:val="22"/>
                <w:szCs w:val="22"/>
              </w:rPr>
              <w:t>0,92 (0,84-1,01)</w:t>
            </w:r>
          </w:p>
        </w:tc>
      </w:tr>
      <w:tr w:rsidR="006E4003" w:rsidRPr="003526C2" w14:paraId="29612003" w14:textId="77777777">
        <w:tc>
          <w:tcPr>
            <w:tcW w:w="2977" w:type="dxa"/>
            <w:tcBorders>
              <w:top w:val="nil"/>
              <w:left w:val="single" w:sz="4" w:space="0" w:color="auto"/>
              <w:bottom w:val="nil"/>
              <w:right w:val="nil"/>
            </w:tcBorders>
            <w:hideMark/>
          </w:tcPr>
          <w:p w14:paraId="7A390A02" w14:textId="77777777" w:rsidR="006E4003" w:rsidRPr="003526C2" w:rsidRDefault="006E4003">
            <w:pPr>
              <w:spacing w:before="60" w:after="60"/>
              <w:ind w:left="170"/>
              <w:rPr>
                <w:sz w:val="22"/>
                <w:szCs w:val="22"/>
              </w:rPr>
            </w:pPr>
            <w:r w:rsidRPr="003526C2">
              <w:rPr>
                <w:sz w:val="22"/>
                <w:szCs w:val="22"/>
              </w:rPr>
              <w:t>Invasiv mekanisk ventilation</w:t>
            </w:r>
          </w:p>
        </w:tc>
        <w:tc>
          <w:tcPr>
            <w:tcW w:w="2078" w:type="dxa"/>
            <w:tcBorders>
              <w:top w:val="nil"/>
              <w:left w:val="nil"/>
              <w:bottom w:val="nil"/>
              <w:right w:val="nil"/>
            </w:tcBorders>
            <w:hideMark/>
          </w:tcPr>
          <w:p w14:paraId="7941D740" w14:textId="77777777" w:rsidR="006E4003" w:rsidRPr="003526C2" w:rsidRDefault="006E4003">
            <w:pPr>
              <w:spacing w:before="60" w:after="60"/>
              <w:rPr>
                <w:sz w:val="22"/>
                <w:szCs w:val="22"/>
              </w:rPr>
            </w:pPr>
            <w:r w:rsidRPr="003526C2">
              <w:rPr>
                <w:sz w:val="22"/>
                <w:szCs w:val="22"/>
              </w:rPr>
              <w:t>102/1.780 (5,7)</w:t>
            </w:r>
          </w:p>
        </w:tc>
        <w:tc>
          <w:tcPr>
            <w:tcW w:w="1891" w:type="dxa"/>
            <w:tcBorders>
              <w:top w:val="nil"/>
              <w:left w:val="nil"/>
              <w:bottom w:val="nil"/>
              <w:right w:val="nil"/>
            </w:tcBorders>
            <w:hideMark/>
          </w:tcPr>
          <w:p w14:paraId="6DEB9B12" w14:textId="77777777" w:rsidR="006E4003" w:rsidRPr="003526C2" w:rsidRDefault="006E4003">
            <w:pPr>
              <w:spacing w:before="60" w:after="60"/>
              <w:rPr>
                <w:sz w:val="22"/>
                <w:szCs w:val="22"/>
              </w:rPr>
            </w:pPr>
            <w:r w:rsidRPr="003526C2">
              <w:rPr>
                <w:sz w:val="22"/>
                <w:szCs w:val="22"/>
              </w:rPr>
              <w:t>285/3.638 (7,8)</w:t>
            </w:r>
          </w:p>
        </w:tc>
        <w:tc>
          <w:tcPr>
            <w:tcW w:w="1701" w:type="dxa"/>
            <w:tcBorders>
              <w:top w:val="nil"/>
              <w:left w:val="nil"/>
              <w:bottom w:val="nil"/>
              <w:right w:val="single" w:sz="4" w:space="0" w:color="auto"/>
            </w:tcBorders>
            <w:hideMark/>
          </w:tcPr>
          <w:p w14:paraId="02A9063E" w14:textId="77777777" w:rsidR="006E4003" w:rsidRPr="003526C2" w:rsidRDefault="006E4003">
            <w:pPr>
              <w:spacing w:before="60" w:after="60"/>
              <w:rPr>
                <w:sz w:val="22"/>
                <w:szCs w:val="22"/>
              </w:rPr>
            </w:pPr>
            <w:r w:rsidRPr="003526C2">
              <w:rPr>
                <w:sz w:val="22"/>
                <w:szCs w:val="22"/>
              </w:rPr>
              <w:t>0,77 (0,62-0,95)</w:t>
            </w:r>
          </w:p>
        </w:tc>
      </w:tr>
      <w:tr w:rsidR="006E4003" w:rsidRPr="003526C2" w14:paraId="253EEE19" w14:textId="77777777">
        <w:tc>
          <w:tcPr>
            <w:tcW w:w="2977" w:type="dxa"/>
            <w:tcBorders>
              <w:top w:val="nil"/>
              <w:left w:val="single" w:sz="4" w:space="0" w:color="auto"/>
              <w:bottom w:val="single" w:sz="4" w:space="0" w:color="auto"/>
              <w:right w:val="nil"/>
            </w:tcBorders>
            <w:shd w:val="clear" w:color="auto" w:fill="E7E6E6"/>
            <w:hideMark/>
          </w:tcPr>
          <w:p w14:paraId="0E15E25F" w14:textId="77777777" w:rsidR="006E4003" w:rsidRPr="003526C2" w:rsidRDefault="006E4003">
            <w:pPr>
              <w:spacing w:before="60" w:after="60"/>
              <w:ind w:left="170"/>
              <w:rPr>
                <w:sz w:val="22"/>
                <w:szCs w:val="22"/>
              </w:rPr>
            </w:pPr>
            <w:r w:rsidRPr="003526C2">
              <w:rPr>
                <w:sz w:val="22"/>
                <w:szCs w:val="22"/>
              </w:rPr>
              <w:t>Død</w:t>
            </w:r>
          </w:p>
        </w:tc>
        <w:tc>
          <w:tcPr>
            <w:tcW w:w="2078" w:type="dxa"/>
            <w:tcBorders>
              <w:top w:val="nil"/>
              <w:left w:val="nil"/>
              <w:bottom w:val="single" w:sz="4" w:space="0" w:color="auto"/>
              <w:right w:val="nil"/>
            </w:tcBorders>
            <w:shd w:val="clear" w:color="auto" w:fill="E7E6E6"/>
            <w:hideMark/>
          </w:tcPr>
          <w:p w14:paraId="789A015E" w14:textId="77777777" w:rsidR="006E4003" w:rsidRPr="003526C2" w:rsidRDefault="006E4003">
            <w:pPr>
              <w:spacing w:before="60" w:after="60"/>
              <w:rPr>
                <w:sz w:val="22"/>
                <w:szCs w:val="22"/>
              </w:rPr>
            </w:pPr>
            <w:r w:rsidRPr="003526C2">
              <w:rPr>
                <w:sz w:val="22"/>
                <w:szCs w:val="22"/>
              </w:rPr>
              <w:t>387/1.780 (21,7)</w:t>
            </w:r>
          </w:p>
        </w:tc>
        <w:tc>
          <w:tcPr>
            <w:tcW w:w="1891" w:type="dxa"/>
            <w:tcBorders>
              <w:top w:val="nil"/>
              <w:left w:val="nil"/>
              <w:bottom w:val="single" w:sz="4" w:space="0" w:color="auto"/>
              <w:right w:val="nil"/>
            </w:tcBorders>
            <w:shd w:val="clear" w:color="auto" w:fill="E7E6E6"/>
            <w:hideMark/>
          </w:tcPr>
          <w:p w14:paraId="47336F74" w14:textId="77777777" w:rsidR="006E4003" w:rsidRPr="003526C2" w:rsidRDefault="006E4003">
            <w:pPr>
              <w:spacing w:before="60" w:after="60"/>
              <w:rPr>
                <w:sz w:val="22"/>
                <w:szCs w:val="22"/>
              </w:rPr>
            </w:pPr>
            <w:r w:rsidRPr="003526C2">
              <w:rPr>
                <w:sz w:val="22"/>
                <w:szCs w:val="22"/>
              </w:rPr>
              <w:t>827/3.638 (22,7)</w:t>
            </w:r>
          </w:p>
        </w:tc>
        <w:tc>
          <w:tcPr>
            <w:tcW w:w="1701" w:type="dxa"/>
            <w:tcBorders>
              <w:top w:val="nil"/>
              <w:left w:val="nil"/>
              <w:bottom w:val="single" w:sz="4" w:space="0" w:color="auto"/>
              <w:right w:val="single" w:sz="4" w:space="0" w:color="auto"/>
            </w:tcBorders>
            <w:shd w:val="clear" w:color="auto" w:fill="E7E6E6"/>
            <w:hideMark/>
          </w:tcPr>
          <w:p w14:paraId="1B479C2B" w14:textId="77777777" w:rsidR="006E4003" w:rsidRPr="003526C2" w:rsidRDefault="006E4003">
            <w:pPr>
              <w:spacing w:before="60" w:after="60"/>
              <w:rPr>
                <w:sz w:val="22"/>
                <w:szCs w:val="22"/>
              </w:rPr>
            </w:pPr>
            <w:r w:rsidRPr="003526C2">
              <w:rPr>
                <w:sz w:val="22"/>
                <w:szCs w:val="22"/>
              </w:rPr>
              <w:t>0,93 (0,84-1,03)</w:t>
            </w:r>
          </w:p>
        </w:tc>
      </w:tr>
    </w:tbl>
    <w:p w14:paraId="7A40EBB4" w14:textId="77777777" w:rsidR="006E4003" w:rsidRPr="00194E1C" w:rsidRDefault="006E4003" w:rsidP="006E4003">
      <w:pPr>
        <w:tabs>
          <w:tab w:val="left" w:pos="851"/>
        </w:tabs>
        <w:ind w:left="851"/>
        <w:rPr>
          <w:sz w:val="24"/>
          <w:szCs w:val="24"/>
          <w:lang w:eastAsia="da-DK"/>
        </w:rPr>
      </w:pPr>
    </w:p>
    <w:p w14:paraId="279F4231" w14:textId="77777777" w:rsidR="006E4003" w:rsidRPr="00194E1C" w:rsidRDefault="006E4003" w:rsidP="006E4003">
      <w:pPr>
        <w:tabs>
          <w:tab w:val="left" w:pos="851"/>
        </w:tabs>
        <w:ind w:left="851"/>
        <w:rPr>
          <w:sz w:val="24"/>
          <w:szCs w:val="24"/>
        </w:rPr>
      </w:pPr>
      <w:r w:rsidRPr="00194E1C">
        <w:rPr>
          <w:sz w:val="24"/>
          <w:szCs w:val="24"/>
        </w:rPr>
        <w:lastRenderedPageBreak/>
        <w:t>* Rate ratio er blevet justeret for alder med hensyn til resultaterne ved dag 28 dødelighed og hospitalsudskrivelse. Risk ratio er blevet justeret for alder med hensyn til resultaterne invasiv mekanisk ventilation eller død og dets underkomponenter.</w:t>
      </w:r>
    </w:p>
    <w:p w14:paraId="23BB1790" w14:textId="77777777" w:rsidR="006E4003" w:rsidRPr="00194E1C" w:rsidRDefault="006E4003" w:rsidP="006E4003">
      <w:pPr>
        <w:tabs>
          <w:tab w:val="left" w:pos="851"/>
        </w:tabs>
        <w:ind w:left="851"/>
        <w:rPr>
          <w:sz w:val="24"/>
          <w:szCs w:val="24"/>
        </w:rPr>
      </w:pPr>
      <w:r w:rsidRPr="00194E1C">
        <w:rPr>
          <w:sz w:val="24"/>
          <w:szCs w:val="24"/>
        </w:rPr>
        <w:t xml:space="preserve">† Patienter, der fik invasiv mekanisk ventilation ved </w:t>
      </w:r>
      <w:proofErr w:type="spellStart"/>
      <w:r w:rsidRPr="00194E1C">
        <w:rPr>
          <w:sz w:val="24"/>
          <w:szCs w:val="24"/>
        </w:rPr>
        <w:t>randomisering</w:t>
      </w:r>
      <w:proofErr w:type="spellEnd"/>
      <w:r w:rsidRPr="00194E1C">
        <w:rPr>
          <w:sz w:val="24"/>
          <w:szCs w:val="24"/>
        </w:rPr>
        <w:t>, er ekskluderet fra denne kategori.</w:t>
      </w:r>
    </w:p>
    <w:p w14:paraId="5B83A6E8" w14:textId="77777777" w:rsidR="006E4003" w:rsidRPr="00194E1C" w:rsidRDefault="006E4003" w:rsidP="006E4003">
      <w:pPr>
        <w:tabs>
          <w:tab w:val="left" w:pos="851"/>
        </w:tabs>
        <w:ind w:left="851"/>
        <w:rPr>
          <w:sz w:val="24"/>
          <w:szCs w:val="24"/>
        </w:rPr>
      </w:pPr>
    </w:p>
    <w:p w14:paraId="64A709F1" w14:textId="77777777" w:rsidR="006E4003" w:rsidRPr="00194E1C" w:rsidRDefault="006E4003" w:rsidP="006E4003">
      <w:pPr>
        <w:tabs>
          <w:tab w:val="left" w:pos="851"/>
        </w:tabs>
        <w:ind w:left="851"/>
        <w:rPr>
          <w:b/>
          <w:bCs/>
          <w:sz w:val="24"/>
          <w:szCs w:val="24"/>
          <w:u w:val="single"/>
        </w:rPr>
      </w:pPr>
      <w:r w:rsidRPr="00194E1C">
        <w:rPr>
          <w:b/>
          <w:bCs/>
          <w:sz w:val="24"/>
          <w:szCs w:val="24"/>
          <w:u w:val="single"/>
        </w:rPr>
        <w:t>Sikkerhed</w:t>
      </w:r>
    </w:p>
    <w:p w14:paraId="3ACABA58" w14:textId="547C5DE7" w:rsidR="00DD49D3" w:rsidRDefault="006E4003" w:rsidP="008A4EEB">
      <w:pPr>
        <w:tabs>
          <w:tab w:val="left" w:pos="851"/>
        </w:tabs>
        <w:ind w:left="851"/>
        <w:rPr>
          <w:b/>
          <w:bCs/>
          <w:sz w:val="24"/>
          <w:szCs w:val="24"/>
        </w:rPr>
      </w:pPr>
      <w:r w:rsidRPr="00194E1C">
        <w:rPr>
          <w:sz w:val="24"/>
          <w:szCs w:val="24"/>
        </w:rPr>
        <w:t xml:space="preserve">Der var fire alvorlige bivirkningstilfælde relateret til studiebehandlingen: To alvorlige bivirkningstilfælde med </w:t>
      </w:r>
      <w:proofErr w:type="spellStart"/>
      <w:r w:rsidRPr="00194E1C">
        <w:rPr>
          <w:sz w:val="24"/>
          <w:szCs w:val="24"/>
        </w:rPr>
        <w:t>hyperglykæmi</w:t>
      </w:r>
      <w:proofErr w:type="spellEnd"/>
      <w:r w:rsidRPr="00194E1C">
        <w:rPr>
          <w:sz w:val="24"/>
          <w:szCs w:val="24"/>
        </w:rPr>
        <w:t xml:space="preserve">, et alvorligt bivirkningstilfælde med steroidinduceret psykose og et alvorligt bivirkningstilfælde med øvre </w:t>
      </w:r>
      <w:proofErr w:type="spellStart"/>
      <w:r w:rsidRPr="00194E1C">
        <w:rPr>
          <w:sz w:val="24"/>
          <w:szCs w:val="24"/>
        </w:rPr>
        <w:t>gastrointestinal</w:t>
      </w:r>
      <w:proofErr w:type="spellEnd"/>
      <w:r w:rsidRPr="00194E1C">
        <w:rPr>
          <w:sz w:val="24"/>
          <w:szCs w:val="24"/>
        </w:rPr>
        <w:t xml:space="preserve"> blødning. Alle bivirkninger forsvandt.</w:t>
      </w:r>
    </w:p>
    <w:p w14:paraId="4E6D4B66" w14:textId="77777777" w:rsidR="000C2E84" w:rsidRDefault="000C2E84" w:rsidP="006E4003">
      <w:pPr>
        <w:tabs>
          <w:tab w:val="left" w:pos="851"/>
        </w:tabs>
        <w:ind w:firstLine="851"/>
        <w:rPr>
          <w:b/>
          <w:bCs/>
          <w:sz w:val="24"/>
          <w:szCs w:val="24"/>
        </w:rPr>
      </w:pPr>
    </w:p>
    <w:p w14:paraId="50D074B2" w14:textId="27F345D5" w:rsidR="006E4003" w:rsidRPr="00194E1C" w:rsidRDefault="006E4003" w:rsidP="006E4003">
      <w:pPr>
        <w:tabs>
          <w:tab w:val="left" w:pos="851"/>
        </w:tabs>
        <w:ind w:firstLine="851"/>
        <w:rPr>
          <w:sz w:val="24"/>
          <w:szCs w:val="24"/>
        </w:rPr>
      </w:pPr>
      <w:r w:rsidRPr="00194E1C">
        <w:rPr>
          <w:b/>
          <w:bCs/>
          <w:sz w:val="24"/>
          <w:szCs w:val="24"/>
        </w:rPr>
        <w:t>Undergruppeanalyser</w:t>
      </w:r>
    </w:p>
    <w:p w14:paraId="6819C0FB" w14:textId="77777777" w:rsidR="006E4003" w:rsidRPr="00194E1C" w:rsidRDefault="006E4003" w:rsidP="006E4003">
      <w:pPr>
        <w:tabs>
          <w:tab w:val="left" w:pos="851"/>
        </w:tabs>
        <w:ind w:left="851"/>
        <w:rPr>
          <w:sz w:val="24"/>
          <w:szCs w:val="24"/>
        </w:rPr>
      </w:pPr>
    </w:p>
    <w:p w14:paraId="3F0D41BD" w14:textId="77777777" w:rsidR="006E4003" w:rsidRPr="00194E1C" w:rsidRDefault="006E4003" w:rsidP="006E4003">
      <w:pPr>
        <w:tabs>
          <w:tab w:val="left" w:pos="851"/>
        </w:tabs>
        <w:ind w:left="851"/>
        <w:rPr>
          <w:b/>
          <w:bCs/>
          <w:i/>
          <w:iCs/>
          <w:sz w:val="24"/>
          <w:szCs w:val="24"/>
        </w:rPr>
      </w:pPr>
      <w:r w:rsidRPr="00194E1C">
        <w:rPr>
          <w:b/>
          <w:bCs/>
          <w:i/>
          <w:iCs/>
          <w:sz w:val="24"/>
          <w:szCs w:val="24"/>
        </w:rPr>
        <w:t xml:space="preserve">Effekt af tildeling af </w:t>
      </w:r>
      <w:proofErr w:type="spellStart"/>
      <w:r w:rsidRPr="00194E1C">
        <w:rPr>
          <w:b/>
          <w:bCs/>
          <w:i/>
          <w:iCs/>
          <w:sz w:val="24"/>
          <w:szCs w:val="24"/>
        </w:rPr>
        <w:t>dexamethason</w:t>
      </w:r>
      <w:proofErr w:type="spellEnd"/>
      <w:r w:rsidRPr="00194E1C">
        <w:rPr>
          <w:b/>
          <w:bCs/>
          <w:i/>
          <w:iCs/>
          <w:sz w:val="24"/>
          <w:szCs w:val="24"/>
        </w:rPr>
        <w:t xml:space="preserve"> på dødeligheden efter 28 dage, efter alder og respiratorisk støtte modtaget ved </w:t>
      </w:r>
      <w:proofErr w:type="spellStart"/>
      <w:r w:rsidRPr="00194E1C">
        <w:rPr>
          <w:b/>
          <w:bCs/>
          <w:i/>
          <w:iCs/>
          <w:sz w:val="24"/>
          <w:szCs w:val="24"/>
        </w:rPr>
        <w:t>randomisering</w:t>
      </w:r>
      <w:proofErr w:type="spellEnd"/>
      <w:r w:rsidRPr="00194E1C">
        <w:rPr>
          <w:rStyle w:val="Fodnotehenvisning"/>
          <w:b/>
          <w:bCs/>
          <w:i/>
          <w:iCs/>
          <w:sz w:val="24"/>
          <w:szCs w:val="24"/>
        </w:rPr>
        <w:footnoteReference w:id="2"/>
      </w:r>
    </w:p>
    <w:tbl>
      <w:tblPr>
        <w:tblW w:w="48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62"/>
        <w:gridCol w:w="1971"/>
        <w:gridCol w:w="1745"/>
        <w:gridCol w:w="1017"/>
        <w:gridCol w:w="1483"/>
      </w:tblGrid>
      <w:tr w:rsidR="006E4003" w:rsidRPr="00DD49D3" w14:paraId="32C1CC4A" w14:textId="77777777" w:rsidTr="008E36E3">
        <w:trPr>
          <w:cantSplit/>
        </w:trPr>
        <w:tc>
          <w:tcPr>
            <w:tcW w:w="631" w:type="pct"/>
            <w:tcBorders>
              <w:top w:val="single" w:sz="4" w:space="0" w:color="auto"/>
              <w:left w:val="single" w:sz="4" w:space="0" w:color="auto"/>
              <w:bottom w:val="single" w:sz="4" w:space="0" w:color="auto"/>
              <w:right w:val="single" w:sz="4" w:space="0" w:color="auto"/>
            </w:tcBorders>
          </w:tcPr>
          <w:p w14:paraId="7A9FC05B" w14:textId="77777777" w:rsidR="006E4003" w:rsidRPr="00DD49D3" w:rsidRDefault="006E4003">
            <w:pPr>
              <w:rPr>
                <w:rFonts w:eastAsia="Calibri"/>
                <w:sz w:val="20"/>
              </w:rPr>
            </w:pPr>
          </w:p>
        </w:tc>
        <w:tc>
          <w:tcPr>
            <w:tcW w:w="1007" w:type="pct"/>
            <w:tcBorders>
              <w:top w:val="single" w:sz="4" w:space="0" w:color="auto"/>
              <w:left w:val="single" w:sz="4" w:space="0" w:color="auto"/>
              <w:bottom w:val="single" w:sz="4" w:space="0" w:color="auto"/>
              <w:right w:val="single" w:sz="4" w:space="0" w:color="auto"/>
            </w:tcBorders>
            <w:hideMark/>
          </w:tcPr>
          <w:p w14:paraId="5DA354F3" w14:textId="77777777" w:rsidR="006E4003" w:rsidRPr="00DD49D3" w:rsidRDefault="006E4003">
            <w:pPr>
              <w:rPr>
                <w:rFonts w:eastAsia="Calibri"/>
                <w:b/>
                <w:sz w:val="20"/>
              </w:rPr>
            </w:pPr>
            <w:proofErr w:type="spellStart"/>
            <w:r w:rsidRPr="00DD49D3">
              <w:rPr>
                <w:rFonts w:eastAsia="Calibri"/>
                <w:b/>
                <w:sz w:val="20"/>
              </w:rPr>
              <w:t>Dexamethason</w:t>
            </w:r>
            <w:proofErr w:type="spellEnd"/>
          </w:p>
        </w:tc>
        <w:tc>
          <w:tcPr>
            <w:tcW w:w="1066" w:type="pct"/>
            <w:tcBorders>
              <w:top w:val="single" w:sz="4" w:space="0" w:color="auto"/>
              <w:left w:val="single" w:sz="4" w:space="0" w:color="auto"/>
              <w:bottom w:val="single" w:sz="4" w:space="0" w:color="auto"/>
              <w:right w:val="single" w:sz="4" w:space="0" w:color="auto"/>
            </w:tcBorders>
            <w:hideMark/>
          </w:tcPr>
          <w:p w14:paraId="5DFECBB6" w14:textId="77777777" w:rsidR="006E4003" w:rsidRPr="00DD49D3" w:rsidRDefault="006E4003">
            <w:pPr>
              <w:rPr>
                <w:rFonts w:eastAsia="Calibri"/>
                <w:b/>
                <w:sz w:val="20"/>
              </w:rPr>
            </w:pPr>
            <w:r w:rsidRPr="00DD49D3">
              <w:rPr>
                <w:rFonts w:eastAsia="Calibri"/>
                <w:b/>
                <w:sz w:val="20"/>
              </w:rPr>
              <w:t>Almindelig pleje</w:t>
            </w:r>
          </w:p>
        </w:tc>
        <w:tc>
          <w:tcPr>
            <w:tcW w:w="1494" w:type="pct"/>
            <w:gridSpan w:val="2"/>
            <w:vMerge w:val="restart"/>
            <w:tcBorders>
              <w:top w:val="single" w:sz="4" w:space="0" w:color="auto"/>
              <w:left w:val="single" w:sz="4" w:space="0" w:color="auto"/>
              <w:bottom w:val="single" w:sz="4" w:space="0" w:color="auto"/>
              <w:right w:val="single" w:sz="4" w:space="0" w:color="auto"/>
            </w:tcBorders>
          </w:tcPr>
          <w:p w14:paraId="12D9F25E" w14:textId="77777777" w:rsidR="006E4003" w:rsidRPr="00DD49D3" w:rsidRDefault="006E4003">
            <w:pPr>
              <w:rPr>
                <w:sz w:val="20"/>
                <w:lang w:eastAsia="en-GB"/>
              </w:rPr>
            </w:pPr>
          </w:p>
          <w:p w14:paraId="4E33AD2E" w14:textId="77777777" w:rsidR="006E4003" w:rsidRPr="00DD49D3" w:rsidRDefault="006E4003">
            <w:pPr>
              <w:rPr>
                <w:sz w:val="20"/>
                <w:lang w:eastAsia="en-GB"/>
              </w:rPr>
            </w:pPr>
          </w:p>
          <w:p w14:paraId="2F879DEC" w14:textId="77777777" w:rsidR="006E4003" w:rsidRPr="00DD49D3" w:rsidRDefault="006E4003">
            <w:pPr>
              <w:rPr>
                <w:sz w:val="20"/>
                <w:lang w:eastAsia="en-GB"/>
              </w:rPr>
            </w:pPr>
            <w:r w:rsidRPr="00DD49D3">
              <w:rPr>
                <w:sz w:val="20"/>
                <w:lang w:eastAsia="en-GB"/>
              </w:rPr>
              <w:object w:dxaOrig="2550" w:dyaOrig="4335" w14:anchorId="7ED53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16.75pt" o:ole="">
                  <v:imagedata r:id="rId9" o:title=""/>
                </v:shape>
                <o:OLEObject Type="Embed" ProgID="PBrush" ShapeID="_x0000_i1025" DrawAspect="Content" ObjectID="_1794292693" r:id="rId10"/>
              </w:object>
            </w:r>
          </w:p>
        </w:tc>
        <w:tc>
          <w:tcPr>
            <w:tcW w:w="802" w:type="pct"/>
            <w:tcBorders>
              <w:top w:val="single" w:sz="4" w:space="0" w:color="auto"/>
              <w:left w:val="single" w:sz="4" w:space="0" w:color="auto"/>
              <w:bottom w:val="single" w:sz="4" w:space="0" w:color="auto"/>
              <w:right w:val="single" w:sz="4" w:space="0" w:color="auto"/>
            </w:tcBorders>
            <w:hideMark/>
          </w:tcPr>
          <w:p w14:paraId="00C222E8" w14:textId="77777777" w:rsidR="006E4003" w:rsidRPr="00DD49D3" w:rsidRDefault="006E4003">
            <w:pPr>
              <w:rPr>
                <w:rFonts w:eastAsia="Calibri"/>
                <w:b/>
                <w:sz w:val="20"/>
                <w:lang w:eastAsia="da-DK"/>
              </w:rPr>
            </w:pPr>
            <w:r w:rsidRPr="00DD49D3">
              <w:rPr>
                <w:rFonts w:eastAsia="Calibri"/>
                <w:b/>
                <w:sz w:val="20"/>
              </w:rPr>
              <w:t>RR (95 % Cl)</w:t>
            </w:r>
          </w:p>
        </w:tc>
      </w:tr>
      <w:tr w:rsidR="006E4003" w:rsidRPr="00DD49D3" w14:paraId="108F406E" w14:textId="77777777" w:rsidTr="008E36E3">
        <w:trPr>
          <w:cantSplit/>
        </w:trPr>
        <w:tc>
          <w:tcPr>
            <w:tcW w:w="2704" w:type="pct"/>
            <w:gridSpan w:val="3"/>
            <w:tcBorders>
              <w:top w:val="single" w:sz="4" w:space="0" w:color="auto"/>
              <w:left w:val="single" w:sz="4" w:space="0" w:color="auto"/>
              <w:bottom w:val="single" w:sz="4" w:space="0" w:color="auto"/>
              <w:right w:val="single" w:sz="4" w:space="0" w:color="auto"/>
            </w:tcBorders>
            <w:hideMark/>
          </w:tcPr>
          <w:p w14:paraId="4FC6FA97" w14:textId="77777777" w:rsidR="006E4003" w:rsidRPr="00DD49D3" w:rsidRDefault="006E4003">
            <w:pPr>
              <w:rPr>
                <w:rFonts w:eastAsia="Calibri"/>
                <w:b/>
                <w:sz w:val="20"/>
              </w:rPr>
            </w:pPr>
            <w:r w:rsidRPr="00DD49D3">
              <w:rPr>
                <w:rFonts w:eastAsia="Calibri"/>
                <w:b/>
                <w:sz w:val="20"/>
              </w:rPr>
              <w:t>Ingen ilt (x</w:t>
            </w:r>
            <w:r w:rsidRPr="00DD49D3">
              <w:rPr>
                <w:rFonts w:eastAsia="Calibri"/>
                <w:b/>
                <w:sz w:val="20"/>
                <w:vertAlign w:val="subscript"/>
              </w:rPr>
              <w:t>1</w:t>
            </w:r>
            <w:r w:rsidRPr="00DD49D3">
              <w:rPr>
                <w:rFonts w:eastAsia="Calibri"/>
                <w:b/>
                <w:sz w:val="20"/>
                <w:vertAlign w:val="superscript"/>
              </w:rPr>
              <w:t>2</w:t>
            </w:r>
            <w:r w:rsidRPr="00DD49D3">
              <w:rPr>
                <w:rFonts w:eastAsia="Calibri"/>
                <w:b/>
                <w:sz w:val="20"/>
              </w:rPr>
              <w:t>= 0,70; p=0,40)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8851AE"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tcPr>
          <w:p w14:paraId="4BB241B3" w14:textId="77777777" w:rsidR="006E4003" w:rsidRPr="00DD49D3" w:rsidRDefault="006E4003">
            <w:pPr>
              <w:rPr>
                <w:rFonts w:eastAsia="Calibri"/>
                <w:sz w:val="20"/>
              </w:rPr>
            </w:pPr>
          </w:p>
        </w:tc>
      </w:tr>
      <w:tr w:rsidR="006E4003" w:rsidRPr="00DD49D3" w14:paraId="24AC7FA5" w14:textId="77777777" w:rsidTr="008E36E3">
        <w:trPr>
          <w:cantSplit/>
          <w:trHeight w:val="925"/>
        </w:trPr>
        <w:tc>
          <w:tcPr>
            <w:tcW w:w="631" w:type="pct"/>
            <w:tcBorders>
              <w:top w:val="single" w:sz="4" w:space="0" w:color="auto"/>
              <w:left w:val="single" w:sz="4" w:space="0" w:color="auto"/>
              <w:bottom w:val="single" w:sz="4" w:space="0" w:color="auto"/>
              <w:right w:val="single" w:sz="4" w:space="0" w:color="auto"/>
            </w:tcBorders>
            <w:hideMark/>
          </w:tcPr>
          <w:p w14:paraId="62A76B9D" w14:textId="77777777" w:rsidR="006E4003" w:rsidRPr="00DD49D3" w:rsidRDefault="006E4003">
            <w:pPr>
              <w:rPr>
                <w:rFonts w:eastAsia="Calibri"/>
                <w:sz w:val="20"/>
              </w:rPr>
            </w:pPr>
            <w:r w:rsidRPr="00DD49D3">
              <w:rPr>
                <w:rFonts w:eastAsia="Calibri"/>
                <w:sz w:val="20"/>
              </w:rPr>
              <w:t xml:space="preserve">&lt;70 </w:t>
            </w:r>
          </w:p>
          <w:p w14:paraId="4BD853F4" w14:textId="77777777" w:rsidR="006E4003" w:rsidRPr="00DD49D3" w:rsidRDefault="006E4003">
            <w:pPr>
              <w:rPr>
                <w:rFonts w:eastAsia="Calibri"/>
                <w:sz w:val="20"/>
              </w:rPr>
            </w:pPr>
            <w:r w:rsidRPr="00DD49D3">
              <w:rPr>
                <w:rFonts w:eastAsia="Calibri"/>
                <w:sz w:val="20"/>
              </w:rPr>
              <w:t xml:space="preserve">≥70 &lt;80 </w:t>
            </w:r>
          </w:p>
          <w:p w14:paraId="4519A363" w14:textId="77777777" w:rsidR="006E4003" w:rsidRPr="00DD49D3" w:rsidRDefault="006E4003">
            <w:pPr>
              <w:rPr>
                <w:rFonts w:eastAsia="Calibri"/>
                <w:sz w:val="20"/>
              </w:rPr>
            </w:pPr>
            <w:r w:rsidRPr="00DD49D3">
              <w:rPr>
                <w:rFonts w:eastAsia="Calibri"/>
                <w:sz w:val="20"/>
              </w:rPr>
              <w:t xml:space="preserve">≥80 </w:t>
            </w:r>
          </w:p>
          <w:p w14:paraId="039DEE73" w14:textId="77777777" w:rsidR="006E4003" w:rsidRPr="00DD49D3" w:rsidRDefault="006E4003">
            <w:pPr>
              <w:rPr>
                <w:rFonts w:eastAsia="Calibri"/>
                <w:b/>
                <w:sz w:val="20"/>
              </w:rPr>
            </w:pPr>
            <w:r w:rsidRPr="00DD49D3">
              <w:rPr>
                <w:rFonts w:eastAsia="Calibri"/>
                <w:b/>
                <w:sz w:val="20"/>
              </w:rPr>
              <w:t xml:space="preserve">Subtotal </w:t>
            </w:r>
          </w:p>
        </w:tc>
        <w:tc>
          <w:tcPr>
            <w:tcW w:w="1007" w:type="pct"/>
            <w:tcBorders>
              <w:top w:val="single" w:sz="4" w:space="0" w:color="auto"/>
              <w:left w:val="single" w:sz="4" w:space="0" w:color="auto"/>
              <w:bottom w:val="single" w:sz="4" w:space="0" w:color="auto"/>
              <w:right w:val="single" w:sz="4" w:space="0" w:color="auto"/>
            </w:tcBorders>
            <w:hideMark/>
          </w:tcPr>
          <w:p w14:paraId="5CD17151" w14:textId="77777777" w:rsidR="006E4003" w:rsidRPr="00DD49D3" w:rsidRDefault="006E4003">
            <w:pPr>
              <w:jc w:val="right"/>
              <w:rPr>
                <w:rFonts w:eastAsia="Calibri"/>
                <w:sz w:val="20"/>
              </w:rPr>
            </w:pPr>
            <w:r w:rsidRPr="00DD49D3">
              <w:rPr>
                <w:rFonts w:eastAsia="Calibri"/>
                <w:sz w:val="20"/>
              </w:rPr>
              <w:t>10/197 (5,1 %)</w:t>
            </w:r>
          </w:p>
          <w:p w14:paraId="69F50B76" w14:textId="77777777" w:rsidR="006E4003" w:rsidRPr="00DD49D3" w:rsidRDefault="006E4003">
            <w:pPr>
              <w:jc w:val="right"/>
              <w:rPr>
                <w:rFonts w:eastAsia="Calibri"/>
                <w:sz w:val="20"/>
              </w:rPr>
            </w:pPr>
            <w:r w:rsidRPr="00DD49D3">
              <w:rPr>
                <w:rFonts w:eastAsia="Calibri"/>
                <w:sz w:val="20"/>
              </w:rPr>
              <w:t>25/114 (21,9 %)</w:t>
            </w:r>
          </w:p>
          <w:p w14:paraId="78C5A24D" w14:textId="77777777" w:rsidR="006E4003" w:rsidRPr="00DD49D3" w:rsidRDefault="006E4003">
            <w:pPr>
              <w:jc w:val="right"/>
              <w:rPr>
                <w:rFonts w:eastAsia="Calibri"/>
                <w:sz w:val="20"/>
              </w:rPr>
            </w:pPr>
            <w:r w:rsidRPr="00DD49D3">
              <w:rPr>
                <w:rFonts w:eastAsia="Calibri"/>
                <w:sz w:val="20"/>
              </w:rPr>
              <w:t>54/190 (28,4 %)</w:t>
            </w:r>
          </w:p>
          <w:p w14:paraId="50F06E84" w14:textId="77777777" w:rsidR="006E4003" w:rsidRPr="00DD49D3" w:rsidRDefault="006E4003">
            <w:pPr>
              <w:jc w:val="right"/>
              <w:rPr>
                <w:rFonts w:eastAsia="Calibri"/>
                <w:b/>
                <w:sz w:val="20"/>
              </w:rPr>
            </w:pPr>
            <w:r w:rsidRPr="00DD49D3">
              <w:rPr>
                <w:rFonts w:eastAsia="Calibri"/>
                <w:b/>
                <w:sz w:val="20"/>
              </w:rPr>
              <w:t>89/501 (17,8 %)</w:t>
            </w:r>
          </w:p>
        </w:tc>
        <w:tc>
          <w:tcPr>
            <w:tcW w:w="1066" w:type="pct"/>
            <w:tcBorders>
              <w:top w:val="single" w:sz="4" w:space="0" w:color="auto"/>
              <w:left w:val="single" w:sz="4" w:space="0" w:color="auto"/>
              <w:bottom w:val="single" w:sz="4" w:space="0" w:color="auto"/>
              <w:right w:val="single" w:sz="4" w:space="0" w:color="auto"/>
            </w:tcBorders>
            <w:hideMark/>
          </w:tcPr>
          <w:p w14:paraId="32CC9240" w14:textId="77777777" w:rsidR="006E4003" w:rsidRPr="00DD49D3" w:rsidRDefault="006E4003">
            <w:pPr>
              <w:jc w:val="right"/>
              <w:rPr>
                <w:rFonts w:eastAsia="Calibri"/>
                <w:sz w:val="20"/>
              </w:rPr>
            </w:pPr>
            <w:r w:rsidRPr="00DD49D3">
              <w:rPr>
                <w:rFonts w:eastAsia="Calibri"/>
                <w:sz w:val="20"/>
              </w:rPr>
              <w:t>18/462 (3,9 %)</w:t>
            </w:r>
          </w:p>
          <w:p w14:paraId="6D1361FC" w14:textId="77777777" w:rsidR="006E4003" w:rsidRPr="00DD49D3" w:rsidRDefault="006E4003">
            <w:pPr>
              <w:jc w:val="right"/>
              <w:rPr>
                <w:rFonts w:eastAsia="Calibri"/>
                <w:sz w:val="20"/>
              </w:rPr>
            </w:pPr>
            <w:r w:rsidRPr="00DD49D3">
              <w:rPr>
                <w:rFonts w:eastAsia="Calibri"/>
                <w:sz w:val="20"/>
              </w:rPr>
              <w:t>35/224 (15,6 %)</w:t>
            </w:r>
          </w:p>
          <w:p w14:paraId="1BA2FE5B" w14:textId="77777777" w:rsidR="006E4003" w:rsidRPr="00DD49D3" w:rsidRDefault="006E4003">
            <w:pPr>
              <w:jc w:val="right"/>
              <w:rPr>
                <w:rFonts w:eastAsia="Calibri"/>
                <w:sz w:val="20"/>
              </w:rPr>
            </w:pPr>
            <w:r w:rsidRPr="00DD49D3">
              <w:rPr>
                <w:rFonts w:eastAsia="Calibri"/>
                <w:sz w:val="20"/>
              </w:rPr>
              <w:t>92/348 (26,4 %)</w:t>
            </w:r>
          </w:p>
          <w:p w14:paraId="57049BA2" w14:textId="77777777" w:rsidR="006E4003" w:rsidRPr="00DD49D3" w:rsidRDefault="006E4003">
            <w:pPr>
              <w:jc w:val="right"/>
              <w:rPr>
                <w:rFonts w:eastAsia="Calibri"/>
                <w:b/>
                <w:sz w:val="20"/>
              </w:rPr>
            </w:pPr>
            <w:r w:rsidRPr="00DD49D3">
              <w:rPr>
                <w:rFonts w:eastAsia="Calibri"/>
                <w:b/>
                <w:sz w:val="20"/>
              </w:rPr>
              <w:t>145/1.034 (14,0 %)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D386FE"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hideMark/>
          </w:tcPr>
          <w:p w14:paraId="5BEEA2C0" w14:textId="77777777" w:rsidR="006E4003" w:rsidRPr="00DD49D3" w:rsidRDefault="006E4003">
            <w:pPr>
              <w:rPr>
                <w:rFonts w:eastAsia="Calibri"/>
                <w:sz w:val="20"/>
              </w:rPr>
            </w:pPr>
            <w:r w:rsidRPr="00DD49D3">
              <w:rPr>
                <w:rFonts w:eastAsia="Calibri"/>
                <w:sz w:val="20"/>
              </w:rPr>
              <w:t>1,31 (0,60</w:t>
            </w:r>
            <w:r w:rsidRPr="00DD49D3">
              <w:rPr>
                <w:rFonts w:eastAsia="Calibri"/>
                <w:sz w:val="20"/>
              </w:rPr>
              <w:noBreakHyphen/>
              <w:t>2,83)</w:t>
            </w:r>
          </w:p>
          <w:p w14:paraId="6CE68FD7" w14:textId="77777777" w:rsidR="006E4003" w:rsidRPr="00DD49D3" w:rsidRDefault="006E4003">
            <w:pPr>
              <w:rPr>
                <w:rFonts w:eastAsia="Calibri"/>
                <w:sz w:val="20"/>
              </w:rPr>
            </w:pPr>
            <w:r w:rsidRPr="00DD49D3">
              <w:rPr>
                <w:rFonts w:eastAsia="Calibri"/>
                <w:sz w:val="20"/>
              </w:rPr>
              <w:t>1,46 (0,88</w:t>
            </w:r>
            <w:r w:rsidRPr="00DD49D3">
              <w:rPr>
                <w:rFonts w:eastAsia="Calibri"/>
                <w:sz w:val="20"/>
              </w:rPr>
              <w:noBreakHyphen/>
              <w:t>2,45)</w:t>
            </w:r>
          </w:p>
          <w:p w14:paraId="6429211E" w14:textId="77777777" w:rsidR="006E4003" w:rsidRPr="00DD49D3" w:rsidRDefault="006E4003">
            <w:pPr>
              <w:rPr>
                <w:rFonts w:eastAsia="Calibri"/>
                <w:sz w:val="20"/>
              </w:rPr>
            </w:pPr>
            <w:r w:rsidRPr="00DD49D3">
              <w:rPr>
                <w:rFonts w:eastAsia="Calibri"/>
                <w:sz w:val="20"/>
              </w:rPr>
              <w:t>1,06 (0,76</w:t>
            </w:r>
            <w:r w:rsidRPr="00DD49D3">
              <w:rPr>
                <w:rFonts w:eastAsia="Calibri"/>
                <w:sz w:val="20"/>
              </w:rPr>
              <w:noBreakHyphen/>
              <w:t>1,49)</w:t>
            </w:r>
          </w:p>
          <w:p w14:paraId="18E85909" w14:textId="77777777" w:rsidR="006E4003" w:rsidRPr="00DD49D3" w:rsidRDefault="006E4003">
            <w:pPr>
              <w:rPr>
                <w:rFonts w:eastAsia="Calibri"/>
                <w:b/>
                <w:sz w:val="20"/>
              </w:rPr>
            </w:pPr>
            <w:r w:rsidRPr="00DD49D3">
              <w:rPr>
                <w:rFonts w:eastAsia="Calibri"/>
                <w:b/>
                <w:sz w:val="20"/>
              </w:rPr>
              <w:t>1,19 (0,91</w:t>
            </w:r>
            <w:r w:rsidRPr="00DD49D3">
              <w:rPr>
                <w:rFonts w:eastAsia="Calibri"/>
                <w:b/>
                <w:sz w:val="20"/>
              </w:rPr>
              <w:noBreakHyphen/>
              <w:t>1,55)</w:t>
            </w:r>
          </w:p>
        </w:tc>
      </w:tr>
      <w:tr w:rsidR="006E4003" w:rsidRPr="00DD49D3" w14:paraId="4073A0F0" w14:textId="77777777" w:rsidTr="008E36E3">
        <w:trPr>
          <w:cantSplit/>
          <w:trHeight w:val="275"/>
        </w:trPr>
        <w:tc>
          <w:tcPr>
            <w:tcW w:w="2704" w:type="pct"/>
            <w:gridSpan w:val="3"/>
            <w:tcBorders>
              <w:top w:val="single" w:sz="4" w:space="0" w:color="auto"/>
              <w:left w:val="single" w:sz="4" w:space="0" w:color="auto"/>
              <w:bottom w:val="single" w:sz="4" w:space="0" w:color="auto"/>
              <w:right w:val="single" w:sz="4" w:space="0" w:color="auto"/>
            </w:tcBorders>
            <w:hideMark/>
          </w:tcPr>
          <w:p w14:paraId="08A99A76" w14:textId="77777777" w:rsidR="006E4003" w:rsidRPr="00DD49D3" w:rsidRDefault="006E4003">
            <w:pPr>
              <w:rPr>
                <w:rFonts w:eastAsia="Calibri"/>
                <w:b/>
                <w:sz w:val="20"/>
              </w:rPr>
            </w:pPr>
            <w:r w:rsidRPr="00DD49D3">
              <w:rPr>
                <w:rFonts w:eastAsia="Calibri"/>
                <w:b/>
                <w:sz w:val="20"/>
              </w:rPr>
              <w:t>Kun ilt (x</w:t>
            </w:r>
            <w:r w:rsidRPr="00DD49D3">
              <w:rPr>
                <w:rFonts w:eastAsia="Calibri"/>
                <w:b/>
                <w:sz w:val="20"/>
                <w:vertAlign w:val="subscript"/>
              </w:rPr>
              <w:t>1</w:t>
            </w:r>
            <w:r w:rsidRPr="00DD49D3">
              <w:rPr>
                <w:rFonts w:eastAsia="Calibri"/>
                <w:b/>
                <w:sz w:val="20"/>
                <w:vertAlign w:val="superscript"/>
              </w:rPr>
              <w:t>2</w:t>
            </w:r>
            <w:r w:rsidRPr="00DD49D3">
              <w:rPr>
                <w:rFonts w:eastAsia="Calibri"/>
                <w:b/>
                <w:sz w:val="20"/>
              </w:rPr>
              <w:t>= 2,54; p=0,11)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975936"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tcPr>
          <w:p w14:paraId="62465D3C" w14:textId="77777777" w:rsidR="006E4003" w:rsidRPr="00DD49D3" w:rsidRDefault="006E4003">
            <w:pPr>
              <w:rPr>
                <w:rFonts w:eastAsia="Calibri"/>
                <w:sz w:val="20"/>
              </w:rPr>
            </w:pPr>
          </w:p>
        </w:tc>
      </w:tr>
      <w:tr w:rsidR="006E4003" w:rsidRPr="00DD49D3" w14:paraId="417B72EB" w14:textId="77777777" w:rsidTr="008E36E3">
        <w:trPr>
          <w:cantSplit/>
          <w:trHeight w:val="842"/>
        </w:trPr>
        <w:tc>
          <w:tcPr>
            <w:tcW w:w="631" w:type="pct"/>
            <w:tcBorders>
              <w:top w:val="single" w:sz="4" w:space="0" w:color="auto"/>
              <w:left w:val="single" w:sz="4" w:space="0" w:color="auto"/>
              <w:bottom w:val="single" w:sz="4" w:space="0" w:color="auto"/>
              <w:right w:val="single" w:sz="4" w:space="0" w:color="auto"/>
            </w:tcBorders>
          </w:tcPr>
          <w:p w14:paraId="2EF1DE5F" w14:textId="77777777" w:rsidR="006E4003" w:rsidRPr="00DD49D3" w:rsidRDefault="006E4003">
            <w:pPr>
              <w:rPr>
                <w:rFonts w:eastAsia="Calibri"/>
                <w:sz w:val="20"/>
              </w:rPr>
            </w:pPr>
            <w:r w:rsidRPr="00DD49D3">
              <w:rPr>
                <w:rFonts w:eastAsia="Calibri"/>
                <w:sz w:val="20"/>
              </w:rPr>
              <w:t xml:space="preserve">&lt;70 </w:t>
            </w:r>
          </w:p>
          <w:p w14:paraId="0FECAB6C" w14:textId="77777777" w:rsidR="006E4003" w:rsidRPr="00DD49D3" w:rsidRDefault="006E4003">
            <w:pPr>
              <w:rPr>
                <w:rFonts w:eastAsia="Calibri"/>
                <w:sz w:val="20"/>
              </w:rPr>
            </w:pPr>
            <w:r w:rsidRPr="00DD49D3">
              <w:rPr>
                <w:rFonts w:eastAsia="Calibri"/>
                <w:sz w:val="20"/>
              </w:rPr>
              <w:t xml:space="preserve">≥70 &lt;80 </w:t>
            </w:r>
          </w:p>
          <w:p w14:paraId="0578F799" w14:textId="77777777" w:rsidR="006E4003" w:rsidRPr="00DD49D3" w:rsidRDefault="006E4003">
            <w:pPr>
              <w:rPr>
                <w:rFonts w:eastAsia="Calibri"/>
                <w:sz w:val="20"/>
              </w:rPr>
            </w:pPr>
            <w:r w:rsidRPr="00DD49D3">
              <w:rPr>
                <w:rFonts w:eastAsia="Calibri"/>
                <w:sz w:val="20"/>
              </w:rPr>
              <w:t xml:space="preserve">≥80 </w:t>
            </w:r>
          </w:p>
          <w:p w14:paraId="0CBF6640" w14:textId="77777777" w:rsidR="006E4003" w:rsidRPr="00DD49D3" w:rsidRDefault="006E4003">
            <w:pPr>
              <w:rPr>
                <w:rFonts w:eastAsia="Calibri"/>
                <w:b/>
                <w:sz w:val="20"/>
              </w:rPr>
            </w:pPr>
            <w:r w:rsidRPr="00DD49D3">
              <w:rPr>
                <w:rFonts w:eastAsia="Calibri"/>
                <w:b/>
                <w:sz w:val="20"/>
              </w:rPr>
              <w:t>Subtotal</w:t>
            </w:r>
          </w:p>
          <w:p w14:paraId="25C26B89" w14:textId="77777777" w:rsidR="006E4003" w:rsidRPr="00DD49D3" w:rsidRDefault="006E4003">
            <w:pPr>
              <w:rPr>
                <w:rFonts w:eastAsia="Calibri"/>
                <w:sz w:val="20"/>
              </w:rPr>
            </w:pPr>
          </w:p>
        </w:tc>
        <w:tc>
          <w:tcPr>
            <w:tcW w:w="1007" w:type="pct"/>
            <w:tcBorders>
              <w:top w:val="single" w:sz="4" w:space="0" w:color="auto"/>
              <w:left w:val="single" w:sz="4" w:space="0" w:color="auto"/>
              <w:bottom w:val="single" w:sz="4" w:space="0" w:color="auto"/>
              <w:right w:val="single" w:sz="4" w:space="0" w:color="auto"/>
            </w:tcBorders>
            <w:hideMark/>
          </w:tcPr>
          <w:p w14:paraId="2EA428C8" w14:textId="77777777" w:rsidR="006E4003" w:rsidRPr="00DD49D3" w:rsidRDefault="006E4003">
            <w:pPr>
              <w:jc w:val="right"/>
              <w:rPr>
                <w:rFonts w:eastAsia="Calibri"/>
                <w:sz w:val="20"/>
              </w:rPr>
            </w:pPr>
            <w:r w:rsidRPr="00DD49D3">
              <w:rPr>
                <w:rFonts w:eastAsia="Calibri"/>
                <w:sz w:val="20"/>
              </w:rPr>
              <w:t>53/675 (7,9 %)</w:t>
            </w:r>
          </w:p>
          <w:p w14:paraId="6ABD5B78" w14:textId="77777777" w:rsidR="006E4003" w:rsidRPr="00DD49D3" w:rsidRDefault="006E4003">
            <w:pPr>
              <w:jc w:val="right"/>
              <w:rPr>
                <w:rFonts w:eastAsia="Calibri"/>
                <w:sz w:val="20"/>
              </w:rPr>
            </w:pPr>
            <w:r w:rsidRPr="00DD49D3">
              <w:rPr>
                <w:rFonts w:eastAsia="Calibri"/>
                <w:sz w:val="20"/>
              </w:rPr>
              <w:t>104/306 (34,0 %)</w:t>
            </w:r>
          </w:p>
          <w:p w14:paraId="7D6AEA20" w14:textId="77777777" w:rsidR="006E4003" w:rsidRPr="00DD49D3" w:rsidRDefault="006E4003">
            <w:pPr>
              <w:jc w:val="right"/>
              <w:rPr>
                <w:rFonts w:eastAsia="Calibri"/>
                <w:sz w:val="20"/>
              </w:rPr>
            </w:pPr>
            <w:r w:rsidRPr="00DD49D3">
              <w:rPr>
                <w:rFonts w:eastAsia="Calibri"/>
                <w:sz w:val="20"/>
              </w:rPr>
              <w:t>141/298 (47,3 %)</w:t>
            </w:r>
          </w:p>
          <w:p w14:paraId="09A4BE2C" w14:textId="77777777" w:rsidR="006E4003" w:rsidRPr="00DD49D3" w:rsidRDefault="006E4003">
            <w:pPr>
              <w:jc w:val="right"/>
              <w:rPr>
                <w:rFonts w:eastAsia="Calibri"/>
                <w:b/>
                <w:bCs/>
                <w:sz w:val="20"/>
              </w:rPr>
            </w:pPr>
            <w:r w:rsidRPr="00DD49D3">
              <w:rPr>
                <w:rFonts w:eastAsia="Calibri"/>
                <w:b/>
                <w:bCs/>
                <w:sz w:val="20"/>
              </w:rPr>
              <w:t>298/1.279 (23.3 %)</w:t>
            </w:r>
          </w:p>
        </w:tc>
        <w:tc>
          <w:tcPr>
            <w:tcW w:w="1066" w:type="pct"/>
            <w:tcBorders>
              <w:top w:val="single" w:sz="4" w:space="0" w:color="auto"/>
              <w:left w:val="single" w:sz="4" w:space="0" w:color="auto"/>
              <w:bottom w:val="single" w:sz="4" w:space="0" w:color="auto"/>
              <w:right w:val="single" w:sz="4" w:space="0" w:color="auto"/>
            </w:tcBorders>
            <w:hideMark/>
          </w:tcPr>
          <w:p w14:paraId="10204ADF" w14:textId="77777777" w:rsidR="006E4003" w:rsidRPr="00DD49D3" w:rsidRDefault="006E4003">
            <w:pPr>
              <w:jc w:val="right"/>
              <w:rPr>
                <w:rFonts w:eastAsia="Calibri"/>
                <w:sz w:val="20"/>
              </w:rPr>
            </w:pPr>
            <w:r w:rsidRPr="00DD49D3">
              <w:rPr>
                <w:rFonts w:eastAsia="Calibri"/>
                <w:sz w:val="20"/>
              </w:rPr>
              <w:t>193/1.473 (13,1 %)</w:t>
            </w:r>
          </w:p>
          <w:p w14:paraId="41E4F8EB" w14:textId="77777777" w:rsidR="006E4003" w:rsidRPr="00DD49D3" w:rsidRDefault="006E4003">
            <w:pPr>
              <w:jc w:val="right"/>
              <w:rPr>
                <w:rFonts w:eastAsia="Calibri"/>
                <w:sz w:val="20"/>
              </w:rPr>
            </w:pPr>
            <w:r w:rsidRPr="00DD49D3">
              <w:rPr>
                <w:rFonts w:eastAsia="Calibri"/>
                <w:sz w:val="20"/>
              </w:rPr>
              <w:t>178/531 (33,5 %)</w:t>
            </w:r>
          </w:p>
          <w:p w14:paraId="082E3A26" w14:textId="77777777" w:rsidR="006E4003" w:rsidRPr="00DD49D3" w:rsidRDefault="006E4003">
            <w:pPr>
              <w:jc w:val="right"/>
              <w:rPr>
                <w:rFonts w:eastAsia="Calibri"/>
                <w:sz w:val="20"/>
              </w:rPr>
            </w:pPr>
            <w:r w:rsidRPr="00DD49D3">
              <w:rPr>
                <w:rFonts w:eastAsia="Calibri"/>
                <w:sz w:val="20"/>
              </w:rPr>
              <w:t>311/600 (51,8 %)</w:t>
            </w:r>
          </w:p>
          <w:p w14:paraId="7079710F" w14:textId="77777777" w:rsidR="006E4003" w:rsidRPr="00DD49D3" w:rsidRDefault="006E4003">
            <w:pPr>
              <w:jc w:val="right"/>
              <w:rPr>
                <w:rFonts w:eastAsia="Calibri"/>
                <w:b/>
                <w:sz w:val="20"/>
              </w:rPr>
            </w:pPr>
            <w:r w:rsidRPr="00DD49D3">
              <w:rPr>
                <w:rFonts w:eastAsia="Calibri"/>
                <w:b/>
                <w:sz w:val="20"/>
              </w:rPr>
              <w:t>682/2.604 (26,2 %)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F3418F"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hideMark/>
          </w:tcPr>
          <w:p w14:paraId="7827078D" w14:textId="77777777" w:rsidR="006E4003" w:rsidRPr="00DD49D3" w:rsidRDefault="006E4003">
            <w:pPr>
              <w:rPr>
                <w:rFonts w:eastAsia="Calibri"/>
                <w:sz w:val="20"/>
              </w:rPr>
            </w:pPr>
            <w:r w:rsidRPr="00DD49D3">
              <w:rPr>
                <w:rFonts w:eastAsia="Calibri"/>
                <w:sz w:val="20"/>
              </w:rPr>
              <w:t>0,58 (0,43</w:t>
            </w:r>
            <w:r w:rsidRPr="00DD49D3">
              <w:rPr>
                <w:rFonts w:eastAsia="Calibri"/>
                <w:sz w:val="20"/>
              </w:rPr>
              <w:noBreakHyphen/>
              <w:t>0,78)</w:t>
            </w:r>
          </w:p>
          <w:p w14:paraId="0C59AF20" w14:textId="77777777" w:rsidR="006E4003" w:rsidRPr="00DD49D3" w:rsidRDefault="006E4003">
            <w:pPr>
              <w:rPr>
                <w:rFonts w:eastAsia="Calibri"/>
                <w:sz w:val="20"/>
              </w:rPr>
            </w:pPr>
            <w:r w:rsidRPr="00DD49D3">
              <w:rPr>
                <w:rFonts w:eastAsia="Calibri"/>
                <w:sz w:val="20"/>
              </w:rPr>
              <w:t>0,98 (0,77</w:t>
            </w:r>
            <w:r w:rsidRPr="00DD49D3">
              <w:rPr>
                <w:rFonts w:eastAsia="Calibri"/>
                <w:sz w:val="20"/>
              </w:rPr>
              <w:noBreakHyphen/>
              <w:t>1,25)</w:t>
            </w:r>
          </w:p>
          <w:p w14:paraId="67A01EB0" w14:textId="77777777" w:rsidR="006E4003" w:rsidRPr="00DD49D3" w:rsidRDefault="006E4003">
            <w:pPr>
              <w:rPr>
                <w:rFonts w:eastAsia="Calibri"/>
                <w:sz w:val="20"/>
              </w:rPr>
            </w:pPr>
            <w:r w:rsidRPr="00DD49D3">
              <w:rPr>
                <w:rFonts w:eastAsia="Calibri"/>
                <w:sz w:val="20"/>
              </w:rPr>
              <w:t>0,85 (0,70</w:t>
            </w:r>
            <w:r w:rsidRPr="00DD49D3">
              <w:rPr>
                <w:rFonts w:eastAsia="Calibri"/>
                <w:sz w:val="20"/>
              </w:rPr>
              <w:noBreakHyphen/>
              <w:t>1,04)</w:t>
            </w:r>
          </w:p>
          <w:p w14:paraId="04C62B65" w14:textId="77777777" w:rsidR="006E4003" w:rsidRPr="00DD49D3" w:rsidRDefault="006E4003">
            <w:pPr>
              <w:rPr>
                <w:rFonts w:eastAsia="Calibri"/>
                <w:b/>
                <w:sz w:val="20"/>
              </w:rPr>
            </w:pPr>
            <w:r w:rsidRPr="00DD49D3">
              <w:rPr>
                <w:rFonts w:eastAsia="Calibri"/>
                <w:b/>
                <w:sz w:val="20"/>
              </w:rPr>
              <w:t>0,82 (0,72</w:t>
            </w:r>
            <w:r w:rsidRPr="00DD49D3">
              <w:rPr>
                <w:rFonts w:eastAsia="Calibri"/>
                <w:b/>
                <w:sz w:val="20"/>
              </w:rPr>
              <w:noBreakHyphen/>
              <w:t>0,94)</w:t>
            </w:r>
          </w:p>
        </w:tc>
      </w:tr>
      <w:tr w:rsidR="006E4003" w:rsidRPr="00DD49D3" w14:paraId="3E4A06BC" w14:textId="77777777" w:rsidTr="008E36E3">
        <w:trPr>
          <w:cantSplit/>
        </w:trPr>
        <w:tc>
          <w:tcPr>
            <w:tcW w:w="2704" w:type="pct"/>
            <w:gridSpan w:val="3"/>
            <w:tcBorders>
              <w:top w:val="single" w:sz="4" w:space="0" w:color="auto"/>
              <w:left w:val="single" w:sz="4" w:space="0" w:color="auto"/>
              <w:bottom w:val="single" w:sz="4" w:space="0" w:color="auto"/>
              <w:right w:val="single" w:sz="4" w:space="0" w:color="auto"/>
            </w:tcBorders>
            <w:hideMark/>
          </w:tcPr>
          <w:p w14:paraId="37F4882C" w14:textId="77777777" w:rsidR="006E4003" w:rsidRPr="00DD49D3" w:rsidRDefault="006E4003">
            <w:pPr>
              <w:rPr>
                <w:rFonts w:eastAsia="Calibri"/>
                <w:b/>
                <w:sz w:val="20"/>
              </w:rPr>
            </w:pPr>
            <w:r w:rsidRPr="00DD49D3">
              <w:rPr>
                <w:rFonts w:eastAsia="Calibri"/>
                <w:b/>
                <w:sz w:val="20"/>
              </w:rPr>
              <w:t>Mekanisk ventilation (x</w:t>
            </w:r>
            <w:r w:rsidRPr="00DD49D3">
              <w:rPr>
                <w:rFonts w:eastAsia="Calibri"/>
                <w:b/>
                <w:sz w:val="20"/>
                <w:vertAlign w:val="subscript"/>
              </w:rPr>
              <w:t>1</w:t>
            </w:r>
            <w:r w:rsidRPr="00DD49D3">
              <w:rPr>
                <w:rFonts w:eastAsia="Calibri"/>
                <w:b/>
                <w:sz w:val="20"/>
                <w:vertAlign w:val="superscript"/>
              </w:rPr>
              <w:t>2</w:t>
            </w:r>
            <w:r w:rsidRPr="00DD49D3">
              <w:rPr>
                <w:rFonts w:eastAsia="Calibri"/>
                <w:b/>
                <w:sz w:val="20"/>
              </w:rPr>
              <w:t>= 0,28; p=0,60)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18E1EB"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tcPr>
          <w:p w14:paraId="449FB75B" w14:textId="77777777" w:rsidR="006E4003" w:rsidRPr="00DD49D3" w:rsidRDefault="006E4003">
            <w:pPr>
              <w:rPr>
                <w:rFonts w:eastAsia="Calibri"/>
                <w:sz w:val="20"/>
              </w:rPr>
            </w:pPr>
          </w:p>
        </w:tc>
      </w:tr>
      <w:tr w:rsidR="006E4003" w:rsidRPr="00DD49D3" w14:paraId="19C0539B" w14:textId="77777777" w:rsidTr="008E36E3">
        <w:trPr>
          <w:cantSplit/>
        </w:trPr>
        <w:tc>
          <w:tcPr>
            <w:tcW w:w="631" w:type="pct"/>
            <w:tcBorders>
              <w:top w:val="single" w:sz="4" w:space="0" w:color="auto"/>
              <w:left w:val="single" w:sz="4" w:space="0" w:color="auto"/>
              <w:bottom w:val="single" w:sz="4" w:space="0" w:color="auto"/>
              <w:right w:val="single" w:sz="4" w:space="0" w:color="auto"/>
            </w:tcBorders>
          </w:tcPr>
          <w:p w14:paraId="38F12A9F" w14:textId="77777777" w:rsidR="006E4003" w:rsidRPr="00DD49D3" w:rsidRDefault="006E4003">
            <w:pPr>
              <w:rPr>
                <w:rFonts w:eastAsia="Calibri"/>
                <w:sz w:val="20"/>
              </w:rPr>
            </w:pPr>
            <w:r w:rsidRPr="00DD49D3">
              <w:rPr>
                <w:rFonts w:eastAsia="Calibri"/>
                <w:sz w:val="20"/>
              </w:rPr>
              <w:t xml:space="preserve">&lt;70 </w:t>
            </w:r>
          </w:p>
          <w:p w14:paraId="16FCE4D0" w14:textId="77777777" w:rsidR="006E4003" w:rsidRPr="00DD49D3" w:rsidRDefault="006E4003">
            <w:pPr>
              <w:rPr>
                <w:rFonts w:eastAsia="Calibri"/>
                <w:sz w:val="20"/>
              </w:rPr>
            </w:pPr>
            <w:r w:rsidRPr="00DD49D3">
              <w:rPr>
                <w:rFonts w:eastAsia="Calibri"/>
                <w:sz w:val="20"/>
              </w:rPr>
              <w:t xml:space="preserve">≥70 &lt;80 </w:t>
            </w:r>
          </w:p>
          <w:p w14:paraId="7EE2CB3D" w14:textId="77777777" w:rsidR="006E4003" w:rsidRPr="00DD49D3" w:rsidRDefault="006E4003">
            <w:pPr>
              <w:rPr>
                <w:rFonts w:eastAsia="Calibri"/>
                <w:sz w:val="20"/>
              </w:rPr>
            </w:pPr>
            <w:r w:rsidRPr="00DD49D3">
              <w:rPr>
                <w:rFonts w:eastAsia="Calibri"/>
                <w:sz w:val="20"/>
              </w:rPr>
              <w:t xml:space="preserve">≥80 </w:t>
            </w:r>
          </w:p>
          <w:p w14:paraId="5D9BCE88" w14:textId="77777777" w:rsidR="006E4003" w:rsidRPr="00DD49D3" w:rsidRDefault="006E4003">
            <w:pPr>
              <w:rPr>
                <w:rFonts w:eastAsia="Calibri"/>
                <w:b/>
                <w:sz w:val="20"/>
              </w:rPr>
            </w:pPr>
            <w:r w:rsidRPr="00DD49D3">
              <w:rPr>
                <w:rFonts w:eastAsia="Calibri"/>
                <w:b/>
                <w:sz w:val="20"/>
              </w:rPr>
              <w:t>Subtotal</w:t>
            </w:r>
          </w:p>
          <w:p w14:paraId="3D4F1C7C" w14:textId="77777777" w:rsidR="006E4003" w:rsidRPr="00DD49D3" w:rsidRDefault="006E4003">
            <w:pPr>
              <w:rPr>
                <w:rFonts w:eastAsia="Calibri"/>
                <w:sz w:val="20"/>
              </w:rPr>
            </w:pPr>
          </w:p>
        </w:tc>
        <w:tc>
          <w:tcPr>
            <w:tcW w:w="1007" w:type="pct"/>
            <w:tcBorders>
              <w:top w:val="single" w:sz="4" w:space="0" w:color="auto"/>
              <w:left w:val="single" w:sz="4" w:space="0" w:color="auto"/>
              <w:bottom w:val="single" w:sz="4" w:space="0" w:color="auto"/>
              <w:right w:val="single" w:sz="4" w:space="0" w:color="auto"/>
            </w:tcBorders>
            <w:hideMark/>
          </w:tcPr>
          <w:p w14:paraId="1F049C29" w14:textId="77777777" w:rsidR="006E4003" w:rsidRPr="00DD49D3" w:rsidRDefault="006E4003">
            <w:pPr>
              <w:jc w:val="right"/>
              <w:rPr>
                <w:rFonts w:eastAsia="Calibri"/>
                <w:sz w:val="20"/>
              </w:rPr>
            </w:pPr>
            <w:r w:rsidRPr="00DD49D3">
              <w:rPr>
                <w:rFonts w:eastAsia="Calibri"/>
                <w:sz w:val="20"/>
              </w:rPr>
              <w:t>66/269 (24,5 %)</w:t>
            </w:r>
          </w:p>
          <w:p w14:paraId="0EE7A5F1" w14:textId="77777777" w:rsidR="006E4003" w:rsidRPr="00DD49D3" w:rsidRDefault="006E4003">
            <w:pPr>
              <w:jc w:val="right"/>
              <w:rPr>
                <w:rFonts w:eastAsia="Calibri"/>
                <w:sz w:val="20"/>
              </w:rPr>
            </w:pPr>
            <w:r w:rsidRPr="00DD49D3">
              <w:rPr>
                <w:rFonts w:eastAsia="Calibri"/>
                <w:sz w:val="20"/>
              </w:rPr>
              <w:t>26/49 (53,1 %)</w:t>
            </w:r>
          </w:p>
          <w:p w14:paraId="67D5C83E" w14:textId="77777777" w:rsidR="006E4003" w:rsidRPr="00DD49D3" w:rsidRDefault="006E4003">
            <w:pPr>
              <w:jc w:val="right"/>
              <w:rPr>
                <w:rFonts w:eastAsia="Calibri"/>
                <w:sz w:val="20"/>
              </w:rPr>
            </w:pPr>
            <w:r w:rsidRPr="00DD49D3">
              <w:rPr>
                <w:rFonts w:eastAsia="Calibri"/>
                <w:sz w:val="20"/>
              </w:rPr>
              <w:t>3/6 (50,0 %)</w:t>
            </w:r>
          </w:p>
          <w:p w14:paraId="0F6FED7C" w14:textId="77777777" w:rsidR="006E4003" w:rsidRPr="00DD49D3" w:rsidRDefault="006E4003">
            <w:pPr>
              <w:jc w:val="right"/>
              <w:rPr>
                <w:rFonts w:eastAsia="Calibri"/>
                <w:b/>
                <w:bCs/>
                <w:sz w:val="20"/>
              </w:rPr>
            </w:pPr>
            <w:r w:rsidRPr="00DD49D3">
              <w:rPr>
                <w:rFonts w:eastAsia="Calibri"/>
                <w:b/>
                <w:bCs/>
                <w:sz w:val="20"/>
              </w:rPr>
              <w:t>95/324 (29,3 %)</w:t>
            </w:r>
          </w:p>
        </w:tc>
        <w:tc>
          <w:tcPr>
            <w:tcW w:w="1066" w:type="pct"/>
            <w:tcBorders>
              <w:top w:val="single" w:sz="4" w:space="0" w:color="auto"/>
              <w:left w:val="single" w:sz="4" w:space="0" w:color="auto"/>
              <w:bottom w:val="single" w:sz="4" w:space="0" w:color="auto"/>
              <w:right w:val="single" w:sz="4" w:space="0" w:color="auto"/>
            </w:tcBorders>
            <w:hideMark/>
          </w:tcPr>
          <w:p w14:paraId="53F6644B" w14:textId="77777777" w:rsidR="006E4003" w:rsidRPr="00DD49D3" w:rsidRDefault="006E4003">
            <w:pPr>
              <w:jc w:val="right"/>
              <w:rPr>
                <w:rFonts w:eastAsia="Calibri"/>
                <w:sz w:val="20"/>
              </w:rPr>
            </w:pPr>
            <w:r w:rsidRPr="00DD49D3">
              <w:rPr>
                <w:rFonts w:eastAsia="Calibri"/>
                <w:sz w:val="20"/>
              </w:rPr>
              <w:t>217/569 (38,1 %)</w:t>
            </w:r>
          </w:p>
          <w:p w14:paraId="2E727E91" w14:textId="77777777" w:rsidR="006E4003" w:rsidRPr="00DD49D3" w:rsidRDefault="006E4003">
            <w:pPr>
              <w:jc w:val="right"/>
              <w:rPr>
                <w:rFonts w:eastAsia="Calibri"/>
                <w:sz w:val="20"/>
              </w:rPr>
            </w:pPr>
            <w:r w:rsidRPr="00DD49D3">
              <w:rPr>
                <w:rFonts w:eastAsia="Calibri"/>
                <w:sz w:val="20"/>
              </w:rPr>
              <w:t>58/104 (55,8 %)</w:t>
            </w:r>
          </w:p>
          <w:p w14:paraId="796E5B09" w14:textId="77777777" w:rsidR="006E4003" w:rsidRPr="00DD49D3" w:rsidRDefault="006E4003">
            <w:pPr>
              <w:jc w:val="right"/>
              <w:rPr>
                <w:rFonts w:eastAsia="Calibri"/>
                <w:sz w:val="20"/>
              </w:rPr>
            </w:pPr>
            <w:r w:rsidRPr="00DD49D3">
              <w:rPr>
                <w:rFonts w:eastAsia="Calibri"/>
                <w:sz w:val="20"/>
              </w:rPr>
              <w:t>8/10 (80,0 %)</w:t>
            </w:r>
          </w:p>
          <w:p w14:paraId="19A76AB9" w14:textId="77777777" w:rsidR="006E4003" w:rsidRPr="00DD49D3" w:rsidRDefault="006E4003">
            <w:pPr>
              <w:jc w:val="right"/>
              <w:rPr>
                <w:rFonts w:eastAsia="Calibri"/>
                <w:b/>
                <w:sz w:val="20"/>
              </w:rPr>
            </w:pPr>
            <w:r w:rsidRPr="00DD49D3">
              <w:rPr>
                <w:rFonts w:eastAsia="Calibri"/>
                <w:b/>
                <w:sz w:val="20"/>
              </w:rPr>
              <w:t>283/683 (41,4 %)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B5F7D3"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hideMark/>
          </w:tcPr>
          <w:p w14:paraId="4DF13178" w14:textId="77777777" w:rsidR="006E4003" w:rsidRPr="00DD49D3" w:rsidRDefault="006E4003">
            <w:pPr>
              <w:rPr>
                <w:rFonts w:eastAsia="Calibri"/>
                <w:sz w:val="20"/>
              </w:rPr>
            </w:pPr>
            <w:r w:rsidRPr="00DD49D3">
              <w:rPr>
                <w:rFonts w:eastAsia="Calibri"/>
                <w:sz w:val="20"/>
              </w:rPr>
              <w:t>0,61 (0,46-0,81)</w:t>
            </w:r>
          </w:p>
          <w:p w14:paraId="39039DF0" w14:textId="77777777" w:rsidR="006E4003" w:rsidRPr="00DD49D3" w:rsidRDefault="006E4003">
            <w:pPr>
              <w:rPr>
                <w:rFonts w:eastAsia="Calibri"/>
                <w:sz w:val="20"/>
              </w:rPr>
            </w:pPr>
            <w:r w:rsidRPr="00DD49D3">
              <w:rPr>
                <w:rFonts w:eastAsia="Calibri"/>
                <w:sz w:val="20"/>
              </w:rPr>
              <w:t>0,85 (0,53-1,34)</w:t>
            </w:r>
          </w:p>
          <w:p w14:paraId="5ACED5C1" w14:textId="77777777" w:rsidR="006E4003" w:rsidRPr="00DD49D3" w:rsidRDefault="006E4003">
            <w:pPr>
              <w:rPr>
                <w:rFonts w:eastAsia="Calibri"/>
                <w:sz w:val="20"/>
              </w:rPr>
            </w:pPr>
            <w:r w:rsidRPr="00DD49D3">
              <w:rPr>
                <w:rFonts w:eastAsia="Calibri"/>
                <w:sz w:val="20"/>
              </w:rPr>
              <w:t>0,39 (0,10-1,47)</w:t>
            </w:r>
          </w:p>
          <w:p w14:paraId="4BEB3796" w14:textId="77777777" w:rsidR="006E4003" w:rsidRPr="00DD49D3" w:rsidRDefault="006E4003">
            <w:pPr>
              <w:rPr>
                <w:rFonts w:eastAsia="Calibri"/>
                <w:b/>
                <w:sz w:val="20"/>
              </w:rPr>
            </w:pPr>
            <w:r w:rsidRPr="00DD49D3">
              <w:rPr>
                <w:rFonts w:eastAsia="Calibri"/>
                <w:b/>
                <w:sz w:val="20"/>
              </w:rPr>
              <w:t>0,64 (0,51-0,81)</w:t>
            </w:r>
          </w:p>
        </w:tc>
      </w:tr>
      <w:tr w:rsidR="006E4003" w:rsidRPr="00DD49D3" w14:paraId="41B3993F" w14:textId="77777777" w:rsidTr="008E36E3">
        <w:trPr>
          <w:cantSplit/>
          <w:trHeight w:val="615"/>
        </w:trPr>
        <w:tc>
          <w:tcPr>
            <w:tcW w:w="631" w:type="pct"/>
            <w:tcBorders>
              <w:top w:val="single" w:sz="4" w:space="0" w:color="auto"/>
              <w:left w:val="single" w:sz="4" w:space="0" w:color="auto"/>
              <w:bottom w:val="single" w:sz="4" w:space="0" w:color="auto"/>
              <w:right w:val="single" w:sz="4" w:space="0" w:color="auto"/>
            </w:tcBorders>
            <w:hideMark/>
          </w:tcPr>
          <w:p w14:paraId="02541A2F" w14:textId="77777777" w:rsidR="006E4003" w:rsidRPr="00DD49D3" w:rsidRDefault="006E4003">
            <w:pPr>
              <w:rPr>
                <w:rFonts w:eastAsia="Calibri"/>
                <w:b/>
                <w:sz w:val="20"/>
              </w:rPr>
            </w:pPr>
            <w:r w:rsidRPr="00DD49D3">
              <w:rPr>
                <w:rFonts w:eastAsia="Calibri"/>
                <w:b/>
                <w:sz w:val="20"/>
              </w:rPr>
              <w:t>Alle deltagere</w:t>
            </w:r>
          </w:p>
        </w:tc>
        <w:tc>
          <w:tcPr>
            <w:tcW w:w="1007" w:type="pct"/>
            <w:tcBorders>
              <w:top w:val="single" w:sz="4" w:space="0" w:color="auto"/>
              <w:left w:val="single" w:sz="4" w:space="0" w:color="auto"/>
              <w:bottom w:val="single" w:sz="4" w:space="0" w:color="auto"/>
              <w:right w:val="single" w:sz="4" w:space="0" w:color="auto"/>
            </w:tcBorders>
            <w:hideMark/>
          </w:tcPr>
          <w:p w14:paraId="6F7D2B61" w14:textId="77777777" w:rsidR="006E4003" w:rsidRPr="00DD49D3" w:rsidRDefault="006E4003">
            <w:pPr>
              <w:jc w:val="right"/>
              <w:rPr>
                <w:rFonts w:eastAsia="Calibri"/>
                <w:b/>
                <w:sz w:val="20"/>
              </w:rPr>
            </w:pPr>
            <w:r w:rsidRPr="00DD49D3">
              <w:rPr>
                <w:rFonts w:eastAsia="Calibri"/>
                <w:b/>
                <w:sz w:val="20"/>
              </w:rPr>
              <w:t>482/2.104 (22,9 %)</w:t>
            </w:r>
          </w:p>
        </w:tc>
        <w:tc>
          <w:tcPr>
            <w:tcW w:w="1066" w:type="pct"/>
            <w:tcBorders>
              <w:top w:val="single" w:sz="4" w:space="0" w:color="auto"/>
              <w:left w:val="single" w:sz="4" w:space="0" w:color="auto"/>
              <w:bottom w:val="single" w:sz="4" w:space="0" w:color="auto"/>
              <w:right w:val="single" w:sz="4" w:space="0" w:color="auto"/>
            </w:tcBorders>
            <w:hideMark/>
          </w:tcPr>
          <w:p w14:paraId="2FF60BD2" w14:textId="77777777" w:rsidR="006E4003" w:rsidRPr="00DD49D3" w:rsidRDefault="006E4003">
            <w:pPr>
              <w:jc w:val="right"/>
              <w:rPr>
                <w:rFonts w:eastAsia="Calibri"/>
                <w:b/>
                <w:sz w:val="20"/>
              </w:rPr>
            </w:pPr>
            <w:r w:rsidRPr="00DD49D3">
              <w:rPr>
                <w:rFonts w:eastAsia="Calibri"/>
                <w:b/>
                <w:sz w:val="20"/>
              </w:rPr>
              <w:t>1.110/4321 (25,7 %)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305122" w14:textId="77777777" w:rsidR="006E4003" w:rsidRPr="00DD49D3" w:rsidRDefault="006E4003">
            <w:pPr>
              <w:rPr>
                <w:sz w:val="20"/>
                <w:lang w:eastAsia="en-GB"/>
              </w:rPr>
            </w:pPr>
          </w:p>
        </w:tc>
        <w:tc>
          <w:tcPr>
            <w:tcW w:w="802" w:type="pct"/>
            <w:tcBorders>
              <w:top w:val="single" w:sz="4" w:space="0" w:color="auto"/>
              <w:left w:val="single" w:sz="4" w:space="0" w:color="auto"/>
              <w:bottom w:val="single" w:sz="4" w:space="0" w:color="auto"/>
              <w:right w:val="single" w:sz="4" w:space="0" w:color="auto"/>
            </w:tcBorders>
            <w:hideMark/>
          </w:tcPr>
          <w:p w14:paraId="11A530AA" w14:textId="77777777" w:rsidR="006E4003" w:rsidRPr="00DD49D3" w:rsidRDefault="006E4003">
            <w:pPr>
              <w:rPr>
                <w:rFonts w:eastAsia="Calibri"/>
                <w:b/>
                <w:sz w:val="20"/>
              </w:rPr>
            </w:pPr>
            <w:r w:rsidRPr="00DD49D3">
              <w:rPr>
                <w:rFonts w:eastAsia="Calibri"/>
                <w:b/>
                <w:sz w:val="20"/>
              </w:rPr>
              <w:t>0,83 (0,75-0,93)</w:t>
            </w:r>
          </w:p>
          <w:p w14:paraId="09489CCA" w14:textId="77777777" w:rsidR="006E4003" w:rsidRPr="00DD49D3" w:rsidRDefault="006E4003">
            <w:pPr>
              <w:rPr>
                <w:rFonts w:eastAsia="Calibri"/>
                <w:sz w:val="20"/>
              </w:rPr>
            </w:pPr>
            <w:r w:rsidRPr="00DD49D3">
              <w:rPr>
                <w:rFonts w:eastAsia="Calibri"/>
                <w:b/>
                <w:sz w:val="20"/>
              </w:rPr>
              <w:t>p &lt;0,001</w:t>
            </w:r>
          </w:p>
        </w:tc>
      </w:tr>
      <w:tr w:rsidR="006E4003" w:rsidRPr="00DD49D3" w14:paraId="315AA22E" w14:textId="77777777" w:rsidTr="008E36E3">
        <w:trPr>
          <w:cantSplit/>
        </w:trPr>
        <w:tc>
          <w:tcPr>
            <w:tcW w:w="3648" w:type="pct"/>
            <w:gridSpan w:val="4"/>
            <w:tcBorders>
              <w:top w:val="single" w:sz="4" w:space="0" w:color="auto"/>
              <w:left w:val="single" w:sz="4" w:space="0" w:color="auto"/>
              <w:bottom w:val="single" w:sz="4" w:space="0" w:color="auto"/>
              <w:right w:val="single" w:sz="4" w:space="0" w:color="auto"/>
            </w:tcBorders>
            <w:hideMark/>
          </w:tcPr>
          <w:p w14:paraId="220AD1A4" w14:textId="77777777" w:rsidR="006E4003" w:rsidRPr="00DD49D3" w:rsidRDefault="006E4003">
            <w:pPr>
              <w:jc w:val="right"/>
              <w:rPr>
                <w:rFonts w:eastAsia="Calibri"/>
                <w:bCs/>
                <w:sz w:val="20"/>
              </w:rPr>
            </w:pPr>
            <w:proofErr w:type="spellStart"/>
            <w:r w:rsidRPr="00DD49D3">
              <w:rPr>
                <w:rFonts w:eastAsia="Calibri"/>
                <w:bCs/>
                <w:sz w:val="20"/>
              </w:rPr>
              <w:t>Dexamethason</w:t>
            </w:r>
            <w:proofErr w:type="spellEnd"/>
            <w:r w:rsidRPr="00DD49D3">
              <w:rPr>
                <w:rFonts w:eastAsia="Calibri"/>
                <w:bCs/>
                <w:sz w:val="20"/>
              </w:rPr>
              <w:t xml:space="preserve"> </w:t>
            </w:r>
          </w:p>
          <w:p w14:paraId="14194C8F" w14:textId="77777777" w:rsidR="006E4003" w:rsidRPr="00DD49D3" w:rsidRDefault="006E4003">
            <w:pPr>
              <w:jc w:val="right"/>
              <w:rPr>
                <w:rFonts w:eastAsia="Calibri"/>
                <w:bCs/>
                <w:sz w:val="20"/>
              </w:rPr>
            </w:pPr>
            <w:r w:rsidRPr="00DD49D3">
              <w:rPr>
                <w:rFonts w:eastAsia="Calibri"/>
                <w:bCs/>
                <w:sz w:val="20"/>
              </w:rPr>
              <w:t>bedre</w:t>
            </w:r>
          </w:p>
        </w:tc>
        <w:tc>
          <w:tcPr>
            <w:tcW w:w="1352" w:type="pct"/>
            <w:gridSpan w:val="2"/>
            <w:tcBorders>
              <w:top w:val="single" w:sz="4" w:space="0" w:color="auto"/>
              <w:left w:val="single" w:sz="4" w:space="0" w:color="auto"/>
              <w:bottom w:val="single" w:sz="4" w:space="0" w:color="auto"/>
              <w:right w:val="single" w:sz="4" w:space="0" w:color="auto"/>
            </w:tcBorders>
            <w:hideMark/>
          </w:tcPr>
          <w:p w14:paraId="299AC478" w14:textId="77777777" w:rsidR="006E4003" w:rsidRPr="00DD49D3" w:rsidRDefault="006E4003">
            <w:pPr>
              <w:rPr>
                <w:rFonts w:eastAsia="Calibri"/>
                <w:bCs/>
                <w:sz w:val="20"/>
              </w:rPr>
            </w:pPr>
            <w:r w:rsidRPr="00DD49D3">
              <w:rPr>
                <w:rFonts w:eastAsia="Calibri"/>
                <w:bCs/>
                <w:sz w:val="20"/>
              </w:rPr>
              <w:t xml:space="preserve">Almindelig pleje </w:t>
            </w:r>
          </w:p>
          <w:p w14:paraId="3170041D" w14:textId="77777777" w:rsidR="006E4003" w:rsidRPr="00DD49D3" w:rsidRDefault="006E4003">
            <w:pPr>
              <w:rPr>
                <w:rFonts w:eastAsia="Calibri"/>
                <w:bCs/>
                <w:sz w:val="20"/>
              </w:rPr>
            </w:pPr>
            <w:r w:rsidRPr="00DD49D3">
              <w:rPr>
                <w:rFonts w:eastAsia="Calibri"/>
                <w:bCs/>
                <w:sz w:val="20"/>
              </w:rPr>
              <w:t>bedre</w:t>
            </w:r>
          </w:p>
        </w:tc>
      </w:tr>
    </w:tbl>
    <w:p w14:paraId="7D0C89C9" w14:textId="422B3F42" w:rsidR="006E4003" w:rsidRDefault="006E4003" w:rsidP="006E4003">
      <w:pPr>
        <w:tabs>
          <w:tab w:val="left" w:pos="851"/>
        </w:tabs>
        <w:ind w:left="851"/>
        <w:rPr>
          <w:b/>
          <w:bCs/>
          <w:i/>
          <w:iCs/>
          <w:sz w:val="24"/>
          <w:szCs w:val="24"/>
        </w:rPr>
      </w:pPr>
    </w:p>
    <w:p w14:paraId="1026A6BD" w14:textId="35D75962" w:rsidR="008A4EEB" w:rsidRDefault="008A4EEB" w:rsidP="006E4003">
      <w:pPr>
        <w:tabs>
          <w:tab w:val="left" w:pos="851"/>
        </w:tabs>
        <w:ind w:left="851"/>
        <w:rPr>
          <w:b/>
          <w:bCs/>
          <w:i/>
          <w:iCs/>
          <w:sz w:val="24"/>
          <w:szCs w:val="24"/>
        </w:rPr>
      </w:pPr>
    </w:p>
    <w:p w14:paraId="00D4267B" w14:textId="77777777" w:rsidR="008A4EEB" w:rsidRPr="00194E1C" w:rsidRDefault="008A4EEB" w:rsidP="006E4003">
      <w:pPr>
        <w:tabs>
          <w:tab w:val="left" w:pos="851"/>
        </w:tabs>
        <w:ind w:left="851"/>
        <w:rPr>
          <w:b/>
          <w:bCs/>
          <w:i/>
          <w:iCs/>
          <w:sz w:val="24"/>
          <w:szCs w:val="24"/>
        </w:rPr>
      </w:pPr>
    </w:p>
    <w:p w14:paraId="650EE45F" w14:textId="77777777" w:rsidR="006E4003" w:rsidRPr="00194E1C" w:rsidRDefault="006E4003" w:rsidP="006E4003">
      <w:pPr>
        <w:tabs>
          <w:tab w:val="left" w:pos="851"/>
        </w:tabs>
        <w:ind w:left="851"/>
        <w:rPr>
          <w:b/>
          <w:bCs/>
          <w:i/>
          <w:iCs/>
          <w:sz w:val="24"/>
          <w:szCs w:val="24"/>
        </w:rPr>
      </w:pPr>
      <w:r w:rsidRPr="00194E1C">
        <w:rPr>
          <w:b/>
          <w:bCs/>
          <w:i/>
          <w:iCs/>
          <w:sz w:val="24"/>
          <w:szCs w:val="24"/>
        </w:rPr>
        <w:lastRenderedPageBreak/>
        <w:t xml:space="preserve">Effekt af tildeling af </w:t>
      </w:r>
      <w:proofErr w:type="spellStart"/>
      <w:r w:rsidRPr="00194E1C">
        <w:rPr>
          <w:b/>
          <w:bCs/>
          <w:i/>
          <w:iCs/>
          <w:sz w:val="24"/>
          <w:szCs w:val="24"/>
        </w:rPr>
        <w:t>dexamethason</w:t>
      </w:r>
      <w:proofErr w:type="spellEnd"/>
      <w:r w:rsidRPr="00194E1C">
        <w:rPr>
          <w:b/>
          <w:bCs/>
          <w:i/>
          <w:iCs/>
          <w:sz w:val="24"/>
          <w:szCs w:val="24"/>
        </w:rPr>
        <w:t xml:space="preserve"> på dødeligheden efter 28 dage, efter respiratorisk støtte modtaget ved </w:t>
      </w:r>
      <w:proofErr w:type="spellStart"/>
      <w:r w:rsidRPr="00194E1C">
        <w:rPr>
          <w:b/>
          <w:bCs/>
          <w:i/>
          <w:iCs/>
          <w:sz w:val="24"/>
          <w:szCs w:val="24"/>
        </w:rPr>
        <w:t>randomisering</w:t>
      </w:r>
      <w:proofErr w:type="spellEnd"/>
      <w:r w:rsidRPr="00194E1C">
        <w:rPr>
          <w:b/>
          <w:bCs/>
          <w:i/>
          <w:iCs/>
          <w:sz w:val="24"/>
          <w:szCs w:val="24"/>
        </w:rPr>
        <w:t xml:space="preserve"> og anamnese med kronisk sygdom</w:t>
      </w:r>
      <w:r w:rsidRPr="00194E1C">
        <w:rPr>
          <w:rStyle w:val="Fodnotehenvisning"/>
          <w:b/>
          <w:bCs/>
          <w:i/>
          <w:iCs/>
          <w:sz w:val="24"/>
          <w:szCs w:val="24"/>
        </w:rPr>
        <w:footnoteReference w:id="3"/>
      </w:r>
    </w:p>
    <w:tbl>
      <w:tblPr>
        <w:tblW w:w="474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96"/>
        <w:gridCol w:w="1720"/>
        <w:gridCol w:w="1940"/>
        <w:gridCol w:w="974"/>
        <w:gridCol w:w="1455"/>
      </w:tblGrid>
      <w:tr w:rsidR="006E4003" w:rsidRPr="00DD49D3" w14:paraId="4E28CEEB" w14:textId="77777777" w:rsidTr="008E36E3">
        <w:tc>
          <w:tcPr>
            <w:tcW w:w="796" w:type="pct"/>
            <w:tcBorders>
              <w:top w:val="single" w:sz="4" w:space="0" w:color="auto"/>
              <w:left w:val="single" w:sz="4" w:space="0" w:color="auto"/>
              <w:bottom w:val="single" w:sz="4" w:space="0" w:color="auto"/>
              <w:right w:val="single" w:sz="4" w:space="0" w:color="auto"/>
            </w:tcBorders>
          </w:tcPr>
          <w:p w14:paraId="075BF033" w14:textId="77777777" w:rsidR="006E4003" w:rsidRPr="00DD49D3" w:rsidRDefault="006E4003">
            <w:pPr>
              <w:rPr>
                <w:rFonts w:eastAsia="Calibri"/>
                <w:sz w:val="20"/>
              </w:rPr>
            </w:pPr>
          </w:p>
        </w:tc>
        <w:tc>
          <w:tcPr>
            <w:tcW w:w="873" w:type="pct"/>
            <w:tcBorders>
              <w:top w:val="single" w:sz="4" w:space="0" w:color="auto"/>
              <w:left w:val="single" w:sz="4" w:space="0" w:color="auto"/>
              <w:bottom w:val="single" w:sz="4" w:space="0" w:color="auto"/>
              <w:right w:val="single" w:sz="4" w:space="0" w:color="auto"/>
            </w:tcBorders>
            <w:hideMark/>
          </w:tcPr>
          <w:p w14:paraId="6D1A8647" w14:textId="77777777" w:rsidR="006E4003" w:rsidRPr="00DD49D3" w:rsidRDefault="006E4003">
            <w:pPr>
              <w:rPr>
                <w:rFonts w:eastAsia="Calibri"/>
                <w:b/>
                <w:sz w:val="20"/>
              </w:rPr>
            </w:pPr>
            <w:proofErr w:type="spellStart"/>
            <w:r w:rsidRPr="00DD49D3">
              <w:rPr>
                <w:rFonts w:eastAsia="Calibri"/>
                <w:b/>
                <w:sz w:val="20"/>
              </w:rPr>
              <w:t>Dexamethason</w:t>
            </w:r>
            <w:proofErr w:type="spellEnd"/>
          </w:p>
        </w:tc>
        <w:tc>
          <w:tcPr>
            <w:tcW w:w="940" w:type="pct"/>
            <w:tcBorders>
              <w:top w:val="single" w:sz="4" w:space="0" w:color="auto"/>
              <w:left w:val="single" w:sz="4" w:space="0" w:color="auto"/>
              <w:bottom w:val="single" w:sz="4" w:space="0" w:color="auto"/>
              <w:right w:val="single" w:sz="4" w:space="0" w:color="auto"/>
            </w:tcBorders>
            <w:hideMark/>
          </w:tcPr>
          <w:p w14:paraId="2D9E4303" w14:textId="77777777" w:rsidR="006E4003" w:rsidRPr="00DD49D3" w:rsidRDefault="006E4003">
            <w:pPr>
              <w:rPr>
                <w:rFonts w:eastAsia="Calibri"/>
                <w:b/>
                <w:sz w:val="20"/>
              </w:rPr>
            </w:pPr>
            <w:r w:rsidRPr="00DD49D3">
              <w:rPr>
                <w:rFonts w:eastAsia="Calibri"/>
                <w:b/>
                <w:sz w:val="20"/>
              </w:rPr>
              <w:t>Almindelig pleje</w:t>
            </w:r>
          </w:p>
        </w:tc>
        <w:tc>
          <w:tcPr>
            <w:tcW w:w="1594" w:type="pct"/>
            <w:gridSpan w:val="2"/>
            <w:vMerge w:val="restart"/>
            <w:tcBorders>
              <w:top w:val="single" w:sz="4" w:space="0" w:color="auto"/>
              <w:left w:val="single" w:sz="4" w:space="0" w:color="auto"/>
              <w:bottom w:val="single" w:sz="4" w:space="0" w:color="auto"/>
              <w:right w:val="single" w:sz="4" w:space="0" w:color="auto"/>
            </w:tcBorders>
            <w:hideMark/>
          </w:tcPr>
          <w:p w14:paraId="2B7D8F40" w14:textId="77777777" w:rsidR="006E4003" w:rsidRPr="00DD49D3" w:rsidRDefault="006E4003">
            <w:pPr>
              <w:rPr>
                <w:rFonts w:eastAsia="Calibri"/>
                <w:sz w:val="20"/>
              </w:rPr>
            </w:pPr>
            <w:r w:rsidRPr="00DD49D3">
              <w:rPr>
                <w:rFonts w:eastAsia="Calibri"/>
                <w:noProof/>
                <w:sz w:val="20"/>
                <w:lang w:eastAsia="sl-SI"/>
              </w:rPr>
              <w:t xml:space="preserve"> </w:t>
            </w:r>
            <w:r w:rsidRPr="00DD49D3">
              <w:rPr>
                <w:sz w:val="20"/>
                <w:lang w:eastAsia="en-GB"/>
              </w:rPr>
              <w:object w:dxaOrig="2700" w:dyaOrig="4110" w14:anchorId="55C30BE0">
                <v:shape id="_x0000_i1026" type="#_x0000_t75" style="width:135pt;height:205.5pt" o:ole="">
                  <v:imagedata r:id="rId11" o:title=""/>
                </v:shape>
                <o:OLEObject Type="Embed" ProgID="PBrush" ShapeID="_x0000_i1026" DrawAspect="Content" ObjectID="_1794292694" r:id="rId12"/>
              </w:object>
            </w:r>
          </w:p>
        </w:tc>
        <w:tc>
          <w:tcPr>
            <w:tcW w:w="796" w:type="pct"/>
            <w:tcBorders>
              <w:top w:val="single" w:sz="4" w:space="0" w:color="auto"/>
              <w:left w:val="single" w:sz="4" w:space="0" w:color="auto"/>
              <w:bottom w:val="single" w:sz="4" w:space="0" w:color="auto"/>
              <w:right w:val="single" w:sz="4" w:space="0" w:color="auto"/>
            </w:tcBorders>
            <w:hideMark/>
          </w:tcPr>
          <w:p w14:paraId="0AED56D5" w14:textId="77777777" w:rsidR="006E4003" w:rsidRPr="00DD49D3" w:rsidRDefault="006E4003">
            <w:pPr>
              <w:rPr>
                <w:rFonts w:eastAsia="Calibri"/>
                <w:b/>
                <w:sz w:val="20"/>
              </w:rPr>
            </w:pPr>
            <w:r w:rsidRPr="00DD49D3">
              <w:rPr>
                <w:rFonts w:eastAsia="Calibri"/>
                <w:b/>
                <w:sz w:val="20"/>
              </w:rPr>
              <w:t>RR (95 % Cl)</w:t>
            </w:r>
          </w:p>
        </w:tc>
      </w:tr>
      <w:tr w:rsidR="006E4003" w:rsidRPr="00DD49D3" w14:paraId="20903FDC" w14:textId="77777777" w:rsidTr="008E36E3">
        <w:tc>
          <w:tcPr>
            <w:tcW w:w="2610" w:type="pct"/>
            <w:gridSpan w:val="3"/>
            <w:tcBorders>
              <w:top w:val="single" w:sz="4" w:space="0" w:color="auto"/>
              <w:left w:val="single" w:sz="4" w:space="0" w:color="auto"/>
              <w:bottom w:val="single" w:sz="4" w:space="0" w:color="auto"/>
              <w:right w:val="single" w:sz="4" w:space="0" w:color="auto"/>
            </w:tcBorders>
            <w:hideMark/>
          </w:tcPr>
          <w:p w14:paraId="0E96E74A" w14:textId="77777777" w:rsidR="006E4003" w:rsidRPr="00DD49D3" w:rsidRDefault="006E4003">
            <w:pPr>
              <w:rPr>
                <w:rFonts w:eastAsia="Calibri"/>
                <w:b/>
                <w:sz w:val="20"/>
              </w:rPr>
            </w:pPr>
            <w:r w:rsidRPr="00DD49D3">
              <w:rPr>
                <w:rFonts w:eastAsia="Calibri"/>
                <w:b/>
                <w:sz w:val="20"/>
              </w:rPr>
              <w:t>Ingen ilt (x</w:t>
            </w:r>
            <w:r w:rsidRPr="00DD49D3">
              <w:rPr>
                <w:rFonts w:eastAsia="Calibri"/>
                <w:b/>
                <w:sz w:val="20"/>
                <w:vertAlign w:val="subscript"/>
              </w:rPr>
              <w:t>1</w:t>
            </w:r>
            <w:r w:rsidRPr="00DD49D3">
              <w:rPr>
                <w:rFonts w:eastAsia="Calibri"/>
                <w:b/>
                <w:sz w:val="20"/>
                <w:vertAlign w:val="superscript"/>
              </w:rPr>
              <w:t>2</w:t>
            </w:r>
            <w:r w:rsidRPr="00DD49D3">
              <w:rPr>
                <w:rFonts w:eastAsia="Calibri"/>
                <w:b/>
                <w:sz w:val="20"/>
              </w:rPr>
              <w:t>= 0,08; p=0,78)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33B429"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tcPr>
          <w:p w14:paraId="30935E2A" w14:textId="77777777" w:rsidR="006E4003" w:rsidRPr="00DD49D3" w:rsidRDefault="006E4003">
            <w:pPr>
              <w:rPr>
                <w:rFonts w:eastAsia="Calibri"/>
                <w:sz w:val="20"/>
              </w:rPr>
            </w:pPr>
          </w:p>
        </w:tc>
      </w:tr>
      <w:tr w:rsidR="006E4003" w:rsidRPr="00DD49D3" w14:paraId="6B95CE11" w14:textId="77777777" w:rsidTr="008E36E3">
        <w:trPr>
          <w:trHeight w:val="925"/>
        </w:trPr>
        <w:tc>
          <w:tcPr>
            <w:tcW w:w="796" w:type="pct"/>
            <w:tcBorders>
              <w:top w:val="single" w:sz="4" w:space="0" w:color="auto"/>
              <w:left w:val="single" w:sz="4" w:space="0" w:color="auto"/>
              <w:bottom w:val="single" w:sz="4" w:space="0" w:color="auto"/>
              <w:right w:val="single" w:sz="4" w:space="0" w:color="auto"/>
            </w:tcBorders>
            <w:hideMark/>
          </w:tcPr>
          <w:p w14:paraId="58EEA327" w14:textId="77777777" w:rsidR="006E4003" w:rsidRPr="00DD49D3" w:rsidRDefault="006E4003">
            <w:pPr>
              <w:rPr>
                <w:rFonts w:eastAsia="Calibri"/>
                <w:sz w:val="20"/>
              </w:rPr>
            </w:pPr>
            <w:r w:rsidRPr="00DD49D3">
              <w:rPr>
                <w:rFonts w:eastAsia="Calibri"/>
                <w:sz w:val="20"/>
              </w:rPr>
              <w:t>Tidligere sygdom</w:t>
            </w:r>
          </w:p>
          <w:p w14:paraId="55F5ECE7" w14:textId="77777777" w:rsidR="006E4003" w:rsidRPr="00DD49D3" w:rsidRDefault="006E4003">
            <w:pPr>
              <w:rPr>
                <w:rFonts w:eastAsia="Calibri"/>
                <w:sz w:val="20"/>
              </w:rPr>
            </w:pPr>
            <w:r w:rsidRPr="00DD49D3">
              <w:rPr>
                <w:rFonts w:eastAsia="Calibri"/>
                <w:sz w:val="20"/>
              </w:rPr>
              <w:t>Ingen tidligere sygdom</w:t>
            </w:r>
          </w:p>
          <w:p w14:paraId="568E3CAC" w14:textId="77777777" w:rsidR="006E4003" w:rsidRPr="00DD49D3" w:rsidRDefault="006E4003">
            <w:pPr>
              <w:rPr>
                <w:rFonts w:eastAsia="Calibri"/>
                <w:b/>
                <w:sz w:val="20"/>
              </w:rPr>
            </w:pPr>
            <w:r w:rsidRPr="00DD49D3">
              <w:rPr>
                <w:rFonts w:eastAsia="Calibri"/>
                <w:b/>
                <w:sz w:val="20"/>
              </w:rPr>
              <w:t xml:space="preserve">Subtotal </w:t>
            </w:r>
          </w:p>
        </w:tc>
        <w:tc>
          <w:tcPr>
            <w:tcW w:w="873" w:type="pct"/>
            <w:tcBorders>
              <w:top w:val="single" w:sz="4" w:space="0" w:color="auto"/>
              <w:left w:val="single" w:sz="4" w:space="0" w:color="auto"/>
              <w:bottom w:val="single" w:sz="4" w:space="0" w:color="auto"/>
              <w:right w:val="single" w:sz="4" w:space="0" w:color="auto"/>
            </w:tcBorders>
            <w:hideMark/>
          </w:tcPr>
          <w:p w14:paraId="29BA7BC3" w14:textId="77777777" w:rsidR="006E4003" w:rsidRPr="00DD49D3" w:rsidRDefault="006E4003">
            <w:pPr>
              <w:jc w:val="right"/>
              <w:rPr>
                <w:rFonts w:eastAsia="Calibri"/>
                <w:sz w:val="20"/>
              </w:rPr>
            </w:pPr>
            <w:r w:rsidRPr="00DD49D3">
              <w:rPr>
                <w:rFonts w:eastAsia="Calibri"/>
                <w:sz w:val="20"/>
              </w:rPr>
              <w:t>65/313 (20,8 %)</w:t>
            </w:r>
          </w:p>
          <w:p w14:paraId="722AA32E" w14:textId="77777777" w:rsidR="006E4003" w:rsidRPr="00DD49D3" w:rsidRDefault="006E4003">
            <w:pPr>
              <w:jc w:val="right"/>
              <w:rPr>
                <w:rFonts w:eastAsia="Calibri"/>
                <w:sz w:val="20"/>
              </w:rPr>
            </w:pPr>
            <w:r w:rsidRPr="00DD49D3">
              <w:rPr>
                <w:rFonts w:eastAsia="Calibri"/>
                <w:sz w:val="20"/>
              </w:rPr>
              <w:t>24/188 (12,8 %)</w:t>
            </w:r>
          </w:p>
          <w:p w14:paraId="68C31684" w14:textId="77777777" w:rsidR="006E4003" w:rsidRPr="00DD49D3" w:rsidRDefault="006E4003">
            <w:pPr>
              <w:jc w:val="right"/>
              <w:rPr>
                <w:rFonts w:eastAsia="Calibri"/>
                <w:b/>
                <w:sz w:val="20"/>
              </w:rPr>
            </w:pPr>
            <w:r w:rsidRPr="00DD49D3">
              <w:rPr>
                <w:rFonts w:eastAsia="Calibri"/>
                <w:b/>
                <w:sz w:val="20"/>
              </w:rPr>
              <w:t>89/501 (17,8 %)</w:t>
            </w:r>
          </w:p>
        </w:tc>
        <w:tc>
          <w:tcPr>
            <w:tcW w:w="940" w:type="pct"/>
            <w:tcBorders>
              <w:top w:val="single" w:sz="4" w:space="0" w:color="auto"/>
              <w:left w:val="single" w:sz="4" w:space="0" w:color="auto"/>
              <w:bottom w:val="single" w:sz="4" w:space="0" w:color="auto"/>
              <w:right w:val="single" w:sz="4" w:space="0" w:color="auto"/>
            </w:tcBorders>
            <w:hideMark/>
          </w:tcPr>
          <w:p w14:paraId="1F43BB12" w14:textId="77777777" w:rsidR="006E4003" w:rsidRPr="00DD49D3" w:rsidRDefault="006E4003">
            <w:pPr>
              <w:jc w:val="right"/>
              <w:rPr>
                <w:rFonts w:eastAsia="Calibri"/>
                <w:sz w:val="20"/>
              </w:rPr>
            </w:pPr>
            <w:r w:rsidRPr="00DD49D3">
              <w:rPr>
                <w:rFonts w:eastAsia="Calibri"/>
                <w:sz w:val="20"/>
              </w:rPr>
              <w:t>100/598 (16,7 %)</w:t>
            </w:r>
          </w:p>
          <w:p w14:paraId="046C5159" w14:textId="77777777" w:rsidR="006E4003" w:rsidRPr="00DD49D3" w:rsidRDefault="006E4003">
            <w:pPr>
              <w:jc w:val="right"/>
              <w:rPr>
                <w:rFonts w:eastAsia="Calibri"/>
                <w:sz w:val="20"/>
              </w:rPr>
            </w:pPr>
            <w:r w:rsidRPr="00DD49D3">
              <w:rPr>
                <w:rFonts w:eastAsia="Calibri"/>
                <w:sz w:val="20"/>
              </w:rPr>
              <w:t>45/436 (10,3 %)</w:t>
            </w:r>
          </w:p>
          <w:p w14:paraId="4A797276" w14:textId="77777777" w:rsidR="006E4003" w:rsidRPr="00DD49D3" w:rsidRDefault="006E4003">
            <w:pPr>
              <w:jc w:val="right"/>
              <w:rPr>
                <w:rFonts w:eastAsia="Calibri"/>
                <w:b/>
                <w:sz w:val="20"/>
              </w:rPr>
            </w:pPr>
            <w:r w:rsidRPr="00DD49D3">
              <w:rPr>
                <w:rFonts w:eastAsia="Calibri"/>
                <w:b/>
                <w:sz w:val="20"/>
              </w:rPr>
              <w:t>145/1.034 (14,0 %)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28FC60"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hideMark/>
          </w:tcPr>
          <w:p w14:paraId="2F66AABE" w14:textId="77777777" w:rsidR="006E4003" w:rsidRPr="00DD49D3" w:rsidRDefault="006E4003">
            <w:pPr>
              <w:rPr>
                <w:rFonts w:eastAsia="Calibri"/>
                <w:sz w:val="20"/>
              </w:rPr>
            </w:pPr>
            <w:r w:rsidRPr="00DD49D3">
              <w:rPr>
                <w:rFonts w:eastAsia="Calibri"/>
                <w:sz w:val="20"/>
              </w:rPr>
              <w:t>1,22 (0,89–1,66)</w:t>
            </w:r>
          </w:p>
          <w:p w14:paraId="10B119E3" w14:textId="77777777" w:rsidR="006E4003" w:rsidRPr="00DD49D3" w:rsidRDefault="006E4003">
            <w:pPr>
              <w:rPr>
                <w:rFonts w:eastAsia="Calibri"/>
                <w:sz w:val="20"/>
              </w:rPr>
            </w:pPr>
            <w:r w:rsidRPr="00DD49D3">
              <w:rPr>
                <w:rFonts w:eastAsia="Calibri"/>
                <w:sz w:val="20"/>
              </w:rPr>
              <w:t>1,12 (0,68–1,83)</w:t>
            </w:r>
          </w:p>
          <w:p w14:paraId="753ACB4A" w14:textId="77777777" w:rsidR="006E4003" w:rsidRPr="00DD49D3" w:rsidRDefault="006E4003">
            <w:pPr>
              <w:rPr>
                <w:rFonts w:eastAsia="Calibri"/>
                <w:b/>
                <w:sz w:val="20"/>
              </w:rPr>
            </w:pPr>
            <w:r w:rsidRPr="00DD49D3">
              <w:rPr>
                <w:rFonts w:eastAsia="Calibri"/>
                <w:b/>
                <w:sz w:val="20"/>
              </w:rPr>
              <w:t>1,19 (0,91</w:t>
            </w:r>
            <w:r w:rsidRPr="00DD49D3">
              <w:rPr>
                <w:rFonts w:eastAsia="Calibri"/>
                <w:b/>
                <w:sz w:val="20"/>
              </w:rPr>
              <w:noBreakHyphen/>
              <w:t>1,55)</w:t>
            </w:r>
          </w:p>
        </w:tc>
      </w:tr>
      <w:tr w:rsidR="006E4003" w:rsidRPr="00DD49D3" w14:paraId="459A3603" w14:textId="77777777" w:rsidTr="008E36E3">
        <w:trPr>
          <w:trHeight w:val="275"/>
        </w:trPr>
        <w:tc>
          <w:tcPr>
            <w:tcW w:w="2610" w:type="pct"/>
            <w:gridSpan w:val="3"/>
            <w:tcBorders>
              <w:top w:val="single" w:sz="4" w:space="0" w:color="auto"/>
              <w:left w:val="single" w:sz="4" w:space="0" w:color="auto"/>
              <w:bottom w:val="single" w:sz="4" w:space="0" w:color="auto"/>
              <w:right w:val="single" w:sz="4" w:space="0" w:color="auto"/>
            </w:tcBorders>
            <w:hideMark/>
          </w:tcPr>
          <w:p w14:paraId="6D0F4980" w14:textId="77777777" w:rsidR="006E4003" w:rsidRPr="00DD49D3" w:rsidRDefault="006E4003">
            <w:pPr>
              <w:rPr>
                <w:rFonts w:eastAsia="Calibri"/>
                <w:b/>
                <w:sz w:val="20"/>
              </w:rPr>
            </w:pPr>
            <w:r w:rsidRPr="00DD49D3">
              <w:rPr>
                <w:rFonts w:eastAsia="Calibri"/>
                <w:b/>
                <w:sz w:val="20"/>
              </w:rPr>
              <w:t>Kun ilt (x</w:t>
            </w:r>
            <w:r w:rsidRPr="00DD49D3">
              <w:rPr>
                <w:rFonts w:eastAsia="Calibri"/>
                <w:b/>
                <w:sz w:val="20"/>
                <w:vertAlign w:val="subscript"/>
              </w:rPr>
              <w:t>1</w:t>
            </w:r>
            <w:r w:rsidRPr="00DD49D3">
              <w:rPr>
                <w:rFonts w:eastAsia="Calibri"/>
                <w:b/>
                <w:sz w:val="20"/>
                <w:vertAlign w:val="superscript"/>
              </w:rPr>
              <w:t>2</w:t>
            </w:r>
            <w:r w:rsidRPr="00DD49D3">
              <w:rPr>
                <w:rFonts w:eastAsia="Calibri"/>
                <w:b/>
                <w:sz w:val="20"/>
              </w:rPr>
              <w:t>= 2,05; p=0,15)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839FEB"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tcPr>
          <w:p w14:paraId="1A9AF448" w14:textId="77777777" w:rsidR="006E4003" w:rsidRPr="00DD49D3" w:rsidRDefault="006E4003">
            <w:pPr>
              <w:rPr>
                <w:rFonts w:eastAsia="Calibri"/>
                <w:sz w:val="20"/>
              </w:rPr>
            </w:pPr>
          </w:p>
        </w:tc>
      </w:tr>
      <w:tr w:rsidR="006E4003" w:rsidRPr="00DD49D3" w14:paraId="083F1A18" w14:textId="77777777" w:rsidTr="008E36E3">
        <w:trPr>
          <w:trHeight w:val="886"/>
        </w:trPr>
        <w:tc>
          <w:tcPr>
            <w:tcW w:w="796" w:type="pct"/>
            <w:tcBorders>
              <w:top w:val="single" w:sz="4" w:space="0" w:color="auto"/>
              <w:left w:val="single" w:sz="4" w:space="0" w:color="auto"/>
              <w:bottom w:val="single" w:sz="4" w:space="0" w:color="auto"/>
              <w:right w:val="single" w:sz="4" w:space="0" w:color="auto"/>
            </w:tcBorders>
            <w:hideMark/>
          </w:tcPr>
          <w:p w14:paraId="4816F259" w14:textId="77777777" w:rsidR="006E4003" w:rsidRPr="00DD49D3" w:rsidRDefault="006E4003">
            <w:pPr>
              <w:rPr>
                <w:rFonts w:eastAsia="Calibri"/>
                <w:sz w:val="20"/>
              </w:rPr>
            </w:pPr>
            <w:r w:rsidRPr="00DD49D3">
              <w:rPr>
                <w:rFonts w:eastAsia="Calibri"/>
                <w:sz w:val="20"/>
              </w:rPr>
              <w:t>Tidligere sygdom</w:t>
            </w:r>
          </w:p>
          <w:p w14:paraId="335C1155" w14:textId="77777777" w:rsidR="006E4003" w:rsidRPr="00DD49D3" w:rsidRDefault="006E4003">
            <w:pPr>
              <w:rPr>
                <w:rFonts w:eastAsia="Calibri"/>
                <w:sz w:val="20"/>
              </w:rPr>
            </w:pPr>
            <w:r w:rsidRPr="00DD49D3">
              <w:rPr>
                <w:rFonts w:eastAsia="Calibri"/>
                <w:sz w:val="20"/>
              </w:rPr>
              <w:t>Ingen tidligere sygdom</w:t>
            </w:r>
          </w:p>
          <w:p w14:paraId="6E11AAEA" w14:textId="77777777" w:rsidR="006E4003" w:rsidRPr="00DD49D3" w:rsidRDefault="006E4003">
            <w:pPr>
              <w:rPr>
                <w:rFonts w:eastAsia="Calibri"/>
                <w:b/>
                <w:sz w:val="20"/>
              </w:rPr>
            </w:pPr>
            <w:r w:rsidRPr="00DD49D3">
              <w:rPr>
                <w:rFonts w:eastAsia="Calibri"/>
                <w:b/>
                <w:sz w:val="20"/>
              </w:rPr>
              <w:t>Subtotal</w:t>
            </w:r>
          </w:p>
        </w:tc>
        <w:tc>
          <w:tcPr>
            <w:tcW w:w="873" w:type="pct"/>
            <w:tcBorders>
              <w:top w:val="single" w:sz="4" w:space="0" w:color="auto"/>
              <w:left w:val="single" w:sz="4" w:space="0" w:color="auto"/>
              <w:bottom w:val="single" w:sz="4" w:space="0" w:color="auto"/>
              <w:right w:val="single" w:sz="4" w:space="0" w:color="auto"/>
            </w:tcBorders>
            <w:hideMark/>
          </w:tcPr>
          <w:p w14:paraId="36D6C653" w14:textId="77777777" w:rsidR="006E4003" w:rsidRPr="00DD49D3" w:rsidRDefault="006E4003">
            <w:pPr>
              <w:jc w:val="right"/>
              <w:rPr>
                <w:rFonts w:eastAsia="Calibri"/>
                <w:sz w:val="20"/>
              </w:rPr>
            </w:pPr>
            <w:r w:rsidRPr="00DD49D3">
              <w:rPr>
                <w:rFonts w:eastAsia="Calibri"/>
                <w:sz w:val="20"/>
              </w:rPr>
              <w:t>221/702 (31,5 %)</w:t>
            </w:r>
          </w:p>
          <w:p w14:paraId="6883269B" w14:textId="77777777" w:rsidR="006E4003" w:rsidRPr="00DD49D3" w:rsidRDefault="006E4003">
            <w:pPr>
              <w:jc w:val="right"/>
              <w:rPr>
                <w:rFonts w:eastAsia="Calibri"/>
                <w:b/>
                <w:sz w:val="20"/>
              </w:rPr>
            </w:pPr>
            <w:r w:rsidRPr="00DD49D3">
              <w:rPr>
                <w:rFonts w:eastAsia="Calibri"/>
                <w:sz w:val="20"/>
              </w:rPr>
              <w:t xml:space="preserve">77/577 (13,3 %) </w:t>
            </w:r>
            <w:r w:rsidRPr="00DD49D3">
              <w:rPr>
                <w:rFonts w:eastAsia="Calibri"/>
                <w:b/>
                <w:sz w:val="20"/>
              </w:rPr>
              <w:t>298/1.279 (23,3 %)</w:t>
            </w:r>
          </w:p>
        </w:tc>
        <w:tc>
          <w:tcPr>
            <w:tcW w:w="940" w:type="pct"/>
            <w:tcBorders>
              <w:top w:val="single" w:sz="4" w:space="0" w:color="auto"/>
              <w:left w:val="single" w:sz="4" w:space="0" w:color="auto"/>
              <w:bottom w:val="single" w:sz="4" w:space="0" w:color="auto"/>
              <w:right w:val="single" w:sz="4" w:space="0" w:color="auto"/>
            </w:tcBorders>
            <w:hideMark/>
          </w:tcPr>
          <w:p w14:paraId="0A6CFAF4" w14:textId="77777777" w:rsidR="006E4003" w:rsidRPr="00DD49D3" w:rsidRDefault="006E4003">
            <w:pPr>
              <w:jc w:val="right"/>
              <w:rPr>
                <w:rFonts w:eastAsia="Calibri"/>
                <w:sz w:val="20"/>
              </w:rPr>
            </w:pPr>
            <w:r w:rsidRPr="00DD49D3">
              <w:rPr>
                <w:rFonts w:eastAsia="Calibri"/>
                <w:sz w:val="20"/>
              </w:rPr>
              <w:t>481/1.473 (32,7 %)</w:t>
            </w:r>
          </w:p>
          <w:p w14:paraId="11E412AC" w14:textId="77777777" w:rsidR="006E4003" w:rsidRPr="00DD49D3" w:rsidRDefault="006E4003">
            <w:pPr>
              <w:jc w:val="right"/>
              <w:rPr>
                <w:rFonts w:eastAsia="Calibri"/>
                <w:sz w:val="20"/>
              </w:rPr>
            </w:pPr>
            <w:r w:rsidRPr="00DD49D3">
              <w:rPr>
                <w:rFonts w:eastAsia="Calibri"/>
                <w:sz w:val="20"/>
              </w:rPr>
              <w:t>201/1.131 (17,8 %)</w:t>
            </w:r>
          </w:p>
          <w:p w14:paraId="75AD1484" w14:textId="77777777" w:rsidR="006E4003" w:rsidRPr="00DD49D3" w:rsidRDefault="006E4003">
            <w:pPr>
              <w:jc w:val="right"/>
              <w:rPr>
                <w:rFonts w:eastAsia="Calibri"/>
                <w:b/>
                <w:sz w:val="20"/>
              </w:rPr>
            </w:pPr>
            <w:r w:rsidRPr="00DD49D3">
              <w:rPr>
                <w:rFonts w:eastAsia="Calibri"/>
                <w:b/>
                <w:sz w:val="20"/>
              </w:rPr>
              <w:t>682/2.604 (26,2 %)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F90976"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hideMark/>
          </w:tcPr>
          <w:p w14:paraId="6BECB0EE" w14:textId="77777777" w:rsidR="006E4003" w:rsidRPr="00DD49D3" w:rsidRDefault="006E4003">
            <w:pPr>
              <w:rPr>
                <w:rFonts w:eastAsia="Calibri"/>
                <w:sz w:val="20"/>
              </w:rPr>
            </w:pPr>
            <w:r w:rsidRPr="00DD49D3">
              <w:rPr>
                <w:rFonts w:eastAsia="Calibri"/>
                <w:sz w:val="20"/>
              </w:rPr>
              <w:t>0,88 (0,75–1,03)</w:t>
            </w:r>
          </w:p>
          <w:p w14:paraId="724C9C16" w14:textId="77777777" w:rsidR="006E4003" w:rsidRPr="00DD49D3" w:rsidRDefault="006E4003">
            <w:pPr>
              <w:rPr>
                <w:rFonts w:eastAsia="Calibri"/>
                <w:sz w:val="20"/>
              </w:rPr>
            </w:pPr>
            <w:r w:rsidRPr="00DD49D3">
              <w:rPr>
                <w:rFonts w:eastAsia="Calibri"/>
                <w:sz w:val="20"/>
              </w:rPr>
              <w:t>0,70 (0,54–0,91)</w:t>
            </w:r>
          </w:p>
          <w:p w14:paraId="000CDB20" w14:textId="77777777" w:rsidR="006E4003" w:rsidRPr="00DD49D3" w:rsidRDefault="006E4003">
            <w:pPr>
              <w:rPr>
                <w:rFonts w:eastAsia="Calibri"/>
                <w:b/>
                <w:sz w:val="20"/>
              </w:rPr>
            </w:pPr>
            <w:r w:rsidRPr="00DD49D3">
              <w:rPr>
                <w:rFonts w:eastAsia="Calibri"/>
                <w:b/>
                <w:sz w:val="20"/>
              </w:rPr>
              <w:t>0,82 (0,72</w:t>
            </w:r>
            <w:r w:rsidRPr="00DD49D3">
              <w:rPr>
                <w:rFonts w:eastAsia="Calibri"/>
                <w:b/>
                <w:sz w:val="20"/>
              </w:rPr>
              <w:noBreakHyphen/>
              <w:t>0,94)</w:t>
            </w:r>
          </w:p>
        </w:tc>
      </w:tr>
      <w:tr w:rsidR="006E4003" w:rsidRPr="00DD49D3" w14:paraId="20E7CD50" w14:textId="77777777" w:rsidTr="008E36E3">
        <w:tc>
          <w:tcPr>
            <w:tcW w:w="2610" w:type="pct"/>
            <w:gridSpan w:val="3"/>
            <w:tcBorders>
              <w:top w:val="single" w:sz="4" w:space="0" w:color="auto"/>
              <w:left w:val="single" w:sz="4" w:space="0" w:color="auto"/>
              <w:bottom w:val="single" w:sz="4" w:space="0" w:color="auto"/>
              <w:right w:val="single" w:sz="4" w:space="0" w:color="auto"/>
            </w:tcBorders>
            <w:hideMark/>
          </w:tcPr>
          <w:p w14:paraId="77D8B86C" w14:textId="77777777" w:rsidR="006E4003" w:rsidRPr="00DD49D3" w:rsidRDefault="006E4003">
            <w:pPr>
              <w:rPr>
                <w:rFonts w:eastAsia="Calibri"/>
                <w:b/>
                <w:sz w:val="20"/>
              </w:rPr>
            </w:pPr>
            <w:r w:rsidRPr="00DD49D3">
              <w:rPr>
                <w:rFonts w:eastAsia="Calibri"/>
                <w:b/>
                <w:sz w:val="20"/>
              </w:rPr>
              <w:t>Mekanisk ventilation (x</w:t>
            </w:r>
            <w:r w:rsidRPr="00DD49D3">
              <w:rPr>
                <w:rFonts w:eastAsia="Calibri"/>
                <w:b/>
                <w:sz w:val="20"/>
                <w:vertAlign w:val="subscript"/>
              </w:rPr>
              <w:t>1</w:t>
            </w:r>
            <w:r w:rsidRPr="00DD49D3">
              <w:rPr>
                <w:rFonts w:eastAsia="Calibri"/>
                <w:b/>
                <w:sz w:val="20"/>
                <w:vertAlign w:val="superscript"/>
              </w:rPr>
              <w:t>2</w:t>
            </w:r>
            <w:r w:rsidRPr="00DD49D3">
              <w:rPr>
                <w:rFonts w:eastAsia="Calibri"/>
                <w:b/>
                <w:sz w:val="20"/>
              </w:rPr>
              <w:t>= 1,52; p=0,22)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280D73"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tcPr>
          <w:p w14:paraId="2B98D31D" w14:textId="77777777" w:rsidR="006E4003" w:rsidRPr="00DD49D3" w:rsidRDefault="006E4003">
            <w:pPr>
              <w:rPr>
                <w:rFonts w:eastAsia="Calibri"/>
                <w:sz w:val="20"/>
              </w:rPr>
            </w:pPr>
          </w:p>
        </w:tc>
      </w:tr>
      <w:tr w:rsidR="006E4003" w:rsidRPr="00DD49D3" w14:paraId="0EA78F8E" w14:textId="77777777" w:rsidTr="008E36E3">
        <w:tc>
          <w:tcPr>
            <w:tcW w:w="796" w:type="pct"/>
            <w:tcBorders>
              <w:top w:val="single" w:sz="4" w:space="0" w:color="auto"/>
              <w:left w:val="single" w:sz="4" w:space="0" w:color="auto"/>
              <w:bottom w:val="single" w:sz="4" w:space="0" w:color="auto"/>
              <w:right w:val="single" w:sz="4" w:space="0" w:color="auto"/>
            </w:tcBorders>
            <w:hideMark/>
          </w:tcPr>
          <w:p w14:paraId="77BC3E5D" w14:textId="77777777" w:rsidR="006E4003" w:rsidRPr="00DD49D3" w:rsidRDefault="006E4003">
            <w:pPr>
              <w:rPr>
                <w:rFonts w:eastAsia="Calibri"/>
                <w:sz w:val="20"/>
              </w:rPr>
            </w:pPr>
            <w:r w:rsidRPr="00DD49D3">
              <w:rPr>
                <w:rFonts w:eastAsia="Calibri"/>
                <w:sz w:val="20"/>
              </w:rPr>
              <w:t>Tidligere sygdom</w:t>
            </w:r>
          </w:p>
          <w:p w14:paraId="0BB180DB" w14:textId="77777777" w:rsidR="006E4003" w:rsidRPr="00DD49D3" w:rsidRDefault="006E4003">
            <w:pPr>
              <w:rPr>
                <w:rFonts w:eastAsia="Calibri"/>
                <w:sz w:val="20"/>
              </w:rPr>
            </w:pPr>
            <w:r w:rsidRPr="00DD49D3">
              <w:rPr>
                <w:rFonts w:eastAsia="Calibri"/>
                <w:sz w:val="20"/>
              </w:rPr>
              <w:t>Ingen tidligere sygdom</w:t>
            </w:r>
          </w:p>
          <w:p w14:paraId="33A909D5" w14:textId="77777777" w:rsidR="006E4003" w:rsidRPr="00DD49D3" w:rsidRDefault="006E4003">
            <w:pPr>
              <w:rPr>
                <w:rFonts w:eastAsia="Calibri"/>
                <w:b/>
                <w:sz w:val="20"/>
              </w:rPr>
            </w:pPr>
            <w:r w:rsidRPr="00DD49D3">
              <w:rPr>
                <w:rFonts w:eastAsia="Calibri"/>
                <w:b/>
                <w:sz w:val="20"/>
              </w:rPr>
              <w:t>Subtotal</w:t>
            </w:r>
          </w:p>
        </w:tc>
        <w:tc>
          <w:tcPr>
            <w:tcW w:w="873" w:type="pct"/>
            <w:tcBorders>
              <w:top w:val="single" w:sz="4" w:space="0" w:color="auto"/>
              <w:left w:val="single" w:sz="4" w:space="0" w:color="auto"/>
              <w:bottom w:val="single" w:sz="4" w:space="0" w:color="auto"/>
              <w:right w:val="single" w:sz="4" w:space="0" w:color="auto"/>
            </w:tcBorders>
            <w:hideMark/>
          </w:tcPr>
          <w:p w14:paraId="76EAF3A9" w14:textId="77777777" w:rsidR="006E4003" w:rsidRPr="00DD49D3" w:rsidRDefault="006E4003">
            <w:pPr>
              <w:jc w:val="right"/>
              <w:rPr>
                <w:rFonts w:eastAsia="Calibri"/>
                <w:sz w:val="20"/>
              </w:rPr>
            </w:pPr>
            <w:r w:rsidRPr="00DD49D3">
              <w:rPr>
                <w:rFonts w:eastAsia="Calibri"/>
                <w:sz w:val="20"/>
              </w:rPr>
              <w:t>51/159 (32,1 %)</w:t>
            </w:r>
          </w:p>
          <w:p w14:paraId="2E929EF2" w14:textId="77777777" w:rsidR="006E4003" w:rsidRPr="00DD49D3" w:rsidRDefault="006E4003">
            <w:pPr>
              <w:jc w:val="right"/>
              <w:rPr>
                <w:rFonts w:eastAsia="Calibri"/>
                <w:sz w:val="20"/>
              </w:rPr>
            </w:pPr>
            <w:r w:rsidRPr="00DD49D3">
              <w:rPr>
                <w:rFonts w:eastAsia="Calibri"/>
                <w:sz w:val="20"/>
              </w:rPr>
              <w:t>44/165 (26,7 %)</w:t>
            </w:r>
          </w:p>
          <w:p w14:paraId="49E869D4" w14:textId="77777777" w:rsidR="006E4003" w:rsidRPr="00DD49D3" w:rsidRDefault="006E4003">
            <w:pPr>
              <w:jc w:val="right"/>
              <w:rPr>
                <w:rFonts w:eastAsia="Calibri"/>
                <w:b/>
                <w:sz w:val="20"/>
              </w:rPr>
            </w:pPr>
            <w:r w:rsidRPr="00DD49D3">
              <w:rPr>
                <w:rFonts w:eastAsia="Calibri"/>
                <w:b/>
                <w:sz w:val="20"/>
              </w:rPr>
              <w:t>95/324 (29,3 %)</w:t>
            </w:r>
          </w:p>
        </w:tc>
        <w:tc>
          <w:tcPr>
            <w:tcW w:w="940" w:type="pct"/>
            <w:tcBorders>
              <w:top w:val="single" w:sz="4" w:space="0" w:color="auto"/>
              <w:left w:val="single" w:sz="4" w:space="0" w:color="auto"/>
              <w:bottom w:val="single" w:sz="4" w:space="0" w:color="auto"/>
              <w:right w:val="single" w:sz="4" w:space="0" w:color="auto"/>
            </w:tcBorders>
            <w:hideMark/>
          </w:tcPr>
          <w:p w14:paraId="7430C187" w14:textId="77777777" w:rsidR="006E4003" w:rsidRPr="00DD49D3" w:rsidRDefault="006E4003">
            <w:pPr>
              <w:jc w:val="right"/>
              <w:rPr>
                <w:rFonts w:eastAsia="Calibri"/>
                <w:sz w:val="20"/>
              </w:rPr>
            </w:pPr>
            <w:r w:rsidRPr="00DD49D3">
              <w:rPr>
                <w:rFonts w:eastAsia="Calibri"/>
                <w:sz w:val="20"/>
              </w:rPr>
              <w:t>150/346 (43,4 %)</w:t>
            </w:r>
          </w:p>
          <w:p w14:paraId="0D7D5E3E" w14:textId="77777777" w:rsidR="006E4003" w:rsidRPr="00DD49D3" w:rsidRDefault="006E4003">
            <w:pPr>
              <w:jc w:val="right"/>
              <w:rPr>
                <w:rFonts w:eastAsia="Calibri"/>
                <w:sz w:val="20"/>
              </w:rPr>
            </w:pPr>
            <w:r w:rsidRPr="00DD49D3">
              <w:rPr>
                <w:rFonts w:eastAsia="Calibri"/>
                <w:sz w:val="20"/>
              </w:rPr>
              <w:t>133/337 (39,5 %)</w:t>
            </w:r>
          </w:p>
          <w:p w14:paraId="1D95304A" w14:textId="77777777" w:rsidR="006E4003" w:rsidRPr="00DD49D3" w:rsidRDefault="006E4003">
            <w:pPr>
              <w:jc w:val="right"/>
              <w:rPr>
                <w:rFonts w:eastAsia="Calibri"/>
                <w:b/>
                <w:sz w:val="20"/>
              </w:rPr>
            </w:pPr>
            <w:r w:rsidRPr="00DD49D3">
              <w:rPr>
                <w:rFonts w:eastAsia="Calibri"/>
                <w:b/>
                <w:sz w:val="20"/>
              </w:rPr>
              <w:t>283/683 (41,4 %)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6A5075"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hideMark/>
          </w:tcPr>
          <w:p w14:paraId="2C9DA6F2" w14:textId="77777777" w:rsidR="006E4003" w:rsidRPr="00DD49D3" w:rsidRDefault="006E4003">
            <w:pPr>
              <w:rPr>
                <w:rFonts w:eastAsia="Calibri"/>
                <w:sz w:val="20"/>
              </w:rPr>
            </w:pPr>
            <w:r w:rsidRPr="00DD49D3">
              <w:rPr>
                <w:rFonts w:eastAsia="Calibri"/>
                <w:sz w:val="20"/>
              </w:rPr>
              <w:t>0,75 (0,54–1,02)</w:t>
            </w:r>
          </w:p>
          <w:p w14:paraId="371A50EE" w14:textId="77777777" w:rsidR="006E4003" w:rsidRPr="00DD49D3" w:rsidRDefault="006E4003">
            <w:pPr>
              <w:rPr>
                <w:rFonts w:eastAsia="Calibri"/>
                <w:sz w:val="20"/>
              </w:rPr>
            </w:pPr>
            <w:r w:rsidRPr="00DD49D3">
              <w:rPr>
                <w:rFonts w:eastAsia="Calibri"/>
                <w:sz w:val="20"/>
              </w:rPr>
              <w:t>0,56 (0,40–0,78)</w:t>
            </w:r>
          </w:p>
          <w:p w14:paraId="079F8B16" w14:textId="77777777" w:rsidR="006E4003" w:rsidRPr="00DD49D3" w:rsidRDefault="006E4003">
            <w:pPr>
              <w:rPr>
                <w:rFonts w:eastAsia="Calibri"/>
                <w:b/>
                <w:sz w:val="20"/>
              </w:rPr>
            </w:pPr>
            <w:r w:rsidRPr="00DD49D3">
              <w:rPr>
                <w:rFonts w:eastAsia="Calibri"/>
                <w:b/>
                <w:sz w:val="20"/>
              </w:rPr>
              <w:t>0,64 (0,51-0,81)</w:t>
            </w:r>
          </w:p>
        </w:tc>
      </w:tr>
      <w:tr w:rsidR="006E4003" w:rsidRPr="00DD49D3" w14:paraId="39E871AA" w14:textId="77777777" w:rsidTr="008E36E3">
        <w:tc>
          <w:tcPr>
            <w:tcW w:w="796" w:type="pct"/>
            <w:tcBorders>
              <w:top w:val="single" w:sz="4" w:space="0" w:color="auto"/>
              <w:left w:val="single" w:sz="4" w:space="0" w:color="auto"/>
              <w:bottom w:val="single" w:sz="4" w:space="0" w:color="auto"/>
              <w:right w:val="single" w:sz="4" w:space="0" w:color="auto"/>
            </w:tcBorders>
          </w:tcPr>
          <w:p w14:paraId="4D3AF5C7" w14:textId="77777777" w:rsidR="006E4003" w:rsidRPr="00DD49D3" w:rsidRDefault="006E4003">
            <w:pPr>
              <w:rPr>
                <w:rFonts w:eastAsia="Calibri"/>
                <w:b/>
                <w:sz w:val="20"/>
              </w:rPr>
            </w:pPr>
            <w:r w:rsidRPr="00DD49D3">
              <w:rPr>
                <w:rFonts w:eastAsia="Calibri"/>
                <w:b/>
                <w:sz w:val="20"/>
              </w:rPr>
              <w:t>Alle deltagere</w:t>
            </w:r>
          </w:p>
          <w:p w14:paraId="69F3C029" w14:textId="77777777" w:rsidR="006E4003" w:rsidRPr="00DD49D3" w:rsidRDefault="006E4003">
            <w:pPr>
              <w:rPr>
                <w:rFonts w:eastAsia="Calibri"/>
                <w:b/>
                <w:sz w:val="20"/>
              </w:rPr>
            </w:pPr>
          </w:p>
          <w:p w14:paraId="471FE22D" w14:textId="77777777" w:rsidR="006E4003" w:rsidRPr="00DD49D3" w:rsidRDefault="006E4003">
            <w:pPr>
              <w:rPr>
                <w:rFonts w:eastAsia="Calibri"/>
                <w:b/>
                <w:sz w:val="20"/>
              </w:rPr>
            </w:pPr>
          </w:p>
        </w:tc>
        <w:tc>
          <w:tcPr>
            <w:tcW w:w="873" w:type="pct"/>
            <w:tcBorders>
              <w:top w:val="single" w:sz="4" w:space="0" w:color="auto"/>
              <w:left w:val="single" w:sz="4" w:space="0" w:color="auto"/>
              <w:bottom w:val="single" w:sz="4" w:space="0" w:color="auto"/>
              <w:right w:val="single" w:sz="4" w:space="0" w:color="auto"/>
            </w:tcBorders>
            <w:hideMark/>
          </w:tcPr>
          <w:p w14:paraId="2D34A6CD" w14:textId="77777777" w:rsidR="006E4003" w:rsidRPr="00DD49D3" w:rsidRDefault="006E4003">
            <w:pPr>
              <w:rPr>
                <w:rFonts w:eastAsia="Calibri"/>
                <w:b/>
                <w:sz w:val="20"/>
              </w:rPr>
            </w:pPr>
            <w:r w:rsidRPr="00DD49D3">
              <w:rPr>
                <w:rFonts w:eastAsia="Calibri"/>
                <w:b/>
                <w:sz w:val="20"/>
              </w:rPr>
              <w:t>482/2.104 (22,9 %)</w:t>
            </w:r>
          </w:p>
        </w:tc>
        <w:tc>
          <w:tcPr>
            <w:tcW w:w="940" w:type="pct"/>
            <w:tcBorders>
              <w:top w:val="single" w:sz="4" w:space="0" w:color="auto"/>
              <w:left w:val="single" w:sz="4" w:space="0" w:color="auto"/>
              <w:bottom w:val="single" w:sz="4" w:space="0" w:color="auto"/>
              <w:right w:val="single" w:sz="4" w:space="0" w:color="auto"/>
            </w:tcBorders>
            <w:hideMark/>
          </w:tcPr>
          <w:p w14:paraId="57EFC0C4" w14:textId="77777777" w:rsidR="006E4003" w:rsidRPr="00DD49D3" w:rsidRDefault="006E4003">
            <w:pPr>
              <w:rPr>
                <w:rFonts w:eastAsia="Calibri"/>
                <w:b/>
                <w:sz w:val="20"/>
              </w:rPr>
            </w:pPr>
            <w:r w:rsidRPr="00DD49D3">
              <w:rPr>
                <w:rFonts w:eastAsia="Calibri"/>
                <w:b/>
                <w:sz w:val="20"/>
              </w:rPr>
              <w:t>1.110/4.321 (25,7 %)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C3052F" w14:textId="77777777" w:rsidR="006E4003" w:rsidRPr="00DD49D3" w:rsidRDefault="006E4003">
            <w:pPr>
              <w:rPr>
                <w:rFonts w:eastAsia="Calibri"/>
                <w:sz w:val="20"/>
              </w:rPr>
            </w:pPr>
          </w:p>
        </w:tc>
        <w:tc>
          <w:tcPr>
            <w:tcW w:w="796" w:type="pct"/>
            <w:tcBorders>
              <w:top w:val="single" w:sz="4" w:space="0" w:color="auto"/>
              <w:left w:val="single" w:sz="4" w:space="0" w:color="auto"/>
              <w:bottom w:val="single" w:sz="4" w:space="0" w:color="auto"/>
              <w:right w:val="single" w:sz="4" w:space="0" w:color="auto"/>
            </w:tcBorders>
            <w:hideMark/>
          </w:tcPr>
          <w:p w14:paraId="0BAA97B8" w14:textId="77777777" w:rsidR="006E4003" w:rsidRPr="00DD49D3" w:rsidRDefault="006E4003">
            <w:pPr>
              <w:rPr>
                <w:rFonts w:eastAsia="Calibri"/>
                <w:b/>
                <w:sz w:val="20"/>
              </w:rPr>
            </w:pPr>
            <w:r w:rsidRPr="00DD49D3">
              <w:rPr>
                <w:rFonts w:eastAsia="Calibri"/>
                <w:b/>
                <w:sz w:val="20"/>
              </w:rPr>
              <w:t>0,83 (0,75-0,93)</w:t>
            </w:r>
          </w:p>
          <w:p w14:paraId="2A8B37CD" w14:textId="77777777" w:rsidR="006E4003" w:rsidRPr="00DD49D3" w:rsidRDefault="006E4003">
            <w:pPr>
              <w:rPr>
                <w:rFonts w:eastAsia="Calibri"/>
                <w:sz w:val="20"/>
              </w:rPr>
            </w:pPr>
            <w:r w:rsidRPr="00DD49D3">
              <w:rPr>
                <w:rFonts w:eastAsia="Calibri"/>
                <w:b/>
                <w:sz w:val="20"/>
              </w:rPr>
              <w:t>p &lt;0.001</w:t>
            </w:r>
          </w:p>
        </w:tc>
      </w:tr>
      <w:tr w:rsidR="006E4003" w:rsidRPr="00DD49D3" w14:paraId="42671797" w14:textId="77777777" w:rsidTr="008E36E3">
        <w:tc>
          <w:tcPr>
            <w:tcW w:w="3671" w:type="pct"/>
            <w:gridSpan w:val="4"/>
            <w:tcBorders>
              <w:top w:val="single" w:sz="4" w:space="0" w:color="auto"/>
              <w:left w:val="single" w:sz="4" w:space="0" w:color="auto"/>
              <w:bottom w:val="single" w:sz="4" w:space="0" w:color="auto"/>
              <w:right w:val="single" w:sz="4" w:space="0" w:color="auto"/>
            </w:tcBorders>
            <w:hideMark/>
          </w:tcPr>
          <w:p w14:paraId="255D5775" w14:textId="77777777" w:rsidR="006E4003" w:rsidRPr="00DD49D3" w:rsidRDefault="006E4003">
            <w:pPr>
              <w:jc w:val="right"/>
              <w:rPr>
                <w:rFonts w:eastAsia="Calibri"/>
                <w:bCs/>
                <w:sz w:val="20"/>
              </w:rPr>
            </w:pPr>
            <w:proofErr w:type="spellStart"/>
            <w:r w:rsidRPr="00DD49D3">
              <w:rPr>
                <w:rFonts w:eastAsia="Calibri"/>
                <w:bCs/>
                <w:sz w:val="20"/>
              </w:rPr>
              <w:t>Dexamethason</w:t>
            </w:r>
            <w:proofErr w:type="spellEnd"/>
          </w:p>
          <w:p w14:paraId="08F0EF09" w14:textId="77777777" w:rsidR="006E4003" w:rsidRPr="00DD49D3" w:rsidRDefault="006E4003">
            <w:pPr>
              <w:jc w:val="right"/>
              <w:rPr>
                <w:rFonts w:eastAsia="Calibri"/>
                <w:bCs/>
                <w:sz w:val="20"/>
              </w:rPr>
            </w:pPr>
            <w:r w:rsidRPr="00DD49D3">
              <w:rPr>
                <w:rFonts w:eastAsia="Calibri"/>
                <w:bCs/>
                <w:sz w:val="20"/>
              </w:rPr>
              <w:t>bedre</w:t>
            </w:r>
          </w:p>
        </w:tc>
        <w:tc>
          <w:tcPr>
            <w:tcW w:w="1329" w:type="pct"/>
            <w:gridSpan w:val="2"/>
            <w:tcBorders>
              <w:top w:val="single" w:sz="4" w:space="0" w:color="auto"/>
              <w:left w:val="single" w:sz="4" w:space="0" w:color="auto"/>
              <w:bottom w:val="single" w:sz="4" w:space="0" w:color="auto"/>
              <w:right w:val="single" w:sz="4" w:space="0" w:color="auto"/>
            </w:tcBorders>
            <w:hideMark/>
          </w:tcPr>
          <w:p w14:paraId="1E0EE358" w14:textId="77777777" w:rsidR="006E4003" w:rsidRPr="00DD49D3" w:rsidRDefault="006E4003">
            <w:pPr>
              <w:rPr>
                <w:rFonts w:eastAsia="Calibri"/>
                <w:bCs/>
                <w:sz w:val="20"/>
              </w:rPr>
            </w:pPr>
            <w:r w:rsidRPr="00DD49D3">
              <w:rPr>
                <w:rFonts w:eastAsia="Calibri"/>
                <w:bCs/>
                <w:sz w:val="20"/>
              </w:rPr>
              <w:t>Almindelig pleje</w:t>
            </w:r>
          </w:p>
          <w:p w14:paraId="3C346DDA" w14:textId="77777777" w:rsidR="006E4003" w:rsidRPr="00DD49D3" w:rsidRDefault="006E4003">
            <w:pPr>
              <w:rPr>
                <w:rFonts w:eastAsia="Calibri"/>
                <w:bCs/>
                <w:sz w:val="20"/>
              </w:rPr>
            </w:pPr>
            <w:r w:rsidRPr="00DD49D3">
              <w:rPr>
                <w:rFonts w:eastAsia="Calibri"/>
                <w:bCs/>
                <w:sz w:val="20"/>
              </w:rPr>
              <w:t>bedre</w:t>
            </w:r>
          </w:p>
        </w:tc>
      </w:tr>
    </w:tbl>
    <w:p w14:paraId="7B0A80D2" w14:textId="77777777" w:rsidR="009260DE" w:rsidRPr="00194E1C" w:rsidRDefault="009260DE" w:rsidP="009260DE">
      <w:pPr>
        <w:tabs>
          <w:tab w:val="left" w:pos="851"/>
        </w:tabs>
        <w:ind w:left="851"/>
        <w:rPr>
          <w:sz w:val="24"/>
          <w:szCs w:val="24"/>
        </w:rPr>
      </w:pPr>
    </w:p>
    <w:p w14:paraId="5CFCE6A8" w14:textId="77777777" w:rsidR="009260DE" w:rsidRPr="00194E1C" w:rsidRDefault="009260DE" w:rsidP="009260DE">
      <w:pPr>
        <w:tabs>
          <w:tab w:val="left" w:pos="851"/>
        </w:tabs>
        <w:ind w:left="851" w:hanging="851"/>
        <w:rPr>
          <w:b/>
          <w:sz w:val="24"/>
          <w:szCs w:val="24"/>
        </w:rPr>
      </w:pPr>
      <w:r w:rsidRPr="00194E1C">
        <w:rPr>
          <w:b/>
          <w:sz w:val="24"/>
          <w:szCs w:val="24"/>
        </w:rPr>
        <w:t>5.2</w:t>
      </w:r>
      <w:r w:rsidRPr="00194E1C">
        <w:rPr>
          <w:b/>
          <w:sz w:val="24"/>
          <w:szCs w:val="24"/>
        </w:rPr>
        <w:tab/>
      </w:r>
      <w:proofErr w:type="spellStart"/>
      <w:r w:rsidRPr="00194E1C">
        <w:rPr>
          <w:b/>
          <w:sz w:val="24"/>
          <w:szCs w:val="24"/>
        </w:rPr>
        <w:t>Farmakokinetiske</w:t>
      </w:r>
      <w:proofErr w:type="spellEnd"/>
      <w:r w:rsidRPr="00194E1C">
        <w:rPr>
          <w:b/>
          <w:sz w:val="24"/>
          <w:szCs w:val="24"/>
        </w:rPr>
        <w:t xml:space="preserve"> egenskaber</w:t>
      </w:r>
    </w:p>
    <w:p w14:paraId="5DD50B2C" w14:textId="77777777" w:rsidR="00DD49D3" w:rsidRDefault="00DD49D3" w:rsidP="006E4003">
      <w:pPr>
        <w:tabs>
          <w:tab w:val="left" w:pos="851"/>
        </w:tabs>
        <w:ind w:left="851"/>
        <w:rPr>
          <w:sz w:val="24"/>
          <w:szCs w:val="24"/>
          <w:u w:val="single"/>
        </w:rPr>
      </w:pPr>
    </w:p>
    <w:p w14:paraId="6B4BBE62" w14:textId="7DD7E0B9" w:rsidR="006E4003" w:rsidRPr="00194E1C" w:rsidRDefault="006E4003" w:rsidP="006E4003">
      <w:pPr>
        <w:tabs>
          <w:tab w:val="left" w:pos="851"/>
        </w:tabs>
        <w:ind w:left="851"/>
        <w:rPr>
          <w:sz w:val="24"/>
          <w:szCs w:val="24"/>
          <w:u w:val="single"/>
          <w:lang w:eastAsia="da-DK"/>
        </w:rPr>
      </w:pPr>
      <w:r w:rsidRPr="00194E1C">
        <w:rPr>
          <w:sz w:val="24"/>
          <w:szCs w:val="24"/>
          <w:u w:val="single"/>
        </w:rPr>
        <w:t>Fordeling</w:t>
      </w:r>
    </w:p>
    <w:p w14:paraId="53D3B641" w14:textId="7369A63A" w:rsidR="006E4003" w:rsidRPr="00194E1C" w:rsidRDefault="006E4003" w:rsidP="006E4003">
      <w:pPr>
        <w:tabs>
          <w:tab w:val="left" w:pos="851"/>
        </w:tabs>
        <w:ind w:left="851"/>
        <w:rPr>
          <w:sz w:val="24"/>
          <w:szCs w:val="24"/>
        </w:rPr>
      </w:pPr>
      <w:r w:rsidRPr="00194E1C">
        <w:rPr>
          <w:sz w:val="24"/>
          <w:szCs w:val="24"/>
        </w:rPr>
        <w:t xml:space="preserve">Binding af </w:t>
      </w:r>
      <w:proofErr w:type="spellStart"/>
      <w:r w:rsidRPr="00194E1C">
        <w:rPr>
          <w:sz w:val="24"/>
          <w:szCs w:val="24"/>
        </w:rPr>
        <w:t>dexamethason</w:t>
      </w:r>
      <w:proofErr w:type="spellEnd"/>
      <w:r w:rsidRPr="00194E1C">
        <w:rPr>
          <w:sz w:val="24"/>
          <w:szCs w:val="24"/>
        </w:rPr>
        <w:t xml:space="preserve"> til plasmaproteiner er mindre end for de fleste andre </w:t>
      </w:r>
      <w:proofErr w:type="spellStart"/>
      <w:r w:rsidRPr="00194E1C">
        <w:rPr>
          <w:sz w:val="24"/>
          <w:szCs w:val="24"/>
        </w:rPr>
        <w:t>kortikosteroider</w:t>
      </w:r>
      <w:proofErr w:type="spellEnd"/>
      <w:r w:rsidRPr="00194E1C">
        <w:rPr>
          <w:sz w:val="24"/>
          <w:szCs w:val="24"/>
        </w:rPr>
        <w:t xml:space="preserve"> og anslås at være ca. 77 %. </w:t>
      </w:r>
      <w:proofErr w:type="spellStart"/>
      <w:r w:rsidRPr="00194E1C">
        <w:rPr>
          <w:sz w:val="24"/>
          <w:szCs w:val="24"/>
        </w:rPr>
        <w:t>Dexamethason</w:t>
      </w:r>
      <w:proofErr w:type="spellEnd"/>
      <w:r w:rsidRPr="00194E1C">
        <w:rPr>
          <w:sz w:val="24"/>
          <w:szCs w:val="24"/>
        </w:rPr>
        <w:t xml:space="preserve"> binder dosisafhængigt til plasmaalbuminer. Ved meget høje doser cirkulerer størstedelen frit i blodet. I tilfælde af hypoalbuminæmi stiger andelen af det ubundne (aktive) </w:t>
      </w:r>
      <w:proofErr w:type="spellStart"/>
      <w:r w:rsidRPr="00194E1C">
        <w:rPr>
          <w:sz w:val="24"/>
          <w:szCs w:val="24"/>
        </w:rPr>
        <w:t>kortikosteroid</w:t>
      </w:r>
      <w:proofErr w:type="spellEnd"/>
      <w:r w:rsidRPr="00194E1C">
        <w:rPr>
          <w:sz w:val="24"/>
          <w:szCs w:val="24"/>
        </w:rPr>
        <w:t xml:space="preserve">. Efter intravenøs administration af radioaktivt mærket </w:t>
      </w:r>
      <w:proofErr w:type="spellStart"/>
      <w:r w:rsidRPr="00194E1C">
        <w:rPr>
          <w:sz w:val="24"/>
          <w:szCs w:val="24"/>
        </w:rPr>
        <w:t>dexamethason</w:t>
      </w:r>
      <w:proofErr w:type="spellEnd"/>
      <w:r w:rsidRPr="00194E1C">
        <w:rPr>
          <w:sz w:val="24"/>
          <w:szCs w:val="24"/>
        </w:rPr>
        <w:t xml:space="preserve"> til mennesker, er den maksimale koncentration af </w:t>
      </w:r>
      <w:proofErr w:type="spellStart"/>
      <w:r w:rsidRPr="00194E1C">
        <w:rPr>
          <w:sz w:val="24"/>
          <w:szCs w:val="24"/>
        </w:rPr>
        <w:t>dexamethason</w:t>
      </w:r>
      <w:proofErr w:type="spellEnd"/>
      <w:r w:rsidRPr="00194E1C">
        <w:rPr>
          <w:sz w:val="24"/>
          <w:szCs w:val="24"/>
        </w:rPr>
        <w:t xml:space="preserve"> i cerebrospinalvæsken cirka 1/6 af dets plasmakoncentration. Plasmahalveringstiden for </w:t>
      </w:r>
      <w:proofErr w:type="spellStart"/>
      <w:r w:rsidRPr="00194E1C">
        <w:rPr>
          <w:sz w:val="24"/>
          <w:szCs w:val="24"/>
        </w:rPr>
        <w:t>dexamethason</w:t>
      </w:r>
      <w:proofErr w:type="spellEnd"/>
      <w:r w:rsidRPr="00194E1C">
        <w:rPr>
          <w:sz w:val="24"/>
          <w:szCs w:val="24"/>
        </w:rPr>
        <w:t xml:space="preserve"> er ca. 190 minutter.</w:t>
      </w:r>
    </w:p>
    <w:p w14:paraId="7C03B0CE" w14:textId="77777777" w:rsidR="006E4003" w:rsidRPr="00194E1C" w:rsidRDefault="006E4003" w:rsidP="006E4003">
      <w:pPr>
        <w:tabs>
          <w:tab w:val="left" w:pos="851"/>
        </w:tabs>
        <w:ind w:left="851"/>
        <w:rPr>
          <w:sz w:val="24"/>
          <w:szCs w:val="24"/>
        </w:rPr>
      </w:pPr>
    </w:p>
    <w:p w14:paraId="34A2BCD5" w14:textId="77777777" w:rsidR="006E4003" w:rsidRPr="00194E1C" w:rsidRDefault="006E4003" w:rsidP="006E4003">
      <w:pPr>
        <w:tabs>
          <w:tab w:val="left" w:pos="851"/>
        </w:tabs>
        <w:ind w:left="851"/>
        <w:rPr>
          <w:sz w:val="24"/>
          <w:szCs w:val="24"/>
        </w:rPr>
      </w:pPr>
      <w:r w:rsidRPr="00194E1C">
        <w:rPr>
          <w:sz w:val="24"/>
          <w:szCs w:val="24"/>
        </w:rPr>
        <w:t xml:space="preserve">Med en biologisk halveringstid på mere end 36 timer, tilhører </w:t>
      </w:r>
      <w:proofErr w:type="spellStart"/>
      <w:r w:rsidRPr="00194E1C">
        <w:rPr>
          <w:sz w:val="24"/>
          <w:szCs w:val="24"/>
        </w:rPr>
        <w:t>dexamethason</w:t>
      </w:r>
      <w:proofErr w:type="spellEnd"/>
      <w:r w:rsidRPr="00194E1C">
        <w:rPr>
          <w:sz w:val="24"/>
          <w:szCs w:val="24"/>
        </w:rPr>
        <w:t xml:space="preserve"> </w:t>
      </w:r>
      <w:proofErr w:type="spellStart"/>
      <w:r w:rsidRPr="00194E1C">
        <w:rPr>
          <w:sz w:val="24"/>
          <w:szCs w:val="24"/>
        </w:rPr>
        <w:t>glukokortikoiderne</w:t>
      </w:r>
      <w:proofErr w:type="spellEnd"/>
      <w:r w:rsidRPr="00194E1C">
        <w:rPr>
          <w:sz w:val="24"/>
          <w:szCs w:val="24"/>
        </w:rPr>
        <w:t xml:space="preserve"> med en meget langvarig virkning. På grund af dets langvarige virkning kan akkumulering og overdosering forekomme ved daglig, kontinuerlig administration af </w:t>
      </w:r>
      <w:proofErr w:type="spellStart"/>
      <w:r w:rsidRPr="00194E1C">
        <w:rPr>
          <w:sz w:val="24"/>
          <w:szCs w:val="24"/>
        </w:rPr>
        <w:t>dexamethason</w:t>
      </w:r>
      <w:proofErr w:type="spellEnd"/>
      <w:r w:rsidRPr="00194E1C">
        <w:rPr>
          <w:sz w:val="24"/>
          <w:szCs w:val="24"/>
        </w:rPr>
        <w:t>.</w:t>
      </w:r>
    </w:p>
    <w:p w14:paraId="623303BB" w14:textId="77777777" w:rsidR="006E4003" w:rsidRPr="00194E1C" w:rsidRDefault="006E4003" w:rsidP="006E4003">
      <w:pPr>
        <w:tabs>
          <w:tab w:val="left" w:pos="851"/>
        </w:tabs>
        <w:ind w:left="851"/>
        <w:rPr>
          <w:sz w:val="24"/>
          <w:szCs w:val="24"/>
        </w:rPr>
      </w:pPr>
    </w:p>
    <w:p w14:paraId="5A22FA4B" w14:textId="77777777" w:rsidR="006E4003" w:rsidRPr="00194E1C" w:rsidRDefault="006E4003" w:rsidP="006E4003">
      <w:pPr>
        <w:tabs>
          <w:tab w:val="left" w:pos="851"/>
        </w:tabs>
        <w:ind w:left="851"/>
        <w:rPr>
          <w:sz w:val="24"/>
          <w:szCs w:val="24"/>
          <w:u w:val="single"/>
        </w:rPr>
      </w:pPr>
      <w:r w:rsidRPr="00194E1C">
        <w:rPr>
          <w:sz w:val="24"/>
          <w:szCs w:val="24"/>
          <w:u w:val="single"/>
        </w:rPr>
        <w:t>Elimination</w:t>
      </w:r>
    </w:p>
    <w:p w14:paraId="0AE8F587" w14:textId="77777777" w:rsidR="006E4003" w:rsidRPr="00194E1C" w:rsidRDefault="006E4003" w:rsidP="006E4003">
      <w:pPr>
        <w:tabs>
          <w:tab w:val="left" w:pos="851"/>
        </w:tabs>
        <w:ind w:left="851"/>
        <w:rPr>
          <w:sz w:val="24"/>
          <w:szCs w:val="24"/>
        </w:rPr>
      </w:pPr>
      <w:r w:rsidRPr="00194E1C">
        <w:rPr>
          <w:sz w:val="24"/>
          <w:szCs w:val="24"/>
        </w:rPr>
        <w:t xml:space="preserve">Den gennemsnitlige eliminationshalveringstid af </w:t>
      </w:r>
      <w:proofErr w:type="spellStart"/>
      <w:r w:rsidRPr="00194E1C">
        <w:rPr>
          <w:sz w:val="24"/>
          <w:szCs w:val="24"/>
        </w:rPr>
        <w:t>dexamethason</w:t>
      </w:r>
      <w:proofErr w:type="spellEnd"/>
      <w:r w:rsidRPr="00194E1C">
        <w:rPr>
          <w:sz w:val="24"/>
          <w:szCs w:val="24"/>
        </w:rPr>
        <w:t xml:space="preserve"> i serum hos voksne er cirka 250 minutter (+80 minutter).</w:t>
      </w:r>
    </w:p>
    <w:p w14:paraId="261FED33" w14:textId="77777777" w:rsidR="006E4003" w:rsidRPr="00194E1C" w:rsidRDefault="006E4003" w:rsidP="006E4003">
      <w:pPr>
        <w:tabs>
          <w:tab w:val="left" w:pos="851"/>
        </w:tabs>
        <w:ind w:left="851"/>
        <w:rPr>
          <w:sz w:val="24"/>
          <w:szCs w:val="24"/>
        </w:rPr>
      </w:pPr>
    </w:p>
    <w:p w14:paraId="31DB7700" w14:textId="77777777" w:rsidR="006E4003" w:rsidRPr="00194E1C" w:rsidRDefault="006E4003" w:rsidP="006E4003">
      <w:pPr>
        <w:tabs>
          <w:tab w:val="left" w:pos="851"/>
        </w:tabs>
        <w:ind w:left="851"/>
        <w:rPr>
          <w:sz w:val="24"/>
          <w:szCs w:val="24"/>
        </w:rPr>
      </w:pPr>
      <w:r w:rsidRPr="00194E1C">
        <w:rPr>
          <w:sz w:val="24"/>
          <w:szCs w:val="24"/>
        </w:rPr>
        <w:t xml:space="preserve">Det udskilles hovedsageligt via nyrerne i form af </w:t>
      </w:r>
      <w:proofErr w:type="gramStart"/>
      <w:r w:rsidRPr="00194E1C">
        <w:rPr>
          <w:sz w:val="24"/>
          <w:szCs w:val="24"/>
        </w:rPr>
        <w:t>frit alkohol</w:t>
      </w:r>
      <w:proofErr w:type="gramEnd"/>
      <w:r w:rsidRPr="00194E1C">
        <w:rPr>
          <w:sz w:val="24"/>
          <w:szCs w:val="24"/>
        </w:rPr>
        <w:t xml:space="preserve"> fra </w:t>
      </w:r>
      <w:proofErr w:type="spellStart"/>
      <w:r w:rsidRPr="00194E1C">
        <w:rPr>
          <w:sz w:val="24"/>
          <w:szCs w:val="24"/>
        </w:rPr>
        <w:t>dexamethason</w:t>
      </w:r>
      <w:proofErr w:type="spellEnd"/>
      <w:r w:rsidRPr="00194E1C">
        <w:rPr>
          <w:sz w:val="24"/>
          <w:szCs w:val="24"/>
        </w:rPr>
        <w:t xml:space="preserve">. Det </w:t>
      </w:r>
      <w:proofErr w:type="spellStart"/>
      <w:r w:rsidRPr="00194E1C">
        <w:rPr>
          <w:sz w:val="24"/>
          <w:szCs w:val="24"/>
        </w:rPr>
        <w:t>metaboliseres</w:t>
      </w:r>
      <w:proofErr w:type="spellEnd"/>
      <w:r w:rsidRPr="00194E1C">
        <w:rPr>
          <w:sz w:val="24"/>
          <w:szCs w:val="24"/>
        </w:rPr>
        <w:t xml:space="preserve"> delvist og ligesom </w:t>
      </w:r>
      <w:proofErr w:type="spellStart"/>
      <w:r w:rsidRPr="00194E1C">
        <w:rPr>
          <w:sz w:val="24"/>
          <w:szCs w:val="24"/>
        </w:rPr>
        <w:t>glucoronater</w:t>
      </w:r>
      <w:proofErr w:type="spellEnd"/>
      <w:r w:rsidRPr="00194E1C">
        <w:rPr>
          <w:sz w:val="24"/>
          <w:szCs w:val="24"/>
        </w:rPr>
        <w:t xml:space="preserve"> eller sulfat udskilles metabolitterne også primært via nyrerne. Op til 65 % af en dosis udskilles i urinen indenfor 24 timer. Nedsat </w:t>
      </w:r>
      <w:r w:rsidRPr="00194E1C">
        <w:rPr>
          <w:sz w:val="24"/>
          <w:szCs w:val="24"/>
        </w:rPr>
        <w:lastRenderedPageBreak/>
        <w:t xml:space="preserve">nyrefunktion påvirker ikke i væsentlig grad eliminationen af </w:t>
      </w:r>
      <w:proofErr w:type="spellStart"/>
      <w:r w:rsidRPr="00194E1C">
        <w:rPr>
          <w:sz w:val="24"/>
          <w:szCs w:val="24"/>
        </w:rPr>
        <w:t>dexamethason</w:t>
      </w:r>
      <w:proofErr w:type="spellEnd"/>
      <w:r w:rsidRPr="00194E1C">
        <w:rPr>
          <w:sz w:val="24"/>
          <w:szCs w:val="24"/>
        </w:rPr>
        <w:t>. Eliminationshalveringstiden er forlænget ved alvorlig leversygdom.</w:t>
      </w:r>
    </w:p>
    <w:p w14:paraId="72771BB2" w14:textId="77777777" w:rsidR="009260DE" w:rsidRPr="00194E1C" w:rsidRDefault="009260DE" w:rsidP="009260DE">
      <w:pPr>
        <w:tabs>
          <w:tab w:val="left" w:pos="851"/>
        </w:tabs>
        <w:ind w:left="851"/>
        <w:rPr>
          <w:sz w:val="24"/>
          <w:szCs w:val="24"/>
        </w:rPr>
      </w:pPr>
    </w:p>
    <w:p w14:paraId="5E6E5FB1" w14:textId="128E9055" w:rsidR="009260DE" w:rsidRPr="00194E1C" w:rsidRDefault="009260DE" w:rsidP="009260DE">
      <w:pPr>
        <w:tabs>
          <w:tab w:val="left" w:pos="851"/>
        </w:tabs>
        <w:ind w:left="851" w:hanging="851"/>
        <w:rPr>
          <w:b/>
          <w:sz w:val="24"/>
          <w:szCs w:val="24"/>
        </w:rPr>
      </w:pPr>
      <w:r w:rsidRPr="00194E1C">
        <w:rPr>
          <w:b/>
          <w:sz w:val="24"/>
          <w:szCs w:val="24"/>
        </w:rPr>
        <w:t>5.3</w:t>
      </w:r>
      <w:r w:rsidRPr="00194E1C">
        <w:rPr>
          <w:b/>
          <w:sz w:val="24"/>
          <w:szCs w:val="24"/>
        </w:rPr>
        <w:tab/>
      </w:r>
      <w:r w:rsidR="00580E8E">
        <w:rPr>
          <w:b/>
          <w:sz w:val="24"/>
          <w:szCs w:val="24"/>
        </w:rPr>
        <w:t>Non-</w:t>
      </w:r>
      <w:r w:rsidRPr="00194E1C">
        <w:rPr>
          <w:b/>
          <w:sz w:val="24"/>
          <w:szCs w:val="24"/>
        </w:rPr>
        <w:t>kliniske sikkerhedsdata</w:t>
      </w:r>
    </w:p>
    <w:p w14:paraId="7E095109" w14:textId="77777777" w:rsidR="005B2D43" w:rsidRDefault="005B2D43" w:rsidP="006A69D5">
      <w:pPr>
        <w:tabs>
          <w:tab w:val="left" w:pos="851"/>
        </w:tabs>
        <w:ind w:left="851"/>
        <w:rPr>
          <w:i/>
          <w:iCs/>
          <w:sz w:val="24"/>
          <w:szCs w:val="24"/>
          <w:u w:val="single"/>
        </w:rPr>
      </w:pPr>
    </w:p>
    <w:p w14:paraId="37D9321E" w14:textId="1CF85609" w:rsidR="006A69D5" w:rsidRPr="00194E1C" w:rsidRDefault="006A69D5" w:rsidP="006A69D5">
      <w:pPr>
        <w:tabs>
          <w:tab w:val="left" w:pos="851"/>
        </w:tabs>
        <w:ind w:left="851"/>
        <w:rPr>
          <w:i/>
          <w:iCs/>
          <w:sz w:val="24"/>
          <w:szCs w:val="24"/>
          <w:u w:val="single"/>
          <w:lang w:eastAsia="da-DK"/>
        </w:rPr>
      </w:pPr>
      <w:r w:rsidRPr="00194E1C">
        <w:rPr>
          <w:i/>
          <w:iCs/>
          <w:sz w:val="24"/>
          <w:szCs w:val="24"/>
          <w:u w:val="single"/>
        </w:rPr>
        <w:t>Akut toksicitet:</w:t>
      </w:r>
    </w:p>
    <w:p w14:paraId="22648117" w14:textId="77777777" w:rsidR="006A69D5" w:rsidRPr="00194E1C" w:rsidRDefault="006A69D5" w:rsidP="006A69D5">
      <w:pPr>
        <w:tabs>
          <w:tab w:val="left" w:pos="851"/>
        </w:tabs>
        <w:ind w:left="851"/>
        <w:rPr>
          <w:sz w:val="24"/>
          <w:szCs w:val="24"/>
        </w:rPr>
      </w:pPr>
      <w:r w:rsidRPr="00194E1C">
        <w:rPr>
          <w:sz w:val="24"/>
          <w:szCs w:val="24"/>
        </w:rPr>
        <w:t xml:space="preserve">LD50 for </w:t>
      </w:r>
      <w:proofErr w:type="spellStart"/>
      <w:r w:rsidRPr="00194E1C">
        <w:rPr>
          <w:sz w:val="24"/>
          <w:szCs w:val="24"/>
        </w:rPr>
        <w:t>dexamethason</w:t>
      </w:r>
      <w:proofErr w:type="spellEnd"/>
      <w:r w:rsidRPr="00194E1C">
        <w:rPr>
          <w:sz w:val="24"/>
          <w:szCs w:val="24"/>
        </w:rPr>
        <w:t xml:space="preserve"> efter en enkelt oral dosis inden for de første 7 dage i mus er 16 g/kg legemsvægt og i rotter mere end 3 g/kg legemsvægt. Efter en enkelt subkutan dosis er LD50 i mus mere end 700 mg/kg legemsvægt, og i rotter ca. 120 mg/kg legemsvægt inden for de første 7 dage. Observeret over en periode på 21 dage falder disse værdier, hvilket fortolkes som en konsekvens af alvorlige infektionsfrigivne sygdomme forårsaget af hormoninduceret immunsuppression.</w:t>
      </w:r>
    </w:p>
    <w:p w14:paraId="04B9212E" w14:textId="77777777" w:rsidR="006A69D5" w:rsidRPr="00194E1C" w:rsidRDefault="006A69D5" w:rsidP="006A69D5">
      <w:pPr>
        <w:tabs>
          <w:tab w:val="left" w:pos="851"/>
        </w:tabs>
        <w:ind w:left="851"/>
        <w:rPr>
          <w:sz w:val="24"/>
          <w:szCs w:val="24"/>
        </w:rPr>
      </w:pPr>
    </w:p>
    <w:p w14:paraId="4D3AA2AC" w14:textId="77777777" w:rsidR="006A69D5" w:rsidRPr="00194E1C" w:rsidRDefault="006A69D5" w:rsidP="006A69D5">
      <w:pPr>
        <w:tabs>
          <w:tab w:val="left" w:pos="851"/>
        </w:tabs>
        <w:ind w:left="851"/>
        <w:rPr>
          <w:i/>
          <w:iCs/>
          <w:sz w:val="24"/>
          <w:szCs w:val="24"/>
          <w:u w:val="single"/>
        </w:rPr>
      </w:pPr>
      <w:r w:rsidRPr="00194E1C">
        <w:rPr>
          <w:i/>
          <w:iCs/>
          <w:sz w:val="24"/>
          <w:szCs w:val="24"/>
          <w:u w:val="single"/>
        </w:rPr>
        <w:t>Kronisk toksicitet:</w:t>
      </w:r>
    </w:p>
    <w:p w14:paraId="5D7F8CD4" w14:textId="77777777" w:rsidR="006A69D5" w:rsidRPr="00194E1C" w:rsidRDefault="006A69D5" w:rsidP="006A69D5">
      <w:pPr>
        <w:tabs>
          <w:tab w:val="left" w:pos="851"/>
        </w:tabs>
        <w:ind w:left="851"/>
        <w:rPr>
          <w:sz w:val="24"/>
          <w:szCs w:val="24"/>
        </w:rPr>
      </w:pPr>
      <w:r w:rsidRPr="00194E1C">
        <w:rPr>
          <w:sz w:val="24"/>
          <w:szCs w:val="24"/>
        </w:rPr>
        <w:t xml:space="preserve">Der er ingen oplysninger om kronisk toksicitet hos mennesker eller dyr. </w:t>
      </w:r>
      <w:proofErr w:type="spellStart"/>
      <w:r w:rsidRPr="00194E1C">
        <w:rPr>
          <w:sz w:val="24"/>
          <w:szCs w:val="24"/>
        </w:rPr>
        <w:t>Kortikoid</w:t>
      </w:r>
      <w:proofErr w:type="spellEnd"/>
      <w:r w:rsidRPr="00194E1C">
        <w:rPr>
          <w:sz w:val="24"/>
          <w:szCs w:val="24"/>
        </w:rPr>
        <w:t>-inducerede manifestationer af forgiftning er aldrig blevet rapporteret. I tilfælde af relativt langvarig behandling med doser over 1,5 mg/dag må der forventes markante bivirkninger (se pkt. 4.8).</w:t>
      </w:r>
    </w:p>
    <w:p w14:paraId="014A93E3" w14:textId="77777777" w:rsidR="006A69D5" w:rsidRPr="00194E1C" w:rsidRDefault="006A69D5" w:rsidP="006A69D5">
      <w:pPr>
        <w:tabs>
          <w:tab w:val="left" w:pos="851"/>
        </w:tabs>
        <w:ind w:left="851"/>
        <w:rPr>
          <w:sz w:val="24"/>
          <w:szCs w:val="24"/>
        </w:rPr>
      </w:pPr>
    </w:p>
    <w:p w14:paraId="25180A0A" w14:textId="77777777" w:rsidR="006A69D5" w:rsidRPr="00194E1C" w:rsidRDefault="006A69D5" w:rsidP="006A69D5">
      <w:pPr>
        <w:tabs>
          <w:tab w:val="left" w:pos="851"/>
        </w:tabs>
        <w:ind w:left="851"/>
        <w:rPr>
          <w:i/>
          <w:iCs/>
          <w:sz w:val="24"/>
          <w:szCs w:val="24"/>
          <w:u w:val="single"/>
        </w:rPr>
      </w:pPr>
      <w:r w:rsidRPr="00194E1C">
        <w:rPr>
          <w:i/>
          <w:iCs/>
          <w:sz w:val="24"/>
          <w:szCs w:val="24"/>
          <w:u w:val="single"/>
        </w:rPr>
        <w:t>Mutagene og kræftfremkaldende potentialer:</w:t>
      </w:r>
    </w:p>
    <w:p w14:paraId="2645D94F" w14:textId="77777777" w:rsidR="006A69D5" w:rsidRPr="00194E1C" w:rsidRDefault="006A69D5" w:rsidP="006A69D5">
      <w:pPr>
        <w:tabs>
          <w:tab w:val="left" w:pos="851"/>
        </w:tabs>
        <w:ind w:left="851"/>
        <w:rPr>
          <w:sz w:val="24"/>
          <w:szCs w:val="24"/>
        </w:rPr>
      </w:pPr>
      <w:r w:rsidRPr="00194E1C">
        <w:rPr>
          <w:sz w:val="24"/>
          <w:szCs w:val="24"/>
        </w:rPr>
        <w:t xml:space="preserve">Tilgængelige data for </w:t>
      </w:r>
      <w:proofErr w:type="spellStart"/>
      <w:r w:rsidRPr="00194E1C">
        <w:rPr>
          <w:sz w:val="24"/>
          <w:szCs w:val="24"/>
        </w:rPr>
        <w:t>glukokortikoider</w:t>
      </w:r>
      <w:proofErr w:type="spellEnd"/>
      <w:r w:rsidRPr="00194E1C">
        <w:rPr>
          <w:sz w:val="24"/>
          <w:szCs w:val="24"/>
        </w:rPr>
        <w:t xml:space="preserve"> afslører intet bevis for klinisk relevante genotoksiske egenskaber.</w:t>
      </w:r>
    </w:p>
    <w:p w14:paraId="60AE691A" w14:textId="77777777" w:rsidR="006A69D5" w:rsidRPr="00194E1C" w:rsidRDefault="006A69D5" w:rsidP="006A69D5">
      <w:pPr>
        <w:tabs>
          <w:tab w:val="left" w:pos="851"/>
        </w:tabs>
        <w:ind w:left="851"/>
        <w:rPr>
          <w:sz w:val="24"/>
          <w:szCs w:val="24"/>
        </w:rPr>
      </w:pPr>
    </w:p>
    <w:p w14:paraId="1E02F1E3" w14:textId="77777777" w:rsidR="006A69D5" w:rsidRPr="00194E1C" w:rsidRDefault="006A69D5" w:rsidP="006A69D5">
      <w:pPr>
        <w:tabs>
          <w:tab w:val="left" w:pos="851"/>
        </w:tabs>
        <w:ind w:left="851"/>
        <w:rPr>
          <w:i/>
          <w:iCs/>
          <w:sz w:val="24"/>
          <w:szCs w:val="24"/>
          <w:u w:val="single"/>
        </w:rPr>
      </w:pPr>
      <w:r w:rsidRPr="00194E1C">
        <w:rPr>
          <w:i/>
          <w:iCs/>
          <w:sz w:val="24"/>
          <w:szCs w:val="24"/>
          <w:u w:val="single"/>
        </w:rPr>
        <w:t>Reproduktionstoksicitet:</w:t>
      </w:r>
    </w:p>
    <w:p w14:paraId="72064EC1" w14:textId="240C44CB" w:rsidR="006A69D5" w:rsidRDefault="006A69D5" w:rsidP="006A69D5">
      <w:pPr>
        <w:tabs>
          <w:tab w:val="left" w:pos="851"/>
        </w:tabs>
        <w:ind w:left="851"/>
        <w:rPr>
          <w:sz w:val="24"/>
          <w:szCs w:val="24"/>
        </w:rPr>
      </w:pPr>
      <w:r w:rsidRPr="00194E1C">
        <w:rPr>
          <w:sz w:val="24"/>
          <w:szCs w:val="24"/>
        </w:rPr>
        <w:t>I dyreforsøg blev ganespalte observeret hos rotter, mus, hamstere, kaniner, hunde og primater; ikke hos heste og får. I nogle tilfælde var disse afvigelser kombineret med defekter i centralnervesystemet og hjertet. Hos primater blev der observeret hjernepåvirkning efter eksponering. Desuden kan intrauterin vækst blive forsinket. Alle disse virkninger er observeret ved høje doser.</w:t>
      </w:r>
    </w:p>
    <w:p w14:paraId="05B7E68F" w14:textId="7B14A202" w:rsidR="00B73624" w:rsidRDefault="00B73624" w:rsidP="006A69D5">
      <w:pPr>
        <w:tabs>
          <w:tab w:val="left" w:pos="851"/>
        </w:tabs>
        <w:ind w:left="851"/>
        <w:rPr>
          <w:sz w:val="24"/>
          <w:szCs w:val="24"/>
        </w:rPr>
      </w:pPr>
    </w:p>
    <w:p w14:paraId="1A5E332D" w14:textId="77777777" w:rsidR="00B73624" w:rsidRDefault="00B73624" w:rsidP="00B73624">
      <w:pPr>
        <w:ind w:firstLine="851"/>
        <w:rPr>
          <w:i/>
          <w:iCs/>
          <w:sz w:val="24"/>
          <w:szCs w:val="24"/>
          <w:u w:val="single"/>
          <w:lang w:val="en-GB"/>
        </w:rPr>
      </w:pPr>
      <w:proofErr w:type="spellStart"/>
      <w:r>
        <w:rPr>
          <w:i/>
          <w:iCs/>
          <w:sz w:val="24"/>
          <w:szCs w:val="24"/>
          <w:u w:val="single"/>
          <w:lang w:val="en-GB"/>
        </w:rPr>
        <w:t>Miljørisikovurdering</w:t>
      </w:r>
      <w:proofErr w:type="spellEnd"/>
      <w:r>
        <w:rPr>
          <w:i/>
          <w:iCs/>
          <w:sz w:val="24"/>
          <w:szCs w:val="24"/>
          <w:u w:val="single"/>
          <w:lang w:val="en-GB"/>
        </w:rPr>
        <w:t xml:space="preserve"> (ERA):</w:t>
      </w:r>
    </w:p>
    <w:p w14:paraId="6198316B" w14:textId="229691B2" w:rsidR="00B73624" w:rsidRPr="00194E1C" w:rsidRDefault="00B73624" w:rsidP="00B73624">
      <w:pPr>
        <w:tabs>
          <w:tab w:val="left" w:pos="851"/>
        </w:tabs>
        <w:ind w:left="851"/>
        <w:rPr>
          <w:sz w:val="24"/>
          <w:szCs w:val="24"/>
        </w:rPr>
      </w:pPr>
      <w:proofErr w:type="spellStart"/>
      <w:r>
        <w:rPr>
          <w:bCs/>
          <w:sz w:val="24"/>
          <w:szCs w:val="24"/>
          <w:lang w:val="en-IE"/>
        </w:rPr>
        <w:t>Baseret</w:t>
      </w:r>
      <w:proofErr w:type="spellEnd"/>
      <w:r>
        <w:rPr>
          <w:bCs/>
          <w:sz w:val="24"/>
          <w:szCs w:val="24"/>
          <w:lang w:val="en-IE"/>
        </w:rPr>
        <w:t xml:space="preserve"> </w:t>
      </w:r>
      <w:proofErr w:type="spellStart"/>
      <w:r>
        <w:rPr>
          <w:bCs/>
          <w:sz w:val="24"/>
          <w:szCs w:val="24"/>
          <w:lang w:val="en-IE"/>
        </w:rPr>
        <w:t>på</w:t>
      </w:r>
      <w:proofErr w:type="spellEnd"/>
      <w:r>
        <w:rPr>
          <w:bCs/>
          <w:sz w:val="24"/>
          <w:szCs w:val="24"/>
          <w:lang w:val="en-IE"/>
        </w:rPr>
        <w:t xml:space="preserve"> </w:t>
      </w:r>
      <w:proofErr w:type="spellStart"/>
      <w:r>
        <w:rPr>
          <w:bCs/>
          <w:sz w:val="24"/>
          <w:szCs w:val="24"/>
          <w:lang w:val="en-IE"/>
        </w:rPr>
        <w:t>dexamethasons</w:t>
      </w:r>
      <w:proofErr w:type="spellEnd"/>
      <w:r>
        <w:rPr>
          <w:bCs/>
          <w:sz w:val="24"/>
          <w:szCs w:val="24"/>
          <w:lang w:val="en-IE"/>
        </w:rPr>
        <w:t xml:space="preserve"> </w:t>
      </w:r>
      <w:proofErr w:type="spellStart"/>
      <w:r>
        <w:rPr>
          <w:bCs/>
          <w:sz w:val="24"/>
          <w:szCs w:val="24"/>
          <w:lang w:val="en-IE"/>
        </w:rPr>
        <w:t>endokrine</w:t>
      </w:r>
      <w:proofErr w:type="spellEnd"/>
      <w:r>
        <w:rPr>
          <w:bCs/>
          <w:sz w:val="24"/>
          <w:szCs w:val="24"/>
          <w:lang w:val="en-IE"/>
        </w:rPr>
        <w:t xml:space="preserve"> </w:t>
      </w:r>
      <w:proofErr w:type="spellStart"/>
      <w:r>
        <w:rPr>
          <w:bCs/>
          <w:sz w:val="24"/>
          <w:szCs w:val="24"/>
          <w:lang w:val="en-IE"/>
        </w:rPr>
        <w:t>virkningsmekanisme</w:t>
      </w:r>
      <w:proofErr w:type="spellEnd"/>
      <w:r>
        <w:rPr>
          <w:bCs/>
          <w:sz w:val="24"/>
          <w:szCs w:val="24"/>
          <w:lang w:val="en-IE"/>
        </w:rPr>
        <w:t xml:space="preserve"> </w:t>
      </w:r>
      <w:proofErr w:type="spellStart"/>
      <w:r>
        <w:rPr>
          <w:bCs/>
          <w:sz w:val="24"/>
          <w:szCs w:val="24"/>
          <w:lang w:val="en-IE"/>
        </w:rPr>
        <w:t>kan</w:t>
      </w:r>
      <w:proofErr w:type="spellEnd"/>
      <w:r>
        <w:rPr>
          <w:bCs/>
          <w:sz w:val="24"/>
          <w:szCs w:val="24"/>
          <w:lang w:val="en-IE"/>
        </w:rPr>
        <w:t xml:space="preserve"> </w:t>
      </w:r>
      <w:proofErr w:type="spellStart"/>
      <w:r>
        <w:rPr>
          <w:bCs/>
          <w:sz w:val="24"/>
          <w:szCs w:val="24"/>
          <w:lang w:val="en-IE"/>
        </w:rPr>
        <w:t>en</w:t>
      </w:r>
      <w:proofErr w:type="spellEnd"/>
      <w:r>
        <w:rPr>
          <w:bCs/>
          <w:sz w:val="24"/>
          <w:szCs w:val="24"/>
          <w:lang w:val="en-IE"/>
        </w:rPr>
        <w:t xml:space="preserve"> </w:t>
      </w:r>
      <w:proofErr w:type="spellStart"/>
      <w:r>
        <w:rPr>
          <w:bCs/>
          <w:sz w:val="24"/>
          <w:szCs w:val="24"/>
          <w:lang w:val="en-IE"/>
        </w:rPr>
        <w:t>risiko</w:t>
      </w:r>
      <w:proofErr w:type="spellEnd"/>
      <w:r>
        <w:rPr>
          <w:bCs/>
          <w:sz w:val="24"/>
          <w:szCs w:val="24"/>
          <w:lang w:val="en-IE"/>
        </w:rPr>
        <w:t xml:space="preserve"> for </w:t>
      </w:r>
      <w:proofErr w:type="spellStart"/>
      <w:r>
        <w:rPr>
          <w:bCs/>
          <w:sz w:val="24"/>
          <w:szCs w:val="24"/>
          <w:lang w:val="en-IE"/>
        </w:rPr>
        <w:t>vandig</w:t>
      </w:r>
      <w:proofErr w:type="spellEnd"/>
      <w:r>
        <w:rPr>
          <w:bCs/>
          <w:sz w:val="24"/>
          <w:szCs w:val="24"/>
          <w:lang w:val="en-IE"/>
        </w:rPr>
        <w:t xml:space="preserve">(e) </w:t>
      </w:r>
      <w:proofErr w:type="spellStart"/>
      <w:r>
        <w:rPr>
          <w:bCs/>
          <w:sz w:val="24"/>
          <w:szCs w:val="24"/>
          <w:lang w:val="en-IE"/>
        </w:rPr>
        <w:t>kompartment</w:t>
      </w:r>
      <w:proofErr w:type="spellEnd"/>
      <w:r>
        <w:rPr>
          <w:bCs/>
          <w:sz w:val="24"/>
          <w:szCs w:val="24"/>
          <w:lang w:val="en-IE"/>
        </w:rPr>
        <w:t>(</w:t>
      </w:r>
      <w:proofErr w:type="spellStart"/>
      <w:r>
        <w:rPr>
          <w:bCs/>
          <w:sz w:val="24"/>
          <w:szCs w:val="24"/>
          <w:lang w:val="en-IE"/>
        </w:rPr>
        <w:t>er</w:t>
      </w:r>
      <w:proofErr w:type="spellEnd"/>
      <w:r>
        <w:rPr>
          <w:bCs/>
          <w:sz w:val="24"/>
          <w:szCs w:val="24"/>
          <w:lang w:val="en-IE"/>
        </w:rPr>
        <w:t xml:space="preserve">) </w:t>
      </w:r>
      <w:proofErr w:type="spellStart"/>
      <w:r>
        <w:rPr>
          <w:bCs/>
          <w:sz w:val="24"/>
          <w:szCs w:val="24"/>
          <w:lang w:val="en-IE"/>
        </w:rPr>
        <w:t>ikke</w:t>
      </w:r>
      <w:proofErr w:type="spellEnd"/>
      <w:r>
        <w:rPr>
          <w:bCs/>
          <w:sz w:val="24"/>
          <w:szCs w:val="24"/>
          <w:lang w:val="en-IE"/>
        </w:rPr>
        <w:t xml:space="preserve"> </w:t>
      </w:r>
      <w:proofErr w:type="spellStart"/>
      <w:r>
        <w:rPr>
          <w:bCs/>
          <w:sz w:val="24"/>
          <w:szCs w:val="24"/>
          <w:lang w:val="en-IE"/>
        </w:rPr>
        <w:t>udelukkes</w:t>
      </w:r>
      <w:proofErr w:type="spellEnd"/>
      <w:r>
        <w:rPr>
          <w:bCs/>
          <w:sz w:val="24"/>
          <w:szCs w:val="24"/>
          <w:lang w:val="en-IE"/>
        </w:rPr>
        <w:t xml:space="preserve"> (se pkt. 6.6).</w:t>
      </w:r>
    </w:p>
    <w:p w14:paraId="55400D29" w14:textId="77777777" w:rsidR="009260DE" w:rsidRPr="00194E1C" w:rsidRDefault="009260DE" w:rsidP="009260DE">
      <w:pPr>
        <w:tabs>
          <w:tab w:val="left" w:pos="851"/>
        </w:tabs>
        <w:ind w:left="851"/>
        <w:rPr>
          <w:sz w:val="24"/>
          <w:szCs w:val="24"/>
        </w:rPr>
      </w:pPr>
    </w:p>
    <w:p w14:paraId="1545B497" w14:textId="77777777" w:rsidR="009260DE" w:rsidRPr="00194E1C" w:rsidRDefault="009260DE" w:rsidP="009260DE">
      <w:pPr>
        <w:tabs>
          <w:tab w:val="left" w:pos="851"/>
        </w:tabs>
        <w:ind w:left="851"/>
        <w:rPr>
          <w:sz w:val="24"/>
          <w:szCs w:val="24"/>
        </w:rPr>
      </w:pPr>
    </w:p>
    <w:p w14:paraId="2E2DBE67" w14:textId="77777777" w:rsidR="009260DE" w:rsidRPr="00194E1C" w:rsidRDefault="009260DE" w:rsidP="009260DE">
      <w:pPr>
        <w:tabs>
          <w:tab w:val="left" w:pos="851"/>
        </w:tabs>
        <w:ind w:left="851" w:hanging="851"/>
        <w:rPr>
          <w:b/>
          <w:sz w:val="24"/>
          <w:szCs w:val="24"/>
        </w:rPr>
      </w:pPr>
      <w:r w:rsidRPr="00194E1C">
        <w:rPr>
          <w:b/>
          <w:sz w:val="24"/>
          <w:szCs w:val="24"/>
        </w:rPr>
        <w:t>6.</w:t>
      </w:r>
      <w:r w:rsidRPr="00194E1C">
        <w:rPr>
          <w:b/>
          <w:sz w:val="24"/>
          <w:szCs w:val="24"/>
        </w:rPr>
        <w:tab/>
        <w:t>FARMACEUTISKE OPLYSNINGER</w:t>
      </w:r>
    </w:p>
    <w:p w14:paraId="2BEE3C14" w14:textId="77777777" w:rsidR="009260DE" w:rsidRPr="00194E1C" w:rsidRDefault="009260DE" w:rsidP="009260DE">
      <w:pPr>
        <w:tabs>
          <w:tab w:val="left" w:pos="851"/>
        </w:tabs>
        <w:ind w:left="851"/>
        <w:rPr>
          <w:sz w:val="24"/>
          <w:szCs w:val="24"/>
        </w:rPr>
      </w:pPr>
    </w:p>
    <w:p w14:paraId="6D8389C1" w14:textId="77777777" w:rsidR="009260DE" w:rsidRPr="00194E1C" w:rsidRDefault="009260DE" w:rsidP="009260DE">
      <w:pPr>
        <w:tabs>
          <w:tab w:val="left" w:pos="851"/>
        </w:tabs>
        <w:ind w:left="851" w:hanging="851"/>
        <w:rPr>
          <w:b/>
          <w:sz w:val="24"/>
          <w:szCs w:val="24"/>
        </w:rPr>
      </w:pPr>
      <w:r w:rsidRPr="00194E1C">
        <w:rPr>
          <w:b/>
          <w:sz w:val="24"/>
          <w:szCs w:val="24"/>
        </w:rPr>
        <w:t>6.1</w:t>
      </w:r>
      <w:r w:rsidRPr="00194E1C">
        <w:rPr>
          <w:b/>
          <w:sz w:val="24"/>
          <w:szCs w:val="24"/>
        </w:rPr>
        <w:tab/>
        <w:t>Hjælpestoffer</w:t>
      </w:r>
    </w:p>
    <w:p w14:paraId="445DAC05" w14:textId="77777777" w:rsidR="006A69D5" w:rsidRPr="00194E1C" w:rsidRDefault="006A69D5" w:rsidP="006A69D5">
      <w:pPr>
        <w:tabs>
          <w:tab w:val="left" w:pos="851"/>
        </w:tabs>
        <w:ind w:left="851"/>
        <w:rPr>
          <w:sz w:val="24"/>
          <w:szCs w:val="24"/>
          <w:lang w:eastAsia="da-DK"/>
        </w:rPr>
      </w:pPr>
      <w:r w:rsidRPr="00194E1C">
        <w:rPr>
          <w:sz w:val="24"/>
          <w:szCs w:val="24"/>
        </w:rPr>
        <w:t>Propylenglykol</w:t>
      </w:r>
    </w:p>
    <w:p w14:paraId="589D07A5" w14:textId="77777777" w:rsidR="006A69D5" w:rsidRPr="00194E1C" w:rsidRDefault="006A69D5" w:rsidP="006A69D5">
      <w:pPr>
        <w:tabs>
          <w:tab w:val="left" w:pos="851"/>
        </w:tabs>
        <w:ind w:left="851"/>
        <w:rPr>
          <w:sz w:val="24"/>
          <w:szCs w:val="24"/>
        </w:rPr>
      </w:pPr>
      <w:proofErr w:type="spellStart"/>
      <w:r w:rsidRPr="00194E1C">
        <w:rPr>
          <w:sz w:val="24"/>
          <w:szCs w:val="24"/>
        </w:rPr>
        <w:t>Dinatriumedetat</w:t>
      </w:r>
      <w:proofErr w:type="spellEnd"/>
    </w:p>
    <w:p w14:paraId="1B3B17E4" w14:textId="77777777" w:rsidR="006A69D5" w:rsidRPr="00194E1C" w:rsidRDefault="006A69D5" w:rsidP="006A69D5">
      <w:pPr>
        <w:tabs>
          <w:tab w:val="left" w:pos="851"/>
        </w:tabs>
        <w:ind w:left="851"/>
        <w:rPr>
          <w:sz w:val="24"/>
          <w:szCs w:val="24"/>
        </w:rPr>
      </w:pPr>
      <w:r w:rsidRPr="00194E1C">
        <w:rPr>
          <w:sz w:val="24"/>
          <w:szCs w:val="24"/>
        </w:rPr>
        <w:t>Natriumhydroxid (til pH-justering)</w:t>
      </w:r>
    </w:p>
    <w:p w14:paraId="45103C3A" w14:textId="77777777" w:rsidR="006A69D5" w:rsidRPr="00194E1C" w:rsidRDefault="006A69D5" w:rsidP="006A69D5">
      <w:pPr>
        <w:tabs>
          <w:tab w:val="left" w:pos="851"/>
        </w:tabs>
        <w:ind w:left="851"/>
        <w:rPr>
          <w:sz w:val="24"/>
          <w:szCs w:val="24"/>
        </w:rPr>
      </w:pPr>
      <w:r w:rsidRPr="00194E1C">
        <w:rPr>
          <w:sz w:val="24"/>
          <w:szCs w:val="24"/>
        </w:rPr>
        <w:t>Vand til injektionsvæsker</w:t>
      </w:r>
    </w:p>
    <w:p w14:paraId="7ED6240D" w14:textId="77777777" w:rsidR="009260DE" w:rsidRPr="00194E1C" w:rsidRDefault="009260DE" w:rsidP="009260DE">
      <w:pPr>
        <w:tabs>
          <w:tab w:val="left" w:pos="851"/>
        </w:tabs>
        <w:ind w:left="851"/>
        <w:rPr>
          <w:sz w:val="24"/>
          <w:szCs w:val="24"/>
        </w:rPr>
      </w:pPr>
    </w:p>
    <w:p w14:paraId="783212FC" w14:textId="77777777" w:rsidR="009260DE" w:rsidRPr="00194E1C" w:rsidRDefault="009260DE" w:rsidP="009260DE">
      <w:pPr>
        <w:tabs>
          <w:tab w:val="left" w:pos="851"/>
        </w:tabs>
        <w:ind w:left="851" w:hanging="851"/>
        <w:rPr>
          <w:b/>
          <w:sz w:val="24"/>
          <w:szCs w:val="24"/>
        </w:rPr>
      </w:pPr>
      <w:r w:rsidRPr="00194E1C">
        <w:rPr>
          <w:b/>
          <w:sz w:val="24"/>
          <w:szCs w:val="24"/>
        </w:rPr>
        <w:t>6.2</w:t>
      </w:r>
      <w:r w:rsidRPr="00194E1C">
        <w:rPr>
          <w:b/>
          <w:sz w:val="24"/>
          <w:szCs w:val="24"/>
        </w:rPr>
        <w:tab/>
        <w:t>Uforligeligheder</w:t>
      </w:r>
    </w:p>
    <w:p w14:paraId="1596C43F" w14:textId="77777777" w:rsidR="006A69D5" w:rsidRPr="00194E1C" w:rsidRDefault="006A69D5" w:rsidP="006A69D5">
      <w:pPr>
        <w:tabs>
          <w:tab w:val="left" w:pos="851"/>
        </w:tabs>
        <w:ind w:left="851"/>
        <w:rPr>
          <w:sz w:val="24"/>
          <w:szCs w:val="24"/>
          <w:lang w:eastAsia="da-DK"/>
        </w:rPr>
      </w:pPr>
      <w:proofErr w:type="spellStart"/>
      <w:r w:rsidRPr="00194E1C">
        <w:rPr>
          <w:sz w:val="24"/>
          <w:szCs w:val="24"/>
        </w:rPr>
        <w:t>Dexamethason</w:t>
      </w:r>
      <w:proofErr w:type="spellEnd"/>
      <w:r w:rsidRPr="00194E1C">
        <w:rPr>
          <w:sz w:val="24"/>
          <w:szCs w:val="24"/>
        </w:rPr>
        <w:t xml:space="preserve"> bør ikke blandes med opløsninger indeholdende følgende aktive stoffer </w:t>
      </w:r>
      <w:proofErr w:type="spellStart"/>
      <w:r w:rsidRPr="00194E1C">
        <w:rPr>
          <w:sz w:val="24"/>
          <w:szCs w:val="24"/>
        </w:rPr>
        <w:t>daunorubicin</w:t>
      </w:r>
      <w:proofErr w:type="spellEnd"/>
      <w:r w:rsidRPr="00194E1C">
        <w:rPr>
          <w:sz w:val="24"/>
          <w:szCs w:val="24"/>
        </w:rPr>
        <w:t xml:space="preserve">, </w:t>
      </w:r>
      <w:proofErr w:type="spellStart"/>
      <w:r w:rsidRPr="00194E1C">
        <w:rPr>
          <w:sz w:val="24"/>
          <w:szCs w:val="24"/>
        </w:rPr>
        <w:t>doxorubicin</w:t>
      </w:r>
      <w:proofErr w:type="spellEnd"/>
      <w:r w:rsidRPr="00194E1C">
        <w:rPr>
          <w:sz w:val="24"/>
          <w:szCs w:val="24"/>
        </w:rPr>
        <w:t xml:space="preserve">, </w:t>
      </w:r>
      <w:proofErr w:type="spellStart"/>
      <w:r w:rsidRPr="00194E1C">
        <w:rPr>
          <w:sz w:val="24"/>
          <w:szCs w:val="24"/>
        </w:rPr>
        <w:t>vancomycin</w:t>
      </w:r>
      <w:proofErr w:type="spellEnd"/>
      <w:r w:rsidRPr="00194E1C">
        <w:rPr>
          <w:sz w:val="24"/>
          <w:szCs w:val="24"/>
        </w:rPr>
        <w:t xml:space="preserve">, </w:t>
      </w:r>
      <w:proofErr w:type="spellStart"/>
      <w:r w:rsidRPr="00194E1C">
        <w:rPr>
          <w:sz w:val="24"/>
          <w:szCs w:val="24"/>
        </w:rPr>
        <w:t>diphenhydramin</w:t>
      </w:r>
      <w:proofErr w:type="spellEnd"/>
      <w:r w:rsidRPr="00194E1C">
        <w:rPr>
          <w:sz w:val="24"/>
          <w:szCs w:val="24"/>
        </w:rPr>
        <w:t xml:space="preserve"> (med </w:t>
      </w:r>
      <w:proofErr w:type="spellStart"/>
      <w:r w:rsidRPr="00194E1C">
        <w:rPr>
          <w:sz w:val="24"/>
          <w:szCs w:val="24"/>
        </w:rPr>
        <w:t>lorazepam</w:t>
      </w:r>
      <w:proofErr w:type="spellEnd"/>
      <w:r w:rsidRPr="00194E1C">
        <w:rPr>
          <w:sz w:val="24"/>
          <w:szCs w:val="24"/>
        </w:rPr>
        <w:t xml:space="preserve"> og </w:t>
      </w:r>
      <w:proofErr w:type="spellStart"/>
      <w:r w:rsidRPr="00194E1C">
        <w:rPr>
          <w:sz w:val="24"/>
          <w:szCs w:val="24"/>
        </w:rPr>
        <w:t>metoclopramid</w:t>
      </w:r>
      <w:proofErr w:type="spellEnd"/>
      <w:r w:rsidRPr="00194E1C">
        <w:rPr>
          <w:sz w:val="24"/>
          <w:szCs w:val="24"/>
        </w:rPr>
        <w:t xml:space="preserve">) og </w:t>
      </w:r>
      <w:proofErr w:type="spellStart"/>
      <w:r w:rsidRPr="00194E1C">
        <w:rPr>
          <w:sz w:val="24"/>
          <w:szCs w:val="24"/>
        </w:rPr>
        <w:t>metaraminolbitartrat</w:t>
      </w:r>
      <w:proofErr w:type="spellEnd"/>
      <w:r w:rsidRPr="00194E1C">
        <w:rPr>
          <w:sz w:val="24"/>
          <w:szCs w:val="24"/>
        </w:rPr>
        <w:t xml:space="preserve">. Det bør desuden heller ikke bruges med doxapram og </w:t>
      </w:r>
      <w:proofErr w:type="spellStart"/>
      <w:r w:rsidRPr="00194E1C">
        <w:rPr>
          <w:sz w:val="24"/>
          <w:szCs w:val="24"/>
        </w:rPr>
        <w:t>glycopyrrolat</w:t>
      </w:r>
      <w:proofErr w:type="spellEnd"/>
      <w:r w:rsidRPr="00194E1C">
        <w:rPr>
          <w:sz w:val="24"/>
          <w:szCs w:val="24"/>
        </w:rPr>
        <w:t xml:space="preserve"> i en sprøjte, og med </w:t>
      </w:r>
      <w:proofErr w:type="spellStart"/>
      <w:r w:rsidRPr="00194E1C">
        <w:rPr>
          <w:sz w:val="24"/>
          <w:szCs w:val="24"/>
        </w:rPr>
        <w:t>ciprofloxacin</w:t>
      </w:r>
      <w:proofErr w:type="spellEnd"/>
      <w:r w:rsidRPr="00194E1C">
        <w:rPr>
          <w:sz w:val="24"/>
          <w:szCs w:val="24"/>
        </w:rPr>
        <w:t xml:space="preserve">, </w:t>
      </w:r>
      <w:proofErr w:type="spellStart"/>
      <w:r w:rsidRPr="00194E1C">
        <w:rPr>
          <w:sz w:val="24"/>
          <w:szCs w:val="24"/>
        </w:rPr>
        <w:t>idarubicin</w:t>
      </w:r>
      <w:proofErr w:type="spellEnd"/>
      <w:r w:rsidRPr="00194E1C">
        <w:rPr>
          <w:sz w:val="24"/>
          <w:szCs w:val="24"/>
        </w:rPr>
        <w:t xml:space="preserve"> og </w:t>
      </w:r>
      <w:proofErr w:type="spellStart"/>
      <w:r w:rsidRPr="00194E1C">
        <w:rPr>
          <w:sz w:val="24"/>
          <w:szCs w:val="24"/>
        </w:rPr>
        <w:t>midazolam</w:t>
      </w:r>
      <w:proofErr w:type="spellEnd"/>
      <w:r w:rsidRPr="00194E1C">
        <w:rPr>
          <w:sz w:val="24"/>
          <w:szCs w:val="24"/>
        </w:rPr>
        <w:t xml:space="preserve"> i Y-site injektioner (1:1-blanding). </w:t>
      </w:r>
    </w:p>
    <w:p w14:paraId="53F369BF" w14:textId="77777777" w:rsidR="006A69D5" w:rsidRPr="00194E1C" w:rsidRDefault="006A69D5" w:rsidP="006A69D5">
      <w:pPr>
        <w:tabs>
          <w:tab w:val="left" w:pos="851"/>
        </w:tabs>
        <w:ind w:left="851"/>
        <w:rPr>
          <w:sz w:val="24"/>
          <w:szCs w:val="24"/>
        </w:rPr>
      </w:pPr>
    </w:p>
    <w:p w14:paraId="3C2C9B74" w14:textId="77777777" w:rsidR="006A69D5" w:rsidRPr="00194E1C" w:rsidRDefault="006A69D5" w:rsidP="006A69D5">
      <w:pPr>
        <w:tabs>
          <w:tab w:val="left" w:pos="851"/>
        </w:tabs>
        <w:ind w:left="851"/>
        <w:rPr>
          <w:sz w:val="24"/>
          <w:szCs w:val="24"/>
        </w:rPr>
      </w:pPr>
      <w:r w:rsidRPr="00194E1C">
        <w:rPr>
          <w:sz w:val="24"/>
          <w:szCs w:val="24"/>
        </w:rPr>
        <w:lastRenderedPageBreak/>
        <w:t xml:space="preserve">Kompatibilitetsdata for </w:t>
      </w:r>
      <w:proofErr w:type="spellStart"/>
      <w:r w:rsidRPr="00194E1C">
        <w:rPr>
          <w:sz w:val="24"/>
          <w:szCs w:val="24"/>
        </w:rPr>
        <w:t>dexamethason</w:t>
      </w:r>
      <w:proofErr w:type="spellEnd"/>
      <w:r w:rsidRPr="00194E1C">
        <w:rPr>
          <w:sz w:val="24"/>
          <w:szCs w:val="24"/>
        </w:rPr>
        <w:t xml:space="preserve"> givet kontinuerligt over 24 timer via SC-sprøjtedriver:</w:t>
      </w:r>
    </w:p>
    <w:p w14:paraId="16548D88" w14:textId="7BB3C203" w:rsidR="006A69D5" w:rsidRPr="005B2D43" w:rsidRDefault="006A69D5" w:rsidP="005B2D43">
      <w:pPr>
        <w:pStyle w:val="Listeafsnit"/>
        <w:numPr>
          <w:ilvl w:val="0"/>
          <w:numId w:val="6"/>
        </w:numPr>
        <w:tabs>
          <w:tab w:val="left" w:pos="851"/>
        </w:tabs>
        <w:ind w:left="1134" w:hanging="283"/>
        <w:rPr>
          <w:sz w:val="24"/>
          <w:szCs w:val="24"/>
        </w:rPr>
      </w:pPr>
      <w:r w:rsidRPr="005B2D43">
        <w:rPr>
          <w:sz w:val="24"/>
          <w:szCs w:val="24"/>
        </w:rPr>
        <w:t xml:space="preserve">Kompatibel med </w:t>
      </w:r>
      <w:proofErr w:type="spellStart"/>
      <w:r w:rsidRPr="005B2D43">
        <w:rPr>
          <w:sz w:val="24"/>
          <w:szCs w:val="24"/>
        </w:rPr>
        <w:t>metoclopramid</w:t>
      </w:r>
      <w:proofErr w:type="spellEnd"/>
      <w:r w:rsidRPr="005B2D43">
        <w:rPr>
          <w:sz w:val="24"/>
          <w:szCs w:val="24"/>
        </w:rPr>
        <w:t xml:space="preserve"> og morfin</w:t>
      </w:r>
    </w:p>
    <w:p w14:paraId="44C64C75" w14:textId="2B40F098" w:rsidR="006A69D5" w:rsidRPr="005B2D43" w:rsidRDefault="006A69D5" w:rsidP="005B2D43">
      <w:pPr>
        <w:pStyle w:val="Listeafsnit"/>
        <w:numPr>
          <w:ilvl w:val="0"/>
          <w:numId w:val="6"/>
        </w:numPr>
        <w:tabs>
          <w:tab w:val="left" w:pos="851"/>
        </w:tabs>
        <w:ind w:left="1134" w:hanging="283"/>
        <w:rPr>
          <w:sz w:val="24"/>
          <w:szCs w:val="24"/>
        </w:rPr>
      </w:pPr>
      <w:r w:rsidRPr="005B2D43">
        <w:rPr>
          <w:sz w:val="24"/>
          <w:szCs w:val="24"/>
        </w:rPr>
        <w:t xml:space="preserve">Mulig inkompatibilitet med </w:t>
      </w:r>
      <w:proofErr w:type="spellStart"/>
      <w:r w:rsidRPr="005B2D43">
        <w:rPr>
          <w:sz w:val="24"/>
          <w:szCs w:val="24"/>
        </w:rPr>
        <w:t>octreotid</w:t>
      </w:r>
      <w:proofErr w:type="spellEnd"/>
      <w:r w:rsidRPr="005B2D43">
        <w:rPr>
          <w:sz w:val="24"/>
          <w:szCs w:val="24"/>
        </w:rPr>
        <w:t xml:space="preserve"> (</w:t>
      </w:r>
      <w:proofErr w:type="spellStart"/>
      <w:r w:rsidRPr="005B2D43">
        <w:rPr>
          <w:sz w:val="24"/>
          <w:szCs w:val="24"/>
        </w:rPr>
        <w:t>somatostatinanalog</w:t>
      </w:r>
      <w:proofErr w:type="spellEnd"/>
      <w:r w:rsidRPr="005B2D43">
        <w:rPr>
          <w:sz w:val="24"/>
          <w:szCs w:val="24"/>
        </w:rPr>
        <w:t>)</w:t>
      </w:r>
    </w:p>
    <w:p w14:paraId="06700B3C" w14:textId="34758590" w:rsidR="006A69D5" w:rsidRPr="005B2D43" w:rsidRDefault="006A69D5" w:rsidP="005B2D43">
      <w:pPr>
        <w:pStyle w:val="Listeafsnit"/>
        <w:numPr>
          <w:ilvl w:val="0"/>
          <w:numId w:val="6"/>
        </w:numPr>
        <w:tabs>
          <w:tab w:val="left" w:pos="851"/>
        </w:tabs>
        <w:ind w:left="1134" w:hanging="283"/>
        <w:rPr>
          <w:sz w:val="24"/>
          <w:szCs w:val="24"/>
        </w:rPr>
      </w:pPr>
      <w:r w:rsidRPr="005B2D43">
        <w:rPr>
          <w:sz w:val="24"/>
          <w:szCs w:val="24"/>
        </w:rPr>
        <w:t xml:space="preserve">Bundfald med følgende: </w:t>
      </w:r>
      <w:proofErr w:type="spellStart"/>
      <w:r w:rsidRPr="005B2D43">
        <w:rPr>
          <w:sz w:val="24"/>
          <w:szCs w:val="24"/>
        </w:rPr>
        <w:t>cyclizin</w:t>
      </w:r>
      <w:proofErr w:type="spellEnd"/>
      <w:r w:rsidRPr="005B2D43">
        <w:rPr>
          <w:sz w:val="24"/>
          <w:szCs w:val="24"/>
        </w:rPr>
        <w:t xml:space="preserve">, </w:t>
      </w:r>
      <w:proofErr w:type="spellStart"/>
      <w:r w:rsidRPr="005B2D43">
        <w:rPr>
          <w:sz w:val="24"/>
          <w:szCs w:val="24"/>
        </w:rPr>
        <w:t>midazolam</w:t>
      </w:r>
      <w:proofErr w:type="spellEnd"/>
      <w:r w:rsidRPr="005B2D43">
        <w:rPr>
          <w:sz w:val="24"/>
          <w:szCs w:val="24"/>
        </w:rPr>
        <w:t xml:space="preserve">, </w:t>
      </w:r>
      <w:proofErr w:type="spellStart"/>
      <w:r w:rsidRPr="005B2D43">
        <w:rPr>
          <w:sz w:val="24"/>
          <w:szCs w:val="24"/>
        </w:rPr>
        <w:t>haloperidol</w:t>
      </w:r>
      <w:proofErr w:type="spellEnd"/>
      <w:r w:rsidRPr="005B2D43">
        <w:rPr>
          <w:sz w:val="24"/>
          <w:szCs w:val="24"/>
        </w:rPr>
        <w:t xml:space="preserve">, </w:t>
      </w:r>
      <w:proofErr w:type="spellStart"/>
      <w:r w:rsidRPr="005B2D43">
        <w:rPr>
          <w:sz w:val="24"/>
          <w:szCs w:val="24"/>
        </w:rPr>
        <w:t>levomepromazin</w:t>
      </w:r>
      <w:proofErr w:type="spellEnd"/>
      <w:r w:rsidRPr="005B2D43">
        <w:rPr>
          <w:sz w:val="24"/>
          <w:szCs w:val="24"/>
        </w:rPr>
        <w:t>.</w:t>
      </w:r>
    </w:p>
    <w:p w14:paraId="4A548E6D" w14:textId="77777777" w:rsidR="009260DE" w:rsidRPr="00194E1C" w:rsidRDefault="009260DE" w:rsidP="009260DE">
      <w:pPr>
        <w:tabs>
          <w:tab w:val="left" w:pos="851"/>
        </w:tabs>
        <w:ind w:left="851"/>
        <w:rPr>
          <w:sz w:val="24"/>
          <w:szCs w:val="24"/>
        </w:rPr>
      </w:pPr>
    </w:p>
    <w:p w14:paraId="28E8D6BF" w14:textId="77777777" w:rsidR="009260DE" w:rsidRPr="00194E1C" w:rsidRDefault="009260DE" w:rsidP="009260DE">
      <w:pPr>
        <w:tabs>
          <w:tab w:val="left" w:pos="851"/>
        </w:tabs>
        <w:ind w:left="851" w:hanging="851"/>
        <w:rPr>
          <w:b/>
          <w:sz w:val="24"/>
          <w:szCs w:val="24"/>
        </w:rPr>
      </w:pPr>
      <w:r w:rsidRPr="00194E1C">
        <w:rPr>
          <w:b/>
          <w:sz w:val="24"/>
          <w:szCs w:val="24"/>
        </w:rPr>
        <w:t>6.3</w:t>
      </w:r>
      <w:r w:rsidRPr="00194E1C">
        <w:rPr>
          <w:b/>
          <w:sz w:val="24"/>
          <w:szCs w:val="24"/>
        </w:rPr>
        <w:tab/>
        <w:t>Opbevaringstid</w:t>
      </w:r>
    </w:p>
    <w:p w14:paraId="40E63FDB" w14:textId="4676C832" w:rsidR="006A69D5" w:rsidRPr="00194E1C" w:rsidRDefault="006A69D5" w:rsidP="006A69D5">
      <w:pPr>
        <w:tabs>
          <w:tab w:val="left" w:pos="851"/>
        </w:tabs>
        <w:ind w:left="851"/>
        <w:rPr>
          <w:sz w:val="24"/>
          <w:szCs w:val="24"/>
          <w:lang w:eastAsia="da-DK"/>
        </w:rPr>
      </w:pPr>
      <w:r w:rsidRPr="00194E1C">
        <w:rPr>
          <w:i/>
          <w:iCs/>
          <w:sz w:val="24"/>
          <w:szCs w:val="24"/>
        </w:rPr>
        <w:t>Uåbnet ampul</w:t>
      </w:r>
      <w:r w:rsidRPr="00194E1C">
        <w:rPr>
          <w:sz w:val="24"/>
          <w:szCs w:val="24"/>
        </w:rPr>
        <w:t>: 2 år</w:t>
      </w:r>
    </w:p>
    <w:p w14:paraId="5C2C7B70" w14:textId="77777777" w:rsidR="006A69D5" w:rsidRPr="00194E1C" w:rsidRDefault="006A69D5" w:rsidP="006A69D5">
      <w:pPr>
        <w:tabs>
          <w:tab w:val="left" w:pos="851"/>
        </w:tabs>
        <w:ind w:left="851"/>
        <w:rPr>
          <w:sz w:val="24"/>
          <w:szCs w:val="24"/>
        </w:rPr>
      </w:pPr>
    </w:p>
    <w:p w14:paraId="31887172" w14:textId="77777777" w:rsidR="006A69D5" w:rsidRPr="00194E1C" w:rsidRDefault="006A69D5" w:rsidP="006A69D5">
      <w:pPr>
        <w:tabs>
          <w:tab w:val="left" w:pos="851"/>
        </w:tabs>
        <w:ind w:left="851"/>
        <w:rPr>
          <w:sz w:val="24"/>
          <w:szCs w:val="24"/>
        </w:rPr>
      </w:pPr>
      <w:r w:rsidRPr="00194E1C">
        <w:rPr>
          <w:i/>
          <w:iCs/>
          <w:sz w:val="24"/>
          <w:szCs w:val="24"/>
        </w:rPr>
        <w:t>Åbnet ampul</w:t>
      </w:r>
      <w:r w:rsidRPr="00194E1C">
        <w:rPr>
          <w:sz w:val="24"/>
          <w:szCs w:val="24"/>
        </w:rPr>
        <w:t xml:space="preserve">: Produktet skal anvendes straks efter åbning. </w:t>
      </w:r>
    </w:p>
    <w:p w14:paraId="5A75029F" w14:textId="77777777" w:rsidR="006A69D5" w:rsidRPr="00194E1C" w:rsidRDefault="006A69D5" w:rsidP="006A69D5">
      <w:pPr>
        <w:tabs>
          <w:tab w:val="left" w:pos="851"/>
        </w:tabs>
        <w:ind w:left="851"/>
        <w:rPr>
          <w:sz w:val="24"/>
          <w:szCs w:val="24"/>
        </w:rPr>
      </w:pPr>
    </w:p>
    <w:p w14:paraId="55F2704B" w14:textId="77777777" w:rsidR="006A69D5" w:rsidRPr="00194E1C" w:rsidRDefault="006A69D5" w:rsidP="006A69D5">
      <w:pPr>
        <w:tabs>
          <w:tab w:val="left" w:pos="851"/>
        </w:tabs>
        <w:ind w:left="851"/>
        <w:rPr>
          <w:i/>
          <w:iCs/>
          <w:sz w:val="24"/>
          <w:szCs w:val="24"/>
        </w:rPr>
      </w:pPr>
      <w:proofErr w:type="spellStart"/>
      <w:r w:rsidRPr="00194E1C">
        <w:rPr>
          <w:i/>
          <w:iCs/>
          <w:sz w:val="24"/>
          <w:szCs w:val="24"/>
        </w:rPr>
        <w:t>Diluted</w:t>
      </w:r>
      <w:proofErr w:type="spellEnd"/>
      <w:r w:rsidRPr="00194E1C">
        <w:rPr>
          <w:i/>
          <w:iCs/>
          <w:sz w:val="24"/>
          <w:szCs w:val="24"/>
        </w:rPr>
        <w:t xml:space="preserve"> solution: </w:t>
      </w:r>
    </w:p>
    <w:p w14:paraId="50CAC19D" w14:textId="77777777" w:rsidR="006A69D5" w:rsidRPr="00194E1C" w:rsidRDefault="006A69D5" w:rsidP="006A69D5">
      <w:pPr>
        <w:tabs>
          <w:tab w:val="left" w:pos="851"/>
        </w:tabs>
        <w:ind w:left="851"/>
        <w:rPr>
          <w:sz w:val="24"/>
          <w:szCs w:val="24"/>
        </w:rPr>
      </w:pPr>
      <w:r w:rsidRPr="00194E1C">
        <w:rPr>
          <w:sz w:val="24"/>
          <w:szCs w:val="24"/>
        </w:rPr>
        <w:t>Kemisk og fysisk stabilitet ved brug er påvist i 24 timer ved 25 °C for det fortyndede produkt. Fra et mikrobiologisk synspunkt skal præparatet anvendes straks. Hvis det ikke anvendes med det samme, er opbevaringstider og -betingelser under brugerens ansvar og vil normalt ikke være længere end 24 timer ved 2 til 8 ° C, medmindre fortynding har fundet sted under kontrollerede og validerede aseptiske forhold.</w:t>
      </w:r>
    </w:p>
    <w:p w14:paraId="4E74CE8E" w14:textId="77777777" w:rsidR="009260DE" w:rsidRPr="00194E1C" w:rsidRDefault="009260DE" w:rsidP="009260DE">
      <w:pPr>
        <w:tabs>
          <w:tab w:val="left" w:pos="851"/>
        </w:tabs>
        <w:ind w:left="851"/>
        <w:rPr>
          <w:sz w:val="24"/>
          <w:szCs w:val="24"/>
        </w:rPr>
      </w:pPr>
    </w:p>
    <w:p w14:paraId="7224F5A0" w14:textId="77777777" w:rsidR="009260DE" w:rsidRPr="00194E1C" w:rsidRDefault="009260DE" w:rsidP="009260DE">
      <w:pPr>
        <w:tabs>
          <w:tab w:val="left" w:pos="851"/>
        </w:tabs>
        <w:ind w:left="851" w:hanging="851"/>
        <w:rPr>
          <w:b/>
          <w:sz w:val="24"/>
          <w:szCs w:val="24"/>
        </w:rPr>
      </w:pPr>
      <w:r w:rsidRPr="00194E1C">
        <w:rPr>
          <w:b/>
          <w:sz w:val="24"/>
          <w:szCs w:val="24"/>
        </w:rPr>
        <w:t>6.4</w:t>
      </w:r>
      <w:r w:rsidRPr="00194E1C">
        <w:rPr>
          <w:b/>
          <w:sz w:val="24"/>
          <w:szCs w:val="24"/>
        </w:rPr>
        <w:tab/>
        <w:t>Særlige opbevaringsforhold</w:t>
      </w:r>
    </w:p>
    <w:p w14:paraId="37493391" w14:textId="6AF063BB" w:rsidR="006A69D5" w:rsidRPr="00194E1C" w:rsidRDefault="006A69D5" w:rsidP="006A69D5">
      <w:pPr>
        <w:tabs>
          <w:tab w:val="left" w:pos="851"/>
        </w:tabs>
        <w:ind w:left="851"/>
        <w:rPr>
          <w:sz w:val="24"/>
          <w:szCs w:val="24"/>
          <w:lang w:eastAsia="da-DK"/>
        </w:rPr>
      </w:pPr>
      <w:r w:rsidRPr="00194E1C">
        <w:rPr>
          <w:sz w:val="24"/>
          <w:szCs w:val="24"/>
        </w:rPr>
        <w:t>Opbevares ved temperature</w:t>
      </w:r>
      <w:r w:rsidR="005B2D43">
        <w:rPr>
          <w:sz w:val="24"/>
          <w:szCs w:val="24"/>
        </w:rPr>
        <w:t>r</w:t>
      </w:r>
      <w:r w:rsidRPr="00194E1C">
        <w:rPr>
          <w:sz w:val="24"/>
          <w:szCs w:val="24"/>
        </w:rPr>
        <w:t xml:space="preserve"> under 25</w:t>
      </w:r>
      <w:r w:rsidR="005B2D43">
        <w:rPr>
          <w:sz w:val="24"/>
          <w:szCs w:val="24"/>
        </w:rPr>
        <w:t xml:space="preserve"> </w:t>
      </w:r>
      <w:r w:rsidRPr="00194E1C">
        <w:rPr>
          <w:sz w:val="24"/>
          <w:szCs w:val="24"/>
        </w:rPr>
        <w:t>°C. Må ikke fryses.</w:t>
      </w:r>
    </w:p>
    <w:p w14:paraId="0E4C184C" w14:textId="77777777" w:rsidR="006A69D5" w:rsidRPr="00194E1C" w:rsidRDefault="006A69D5" w:rsidP="006A69D5">
      <w:pPr>
        <w:tabs>
          <w:tab w:val="left" w:pos="851"/>
        </w:tabs>
        <w:ind w:left="851"/>
        <w:rPr>
          <w:sz w:val="24"/>
          <w:szCs w:val="24"/>
        </w:rPr>
      </w:pPr>
      <w:r w:rsidRPr="00194E1C">
        <w:rPr>
          <w:sz w:val="24"/>
          <w:szCs w:val="24"/>
        </w:rPr>
        <w:t>Opbevares i den originale yderpakning for at beskytte mod lys.</w:t>
      </w:r>
    </w:p>
    <w:p w14:paraId="184CCE30" w14:textId="77777777" w:rsidR="006A69D5" w:rsidRPr="00194E1C" w:rsidRDefault="006A69D5" w:rsidP="006A69D5">
      <w:pPr>
        <w:tabs>
          <w:tab w:val="left" w:pos="851"/>
        </w:tabs>
        <w:ind w:left="851"/>
        <w:rPr>
          <w:sz w:val="24"/>
          <w:szCs w:val="24"/>
        </w:rPr>
      </w:pPr>
    </w:p>
    <w:p w14:paraId="558ED237" w14:textId="77777777" w:rsidR="006A69D5" w:rsidRPr="00194E1C" w:rsidRDefault="006A69D5" w:rsidP="006A69D5">
      <w:pPr>
        <w:tabs>
          <w:tab w:val="left" w:pos="851"/>
        </w:tabs>
        <w:ind w:left="851"/>
        <w:rPr>
          <w:sz w:val="24"/>
          <w:szCs w:val="24"/>
        </w:rPr>
      </w:pPr>
      <w:r w:rsidRPr="00194E1C">
        <w:rPr>
          <w:sz w:val="24"/>
          <w:szCs w:val="24"/>
        </w:rPr>
        <w:t>Opbevaringsforhold efter åbning eller fortynding af lægemidlet, se pkt. 6.3.</w:t>
      </w:r>
    </w:p>
    <w:p w14:paraId="243F5D3B" w14:textId="77777777" w:rsidR="009260DE" w:rsidRPr="00194E1C" w:rsidRDefault="009260DE" w:rsidP="009260DE">
      <w:pPr>
        <w:tabs>
          <w:tab w:val="left" w:pos="851"/>
        </w:tabs>
        <w:ind w:left="851"/>
        <w:rPr>
          <w:sz w:val="24"/>
          <w:szCs w:val="24"/>
        </w:rPr>
      </w:pPr>
    </w:p>
    <w:p w14:paraId="2DE8739B" w14:textId="0243D111" w:rsidR="009260DE" w:rsidRPr="00194E1C" w:rsidRDefault="009260DE" w:rsidP="009260DE">
      <w:pPr>
        <w:tabs>
          <w:tab w:val="left" w:pos="851"/>
        </w:tabs>
        <w:ind w:left="851" w:hanging="851"/>
        <w:rPr>
          <w:b/>
          <w:sz w:val="24"/>
          <w:szCs w:val="24"/>
        </w:rPr>
      </w:pPr>
      <w:r w:rsidRPr="00194E1C">
        <w:rPr>
          <w:b/>
          <w:sz w:val="24"/>
          <w:szCs w:val="24"/>
        </w:rPr>
        <w:t>6.5</w:t>
      </w:r>
      <w:r w:rsidRPr="00194E1C">
        <w:rPr>
          <w:b/>
          <w:sz w:val="24"/>
          <w:szCs w:val="24"/>
        </w:rPr>
        <w:tab/>
        <w:t>Emballagetype og pakningsstørrelser</w:t>
      </w:r>
    </w:p>
    <w:p w14:paraId="0D2C1ED8" w14:textId="77777777" w:rsidR="006A69D5" w:rsidRPr="00194E1C" w:rsidRDefault="006A69D5" w:rsidP="006A69D5">
      <w:pPr>
        <w:tabs>
          <w:tab w:val="left" w:pos="851"/>
        </w:tabs>
        <w:ind w:left="851"/>
        <w:rPr>
          <w:sz w:val="24"/>
          <w:szCs w:val="24"/>
          <w:lang w:eastAsia="da-DK"/>
        </w:rPr>
      </w:pPr>
      <w:r w:rsidRPr="00194E1C">
        <w:rPr>
          <w:sz w:val="24"/>
          <w:szCs w:val="24"/>
        </w:rPr>
        <w:t xml:space="preserve">Farveløst neutralt glas </w:t>
      </w:r>
      <w:proofErr w:type="spellStart"/>
      <w:r w:rsidRPr="00194E1C">
        <w:rPr>
          <w:sz w:val="24"/>
          <w:szCs w:val="24"/>
        </w:rPr>
        <w:t>one</w:t>
      </w:r>
      <w:proofErr w:type="spellEnd"/>
      <w:r w:rsidRPr="00194E1C">
        <w:rPr>
          <w:sz w:val="24"/>
          <w:szCs w:val="24"/>
        </w:rPr>
        <w:t xml:space="preserve">-point-cut (OPC) ampuller type I, med et nominelt volumen på 1 ml eller 2 ml. </w:t>
      </w:r>
    </w:p>
    <w:p w14:paraId="70A807C0" w14:textId="77777777" w:rsidR="006A69D5" w:rsidRPr="00194E1C" w:rsidRDefault="006A69D5" w:rsidP="006A69D5">
      <w:pPr>
        <w:tabs>
          <w:tab w:val="left" w:pos="851"/>
        </w:tabs>
        <w:ind w:left="851"/>
        <w:rPr>
          <w:sz w:val="24"/>
          <w:szCs w:val="24"/>
        </w:rPr>
      </w:pPr>
      <w:r w:rsidRPr="00194E1C">
        <w:rPr>
          <w:sz w:val="24"/>
          <w:szCs w:val="24"/>
        </w:rPr>
        <w:t>Pakningsstørrelser: 5 eller 10 ampuller.</w:t>
      </w:r>
    </w:p>
    <w:p w14:paraId="793E554C" w14:textId="77777777" w:rsidR="006A69D5" w:rsidRPr="00194E1C" w:rsidRDefault="006A69D5" w:rsidP="006A69D5">
      <w:pPr>
        <w:tabs>
          <w:tab w:val="left" w:pos="851"/>
        </w:tabs>
        <w:ind w:left="851"/>
        <w:rPr>
          <w:sz w:val="24"/>
          <w:szCs w:val="24"/>
        </w:rPr>
      </w:pPr>
    </w:p>
    <w:p w14:paraId="675B2AE2" w14:textId="77777777" w:rsidR="006A69D5" w:rsidRPr="00194E1C" w:rsidRDefault="006A69D5" w:rsidP="006A69D5">
      <w:pPr>
        <w:tabs>
          <w:tab w:val="left" w:pos="851"/>
        </w:tabs>
        <w:ind w:left="851"/>
        <w:rPr>
          <w:sz w:val="24"/>
          <w:szCs w:val="24"/>
        </w:rPr>
      </w:pPr>
      <w:r w:rsidRPr="00194E1C">
        <w:rPr>
          <w:sz w:val="24"/>
          <w:szCs w:val="24"/>
        </w:rPr>
        <w:t>Ikke alle pakningsstørrelser er nødvendigvis markedsført.</w:t>
      </w:r>
    </w:p>
    <w:p w14:paraId="45616B91" w14:textId="77777777" w:rsidR="009260DE" w:rsidRPr="00194E1C" w:rsidRDefault="009260DE" w:rsidP="009260DE">
      <w:pPr>
        <w:tabs>
          <w:tab w:val="left" w:pos="851"/>
        </w:tabs>
        <w:ind w:left="851"/>
        <w:rPr>
          <w:sz w:val="24"/>
          <w:szCs w:val="24"/>
        </w:rPr>
      </w:pPr>
    </w:p>
    <w:p w14:paraId="45686CEC" w14:textId="5F374E1A" w:rsidR="009260DE" w:rsidRPr="00194E1C" w:rsidRDefault="009260DE" w:rsidP="009260DE">
      <w:pPr>
        <w:tabs>
          <w:tab w:val="left" w:pos="851"/>
        </w:tabs>
        <w:ind w:left="851" w:hanging="851"/>
        <w:rPr>
          <w:b/>
          <w:sz w:val="24"/>
          <w:szCs w:val="24"/>
        </w:rPr>
      </w:pPr>
      <w:r w:rsidRPr="00194E1C">
        <w:rPr>
          <w:b/>
          <w:sz w:val="24"/>
          <w:szCs w:val="24"/>
        </w:rPr>
        <w:t>6.6</w:t>
      </w:r>
      <w:r w:rsidRPr="00194E1C">
        <w:rPr>
          <w:b/>
          <w:sz w:val="24"/>
          <w:szCs w:val="24"/>
        </w:rPr>
        <w:tab/>
        <w:t xml:space="preserve">Regler for </w:t>
      </w:r>
      <w:r w:rsidR="00580E8E">
        <w:rPr>
          <w:b/>
          <w:sz w:val="24"/>
          <w:szCs w:val="24"/>
        </w:rPr>
        <w:t>bortskaffelse</w:t>
      </w:r>
      <w:r w:rsidRPr="00194E1C">
        <w:rPr>
          <w:b/>
          <w:sz w:val="24"/>
          <w:szCs w:val="24"/>
        </w:rPr>
        <w:t xml:space="preserve"> og anden håndtering</w:t>
      </w:r>
    </w:p>
    <w:p w14:paraId="367692AF" w14:textId="208DF352" w:rsidR="006A69D5" w:rsidRPr="00194E1C" w:rsidRDefault="006A69D5" w:rsidP="006A69D5">
      <w:pPr>
        <w:tabs>
          <w:tab w:val="left" w:pos="851"/>
        </w:tabs>
        <w:ind w:left="851"/>
        <w:rPr>
          <w:sz w:val="24"/>
          <w:szCs w:val="24"/>
          <w:lang w:eastAsia="da-DK"/>
        </w:rPr>
      </w:pPr>
      <w:r w:rsidRPr="00194E1C">
        <w:rPr>
          <w:sz w:val="24"/>
          <w:szCs w:val="24"/>
        </w:rPr>
        <w:t xml:space="preserve">Når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gives ved intravenøs infusion, anbefales glukose 5 %, </w:t>
      </w:r>
      <w:proofErr w:type="spellStart"/>
      <w:r w:rsidRPr="00194E1C">
        <w:rPr>
          <w:sz w:val="24"/>
          <w:szCs w:val="24"/>
        </w:rPr>
        <w:t>natriumchlorid</w:t>
      </w:r>
      <w:proofErr w:type="spellEnd"/>
      <w:r w:rsidRPr="00194E1C">
        <w:rPr>
          <w:sz w:val="24"/>
          <w:szCs w:val="24"/>
        </w:rPr>
        <w:t xml:space="preserve"> 0,9 % og Ringers opløsning som solvens. Den nøjagtige koncentration af </w:t>
      </w:r>
      <w:proofErr w:type="spellStart"/>
      <w:r w:rsidRPr="00194E1C">
        <w:rPr>
          <w:sz w:val="24"/>
          <w:szCs w:val="24"/>
        </w:rPr>
        <w:t>dexamethason</w:t>
      </w:r>
      <w:proofErr w:type="spellEnd"/>
      <w:r w:rsidRPr="00194E1C">
        <w:rPr>
          <w:sz w:val="24"/>
          <w:szCs w:val="24"/>
        </w:rPr>
        <w:t xml:space="preserve"> pr. infusionsbeholder skal bestemmes af den ønskede dosis, patientens væskeindtag og den nødvendige dråbehastighed.</w:t>
      </w:r>
    </w:p>
    <w:p w14:paraId="7DE608BB" w14:textId="77777777" w:rsidR="006A69D5" w:rsidRPr="00194E1C" w:rsidRDefault="006A69D5" w:rsidP="006A69D5">
      <w:pPr>
        <w:tabs>
          <w:tab w:val="left" w:pos="851"/>
        </w:tabs>
        <w:ind w:left="851"/>
        <w:rPr>
          <w:sz w:val="24"/>
          <w:szCs w:val="24"/>
        </w:rPr>
      </w:pPr>
    </w:p>
    <w:p w14:paraId="7CE9E0DF" w14:textId="55B2A6E9" w:rsidR="006A69D5" w:rsidRPr="00194E1C" w:rsidRDefault="006A69D5" w:rsidP="006A69D5">
      <w:pPr>
        <w:tabs>
          <w:tab w:val="left" w:pos="851"/>
        </w:tabs>
        <w:ind w:left="851"/>
        <w:rPr>
          <w:sz w:val="24"/>
          <w:szCs w:val="24"/>
        </w:rPr>
      </w:pPr>
      <w:r w:rsidRPr="00194E1C">
        <w:rPr>
          <w:sz w:val="24"/>
          <w:szCs w:val="24"/>
        </w:rPr>
        <w:t xml:space="preserve">Ved palliativ behandling kan </w:t>
      </w:r>
      <w:proofErr w:type="spellStart"/>
      <w:r w:rsidRPr="00194E1C">
        <w:rPr>
          <w:sz w:val="24"/>
          <w:szCs w:val="24"/>
        </w:rPr>
        <w:t>Dexamethasone</w:t>
      </w:r>
      <w:proofErr w:type="spellEnd"/>
      <w:r w:rsidRPr="00194E1C">
        <w:rPr>
          <w:sz w:val="24"/>
          <w:szCs w:val="24"/>
        </w:rPr>
        <w:t xml:space="preserve"> </w:t>
      </w:r>
      <w:proofErr w:type="spellStart"/>
      <w:r w:rsidRPr="00194E1C">
        <w:rPr>
          <w:sz w:val="24"/>
          <w:szCs w:val="24"/>
        </w:rPr>
        <w:t>phosphate</w:t>
      </w:r>
      <w:proofErr w:type="spellEnd"/>
      <w:r w:rsidRPr="00194E1C">
        <w:rPr>
          <w:sz w:val="24"/>
          <w:szCs w:val="24"/>
        </w:rPr>
        <w:t xml:space="preserve"> </w:t>
      </w:r>
      <w:r w:rsidR="00EB489F">
        <w:rPr>
          <w:sz w:val="24"/>
          <w:szCs w:val="24"/>
        </w:rPr>
        <w:t>"</w:t>
      </w:r>
      <w:proofErr w:type="spellStart"/>
      <w:r w:rsidR="00EB489F">
        <w:rPr>
          <w:sz w:val="24"/>
          <w:szCs w:val="24"/>
        </w:rPr>
        <w:t>hameln</w:t>
      </w:r>
      <w:proofErr w:type="spellEnd"/>
      <w:r w:rsidR="00EB489F">
        <w:rPr>
          <w:sz w:val="24"/>
          <w:szCs w:val="24"/>
        </w:rPr>
        <w:t>"</w:t>
      </w:r>
      <w:r w:rsidRPr="00194E1C">
        <w:rPr>
          <w:sz w:val="24"/>
          <w:szCs w:val="24"/>
        </w:rPr>
        <w:t xml:space="preserve"> fortyndes med </w:t>
      </w:r>
      <w:proofErr w:type="spellStart"/>
      <w:r w:rsidRPr="00194E1C">
        <w:rPr>
          <w:sz w:val="24"/>
          <w:szCs w:val="24"/>
        </w:rPr>
        <w:t>natriumchlorid</w:t>
      </w:r>
      <w:proofErr w:type="spellEnd"/>
      <w:r w:rsidRPr="00194E1C">
        <w:rPr>
          <w:sz w:val="24"/>
          <w:szCs w:val="24"/>
        </w:rPr>
        <w:t>, og administreres ved kontinuerlig subkutan infusion (CSCI).</w:t>
      </w:r>
    </w:p>
    <w:p w14:paraId="3364BD6E" w14:textId="77777777" w:rsidR="006A69D5" w:rsidRPr="00194E1C" w:rsidRDefault="006A69D5" w:rsidP="006A69D5">
      <w:pPr>
        <w:tabs>
          <w:tab w:val="left" w:pos="851"/>
        </w:tabs>
        <w:ind w:left="851"/>
        <w:rPr>
          <w:sz w:val="24"/>
          <w:szCs w:val="24"/>
        </w:rPr>
      </w:pPr>
    </w:p>
    <w:p w14:paraId="3AC3E686" w14:textId="77777777" w:rsidR="006A69D5" w:rsidRPr="00194E1C" w:rsidRDefault="006A69D5" w:rsidP="006A69D5">
      <w:pPr>
        <w:tabs>
          <w:tab w:val="left" w:pos="851"/>
        </w:tabs>
        <w:ind w:left="851"/>
        <w:rPr>
          <w:sz w:val="24"/>
          <w:szCs w:val="24"/>
        </w:rPr>
      </w:pPr>
      <w:r w:rsidRPr="00194E1C">
        <w:rPr>
          <w:sz w:val="24"/>
          <w:szCs w:val="24"/>
        </w:rPr>
        <w:t>Opløsningen skal inspiceres visuelt inden brug. Kun klar opløsning bør anvendes. Må ikke anvendes, hvis opløsningen er uklar eller indeholder partikler.</w:t>
      </w:r>
    </w:p>
    <w:p w14:paraId="086F7A0D" w14:textId="77777777" w:rsidR="006A69D5" w:rsidRPr="00194E1C" w:rsidRDefault="006A69D5" w:rsidP="006A69D5">
      <w:pPr>
        <w:tabs>
          <w:tab w:val="left" w:pos="851"/>
        </w:tabs>
        <w:ind w:left="851"/>
        <w:rPr>
          <w:sz w:val="24"/>
          <w:szCs w:val="24"/>
        </w:rPr>
      </w:pPr>
      <w:r w:rsidRPr="00194E1C">
        <w:rPr>
          <w:sz w:val="24"/>
          <w:szCs w:val="24"/>
        </w:rPr>
        <w:t xml:space="preserve">Kun til engangsbrug. </w:t>
      </w:r>
    </w:p>
    <w:p w14:paraId="37A9F042" w14:textId="77777777" w:rsidR="006A69D5" w:rsidRPr="00194E1C" w:rsidRDefault="006A69D5" w:rsidP="006A69D5">
      <w:pPr>
        <w:tabs>
          <w:tab w:val="left" w:pos="851"/>
        </w:tabs>
        <w:ind w:left="851"/>
        <w:rPr>
          <w:sz w:val="24"/>
          <w:szCs w:val="24"/>
        </w:rPr>
      </w:pPr>
    </w:p>
    <w:p w14:paraId="0D72DBE9" w14:textId="6225E941" w:rsidR="006A69D5" w:rsidRPr="00194E1C" w:rsidRDefault="00B73624" w:rsidP="006A69D5">
      <w:pPr>
        <w:tabs>
          <w:tab w:val="left" w:pos="851"/>
        </w:tabs>
        <w:ind w:left="851"/>
        <w:rPr>
          <w:sz w:val="24"/>
          <w:szCs w:val="24"/>
        </w:rPr>
      </w:pPr>
      <w:r>
        <w:rPr>
          <w:sz w:val="24"/>
          <w:szCs w:val="24"/>
        </w:rPr>
        <w:t>Dette lægemiddel kan udgøre en risiko for miljøet.</w:t>
      </w:r>
      <w:r>
        <w:t xml:space="preserve"> </w:t>
      </w:r>
      <w:r w:rsidR="006A69D5" w:rsidRPr="00194E1C">
        <w:rPr>
          <w:sz w:val="24"/>
          <w:szCs w:val="24"/>
        </w:rPr>
        <w:t>Ikke anvendt lægemiddel samt affald heraf skal bortskaffes i henhold til lokale retningslinjer.</w:t>
      </w:r>
    </w:p>
    <w:p w14:paraId="4D674D23" w14:textId="77777777" w:rsidR="009260DE" w:rsidRPr="00194E1C" w:rsidRDefault="009260DE" w:rsidP="000730CA">
      <w:pPr>
        <w:tabs>
          <w:tab w:val="left" w:pos="851"/>
        </w:tabs>
        <w:ind w:left="851"/>
        <w:rPr>
          <w:sz w:val="24"/>
          <w:szCs w:val="24"/>
        </w:rPr>
      </w:pPr>
    </w:p>
    <w:p w14:paraId="0F070B57" w14:textId="77777777" w:rsidR="009260DE" w:rsidRPr="00194E1C" w:rsidRDefault="009260DE" w:rsidP="009260DE">
      <w:pPr>
        <w:tabs>
          <w:tab w:val="left" w:pos="851"/>
        </w:tabs>
        <w:ind w:left="851" w:hanging="851"/>
        <w:rPr>
          <w:b/>
          <w:sz w:val="24"/>
          <w:szCs w:val="24"/>
        </w:rPr>
      </w:pPr>
      <w:r w:rsidRPr="00194E1C">
        <w:rPr>
          <w:b/>
          <w:sz w:val="24"/>
          <w:szCs w:val="24"/>
        </w:rPr>
        <w:t>7.</w:t>
      </w:r>
      <w:r w:rsidRPr="00194E1C">
        <w:rPr>
          <w:b/>
          <w:sz w:val="24"/>
          <w:szCs w:val="24"/>
        </w:rPr>
        <w:tab/>
        <w:t>INDEHAVER AF MARKEDSFØRINGSTILLADELSEN</w:t>
      </w:r>
    </w:p>
    <w:p w14:paraId="3851E283" w14:textId="77777777" w:rsidR="006A69D5" w:rsidRPr="00194E1C" w:rsidRDefault="006A69D5" w:rsidP="006A69D5">
      <w:pPr>
        <w:tabs>
          <w:tab w:val="left" w:pos="851"/>
        </w:tabs>
        <w:ind w:left="851"/>
        <w:rPr>
          <w:sz w:val="24"/>
          <w:szCs w:val="24"/>
          <w:lang w:eastAsia="da-DK"/>
        </w:rPr>
      </w:pPr>
      <w:proofErr w:type="spellStart"/>
      <w:r w:rsidRPr="00194E1C">
        <w:rPr>
          <w:sz w:val="24"/>
          <w:szCs w:val="24"/>
        </w:rPr>
        <w:t>hameln</w:t>
      </w:r>
      <w:proofErr w:type="spellEnd"/>
      <w:r w:rsidRPr="00194E1C">
        <w:rPr>
          <w:sz w:val="24"/>
          <w:szCs w:val="24"/>
        </w:rPr>
        <w:t xml:space="preserve"> </w:t>
      </w:r>
      <w:proofErr w:type="spellStart"/>
      <w:r w:rsidRPr="00194E1C">
        <w:rPr>
          <w:sz w:val="24"/>
          <w:szCs w:val="24"/>
        </w:rPr>
        <w:t>pharma</w:t>
      </w:r>
      <w:proofErr w:type="spellEnd"/>
      <w:r w:rsidRPr="00194E1C">
        <w:rPr>
          <w:sz w:val="24"/>
          <w:szCs w:val="24"/>
        </w:rPr>
        <w:t xml:space="preserve"> </w:t>
      </w:r>
      <w:proofErr w:type="spellStart"/>
      <w:r w:rsidRPr="00194E1C">
        <w:rPr>
          <w:sz w:val="24"/>
          <w:szCs w:val="24"/>
        </w:rPr>
        <w:t>gmbh</w:t>
      </w:r>
      <w:proofErr w:type="spellEnd"/>
    </w:p>
    <w:p w14:paraId="386B9A00" w14:textId="77777777" w:rsidR="006A69D5" w:rsidRPr="00194E1C" w:rsidRDefault="006A69D5" w:rsidP="006A69D5">
      <w:pPr>
        <w:tabs>
          <w:tab w:val="left" w:pos="851"/>
        </w:tabs>
        <w:ind w:left="851"/>
        <w:rPr>
          <w:sz w:val="24"/>
          <w:szCs w:val="24"/>
        </w:rPr>
      </w:pPr>
      <w:proofErr w:type="spellStart"/>
      <w:r w:rsidRPr="00194E1C">
        <w:rPr>
          <w:sz w:val="24"/>
          <w:szCs w:val="24"/>
        </w:rPr>
        <w:t>Inselstraße</w:t>
      </w:r>
      <w:proofErr w:type="spellEnd"/>
      <w:r w:rsidRPr="00194E1C">
        <w:rPr>
          <w:sz w:val="24"/>
          <w:szCs w:val="24"/>
        </w:rPr>
        <w:t xml:space="preserve"> 1</w:t>
      </w:r>
    </w:p>
    <w:p w14:paraId="12FFC6BF" w14:textId="77777777" w:rsidR="006A69D5" w:rsidRPr="00194E1C" w:rsidRDefault="006A69D5" w:rsidP="006A69D5">
      <w:pPr>
        <w:tabs>
          <w:tab w:val="left" w:pos="851"/>
        </w:tabs>
        <w:ind w:left="851"/>
        <w:rPr>
          <w:sz w:val="24"/>
          <w:szCs w:val="24"/>
        </w:rPr>
      </w:pPr>
      <w:r w:rsidRPr="00194E1C">
        <w:rPr>
          <w:sz w:val="24"/>
          <w:szCs w:val="24"/>
        </w:rPr>
        <w:t>31787 Hameln</w:t>
      </w:r>
    </w:p>
    <w:p w14:paraId="79785191" w14:textId="77777777" w:rsidR="006A69D5" w:rsidRPr="00194E1C" w:rsidRDefault="006A69D5" w:rsidP="006A69D5">
      <w:pPr>
        <w:tabs>
          <w:tab w:val="left" w:pos="851"/>
        </w:tabs>
        <w:ind w:left="851"/>
        <w:rPr>
          <w:sz w:val="24"/>
          <w:szCs w:val="24"/>
        </w:rPr>
      </w:pPr>
      <w:r w:rsidRPr="00194E1C">
        <w:rPr>
          <w:sz w:val="24"/>
          <w:szCs w:val="24"/>
        </w:rPr>
        <w:lastRenderedPageBreak/>
        <w:t>Tyskland</w:t>
      </w:r>
    </w:p>
    <w:p w14:paraId="17DE331F" w14:textId="77777777" w:rsidR="006A69D5" w:rsidRPr="00194E1C" w:rsidRDefault="006A69D5" w:rsidP="006A69D5">
      <w:pPr>
        <w:tabs>
          <w:tab w:val="left" w:pos="851"/>
        </w:tabs>
        <w:ind w:left="851"/>
        <w:rPr>
          <w:sz w:val="24"/>
          <w:szCs w:val="24"/>
        </w:rPr>
      </w:pPr>
    </w:p>
    <w:p w14:paraId="425BE116" w14:textId="77777777" w:rsidR="006A69D5" w:rsidRPr="00194E1C" w:rsidRDefault="006A69D5" w:rsidP="006A69D5">
      <w:pPr>
        <w:tabs>
          <w:tab w:val="left" w:pos="851"/>
        </w:tabs>
        <w:ind w:left="851"/>
        <w:rPr>
          <w:b/>
          <w:bCs/>
          <w:sz w:val="24"/>
          <w:szCs w:val="24"/>
        </w:rPr>
      </w:pPr>
      <w:r w:rsidRPr="00194E1C">
        <w:rPr>
          <w:b/>
          <w:bCs/>
          <w:sz w:val="24"/>
          <w:szCs w:val="24"/>
        </w:rPr>
        <w:t>Repræsentant</w:t>
      </w:r>
    </w:p>
    <w:p w14:paraId="59D6E501" w14:textId="77777777" w:rsidR="006A69D5" w:rsidRPr="00194E1C" w:rsidRDefault="006A69D5" w:rsidP="006A69D5">
      <w:pPr>
        <w:tabs>
          <w:tab w:val="left" w:pos="851"/>
        </w:tabs>
        <w:ind w:left="851"/>
        <w:rPr>
          <w:sz w:val="24"/>
          <w:szCs w:val="24"/>
        </w:rPr>
      </w:pPr>
      <w:proofErr w:type="spellStart"/>
      <w:r w:rsidRPr="00194E1C">
        <w:rPr>
          <w:sz w:val="24"/>
          <w:szCs w:val="24"/>
        </w:rPr>
        <w:t>hameln</w:t>
      </w:r>
      <w:proofErr w:type="spellEnd"/>
      <w:r w:rsidRPr="00194E1C">
        <w:rPr>
          <w:sz w:val="24"/>
          <w:szCs w:val="24"/>
        </w:rPr>
        <w:t xml:space="preserve"> </w:t>
      </w:r>
      <w:proofErr w:type="spellStart"/>
      <w:r w:rsidRPr="00194E1C">
        <w:rPr>
          <w:sz w:val="24"/>
          <w:szCs w:val="24"/>
        </w:rPr>
        <w:t>pharma</w:t>
      </w:r>
      <w:proofErr w:type="spellEnd"/>
      <w:r w:rsidRPr="00194E1C">
        <w:rPr>
          <w:sz w:val="24"/>
          <w:szCs w:val="24"/>
        </w:rPr>
        <w:t xml:space="preserve"> ApS</w:t>
      </w:r>
    </w:p>
    <w:p w14:paraId="241C334D" w14:textId="77777777" w:rsidR="006A69D5" w:rsidRPr="00194E1C" w:rsidRDefault="006A69D5" w:rsidP="006A69D5">
      <w:pPr>
        <w:tabs>
          <w:tab w:val="left" w:pos="851"/>
        </w:tabs>
        <w:ind w:left="851"/>
        <w:rPr>
          <w:sz w:val="24"/>
          <w:szCs w:val="24"/>
        </w:rPr>
      </w:pPr>
      <w:r w:rsidRPr="00194E1C">
        <w:rPr>
          <w:sz w:val="24"/>
          <w:szCs w:val="24"/>
        </w:rPr>
        <w:t>Naverland 22</w:t>
      </w:r>
    </w:p>
    <w:p w14:paraId="68E8E5F0" w14:textId="77777777" w:rsidR="006A69D5" w:rsidRPr="00194E1C" w:rsidRDefault="006A69D5" w:rsidP="006A69D5">
      <w:pPr>
        <w:tabs>
          <w:tab w:val="left" w:pos="851"/>
        </w:tabs>
        <w:ind w:left="851"/>
        <w:rPr>
          <w:sz w:val="24"/>
          <w:szCs w:val="24"/>
        </w:rPr>
      </w:pPr>
      <w:r w:rsidRPr="00194E1C">
        <w:rPr>
          <w:sz w:val="24"/>
          <w:szCs w:val="24"/>
        </w:rPr>
        <w:t>2600 Glostrup</w:t>
      </w:r>
    </w:p>
    <w:p w14:paraId="7874D670" w14:textId="77777777" w:rsidR="009260DE" w:rsidRPr="00194E1C" w:rsidRDefault="009260DE" w:rsidP="009260DE">
      <w:pPr>
        <w:tabs>
          <w:tab w:val="left" w:pos="851"/>
        </w:tabs>
        <w:ind w:left="851"/>
        <w:rPr>
          <w:sz w:val="24"/>
          <w:szCs w:val="24"/>
        </w:rPr>
      </w:pPr>
    </w:p>
    <w:p w14:paraId="3553828C" w14:textId="67BC2AC9" w:rsidR="009260DE" w:rsidRPr="00194E1C" w:rsidRDefault="009260DE" w:rsidP="009260DE">
      <w:pPr>
        <w:tabs>
          <w:tab w:val="left" w:pos="851"/>
        </w:tabs>
        <w:ind w:left="851" w:hanging="851"/>
        <w:rPr>
          <w:b/>
          <w:sz w:val="24"/>
          <w:szCs w:val="24"/>
        </w:rPr>
      </w:pPr>
      <w:r w:rsidRPr="00194E1C">
        <w:rPr>
          <w:b/>
          <w:sz w:val="24"/>
          <w:szCs w:val="24"/>
        </w:rPr>
        <w:t>8.</w:t>
      </w:r>
      <w:r w:rsidRPr="00194E1C">
        <w:rPr>
          <w:b/>
          <w:sz w:val="24"/>
          <w:szCs w:val="24"/>
        </w:rPr>
        <w:tab/>
        <w:t>MARKEDSFØRINGSTILLADELSESNUMMER (</w:t>
      </w:r>
      <w:r w:rsidR="00580E8E">
        <w:rPr>
          <w:b/>
          <w:sz w:val="24"/>
          <w:szCs w:val="24"/>
        </w:rPr>
        <w:t>-</w:t>
      </w:r>
      <w:r w:rsidRPr="00194E1C">
        <w:rPr>
          <w:b/>
          <w:sz w:val="24"/>
          <w:szCs w:val="24"/>
        </w:rPr>
        <w:t>NUMRE)</w:t>
      </w:r>
    </w:p>
    <w:p w14:paraId="5FC3F213" w14:textId="01D308AC" w:rsidR="009260DE" w:rsidRPr="00194E1C" w:rsidRDefault="006A69D5" w:rsidP="009260DE">
      <w:pPr>
        <w:tabs>
          <w:tab w:val="left" w:pos="851"/>
        </w:tabs>
        <w:ind w:left="851"/>
        <w:rPr>
          <w:sz w:val="24"/>
          <w:szCs w:val="24"/>
        </w:rPr>
      </w:pPr>
      <w:r w:rsidRPr="00194E1C">
        <w:rPr>
          <w:sz w:val="24"/>
          <w:szCs w:val="24"/>
        </w:rPr>
        <w:t>62831</w:t>
      </w:r>
    </w:p>
    <w:p w14:paraId="7B2AAC19" w14:textId="77777777" w:rsidR="009260DE" w:rsidRPr="00194E1C" w:rsidRDefault="009260DE" w:rsidP="009260DE">
      <w:pPr>
        <w:tabs>
          <w:tab w:val="left" w:pos="851"/>
        </w:tabs>
        <w:ind w:left="851"/>
        <w:jc w:val="both"/>
        <w:rPr>
          <w:sz w:val="24"/>
          <w:szCs w:val="24"/>
        </w:rPr>
      </w:pPr>
    </w:p>
    <w:p w14:paraId="2F193C2F" w14:textId="77777777" w:rsidR="009260DE" w:rsidRPr="00194E1C" w:rsidRDefault="009260DE" w:rsidP="009260DE">
      <w:pPr>
        <w:tabs>
          <w:tab w:val="left" w:pos="851"/>
        </w:tabs>
        <w:ind w:left="851" w:hanging="851"/>
        <w:rPr>
          <w:b/>
          <w:sz w:val="24"/>
          <w:szCs w:val="24"/>
        </w:rPr>
      </w:pPr>
      <w:r w:rsidRPr="00194E1C">
        <w:rPr>
          <w:b/>
          <w:sz w:val="24"/>
          <w:szCs w:val="24"/>
        </w:rPr>
        <w:t>9.</w:t>
      </w:r>
      <w:r w:rsidRPr="00194E1C">
        <w:rPr>
          <w:b/>
          <w:sz w:val="24"/>
          <w:szCs w:val="24"/>
        </w:rPr>
        <w:tab/>
        <w:t>DATO FOR FØRSTE MARKEDSFØRINGSTILLADELSE</w:t>
      </w:r>
    </w:p>
    <w:p w14:paraId="7626AFB6" w14:textId="080A2CC9" w:rsidR="009260DE" w:rsidRPr="00194E1C" w:rsidRDefault="008E36E3" w:rsidP="009260DE">
      <w:pPr>
        <w:tabs>
          <w:tab w:val="left" w:pos="851"/>
        </w:tabs>
        <w:ind w:left="851"/>
        <w:rPr>
          <w:sz w:val="24"/>
          <w:szCs w:val="24"/>
        </w:rPr>
      </w:pPr>
      <w:r>
        <w:rPr>
          <w:sz w:val="24"/>
          <w:szCs w:val="24"/>
        </w:rPr>
        <w:t>9. november 2021</w:t>
      </w:r>
    </w:p>
    <w:p w14:paraId="452FD4C0" w14:textId="77777777" w:rsidR="009260DE" w:rsidRPr="00194E1C" w:rsidRDefault="009260DE" w:rsidP="009260DE">
      <w:pPr>
        <w:tabs>
          <w:tab w:val="left" w:pos="851"/>
        </w:tabs>
        <w:ind w:left="851"/>
        <w:rPr>
          <w:sz w:val="24"/>
          <w:szCs w:val="24"/>
        </w:rPr>
      </w:pPr>
    </w:p>
    <w:p w14:paraId="57019880" w14:textId="77777777" w:rsidR="009260DE" w:rsidRPr="00194E1C" w:rsidRDefault="009260DE" w:rsidP="009260DE">
      <w:pPr>
        <w:tabs>
          <w:tab w:val="left" w:pos="851"/>
        </w:tabs>
        <w:ind w:left="851" w:hanging="851"/>
        <w:rPr>
          <w:b/>
          <w:sz w:val="24"/>
          <w:szCs w:val="24"/>
        </w:rPr>
      </w:pPr>
      <w:r w:rsidRPr="00194E1C">
        <w:rPr>
          <w:b/>
          <w:sz w:val="24"/>
          <w:szCs w:val="24"/>
        </w:rPr>
        <w:t>10.</w:t>
      </w:r>
      <w:r w:rsidRPr="00194E1C">
        <w:rPr>
          <w:b/>
          <w:sz w:val="24"/>
          <w:szCs w:val="24"/>
        </w:rPr>
        <w:tab/>
        <w:t>DATO FOR ÆNDRING AF TEKSTEN</w:t>
      </w:r>
    </w:p>
    <w:p w14:paraId="73443CAA" w14:textId="0E99A624" w:rsidR="009260DE" w:rsidRPr="00194E1C" w:rsidRDefault="00B73624" w:rsidP="009260DE">
      <w:pPr>
        <w:tabs>
          <w:tab w:val="left" w:pos="851"/>
        </w:tabs>
        <w:ind w:left="851"/>
        <w:rPr>
          <w:sz w:val="24"/>
          <w:szCs w:val="24"/>
        </w:rPr>
      </w:pPr>
      <w:r>
        <w:rPr>
          <w:sz w:val="24"/>
          <w:szCs w:val="24"/>
        </w:rPr>
        <w:t>2</w:t>
      </w:r>
      <w:r w:rsidR="00D75703">
        <w:rPr>
          <w:sz w:val="24"/>
          <w:szCs w:val="24"/>
        </w:rPr>
        <w:t xml:space="preserve">. </w:t>
      </w:r>
      <w:r>
        <w:rPr>
          <w:sz w:val="24"/>
          <w:szCs w:val="24"/>
        </w:rPr>
        <w:t>dece</w:t>
      </w:r>
      <w:r w:rsidR="00AA64D1">
        <w:rPr>
          <w:sz w:val="24"/>
          <w:szCs w:val="24"/>
        </w:rPr>
        <w:t xml:space="preserve">mber </w:t>
      </w:r>
      <w:r w:rsidR="00D75703">
        <w:rPr>
          <w:sz w:val="24"/>
          <w:szCs w:val="24"/>
        </w:rPr>
        <w:t>202</w:t>
      </w:r>
      <w:r w:rsidR="00AA64D1">
        <w:rPr>
          <w:sz w:val="24"/>
          <w:szCs w:val="24"/>
        </w:rPr>
        <w:t>4</w:t>
      </w:r>
      <w:bookmarkStart w:id="0" w:name="_GoBack"/>
      <w:bookmarkEnd w:id="0"/>
    </w:p>
    <w:sectPr w:rsidR="009260DE" w:rsidRPr="00194E1C"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B3E82" w14:textId="77777777" w:rsidR="00357B67" w:rsidRDefault="00357B67">
      <w:r>
        <w:separator/>
      </w:r>
    </w:p>
  </w:endnote>
  <w:endnote w:type="continuationSeparator" w:id="0">
    <w:p w14:paraId="1237E8C5" w14:textId="77777777" w:rsidR="00357B67" w:rsidRDefault="0035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3380" w14:textId="77777777" w:rsidR="00357B67" w:rsidRDefault="00357B67">
    <w:pPr>
      <w:pStyle w:val="Sidefod"/>
      <w:pBdr>
        <w:bottom w:val="single" w:sz="6" w:space="1" w:color="auto"/>
      </w:pBdr>
    </w:pPr>
  </w:p>
  <w:p w14:paraId="3D1EB687" w14:textId="77777777" w:rsidR="00357B67" w:rsidRDefault="00357B67" w:rsidP="00C42586">
    <w:pPr>
      <w:pStyle w:val="Sidefod"/>
      <w:tabs>
        <w:tab w:val="clear" w:pos="4819"/>
        <w:tab w:val="left" w:pos="8505"/>
      </w:tabs>
      <w:rPr>
        <w:i/>
        <w:sz w:val="18"/>
        <w:szCs w:val="18"/>
      </w:rPr>
    </w:pPr>
  </w:p>
  <w:p w14:paraId="5E4D2AA3" w14:textId="75D2EDB5" w:rsidR="00357B67" w:rsidRPr="00B373D7" w:rsidRDefault="00357B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Dexamethasone phosphate hameln, injektionsvæske, opløsning 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6733" w14:textId="77777777" w:rsidR="00357B67" w:rsidRDefault="00357B67">
      <w:r>
        <w:separator/>
      </w:r>
    </w:p>
  </w:footnote>
  <w:footnote w:type="continuationSeparator" w:id="0">
    <w:p w14:paraId="68E52004" w14:textId="77777777" w:rsidR="00357B67" w:rsidRDefault="00357B67">
      <w:r>
        <w:continuationSeparator/>
      </w:r>
    </w:p>
  </w:footnote>
  <w:footnote w:id="1">
    <w:p w14:paraId="436FE857" w14:textId="77777777" w:rsidR="00357B67" w:rsidRDefault="00357B67" w:rsidP="006E4003">
      <w:pPr>
        <w:pStyle w:val="Fodnotetekst"/>
        <w:rPr>
          <w:lang w:val="sk-SK"/>
        </w:rPr>
      </w:pPr>
      <w:r>
        <w:rPr>
          <w:rStyle w:val="Fodnotehenvisning"/>
        </w:rPr>
        <w:footnoteRef/>
      </w:r>
      <w:r>
        <w:t xml:space="preserve"> </w:t>
      </w:r>
      <w:r>
        <w:rPr>
          <w:szCs w:val="16"/>
        </w:rPr>
        <w:t>www.recoverytrial.net</w:t>
      </w:r>
    </w:p>
  </w:footnote>
  <w:footnote w:id="2">
    <w:p w14:paraId="37311950" w14:textId="77777777" w:rsidR="00357B67" w:rsidRDefault="00357B67" w:rsidP="006E4003">
      <w:pPr>
        <w:pStyle w:val="Fodnotetekst"/>
        <w:rPr>
          <w:lang w:val="sk-SK"/>
        </w:rPr>
      </w:pPr>
      <w:r>
        <w:rPr>
          <w:rStyle w:val="Fodnotehenvisning"/>
        </w:rPr>
        <w:footnoteRef/>
      </w:r>
      <w:r>
        <w:t xml:space="preserve"> </w:t>
      </w:r>
      <w:r>
        <w:rPr>
          <w:rStyle w:val="Fodnotehenvisning"/>
        </w:rPr>
        <w:t>3</w:t>
      </w:r>
      <w:r>
        <w:t xml:space="preserve"> </w:t>
      </w:r>
      <w:r>
        <w:rPr>
          <w:szCs w:val="16"/>
        </w:rPr>
        <w:t xml:space="preserve">(source: </w:t>
      </w:r>
      <w:proofErr w:type="spellStart"/>
      <w:r>
        <w:rPr>
          <w:szCs w:val="16"/>
        </w:rPr>
        <w:t>Horby</w:t>
      </w:r>
      <w:proofErr w:type="spellEnd"/>
      <w:r>
        <w:rPr>
          <w:szCs w:val="16"/>
        </w:rPr>
        <w:t xml:space="preserve"> P. et al., 2020; https://www.medrxiv.org/content/10.1101/2020.06.22.20137273v1;doi: </w:t>
      </w:r>
      <w:hyperlink r:id="rId1" w:history="1">
        <w:r>
          <w:rPr>
            <w:rStyle w:val="Hyperlink"/>
            <w:szCs w:val="16"/>
          </w:rPr>
          <w:t>https://doi.org/10.1101/2020.06.22.20137273</w:t>
        </w:r>
      </w:hyperlink>
    </w:p>
  </w:footnote>
  <w:footnote w:id="3">
    <w:p w14:paraId="71A4E561" w14:textId="77777777" w:rsidR="00357B67" w:rsidRDefault="00357B67" w:rsidP="006E4003">
      <w:pPr>
        <w:pStyle w:val="Fodnotetekst"/>
        <w:rPr>
          <w:lang w:val="sk-S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4675E4"/>
    <w:multiLevelType w:val="hybridMultilevel"/>
    <w:tmpl w:val="0E2E3600"/>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02ABD"/>
    <w:multiLevelType w:val="hybridMultilevel"/>
    <w:tmpl w:val="A11E69CE"/>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2600BA"/>
    <w:multiLevelType w:val="hybridMultilevel"/>
    <w:tmpl w:val="9FB6784C"/>
    <w:lvl w:ilvl="0" w:tplc="77047422">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C5"/>
    <w:rsid w:val="000259B9"/>
    <w:rsid w:val="00041491"/>
    <w:rsid w:val="00050D16"/>
    <w:rsid w:val="000730CA"/>
    <w:rsid w:val="00074F2A"/>
    <w:rsid w:val="000A1CA8"/>
    <w:rsid w:val="000A466B"/>
    <w:rsid w:val="000B058C"/>
    <w:rsid w:val="000C2E84"/>
    <w:rsid w:val="000E4EE6"/>
    <w:rsid w:val="0011081B"/>
    <w:rsid w:val="001454E2"/>
    <w:rsid w:val="00194E1C"/>
    <w:rsid w:val="00206CE8"/>
    <w:rsid w:val="0021526C"/>
    <w:rsid w:val="00283A2B"/>
    <w:rsid w:val="002B30AD"/>
    <w:rsid w:val="002C2C01"/>
    <w:rsid w:val="002C52C9"/>
    <w:rsid w:val="00303B8F"/>
    <w:rsid w:val="003526C2"/>
    <w:rsid w:val="00357B67"/>
    <w:rsid w:val="003A29AE"/>
    <w:rsid w:val="003A32D7"/>
    <w:rsid w:val="003B4074"/>
    <w:rsid w:val="003C769A"/>
    <w:rsid w:val="003F1838"/>
    <w:rsid w:val="0045746C"/>
    <w:rsid w:val="0049104B"/>
    <w:rsid w:val="004E1574"/>
    <w:rsid w:val="004E3B12"/>
    <w:rsid w:val="00532310"/>
    <w:rsid w:val="00543B0C"/>
    <w:rsid w:val="0054418C"/>
    <w:rsid w:val="00565F0F"/>
    <w:rsid w:val="00580E8E"/>
    <w:rsid w:val="00594A86"/>
    <w:rsid w:val="00596D86"/>
    <w:rsid w:val="005B2D43"/>
    <w:rsid w:val="005E4A13"/>
    <w:rsid w:val="00637F5A"/>
    <w:rsid w:val="006560B1"/>
    <w:rsid w:val="006756DD"/>
    <w:rsid w:val="006A69D5"/>
    <w:rsid w:val="006E4003"/>
    <w:rsid w:val="00737275"/>
    <w:rsid w:val="00740EEC"/>
    <w:rsid w:val="0078011A"/>
    <w:rsid w:val="00782AF4"/>
    <w:rsid w:val="00790EE7"/>
    <w:rsid w:val="007B6649"/>
    <w:rsid w:val="0082576E"/>
    <w:rsid w:val="008A4EEB"/>
    <w:rsid w:val="008C4039"/>
    <w:rsid w:val="008E36E3"/>
    <w:rsid w:val="008F1B8D"/>
    <w:rsid w:val="00907F75"/>
    <w:rsid w:val="009260DE"/>
    <w:rsid w:val="0093258A"/>
    <w:rsid w:val="009C7BA3"/>
    <w:rsid w:val="009D1F5A"/>
    <w:rsid w:val="009F61AE"/>
    <w:rsid w:val="00A10294"/>
    <w:rsid w:val="00AA64D1"/>
    <w:rsid w:val="00B003BF"/>
    <w:rsid w:val="00B373D7"/>
    <w:rsid w:val="00B73624"/>
    <w:rsid w:val="00B75975"/>
    <w:rsid w:val="00C159E0"/>
    <w:rsid w:val="00C36276"/>
    <w:rsid w:val="00C42586"/>
    <w:rsid w:val="00C548CE"/>
    <w:rsid w:val="00C60CCD"/>
    <w:rsid w:val="00C84483"/>
    <w:rsid w:val="00C95551"/>
    <w:rsid w:val="00CB20D7"/>
    <w:rsid w:val="00CB613E"/>
    <w:rsid w:val="00D020B0"/>
    <w:rsid w:val="00D11748"/>
    <w:rsid w:val="00D366CF"/>
    <w:rsid w:val="00D75703"/>
    <w:rsid w:val="00DD49D3"/>
    <w:rsid w:val="00E108AA"/>
    <w:rsid w:val="00E31205"/>
    <w:rsid w:val="00E3749A"/>
    <w:rsid w:val="00E7437F"/>
    <w:rsid w:val="00E865B8"/>
    <w:rsid w:val="00EB2A48"/>
    <w:rsid w:val="00EB489F"/>
    <w:rsid w:val="00EC0B9B"/>
    <w:rsid w:val="00ED5E9F"/>
    <w:rsid w:val="00F257C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F73C9E"/>
  <w15:chartTrackingRefBased/>
  <w15:docId w15:val="{A204958E-917F-4F77-959D-0A2D4712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E4003"/>
    <w:rPr>
      <w:color w:val="0563C1"/>
      <w:u w:val="single"/>
    </w:rPr>
  </w:style>
  <w:style w:type="paragraph" w:styleId="Fodnotetekst">
    <w:name w:val="footnote text"/>
    <w:basedOn w:val="Normal"/>
    <w:link w:val="FodnotetekstTegn"/>
    <w:uiPriority w:val="99"/>
    <w:semiHidden/>
    <w:unhideWhenUsed/>
    <w:rsid w:val="006E4003"/>
    <w:rPr>
      <w:sz w:val="20"/>
      <w:lang w:eastAsia="da-DK"/>
    </w:rPr>
  </w:style>
  <w:style w:type="character" w:customStyle="1" w:styleId="FodnotetekstTegn">
    <w:name w:val="Fodnotetekst Tegn"/>
    <w:basedOn w:val="Standardskrifttypeiafsnit"/>
    <w:link w:val="Fodnotetekst"/>
    <w:uiPriority w:val="99"/>
    <w:semiHidden/>
    <w:rsid w:val="006E4003"/>
  </w:style>
  <w:style w:type="character" w:styleId="Fodnotehenvisning">
    <w:name w:val="footnote reference"/>
    <w:uiPriority w:val="99"/>
    <w:semiHidden/>
    <w:unhideWhenUsed/>
    <w:rsid w:val="006E4003"/>
    <w:rPr>
      <w:vertAlign w:val="superscript"/>
    </w:rPr>
  </w:style>
  <w:style w:type="paragraph" w:styleId="Listeafsnit">
    <w:name w:val="List Paragraph"/>
    <w:basedOn w:val="Normal"/>
    <w:uiPriority w:val="34"/>
    <w:qFormat/>
    <w:rsid w:val="005B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7645">
      <w:bodyDiv w:val="1"/>
      <w:marLeft w:val="0"/>
      <w:marRight w:val="0"/>
      <w:marTop w:val="0"/>
      <w:marBottom w:val="0"/>
      <w:divBdr>
        <w:top w:val="none" w:sz="0" w:space="0" w:color="auto"/>
        <w:left w:val="none" w:sz="0" w:space="0" w:color="auto"/>
        <w:bottom w:val="none" w:sz="0" w:space="0" w:color="auto"/>
        <w:right w:val="none" w:sz="0" w:space="0" w:color="auto"/>
      </w:divBdr>
    </w:div>
    <w:div w:id="845005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843317">
      <w:bodyDiv w:val="1"/>
      <w:marLeft w:val="0"/>
      <w:marRight w:val="0"/>
      <w:marTop w:val="0"/>
      <w:marBottom w:val="0"/>
      <w:divBdr>
        <w:top w:val="none" w:sz="0" w:space="0" w:color="auto"/>
        <w:left w:val="none" w:sz="0" w:space="0" w:color="auto"/>
        <w:bottom w:val="none" w:sz="0" w:space="0" w:color="auto"/>
        <w:right w:val="none" w:sz="0" w:space="0" w:color="auto"/>
      </w:divBdr>
    </w:div>
    <w:div w:id="351035667">
      <w:bodyDiv w:val="1"/>
      <w:marLeft w:val="0"/>
      <w:marRight w:val="0"/>
      <w:marTop w:val="0"/>
      <w:marBottom w:val="0"/>
      <w:divBdr>
        <w:top w:val="none" w:sz="0" w:space="0" w:color="auto"/>
        <w:left w:val="none" w:sz="0" w:space="0" w:color="auto"/>
        <w:bottom w:val="none" w:sz="0" w:space="0" w:color="auto"/>
        <w:right w:val="none" w:sz="0" w:space="0" w:color="auto"/>
      </w:divBdr>
    </w:div>
    <w:div w:id="507208526">
      <w:bodyDiv w:val="1"/>
      <w:marLeft w:val="0"/>
      <w:marRight w:val="0"/>
      <w:marTop w:val="0"/>
      <w:marBottom w:val="0"/>
      <w:divBdr>
        <w:top w:val="none" w:sz="0" w:space="0" w:color="auto"/>
        <w:left w:val="none" w:sz="0" w:space="0" w:color="auto"/>
        <w:bottom w:val="none" w:sz="0" w:space="0" w:color="auto"/>
        <w:right w:val="none" w:sz="0" w:space="0" w:color="auto"/>
      </w:divBdr>
    </w:div>
    <w:div w:id="647169519">
      <w:bodyDiv w:val="1"/>
      <w:marLeft w:val="0"/>
      <w:marRight w:val="0"/>
      <w:marTop w:val="0"/>
      <w:marBottom w:val="0"/>
      <w:divBdr>
        <w:top w:val="none" w:sz="0" w:space="0" w:color="auto"/>
        <w:left w:val="none" w:sz="0" w:space="0" w:color="auto"/>
        <w:bottom w:val="none" w:sz="0" w:space="0" w:color="auto"/>
        <w:right w:val="none" w:sz="0" w:space="0" w:color="auto"/>
      </w:divBdr>
    </w:div>
    <w:div w:id="795370213">
      <w:bodyDiv w:val="1"/>
      <w:marLeft w:val="0"/>
      <w:marRight w:val="0"/>
      <w:marTop w:val="0"/>
      <w:marBottom w:val="0"/>
      <w:divBdr>
        <w:top w:val="none" w:sz="0" w:space="0" w:color="auto"/>
        <w:left w:val="none" w:sz="0" w:space="0" w:color="auto"/>
        <w:bottom w:val="none" w:sz="0" w:space="0" w:color="auto"/>
        <w:right w:val="none" w:sz="0" w:space="0" w:color="auto"/>
      </w:divBdr>
    </w:div>
    <w:div w:id="897284370">
      <w:bodyDiv w:val="1"/>
      <w:marLeft w:val="0"/>
      <w:marRight w:val="0"/>
      <w:marTop w:val="0"/>
      <w:marBottom w:val="0"/>
      <w:divBdr>
        <w:top w:val="none" w:sz="0" w:space="0" w:color="auto"/>
        <w:left w:val="none" w:sz="0" w:space="0" w:color="auto"/>
        <w:bottom w:val="none" w:sz="0" w:space="0" w:color="auto"/>
        <w:right w:val="none" w:sz="0" w:space="0" w:color="auto"/>
      </w:divBdr>
    </w:div>
    <w:div w:id="1038119882">
      <w:bodyDiv w:val="1"/>
      <w:marLeft w:val="0"/>
      <w:marRight w:val="0"/>
      <w:marTop w:val="0"/>
      <w:marBottom w:val="0"/>
      <w:divBdr>
        <w:top w:val="none" w:sz="0" w:space="0" w:color="auto"/>
        <w:left w:val="none" w:sz="0" w:space="0" w:color="auto"/>
        <w:bottom w:val="none" w:sz="0" w:space="0" w:color="auto"/>
        <w:right w:val="none" w:sz="0" w:space="0" w:color="auto"/>
      </w:divBdr>
    </w:div>
    <w:div w:id="1046876800">
      <w:bodyDiv w:val="1"/>
      <w:marLeft w:val="0"/>
      <w:marRight w:val="0"/>
      <w:marTop w:val="0"/>
      <w:marBottom w:val="0"/>
      <w:divBdr>
        <w:top w:val="none" w:sz="0" w:space="0" w:color="auto"/>
        <w:left w:val="none" w:sz="0" w:space="0" w:color="auto"/>
        <w:bottom w:val="none" w:sz="0" w:space="0" w:color="auto"/>
        <w:right w:val="none" w:sz="0" w:space="0" w:color="auto"/>
      </w:divBdr>
    </w:div>
    <w:div w:id="1076702434">
      <w:bodyDiv w:val="1"/>
      <w:marLeft w:val="0"/>
      <w:marRight w:val="0"/>
      <w:marTop w:val="0"/>
      <w:marBottom w:val="0"/>
      <w:divBdr>
        <w:top w:val="none" w:sz="0" w:space="0" w:color="auto"/>
        <w:left w:val="none" w:sz="0" w:space="0" w:color="auto"/>
        <w:bottom w:val="none" w:sz="0" w:space="0" w:color="auto"/>
        <w:right w:val="none" w:sz="0" w:space="0" w:color="auto"/>
      </w:divBdr>
    </w:div>
    <w:div w:id="1094982357">
      <w:bodyDiv w:val="1"/>
      <w:marLeft w:val="0"/>
      <w:marRight w:val="0"/>
      <w:marTop w:val="0"/>
      <w:marBottom w:val="0"/>
      <w:divBdr>
        <w:top w:val="none" w:sz="0" w:space="0" w:color="auto"/>
        <w:left w:val="none" w:sz="0" w:space="0" w:color="auto"/>
        <w:bottom w:val="none" w:sz="0" w:space="0" w:color="auto"/>
        <w:right w:val="none" w:sz="0" w:space="0" w:color="auto"/>
      </w:divBdr>
    </w:div>
    <w:div w:id="1217207229">
      <w:bodyDiv w:val="1"/>
      <w:marLeft w:val="0"/>
      <w:marRight w:val="0"/>
      <w:marTop w:val="0"/>
      <w:marBottom w:val="0"/>
      <w:divBdr>
        <w:top w:val="none" w:sz="0" w:space="0" w:color="auto"/>
        <w:left w:val="none" w:sz="0" w:space="0" w:color="auto"/>
        <w:bottom w:val="none" w:sz="0" w:space="0" w:color="auto"/>
        <w:right w:val="none" w:sz="0" w:space="0" w:color="auto"/>
      </w:divBdr>
    </w:div>
    <w:div w:id="1248810286">
      <w:bodyDiv w:val="1"/>
      <w:marLeft w:val="0"/>
      <w:marRight w:val="0"/>
      <w:marTop w:val="0"/>
      <w:marBottom w:val="0"/>
      <w:divBdr>
        <w:top w:val="none" w:sz="0" w:space="0" w:color="auto"/>
        <w:left w:val="none" w:sz="0" w:space="0" w:color="auto"/>
        <w:bottom w:val="none" w:sz="0" w:space="0" w:color="auto"/>
        <w:right w:val="none" w:sz="0" w:space="0" w:color="auto"/>
      </w:divBdr>
    </w:div>
    <w:div w:id="1258439779">
      <w:bodyDiv w:val="1"/>
      <w:marLeft w:val="0"/>
      <w:marRight w:val="0"/>
      <w:marTop w:val="0"/>
      <w:marBottom w:val="0"/>
      <w:divBdr>
        <w:top w:val="none" w:sz="0" w:space="0" w:color="auto"/>
        <w:left w:val="none" w:sz="0" w:space="0" w:color="auto"/>
        <w:bottom w:val="none" w:sz="0" w:space="0" w:color="auto"/>
        <w:right w:val="none" w:sz="0" w:space="0" w:color="auto"/>
      </w:divBdr>
    </w:div>
    <w:div w:id="1401708471">
      <w:bodyDiv w:val="1"/>
      <w:marLeft w:val="0"/>
      <w:marRight w:val="0"/>
      <w:marTop w:val="0"/>
      <w:marBottom w:val="0"/>
      <w:divBdr>
        <w:top w:val="none" w:sz="0" w:space="0" w:color="auto"/>
        <w:left w:val="none" w:sz="0" w:space="0" w:color="auto"/>
        <w:bottom w:val="none" w:sz="0" w:space="0" w:color="auto"/>
        <w:right w:val="none" w:sz="0" w:space="0" w:color="auto"/>
      </w:divBdr>
    </w:div>
    <w:div w:id="1541699352">
      <w:bodyDiv w:val="1"/>
      <w:marLeft w:val="0"/>
      <w:marRight w:val="0"/>
      <w:marTop w:val="0"/>
      <w:marBottom w:val="0"/>
      <w:divBdr>
        <w:top w:val="none" w:sz="0" w:space="0" w:color="auto"/>
        <w:left w:val="none" w:sz="0" w:space="0" w:color="auto"/>
        <w:bottom w:val="none" w:sz="0" w:space="0" w:color="auto"/>
        <w:right w:val="none" w:sz="0" w:space="0" w:color="auto"/>
      </w:divBdr>
    </w:div>
    <w:div w:id="1730763091">
      <w:bodyDiv w:val="1"/>
      <w:marLeft w:val="0"/>
      <w:marRight w:val="0"/>
      <w:marTop w:val="0"/>
      <w:marBottom w:val="0"/>
      <w:divBdr>
        <w:top w:val="none" w:sz="0" w:space="0" w:color="auto"/>
        <w:left w:val="none" w:sz="0" w:space="0" w:color="auto"/>
        <w:bottom w:val="none" w:sz="0" w:space="0" w:color="auto"/>
        <w:right w:val="none" w:sz="0" w:space="0" w:color="auto"/>
      </w:divBdr>
    </w:div>
    <w:div w:id="1828328667">
      <w:bodyDiv w:val="1"/>
      <w:marLeft w:val="0"/>
      <w:marRight w:val="0"/>
      <w:marTop w:val="0"/>
      <w:marBottom w:val="0"/>
      <w:divBdr>
        <w:top w:val="none" w:sz="0" w:space="0" w:color="auto"/>
        <w:left w:val="none" w:sz="0" w:space="0" w:color="auto"/>
        <w:bottom w:val="none" w:sz="0" w:space="0" w:color="auto"/>
        <w:right w:val="none" w:sz="0" w:space="0" w:color="auto"/>
      </w:divBdr>
    </w:div>
    <w:div w:id="1860049961">
      <w:bodyDiv w:val="1"/>
      <w:marLeft w:val="0"/>
      <w:marRight w:val="0"/>
      <w:marTop w:val="0"/>
      <w:marBottom w:val="0"/>
      <w:divBdr>
        <w:top w:val="none" w:sz="0" w:space="0" w:color="auto"/>
        <w:left w:val="none" w:sz="0" w:space="0" w:color="auto"/>
        <w:bottom w:val="none" w:sz="0" w:space="0" w:color="auto"/>
        <w:right w:val="none" w:sz="0" w:space="0" w:color="auto"/>
      </w:divBdr>
    </w:div>
    <w:div w:id="1981762741">
      <w:bodyDiv w:val="1"/>
      <w:marLeft w:val="0"/>
      <w:marRight w:val="0"/>
      <w:marTop w:val="0"/>
      <w:marBottom w:val="0"/>
      <w:divBdr>
        <w:top w:val="none" w:sz="0" w:space="0" w:color="auto"/>
        <w:left w:val="none" w:sz="0" w:space="0" w:color="auto"/>
        <w:bottom w:val="none" w:sz="0" w:space="0" w:color="auto"/>
        <w:right w:val="none" w:sz="0" w:space="0" w:color="auto"/>
      </w:divBdr>
    </w:div>
    <w:div w:id="20463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01/2020.06.22.2013727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5918</Words>
  <Characters>40438</Characters>
  <Application>Microsoft Office Word</Application>
  <DocSecurity>0</DocSecurity>
  <Lines>336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2021100727_x000d_
Pkt. 5.3 og 6.6</dc:description>
  <cp:lastModifiedBy>Victoria Alexsandra Ringgaard</cp:lastModifiedBy>
  <cp:revision>3</cp:revision>
  <cp:lastPrinted>2012-08-22T08:53:00Z</cp:lastPrinted>
  <dcterms:created xsi:type="dcterms:W3CDTF">2024-11-28T08:48:00Z</dcterms:created>
  <dcterms:modified xsi:type="dcterms:W3CDTF">2024-11-28T08:52:00Z</dcterms:modified>
</cp:coreProperties>
</file>