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052" w:rsidRPr="00ED66E9" w:rsidRDefault="00651052" w:rsidP="00651052">
      <w:pPr>
        <w:rPr>
          <w:sz w:val="24"/>
          <w:szCs w:val="24"/>
        </w:rPr>
      </w:pPr>
      <w:r w:rsidRPr="009260DE">
        <w:rPr>
          <w:noProof/>
          <w:sz w:val="24"/>
          <w:szCs w:val="24"/>
          <w:lang w:eastAsia="da-DK"/>
        </w:rPr>
        <w:drawing>
          <wp:anchor distT="0" distB="0" distL="114300" distR="114300" simplePos="0" relativeHeight="251659264" behindDoc="0" locked="0" layoutInCell="1" allowOverlap="1" wp14:anchorId="4144491D" wp14:editId="73B5BE9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51052" w:rsidRPr="00181305" w:rsidRDefault="00803A32" w:rsidP="00181305">
      <w:pPr>
        <w:pStyle w:val="Titel"/>
        <w:tabs>
          <w:tab w:val="right" w:pos="9356"/>
        </w:tabs>
        <w:jc w:val="right"/>
        <w:rPr>
          <w:szCs w:val="24"/>
          <w:lang w:eastAsia="en-US"/>
        </w:rPr>
      </w:pPr>
      <w:r>
        <w:rPr>
          <w:szCs w:val="24"/>
          <w:lang w:eastAsia="en-US"/>
        </w:rPr>
        <w:t>14</w:t>
      </w:r>
      <w:r w:rsidR="00E20F8C">
        <w:rPr>
          <w:szCs w:val="24"/>
          <w:lang w:eastAsia="en-US"/>
        </w:rPr>
        <w:t xml:space="preserve">. </w:t>
      </w:r>
      <w:r>
        <w:rPr>
          <w:szCs w:val="24"/>
          <w:lang w:eastAsia="en-US"/>
        </w:rPr>
        <w:t>oktober</w:t>
      </w:r>
      <w:r w:rsidR="00E20F8C">
        <w:rPr>
          <w:szCs w:val="24"/>
          <w:lang w:eastAsia="en-US"/>
        </w:rPr>
        <w:t xml:space="preserve"> 202</w:t>
      </w:r>
      <w:r>
        <w:rPr>
          <w:szCs w:val="24"/>
          <w:lang w:eastAsia="en-US"/>
        </w:rPr>
        <w:t>4</w:t>
      </w:r>
    </w:p>
    <w:p w:rsidR="0018166B" w:rsidRPr="00ED66E9" w:rsidRDefault="0018166B" w:rsidP="00651052">
      <w:pPr>
        <w:rPr>
          <w:sz w:val="24"/>
          <w:szCs w:val="24"/>
        </w:rPr>
      </w:pPr>
    </w:p>
    <w:p w:rsidR="00651052" w:rsidRPr="00ED66E9" w:rsidRDefault="00651052" w:rsidP="00651052">
      <w:pPr>
        <w:rPr>
          <w:sz w:val="24"/>
          <w:szCs w:val="24"/>
        </w:rPr>
      </w:pPr>
    </w:p>
    <w:p w:rsidR="00651052" w:rsidRPr="00ED66E9" w:rsidRDefault="00651052" w:rsidP="00651052">
      <w:pPr>
        <w:jc w:val="center"/>
        <w:rPr>
          <w:b/>
          <w:sz w:val="24"/>
          <w:szCs w:val="24"/>
        </w:rPr>
      </w:pPr>
      <w:r w:rsidRPr="00ED66E9">
        <w:rPr>
          <w:b/>
          <w:sz w:val="24"/>
          <w:szCs w:val="24"/>
        </w:rPr>
        <w:t>PRODUKTRESUMÉ</w:t>
      </w:r>
    </w:p>
    <w:p w:rsidR="00651052" w:rsidRPr="00ED66E9" w:rsidRDefault="00651052" w:rsidP="00651052">
      <w:pPr>
        <w:jc w:val="center"/>
        <w:rPr>
          <w:b/>
          <w:sz w:val="24"/>
          <w:szCs w:val="24"/>
        </w:rPr>
      </w:pPr>
    </w:p>
    <w:p w:rsidR="00651052" w:rsidRPr="00ED66E9" w:rsidRDefault="00651052" w:rsidP="00651052">
      <w:pPr>
        <w:jc w:val="center"/>
        <w:rPr>
          <w:b/>
          <w:sz w:val="24"/>
          <w:szCs w:val="24"/>
        </w:rPr>
      </w:pPr>
      <w:r w:rsidRPr="00ED66E9">
        <w:rPr>
          <w:b/>
          <w:sz w:val="24"/>
          <w:szCs w:val="24"/>
        </w:rPr>
        <w:t>for</w:t>
      </w:r>
    </w:p>
    <w:p w:rsidR="00651052" w:rsidRPr="00ED66E9" w:rsidRDefault="00651052" w:rsidP="00651052">
      <w:pPr>
        <w:jc w:val="center"/>
        <w:rPr>
          <w:b/>
          <w:sz w:val="24"/>
          <w:szCs w:val="24"/>
        </w:rPr>
      </w:pPr>
    </w:p>
    <w:p w:rsidR="00651052" w:rsidRPr="00ED66E9" w:rsidRDefault="00651052" w:rsidP="00651052">
      <w:pPr>
        <w:jc w:val="center"/>
        <w:rPr>
          <w:b/>
          <w:sz w:val="24"/>
          <w:szCs w:val="24"/>
        </w:rPr>
      </w:pPr>
      <w:proofErr w:type="spellStart"/>
      <w:r w:rsidRPr="00ED66E9">
        <w:rPr>
          <w:b/>
          <w:sz w:val="24"/>
          <w:szCs w:val="24"/>
        </w:rPr>
        <w:t>Dexavit</w:t>
      </w:r>
      <w:proofErr w:type="spellEnd"/>
      <w:r w:rsidRPr="00ED66E9">
        <w:rPr>
          <w:b/>
          <w:sz w:val="24"/>
          <w:szCs w:val="24"/>
        </w:rPr>
        <w:t>, injektions-/infusionsvæske, opløsning</w:t>
      </w:r>
    </w:p>
    <w:p w:rsidR="00651052" w:rsidRPr="00ED66E9" w:rsidRDefault="00651052" w:rsidP="00651052">
      <w:pPr>
        <w:jc w:val="both"/>
        <w:rPr>
          <w:sz w:val="24"/>
          <w:szCs w:val="24"/>
        </w:rPr>
      </w:pPr>
    </w:p>
    <w:p w:rsidR="00651052" w:rsidRPr="00ED66E9" w:rsidRDefault="00651052" w:rsidP="00651052">
      <w:pPr>
        <w:ind w:left="851" w:hanging="851"/>
        <w:jc w:val="both"/>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0.</w:t>
      </w:r>
      <w:r w:rsidRPr="00ED66E9">
        <w:rPr>
          <w:b/>
          <w:sz w:val="24"/>
          <w:szCs w:val="24"/>
        </w:rPr>
        <w:tab/>
        <w:t>D.SP.NR.</w:t>
      </w:r>
    </w:p>
    <w:p w:rsidR="00651052" w:rsidRPr="00ED66E9" w:rsidRDefault="00651052" w:rsidP="00651052">
      <w:pPr>
        <w:tabs>
          <w:tab w:val="left" w:pos="851"/>
        </w:tabs>
        <w:ind w:left="851" w:hanging="851"/>
        <w:rPr>
          <w:sz w:val="24"/>
          <w:szCs w:val="24"/>
        </w:rPr>
      </w:pPr>
      <w:r w:rsidRPr="00ED66E9">
        <w:rPr>
          <w:sz w:val="24"/>
          <w:szCs w:val="24"/>
        </w:rPr>
        <w:tab/>
        <w:t>29721</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1.</w:t>
      </w:r>
      <w:r w:rsidRPr="00ED66E9">
        <w:rPr>
          <w:b/>
          <w:sz w:val="24"/>
          <w:szCs w:val="24"/>
        </w:rPr>
        <w:tab/>
        <w:t>LÆGEMIDLETS NAVN</w:t>
      </w:r>
    </w:p>
    <w:p w:rsidR="00651052" w:rsidRPr="00ED66E9" w:rsidRDefault="00651052" w:rsidP="00651052">
      <w:pPr>
        <w:tabs>
          <w:tab w:val="left" w:pos="851"/>
        </w:tabs>
        <w:ind w:left="851" w:hanging="851"/>
        <w:rPr>
          <w:sz w:val="24"/>
          <w:szCs w:val="24"/>
        </w:rPr>
      </w:pPr>
      <w:r w:rsidRPr="00ED66E9">
        <w:rPr>
          <w:sz w:val="24"/>
          <w:szCs w:val="24"/>
        </w:rPr>
        <w:tab/>
      </w:r>
      <w:proofErr w:type="spellStart"/>
      <w:r w:rsidRPr="00ED66E9">
        <w:rPr>
          <w:sz w:val="24"/>
          <w:szCs w:val="24"/>
        </w:rPr>
        <w:t>Dexavit</w:t>
      </w:r>
      <w:proofErr w:type="spellEnd"/>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2.</w:t>
      </w:r>
      <w:r w:rsidRPr="00ED66E9">
        <w:rPr>
          <w:b/>
          <w:sz w:val="24"/>
          <w:szCs w:val="24"/>
        </w:rPr>
        <w:tab/>
        <w:t>KVALITATIV OG KVANTITATIV SAMMENSÆTNING</w:t>
      </w:r>
    </w:p>
    <w:p w:rsidR="0008748B" w:rsidRPr="00ED66E9" w:rsidRDefault="0008748B" w:rsidP="0008748B">
      <w:pPr>
        <w:pStyle w:val="Brdtekst"/>
        <w:ind w:left="851"/>
        <w:rPr>
          <w:szCs w:val="24"/>
        </w:rPr>
      </w:pPr>
      <w:r w:rsidRPr="00ED66E9">
        <w:rPr>
          <w:szCs w:val="24"/>
        </w:rPr>
        <w:t xml:space="preserve">Hver ml af opløsningen indeholder 4 mg </w:t>
      </w:r>
      <w:proofErr w:type="spellStart"/>
      <w:r w:rsidRPr="00ED66E9">
        <w:rPr>
          <w:szCs w:val="24"/>
        </w:rPr>
        <w:t>dexamethasonphosphat</w:t>
      </w:r>
      <w:proofErr w:type="spellEnd"/>
      <w:r w:rsidRPr="00ED66E9">
        <w:rPr>
          <w:szCs w:val="24"/>
        </w:rPr>
        <w:t xml:space="preserve"> som 4,37 mg </w:t>
      </w:r>
      <w:proofErr w:type="spellStart"/>
      <w:r w:rsidRPr="00ED66E9">
        <w:rPr>
          <w:szCs w:val="24"/>
        </w:rPr>
        <w:t>dexamethasondinatrium</w:t>
      </w:r>
      <w:r w:rsidRPr="00ED66E9">
        <w:rPr>
          <w:szCs w:val="24"/>
        </w:rPr>
        <w:softHyphen/>
        <w:t>phosphat</w:t>
      </w:r>
      <w:proofErr w:type="spellEnd"/>
      <w:r w:rsidRPr="00ED66E9">
        <w:rPr>
          <w:szCs w:val="24"/>
        </w:rPr>
        <w:t xml:space="preserve">. 4 mg </w:t>
      </w:r>
      <w:proofErr w:type="spellStart"/>
      <w:r w:rsidRPr="00ED66E9">
        <w:rPr>
          <w:szCs w:val="24"/>
        </w:rPr>
        <w:t>dexamethasonphosphat</w:t>
      </w:r>
      <w:proofErr w:type="spellEnd"/>
      <w:r w:rsidRPr="00ED66E9">
        <w:rPr>
          <w:szCs w:val="24"/>
        </w:rPr>
        <w:t xml:space="preserve"> svarer til 3,33 mg </w:t>
      </w:r>
      <w:proofErr w:type="spellStart"/>
      <w:r w:rsidRPr="00ED66E9">
        <w:rPr>
          <w:szCs w:val="24"/>
        </w:rPr>
        <w:t>dexamethason</w:t>
      </w:r>
      <w:proofErr w:type="spellEnd"/>
      <w:r w:rsidRPr="00ED66E9">
        <w:rPr>
          <w:szCs w:val="24"/>
        </w:rPr>
        <w:t>.</w:t>
      </w:r>
    </w:p>
    <w:p w:rsidR="0008748B" w:rsidRPr="00ED66E9" w:rsidRDefault="0008748B" w:rsidP="0008748B">
      <w:pPr>
        <w:pStyle w:val="Brdtekst"/>
        <w:ind w:left="851"/>
        <w:rPr>
          <w:szCs w:val="24"/>
        </w:rPr>
      </w:pPr>
    </w:p>
    <w:p w:rsidR="0008748B" w:rsidRPr="00ED66E9" w:rsidRDefault="0008748B" w:rsidP="0008748B">
      <w:pPr>
        <w:pStyle w:val="Brdtekst"/>
        <w:ind w:left="851"/>
        <w:rPr>
          <w:szCs w:val="24"/>
        </w:rPr>
      </w:pPr>
      <w:r w:rsidRPr="00ED66E9">
        <w:rPr>
          <w:szCs w:val="24"/>
        </w:rPr>
        <w:t xml:space="preserve">Hver 1 ml ampul indeholder: </w:t>
      </w:r>
    </w:p>
    <w:p w:rsidR="0008748B" w:rsidRPr="00ED66E9" w:rsidRDefault="0008748B" w:rsidP="0008748B">
      <w:pPr>
        <w:pStyle w:val="Brdtekst"/>
        <w:ind w:left="851"/>
        <w:rPr>
          <w:szCs w:val="24"/>
        </w:rPr>
      </w:pPr>
      <w:r w:rsidRPr="00ED66E9">
        <w:rPr>
          <w:szCs w:val="24"/>
        </w:rPr>
        <w:t xml:space="preserve">4 mg </w:t>
      </w:r>
      <w:proofErr w:type="spellStart"/>
      <w:r w:rsidRPr="00ED66E9">
        <w:rPr>
          <w:szCs w:val="24"/>
        </w:rPr>
        <w:t>dexamethasonphosphat</w:t>
      </w:r>
      <w:proofErr w:type="spellEnd"/>
      <w:r w:rsidRPr="00ED66E9">
        <w:rPr>
          <w:szCs w:val="24"/>
        </w:rPr>
        <w:t xml:space="preserve"> (som 4,37 mg </w:t>
      </w:r>
      <w:proofErr w:type="spellStart"/>
      <w:r w:rsidRPr="00ED66E9">
        <w:rPr>
          <w:szCs w:val="24"/>
        </w:rPr>
        <w:t>dexamethasondinatrium</w:t>
      </w:r>
      <w:r w:rsidRPr="00ED66E9">
        <w:rPr>
          <w:szCs w:val="24"/>
        </w:rPr>
        <w:softHyphen/>
        <w:t>phosphat</w:t>
      </w:r>
      <w:proofErr w:type="spellEnd"/>
      <w:r w:rsidRPr="00ED66E9">
        <w:rPr>
          <w:szCs w:val="24"/>
        </w:rPr>
        <w:t xml:space="preserve">) – svarer til 3,33 mg </w:t>
      </w:r>
      <w:proofErr w:type="spellStart"/>
      <w:r w:rsidRPr="00ED66E9">
        <w:rPr>
          <w:szCs w:val="24"/>
        </w:rPr>
        <w:t>dexamethason</w:t>
      </w:r>
      <w:proofErr w:type="spellEnd"/>
      <w:r w:rsidRPr="00ED66E9">
        <w:rPr>
          <w:szCs w:val="24"/>
        </w:rPr>
        <w:t xml:space="preserve">. </w:t>
      </w:r>
    </w:p>
    <w:p w:rsidR="0008748B" w:rsidRPr="00ED66E9" w:rsidRDefault="0008748B" w:rsidP="0008748B">
      <w:pPr>
        <w:pStyle w:val="Brdtekst"/>
        <w:ind w:left="851" w:hanging="851"/>
        <w:rPr>
          <w:szCs w:val="24"/>
        </w:rPr>
      </w:pPr>
    </w:p>
    <w:p w:rsidR="0008748B" w:rsidRPr="00ED66E9" w:rsidRDefault="0008748B" w:rsidP="0008748B">
      <w:pPr>
        <w:pStyle w:val="Brdtekst"/>
        <w:ind w:left="851"/>
        <w:rPr>
          <w:szCs w:val="24"/>
        </w:rPr>
      </w:pPr>
      <w:r w:rsidRPr="00ED66E9">
        <w:rPr>
          <w:szCs w:val="24"/>
        </w:rPr>
        <w:t xml:space="preserve">Hver 5 ml ampul indeholder: </w:t>
      </w:r>
    </w:p>
    <w:p w:rsidR="0008748B" w:rsidRPr="00ED66E9" w:rsidRDefault="0008748B" w:rsidP="0008748B">
      <w:pPr>
        <w:pStyle w:val="Brdtekst"/>
        <w:ind w:left="851"/>
        <w:rPr>
          <w:szCs w:val="24"/>
        </w:rPr>
      </w:pPr>
      <w:r w:rsidRPr="00ED66E9">
        <w:rPr>
          <w:szCs w:val="24"/>
        </w:rPr>
        <w:t xml:space="preserve">20 mg </w:t>
      </w:r>
      <w:proofErr w:type="spellStart"/>
      <w:r w:rsidRPr="00ED66E9">
        <w:rPr>
          <w:szCs w:val="24"/>
        </w:rPr>
        <w:t>dexamethasonphosphat</w:t>
      </w:r>
      <w:proofErr w:type="spellEnd"/>
      <w:r w:rsidRPr="00ED66E9">
        <w:rPr>
          <w:szCs w:val="24"/>
        </w:rPr>
        <w:t xml:space="preserve"> (som 21,85 mg </w:t>
      </w:r>
      <w:proofErr w:type="spellStart"/>
      <w:r w:rsidRPr="00ED66E9">
        <w:rPr>
          <w:szCs w:val="24"/>
        </w:rPr>
        <w:t>dexamethasondinatrium</w:t>
      </w:r>
      <w:r w:rsidRPr="00ED66E9">
        <w:rPr>
          <w:szCs w:val="24"/>
        </w:rPr>
        <w:softHyphen/>
        <w:t>phosphat</w:t>
      </w:r>
      <w:proofErr w:type="spellEnd"/>
      <w:r w:rsidRPr="00ED66E9">
        <w:rPr>
          <w:szCs w:val="24"/>
        </w:rPr>
        <w:t xml:space="preserve">) – svarer til 16,65 mg </w:t>
      </w:r>
      <w:proofErr w:type="spellStart"/>
      <w:r w:rsidRPr="00ED66E9">
        <w:rPr>
          <w:szCs w:val="24"/>
        </w:rPr>
        <w:t>dexamethason</w:t>
      </w:r>
      <w:proofErr w:type="spellEnd"/>
      <w:r w:rsidRPr="00ED66E9">
        <w:rPr>
          <w:szCs w:val="24"/>
        </w:rPr>
        <w:t xml:space="preserve">. </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rPr>
      </w:pPr>
      <w:r w:rsidRPr="00ED66E9">
        <w:rPr>
          <w:szCs w:val="24"/>
        </w:rPr>
        <w:t>Alle hjælpestoffer er anført under pkt. 6.1.</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3.</w:t>
      </w:r>
      <w:r w:rsidRPr="00ED66E9">
        <w:rPr>
          <w:b/>
          <w:sz w:val="24"/>
          <w:szCs w:val="24"/>
        </w:rPr>
        <w:tab/>
        <w:t>LÆGEMIDDELFORM</w:t>
      </w:r>
    </w:p>
    <w:p w:rsidR="00651052" w:rsidRPr="00ED66E9" w:rsidRDefault="00651052" w:rsidP="00651052">
      <w:pPr>
        <w:pStyle w:val="Brdtekst"/>
        <w:ind w:left="851"/>
        <w:rPr>
          <w:szCs w:val="24"/>
        </w:rPr>
      </w:pPr>
      <w:r w:rsidRPr="00ED66E9">
        <w:rPr>
          <w:szCs w:val="24"/>
        </w:rPr>
        <w:t>Injektions-/infusionsvæske, opløsning</w:t>
      </w:r>
    </w:p>
    <w:p w:rsidR="00651052" w:rsidRPr="00ED66E9" w:rsidRDefault="00651052" w:rsidP="00651052">
      <w:pPr>
        <w:pStyle w:val="Brdtekst"/>
        <w:ind w:left="851"/>
        <w:rPr>
          <w:szCs w:val="24"/>
        </w:rPr>
      </w:pPr>
    </w:p>
    <w:p w:rsidR="00651052" w:rsidRPr="00ED66E9" w:rsidRDefault="00651052" w:rsidP="00651052">
      <w:pPr>
        <w:pStyle w:val="Brdtekst"/>
        <w:ind w:left="851"/>
        <w:rPr>
          <w:szCs w:val="24"/>
        </w:rPr>
      </w:pPr>
      <w:r w:rsidRPr="00ED66E9">
        <w:rPr>
          <w:szCs w:val="24"/>
        </w:rPr>
        <w:t>Klar, farveløs opløsning.</w:t>
      </w:r>
    </w:p>
    <w:p w:rsidR="00651052" w:rsidRPr="00ED66E9" w:rsidRDefault="00651052" w:rsidP="00651052">
      <w:pPr>
        <w:pStyle w:val="Brdtekst"/>
        <w:ind w:left="851"/>
        <w:rPr>
          <w:szCs w:val="24"/>
        </w:rPr>
      </w:pPr>
      <w:r w:rsidRPr="00ED66E9">
        <w:rPr>
          <w:szCs w:val="24"/>
        </w:rPr>
        <w:t>pH: 7-8,5.</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4.</w:t>
      </w:r>
      <w:r w:rsidRPr="00ED66E9">
        <w:rPr>
          <w:b/>
          <w:sz w:val="24"/>
          <w:szCs w:val="24"/>
        </w:rPr>
        <w:tab/>
        <w:t>KLINISKE OPLYSNINGER</w:t>
      </w:r>
    </w:p>
    <w:p w:rsidR="00651052" w:rsidRPr="00ED66E9" w:rsidRDefault="00651052" w:rsidP="00651052">
      <w:pPr>
        <w:tabs>
          <w:tab w:val="left" w:pos="851"/>
        </w:tabs>
        <w:ind w:left="851" w:hanging="851"/>
        <w:rPr>
          <w:b/>
          <w:sz w:val="24"/>
          <w:szCs w:val="24"/>
        </w:rPr>
      </w:pPr>
    </w:p>
    <w:p w:rsidR="00651052" w:rsidRPr="00ED66E9" w:rsidRDefault="00651052" w:rsidP="00651052">
      <w:pPr>
        <w:tabs>
          <w:tab w:val="left" w:pos="851"/>
        </w:tabs>
        <w:ind w:left="851" w:hanging="851"/>
        <w:rPr>
          <w:b/>
          <w:sz w:val="24"/>
          <w:szCs w:val="24"/>
          <w:u w:val="single"/>
        </w:rPr>
      </w:pPr>
      <w:r w:rsidRPr="00ED66E9">
        <w:rPr>
          <w:b/>
          <w:sz w:val="24"/>
          <w:szCs w:val="24"/>
        </w:rPr>
        <w:t>4.1</w:t>
      </w:r>
      <w:r w:rsidRPr="00ED66E9">
        <w:rPr>
          <w:b/>
          <w:sz w:val="24"/>
          <w:szCs w:val="24"/>
        </w:rPr>
        <w:tab/>
        <w:t>Terapeutiske indikationer</w:t>
      </w:r>
    </w:p>
    <w:p w:rsidR="00651052" w:rsidRPr="00ED66E9" w:rsidRDefault="00651052" w:rsidP="00832894">
      <w:pPr>
        <w:pStyle w:val="Brdtekst"/>
        <w:numPr>
          <w:ilvl w:val="0"/>
          <w:numId w:val="6"/>
        </w:numPr>
        <w:ind w:left="1276" w:hanging="425"/>
        <w:rPr>
          <w:szCs w:val="24"/>
        </w:rPr>
      </w:pPr>
      <w:r w:rsidRPr="00ED66E9">
        <w:rPr>
          <w:szCs w:val="24"/>
        </w:rPr>
        <w:t xml:space="preserve">Behandling af cerebralt ødem sekundært til hjernetumorer, neurokirurgiske indgreb, hjerneabscesser eller bakteriel meningitis </w:t>
      </w:r>
    </w:p>
    <w:p w:rsidR="00651052" w:rsidRPr="00ED66E9" w:rsidRDefault="00651052" w:rsidP="00832894">
      <w:pPr>
        <w:pStyle w:val="Brdtekst"/>
        <w:numPr>
          <w:ilvl w:val="0"/>
          <w:numId w:val="6"/>
        </w:numPr>
        <w:ind w:left="1276" w:hanging="425"/>
        <w:rPr>
          <w:szCs w:val="24"/>
        </w:rPr>
      </w:pPr>
      <w:r w:rsidRPr="00ED66E9">
        <w:rPr>
          <w:szCs w:val="24"/>
        </w:rPr>
        <w:t xml:space="preserve">Initial parenteral behandling af akutte svære udbredte hudtilstande som </w:t>
      </w:r>
      <w:proofErr w:type="spellStart"/>
      <w:r w:rsidRPr="00ED66E9">
        <w:rPr>
          <w:szCs w:val="24"/>
        </w:rPr>
        <w:t>erythroderma</w:t>
      </w:r>
      <w:proofErr w:type="spellEnd"/>
      <w:r w:rsidRPr="00ED66E9">
        <w:rPr>
          <w:szCs w:val="24"/>
        </w:rPr>
        <w:t xml:space="preserve">, </w:t>
      </w:r>
      <w:proofErr w:type="spellStart"/>
      <w:r w:rsidRPr="00ED66E9">
        <w:rPr>
          <w:szCs w:val="24"/>
        </w:rPr>
        <w:t>pemphigus</w:t>
      </w:r>
      <w:proofErr w:type="spellEnd"/>
      <w:r w:rsidRPr="00ED66E9">
        <w:rPr>
          <w:szCs w:val="24"/>
        </w:rPr>
        <w:t xml:space="preserve"> </w:t>
      </w:r>
      <w:proofErr w:type="spellStart"/>
      <w:r w:rsidRPr="00ED66E9">
        <w:rPr>
          <w:szCs w:val="24"/>
        </w:rPr>
        <w:t>vulgaris</w:t>
      </w:r>
      <w:proofErr w:type="spellEnd"/>
      <w:r w:rsidRPr="00ED66E9">
        <w:rPr>
          <w:szCs w:val="24"/>
        </w:rPr>
        <w:t xml:space="preserve"> eller akut eksem </w:t>
      </w:r>
    </w:p>
    <w:p w:rsidR="00651052" w:rsidRPr="00ED66E9" w:rsidRDefault="00651052" w:rsidP="00832894">
      <w:pPr>
        <w:pStyle w:val="Brdtekst"/>
        <w:numPr>
          <w:ilvl w:val="0"/>
          <w:numId w:val="6"/>
        </w:numPr>
        <w:ind w:left="1276" w:hanging="425"/>
        <w:rPr>
          <w:szCs w:val="24"/>
        </w:rPr>
      </w:pPr>
      <w:r w:rsidRPr="00ED66E9">
        <w:rPr>
          <w:szCs w:val="24"/>
        </w:rPr>
        <w:lastRenderedPageBreak/>
        <w:t xml:space="preserve">Initial parenteral behandling af aktive faser af </w:t>
      </w:r>
      <w:proofErr w:type="spellStart"/>
      <w:r w:rsidRPr="00ED66E9">
        <w:rPr>
          <w:szCs w:val="24"/>
        </w:rPr>
        <w:t>kollagenoser</w:t>
      </w:r>
      <w:proofErr w:type="spellEnd"/>
      <w:r w:rsidRPr="00ED66E9">
        <w:rPr>
          <w:szCs w:val="24"/>
        </w:rPr>
        <w:t xml:space="preserve">, f.eks. systemisk lupus </w:t>
      </w:r>
      <w:proofErr w:type="spellStart"/>
      <w:r w:rsidRPr="00ED66E9">
        <w:rPr>
          <w:szCs w:val="24"/>
        </w:rPr>
        <w:t>erythematosus</w:t>
      </w:r>
      <w:proofErr w:type="spellEnd"/>
      <w:r w:rsidRPr="00ED66E9">
        <w:rPr>
          <w:szCs w:val="24"/>
        </w:rPr>
        <w:t xml:space="preserve"> og især former, der berører de indre organer </w:t>
      </w:r>
    </w:p>
    <w:p w:rsidR="00651052" w:rsidRPr="00ED66E9" w:rsidRDefault="00651052" w:rsidP="00832894">
      <w:pPr>
        <w:pStyle w:val="Brdtekst"/>
        <w:numPr>
          <w:ilvl w:val="0"/>
          <w:numId w:val="6"/>
        </w:numPr>
        <w:ind w:left="1276" w:hanging="425"/>
        <w:rPr>
          <w:szCs w:val="24"/>
        </w:rPr>
      </w:pPr>
      <w:r w:rsidRPr="00ED66E9">
        <w:rPr>
          <w:szCs w:val="24"/>
        </w:rPr>
        <w:t xml:space="preserve">Behandling af svære infektionssygdomme (f.eks. </w:t>
      </w:r>
      <w:proofErr w:type="spellStart"/>
      <w:r w:rsidRPr="00ED66E9">
        <w:rPr>
          <w:szCs w:val="24"/>
        </w:rPr>
        <w:t>brucellose</w:t>
      </w:r>
      <w:proofErr w:type="spellEnd"/>
      <w:r w:rsidRPr="00ED66E9">
        <w:rPr>
          <w:szCs w:val="24"/>
        </w:rPr>
        <w:t xml:space="preserve"> og tuberkuløs meningitis), men kun som </w:t>
      </w:r>
      <w:proofErr w:type="spellStart"/>
      <w:r w:rsidRPr="00ED66E9">
        <w:rPr>
          <w:szCs w:val="24"/>
        </w:rPr>
        <w:t>adjuverende</w:t>
      </w:r>
      <w:proofErr w:type="spellEnd"/>
      <w:r w:rsidRPr="00ED66E9">
        <w:rPr>
          <w:szCs w:val="24"/>
        </w:rPr>
        <w:t xml:space="preserve"> behandling til passende </w:t>
      </w:r>
      <w:proofErr w:type="spellStart"/>
      <w:r w:rsidRPr="00ED66E9">
        <w:rPr>
          <w:szCs w:val="24"/>
        </w:rPr>
        <w:t>antiinfektionsbehandling</w:t>
      </w:r>
      <w:proofErr w:type="spellEnd"/>
      <w:r w:rsidRPr="00ED66E9">
        <w:rPr>
          <w:szCs w:val="24"/>
        </w:rPr>
        <w:t xml:space="preserve"> </w:t>
      </w:r>
    </w:p>
    <w:p w:rsidR="00651052" w:rsidRPr="00ED66E9" w:rsidRDefault="00651052" w:rsidP="00832894">
      <w:pPr>
        <w:pStyle w:val="Brdtekst"/>
        <w:numPr>
          <w:ilvl w:val="0"/>
          <w:numId w:val="6"/>
        </w:numPr>
        <w:ind w:left="1276" w:hanging="425"/>
        <w:rPr>
          <w:szCs w:val="24"/>
        </w:rPr>
      </w:pPr>
      <w:r w:rsidRPr="00ED66E9">
        <w:rPr>
          <w:szCs w:val="24"/>
        </w:rPr>
        <w:t xml:space="preserve">Profylakse og behandling af kvalme og opkastning fremkaldt af </w:t>
      </w:r>
      <w:proofErr w:type="spellStart"/>
      <w:r w:rsidRPr="00ED66E9">
        <w:rPr>
          <w:szCs w:val="24"/>
        </w:rPr>
        <w:t>cytostatika</w:t>
      </w:r>
      <w:proofErr w:type="spellEnd"/>
      <w:r w:rsidRPr="00ED66E9">
        <w:rPr>
          <w:szCs w:val="24"/>
        </w:rPr>
        <w:t xml:space="preserve"> samt som </w:t>
      </w:r>
      <w:proofErr w:type="spellStart"/>
      <w:r w:rsidRPr="00ED66E9">
        <w:rPr>
          <w:szCs w:val="24"/>
        </w:rPr>
        <w:t>antiemetikum</w:t>
      </w:r>
      <w:proofErr w:type="spellEnd"/>
      <w:r w:rsidRPr="00ED66E9">
        <w:rPr>
          <w:szCs w:val="24"/>
        </w:rPr>
        <w:t xml:space="preserve"> efter operation </w:t>
      </w:r>
    </w:p>
    <w:p w:rsidR="00651052" w:rsidRPr="00ED66E9" w:rsidRDefault="00651052" w:rsidP="00832894">
      <w:pPr>
        <w:pStyle w:val="Brdtekst"/>
        <w:numPr>
          <w:ilvl w:val="0"/>
          <w:numId w:val="6"/>
        </w:numPr>
        <w:ind w:left="1276" w:hanging="425"/>
        <w:rPr>
          <w:szCs w:val="24"/>
        </w:rPr>
      </w:pPr>
      <w:r w:rsidRPr="00ED66E9">
        <w:rPr>
          <w:szCs w:val="24"/>
        </w:rPr>
        <w:t xml:space="preserve">Kortvarig </w:t>
      </w:r>
      <w:proofErr w:type="spellStart"/>
      <w:r w:rsidRPr="00ED66E9">
        <w:rPr>
          <w:szCs w:val="24"/>
        </w:rPr>
        <w:t>adjuvant</w:t>
      </w:r>
      <w:proofErr w:type="spellEnd"/>
      <w:r w:rsidRPr="00ED66E9">
        <w:rPr>
          <w:szCs w:val="24"/>
        </w:rPr>
        <w:t xml:space="preserve"> behandling ved akutte udbrud eller forværring af reumatiske sygdomme </w:t>
      </w:r>
    </w:p>
    <w:p w:rsidR="00651052" w:rsidRPr="00ED66E9" w:rsidRDefault="00651052" w:rsidP="00832894">
      <w:pPr>
        <w:pStyle w:val="Brdtekst"/>
        <w:numPr>
          <w:ilvl w:val="0"/>
          <w:numId w:val="6"/>
        </w:numPr>
        <w:ind w:left="1276" w:hanging="425"/>
        <w:rPr>
          <w:szCs w:val="24"/>
        </w:rPr>
      </w:pPr>
      <w:r w:rsidRPr="00ED66E9">
        <w:rPr>
          <w:szCs w:val="24"/>
        </w:rPr>
        <w:t xml:space="preserve">Intra- og </w:t>
      </w:r>
      <w:proofErr w:type="spellStart"/>
      <w:r w:rsidRPr="00ED66E9">
        <w:rPr>
          <w:szCs w:val="24"/>
        </w:rPr>
        <w:t>periartikulære</w:t>
      </w:r>
      <w:proofErr w:type="spellEnd"/>
      <w:r w:rsidRPr="00ED66E9">
        <w:rPr>
          <w:szCs w:val="24"/>
        </w:rPr>
        <w:t xml:space="preserve"> brug ved inflammatoriske sygdomme som f.eks. </w:t>
      </w:r>
      <w:proofErr w:type="spellStart"/>
      <w:r w:rsidRPr="00ED66E9">
        <w:rPr>
          <w:szCs w:val="24"/>
        </w:rPr>
        <w:t>reumatoid</w:t>
      </w:r>
      <w:proofErr w:type="spellEnd"/>
      <w:r w:rsidRPr="00ED66E9">
        <w:rPr>
          <w:szCs w:val="24"/>
        </w:rPr>
        <w:t xml:space="preserve"> </w:t>
      </w:r>
      <w:proofErr w:type="spellStart"/>
      <w:r w:rsidRPr="00ED66E9">
        <w:rPr>
          <w:szCs w:val="24"/>
        </w:rPr>
        <w:t>artrit</w:t>
      </w:r>
      <w:proofErr w:type="spellEnd"/>
      <w:r w:rsidRPr="00ED66E9">
        <w:rPr>
          <w:szCs w:val="24"/>
        </w:rPr>
        <w:t xml:space="preserve">, </w:t>
      </w:r>
      <w:proofErr w:type="spellStart"/>
      <w:r w:rsidRPr="00ED66E9">
        <w:rPr>
          <w:szCs w:val="24"/>
        </w:rPr>
        <w:t>osteoartrit</w:t>
      </w:r>
      <w:proofErr w:type="spellEnd"/>
      <w:r w:rsidRPr="00ED66E9">
        <w:rPr>
          <w:szCs w:val="24"/>
        </w:rPr>
        <w:t xml:space="preserve">, </w:t>
      </w:r>
      <w:proofErr w:type="spellStart"/>
      <w:r w:rsidRPr="00ED66E9">
        <w:rPr>
          <w:szCs w:val="24"/>
        </w:rPr>
        <w:t>periartrit</w:t>
      </w:r>
      <w:proofErr w:type="spellEnd"/>
      <w:r w:rsidRPr="00ED66E9">
        <w:rPr>
          <w:szCs w:val="24"/>
        </w:rPr>
        <w:t xml:space="preserve"> og </w:t>
      </w:r>
      <w:proofErr w:type="spellStart"/>
      <w:r w:rsidRPr="00ED66E9">
        <w:rPr>
          <w:szCs w:val="24"/>
        </w:rPr>
        <w:t>epicondolytis</w:t>
      </w:r>
      <w:proofErr w:type="spellEnd"/>
      <w:r w:rsidRPr="00ED66E9">
        <w:rPr>
          <w:szCs w:val="24"/>
        </w:rPr>
        <w:t xml:space="preserve"> </w:t>
      </w:r>
    </w:p>
    <w:p w:rsidR="00651052" w:rsidRPr="00ED66E9" w:rsidRDefault="00651052" w:rsidP="00832894">
      <w:pPr>
        <w:pStyle w:val="Brdtekst"/>
        <w:numPr>
          <w:ilvl w:val="0"/>
          <w:numId w:val="6"/>
        </w:numPr>
        <w:ind w:left="1276" w:hanging="425"/>
        <w:rPr>
          <w:szCs w:val="24"/>
        </w:rPr>
      </w:pPr>
      <w:r w:rsidRPr="00ED66E9">
        <w:rPr>
          <w:szCs w:val="24"/>
        </w:rPr>
        <w:t xml:space="preserve">Behandling af infiltrationer som f.eks. non-bakteriel </w:t>
      </w:r>
      <w:proofErr w:type="spellStart"/>
      <w:r w:rsidRPr="00ED66E9">
        <w:rPr>
          <w:szCs w:val="24"/>
        </w:rPr>
        <w:t>tendovaginit</w:t>
      </w:r>
      <w:proofErr w:type="spellEnd"/>
      <w:r w:rsidRPr="00ED66E9">
        <w:rPr>
          <w:szCs w:val="24"/>
        </w:rPr>
        <w:t xml:space="preserve"> og </w:t>
      </w:r>
      <w:proofErr w:type="spellStart"/>
      <w:r w:rsidRPr="00ED66E9">
        <w:rPr>
          <w:szCs w:val="24"/>
        </w:rPr>
        <w:t>bursit</w:t>
      </w:r>
      <w:proofErr w:type="spellEnd"/>
      <w:r w:rsidRPr="00ED66E9">
        <w:rPr>
          <w:szCs w:val="24"/>
        </w:rPr>
        <w:t xml:space="preserve">, </w:t>
      </w:r>
      <w:proofErr w:type="spellStart"/>
      <w:r w:rsidRPr="00ED66E9">
        <w:rPr>
          <w:szCs w:val="24"/>
        </w:rPr>
        <w:t>periartrit</w:t>
      </w:r>
      <w:proofErr w:type="spellEnd"/>
      <w:r w:rsidRPr="00ED66E9">
        <w:rPr>
          <w:szCs w:val="24"/>
        </w:rPr>
        <w:t xml:space="preserve">, </w:t>
      </w:r>
      <w:proofErr w:type="spellStart"/>
      <w:r w:rsidRPr="00ED66E9">
        <w:rPr>
          <w:szCs w:val="24"/>
        </w:rPr>
        <w:t>tendinopati</w:t>
      </w:r>
      <w:proofErr w:type="spellEnd"/>
      <w:r w:rsidRPr="00ED66E9">
        <w:rPr>
          <w:szCs w:val="24"/>
        </w:rPr>
        <w:t xml:space="preserve">, se pkt. 4.2 for injektion i infiltrationer.  </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4.2</w:t>
      </w:r>
      <w:r w:rsidRPr="00ED66E9">
        <w:rPr>
          <w:b/>
          <w:sz w:val="24"/>
          <w:szCs w:val="24"/>
        </w:rPr>
        <w:tab/>
        <w:t xml:space="preserve">Dosering og </w:t>
      </w:r>
      <w:r w:rsidR="00803A32">
        <w:rPr>
          <w:b/>
          <w:sz w:val="24"/>
          <w:szCs w:val="24"/>
        </w:rPr>
        <w:t>administration</w:t>
      </w:r>
    </w:p>
    <w:p w:rsidR="00651052" w:rsidRPr="00ED66E9" w:rsidRDefault="00651052" w:rsidP="00651052">
      <w:pPr>
        <w:pStyle w:val="Brdtekst"/>
        <w:ind w:left="851"/>
        <w:rPr>
          <w:szCs w:val="24"/>
        </w:rPr>
      </w:pPr>
      <w:r w:rsidRPr="00ED66E9">
        <w:rPr>
          <w:szCs w:val="24"/>
        </w:rPr>
        <w:t xml:space="preserve">Generelt set initieres farmakologisk akut behandling med </w:t>
      </w:r>
      <w:proofErr w:type="spellStart"/>
      <w:r w:rsidRPr="00ED66E9">
        <w:rPr>
          <w:szCs w:val="24"/>
        </w:rPr>
        <w:t>glukokortikoider</w:t>
      </w:r>
      <w:proofErr w:type="spellEnd"/>
      <w:r w:rsidRPr="00ED66E9">
        <w:rPr>
          <w:szCs w:val="24"/>
        </w:rPr>
        <w:t xml:space="preserve"> med høje doser, der ofte administreres intravenøst eller intramuskulært. Afhængigt af indikationen og graden af patientens sygdom fortsættes den initiale dosis i nogle dage, før den nedtrappes eller nedsættes til den nødvendige vedligeholdelsesdosis. Vedligeholdelsesbehandlingen kan eventuelt også administreres oralt. </w:t>
      </w:r>
    </w:p>
    <w:p w:rsidR="00651052" w:rsidRPr="00ED66E9" w:rsidRDefault="00651052" w:rsidP="00651052">
      <w:pPr>
        <w:pStyle w:val="Brdtekst"/>
        <w:ind w:left="851"/>
        <w:rPr>
          <w:szCs w:val="24"/>
        </w:rPr>
      </w:pPr>
    </w:p>
    <w:p w:rsidR="00651052" w:rsidRPr="00ED66E9" w:rsidRDefault="00651052" w:rsidP="00651052">
      <w:pPr>
        <w:pStyle w:val="Brdtekst"/>
        <w:ind w:left="851"/>
        <w:rPr>
          <w:bCs/>
          <w:szCs w:val="24"/>
        </w:rPr>
      </w:pPr>
      <w:r w:rsidRPr="00ED66E9">
        <w:rPr>
          <w:bCs/>
          <w:szCs w:val="24"/>
        </w:rPr>
        <w:t xml:space="preserve">Det anbefales at den mindste dosis, der anvendes, er 0,4 mg svarende til 0,1 ml af produktet ved at bruge en 1 ml sprøjte til at trække </w:t>
      </w:r>
      <w:proofErr w:type="spellStart"/>
      <w:r w:rsidRPr="00ED66E9">
        <w:rPr>
          <w:bCs/>
          <w:szCs w:val="24"/>
        </w:rPr>
        <w:t>Dexavit</w:t>
      </w:r>
      <w:proofErr w:type="spellEnd"/>
      <w:r w:rsidRPr="00ED66E9">
        <w:rPr>
          <w:bCs/>
          <w:szCs w:val="24"/>
        </w:rPr>
        <w:t xml:space="preserve"> op fra ampullen. </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rPr>
      </w:pPr>
      <w:proofErr w:type="spellStart"/>
      <w:r w:rsidRPr="00ED66E9">
        <w:rPr>
          <w:szCs w:val="24"/>
        </w:rPr>
        <w:t>Dexavit</w:t>
      </w:r>
      <w:proofErr w:type="spellEnd"/>
      <w:r w:rsidRPr="00ED66E9">
        <w:rPr>
          <w:szCs w:val="24"/>
        </w:rPr>
        <w:t xml:space="preserve"> kan anvendes direkte eller tilsættes i en af følgende opløsninger og gives som infusion, se pkt. 6.6:</w:t>
      </w:r>
    </w:p>
    <w:p w:rsidR="00651052" w:rsidRPr="00ED66E9" w:rsidRDefault="00651052" w:rsidP="00651052">
      <w:pPr>
        <w:pStyle w:val="Listeafsnit"/>
        <w:numPr>
          <w:ilvl w:val="0"/>
          <w:numId w:val="8"/>
        </w:numPr>
        <w:rPr>
          <w:rFonts w:eastAsia="Calibri"/>
          <w:sz w:val="24"/>
          <w:szCs w:val="24"/>
        </w:rPr>
      </w:pPr>
      <w:r w:rsidRPr="00ED66E9">
        <w:rPr>
          <w:rFonts w:eastAsia="Calibri"/>
          <w:iCs/>
          <w:sz w:val="24"/>
          <w:szCs w:val="24"/>
        </w:rPr>
        <w:t xml:space="preserve">5 % </w:t>
      </w:r>
      <w:proofErr w:type="spellStart"/>
      <w:r w:rsidRPr="00ED66E9">
        <w:rPr>
          <w:rFonts w:eastAsia="Calibri"/>
          <w:iCs/>
          <w:sz w:val="24"/>
          <w:szCs w:val="24"/>
        </w:rPr>
        <w:t>glucose</w:t>
      </w:r>
      <w:proofErr w:type="spellEnd"/>
    </w:p>
    <w:p w:rsidR="00651052" w:rsidRPr="00ED66E9" w:rsidRDefault="00651052" w:rsidP="00651052">
      <w:pPr>
        <w:pStyle w:val="Listeafsnit"/>
        <w:numPr>
          <w:ilvl w:val="0"/>
          <w:numId w:val="8"/>
        </w:numPr>
        <w:rPr>
          <w:rFonts w:eastAsia="Calibri"/>
          <w:sz w:val="24"/>
          <w:szCs w:val="24"/>
        </w:rPr>
      </w:pPr>
      <w:r w:rsidRPr="00ED66E9">
        <w:rPr>
          <w:rFonts w:eastAsia="Calibri"/>
          <w:iCs/>
          <w:sz w:val="24"/>
          <w:szCs w:val="24"/>
        </w:rPr>
        <w:t xml:space="preserve">0,9 % </w:t>
      </w:r>
      <w:proofErr w:type="spellStart"/>
      <w:r w:rsidRPr="00ED66E9">
        <w:rPr>
          <w:rFonts w:eastAsia="Calibri"/>
          <w:iCs/>
          <w:sz w:val="24"/>
          <w:szCs w:val="24"/>
        </w:rPr>
        <w:t>natriumchlorid</w:t>
      </w:r>
      <w:proofErr w:type="spellEnd"/>
    </w:p>
    <w:p w:rsidR="00651052" w:rsidRPr="00ED66E9" w:rsidRDefault="00651052" w:rsidP="00651052">
      <w:pPr>
        <w:pStyle w:val="Listeafsnit"/>
        <w:numPr>
          <w:ilvl w:val="0"/>
          <w:numId w:val="8"/>
        </w:numPr>
        <w:rPr>
          <w:rFonts w:eastAsia="Calibri"/>
          <w:sz w:val="24"/>
          <w:szCs w:val="24"/>
        </w:rPr>
      </w:pPr>
      <w:r w:rsidRPr="00ED66E9">
        <w:rPr>
          <w:rFonts w:eastAsia="Calibri"/>
          <w:sz w:val="24"/>
          <w:szCs w:val="24"/>
        </w:rPr>
        <w:t>Ringer-laktat</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bCs/>
          <w:szCs w:val="24"/>
        </w:rPr>
      </w:pPr>
      <w:r w:rsidRPr="00ED66E9">
        <w:rPr>
          <w:szCs w:val="24"/>
        </w:rPr>
        <w:t xml:space="preserve">Det skal bemærkes, at dosisbehovet varierer og skal tilpasses individuelt afhængigt af sygdommen og patienten. </w:t>
      </w:r>
    </w:p>
    <w:p w:rsidR="00651052" w:rsidRPr="00ED66E9" w:rsidRDefault="00651052" w:rsidP="00651052">
      <w:pPr>
        <w:pStyle w:val="Brdtekst"/>
        <w:ind w:left="851" w:hanging="851"/>
        <w:rPr>
          <w:noProof/>
          <w:szCs w:val="24"/>
        </w:rPr>
      </w:pPr>
    </w:p>
    <w:p w:rsidR="00651052" w:rsidRPr="00ED66E9" w:rsidRDefault="00651052" w:rsidP="00651052">
      <w:pPr>
        <w:ind w:left="851"/>
        <w:rPr>
          <w:noProof/>
          <w:sz w:val="24"/>
          <w:szCs w:val="24"/>
          <w:u w:val="single"/>
        </w:rPr>
      </w:pPr>
      <w:r w:rsidRPr="00ED66E9">
        <w:rPr>
          <w:noProof/>
          <w:sz w:val="24"/>
          <w:szCs w:val="24"/>
          <w:u w:val="single"/>
        </w:rPr>
        <w:t>Dosering</w:t>
      </w:r>
    </w:p>
    <w:p w:rsidR="00651052" w:rsidRPr="00ED66E9" w:rsidRDefault="00651052" w:rsidP="00651052">
      <w:pPr>
        <w:pStyle w:val="Brdtekst"/>
        <w:ind w:left="851" w:hanging="851"/>
        <w:rPr>
          <w:noProof/>
          <w:szCs w:val="24"/>
        </w:rPr>
      </w:pPr>
    </w:p>
    <w:p w:rsidR="00651052" w:rsidRPr="00ED66E9" w:rsidRDefault="00651052" w:rsidP="00651052">
      <w:pPr>
        <w:pStyle w:val="Brdtekst"/>
        <w:ind w:left="851"/>
        <w:rPr>
          <w:i/>
          <w:szCs w:val="24"/>
        </w:rPr>
      </w:pPr>
      <w:r w:rsidRPr="00ED66E9">
        <w:rPr>
          <w:i/>
          <w:szCs w:val="24"/>
        </w:rPr>
        <w:t xml:space="preserve">Intravenøs (og intramuskulær) administration </w:t>
      </w:r>
    </w:p>
    <w:p w:rsidR="00651052" w:rsidRPr="00ED66E9" w:rsidRDefault="00651052" w:rsidP="00651052">
      <w:pPr>
        <w:pStyle w:val="Brdtekst"/>
        <w:numPr>
          <w:ilvl w:val="0"/>
          <w:numId w:val="6"/>
        </w:numPr>
        <w:ind w:left="1276" w:hanging="425"/>
        <w:rPr>
          <w:szCs w:val="24"/>
        </w:rPr>
      </w:pPr>
      <w:proofErr w:type="spellStart"/>
      <w:r w:rsidRPr="00ED66E9">
        <w:rPr>
          <w:szCs w:val="24"/>
        </w:rPr>
        <w:t>Subakutte</w:t>
      </w:r>
      <w:proofErr w:type="spellEnd"/>
      <w:r w:rsidRPr="00ED66E9">
        <w:rPr>
          <w:szCs w:val="24"/>
        </w:rPr>
        <w:t xml:space="preserve"> former af cerebralt ødem: Administrer initialt 8 mg </w:t>
      </w:r>
      <w:proofErr w:type="spellStart"/>
      <w:r w:rsidRPr="00ED66E9">
        <w:rPr>
          <w:szCs w:val="24"/>
        </w:rPr>
        <w:t>dexamethasonphosphat</w:t>
      </w:r>
      <w:proofErr w:type="spellEnd"/>
      <w:r w:rsidRPr="00ED66E9">
        <w:rPr>
          <w:szCs w:val="24"/>
        </w:rPr>
        <w:t xml:space="preserve"> </w:t>
      </w:r>
      <w:proofErr w:type="spellStart"/>
      <w:r w:rsidRPr="00ED66E9">
        <w:rPr>
          <w:szCs w:val="24"/>
        </w:rPr>
        <w:t>i.v</w:t>
      </w:r>
      <w:proofErr w:type="spellEnd"/>
      <w:r w:rsidRPr="00ED66E9">
        <w:rPr>
          <w:szCs w:val="24"/>
        </w:rPr>
        <w:t xml:space="preserve">. efterfulgt af 4 mg </w:t>
      </w:r>
      <w:proofErr w:type="spellStart"/>
      <w:r w:rsidRPr="00ED66E9">
        <w:rPr>
          <w:szCs w:val="24"/>
        </w:rPr>
        <w:t>i.v</w:t>
      </w:r>
      <w:proofErr w:type="spellEnd"/>
      <w:r w:rsidRPr="00ED66E9">
        <w:rPr>
          <w:szCs w:val="24"/>
        </w:rPr>
        <w:t xml:space="preserve">. hver 6. time. </w:t>
      </w:r>
    </w:p>
    <w:p w:rsidR="00651052" w:rsidRPr="00ED66E9" w:rsidRDefault="00651052" w:rsidP="00651052">
      <w:pPr>
        <w:pStyle w:val="Brdtekst"/>
        <w:numPr>
          <w:ilvl w:val="0"/>
          <w:numId w:val="6"/>
        </w:numPr>
        <w:ind w:left="1276" w:hanging="425"/>
        <w:rPr>
          <w:szCs w:val="24"/>
        </w:rPr>
      </w:pPr>
      <w:r w:rsidRPr="00ED66E9">
        <w:rPr>
          <w:szCs w:val="24"/>
        </w:rPr>
        <w:t xml:space="preserve">Hjerneabsces: Initial dosis på 4-8 mg </w:t>
      </w:r>
      <w:proofErr w:type="spellStart"/>
      <w:r w:rsidRPr="00ED66E9">
        <w:rPr>
          <w:szCs w:val="24"/>
        </w:rPr>
        <w:t>dexamethasonphosphat</w:t>
      </w:r>
      <w:proofErr w:type="spellEnd"/>
      <w:r w:rsidRPr="00ED66E9">
        <w:rPr>
          <w:szCs w:val="24"/>
        </w:rPr>
        <w:t xml:space="preserve">, 4-6 gange daglig. Dosis nedtrappes gradvist ved langvarig behandling. </w:t>
      </w:r>
    </w:p>
    <w:p w:rsidR="00651052" w:rsidRPr="00ED66E9" w:rsidRDefault="00651052" w:rsidP="00651052">
      <w:pPr>
        <w:pStyle w:val="Brdtekst"/>
        <w:numPr>
          <w:ilvl w:val="0"/>
          <w:numId w:val="6"/>
        </w:numPr>
        <w:ind w:left="1276" w:hanging="425"/>
        <w:rPr>
          <w:szCs w:val="24"/>
        </w:rPr>
      </w:pPr>
      <w:r w:rsidRPr="00ED66E9">
        <w:rPr>
          <w:szCs w:val="24"/>
        </w:rPr>
        <w:t xml:space="preserve">Bakteriel </w:t>
      </w:r>
      <w:proofErr w:type="spellStart"/>
      <w:r w:rsidRPr="00ED66E9">
        <w:rPr>
          <w:szCs w:val="24"/>
        </w:rPr>
        <w:t>meningit</w:t>
      </w:r>
      <w:proofErr w:type="spellEnd"/>
      <w:r w:rsidRPr="00ED66E9">
        <w:rPr>
          <w:szCs w:val="24"/>
        </w:rPr>
        <w:t xml:space="preserve">: Før administration af den første antibiotikadosis, gives 0,15 mg/kg </w:t>
      </w:r>
      <w:proofErr w:type="spellStart"/>
      <w:r w:rsidRPr="00ED66E9">
        <w:rPr>
          <w:szCs w:val="24"/>
        </w:rPr>
        <w:t>dexamethasonphosphat</w:t>
      </w:r>
      <w:proofErr w:type="spellEnd"/>
      <w:r w:rsidRPr="00ED66E9">
        <w:rPr>
          <w:szCs w:val="24"/>
        </w:rPr>
        <w:t xml:space="preserve">.  Der fortsættes med denne dosis 4 gange daglig i de første dage af behandlingen. </w:t>
      </w:r>
    </w:p>
    <w:p w:rsidR="00651052" w:rsidRPr="00ED66E9" w:rsidRDefault="00651052" w:rsidP="00651052">
      <w:pPr>
        <w:pStyle w:val="Brdtekst"/>
        <w:numPr>
          <w:ilvl w:val="0"/>
          <w:numId w:val="6"/>
        </w:numPr>
        <w:ind w:left="1276" w:hanging="425"/>
        <w:rPr>
          <w:szCs w:val="24"/>
        </w:rPr>
      </w:pPr>
      <w:r w:rsidRPr="00ED66E9">
        <w:rPr>
          <w:szCs w:val="24"/>
        </w:rPr>
        <w:t xml:space="preserve">Akutte hudtilstande og </w:t>
      </w:r>
      <w:proofErr w:type="spellStart"/>
      <w:r w:rsidRPr="00ED66E9">
        <w:rPr>
          <w:szCs w:val="24"/>
        </w:rPr>
        <w:t>kollagenose</w:t>
      </w:r>
      <w:proofErr w:type="spellEnd"/>
      <w:r w:rsidRPr="00ED66E9">
        <w:rPr>
          <w:szCs w:val="24"/>
        </w:rPr>
        <w:t xml:space="preserve">: Afhængigt af sygdommens art og omfang administreres daglige doser på 0,8-9 mg (0,2 – 2,25 ml) </w:t>
      </w:r>
      <w:proofErr w:type="spellStart"/>
      <w:r w:rsidRPr="00ED66E9">
        <w:rPr>
          <w:szCs w:val="24"/>
        </w:rPr>
        <w:t>dexamethasonphosphat</w:t>
      </w:r>
      <w:proofErr w:type="spellEnd"/>
      <w:r w:rsidRPr="00ED66E9">
        <w:rPr>
          <w:szCs w:val="24"/>
        </w:rPr>
        <w:t xml:space="preserve">. Derefter administreres oral </w:t>
      </w:r>
      <w:proofErr w:type="spellStart"/>
      <w:r w:rsidRPr="00ED66E9">
        <w:rPr>
          <w:szCs w:val="24"/>
        </w:rPr>
        <w:t>kortikosteroidbehandling</w:t>
      </w:r>
      <w:proofErr w:type="spellEnd"/>
      <w:r w:rsidRPr="00ED66E9">
        <w:rPr>
          <w:szCs w:val="24"/>
        </w:rPr>
        <w:t xml:space="preserve"> i gradvist faldende doser. </w:t>
      </w:r>
    </w:p>
    <w:p w:rsidR="00651052" w:rsidRPr="00ED66E9" w:rsidRDefault="00651052" w:rsidP="00651052">
      <w:pPr>
        <w:pStyle w:val="Brdtekst"/>
        <w:numPr>
          <w:ilvl w:val="0"/>
          <w:numId w:val="6"/>
        </w:numPr>
        <w:ind w:left="1276" w:hanging="425"/>
        <w:rPr>
          <w:szCs w:val="24"/>
        </w:rPr>
      </w:pPr>
      <w:r w:rsidRPr="00ED66E9">
        <w:rPr>
          <w:szCs w:val="24"/>
        </w:rPr>
        <w:t xml:space="preserve">Svære infektionssygdomme: Først efter administration af passende </w:t>
      </w:r>
      <w:proofErr w:type="spellStart"/>
      <w:r w:rsidRPr="00ED66E9">
        <w:rPr>
          <w:szCs w:val="24"/>
        </w:rPr>
        <w:t>antiinfektionsbehandling</w:t>
      </w:r>
      <w:proofErr w:type="spellEnd"/>
      <w:r w:rsidRPr="00ED66E9">
        <w:rPr>
          <w:szCs w:val="24"/>
        </w:rPr>
        <w:t xml:space="preserve">, fortsættes med </w:t>
      </w:r>
      <w:proofErr w:type="spellStart"/>
      <w:r w:rsidRPr="00ED66E9">
        <w:rPr>
          <w:szCs w:val="24"/>
        </w:rPr>
        <w:t>i.v</w:t>
      </w:r>
      <w:proofErr w:type="spellEnd"/>
      <w:r w:rsidRPr="00ED66E9">
        <w:rPr>
          <w:szCs w:val="24"/>
        </w:rPr>
        <w:t xml:space="preserve">. administration af 4-20 mg/dag </w:t>
      </w:r>
      <w:proofErr w:type="spellStart"/>
      <w:r w:rsidRPr="00ED66E9">
        <w:rPr>
          <w:szCs w:val="24"/>
        </w:rPr>
        <w:t>dexamethasonphosphat</w:t>
      </w:r>
      <w:proofErr w:type="spellEnd"/>
      <w:r w:rsidRPr="00ED66E9">
        <w:rPr>
          <w:szCs w:val="24"/>
        </w:rPr>
        <w:t xml:space="preserve"> eller oral </w:t>
      </w:r>
      <w:proofErr w:type="spellStart"/>
      <w:r w:rsidRPr="00ED66E9">
        <w:rPr>
          <w:szCs w:val="24"/>
        </w:rPr>
        <w:t>dexamethason</w:t>
      </w:r>
      <w:proofErr w:type="spellEnd"/>
      <w:r w:rsidRPr="00ED66E9">
        <w:rPr>
          <w:szCs w:val="24"/>
        </w:rPr>
        <w:t xml:space="preserve"> i få dage. </w:t>
      </w:r>
    </w:p>
    <w:p w:rsidR="00651052" w:rsidRPr="00ED66E9" w:rsidRDefault="00651052" w:rsidP="00651052">
      <w:pPr>
        <w:pStyle w:val="Brdtekst"/>
        <w:numPr>
          <w:ilvl w:val="0"/>
          <w:numId w:val="6"/>
        </w:numPr>
        <w:ind w:left="1276" w:hanging="425"/>
        <w:rPr>
          <w:szCs w:val="24"/>
        </w:rPr>
      </w:pPr>
      <w:r w:rsidRPr="00ED66E9">
        <w:rPr>
          <w:szCs w:val="24"/>
        </w:rPr>
        <w:t xml:space="preserve">Profylakse og behandling af kvalme og opkastning efter operation: Administrer en </w:t>
      </w:r>
      <w:bookmarkStart w:id="0" w:name="page3"/>
      <w:bookmarkEnd w:id="0"/>
      <w:r w:rsidRPr="00ED66E9">
        <w:rPr>
          <w:szCs w:val="24"/>
        </w:rPr>
        <w:t xml:space="preserve">enkelt dosis på 8-20 mg </w:t>
      </w:r>
      <w:proofErr w:type="spellStart"/>
      <w:r w:rsidRPr="00ED66E9">
        <w:rPr>
          <w:szCs w:val="24"/>
        </w:rPr>
        <w:t>dexamethasonphosphat</w:t>
      </w:r>
      <w:proofErr w:type="spellEnd"/>
      <w:r w:rsidRPr="00ED66E9">
        <w:rPr>
          <w:szCs w:val="24"/>
        </w:rPr>
        <w:t xml:space="preserve"> </w:t>
      </w:r>
      <w:proofErr w:type="spellStart"/>
      <w:r w:rsidRPr="00ED66E9">
        <w:rPr>
          <w:szCs w:val="24"/>
        </w:rPr>
        <w:t>i.v</w:t>
      </w:r>
      <w:proofErr w:type="spellEnd"/>
      <w:r w:rsidRPr="00ED66E9">
        <w:rPr>
          <w:szCs w:val="24"/>
        </w:rPr>
        <w:t>. før operation. Hos børn på to år og derover administreres 0,15-0,5 mg/kg legemsvægt (højst 16 mg).</w:t>
      </w:r>
    </w:p>
    <w:p w:rsidR="00651052" w:rsidRPr="00ED66E9" w:rsidRDefault="00651052" w:rsidP="00651052">
      <w:pPr>
        <w:pStyle w:val="Brdtekst"/>
        <w:numPr>
          <w:ilvl w:val="0"/>
          <w:numId w:val="6"/>
        </w:numPr>
        <w:ind w:left="1276" w:hanging="425"/>
        <w:rPr>
          <w:szCs w:val="24"/>
        </w:rPr>
      </w:pPr>
      <w:r w:rsidRPr="00ED66E9">
        <w:rPr>
          <w:szCs w:val="24"/>
        </w:rPr>
        <w:lastRenderedPageBreak/>
        <w:t xml:space="preserve">Profylakse og behandling af kvalme og opkastning fremkaldt af kemoterapi: 10-20 mg </w:t>
      </w:r>
      <w:proofErr w:type="spellStart"/>
      <w:r w:rsidRPr="00ED66E9">
        <w:rPr>
          <w:szCs w:val="24"/>
        </w:rPr>
        <w:t>dexamethasonphosphat</w:t>
      </w:r>
      <w:proofErr w:type="spellEnd"/>
      <w:r w:rsidRPr="00ED66E9">
        <w:rPr>
          <w:szCs w:val="24"/>
        </w:rPr>
        <w:t xml:space="preserve"> </w:t>
      </w:r>
      <w:proofErr w:type="spellStart"/>
      <w:r w:rsidRPr="00ED66E9">
        <w:rPr>
          <w:szCs w:val="24"/>
        </w:rPr>
        <w:t>i.v</w:t>
      </w:r>
      <w:proofErr w:type="spellEnd"/>
      <w:r w:rsidRPr="00ED66E9">
        <w:rPr>
          <w:szCs w:val="24"/>
        </w:rPr>
        <w:t xml:space="preserve">. eller oral </w:t>
      </w:r>
      <w:proofErr w:type="spellStart"/>
      <w:r w:rsidRPr="00ED66E9">
        <w:rPr>
          <w:szCs w:val="24"/>
        </w:rPr>
        <w:t>dexamethason</w:t>
      </w:r>
      <w:proofErr w:type="spellEnd"/>
      <w:r w:rsidRPr="00ED66E9">
        <w:rPr>
          <w:szCs w:val="24"/>
        </w:rPr>
        <w:t xml:space="preserve"> før kemoterapi påbegyndes. Om nødvendigt, administrer derefter 4-8 mg 2-3 gange daglig, enten oralt eller parenteralt i 1-3 dage (moderat </w:t>
      </w:r>
      <w:proofErr w:type="spellStart"/>
      <w:r w:rsidRPr="00ED66E9">
        <w:rPr>
          <w:szCs w:val="24"/>
        </w:rPr>
        <w:t>emetogen</w:t>
      </w:r>
      <w:proofErr w:type="spellEnd"/>
      <w:r w:rsidRPr="00ED66E9">
        <w:rPr>
          <w:szCs w:val="24"/>
        </w:rPr>
        <w:t xml:space="preserve"> kemoterapi) eller op til 6 dage (stærkt </w:t>
      </w:r>
      <w:proofErr w:type="spellStart"/>
      <w:r w:rsidRPr="00ED66E9">
        <w:rPr>
          <w:szCs w:val="24"/>
        </w:rPr>
        <w:t>emetogen</w:t>
      </w:r>
      <w:proofErr w:type="spellEnd"/>
      <w:r w:rsidRPr="00ED66E9">
        <w:rPr>
          <w:szCs w:val="24"/>
        </w:rPr>
        <w:t xml:space="preserve"> kemoterapi). </w:t>
      </w:r>
    </w:p>
    <w:p w:rsidR="00651052" w:rsidRPr="00ED66E9" w:rsidRDefault="00651052" w:rsidP="00651052">
      <w:pPr>
        <w:pStyle w:val="Brdtekst"/>
        <w:numPr>
          <w:ilvl w:val="0"/>
          <w:numId w:val="6"/>
        </w:numPr>
        <w:ind w:left="1276" w:hanging="425"/>
        <w:rPr>
          <w:szCs w:val="24"/>
        </w:rPr>
      </w:pPr>
      <w:r w:rsidRPr="00ED66E9">
        <w:rPr>
          <w:szCs w:val="24"/>
        </w:rPr>
        <w:t xml:space="preserve">Kortvarig </w:t>
      </w:r>
      <w:proofErr w:type="spellStart"/>
      <w:r w:rsidRPr="00ED66E9">
        <w:rPr>
          <w:szCs w:val="24"/>
        </w:rPr>
        <w:t>co-adjuverende</w:t>
      </w:r>
      <w:proofErr w:type="spellEnd"/>
      <w:r w:rsidRPr="00ED66E9">
        <w:rPr>
          <w:szCs w:val="24"/>
        </w:rPr>
        <w:t xml:space="preserve"> behandling ved akutte episoder eller forværring af reumatiske sygdomme: Den initiale </w:t>
      </w:r>
      <w:proofErr w:type="spellStart"/>
      <w:r w:rsidRPr="00ED66E9">
        <w:rPr>
          <w:szCs w:val="24"/>
        </w:rPr>
        <w:t>dexamethason</w:t>
      </w:r>
      <w:proofErr w:type="spellEnd"/>
      <w:r w:rsidRPr="00ED66E9">
        <w:rPr>
          <w:szCs w:val="24"/>
        </w:rPr>
        <w:t xml:space="preserve"> dosis er fra 0,8 til 9 mg daglig (0,2 – 2,25 ml), alt efter hvilken sygdom, der behandles. I mindre svære tilfælde kan doser på under 0,5 mg være tilstrækkelige, mens doser på mere end 9 mg kan være nødvendige i sværere tilfælde. Initial dosis bør opretholdes eller justeres, indtil patientens respons er tilfredsstillende. Hvis der ikke opnås et tilfredsstillende klinisk respons efter en rimelig periode, seponeres </w:t>
      </w:r>
      <w:proofErr w:type="spellStart"/>
      <w:r w:rsidRPr="00ED66E9">
        <w:rPr>
          <w:szCs w:val="24"/>
        </w:rPr>
        <w:t>dexamethason</w:t>
      </w:r>
      <w:proofErr w:type="spellEnd"/>
      <w:r w:rsidRPr="00ED66E9">
        <w:rPr>
          <w:szCs w:val="24"/>
        </w:rPr>
        <w:t xml:space="preserve">, og patienten overgår til anden behandling. </w:t>
      </w:r>
    </w:p>
    <w:p w:rsidR="00651052" w:rsidRPr="00ED66E9" w:rsidRDefault="00651052" w:rsidP="00651052">
      <w:pPr>
        <w:pStyle w:val="Brdtekst"/>
        <w:ind w:left="851" w:hanging="851"/>
        <w:rPr>
          <w:szCs w:val="24"/>
        </w:rPr>
      </w:pPr>
    </w:p>
    <w:p w:rsidR="00651052" w:rsidRPr="00ED66E9" w:rsidRDefault="00651052" w:rsidP="00651052">
      <w:pPr>
        <w:ind w:left="851"/>
        <w:rPr>
          <w:i/>
          <w:sz w:val="24"/>
          <w:szCs w:val="24"/>
        </w:rPr>
      </w:pPr>
      <w:proofErr w:type="spellStart"/>
      <w:r w:rsidRPr="00ED66E9">
        <w:rPr>
          <w:i/>
          <w:sz w:val="24"/>
          <w:szCs w:val="24"/>
        </w:rPr>
        <w:t>Intraartikulær</w:t>
      </w:r>
      <w:proofErr w:type="spellEnd"/>
      <w:r w:rsidRPr="00ED66E9">
        <w:rPr>
          <w:i/>
          <w:sz w:val="24"/>
          <w:szCs w:val="24"/>
        </w:rPr>
        <w:t xml:space="preserve"> administration og injektion direkte i infiltrationer</w:t>
      </w:r>
    </w:p>
    <w:p w:rsidR="00651052" w:rsidRPr="00ED66E9" w:rsidRDefault="00651052" w:rsidP="00651052">
      <w:pPr>
        <w:ind w:left="851"/>
        <w:rPr>
          <w:sz w:val="24"/>
          <w:szCs w:val="24"/>
        </w:rPr>
      </w:pPr>
      <w:proofErr w:type="spellStart"/>
      <w:r w:rsidRPr="00ED66E9">
        <w:rPr>
          <w:sz w:val="24"/>
          <w:szCs w:val="24"/>
        </w:rPr>
        <w:t>Intraartikulære</w:t>
      </w:r>
      <w:proofErr w:type="spellEnd"/>
      <w:r w:rsidRPr="00ED66E9">
        <w:rPr>
          <w:sz w:val="24"/>
          <w:szCs w:val="24"/>
        </w:rPr>
        <w:t xml:space="preserve"> injektioner eller injektioner direkte ind i lokale infiltrationer administreres typisk ved doser på 0,4-6 mg (0,1-1,5 ml) </w:t>
      </w:r>
      <w:proofErr w:type="spellStart"/>
      <w:r w:rsidRPr="00ED66E9">
        <w:rPr>
          <w:sz w:val="24"/>
          <w:szCs w:val="24"/>
        </w:rPr>
        <w:t>dexamethason</w:t>
      </w:r>
      <w:proofErr w:type="spellEnd"/>
      <w:r w:rsidRPr="00ED66E9">
        <w:rPr>
          <w:sz w:val="24"/>
          <w:szCs w:val="24"/>
        </w:rPr>
        <w:t xml:space="preserve">. </w:t>
      </w:r>
    </w:p>
    <w:p w:rsidR="00651052" w:rsidRPr="00ED66E9" w:rsidRDefault="00651052" w:rsidP="00651052">
      <w:pPr>
        <w:ind w:left="851"/>
        <w:rPr>
          <w:sz w:val="24"/>
          <w:szCs w:val="24"/>
        </w:rPr>
      </w:pPr>
    </w:p>
    <w:p w:rsidR="00651052" w:rsidRPr="00ED66E9" w:rsidRDefault="00651052" w:rsidP="00651052">
      <w:pPr>
        <w:ind w:left="851"/>
        <w:rPr>
          <w:sz w:val="24"/>
          <w:szCs w:val="24"/>
        </w:rPr>
      </w:pPr>
      <w:r w:rsidRPr="00ED66E9">
        <w:rPr>
          <w:noProof/>
          <w:sz w:val="24"/>
          <w:szCs w:val="24"/>
          <w:u w:val="single"/>
        </w:rPr>
        <w:t>Administration</w:t>
      </w:r>
    </w:p>
    <w:p w:rsidR="00651052" w:rsidRPr="00ED66E9" w:rsidRDefault="00651052" w:rsidP="00651052">
      <w:pPr>
        <w:ind w:left="851"/>
        <w:rPr>
          <w:sz w:val="24"/>
          <w:szCs w:val="24"/>
        </w:rPr>
      </w:pPr>
      <w:proofErr w:type="spellStart"/>
      <w:r w:rsidRPr="00ED66E9">
        <w:rPr>
          <w:sz w:val="24"/>
          <w:szCs w:val="24"/>
        </w:rPr>
        <w:t>Dexavit</w:t>
      </w:r>
      <w:proofErr w:type="spellEnd"/>
      <w:r w:rsidRPr="00ED66E9">
        <w:rPr>
          <w:sz w:val="24"/>
          <w:szCs w:val="24"/>
        </w:rPr>
        <w:t xml:space="preserve"> 4 mg/ml injektionsvæske opløsning administreres ved injektion eller ved langsom </w:t>
      </w:r>
      <w:proofErr w:type="spellStart"/>
      <w:r w:rsidRPr="00ED66E9">
        <w:rPr>
          <w:sz w:val="24"/>
          <w:szCs w:val="24"/>
        </w:rPr>
        <w:t>i.v</w:t>
      </w:r>
      <w:proofErr w:type="spellEnd"/>
      <w:r w:rsidRPr="00ED66E9">
        <w:rPr>
          <w:sz w:val="24"/>
          <w:szCs w:val="24"/>
        </w:rPr>
        <w:t xml:space="preserve">.-infusion. </w:t>
      </w:r>
      <w:proofErr w:type="spellStart"/>
      <w:r w:rsidRPr="00ED66E9">
        <w:rPr>
          <w:sz w:val="24"/>
          <w:szCs w:val="24"/>
        </w:rPr>
        <w:t>Dexavit</w:t>
      </w:r>
      <w:proofErr w:type="spellEnd"/>
      <w:r w:rsidRPr="00ED66E9">
        <w:rPr>
          <w:sz w:val="24"/>
          <w:szCs w:val="24"/>
        </w:rPr>
        <w:t xml:space="preserve"> kan også i henhold til indikationen administreres som </w:t>
      </w:r>
      <w:proofErr w:type="spellStart"/>
      <w:r w:rsidRPr="00ED66E9">
        <w:rPr>
          <w:sz w:val="24"/>
          <w:szCs w:val="24"/>
        </w:rPr>
        <w:t>intra</w:t>
      </w:r>
      <w:r w:rsidRPr="00ED66E9">
        <w:rPr>
          <w:sz w:val="24"/>
          <w:szCs w:val="24"/>
        </w:rPr>
        <w:softHyphen/>
      </w:r>
      <w:r w:rsidRPr="00ED66E9">
        <w:rPr>
          <w:sz w:val="24"/>
          <w:szCs w:val="24"/>
        </w:rPr>
        <w:softHyphen/>
        <w:t>musku</w:t>
      </w:r>
      <w:r w:rsidRPr="00ED66E9">
        <w:rPr>
          <w:sz w:val="24"/>
          <w:szCs w:val="24"/>
        </w:rPr>
        <w:softHyphen/>
        <w:t>-lær</w:t>
      </w:r>
      <w:proofErr w:type="spellEnd"/>
      <w:r w:rsidRPr="00ED66E9">
        <w:rPr>
          <w:sz w:val="24"/>
          <w:szCs w:val="24"/>
        </w:rPr>
        <w:t xml:space="preserve">-, </w:t>
      </w:r>
      <w:proofErr w:type="spellStart"/>
      <w:r w:rsidRPr="00ED66E9">
        <w:rPr>
          <w:sz w:val="24"/>
          <w:szCs w:val="24"/>
        </w:rPr>
        <w:t>intraartikulær</w:t>
      </w:r>
      <w:proofErr w:type="spellEnd"/>
      <w:r w:rsidRPr="00ED66E9">
        <w:rPr>
          <w:sz w:val="24"/>
          <w:szCs w:val="24"/>
        </w:rPr>
        <w:t>-injektion eller som injektion direkte i infiltrationer.</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rPr>
      </w:pPr>
      <w:r w:rsidRPr="00ED66E9">
        <w:rPr>
          <w:szCs w:val="24"/>
        </w:rPr>
        <w:t>Behandlingens varighed afhænger af indikationen.</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rPr>
      </w:pPr>
      <w:r w:rsidRPr="00ED66E9">
        <w:rPr>
          <w:szCs w:val="24"/>
        </w:rPr>
        <w:t>Når der er opnået et gunstigt initialt respons, bør den korrekte vedligeholdelsesdosis bestemmes ved gradvist at nedsætte initialdosis til den laveste dosis, som opretholder det ønskede terapeutiske respons. Patienterne monitoreres nøje for tegn på, om der er behov for justering af dosis. Dosis bør nedsættes gradvist. Behandlingen bør ligeledes altid seponeres gradvist.</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rPr>
      </w:pPr>
      <w:r w:rsidRPr="00ED66E9">
        <w:rPr>
          <w:szCs w:val="24"/>
        </w:rPr>
        <w:t xml:space="preserve">Pludselig </w:t>
      </w:r>
      <w:proofErr w:type="spellStart"/>
      <w:r w:rsidRPr="00ED66E9">
        <w:rPr>
          <w:szCs w:val="24"/>
        </w:rPr>
        <w:t>seponering</w:t>
      </w:r>
      <w:proofErr w:type="spellEnd"/>
      <w:r w:rsidRPr="00ED66E9">
        <w:rPr>
          <w:szCs w:val="24"/>
        </w:rPr>
        <w:t xml:space="preserve"> af medicinen efter mere end 10 dages behandling kan fremkalde akut binyreinsufficiens, og lægemidlet bør derfor nedtrappes gradvist.</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rPr>
      </w:pPr>
      <w:r w:rsidRPr="00ED66E9">
        <w:rPr>
          <w:szCs w:val="24"/>
        </w:rPr>
        <w:t xml:space="preserve">Hvis det skønnes nødvendigt at fortsætte vedligeholdelsesbehandling efter den initiale behandling, bør muligheden for fortsat behandling med </w:t>
      </w:r>
      <w:proofErr w:type="spellStart"/>
      <w:r w:rsidRPr="00ED66E9">
        <w:rPr>
          <w:szCs w:val="24"/>
        </w:rPr>
        <w:t>prednison</w:t>
      </w:r>
      <w:proofErr w:type="spellEnd"/>
      <w:r w:rsidRPr="00ED66E9">
        <w:rPr>
          <w:szCs w:val="24"/>
        </w:rPr>
        <w:t>/</w:t>
      </w:r>
      <w:proofErr w:type="spellStart"/>
      <w:r w:rsidRPr="00ED66E9">
        <w:rPr>
          <w:szCs w:val="24"/>
        </w:rPr>
        <w:t>prednisolon</w:t>
      </w:r>
      <w:proofErr w:type="spellEnd"/>
      <w:r w:rsidRPr="00ED66E9">
        <w:rPr>
          <w:szCs w:val="24"/>
        </w:rPr>
        <w:t xml:space="preserve"> overvejes, da disse lægemidler forårsager mindre binyresuppression.</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rPr>
      </w:pPr>
      <w:proofErr w:type="spellStart"/>
      <w:r w:rsidRPr="00ED66E9">
        <w:rPr>
          <w:szCs w:val="24"/>
        </w:rPr>
        <w:t>Intra-artikulære</w:t>
      </w:r>
      <w:proofErr w:type="spellEnd"/>
      <w:r w:rsidRPr="00ED66E9">
        <w:rPr>
          <w:szCs w:val="24"/>
        </w:rPr>
        <w:t xml:space="preserve"> injektioner er at betragte som svarende til åben </w:t>
      </w:r>
      <w:proofErr w:type="spellStart"/>
      <w:r w:rsidRPr="00ED66E9">
        <w:rPr>
          <w:szCs w:val="24"/>
        </w:rPr>
        <w:t>ledkirurgi</w:t>
      </w:r>
      <w:proofErr w:type="spellEnd"/>
      <w:r w:rsidRPr="00ED66E9">
        <w:rPr>
          <w:szCs w:val="24"/>
        </w:rPr>
        <w:t xml:space="preserve"> og skal derfor gives under strengt aseptiske forhold. En enkelt </w:t>
      </w:r>
      <w:proofErr w:type="spellStart"/>
      <w:r w:rsidRPr="00ED66E9">
        <w:rPr>
          <w:szCs w:val="24"/>
        </w:rPr>
        <w:t>intra-artikulær</w:t>
      </w:r>
      <w:proofErr w:type="spellEnd"/>
      <w:r w:rsidRPr="00ED66E9">
        <w:rPr>
          <w:szCs w:val="24"/>
        </w:rPr>
        <w:t xml:space="preserve"> injektion er normalt tilstrækkelig til at lindre symptomerne. Hvis en yderligere dosis skønnes nødvendig, bør denne administreres mindst 3-4 uger efter den første dosis. Antallet af injektioner pr. led bør begrænses til højst 3 eller 4. Medicinsk monitorering af leddet anbefales, især ved gentagne injektioner.</w:t>
      </w:r>
    </w:p>
    <w:p w:rsidR="00651052" w:rsidRPr="00ED66E9" w:rsidRDefault="00651052" w:rsidP="00651052">
      <w:pPr>
        <w:pStyle w:val="Brdtekst"/>
        <w:ind w:left="851" w:hanging="851"/>
        <w:rPr>
          <w:szCs w:val="24"/>
        </w:rPr>
      </w:pPr>
    </w:p>
    <w:p w:rsidR="00651052" w:rsidRPr="00E20F8C" w:rsidRDefault="00651052" w:rsidP="00E20F8C">
      <w:pPr>
        <w:ind w:left="851"/>
        <w:rPr>
          <w:i/>
          <w:sz w:val="24"/>
          <w:szCs w:val="24"/>
        </w:rPr>
      </w:pPr>
      <w:r w:rsidRPr="00E20F8C">
        <w:rPr>
          <w:i/>
          <w:sz w:val="24"/>
          <w:szCs w:val="24"/>
        </w:rPr>
        <w:t>Infiltrationer</w:t>
      </w:r>
    </w:p>
    <w:p w:rsidR="00651052" w:rsidRPr="00ED66E9" w:rsidRDefault="00651052" w:rsidP="00651052">
      <w:pPr>
        <w:ind w:left="851"/>
        <w:rPr>
          <w:noProof/>
          <w:sz w:val="24"/>
          <w:szCs w:val="24"/>
        </w:rPr>
      </w:pPr>
      <w:proofErr w:type="spellStart"/>
      <w:r w:rsidRPr="00ED66E9">
        <w:rPr>
          <w:sz w:val="24"/>
          <w:szCs w:val="24"/>
        </w:rPr>
        <w:t>Dexavit</w:t>
      </w:r>
      <w:proofErr w:type="spellEnd"/>
      <w:r w:rsidRPr="00ED66E9">
        <w:rPr>
          <w:sz w:val="24"/>
          <w:szCs w:val="24"/>
        </w:rPr>
        <w:t xml:space="preserve"> 4 mg/ml, injektionsvæske opløsning bør injiceres i det infiltrerede område, hvor smerten er kraftigst, eller i </w:t>
      </w:r>
      <w:proofErr w:type="spellStart"/>
      <w:r w:rsidRPr="00ED66E9">
        <w:rPr>
          <w:sz w:val="24"/>
          <w:szCs w:val="24"/>
        </w:rPr>
        <w:t>senetilhæftningerne</w:t>
      </w:r>
      <w:proofErr w:type="spellEnd"/>
      <w:r w:rsidRPr="00ED66E9">
        <w:rPr>
          <w:sz w:val="24"/>
          <w:szCs w:val="24"/>
        </w:rPr>
        <w:t>. Undgå injektioner med korte intervaller, og anvend strenge aseptiske forholdsregler. Vær særligt forsigtig med ikke at injicere opløsningen direkte i senen.</w:t>
      </w:r>
    </w:p>
    <w:p w:rsidR="00651052" w:rsidRPr="00ED66E9" w:rsidRDefault="00651052" w:rsidP="00651052">
      <w:pPr>
        <w:ind w:left="851"/>
        <w:rPr>
          <w:noProof/>
          <w:sz w:val="24"/>
          <w:szCs w:val="24"/>
        </w:rPr>
      </w:pPr>
    </w:p>
    <w:p w:rsidR="00651052" w:rsidRPr="00ED66E9" w:rsidRDefault="00651052" w:rsidP="00651052">
      <w:pPr>
        <w:ind w:left="851"/>
        <w:rPr>
          <w:i/>
          <w:noProof/>
          <w:sz w:val="24"/>
          <w:szCs w:val="24"/>
        </w:rPr>
      </w:pPr>
      <w:r w:rsidRPr="00ED66E9">
        <w:rPr>
          <w:i/>
          <w:noProof/>
          <w:sz w:val="24"/>
          <w:szCs w:val="24"/>
        </w:rPr>
        <w:t>Nedsat nyrefunktion</w:t>
      </w:r>
    </w:p>
    <w:p w:rsidR="00651052" w:rsidRPr="00ED66E9" w:rsidRDefault="00651052" w:rsidP="00832894">
      <w:pPr>
        <w:ind w:left="851"/>
        <w:rPr>
          <w:i/>
          <w:noProof/>
          <w:sz w:val="24"/>
          <w:szCs w:val="24"/>
        </w:rPr>
      </w:pPr>
      <w:r w:rsidRPr="00ED66E9">
        <w:rPr>
          <w:noProof/>
          <w:sz w:val="24"/>
          <w:szCs w:val="24"/>
        </w:rPr>
        <w:t>Justering af dosis er ikke nødvendig hos patienter med nedsat nyrefunktion (se også pkt. 5.2).</w:t>
      </w:r>
    </w:p>
    <w:p w:rsidR="00651052" w:rsidRPr="00ED66E9" w:rsidRDefault="00651052" w:rsidP="00651052">
      <w:pPr>
        <w:ind w:left="851"/>
        <w:rPr>
          <w:noProof/>
          <w:sz w:val="24"/>
          <w:szCs w:val="24"/>
        </w:rPr>
      </w:pPr>
    </w:p>
    <w:p w:rsidR="00651052" w:rsidRPr="00ED66E9" w:rsidRDefault="00651052" w:rsidP="00651052">
      <w:pPr>
        <w:ind w:left="851"/>
        <w:rPr>
          <w:i/>
          <w:noProof/>
          <w:sz w:val="24"/>
          <w:szCs w:val="24"/>
        </w:rPr>
      </w:pPr>
      <w:r w:rsidRPr="00ED66E9">
        <w:rPr>
          <w:i/>
          <w:noProof/>
          <w:sz w:val="24"/>
          <w:szCs w:val="24"/>
        </w:rPr>
        <w:t>Nedsat leverfunktion</w:t>
      </w:r>
    </w:p>
    <w:p w:rsidR="00651052" w:rsidRPr="00ED66E9" w:rsidRDefault="00651052" w:rsidP="00651052">
      <w:pPr>
        <w:ind w:left="851"/>
        <w:rPr>
          <w:noProof/>
          <w:sz w:val="24"/>
          <w:szCs w:val="24"/>
        </w:rPr>
      </w:pPr>
      <w:r w:rsidRPr="00ED66E9">
        <w:rPr>
          <w:noProof/>
          <w:sz w:val="24"/>
          <w:szCs w:val="24"/>
        </w:rPr>
        <w:t>Hos patienter med alvorlig leversygdom kan det være nødvendigt at justere dosis (se også pkt. 5.2).</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4.3</w:t>
      </w:r>
      <w:r w:rsidRPr="00ED66E9">
        <w:rPr>
          <w:b/>
          <w:sz w:val="24"/>
          <w:szCs w:val="24"/>
        </w:rPr>
        <w:tab/>
        <w:t>Kontraindikationer</w:t>
      </w:r>
    </w:p>
    <w:p w:rsidR="00651052" w:rsidRPr="00ED66E9" w:rsidRDefault="00651052" w:rsidP="00651052">
      <w:pPr>
        <w:pStyle w:val="Brdtekst"/>
        <w:ind w:left="851"/>
        <w:rPr>
          <w:szCs w:val="24"/>
        </w:rPr>
      </w:pPr>
      <w:r w:rsidRPr="00ED66E9">
        <w:rPr>
          <w:szCs w:val="24"/>
        </w:rPr>
        <w:t>Overfølsomhed for det aktive stof eller for et eller flere af hjælpestofferne anført i pkt. 6.1.</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rPr>
      </w:pPr>
      <w:r w:rsidRPr="00ED66E9">
        <w:rPr>
          <w:szCs w:val="24"/>
        </w:rPr>
        <w:t xml:space="preserve">Systemiske infektioner, medmindre specifik </w:t>
      </w:r>
      <w:proofErr w:type="spellStart"/>
      <w:r w:rsidRPr="00ED66E9">
        <w:rPr>
          <w:szCs w:val="24"/>
        </w:rPr>
        <w:t>anti-infektiv</w:t>
      </w:r>
      <w:proofErr w:type="spellEnd"/>
      <w:r w:rsidRPr="00ED66E9">
        <w:rPr>
          <w:szCs w:val="24"/>
        </w:rPr>
        <w:t xml:space="preserve"> terapi anvendes.</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rPr>
      </w:pPr>
      <w:r w:rsidRPr="00ED66E9">
        <w:rPr>
          <w:szCs w:val="24"/>
        </w:rPr>
        <w:t xml:space="preserve">Administration af vacciner indeholdende levende virus eller bakterier er kontraindiceret til patienter, der får </w:t>
      </w:r>
      <w:proofErr w:type="spellStart"/>
      <w:r w:rsidRPr="00ED66E9">
        <w:rPr>
          <w:szCs w:val="24"/>
        </w:rPr>
        <w:t>immunosuppressive</w:t>
      </w:r>
      <w:proofErr w:type="spellEnd"/>
      <w:r w:rsidRPr="00ED66E9">
        <w:rPr>
          <w:szCs w:val="24"/>
        </w:rPr>
        <w:t xml:space="preserve"> doser af </w:t>
      </w:r>
      <w:proofErr w:type="spellStart"/>
      <w:r w:rsidRPr="00ED66E9">
        <w:rPr>
          <w:szCs w:val="24"/>
        </w:rPr>
        <w:t>dexamethason</w:t>
      </w:r>
      <w:proofErr w:type="spellEnd"/>
      <w:r w:rsidRPr="00ED66E9">
        <w:rPr>
          <w:szCs w:val="24"/>
        </w:rPr>
        <w:t>.</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rPr>
      </w:pPr>
      <w:proofErr w:type="spellStart"/>
      <w:r w:rsidRPr="00ED66E9">
        <w:rPr>
          <w:szCs w:val="24"/>
        </w:rPr>
        <w:t>Intra-artikulære</w:t>
      </w:r>
      <w:proofErr w:type="spellEnd"/>
      <w:r w:rsidRPr="00ED66E9">
        <w:rPr>
          <w:szCs w:val="24"/>
        </w:rPr>
        <w:t xml:space="preserve"> injektioner er kontraindiceret i følgende tilfælde: </w:t>
      </w:r>
    </w:p>
    <w:p w:rsidR="00651052" w:rsidRPr="00ED66E9" w:rsidRDefault="00651052" w:rsidP="00651052">
      <w:pPr>
        <w:widowControl w:val="0"/>
        <w:autoSpaceDE w:val="0"/>
        <w:autoSpaceDN w:val="0"/>
        <w:adjustRightInd w:val="0"/>
        <w:spacing w:line="1" w:lineRule="exact"/>
        <w:ind w:left="851" w:hanging="851"/>
        <w:rPr>
          <w:b/>
          <w:bCs/>
          <w:sz w:val="24"/>
          <w:szCs w:val="24"/>
        </w:rPr>
      </w:pPr>
    </w:p>
    <w:p w:rsidR="00651052" w:rsidRPr="00ED66E9" w:rsidRDefault="00651052" w:rsidP="00651052">
      <w:pPr>
        <w:pStyle w:val="Brdtekst"/>
        <w:numPr>
          <w:ilvl w:val="0"/>
          <w:numId w:val="6"/>
        </w:numPr>
        <w:ind w:left="1134" w:hanging="283"/>
        <w:rPr>
          <w:szCs w:val="24"/>
        </w:rPr>
      </w:pPr>
      <w:r w:rsidRPr="00ED66E9">
        <w:rPr>
          <w:szCs w:val="24"/>
        </w:rPr>
        <w:t xml:space="preserve">Infektioner i eller meget tæt på det led, der skal behandles </w:t>
      </w:r>
    </w:p>
    <w:p w:rsidR="00651052" w:rsidRPr="00ED66E9" w:rsidRDefault="00651052" w:rsidP="00651052">
      <w:pPr>
        <w:pStyle w:val="Brdtekst"/>
        <w:numPr>
          <w:ilvl w:val="0"/>
          <w:numId w:val="6"/>
        </w:numPr>
        <w:ind w:left="1134" w:hanging="283"/>
        <w:rPr>
          <w:szCs w:val="24"/>
        </w:rPr>
      </w:pPr>
      <w:r w:rsidRPr="00ED66E9">
        <w:rPr>
          <w:szCs w:val="24"/>
        </w:rPr>
        <w:t xml:space="preserve">Bakteriel </w:t>
      </w:r>
      <w:proofErr w:type="spellStart"/>
      <w:r w:rsidRPr="00ED66E9">
        <w:rPr>
          <w:szCs w:val="24"/>
        </w:rPr>
        <w:t>artrit</w:t>
      </w:r>
      <w:proofErr w:type="spellEnd"/>
      <w:r w:rsidRPr="00ED66E9">
        <w:rPr>
          <w:szCs w:val="24"/>
        </w:rPr>
        <w:t xml:space="preserve"> </w:t>
      </w:r>
    </w:p>
    <w:p w:rsidR="00651052" w:rsidRPr="00ED66E9" w:rsidRDefault="00651052" w:rsidP="00651052">
      <w:pPr>
        <w:pStyle w:val="Brdtekst"/>
        <w:numPr>
          <w:ilvl w:val="0"/>
          <w:numId w:val="6"/>
        </w:numPr>
        <w:ind w:left="1134" w:hanging="283"/>
        <w:rPr>
          <w:szCs w:val="24"/>
        </w:rPr>
      </w:pPr>
      <w:r w:rsidRPr="00ED66E9">
        <w:rPr>
          <w:szCs w:val="24"/>
        </w:rPr>
        <w:t xml:space="preserve">Ustabilitet i det led, der skal behandles </w:t>
      </w:r>
    </w:p>
    <w:p w:rsidR="00651052" w:rsidRPr="00ED66E9" w:rsidRDefault="00651052" w:rsidP="00651052">
      <w:pPr>
        <w:pStyle w:val="Brdtekst"/>
        <w:numPr>
          <w:ilvl w:val="0"/>
          <w:numId w:val="6"/>
        </w:numPr>
        <w:ind w:left="1134" w:hanging="283"/>
        <w:rPr>
          <w:szCs w:val="24"/>
        </w:rPr>
      </w:pPr>
      <w:r w:rsidRPr="00ED66E9">
        <w:rPr>
          <w:szCs w:val="24"/>
        </w:rPr>
        <w:t xml:space="preserve">Blødningstendens (spontan eller på grund af </w:t>
      </w:r>
      <w:proofErr w:type="spellStart"/>
      <w:r w:rsidRPr="00ED66E9">
        <w:rPr>
          <w:szCs w:val="24"/>
        </w:rPr>
        <w:t>antikoagulantia</w:t>
      </w:r>
      <w:proofErr w:type="spellEnd"/>
      <w:r w:rsidRPr="00ED66E9">
        <w:rPr>
          <w:szCs w:val="24"/>
        </w:rPr>
        <w:t xml:space="preserve">) </w:t>
      </w:r>
    </w:p>
    <w:p w:rsidR="00651052" w:rsidRPr="00ED66E9" w:rsidRDefault="00651052" w:rsidP="00651052">
      <w:pPr>
        <w:pStyle w:val="Brdtekst"/>
        <w:numPr>
          <w:ilvl w:val="0"/>
          <w:numId w:val="6"/>
        </w:numPr>
        <w:ind w:left="1134" w:hanging="283"/>
        <w:rPr>
          <w:szCs w:val="24"/>
        </w:rPr>
      </w:pPr>
      <w:proofErr w:type="spellStart"/>
      <w:r w:rsidRPr="00ED66E9">
        <w:rPr>
          <w:szCs w:val="24"/>
        </w:rPr>
        <w:t>Perartikulær</w:t>
      </w:r>
      <w:proofErr w:type="spellEnd"/>
      <w:r w:rsidRPr="00ED66E9">
        <w:rPr>
          <w:szCs w:val="24"/>
        </w:rPr>
        <w:t xml:space="preserve"> forkalkning </w:t>
      </w:r>
    </w:p>
    <w:p w:rsidR="00651052" w:rsidRPr="00ED66E9" w:rsidRDefault="00651052" w:rsidP="00651052">
      <w:pPr>
        <w:pStyle w:val="Brdtekst"/>
        <w:numPr>
          <w:ilvl w:val="0"/>
          <w:numId w:val="6"/>
        </w:numPr>
        <w:ind w:left="1134" w:hanging="283"/>
        <w:rPr>
          <w:szCs w:val="24"/>
        </w:rPr>
      </w:pPr>
      <w:proofErr w:type="spellStart"/>
      <w:r w:rsidRPr="00ED66E9">
        <w:rPr>
          <w:szCs w:val="24"/>
        </w:rPr>
        <w:t>Avaskulær</w:t>
      </w:r>
      <w:proofErr w:type="spellEnd"/>
      <w:r w:rsidRPr="00ED66E9">
        <w:rPr>
          <w:szCs w:val="24"/>
        </w:rPr>
        <w:t xml:space="preserve"> nekrose i knoglen </w:t>
      </w:r>
    </w:p>
    <w:p w:rsidR="00651052" w:rsidRPr="00ED66E9" w:rsidRDefault="00651052" w:rsidP="00651052">
      <w:pPr>
        <w:pStyle w:val="Brdtekst"/>
        <w:numPr>
          <w:ilvl w:val="0"/>
          <w:numId w:val="6"/>
        </w:numPr>
        <w:ind w:left="1134" w:hanging="283"/>
        <w:rPr>
          <w:szCs w:val="24"/>
        </w:rPr>
      </w:pPr>
      <w:proofErr w:type="spellStart"/>
      <w:r w:rsidRPr="00ED66E9">
        <w:rPr>
          <w:szCs w:val="24"/>
        </w:rPr>
        <w:t>Seneruptur</w:t>
      </w:r>
      <w:proofErr w:type="spellEnd"/>
      <w:r w:rsidRPr="00ED66E9">
        <w:rPr>
          <w:szCs w:val="24"/>
        </w:rPr>
        <w:t xml:space="preserve"> </w:t>
      </w:r>
    </w:p>
    <w:p w:rsidR="00651052" w:rsidRPr="00ED66E9" w:rsidRDefault="00651052" w:rsidP="00651052">
      <w:pPr>
        <w:pStyle w:val="Brdtekst"/>
        <w:numPr>
          <w:ilvl w:val="0"/>
          <w:numId w:val="6"/>
        </w:numPr>
        <w:ind w:left="1134" w:hanging="283"/>
        <w:rPr>
          <w:szCs w:val="24"/>
        </w:rPr>
      </w:pPr>
      <w:proofErr w:type="spellStart"/>
      <w:r w:rsidRPr="00ED66E9">
        <w:rPr>
          <w:szCs w:val="24"/>
        </w:rPr>
        <w:t>Charcots</w:t>
      </w:r>
      <w:proofErr w:type="spellEnd"/>
      <w:r w:rsidRPr="00ED66E9">
        <w:rPr>
          <w:szCs w:val="24"/>
        </w:rPr>
        <w:t xml:space="preserve"> led </w:t>
      </w:r>
    </w:p>
    <w:p w:rsidR="00651052" w:rsidRPr="00ED66E9" w:rsidRDefault="00651052" w:rsidP="00651052">
      <w:pPr>
        <w:pStyle w:val="Brdtekst"/>
        <w:ind w:left="851" w:hanging="851"/>
        <w:rPr>
          <w:szCs w:val="24"/>
        </w:rPr>
      </w:pPr>
    </w:p>
    <w:p w:rsidR="00651052" w:rsidRPr="00ED66E9" w:rsidRDefault="00651052" w:rsidP="00651052">
      <w:pPr>
        <w:tabs>
          <w:tab w:val="left" w:pos="851"/>
        </w:tabs>
        <w:ind w:left="851" w:hanging="851"/>
        <w:rPr>
          <w:sz w:val="24"/>
          <w:szCs w:val="24"/>
        </w:rPr>
      </w:pPr>
      <w:r w:rsidRPr="00ED66E9">
        <w:rPr>
          <w:sz w:val="24"/>
          <w:szCs w:val="24"/>
        </w:rPr>
        <w:tab/>
        <w:t>Administration uden anden behandling af den tilgrundliggende årsag er kontraindiceret, når der er en infektion ved administrationsstedet.</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4.4</w:t>
      </w:r>
      <w:r w:rsidRPr="00ED66E9">
        <w:rPr>
          <w:b/>
          <w:sz w:val="24"/>
          <w:szCs w:val="24"/>
        </w:rPr>
        <w:tab/>
        <w:t>Særlige advarsler og forsigtighedsregler vedrørende brugen</w:t>
      </w:r>
    </w:p>
    <w:p w:rsidR="00651052" w:rsidRPr="00ED66E9" w:rsidRDefault="00651052" w:rsidP="00651052">
      <w:pPr>
        <w:pStyle w:val="Brdtekst"/>
        <w:ind w:left="851"/>
        <w:rPr>
          <w:bCs/>
          <w:szCs w:val="24"/>
        </w:rPr>
      </w:pPr>
      <w:r w:rsidRPr="00ED66E9">
        <w:rPr>
          <w:szCs w:val="24"/>
        </w:rPr>
        <w:t xml:space="preserve">Administration af </w:t>
      </w:r>
      <w:proofErr w:type="spellStart"/>
      <w:r w:rsidRPr="00ED66E9">
        <w:rPr>
          <w:szCs w:val="24"/>
        </w:rPr>
        <w:t>glukokortikoider</w:t>
      </w:r>
      <w:proofErr w:type="spellEnd"/>
      <w:r w:rsidRPr="00ED66E9">
        <w:rPr>
          <w:szCs w:val="24"/>
        </w:rPr>
        <w:t xml:space="preserve"> kan fremkalde binyreinsufficiens, især når der administreres høje doser i længere perioder.</w:t>
      </w:r>
    </w:p>
    <w:p w:rsidR="00651052" w:rsidRPr="00ED66E9" w:rsidRDefault="00651052" w:rsidP="00651052">
      <w:pPr>
        <w:pStyle w:val="Brdtekst"/>
        <w:ind w:left="851" w:hanging="851"/>
        <w:rPr>
          <w:bCs/>
          <w:szCs w:val="24"/>
        </w:rPr>
      </w:pPr>
    </w:p>
    <w:p w:rsidR="00651052" w:rsidRPr="00ED66E9" w:rsidRDefault="00651052" w:rsidP="00651052">
      <w:pPr>
        <w:pStyle w:val="Brdtekst"/>
        <w:ind w:left="851"/>
        <w:rPr>
          <w:szCs w:val="24"/>
        </w:rPr>
      </w:pPr>
      <w:r w:rsidRPr="00ED66E9">
        <w:rPr>
          <w:szCs w:val="24"/>
        </w:rPr>
        <w:t xml:space="preserve">Behandling med </w:t>
      </w:r>
      <w:proofErr w:type="spellStart"/>
      <w:r w:rsidRPr="00ED66E9">
        <w:rPr>
          <w:szCs w:val="24"/>
        </w:rPr>
        <w:t>Dexavit</w:t>
      </w:r>
      <w:proofErr w:type="spellEnd"/>
      <w:r w:rsidRPr="00ED66E9">
        <w:rPr>
          <w:szCs w:val="24"/>
        </w:rPr>
        <w:t xml:space="preserve"> kan på grund af immunsuppression øge risikoen for infektioner med bakterier, virus, svampe eller parasitter samt øge risikoen for opportunistiske infektioner. Symptomer på eksisterende infektioner eller infektioner, som er under udvikling, kan blive sløret og derved gøre det vanskeligere at stille en diagnose. </w:t>
      </w:r>
    </w:p>
    <w:p w:rsidR="00651052" w:rsidRPr="00ED66E9" w:rsidRDefault="00651052" w:rsidP="00651052">
      <w:pPr>
        <w:pStyle w:val="Brdtekst"/>
        <w:ind w:left="851"/>
        <w:rPr>
          <w:szCs w:val="24"/>
        </w:rPr>
      </w:pPr>
    </w:p>
    <w:p w:rsidR="00651052" w:rsidRPr="00ED66E9" w:rsidRDefault="00651052" w:rsidP="00651052">
      <w:pPr>
        <w:pStyle w:val="Brdtekst"/>
        <w:ind w:left="851"/>
        <w:rPr>
          <w:szCs w:val="24"/>
        </w:rPr>
      </w:pPr>
      <w:r w:rsidRPr="00ED66E9">
        <w:rPr>
          <w:szCs w:val="24"/>
        </w:rPr>
        <w:t xml:space="preserve">I situationer med fysisk belastning (f.eks. feber, uheld, operationer, fødsel) kan det være nødvendigt at øge den daglige </w:t>
      </w:r>
      <w:proofErr w:type="spellStart"/>
      <w:r w:rsidRPr="00ED66E9">
        <w:rPr>
          <w:szCs w:val="24"/>
        </w:rPr>
        <w:t>glukokortikoid</w:t>
      </w:r>
      <w:proofErr w:type="spellEnd"/>
      <w:r w:rsidRPr="00ED66E9">
        <w:rPr>
          <w:szCs w:val="24"/>
        </w:rPr>
        <w:t xml:space="preserve"> dosis midlertidigt. </w:t>
      </w:r>
    </w:p>
    <w:p w:rsidR="00651052" w:rsidRPr="00ED66E9" w:rsidRDefault="00651052" w:rsidP="00651052">
      <w:pPr>
        <w:pStyle w:val="Brdtekst"/>
        <w:ind w:left="851"/>
        <w:rPr>
          <w:szCs w:val="24"/>
        </w:rPr>
      </w:pPr>
    </w:p>
    <w:p w:rsidR="00651052" w:rsidRPr="00ED66E9" w:rsidRDefault="00651052" w:rsidP="00651052">
      <w:pPr>
        <w:pStyle w:val="Brdtekst"/>
        <w:ind w:left="851"/>
        <w:rPr>
          <w:szCs w:val="24"/>
        </w:rPr>
      </w:pPr>
      <w:r w:rsidRPr="00ED66E9">
        <w:rPr>
          <w:szCs w:val="24"/>
        </w:rPr>
        <w:t xml:space="preserve">Ved afslutning eller afbrydelse af langvarig </w:t>
      </w:r>
      <w:proofErr w:type="spellStart"/>
      <w:r w:rsidRPr="00ED66E9">
        <w:rPr>
          <w:szCs w:val="24"/>
        </w:rPr>
        <w:t>glukokortikoidbehandling</w:t>
      </w:r>
      <w:proofErr w:type="spellEnd"/>
      <w:r w:rsidRPr="00ED66E9">
        <w:rPr>
          <w:szCs w:val="24"/>
        </w:rPr>
        <w:t xml:space="preserve"> bør der tages højde for følgende risikofaktorer: Forværring eller recidiv af underliggende sygdom, akut binyreinsufficiens og steroidabstinenssyndrom.</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u w:val="single"/>
        </w:rPr>
      </w:pPr>
      <w:r w:rsidRPr="00ED66E9">
        <w:rPr>
          <w:szCs w:val="24"/>
          <w:u w:val="single"/>
        </w:rPr>
        <w:t>Infektioner og vaccinering</w:t>
      </w:r>
    </w:p>
    <w:p w:rsidR="00651052" w:rsidRPr="00ED66E9" w:rsidRDefault="00651052" w:rsidP="00651052">
      <w:pPr>
        <w:pStyle w:val="Brdtekst"/>
        <w:ind w:left="851"/>
        <w:rPr>
          <w:szCs w:val="24"/>
        </w:rPr>
      </w:pPr>
      <w:r w:rsidRPr="00ED66E9">
        <w:rPr>
          <w:szCs w:val="24"/>
        </w:rPr>
        <w:t xml:space="preserve">I tilfælde af en infektion skal der udvises forsigtighed og relevant behandling igangsættes. </w:t>
      </w:r>
    </w:p>
    <w:p w:rsidR="00651052" w:rsidRPr="00ED66E9" w:rsidRDefault="00651052" w:rsidP="00651052">
      <w:pPr>
        <w:pStyle w:val="Brdtekst"/>
        <w:ind w:left="851"/>
        <w:rPr>
          <w:szCs w:val="24"/>
        </w:rPr>
      </w:pPr>
      <w:r w:rsidRPr="00ED66E9">
        <w:rPr>
          <w:szCs w:val="24"/>
        </w:rPr>
        <w:t xml:space="preserve">Høje doser af </w:t>
      </w:r>
      <w:proofErr w:type="spellStart"/>
      <w:r w:rsidRPr="00ED66E9">
        <w:rPr>
          <w:szCs w:val="24"/>
        </w:rPr>
        <w:t>kortikosteroider</w:t>
      </w:r>
      <w:proofErr w:type="spellEnd"/>
      <w:r w:rsidRPr="00ED66E9">
        <w:rPr>
          <w:szCs w:val="24"/>
        </w:rPr>
        <w:t xml:space="preserve"> kan påvirke aktiv immunisering. Hvis der er vaccineret med en levende vaccine kort før initiering af behandling med </w:t>
      </w:r>
      <w:proofErr w:type="spellStart"/>
      <w:r w:rsidRPr="00ED66E9">
        <w:rPr>
          <w:szCs w:val="24"/>
        </w:rPr>
        <w:t>dexamethason</w:t>
      </w:r>
      <w:proofErr w:type="spellEnd"/>
      <w:r w:rsidRPr="00ED66E9">
        <w:rPr>
          <w:szCs w:val="24"/>
        </w:rPr>
        <w:t xml:space="preserve">, skal </w:t>
      </w:r>
      <w:proofErr w:type="spellStart"/>
      <w:r w:rsidRPr="00ED66E9">
        <w:rPr>
          <w:szCs w:val="24"/>
        </w:rPr>
        <w:t>dexamethason</w:t>
      </w:r>
      <w:proofErr w:type="spellEnd"/>
      <w:r w:rsidRPr="00ED66E9">
        <w:rPr>
          <w:szCs w:val="24"/>
        </w:rPr>
        <w:t xml:space="preserve"> indgives under tæt overvågning. </w:t>
      </w:r>
    </w:p>
    <w:p w:rsidR="00651052" w:rsidRPr="00ED66E9" w:rsidRDefault="00651052" w:rsidP="00651052">
      <w:pPr>
        <w:rPr>
          <w:rFonts w:eastAsiaTheme="minorHAnsi"/>
          <w:sz w:val="24"/>
          <w:szCs w:val="24"/>
        </w:rPr>
      </w:pPr>
      <w:r w:rsidRPr="00ED66E9">
        <w:rPr>
          <w:sz w:val="24"/>
          <w:szCs w:val="24"/>
        </w:rPr>
        <w:br w:type="page"/>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bCs/>
          <w:szCs w:val="24"/>
        </w:rPr>
      </w:pPr>
      <w:r w:rsidRPr="00ED66E9">
        <w:rPr>
          <w:szCs w:val="24"/>
        </w:rPr>
        <w:t xml:space="preserve">Patienten skal følges tæt i følgende tilfælde: </w:t>
      </w:r>
    </w:p>
    <w:p w:rsidR="00651052" w:rsidRPr="00ED66E9" w:rsidRDefault="00651052" w:rsidP="00651052">
      <w:pPr>
        <w:widowControl w:val="0"/>
        <w:autoSpaceDE w:val="0"/>
        <w:autoSpaceDN w:val="0"/>
        <w:adjustRightInd w:val="0"/>
        <w:spacing w:line="6" w:lineRule="exact"/>
        <w:ind w:left="851" w:hanging="851"/>
        <w:rPr>
          <w:b/>
          <w:bCs/>
          <w:sz w:val="24"/>
          <w:szCs w:val="24"/>
        </w:rPr>
      </w:pPr>
    </w:p>
    <w:p w:rsidR="00651052" w:rsidRPr="00ED66E9" w:rsidRDefault="00651052" w:rsidP="00651052">
      <w:pPr>
        <w:pStyle w:val="Brdtekst"/>
        <w:numPr>
          <w:ilvl w:val="0"/>
          <w:numId w:val="6"/>
        </w:numPr>
        <w:ind w:left="1276" w:hanging="425"/>
        <w:rPr>
          <w:szCs w:val="24"/>
        </w:rPr>
      </w:pPr>
      <w:r w:rsidRPr="00ED66E9">
        <w:rPr>
          <w:szCs w:val="24"/>
        </w:rPr>
        <w:t xml:space="preserve">Akutte og kroniske bakterieinfektioner: Anvend specifik antibiotikabehandling. Hos patienter med tuberkulose i anamnesen (risiko for reaktivering) bør </w:t>
      </w:r>
      <w:proofErr w:type="spellStart"/>
      <w:r w:rsidRPr="00ED66E9">
        <w:rPr>
          <w:szCs w:val="24"/>
        </w:rPr>
        <w:t>Dexavit</w:t>
      </w:r>
      <w:proofErr w:type="spellEnd"/>
      <w:r w:rsidRPr="00ED66E9">
        <w:rPr>
          <w:szCs w:val="24"/>
        </w:rPr>
        <w:t xml:space="preserve"> kun administreres i kombination med lægemidler mod tuberkulose. </w:t>
      </w:r>
    </w:p>
    <w:p w:rsidR="00651052" w:rsidRPr="00ED66E9" w:rsidRDefault="00651052" w:rsidP="00651052">
      <w:pPr>
        <w:pStyle w:val="Brdtekst"/>
        <w:numPr>
          <w:ilvl w:val="0"/>
          <w:numId w:val="6"/>
        </w:numPr>
        <w:ind w:left="1276" w:hanging="425"/>
        <w:rPr>
          <w:szCs w:val="24"/>
        </w:rPr>
      </w:pPr>
      <w:proofErr w:type="spellStart"/>
      <w:r w:rsidRPr="00ED66E9">
        <w:rPr>
          <w:szCs w:val="24"/>
        </w:rPr>
        <w:t>Lymfadenit</w:t>
      </w:r>
      <w:proofErr w:type="spellEnd"/>
      <w:r w:rsidRPr="00ED66E9">
        <w:rPr>
          <w:szCs w:val="24"/>
        </w:rPr>
        <w:t xml:space="preserve"> efter BCG-vaccination. </w:t>
      </w:r>
    </w:p>
    <w:p w:rsidR="00651052" w:rsidRPr="00ED66E9" w:rsidRDefault="00651052" w:rsidP="00651052">
      <w:pPr>
        <w:pStyle w:val="Brdtekst"/>
        <w:numPr>
          <w:ilvl w:val="0"/>
          <w:numId w:val="6"/>
        </w:numPr>
        <w:ind w:left="1276" w:hanging="425"/>
        <w:rPr>
          <w:szCs w:val="24"/>
        </w:rPr>
      </w:pPr>
      <w:proofErr w:type="spellStart"/>
      <w:r w:rsidRPr="00ED66E9">
        <w:rPr>
          <w:szCs w:val="24"/>
        </w:rPr>
        <w:t>HBsAg</w:t>
      </w:r>
      <w:proofErr w:type="spellEnd"/>
      <w:r w:rsidRPr="00ED66E9">
        <w:rPr>
          <w:szCs w:val="24"/>
        </w:rPr>
        <w:t xml:space="preserve">-positiv kronisk hepatitis. </w:t>
      </w:r>
    </w:p>
    <w:p w:rsidR="00651052" w:rsidRPr="00ED66E9" w:rsidRDefault="00651052" w:rsidP="00651052">
      <w:pPr>
        <w:pStyle w:val="Brdtekst"/>
        <w:numPr>
          <w:ilvl w:val="0"/>
          <w:numId w:val="6"/>
        </w:numPr>
        <w:ind w:left="1276" w:hanging="425"/>
        <w:rPr>
          <w:szCs w:val="24"/>
        </w:rPr>
      </w:pPr>
      <w:r w:rsidRPr="00ED66E9">
        <w:rPr>
          <w:szCs w:val="24"/>
        </w:rPr>
        <w:t xml:space="preserve">Akutte virusinfektioner (f.eks. herpes </w:t>
      </w:r>
      <w:proofErr w:type="spellStart"/>
      <w:r w:rsidRPr="00ED66E9">
        <w:rPr>
          <w:szCs w:val="24"/>
        </w:rPr>
        <w:t>zoster</w:t>
      </w:r>
      <w:proofErr w:type="spellEnd"/>
      <w:r w:rsidRPr="00ED66E9">
        <w:rPr>
          <w:szCs w:val="24"/>
        </w:rPr>
        <w:t xml:space="preserve">, herpes </w:t>
      </w:r>
      <w:proofErr w:type="spellStart"/>
      <w:r w:rsidRPr="00ED66E9">
        <w:rPr>
          <w:szCs w:val="24"/>
        </w:rPr>
        <w:t>simplex</w:t>
      </w:r>
      <w:proofErr w:type="spellEnd"/>
      <w:r w:rsidRPr="00ED66E9">
        <w:rPr>
          <w:szCs w:val="24"/>
        </w:rPr>
        <w:t xml:space="preserve">, </w:t>
      </w:r>
      <w:proofErr w:type="spellStart"/>
      <w:r w:rsidRPr="00ED66E9">
        <w:rPr>
          <w:szCs w:val="24"/>
        </w:rPr>
        <w:t>varicella</w:t>
      </w:r>
      <w:proofErr w:type="spellEnd"/>
      <w:r w:rsidRPr="00ED66E9">
        <w:rPr>
          <w:szCs w:val="24"/>
        </w:rPr>
        <w:t xml:space="preserve">, poliomyelitis, </w:t>
      </w:r>
      <w:proofErr w:type="spellStart"/>
      <w:r w:rsidRPr="00ED66E9">
        <w:rPr>
          <w:szCs w:val="24"/>
        </w:rPr>
        <w:t>keratitis</w:t>
      </w:r>
      <w:proofErr w:type="spellEnd"/>
      <w:r w:rsidRPr="00ED66E9">
        <w:rPr>
          <w:szCs w:val="24"/>
        </w:rPr>
        <w:t xml:space="preserve"> </w:t>
      </w:r>
      <w:proofErr w:type="spellStart"/>
      <w:r w:rsidRPr="00ED66E9">
        <w:rPr>
          <w:szCs w:val="24"/>
        </w:rPr>
        <w:t>herpetica</w:t>
      </w:r>
      <w:proofErr w:type="spellEnd"/>
      <w:r w:rsidRPr="00ED66E9">
        <w:rPr>
          <w:szCs w:val="24"/>
        </w:rPr>
        <w:t xml:space="preserve">, mæslinger). Virussygdomme kan blive særligt alvorlige hos personer, der er i behandling med </w:t>
      </w:r>
      <w:proofErr w:type="spellStart"/>
      <w:r w:rsidRPr="00ED66E9">
        <w:rPr>
          <w:szCs w:val="24"/>
        </w:rPr>
        <w:t>glukokortikoider</w:t>
      </w:r>
      <w:proofErr w:type="spellEnd"/>
      <w:r w:rsidRPr="00ED66E9">
        <w:rPr>
          <w:szCs w:val="24"/>
        </w:rPr>
        <w:t>.</w:t>
      </w:r>
    </w:p>
    <w:p w:rsidR="00651052" w:rsidRPr="00ED66E9" w:rsidRDefault="00651052" w:rsidP="00651052">
      <w:pPr>
        <w:pStyle w:val="Brdtekst"/>
        <w:numPr>
          <w:ilvl w:val="0"/>
          <w:numId w:val="6"/>
        </w:numPr>
        <w:ind w:left="1276" w:hanging="425"/>
        <w:rPr>
          <w:szCs w:val="24"/>
        </w:rPr>
      </w:pPr>
      <w:r w:rsidRPr="00ED66E9">
        <w:rPr>
          <w:szCs w:val="24"/>
        </w:rPr>
        <w:t>Det anbefales at udvise særlig forsigtighed hos patienter med svækket immunforsvar eller patienter, som ikke er immuniserede over for mæslinger eller skoldkopper, og som kan komme i kontakt med personer smittet med mæslinger eller skoldkopper.</w:t>
      </w:r>
    </w:p>
    <w:p w:rsidR="00651052" w:rsidRPr="00ED66E9" w:rsidRDefault="00651052" w:rsidP="00651052">
      <w:pPr>
        <w:pStyle w:val="Brdtekst"/>
        <w:numPr>
          <w:ilvl w:val="0"/>
          <w:numId w:val="6"/>
        </w:numPr>
        <w:ind w:left="1276" w:hanging="425"/>
        <w:rPr>
          <w:szCs w:val="24"/>
        </w:rPr>
      </w:pPr>
      <w:r w:rsidRPr="00ED66E9">
        <w:rPr>
          <w:szCs w:val="24"/>
        </w:rPr>
        <w:t xml:space="preserve">Systemiske </w:t>
      </w:r>
      <w:proofErr w:type="spellStart"/>
      <w:r w:rsidRPr="00ED66E9">
        <w:rPr>
          <w:szCs w:val="24"/>
        </w:rPr>
        <w:t>mykoser</w:t>
      </w:r>
      <w:proofErr w:type="spellEnd"/>
      <w:r w:rsidRPr="00ED66E9">
        <w:rPr>
          <w:szCs w:val="24"/>
        </w:rPr>
        <w:t xml:space="preserve"> og parasitære sygdomme (f.eks. </w:t>
      </w:r>
      <w:proofErr w:type="spellStart"/>
      <w:r w:rsidRPr="00ED66E9">
        <w:rPr>
          <w:szCs w:val="24"/>
        </w:rPr>
        <w:t>nematoder</w:t>
      </w:r>
      <w:proofErr w:type="spellEnd"/>
      <w:r w:rsidRPr="00ED66E9">
        <w:rPr>
          <w:szCs w:val="24"/>
        </w:rPr>
        <w:t xml:space="preserve">, amøbeinfektion): Samtidig behandling med </w:t>
      </w:r>
      <w:proofErr w:type="spellStart"/>
      <w:r w:rsidRPr="00ED66E9">
        <w:rPr>
          <w:szCs w:val="24"/>
        </w:rPr>
        <w:t>antimykotika</w:t>
      </w:r>
      <w:proofErr w:type="spellEnd"/>
      <w:r w:rsidRPr="00ED66E9">
        <w:rPr>
          <w:szCs w:val="24"/>
        </w:rPr>
        <w:t xml:space="preserve"> og midler mod parasitter anbefales. Hos patienter med svær manifest </w:t>
      </w:r>
      <w:proofErr w:type="spellStart"/>
      <w:r w:rsidRPr="00ED66E9">
        <w:rPr>
          <w:szCs w:val="24"/>
        </w:rPr>
        <w:t>Strongyloides-infestation</w:t>
      </w:r>
      <w:proofErr w:type="spellEnd"/>
      <w:r w:rsidRPr="00ED66E9">
        <w:rPr>
          <w:szCs w:val="24"/>
        </w:rPr>
        <w:t xml:space="preserve"> eller mistanke herom, kan </w:t>
      </w:r>
      <w:proofErr w:type="spellStart"/>
      <w:r w:rsidRPr="00ED66E9">
        <w:rPr>
          <w:szCs w:val="24"/>
        </w:rPr>
        <w:t>glukokortikoider</w:t>
      </w:r>
      <w:proofErr w:type="spellEnd"/>
      <w:r w:rsidRPr="00ED66E9">
        <w:rPr>
          <w:szCs w:val="24"/>
        </w:rPr>
        <w:t xml:space="preserve"> forårsage aktivering og spredning. </w:t>
      </w:r>
    </w:p>
    <w:p w:rsidR="00651052" w:rsidRPr="00ED66E9" w:rsidRDefault="00651052" w:rsidP="00651052">
      <w:pPr>
        <w:pStyle w:val="Brdtekst"/>
        <w:numPr>
          <w:ilvl w:val="0"/>
          <w:numId w:val="6"/>
        </w:numPr>
        <w:ind w:left="1276" w:hanging="425"/>
        <w:rPr>
          <w:szCs w:val="24"/>
        </w:rPr>
      </w:pPr>
      <w:proofErr w:type="spellStart"/>
      <w:r w:rsidRPr="00ED66E9">
        <w:rPr>
          <w:szCs w:val="24"/>
        </w:rPr>
        <w:t>Dexamethason</w:t>
      </w:r>
      <w:proofErr w:type="spellEnd"/>
      <w:r w:rsidRPr="00ED66E9">
        <w:rPr>
          <w:szCs w:val="24"/>
        </w:rPr>
        <w:t xml:space="preserve"> bør undgås indtil 8 uger efter levende vaccine er administreret. Hvis </w:t>
      </w:r>
      <w:proofErr w:type="spellStart"/>
      <w:r w:rsidRPr="00ED66E9">
        <w:rPr>
          <w:szCs w:val="24"/>
        </w:rPr>
        <w:t>dexamethason</w:t>
      </w:r>
      <w:proofErr w:type="spellEnd"/>
      <w:r w:rsidRPr="00ED66E9">
        <w:rPr>
          <w:szCs w:val="24"/>
        </w:rPr>
        <w:t xml:space="preserve"> indiceres kort tid efter (2 uger) bør patient overvåges nøje.</w:t>
      </w:r>
      <w:bookmarkStart w:id="1" w:name="page5"/>
      <w:bookmarkEnd w:id="1"/>
      <w:r w:rsidRPr="00ED66E9">
        <w:rPr>
          <w:szCs w:val="24"/>
        </w:rPr>
        <w:t xml:space="preserve"> Det skal dog bemærkes, at når der administreres høje doser </w:t>
      </w:r>
      <w:proofErr w:type="spellStart"/>
      <w:r w:rsidRPr="00ED66E9">
        <w:rPr>
          <w:szCs w:val="24"/>
        </w:rPr>
        <w:t>glukokortikoider</w:t>
      </w:r>
      <w:proofErr w:type="spellEnd"/>
      <w:r w:rsidRPr="00ED66E9">
        <w:rPr>
          <w:szCs w:val="24"/>
        </w:rPr>
        <w:t xml:space="preserve"> kan immunresponset og dermed resultatet af vaccinationen kan blive kompromitteret.</w:t>
      </w:r>
    </w:p>
    <w:p w:rsidR="00651052" w:rsidRPr="00ED66E9" w:rsidRDefault="00651052" w:rsidP="00651052">
      <w:pPr>
        <w:widowControl w:val="0"/>
        <w:overflowPunct w:val="0"/>
        <w:autoSpaceDE w:val="0"/>
        <w:autoSpaceDN w:val="0"/>
        <w:adjustRightInd w:val="0"/>
        <w:ind w:left="851" w:hanging="851"/>
        <w:jc w:val="both"/>
        <w:rPr>
          <w:sz w:val="24"/>
          <w:szCs w:val="24"/>
          <w:u w:val="single"/>
        </w:rPr>
      </w:pPr>
    </w:p>
    <w:p w:rsidR="00651052" w:rsidRPr="00ED66E9" w:rsidRDefault="00651052" w:rsidP="00651052">
      <w:pPr>
        <w:pStyle w:val="Brdtekst"/>
        <w:ind w:left="851"/>
        <w:rPr>
          <w:szCs w:val="24"/>
          <w:u w:val="single"/>
        </w:rPr>
      </w:pPr>
      <w:proofErr w:type="spellStart"/>
      <w:r w:rsidRPr="00ED66E9">
        <w:rPr>
          <w:szCs w:val="24"/>
          <w:u w:val="single"/>
        </w:rPr>
        <w:t>Anafylaktiske</w:t>
      </w:r>
      <w:proofErr w:type="spellEnd"/>
      <w:r w:rsidRPr="00ED66E9">
        <w:rPr>
          <w:szCs w:val="24"/>
          <w:u w:val="single"/>
        </w:rPr>
        <w:t xml:space="preserve"> reaktioner</w:t>
      </w:r>
    </w:p>
    <w:p w:rsidR="00651052" w:rsidRPr="00ED66E9" w:rsidRDefault="00651052" w:rsidP="00651052">
      <w:pPr>
        <w:pStyle w:val="Brdtekst"/>
        <w:ind w:left="851"/>
        <w:rPr>
          <w:szCs w:val="24"/>
        </w:rPr>
      </w:pPr>
      <w:proofErr w:type="spellStart"/>
      <w:r w:rsidRPr="00ED66E9">
        <w:rPr>
          <w:szCs w:val="24"/>
        </w:rPr>
        <w:t>Anafylaktiske</w:t>
      </w:r>
      <w:proofErr w:type="spellEnd"/>
      <w:r w:rsidRPr="00ED66E9">
        <w:rPr>
          <w:szCs w:val="24"/>
        </w:rPr>
        <w:t xml:space="preserve"> og overfølsomheds reaktioner er rapporteret efter injektion af </w:t>
      </w:r>
      <w:proofErr w:type="spellStart"/>
      <w:r w:rsidRPr="00ED66E9">
        <w:rPr>
          <w:szCs w:val="24"/>
        </w:rPr>
        <w:t>dexamethason</w:t>
      </w:r>
      <w:proofErr w:type="spellEnd"/>
      <w:r w:rsidRPr="00ED66E9">
        <w:rPr>
          <w:szCs w:val="24"/>
        </w:rPr>
        <w:t>.  Disse reaktioner er meget sjældne og forekommer typisk hos patienter, der tidligere har reageret over for lægemidler.</w:t>
      </w:r>
    </w:p>
    <w:p w:rsidR="00651052" w:rsidRPr="00ED66E9" w:rsidRDefault="00651052" w:rsidP="00651052">
      <w:pPr>
        <w:widowControl w:val="0"/>
        <w:overflowPunct w:val="0"/>
        <w:autoSpaceDE w:val="0"/>
        <w:autoSpaceDN w:val="0"/>
        <w:adjustRightInd w:val="0"/>
        <w:ind w:left="851" w:hanging="851"/>
        <w:jc w:val="both"/>
        <w:rPr>
          <w:sz w:val="24"/>
          <w:szCs w:val="24"/>
          <w:u w:val="single"/>
        </w:rPr>
      </w:pPr>
    </w:p>
    <w:p w:rsidR="00651052" w:rsidRPr="00ED66E9" w:rsidRDefault="00651052" w:rsidP="00651052">
      <w:pPr>
        <w:pStyle w:val="Brdtekst"/>
        <w:ind w:left="851"/>
        <w:rPr>
          <w:szCs w:val="24"/>
          <w:u w:val="single"/>
        </w:rPr>
      </w:pPr>
      <w:proofErr w:type="spellStart"/>
      <w:r w:rsidRPr="00ED66E9">
        <w:rPr>
          <w:szCs w:val="24"/>
          <w:u w:val="single"/>
        </w:rPr>
        <w:t>Gastrointestinale</w:t>
      </w:r>
      <w:proofErr w:type="spellEnd"/>
      <w:r w:rsidRPr="00ED66E9">
        <w:rPr>
          <w:szCs w:val="24"/>
          <w:u w:val="single"/>
        </w:rPr>
        <w:t xml:space="preserve"> sygdomme</w:t>
      </w:r>
    </w:p>
    <w:p w:rsidR="00651052" w:rsidRPr="00ED66E9" w:rsidRDefault="00651052" w:rsidP="00651052">
      <w:pPr>
        <w:pStyle w:val="Brdtekst"/>
        <w:ind w:left="851"/>
        <w:rPr>
          <w:szCs w:val="24"/>
        </w:rPr>
      </w:pPr>
      <w:r w:rsidRPr="00ED66E9">
        <w:rPr>
          <w:szCs w:val="24"/>
        </w:rPr>
        <w:t xml:space="preserve">På grund af risikoen for tarmperforation bør </w:t>
      </w:r>
      <w:proofErr w:type="spellStart"/>
      <w:r w:rsidRPr="00ED66E9">
        <w:rPr>
          <w:szCs w:val="24"/>
        </w:rPr>
        <w:t>dexamethason</w:t>
      </w:r>
      <w:proofErr w:type="spellEnd"/>
      <w:r w:rsidRPr="00ED66E9">
        <w:rPr>
          <w:szCs w:val="24"/>
        </w:rPr>
        <w:t xml:space="preserve"> i følgende tilstande kun administreres når det er strengt nødvendigt og under behørig overvågning:</w:t>
      </w:r>
    </w:p>
    <w:p w:rsidR="00651052" w:rsidRPr="00ED66E9" w:rsidRDefault="00651052" w:rsidP="00651052">
      <w:pPr>
        <w:widowControl w:val="0"/>
        <w:autoSpaceDE w:val="0"/>
        <w:autoSpaceDN w:val="0"/>
        <w:adjustRightInd w:val="0"/>
        <w:spacing w:line="1" w:lineRule="exact"/>
        <w:ind w:left="851" w:hanging="851"/>
        <w:rPr>
          <w:sz w:val="24"/>
          <w:szCs w:val="24"/>
        </w:rPr>
      </w:pPr>
    </w:p>
    <w:p w:rsidR="00651052" w:rsidRPr="00ED66E9" w:rsidRDefault="00651052" w:rsidP="00651052">
      <w:pPr>
        <w:pStyle w:val="Brdtekst"/>
        <w:numPr>
          <w:ilvl w:val="0"/>
          <w:numId w:val="6"/>
        </w:numPr>
        <w:ind w:left="1134" w:hanging="283"/>
        <w:rPr>
          <w:szCs w:val="24"/>
        </w:rPr>
      </w:pPr>
      <w:r w:rsidRPr="00ED66E9">
        <w:rPr>
          <w:szCs w:val="24"/>
        </w:rPr>
        <w:t xml:space="preserve">Svær colitis </w:t>
      </w:r>
      <w:proofErr w:type="spellStart"/>
      <w:r w:rsidRPr="00ED66E9">
        <w:rPr>
          <w:szCs w:val="24"/>
        </w:rPr>
        <w:t>ulcerosa</w:t>
      </w:r>
      <w:proofErr w:type="spellEnd"/>
      <w:r w:rsidRPr="00ED66E9">
        <w:rPr>
          <w:szCs w:val="24"/>
        </w:rPr>
        <w:t xml:space="preserve"> med risiko for perforation og irritation af </w:t>
      </w:r>
      <w:proofErr w:type="spellStart"/>
      <w:r w:rsidRPr="00ED66E9">
        <w:rPr>
          <w:szCs w:val="24"/>
        </w:rPr>
        <w:t>peritoneum</w:t>
      </w:r>
      <w:proofErr w:type="spellEnd"/>
      <w:r w:rsidRPr="00ED66E9">
        <w:rPr>
          <w:szCs w:val="24"/>
        </w:rPr>
        <w:t xml:space="preserve"> </w:t>
      </w:r>
    </w:p>
    <w:p w:rsidR="00651052" w:rsidRPr="00ED66E9" w:rsidRDefault="00651052" w:rsidP="00651052">
      <w:pPr>
        <w:pStyle w:val="Brdtekst"/>
        <w:numPr>
          <w:ilvl w:val="0"/>
          <w:numId w:val="6"/>
        </w:numPr>
        <w:ind w:left="1134" w:hanging="283"/>
        <w:rPr>
          <w:szCs w:val="24"/>
        </w:rPr>
      </w:pPr>
      <w:proofErr w:type="spellStart"/>
      <w:r w:rsidRPr="00ED66E9">
        <w:rPr>
          <w:szCs w:val="24"/>
        </w:rPr>
        <w:t>Diverticulitis</w:t>
      </w:r>
      <w:proofErr w:type="spellEnd"/>
      <w:r w:rsidRPr="00ED66E9">
        <w:rPr>
          <w:szCs w:val="24"/>
        </w:rPr>
        <w:t xml:space="preserve"> </w:t>
      </w:r>
    </w:p>
    <w:p w:rsidR="00651052" w:rsidRPr="00ED66E9" w:rsidRDefault="00651052" w:rsidP="00651052">
      <w:pPr>
        <w:pStyle w:val="Brdtekst"/>
        <w:numPr>
          <w:ilvl w:val="0"/>
          <w:numId w:val="6"/>
        </w:numPr>
        <w:ind w:left="1134" w:hanging="283"/>
        <w:rPr>
          <w:szCs w:val="24"/>
        </w:rPr>
      </w:pPr>
      <w:proofErr w:type="spellStart"/>
      <w:r w:rsidRPr="00ED66E9">
        <w:rPr>
          <w:szCs w:val="24"/>
        </w:rPr>
        <w:t>Entero-anastomose</w:t>
      </w:r>
      <w:proofErr w:type="spellEnd"/>
      <w:r w:rsidRPr="00ED66E9">
        <w:rPr>
          <w:szCs w:val="24"/>
        </w:rPr>
        <w:t xml:space="preserve"> (umiddelbart efter operation) </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rPr>
      </w:pPr>
      <w:r w:rsidRPr="00ED66E9">
        <w:rPr>
          <w:szCs w:val="24"/>
        </w:rPr>
        <w:t xml:space="preserve">Tegn på </w:t>
      </w:r>
      <w:proofErr w:type="spellStart"/>
      <w:r w:rsidRPr="00ED66E9">
        <w:rPr>
          <w:szCs w:val="24"/>
        </w:rPr>
        <w:t>peritoneal</w:t>
      </w:r>
      <w:proofErr w:type="spellEnd"/>
      <w:r w:rsidRPr="00ED66E9">
        <w:rPr>
          <w:szCs w:val="24"/>
        </w:rPr>
        <w:t xml:space="preserve"> irritation efter </w:t>
      </w:r>
      <w:proofErr w:type="spellStart"/>
      <w:r w:rsidRPr="00ED66E9">
        <w:rPr>
          <w:szCs w:val="24"/>
        </w:rPr>
        <w:t>gastrointestinal</w:t>
      </w:r>
      <w:proofErr w:type="spellEnd"/>
      <w:r w:rsidRPr="00ED66E9">
        <w:rPr>
          <w:szCs w:val="24"/>
        </w:rPr>
        <w:t xml:space="preserve"> perforation kan være minimal eller fraværende hos patienter, som behandles med høje doser af </w:t>
      </w:r>
      <w:proofErr w:type="spellStart"/>
      <w:r w:rsidRPr="00ED66E9">
        <w:rPr>
          <w:szCs w:val="24"/>
        </w:rPr>
        <w:t>kortikosteroider</w:t>
      </w:r>
      <w:proofErr w:type="spellEnd"/>
      <w:r w:rsidRPr="00ED66E9">
        <w:rPr>
          <w:szCs w:val="24"/>
        </w:rPr>
        <w:t xml:space="preserve">.  </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rPr>
      </w:pPr>
      <w:r w:rsidRPr="00ED66E9">
        <w:rPr>
          <w:szCs w:val="24"/>
        </w:rPr>
        <w:t xml:space="preserve">Mavesår: Samtidig behandling med sårhelende midler anbefales. </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u w:val="single"/>
        </w:rPr>
      </w:pPr>
      <w:proofErr w:type="spellStart"/>
      <w:r w:rsidRPr="00ED66E9">
        <w:rPr>
          <w:szCs w:val="24"/>
          <w:u w:val="single"/>
        </w:rPr>
        <w:t>Fluoroquinoloner</w:t>
      </w:r>
      <w:proofErr w:type="spellEnd"/>
      <w:r w:rsidRPr="00ED66E9">
        <w:rPr>
          <w:szCs w:val="24"/>
          <w:u w:val="single"/>
        </w:rPr>
        <w:t xml:space="preserve"> og </w:t>
      </w:r>
      <w:proofErr w:type="spellStart"/>
      <w:r w:rsidRPr="00ED66E9">
        <w:rPr>
          <w:szCs w:val="24"/>
          <w:u w:val="single"/>
        </w:rPr>
        <w:t>glukokortikoider</w:t>
      </w:r>
      <w:proofErr w:type="spellEnd"/>
    </w:p>
    <w:p w:rsidR="00651052" w:rsidRPr="00ED66E9" w:rsidRDefault="00651052" w:rsidP="00651052">
      <w:pPr>
        <w:pStyle w:val="Brdtekst"/>
        <w:ind w:left="851"/>
        <w:rPr>
          <w:szCs w:val="24"/>
        </w:rPr>
      </w:pPr>
      <w:r w:rsidRPr="00ED66E9">
        <w:rPr>
          <w:szCs w:val="24"/>
        </w:rPr>
        <w:t xml:space="preserve">Samtidig administration af </w:t>
      </w:r>
      <w:proofErr w:type="spellStart"/>
      <w:r w:rsidRPr="00ED66E9">
        <w:rPr>
          <w:szCs w:val="24"/>
        </w:rPr>
        <w:t>fluoroquinoloner</w:t>
      </w:r>
      <w:proofErr w:type="spellEnd"/>
      <w:r w:rsidRPr="00ED66E9">
        <w:rPr>
          <w:szCs w:val="24"/>
        </w:rPr>
        <w:t xml:space="preserve"> og </w:t>
      </w:r>
      <w:proofErr w:type="spellStart"/>
      <w:r w:rsidRPr="00ED66E9">
        <w:rPr>
          <w:szCs w:val="24"/>
        </w:rPr>
        <w:t>kortikosteroider</w:t>
      </w:r>
      <w:proofErr w:type="spellEnd"/>
      <w:r w:rsidRPr="00ED66E9">
        <w:rPr>
          <w:szCs w:val="24"/>
        </w:rPr>
        <w:t xml:space="preserve"> øger risikoen for </w:t>
      </w:r>
      <w:proofErr w:type="spellStart"/>
      <w:r w:rsidRPr="00ED66E9">
        <w:rPr>
          <w:szCs w:val="24"/>
        </w:rPr>
        <w:t>senesygdomme</w:t>
      </w:r>
      <w:proofErr w:type="spellEnd"/>
      <w:r w:rsidRPr="00ED66E9">
        <w:rPr>
          <w:szCs w:val="24"/>
        </w:rPr>
        <w:t xml:space="preserve"> såsom </w:t>
      </w:r>
      <w:proofErr w:type="spellStart"/>
      <w:r w:rsidRPr="00ED66E9">
        <w:rPr>
          <w:szCs w:val="24"/>
        </w:rPr>
        <w:t>tendinit</w:t>
      </w:r>
      <w:proofErr w:type="spellEnd"/>
      <w:r w:rsidRPr="00ED66E9">
        <w:rPr>
          <w:szCs w:val="24"/>
        </w:rPr>
        <w:t xml:space="preserve"> og </w:t>
      </w:r>
      <w:proofErr w:type="spellStart"/>
      <w:r w:rsidRPr="00ED66E9">
        <w:rPr>
          <w:szCs w:val="24"/>
        </w:rPr>
        <w:t>seneruptur</w:t>
      </w:r>
      <w:proofErr w:type="spellEnd"/>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u w:val="single"/>
        </w:rPr>
      </w:pPr>
      <w:proofErr w:type="spellStart"/>
      <w:r w:rsidRPr="00ED66E9">
        <w:rPr>
          <w:szCs w:val="24"/>
          <w:u w:val="single"/>
        </w:rPr>
        <w:t>Myasthenia</w:t>
      </w:r>
      <w:proofErr w:type="spellEnd"/>
      <w:r w:rsidRPr="00ED66E9">
        <w:rPr>
          <w:szCs w:val="24"/>
          <w:u w:val="single"/>
        </w:rPr>
        <w:t xml:space="preserve"> </w:t>
      </w:r>
      <w:proofErr w:type="spellStart"/>
      <w:r w:rsidRPr="00ED66E9">
        <w:rPr>
          <w:szCs w:val="24"/>
          <w:u w:val="single"/>
        </w:rPr>
        <w:t>gravis</w:t>
      </w:r>
      <w:proofErr w:type="spellEnd"/>
    </w:p>
    <w:p w:rsidR="00651052" w:rsidRPr="00ED66E9" w:rsidRDefault="00651052" w:rsidP="00651052">
      <w:pPr>
        <w:pStyle w:val="Brdtekst"/>
        <w:ind w:left="851"/>
        <w:rPr>
          <w:szCs w:val="24"/>
        </w:rPr>
      </w:pPr>
      <w:r w:rsidRPr="00ED66E9">
        <w:rPr>
          <w:szCs w:val="24"/>
        </w:rPr>
        <w:t xml:space="preserve">Samtidig </w:t>
      </w:r>
      <w:proofErr w:type="spellStart"/>
      <w:r w:rsidRPr="00ED66E9">
        <w:rPr>
          <w:szCs w:val="24"/>
        </w:rPr>
        <w:t>myasthenia</w:t>
      </w:r>
      <w:proofErr w:type="spellEnd"/>
      <w:r w:rsidRPr="00ED66E9">
        <w:rPr>
          <w:szCs w:val="24"/>
        </w:rPr>
        <w:t xml:space="preserve"> </w:t>
      </w:r>
      <w:proofErr w:type="spellStart"/>
      <w:r w:rsidRPr="00ED66E9">
        <w:rPr>
          <w:szCs w:val="24"/>
        </w:rPr>
        <w:t>gravis</w:t>
      </w:r>
      <w:proofErr w:type="spellEnd"/>
      <w:r w:rsidRPr="00ED66E9">
        <w:rPr>
          <w:szCs w:val="24"/>
        </w:rPr>
        <w:t xml:space="preserve"> kan initialt forværres under behandling med </w:t>
      </w:r>
      <w:proofErr w:type="spellStart"/>
      <w:r w:rsidRPr="00ED66E9">
        <w:rPr>
          <w:szCs w:val="24"/>
        </w:rPr>
        <w:t>Dexavit</w:t>
      </w:r>
      <w:proofErr w:type="spellEnd"/>
      <w:r w:rsidRPr="00ED66E9">
        <w:rPr>
          <w:szCs w:val="24"/>
        </w:rPr>
        <w:t>.</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u w:val="single"/>
        </w:rPr>
      </w:pPr>
      <w:proofErr w:type="spellStart"/>
      <w:r w:rsidRPr="00ED66E9">
        <w:rPr>
          <w:szCs w:val="24"/>
          <w:u w:val="single"/>
        </w:rPr>
        <w:t>Kardiovaskulær</w:t>
      </w:r>
      <w:proofErr w:type="spellEnd"/>
    </w:p>
    <w:p w:rsidR="00651052" w:rsidRPr="00ED66E9" w:rsidRDefault="00651052" w:rsidP="00651052">
      <w:pPr>
        <w:pStyle w:val="Brdtekst"/>
        <w:ind w:left="851"/>
        <w:rPr>
          <w:szCs w:val="24"/>
        </w:rPr>
      </w:pPr>
      <w:r w:rsidRPr="00ED66E9">
        <w:rPr>
          <w:szCs w:val="24"/>
        </w:rPr>
        <w:t xml:space="preserve">Patienter bør overvåges nøje ved svært hjertesvigt eller ved hypertension, som er vanskelig at kontrollere, der er behandlet med </w:t>
      </w:r>
      <w:proofErr w:type="spellStart"/>
      <w:r w:rsidRPr="00ED66E9">
        <w:rPr>
          <w:szCs w:val="24"/>
        </w:rPr>
        <w:t>antihypertensiva</w:t>
      </w:r>
      <w:proofErr w:type="spellEnd"/>
      <w:r w:rsidRPr="00ED66E9">
        <w:rPr>
          <w:szCs w:val="24"/>
        </w:rPr>
        <w:t>.</w:t>
      </w:r>
    </w:p>
    <w:p w:rsidR="00651052" w:rsidRPr="00ED66E9" w:rsidRDefault="00651052" w:rsidP="00651052">
      <w:pPr>
        <w:pStyle w:val="Brdtekst"/>
        <w:ind w:left="851"/>
        <w:rPr>
          <w:szCs w:val="24"/>
          <w:u w:val="single"/>
        </w:rPr>
      </w:pPr>
    </w:p>
    <w:p w:rsidR="00651052" w:rsidRPr="00ED66E9" w:rsidRDefault="00651052" w:rsidP="00651052">
      <w:pPr>
        <w:pStyle w:val="Brdtekst"/>
        <w:ind w:left="851"/>
        <w:rPr>
          <w:szCs w:val="24"/>
        </w:rPr>
      </w:pPr>
      <w:r w:rsidRPr="00ED66E9">
        <w:rPr>
          <w:szCs w:val="24"/>
        </w:rPr>
        <w:t xml:space="preserve">Administration af høje doser </w:t>
      </w:r>
      <w:proofErr w:type="spellStart"/>
      <w:r w:rsidRPr="00ED66E9">
        <w:rPr>
          <w:szCs w:val="24"/>
        </w:rPr>
        <w:t>dexamethason</w:t>
      </w:r>
      <w:proofErr w:type="spellEnd"/>
      <w:r w:rsidRPr="00ED66E9">
        <w:rPr>
          <w:szCs w:val="24"/>
        </w:rPr>
        <w:t xml:space="preserve"> kan forårsage bradykardi hos nogle patienter.</w:t>
      </w:r>
    </w:p>
    <w:p w:rsidR="00651052" w:rsidRPr="00ED66E9" w:rsidRDefault="00651052" w:rsidP="00651052">
      <w:pPr>
        <w:pStyle w:val="Brdtekst"/>
        <w:ind w:left="1702" w:hanging="851"/>
        <w:rPr>
          <w:szCs w:val="24"/>
        </w:rPr>
      </w:pPr>
    </w:p>
    <w:p w:rsidR="00651052" w:rsidRPr="00ED66E9" w:rsidRDefault="00651052" w:rsidP="00651052">
      <w:pPr>
        <w:pStyle w:val="Brdtekst"/>
        <w:ind w:left="1702" w:hanging="851"/>
        <w:rPr>
          <w:szCs w:val="24"/>
        </w:rPr>
      </w:pPr>
      <w:r w:rsidRPr="00ED66E9">
        <w:rPr>
          <w:i/>
          <w:szCs w:val="24"/>
        </w:rPr>
        <w:t>Ruptur af hjertemuskulaturen efter nylig infarkt i hjertemuskulaturen</w:t>
      </w:r>
    </w:p>
    <w:p w:rsidR="00651052" w:rsidRPr="00ED66E9" w:rsidRDefault="00651052" w:rsidP="00651052">
      <w:pPr>
        <w:pStyle w:val="Brdtekst"/>
        <w:ind w:left="851"/>
        <w:rPr>
          <w:szCs w:val="24"/>
        </w:rPr>
      </w:pPr>
      <w:r w:rsidRPr="00ED66E9">
        <w:rPr>
          <w:szCs w:val="24"/>
        </w:rPr>
        <w:t xml:space="preserve">Rapporter i litteraturen har vist, at der en sammenhæng mellem brug af </w:t>
      </w:r>
      <w:proofErr w:type="spellStart"/>
      <w:r w:rsidRPr="00ED66E9">
        <w:rPr>
          <w:szCs w:val="24"/>
        </w:rPr>
        <w:t>kortikosteroider</w:t>
      </w:r>
      <w:proofErr w:type="spellEnd"/>
      <w:r w:rsidRPr="00ED66E9">
        <w:rPr>
          <w:szCs w:val="24"/>
        </w:rPr>
        <w:t xml:space="preserve"> og ruptur i den frie væg i venstre ventrikel efter en nylig hjerteinfarkt. Stor forsigtighed skal udvises ved behandling med </w:t>
      </w:r>
      <w:proofErr w:type="spellStart"/>
      <w:r w:rsidRPr="00ED66E9">
        <w:rPr>
          <w:szCs w:val="24"/>
        </w:rPr>
        <w:t>kortikosteroider</w:t>
      </w:r>
      <w:proofErr w:type="spellEnd"/>
      <w:r w:rsidRPr="00ED66E9">
        <w:rPr>
          <w:szCs w:val="24"/>
        </w:rPr>
        <w:t xml:space="preserve"> i disse patienter.</w:t>
      </w:r>
    </w:p>
    <w:p w:rsidR="00651052" w:rsidRDefault="00651052" w:rsidP="00651052">
      <w:pPr>
        <w:pStyle w:val="Brdtekst"/>
        <w:ind w:left="851"/>
        <w:rPr>
          <w:szCs w:val="24"/>
        </w:rPr>
      </w:pPr>
    </w:p>
    <w:p w:rsidR="00E60A5E" w:rsidRPr="00822168" w:rsidRDefault="00E60A5E" w:rsidP="00E60A5E">
      <w:pPr>
        <w:pStyle w:val="Brdtekst"/>
        <w:ind w:left="851"/>
        <w:rPr>
          <w:u w:val="single"/>
        </w:rPr>
      </w:pPr>
      <w:proofErr w:type="spellStart"/>
      <w:r w:rsidRPr="00822168">
        <w:rPr>
          <w:u w:val="single"/>
        </w:rPr>
        <w:t>Hypertrofisk</w:t>
      </w:r>
      <w:proofErr w:type="spellEnd"/>
      <w:r w:rsidRPr="00822168">
        <w:rPr>
          <w:u w:val="single"/>
        </w:rPr>
        <w:t xml:space="preserve"> </w:t>
      </w:r>
      <w:proofErr w:type="spellStart"/>
      <w:r w:rsidRPr="00822168">
        <w:rPr>
          <w:u w:val="single"/>
        </w:rPr>
        <w:t>kardiomyopati</w:t>
      </w:r>
      <w:proofErr w:type="spellEnd"/>
    </w:p>
    <w:p w:rsidR="00E60A5E" w:rsidRDefault="00E60A5E" w:rsidP="00E60A5E">
      <w:pPr>
        <w:pStyle w:val="Brdtekst"/>
        <w:ind w:left="851"/>
      </w:pPr>
      <w:r>
        <w:t xml:space="preserve">Der blev rapporteret om </w:t>
      </w:r>
      <w:proofErr w:type="spellStart"/>
      <w:r>
        <w:t>hypertrofisk</w:t>
      </w:r>
      <w:proofErr w:type="spellEnd"/>
      <w:r>
        <w:t xml:space="preserve"> </w:t>
      </w:r>
      <w:proofErr w:type="spellStart"/>
      <w:r>
        <w:t>kardiomyopati</w:t>
      </w:r>
      <w:proofErr w:type="spellEnd"/>
      <w:r>
        <w:t xml:space="preserve"> efter systemisk administration af </w:t>
      </w:r>
      <w:proofErr w:type="spellStart"/>
      <w:r>
        <w:t>kortikosteroider</w:t>
      </w:r>
      <w:proofErr w:type="spellEnd"/>
      <w:r>
        <w:t xml:space="preserve">, herunder </w:t>
      </w:r>
      <w:proofErr w:type="spellStart"/>
      <w:r>
        <w:t>dexamethason</w:t>
      </w:r>
      <w:proofErr w:type="spellEnd"/>
      <w:r>
        <w:t xml:space="preserve">, til for tidligt fødte børn. I de fleste indberettede tilfælde var dette reversibelt ved </w:t>
      </w:r>
      <w:proofErr w:type="spellStart"/>
      <w:r>
        <w:t>seponering</w:t>
      </w:r>
      <w:proofErr w:type="spellEnd"/>
      <w:r>
        <w:t xml:space="preserve"> af behandlingen. Hos for tidligt fødte børn, der behandles med systemisk </w:t>
      </w:r>
      <w:proofErr w:type="spellStart"/>
      <w:r>
        <w:t>dexamethason</w:t>
      </w:r>
      <w:proofErr w:type="spellEnd"/>
      <w:r>
        <w:t>, skal der foretages en diagnostisk vurdering og overvågning af hjertefunktionen og -strukturen (</w:t>
      </w:r>
      <w:r w:rsidR="003769EB">
        <w:t xml:space="preserve">se </w:t>
      </w:r>
      <w:r>
        <w:t>pkt</w:t>
      </w:r>
      <w:r w:rsidR="003769EB">
        <w:t>.</w:t>
      </w:r>
      <w:r>
        <w:t xml:space="preserve"> 4.8).</w:t>
      </w:r>
    </w:p>
    <w:p w:rsidR="00E60A5E" w:rsidRPr="00ED66E9" w:rsidRDefault="00E60A5E" w:rsidP="00651052">
      <w:pPr>
        <w:pStyle w:val="Brdtekst"/>
        <w:ind w:left="851"/>
        <w:rPr>
          <w:szCs w:val="24"/>
        </w:rPr>
      </w:pPr>
    </w:p>
    <w:p w:rsidR="00651052" w:rsidRPr="00E20F8C" w:rsidRDefault="00651052" w:rsidP="00E20F8C">
      <w:pPr>
        <w:ind w:left="851"/>
        <w:rPr>
          <w:sz w:val="24"/>
          <w:szCs w:val="24"/>
          <w:u w:val="single"/>
        </w:rPr>
      </w:pPr>
      <w:r w:rsidRPr="00E20F8C">
        <w:rPr>
          <w:sz w:val="24"/>
          <w:szCs w:val="24"/>
          <w:u w:val="single"/>
        </w:rPr>
        <w:t>Øjensygdomme</w:t>
      </w:r>
    </w:p>
    <w:p w:rsidR="00651052" w:rsidRPr="00ED66E9" w:rsidRDefault="00651052" w:rsidP="00651052">
      <w:pPr>
        <w:pStyle w:val="Brdtekst"/>
        <w:ind w:left="851"/>
        <w:rPr>
          <w:szCs w:val="24"/>
        </w:rPr>
      </w:pPr>
      <w:r w:rsidRPr="00ED66E9">
        <w:rPr>
          <w:szCs w:val="24"/>
        </w:rPr>
        <w:t xml:space="preserve">Snævervinklet </w:t>
      </w:r>
      <w:proofErr w:type="spellStart"/>
      <w:r w:rsidRPr="00ED66E9">
        <w:rPr>
          <w:szCs w:val="24"/>
        </w:rPr>
        <w:t>glaukom</w:t>
      </w:r>
      <w:proofErr w:type="spellEnd"/>
      <w:r w:rsidRPr="00ED66E9">
        <w:rPr>
          <w:szCs w:val="24"/>
        </w:rPr>
        <w:t xml:space="preserve">, åbenvinklet </w:t>
      </w:r>
      <w:proofErr w:type="spellStart"/>
      <w:r w:rsidRPr="00ED66E9">
        <w:rPr>
          <w:szCs w:val="24"/>
        </w:rPr>
        <w:t>glaukom</w:t>
      </w:r>
      <w:proofErr w:type="spellEnd"/>
      <w:r w:rsidRPr="00ED66E9">
        <w:rPr>
          <w:szCs w:val="24"/>
        </w:rPr>
        <w:t xml:space="preserve">, sår eller læsioner på hornhinden kan forværres ved behandling med </w:t>
      </w:r>
      <w:proofErr w:type="spellStart"/>
      <w:r w:rsidRPr="00ED66E9">
        <w:rPr>
          <w:szCs w:val="24"/>
        </w:rPr>
        <w:t>glukokortikoider</w:t>
      </w:r>
      <w:proofErr w:type="spellEnd"/>
      <w:r w:rsidRPr="00ED66E9">
        <w:rPr>
          <w:szCs w:val="24"/>
        </w:rPr>
        <w:t>. Nøje oftalmologisk monitorering og passende behandling anbefales.</w:t>
      </w:r>
    </w:p>
    <w:p w:rsidR="00651052" w:rsidRPr="00ED66E9" w:rsidRDefault="00651052" w:rsidP="00651052">
      <w:pPr>
        <w:pStyle w:val="Brdtekst"/>
        <w:ind w:left="851"/>
        <w:rPr>
          <w:szCs w:val="24"/>
        </w:rPr>
      </w:pPr>
    </w:p>
    <w:p w:rsidR="00651052" w:rsidRPr="00E20F8C" w:rsidRDefault="00651052" w:rsidP="00E20F8C">
      <w:pPr>
        <w:ind w:left="851"/>
        <w:rPr>
          <w:sz w:val="24"/>
          <w:szCs w:val="24"/>
          <w:u w:val="single"/>
        </w:rPr>
      </w:pPr>
      <w:r w:rsidRPr="00E20F8C">
        <w:rPr>
          <w:sz w:val="24"/>
          <w:szCs w:val="24"/>
          <w:u w:val="single"/>
        </w:rPr>
        <w:t>Diabetes</w:t>
      </w:r>
    </w:p>
    <w:p w:rsidR="00651052" w:rsidRPr="00ED66E9" w:rsidRDefault="00651052" w:rsidP="00651052">
      <w:pPr>
        <w:pStyle w:val="Brdtekst"/>
        <w:ind w:left="851"/>
        <w:rPr>
          <w:szCs w:val="24"/>
        </w:rPr>
      </w:pPr>
      <w:r w:rsidRPr="00ED66E9">
        <w:rPr>
          <w:szCs w:val="24"/>
        </w:rPr>
        <w:t xml:space="preserve">I tilfælde af Diabetes mellitus, som er vanskelig at kontrollere anbefales klinisk monitorering og justering af diabetesbehandling. </w:t>
      </w:r>
    </w:p>
    <w:p w:rsidR="00651052" w:rsidRPr="00ED66E9" w:rsidRDefault="00651052" w:rsidP="00651052">
      <w:pPr>
        <w:pStyle w:val="Brdtekst"/>
        <w:ind w:left="851"/>
        <w:rPr>
          <w:szCs w:val="24"/>
        </w:rPr>
      </w:pPr>
    </w:p>
    <w:p w:rsidR="00651052" w:rsidRPr="00ED66E9" w:rsidRDefault="00651052" w:rsidP="00651052">
      <w:pPr>
        <w:pStyle w:val="Brdtekst"/>
        <w:ind w:left="851"/>
        <w:rPr>
          <w:szCs w:val="24"/>
        </w:rPr>
      </w:pPr>
      <w:r w:rsidRPr="00ED66E9">
        <w:rPr>
          <w:szCs w:val="24"/>
          <w:u w:val="single"/>
        </w:rPr>
        <w:t>Psykiatriske tilstande, herunder selvmordsrisiko</w:t>
      </w:r>
      <w:r w:rsidRPr="00ED66E9">
        <w:rPr>
          <w:szCs w:val="24"/>
        </w:rPr>
        <w:t xml:space="preserve"> </w:t>
      </w:r>
    </w:p>
    <w:p w:rsidR="00651052" w:rsidRPr="00ED66E9" w:rsidRDefault="00651052" w:rsidP="00651052">
      <w:pPr>
        <w:pStyle w:val="Brdtekst"/>
        <w:ind w:left="851"/>
        <w:rPr>
          <w:szCs w:val="24"/>
        </w:rPr>
      </w:pPr>
      <w:r w:rsidRPr="00ED66E9">
        <w:rPr>
          <w:szCs w:val="24"/>
        </w:rPr>
        <w:t>Neurologisk og psykiatrisk monitorering af patienten anbefales.</w:t>
      </w:r>
    </w:p>
    <w:p w:rsidR="00651052" w:rsidRPr="00ED66E9" w:rsidRDefault="00651052" w:rsidP="00651052">
      <w:pPr>
        <w:pStyle w:val="Brdtekst"/>
        <w:ind w:left="851"/>
        <w:rPr>
          <w:szCs w:val="24"/>
        </w:rPr>
      </w:pPr>
    </w:p>
    <w:p w:rsidR="00651052" w:rsidRPr="00ED66E9" w:rsidRDefault="00651052" w:rsidP="00651052">
      <w:pPr>
        <w:pStyle w:val="Brdtekst"/>
        <w:ind w:left="851"/>
        <w:rPr>
          <w:szCs w:val="24"/>
        </w:rPr>
      </w:pPr>
      <w:r w:rsidRPr="00ED66E9">
        <w:rPr>
          <w:szCs w:val="24"/>
        </w:rPr>
        <w:t>Patienterne skal informeres om, at alvorlige psykiske reaktioner kan forekomme ved behandling med steroider administreret systemisk (se pkt. 4.8).</w:t>
      </w:r>
    </w:p>
    <w:p w:rsidR="00651052" w:rsidRPr="00ED66E9" w:rsidRDefault="00651052" w:rsidP="00651052">
      <w:pPr>
        <w:pStyle w:val="Brdtekst"/>
        <w:ind w:left="851"/>
        <w:rPr>
          <w:szCs w:val="24"/>
        </w:rPr>
      </w:pPr>
    </w:p>
    <w:p w:rsidR="00651052" w:rsidRPr="00ED66E9" w:rsidRDefault="00651052" w:rsidP="00651052">
      <w:pPr>
        <w:pStyle w:val="Brdtekst"/>
        <w:ind w:left="851"/>
        <w:rPr>
          <w:szCs w:val="24"/>
          <w:u w:val="single"/>
        </w:rPr>
      </w:pPr>
      <w:proofErr w:type="spellStart"/>
      <w:r w:rsidRPr="00ED66E9">
        <w:rPr>
          <w:szCs w:val="24"/>
          <w:u w:val="single"/>
        </w:rPr>
        <w:t>Osteoporosis</w:t>
      </w:r>
      <w:proofErr w:type="spellEnd"/>
    </w:p>
    <w:p w:rsidR="00651052" w:rsidRPr="00ED66E9" w:rsidRDefault="00651052" w:rsidP="00651052">
      <w:pPr>
        <w:pStyle w:val="Brdtekst"/>
        <w:ind w:left="851"/>
        <w:rPr>
          <w:szCs w:val="24"/>
        </w:rPr>
      </w:pPr>
      <w:r w:rsidRPr="00ED66E9">
        <w:rPr>
          <w:szCs w:val="24"/>
        </w:rPr>
        <w:t xml:space="preserve">Der må, afhængigt af behandlingsvarigheden og den anvendte dosis, forventes en negativ påvirkning af kalciummetabolismen. Hos patienter med alvorlig osteoporose bør behandling med </w:t>
      </w:r>
      <w:proofErr w:type="spellStart"/>
      <w:r w:rsidRPr="00ED66E9">
        <w:rPr>
          <w:szCs w:val="24"/>
        </w:rPr>
        <w:t>dexamethason</w:t>
      </w:r>
      <w:proofErr w:type="spellEnd"/>
      <w:r w:rsidRPr="00ED66E9">
        <w:rPr>
          <w:szCs w:val="24"/>
        </w:rPr>
        <w:t xml:space="preserve"> kun anvendes i livstruende tilfælde eller i en kort periode.</w:t>
      </w:r>
    </w:p>
    <w:p w:rsidR="00651052" w:rsidRPr="00ED66E9" w:rsidRDefault="00651052" w:rsidP="00651052">
      <w:pPr>
        <w:shd w:val="pct25" w:color="FFFFFF" w:fill="FFFFFF"/>
        <w:tabs>
          <w:tab w:val="left" w:pos="2552"/>
        </w:tabs>
        <w:ind w:left="851"/>
        <w:rPr>
          <w:sz w:val="24"/>
          <w:szCs w:val="24"/>
        </w:rPr>
      </w:pPr>
    </w:p>
    <w:p w:rsidR="00651052" w:rsidRPr="00ED66E9" w:rsidRDefault="00651052" w:rsidP="00651052">
      <w:pPr>
        <w:shd w:val="pct25" w:color="FFFFFF" w:fill="FFFFFF"/>
        <w:tabs>
          <w:tab w:val="left" w:pos="2552"/>
        </w:tabs>
        <w:ind w:left="851"/>
        <w:rPr>
          <w:sz w:val="24"/>
          <w:szCs w:val="24"/>
          <w:lang w:eastAsia="da-DK"/>
        </w:rPr>
      </w:pPr>
      <w:r w:rsidRPr="00ED66E9">
        <w:rPr>
          <w:sz w:val="24"/>
          <w:szCs w:val="24"/>
        </w:rPr>
        <w:t xml:space="preserve">Hvis nødvendigt, anbefales samtidig behandling med kalcium og D-vitamin. Især i tilfælde af forud eksisterende osteoporose bør en tillægsbehandling overvejes. </w:t>
      </w:r>
    </w:p>
    <w:p w:rsidR="00651052" w:rsidRPr="00ED66E9" w:rsidRDefault="00651052" w:rsidP="00651052">
      <w:pPr>
        <w:pStyle w:val="Brdtekst"/>
        <w:ind w:left="851" w:hanging="851"/>
        <w:rPr>
          <w:szCs w:val="24"/>
        </w:rPr>
      </w:pPr>
    </w:p>
    <w:p w:rsidR="00651052" w:rsidRPr="00ED66E9" w:rsidRDefault="00651052" w:rsidP="00651052">
      <w:pPr>
        <w:ind w:left="851"/>
        <w:rPr>
          <w:sz w:val="24"/>
          <w:szCs w:val="24"/>
          <w:u w:val="single"/>
        </w:rPr>
      </w:pPr>
      <w:r w:rsidRPr="00ED66E9">
        <w:rPr>
          <w:sz w:val="24"/>
          <w:szCs w:val="24"/>
          <w:u w:val="single"/>
        </w:rPr>
        <w:t>Kalium</w:t>
      </w:r>
    </w:p>
    <w:p w:rsidR="00651052" w:rsidRPr="00ED66E9" w:rsidRDefault="00651052" w:rsidP="00651052">
      <w:pPr>
        <w:ind w:left="851"/>
        <w:rPr>
          <w:sz w:val="24"/>
          <w:szCs w:val="24"/>
        </w:rPr>
      </w:pPr>
      <w:r w:rsidRPr="00ED66E9">
        <w:rPr>
          <w:sz w:val="24"/>
          <w:szCs w:val="24"/>
        </w:rPr>
        <w:t xml:space="preserve">Høje doser af </w:t>
      </w:r>
      <w:proofErr w:type="spellStart"/>
      <w:r w:rsidRPr="00ED66E9">
        <w:rPr>
          <w:sz w:val="24"/>
          <w:szCs w:val="24"/>
        </w:rPr>
        <w:t>dexamethason</w:t>
      </w:r>
      <w:proofErr w:type="spellEnd"/>
      <w:r w:rsidRPr="00ED66E9">
        <w:rPr>
          <w:sz w:val="24"/>
          <w:szCs w:val="24"/>
        </w:rPr>
        <w:t xml:space="preserve"> kræver tilstrækkeligt tilskud af kalium og begrænsning af salt i kosten. Derfor bør kaliumniveauet i plasma monitoreres.</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u w:val="single"/>
        </w:rPr>
      </w:pPr>
      <w:r w:rsidRPr="00ED66E9">
        <w:rPr>
          <w:szCs w:val="24"/>
          <w:u w:val="single"/>
        </w:rPr>
        <w:t>Tumorlysesyndrom (TLS)</w:t>
      </w:r>
    </w:p>
    <w:p w:rsidR="00651052" w:rsidRPr="00ED66E9" w:rsidRDefault="00651052" w:rsidP="00651052">
      <w:pPr>
        <w:pStyle w:val="Brdtekst"/>
        <w:ind w:left="851"/>
        <w:rPr>
          <w:szCs w:val="24"/>
        </w:rPr>
      </w:pPr>
      <w:r w:rsidRPr="00ED66E9">
        <w:rPr>
          <w:szCs w:val="24"/>
        </w:rPr>
        <w:t xml:space="preserve">Efter markedsføringen er der rapporteret om tumorlysesyndrom (TLS) hos patienter med hæmatologiske </w:t>
      </w:r>
      <w:proofErr w:type="spellStart"/>
      <w:r w:rsidRPr="00ED66E9">
        <w:rPr>
          <w:szCs w:val="24"/>
        </w:rPr>
        <w:t>maligniteter</w:t>
      </w:r>
      <w:proofErr w:type="spellEnd"/>
      <w:r w:rsidRPr="00ED66E9">
        <w:rPr>
          <w:szCs w:val="24"/>
        </w:rPr>
        <w:t xml:space="preserve"> efter brug af </w:t>
      </w:r>
      <w:proofErr w:type="spellStart"/>
      <w:r w:rsidRPr="00ED66E9">
        <w:rPr>
          <w:szCs w:val="24"/>
        </w:rPr>
        <w:t>dexamethason</w:t>
      </w:r>
      <w:proofErr w:type="spellEnd"/>
      <w:r w:rsidRPr="00ED66E9">
        <w:rPr>
          <w:szCs w:val="24"/>
        </w:rPr>
        <w:t xml:space="preserve"> alene eller i kombination med andre kemoterapeutiske midler. Patienter med høj risiko for TLS, såsom patienter med høj </w:t>
      </w:r>
      <w:proofErr w:type="spellStart"/>
      <w:r w:rsidRPr="00ED66E9">
        <w:rPr>
          <w:szCs w:val="24"/>
        </w:rPr>
        <w:t>proliferationsrate</w:t>
      </w:r>
      <w:proofErr w:type="spellEnd"/>
      <w:r w:rsidRPr="00ED66E9">
        <w:rPr>
          <w:szCs w:val="24"/>
        </w:rPr>
        <w:t xml:space="preserve">, høj tumorbyrde og høj følsomhed over for </w:t>
      </w:r>
      <w:proofErr w:type="spellStart"/>
      <w:r w:rsidRPr="00ED66E9">
        <w:rPr>
          <w:szCs w:val="24"/>
        </w:rPr>
        <w:t>cytotoksiske</w:t>
      </w:r>
      <w:proofErr w:type="spellEnd"/>
      <w:r w:rsidRPr="00ED66E9">
        <w:rPr>
          <w:szCs w:val="24"/>
        </w:rPr>
        <w:t xml:space="preserve"> midler, bør monitoreres tæt, og der bør tages passende forholdsregler.</w:t>
      </w:r>
    </w:p>
    <w:p w:rsidR="00651052" w:rsidRPr="00ED66E9" w:rsidRDefault="00651052" w:rsidP="00651052">
      <w:pPr>
        <w:pStyle w:val="Brdtekst"/>
        <w:ind w:left="851"/>
        <w:rPr>
          <w:szCs w:val="24"/>
          <w:u w:val="single"/>
        </w:rPr>
      </w:pPr>
    </w:p>
    <w:p w:rsidR="00651052" w:rsidRPr="00ED66E9" w:rsidRDefault="00651052" w:rsidP="00651052">
      <w:pPr>
        <w:pStyle w:val="Brdtekst"/>
        <w:ind w:left="1702" w:hanging="851"/>
        <w:rPr>
          <w:szCs w:val="24"/>
        </w:rPr>
      </w:pPr>
      <w:r w:rsidRPr="00ED66E9">
        <w:rPr>
          <w:szCs w:val="24"/>
          <w:u w:val="single"/>
        </w:rPr>
        <w:t>Andet</w:t>
      </w:r>
    </w:p>
    <w:p w:rsidR="00651052" w:rsidRPr="00ED66E9" w:rsidRDefault="00651052" w:rsidP="00651052">
      <w:pPr>
        <w:pStyle w:val="Brdtekst"/>
        <w:ind w:left="851"/>
        <w:rPr>
          <w:szCs w:val="24"/>
        </w:rPr>
      </w:pPr>
      <w:proofErr w:type="spellStart"/>
      <w:r w:rsidRPr="00ED66E9">
        <w:rPr>
          <w:szCs w:val="24"/>
        </w:rPr>
        <w:t>Kortikosteroider</w:t>
      </w:r>
      <w:proofErr w:type="spellEnd"/>
      <w:r w:rsidRPr="00ED66E9">
        <w:rPr>
          <w:szCs w:val="24"/>
        </w:rPr>
        <w:t xml:space="preserve"> kan have en forøget farmakologisk virkning hos patienter med </w:t>
      </w:r>
      <w:proofErr w:type="spellStart"/>
      <w:r w:rsidRPr="00ED66E9">
        <w:rPr>
          <w:szCs w:val="24"/>
        </w:rPr>
        <w:t>hypothyreoidisme</w:t>
      </w:r>
      <w:proofErr w:type="spellEnd"/>
      <w:r w:rsidRPr="00ED66E9">
        <w:rPr>
          <w:szCs w:val="24"/>
        </w:rPr>
        <w:t xml:space="preserve"> eller levercirrose.</w:t>
      </w:r>
    </w:p>
    <w:p w:rsidR="00651052" w:rsidRPr="00ED66E9" w:rsidRDefault="00651052" w:rsidP="00651052">
      <w:pPr>
        <w:pStyle w:val="Brdtekst"/>
        <w:ind w:left="851"/>
        <w:rPr>
          <w:szCs w:val="24"/>
        </w:rPr>
      </w:pPr>
    </w:p>
    <w:p w:rsidR="00651052" w:rsidRPr="00ED66E9" w:rsidRDefault="00651052" w:rsidP="00651052">
      <w:pPr>
        <w:pStyle w:val="Brdtekst"/>
        <w:ind w:left="851"/>
        <w:rPr>
          <w:szCs w:val="24"/>
        </w:rPr>
      </w:pPr>
      <w:r w:rsidRPr="00ED66E9">
        <w:rPr>
          <w:szCs w:val="24"/>
        </w:rPr>
        <w:t xml:space="preserve">Immuniseringsprocedurer kan iværksættes hos patienter, som får </w:t>
      </w:r>
      <w:proofErr w:type="spellStart"/>
      <w:r w:rsidRPr="00ED66E9">
        <w:rPr>
          <w:szCs w:val="24"/>
        </w:rPr>
        <w:t>kortikosteroider</w:t>
      </w:r>
      <w:proofErr w:type="spellEnd"/>
      <w:r w:rsidRPr="00ED66E9">
        <w:rPr>
          <w:szCs w:val="24"/>
        </w:rPr>
        <w:t xml:space="preserve"> som substitutionsbehandling, f.eks. for Addisons sygdom.</w:t>
      </w:r>
    </w:p>
    <w:p w:rsidR="00651052" w:rsidRPr="00ED66E9" w:rsidRDefault="00651052" w:rsidP="00651052">
      <w:pPr>
        <w:pStyle w:val="Brdtekst"/>
        <w:ind w:left="0"/>
        <w:rPr>
          <w:szCs w:val="24"/>
        </w:rPr>
      </w:pPr>
    </w:p>
    <w:p w:rsidR="00651052" w:rsidRPr="00ED66E9" w:rsidRDefault="00651052" w:rsidP="00651052">
      <w:pPr>
        <w:pStyle w:val="Brdtekst"/>
        <w:ind w:left="851"/>
        <w:rPr>
          <w:szCs w:val="24"/>
          <w:u w:val="single"/>
        </w:rPr>
      </w:pPr>
      <w:r w:rsidRPr="00ED66E9">
        <w:rPr>
          <w:szCs w:val="24"/>
          <w:u w:val="single"/>
        </w:rPr>
        <w:t>Administration</w:t>
      </w:r>
    </w:p>
    <w:p w:rsidR="00651052" w:rsidRPr="00ED66E9" w:rsidRDefault="00651052" w:rsidP="00651052">
      <w:pPr>
        <w:pStyle w:val="Brdtekst"/>
        <w:ind w:left="851"/>
        <w:rPr>
          <w:szCs w:val="24"/>
        </w:rPr>
      </w:pPr>
      <w:r w:rsidRPr="00ED66E9">
        <w:rPr>
          <w:szCs w:val="24"/>
        </w:rPr>
        <w:t xml:space="preserve">Ved administration af </w:t>
      </w:r>
      <w:proofErr w:type="spellStart"/>
      <w:r w:rsidRPr="00ED66E9">
        <w:rPr>
          <w:szCs w:val="24"/>
        </w:rPr>
        <w:t>Dexavit</w:t>
      </w:r>
      <w:proofErr w:type="spellEnd"/>
      <w:r w:rsidRPr="00ED66E9">
        <w:rPr>
          <w:szCs w:val="24"/>
        </w:rPr>
        <w:t xml:space="preserve">), bør der altid tages højde for, at der kan forekomme systemiske bivirkning og interaktioner. </w:t>
      </w:r>
    </w:p>
    <w:p w:rsidR="00651052" w:rsidRPr="00ED66E9" w:rsidRDefault="00651052" w:rsidP="00651052">
      <w:pPr>
        <w:pStyle w:val="Brdtekst"/>
        <w:ind w:left="0"/>
        <w:rPr>
          <w:szCs w:val="24"/>
        </w:rPr>
      </w:pPr>
    </w:p>
    <w:p w:rsidR="00651052" w:rsidRPr="00ED66E9" w:rsidRDefault="00651052" w:rsidP="00651052">
      <w:pPr>
        <w:pStyle w:val="Brdtekst"/>
        <w:ind w:left="851"/>
        <w:rPr>
          <w:szCs w:val="24"/>
        </w:rPr>
      </w:pPr>
      <w:proofErr w:type="spellStart"/>
      <w:r w:rsidRPr="00ED66E9">
        <w:rPr>
          <w:i/>
          <w:szCs w:val="24"/>
        </w:rPr>
        <w:t>Intra-artikulær</w:t>
      </w:r>
      <w:proofErr w:type="spellEnd"/>
      <w:r w:rsidRPr="00ED66E9">
        <w:rPr>
          <w:i/>
          <w:szCs w:val="24"/>
        </w:rPr>
        <w:t xml:space="preserve"> administration</w:t>
      </w:r>
      <w:r w:rsidRPr="00ED66E9">
        <w:rPr>
          <w:szCs w:val="24"/>
        </w:rPr>
        <w:t xml:space="preserve"> </w:t>
      </w:r>
    </w:p>
    <w:p w:rsidR="00651052" w:rsidRPr="00ED66E9" w:rsidRDefault="00651052" w:rsidP="00651052">
      <w:pPr>
        <w:pStyle w:val="Brdtekst"/>
        <w:ind w:left="851"/>
        <w:rPr>
          <w:szCs w:val="24"/>
        </w:rPr>
      </w:pPr>
      <w:proofErr w:type="spellStart"/>
      <w:r w:rsidRPr="00ED66E9">
        <w:rPr>
          <w:szCs w:val="24"/>
        </w:rPr>
        <w:t>Intra-artikulær</w:t>
      </w:r>
      <w:proofErr w:type="spellEnd"/>
      <w:r w:rsidRPr="00ED66E9">
        <w:rPr>
          <w:szCs w:val="24"/>
        </w:rPr>
        <w:t xml:space="preserve"> administration af </w:t>
      </w:r>
      <w:proofErr w:type="spellStart"/>
      <w:r w:rsidRPr="00ED66E9">
        <w:rPr>
          <w:szCs w:val="24"/>
        </w:rPr>
        <w:t>glukokortikoider</w:t>
      </w:r>
      <w:proofErr w:type="spellEnd"/>
      <w:r w:rsidRPr="00ED66E9">
        <w:rPr>
          <w:szCs w:val="24"/>
        </w:rPr>
        <w:t xml:space="preserve"> øger risikoen for infektion i leddet. Når smerten og andre symptomer aftager kan gentagen og langvarig anvendelse af </w:t>
      </w:r>
      <w:proofErr w:type="spellStart"/>
      <w:r w:rsidRPr="00ED66E9">
        <w:rPr>
          <w:szCs w:val="24"/>
        </w:rPr>
        <w:t>glukokortikoider</w:t>
      </w:r>
      <w:proofErr w:type="spellEnd"/>
      <w:r w:rsidRPr="00ED66E9">
        <w:rPr>
          <w:szCs w:val="24"/>
        </w:rPr>
        <w:t xml:space="preserve"> i vægtbærende led forårsage nedbrydning af leddet på grund af slitage ved for stor belastning af det berørte led.</w:t>
      </w:r>
    </w:p>
    <w:p w:rsidR="00651052" w:rsidRPr="00E20F8C" w:rsidRDefault="00651052" w:rsidP="00E20F8C">
      <w:pPr>
        <w:rPr>
          <w:sz w:val="24"/>
          <w:szCs w:val="24"/>
        </w:rPr>
      </w:pPr>
    </w:p>
    <w:p w:rsidR="00651052" w:rsidRPr="00ED66E9" w:rsidRDefault="00651052" w:rsidP="00651052">
      <w:pPr>
        <w:pStyle w:val="Brdtekst"/>
        <w:ind w:left="851"/>
        <w:rPr>
          <w:szCs w:val="24"/>
        </w:rPr>
      </w:pPr>
      <w:r w:rsidRPr="00ED66E9">
        <w:rPr>
          <w:i/>
          <w:szCs w:val="24"/>
        </w:rPr>
        <w:t>Intravenøs administration</w:t>
      </w:r>
      <w:r w:rsidRPr="00ED66E9">
        <w:rPr>
          <w:szCs w:val="24"/>
        </w:rPr>
        <w:t xml:space="preserve"> </w:t>
      </w:r>
    </w:p>
    <w:p w:rsidR="00651052" w:rsidRPr="00ED66E9" w:rsidRDefault="00651052" w:rsidP="00651052">
      <w:pPr>
        <w:pStyle w:val="Brdtekst"/>
        <w:ind w:left="851"/>
        <w:rPr>
          <w:szCs w:val="24"/>
        </w:rPr>
      </w:pPr>
      <w:r w:rsidRPr="00ED66E9">
        <w:rPr>
          <w:szCs w:val="24"/>
        </w:rPr>
        <w:t xml:space="preserve">Ved intravenøs administration skal </w:t>
      </w:r>
      <w:proofErr w:type="spellStart"/>
      <w:r w:rsidRPr="00ED66E9">
        <w:rPr>
          <w:szCs w:val="24"/>
        </w:rPr>
        <w:t>Dexavit</w:t>
      </w:r>
      <w:proofErr w:type="spellEnd"/>
      <w:r w:rsidRPr="00ED66E9">
        <w:rPr>
          <w:szCs w:val="24"/>
        </w:rPr>
        <w:t xml:space="preserve"> administreres langsomt (over 2-3 minutter), da der ved for hurtig administration kan opstå bivirkninger som smerter, prikken eller </w:t>
      </w:r>
      <w:proofErr w:type="spellStart"/>
      <w:r w:rsidRPr="00ED66E9">
        <w:rPr>
          <w:szCs w:val="24"/>
        </w:rPr>
        <w:t>paræstesi</w:t>
      </w:r>
      <w:proofErr w:type="spellEnd"/>
      <w:r w:rsidRPr="00ED66E9">
        <w:rPr>
          <w:szCs w:val="24"/>
        </w:rPr>
        <w:t>, der kan vare i op til 3 minutter.</w:t>
      </w:r>
    </w:p>
    <w:p w:rsidR="00651052" w:rsidRPr="00ED66E9" w:rsidRDefault="00651052" w:rsidP="00651052">
      <w:pPr>
        <w:pStyle w:val="Brdtekst"/>
        <w:ind w:left="851"/>
        <w:rPr>
          <w:szCs w:val="24"/>
        </w:rPr>
      </w:pPr>
    </w:p>
    <w:p w:rsidR="00651052" w:rsidRPr="00ED66E9" w:rsidRDefault="00651052" w:rsidP="00651052">
      <w:pPr>
        <w:pStyle w:val="Brdtekst"/>
        <w:ind w:left="851"/>
        <w:rPr>
          <w:szCs w:val="24"/>
        </w:rPr>
      </w:pPr>
      <w:r w:rsidRPr="00ED66E9">
        <w:rPr>
          <w:szCs w:val="24"/>
          <w:u w:val="single"/>
        </w:rPr>
        <w:t>Pædiatrisk population</w:t>
      </w:r>
    </w:p>
    <w:p w:rsidR="00651052" w:rsidRPr="00ED66E9" w:rsidRDefault="00651052" w:rsidP="00651052">
      <w:pPr>
        <w:pStyle w:val="Brdtekst"/>
        <w:ind w:left="851"/>
        <w:rPr>
          <w:szCs w:val="24"/>
        </w:rPr>
      </w:pPr>
      <w:r w:rsidRPr="00ED66E9">
        <w:rPr>
          <w:szCs w:val="24"/>
        </w:rPr>
        <w:t xml:space="preserve">På grund af </w:t>
      </w:r>
      <w:proofErr w:type="spellStart"/>
      <w:r w:rsidRPr="00ED66E9">
        <w:rPr>
          <w:szCs w:val="24"/>
        </w:rPr>
        <w:t>glukokortikoidernes</w:t>
      </w:r>
      <w:proofErr w:type="spellEnd"/>
      <w:r w:rsidRPr="00ED66E9">
        <w:rPr>
          <w:szCs w:val="24"/>
        </w:rPr>
        <w:t xml:space="preserve"> negative indvirkning på væksten bør </w:t>
      </w:r>
      <w:proofErr w:type="spellStart"/>
      <w:r w:rsidRPr="00ED66E9">
        <w:rPr>
          <w:szCs w:val="24"/>
        </w:rPr>
        <w:t>Dexavit</w:t>
      </w:r>
      <w:proofErr w:type="spellEnd"/>
      <w:r w:rsidRPr="00ED66E9">
        <w:rPr>
          <w:szCs w:val="24"/>
        </w:rPr>
        <w:t xml:space="preserve"> kun administreres til børn på tvingende indikation efter vurdering af fordele og ulemper. </w:t>
      </w:r>
    </w:p>
    <w:p w:rsidR="00651052" w:rsidRPr="00ED66E9" w:rsidRDefault="00651052" w:rsidP="00651052">
      <w:pPr>
        <w:pStyle w:val="Brdtekst"/>
        <w:ind w:left="851"/>
        <w:rPr>
          <w:szCs w:val="24"/>
        </w:rPr>
      </w:pPr>
    </w:p>
    <w:p w:rsidR="00651052" w:rsidRPr="00E20F8C" w:rsidRDefault="00651052" w:rsidP="00E20F8C">
      <w:pPr>
        <w:ind w:left="851"/>
        <w:rPr>
          <w:i/>
          <w:sz w:val="24"/>
          <w:szCs w:val="24"/>
        </w:rPr>
      </w:pPr>
      <w:r w:rsidRPr="00E20F8C">
        <w:rPr>
          <w:i/>
          <w:sz w:val="24"/>
          <w:szCs w:val="24"/>
        </w:rPr>
        <w:t>Præmature nyfødte</w:t>
      </w:r>
    </w:p>
    <w:p w:rsidR="00651052" w:rsidRPr="00ED66E9" w:rsidRDefault="00651052" w:rsidP="00651052">
      <w:pPr>
        <w:pStyle w:val="Brdtekst"/>
        <w:ind w:left="851"/>
        <w:rPr>
          <w:szCs w:val="24"/>
        </w:rPr>
      </w:pPr>
      <w:r w:rsidRPr="00ED66E9">
        <w:rPr>
          <w:szCs w:val="24"/>
        </w:rPr>
        <w:t xml:space="preserve">Tilgængeligt data antyder, at tidlig behandling (&lt;96 timer) af præmature spædbørn med kronisk lungesygdom med en initialdosis på 0,25 mg/kg 2 gange dagligt fører til længerevarende neurologiske bivirkninger. </w:t>
      </w:r>
    </w:p>
    <w:p w:rsidR="00651052" w:rsidRPr="00ED66E9" w:rsidRDefault="00651052" w:rsidP="00651052">
      <w:pPr>
        <w:pStyle w:val="Brdtekst"/>
        <w:ind w:left="851"/>
        <w:rPr>
          <w:szCs w:val="24"/>
        </w:rPr>
      </w:pPr>
    </w:p>
    <w:p w:rsidR="00651052" w:rsidRPr="00ED66E9" w:rsidRDefault="00651052" w:rsidP="00651052">
      <w:pPr>
        <w:pStyle w:val="Brdtekst"/>
        <w:ind w:left="851"/>
        <w:rPr>
          <w:szCs w:val="24"/>
          <w:u w:val="single"/>
        </w:rPr>
      </w:pPr>
      <w:r w:rsidRPr="00ED66E9">
        <w:rPr>
          <w:szCs w:val="24"/>
          <w:u w:val="single"/>
        </w:rPr>
        <w:t>Ældre</w:t>
      </w:r>
    </w:p>
    <w:p w:rsidR="00651052" w:rsidRPr="00ED66E9" w:rsidRDefault="00651052" w:rsidP="00651052">
      <w:pPr>
        <w:pStyle w:val="Brdtekst"/>
        <w:ind w:left="851"/>
        <w:rPr>
          <w:szCs w:val="24"/>
        </w:rPr>
      </w:pPr>
      <w:r w:rsidRPr="00ED66E9">
        <w:rPr>
          <w:szCs w:val="24"/>
        </w:rPr>
        <w:t xml:space="preserve">På grund af den høje risiko for osteoporose hos patienter over 65 år bør </w:t>
      </w:r>
      <w:proofErr w:type="spellStart"/>
      <w:r w:rsidRPr="00ED66E9">
        <w:rPr>
          <w:szCs w:val="24"/>
        </w:rPr>
        <w:t>Dexavit</w:t>
      </w:r>
      <w:proofErr w:type="spellEnd"/>
      <w:r w:rsidRPr="00ED66E9">
        <w:rPr>
          <w:szCs w:val="24"/>
        </w:rPr>
        <w:t xml:space="preserve"> kun administreres til ældre patienter, efter nøje vurdering af fordele og ulemper.</w:t>
      </w:r>
    </w:p>
    <w:p w:rsidR="00651052" w:rsidRPr="00ED66E9" w:rsidRDefault="00651052" w:rsidP="00651052">
      <w:pPr>
        <w:pStyle w:val="Brdtekst"/>
        <w:ind w:left="851"/>
        <w:rPr>
          <w:szCs w:val="24"/>
        </w:rPr>
      </w:pPr>
    </w:p>
    <w:p w:rsidR="0008748B" w:rsidRPr="00ED66E9" w:rsidRDefault="0008748B" w:rsidP="0008748B">
      <w:pPr>
        <w:pStyle w:val="Brdtekst"/>
        <w:ind w:left="851"/>
        <w:rPr>
          <w:szCs w:val="24"/>
          <w:u w:val="single"/>
        </w:rPr>
      </w:pPr>
      <w:r w:rsidRPr="00ED66E9">
        <w:rPr>
          <w:bCs/>
          <w:iCs/>
          <w:szCs w:val="24"/>
          <w:u w:val="single"/>
        </w:rPr>
        <w:t>Hjælpestoffer</w:t>
      </w:r>
    </w:p>
    <w:p w:rsidR="0008748B" w:rsidRPr="00ED66E9" w:rsidRDefault="0008748B" w:rsidP="0008748B">
      <w:pPr>
        <w:pStyle w:val="Brdtekst"/>
        <w:ind w:left="851"/>
        <w:rPr>
          <w:szCs w:val="24"/>
        </w:rPr>
      </w:pPr>
      <w:proofErr w:type="spellStart"/>
      <w:r w:rsidRPr="00ED66E9">
        <w:rPr>
          <w:szCs w:val="24"/>
        </w:rPr>
        <w:t>Dexavit</w:t>
      </w:r>
      <w:proofErr w:type="spellEnd"/>
      <w:r w:rsidRPr="00ED66E9">
        <w:rPr>
          <w:szCs w:val="24"/>
        </w:rPr>
        <w:t xml:space="preserve"> 1 ml ampul indeholder 0,13 mmol (2,99 mg) natrium. Dette svarer til mindre end 1 mmol natrium (23 mg) per dosis; dvs. præparatet er stort set natriumfrit.</w:t>
      </w:r>
    </w:p>
    <w:p w:rsidR="0008748B" w:rsidRPr="00ED66E9" w:rsidRDefault="0008748B" w:rsidP="0008748B">
      <w:pPr>
        <w:pStyle w:val="Brdtekst"/>
        <w:ind w:left="851"/>
        <w:rPr>
          <w:szCs w:val="24"/>
        </w:rPr>
      </w:pPr>
    </w:p>
    <w:p w:rsidR="0008748B" w:rsidRPr="00ED66E9" w:rsidRDefault="0008748B" w:rsidP="0008748B">
      <w:pPr>
        <w:pStyle w:val="Brdtekst"/>
        <w:ind w:left="851"/>
        <w:rPr>
          <w:szCs w:val="24"/>
        </w:rPr>
      </w:pPr>
      <w:proofErr w:type="spellStart"/>
      <w:r w:rsidRPr="00ED66E9">
        <w:rPr>
          <w:szCs w:val="24"/>
        </w:rPr>
        <w:t>Dexavit</w:t>
      </w:r>
      <w:proofErr w:type="spellEnd"/>
      <w:r w:rsidRPr="00ED66E9">
        <w:rPr>
          <w:szCs w:val="24"/>
        </w:rPr>
        <w:t xml:space="preserve"> 5 ml ampul indeholder 0,65 mmol (14,95 mg) natrium. Dette svarer til mindre end 1 mmol natrium (23 mg) per ml; dvs. præparatet er stort set natriumfrit.</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4.5</w:t>
      </w:r>
      <w:r w:rsidRPr="00ED66E9">
        <w:rPr>
          <w:b/>
          <w:sz w:val="24"/>
          <w:szCs w:val="24"/>
        </w:rPr>
        <w:tab/>
        <w:t>Interaktion med andre lægemidler og andre former for interaktion</w:t>
      </w:r>
    </w:p>
    <w:p w:rsidR="00651052" w:rsidRPr="00ED66E9" w:rsidRDefault="00651052" w:rsidP="00651052">
      <w:pPr>
        <w:tabs>
          <w:tab w:val="left" w:pos="0"/>
          <w:tab w:val="left" w:pos="213"/>
        </w:tabs>
        <w:ind w:left="851"/>
        <w:rPr>
          <w:sz w:val="24"/>
          <w:szCs w:val="24"/>
          <w:lang w:eastAsia="da-DK"/>
        </w:rPr>
      </w:pPr>
      <w:r w:rsidRPr="00ED66E9">
        <w:rPr>
          <w:sz w:val="24"/>
          <w:szCs w:val="24"/>
        </w:rPr>
        <w:t xml:space="preserve">Det forventes, at samtidig behandling med CYP3A-hæmmere, herunder </w:t>
      </w:r>
      <w:proofErr w:type="spellStart"/>
      <w:r w:rsidRPr="00ED66E9">
        <w:rPr>
          <w:sz w:val="24"/>
          <w:szCs w:val="24"/>
        </w:rPr>
        <w:t>cobicistat-holdige</w:t>
      </w:r>
      <w:proofErr w:type="spellEnd"/>
      <w:r w:rsidRPr="00ED66E9">
        <w:rPr>
          <w:sz w:val="24"/>
          <w:szCs w:val="24"/>
        </w:rPr>
        <w:t xml:space="preserve"> lægemidler, øger risikoen for systemiske bivirkninger. Kombinationen bør undgås, medmindre fordelen opvejer den øgede risiko for systemiske </w:t>
      </w:r>
      <w:proofErr w:type="spellStart"/>
      <w:r w:rsidRPr="00ED66E9">
        <w:rPr>
          <w:sz w:val="24"/>
          <w:szCs w:val="24"/>
        </w:rPr>
        <w:t>kortikosteroid</w:t>
      </w:r>
      <w:proofErr w:type="spellEnd"/>
      <w:r w:rsidRPr="00ED66E9">
        <w:rPr>
          <w:sz w:val="24"/>
          <w:szCs w:val="24"/>
        </w:rPr>
        <w:t xml:space="preserve">-bivirkninger. Patienterne skal i givet fald overvåges for systemiske </w:t>
      </w:r>
      <w:proofErr w:type="spellStart"/>
      <w:r w:rsidRPr="00ED66E9">
        <w:rPr>
          <w:sz w:val="24"/>
          <w:szCs w:val="24"/>
        </w:rPr>
        <w:t>kortikosteroid</w:t>
      </w:r>
      <w:proofErr w:type="spellEnd"/>
      <w:r w:rsidRPr="00ED66E9">
        <w:rPr>
          <w:sz w:val="24"/>
          <w:szCs w:val="24"/>
        </w:rPr>
        <w:t>-bivirkninger.</w:t>
      </w:r>
    </w:p>
    <w:p w:rsidR="00651052" w:rsidRPr="00ED66E9" w:rsidRDefault="00651052" w:rsidP="00651052">
      <w:pPr>
        <w:ind w:left="851"/>
        <w:rPr>
          <w:sz w:val="24"/>
          <w:szCs w:val="24"/>
          <w:u w:val="single"/>
        </w:rPr>
      </w:pPr>
    </w:p>
    <w:p w:rsidR="00651052" w:rsidRPr="00ED66E9" w:rsidRDefault="00651052" w:rsidP="00651052">
      <w:pPr>
        <w:ind w:left="851"/>
        <w:rPr>
          <w:sz w:val="24"/>
          <w:szCs w:val="24"/>
        </w:rPr>
      </w:pPr>
      <w:r w:rsidRPr="00ED66E9">
        <w:rPr>
          <w:sz w:val="24"/>
          <w:szCs w:val="24"/>
          <w:u w:val="single"/>
        </w:rPr>
        <w:t xml:space="preserve">CYP 3A4 inducerende lægemidler, såsom </w:t>
      </w:r>
      <w:proofErr w:type="spellStart"/>
      <w:r w:rsidRPr="00ED66E9">
        <w:rPr>
          <w:sz w:val="24"/>
          <w:szCs w:val="24"/>
          <w:u w:val="single"/>
        </w:rPr>
        <w:t>rifampicin</w:t>
      </w:r>
      <w:proofErr w:type="spellEnd"/>
      <w:r w:rsidRPr="00ED66E9">
        <w:rPr>
          <w:sz w:val="24"/>
          <w:szCs w:val="24"/>
          <w:u w:val="single"/>
        </w:rPr>
        <w:t xml:space="preserve">, </w:t>
      </w:r>
      <w:proofErr w:type="spellStart"/>
      <w:r w:rsidRPr="00ED66E9">
        <w:rPr>
          <w:sz w:val="24"/>
          <w:szCs w:val="24"/>
          <w:u w:val="single"/>
        </w:rPr>
        <w:t>phenytoin</w:t>
      </w:r>
      <w:proofErr w:type="spellEnd"/>
      <w:r w:rsidRPr="00ED66E9">
        <w:rPr>
          <w:sz w:val="24"/>
          <w:szCs w:val="24"/>
          <w:u w:val="single"/>
        </w:rPr>
        <w:t xml:space="preserve">, </w:t>
      </w:r>
      <w:proofErr w:type="spellStart"/>
      <w:r w:rsidRPr="00ED66E9">
        <w:rPr>
          <w:sz w:val="24"/>
          <w:szCs w:val="24"/>
          <w:u w:val="single"/>
        </w:rPr>
        <w:t>carbamazepin</w:t>
      </w:r>
      <w:proofErr w:type="spellEnd"/>
      <w:r w:rsidRPr="00ED66E9">
        <w:rPr>
          <w:sz w:val="24"/>
          <w:szCs w:val="24"/>
          <w:u w:val="single"/>
        </w:rPr>
        <w:t xml:space="preserve">, </w:t>
      </w:r>
      <w:proofErr w:type="spellStart"/>
      <w:r w:rsidRPr="00ED66E9">
        <w:rPr>
          <w:sz w:val="24"/>
          <w:szCs w:val="24"/>
          <w:u w:val="single"/>
        </w:rPr>
        <w:t>efedrin</w:t>
      </w:r>
      <w:proofErr w:type="spellEnd"/>
      <w:r w:rsidRPr="00ED66E9">
        <w:rPr>
          <w:sz w:val="24"/>
          <w:szCs w:val="24"/>
          <w:u w:val="single"/>
        </w:rPr>
        <w:t>,</w:t>
      </w:r>
      <w:r w:rsidRPr="00ED66E9">
        <w:rPr>
          <w:sz w:val="24"/>
          <w:szCs w:val="24"/>
        </w:rPr>
        <w:t xml:space="preserve"> </w:t>
      </w:r>
      <w:proofErr w:type="spellStart"/>
      <w:r w:rsidRPr="00ED66E9">
        <w:rPr>
          <w:sz w:val="24"/>
          <w:szCs w:val="24"/>
        </w:rPr>
        <w:t>aminoglutethimid</w:t>
      </w:r>
      <w:proofErr w:type="spellEnd"/>
      <w:r w:rsidRPr="00ED66E9">
        <w:rPr>
          <w:sz w:val="24"/>
          <w:szCs w:val="24"/>
        </w:rPr>
        <w:t xml:space="preserve">, barbiturater og </w:t>
      </w:r>
      <w:proofErr w:type="spellStart"/>
      <w:r w:rsidRPr="00ED66E9">
        <w:rPr>
          <w:sz w:val="24"/>
          <w:szCs w:val="24"/>
        </w:rPr>
        <w:t>primidon</w:t>
      </w:r>
      <w:proofErr w:type="spellEnd"/>
      <w:r w:rsidRPr="00ED66E9">
        <w:rPr>
          <w:sz w:val="24"/>
          <w:szCs w:val="24"/>
        </w:rPr>
        <w:t>.</w:t>
      </w:r>
    </w:p>
    <w:p w:rsidR="00651052" w:rsidRPr="00ED66E9" w:rsidRDefault="00651052" w:rsidP="00651052">
      <w:pPr>
        <w:ind w:left="851"/>
        <w:rPr>
          <w:sz w:val="24"/>
          <w:szCs w:val="24"/>
        </w:rPr>
      </w:pPr>
      <w:r w:rsidRPr="00ED66E9">
        <w:rPr>
          <w:sz w:val="24"/>
          <w:szCs w:val="24"/>
        </w:rPr>
        <w:t xml:space="preserve">Disse lægemidler kan øge den metaboliske </w:t>
      </w:r>
      <w:proofErr w:type="spellStart"/>
      <w:r w:rsidRPr="00ED66E9">
        <w:rPr>
          <w:sz w:val="24"/>
          <w:szCs w:val="24"/>
        </w:rPr>
        <w:t>clearance</w:t>
      </w:r>
      <w:proofErr w:type="spellEnd"/>
      <w:r w:rsidRPr="00ED66E9">
        <w:rPr>
          <w:sz w:val="24"/>
          <w:szCs w:val="24"/>
        </w:rPr>
        <w:t xml:space="preserve"> af </w:t>
      </w:r>
      <w:proofErr w:type="spellStart"/>
      <w:r w:rsidRPr="00ED66E9">
        <w:rPr>
          <w:sz w:val="24"/>
          <w:szCs w:val="24"/>
        </w:rPr>
        <w:t>kortikosteroider</w:t>
      </w:r>
      <w:proofErr w:type="spellEnd"/>
      <w:r w:rsidRPr="00ED66E9">
        <w:rPr>
          <w:sz w:val="24"/>
          <w:szCs w:val="24"/>
        </w:rPr>
        <w:t xml:space="preserve">, hvilket resulterer i nedsat plasmakoncentration og reduceret farmakologisk aktivitet. Dette kan nødvendiggøre en forhøjelse af </w:t>
      </w:r>
      <w:proofErr w:type="spellStart"/>
      <w:r w:rsidRPr="00ED66E9">
        <w:rPr>
          <w:sz w:val="24"/>
          <w:szCs w:val="24"/>
        </w:rPr>
        <w:t>dexamethason</w:t>
      </w:r>
      <w:proofErr w:type="spellEnd"/>
      <w:r w:rsidRPr="00ED66E9">
        <w:rPr>
          <w:sz w:val="24"/>
          <w:szCs w:val="24"/>
        </w:rPr>
        <w:t xml:space="preserve"> dosis. Disse interaktioner kan påvirke </w:t>
      </w:r>
      <w:proofErr w:type="spellStart"/>
      <w:r w:rsidRPr="00ED66E9">
        <w:rPr>
          <w:sz w:val="24"/>
          <w:szCs w:val="24"/>
        </w:rPr>
        <w:t>dexamethason</w:t>
      </w:r>
      <w:proofErr w:type="spellEnd"/>
      <w:r w:rsidRPr="00ED66E9">
        <w:rPr>
          <w:sz w:val="24"/>
          <w:szCs w:val="24"/>
        </w:rPr>
        <w:t>-suppressionstesten, som bør tolkes med forsigtighed ved administration af disse lægemidler.</w:t>
      </w:r>
    </w:p>
    <w:p w:rsidR="00651052" w:rsidRPr="00ED66E9" w:rsidRDefault="00651052" w:rsidP="00651052">
      <w:pPr>
        <w:ind w:left="851"/>
        <w:rPr>
          <w:sz w:val="24"/>
          <w:szCs w:val="24"/>
        </w:rPr>
      </w:pPr>
    </w:p>
    <w:p w:rsidR="00651052" w:rsidRPr="00ED66E9" w:rsidRDefault="00651052" w:rsidP="00651052">
      <w:pPr>
        <w:ind w:left="851"/>
        <w:rPr>
          <w:sz w:val="24"/>
          <w:szCs w:val="24"/>
          <w:u w:val="single"/>
        </w:rPr>
      </w:pPr>
      <w:r w:rsidRPr="00ED66E9">
        <w:rPr>
          <w:sz w:val="24"/>
          <w:szCs w:val="24"/>
          <w:u w:val="single"/>
        </w:rPr>
        <w:t xml:space="preserve">CYP3A4 hæmmende lægemidler, såsom </w:t>
      </w:r>
      <w:proofErr w:type="spellStart"/>
      <w:r w:rsidRPr="00ED66E9">
        <w:rPr>
          <w:sz w:val="24"/>
          <w:szCs w:val="24"/>
          <w:u w:val="single"/>
        </w:rPr>
        <w:t>ketoconazol</w:t>
      </w:r>
      <w:proofErr w:type="spellEnd"/>
      <w:r w:rsidRPr="00ED66E9">
        <w:rPr>
          <w:sz w:val="24"/>
          <w:szCs w:val="24"/>
          <w:u w:val="single"/>
        </w:rPr>
        <w:t xml:space="preserve"> og </w:t>
      </w:r>
      <w:proofErr w:type="spellStart"/>
      <w:r w:rsidRPr="00ED66E9">
        <w:rPr>
          <w:sz w:val="24"/>
          <w:szCs w:val="24"/>
          <w:u w:val="single"/>
        </w:rPr>
        <w:t>itraconazol</w:t>
      </w:r>
      <w:proofErr w:type="spellEnd"/>
    </w:p>
    <w:p w:rsidR="00651052" w:rsidRPr="00ED66E9" w:rsidRDefault="00651052" w:rsidP="00651052">
      <w:pPr>
        <w:ind w:left="851"/>
        <w:rPr>
          <w:sz w:val="24"/>
          <w:szCs w:val="24"/>
        </w:rPr>
      </w:pPr>
      <w:r w:rsidRPr="00ED66E9">
        <w:rPr>
          <w:sz w:val="24"/>
          <w:szCs w:val="24"/>
        </w:rPr>
        <w:t xml:space="preserve">Disse stoffer kan nedsætte </w:t>
      </w:r>
      <w:proofErr w:type="spellStart"/>
      <w:r w:rsidRPr="00ED66E9">
        <w:rPr>
          <w:sz w:val="24"/>
          <w:szCs w:val="24"/>
        </w:rPr>
        <w:t>metaboliseringen</w:t>
      </w:r>
      <w:proofErr w:type="spellEnd"/>
      <w:r w:rsidRPr="00ED66E9">
        <w:rPr>
          <w:sz w:val="24"/>
          <w:szCs w:val="24"/>
        </w:rPr>
        <w:t xml:space="preserve"> af </w:t>
      </w:r>
      <w:proofErr w:type="spellStart"/>
      <w:r w:rsidRPr="00ED66E9">
        <w:rPr>
          <w:sz w:val="24"/>
          <w:szCs w:val="24"/>
        </w:rPr>
        <w:t>kortikosteroider</w:t>
      </w:r>
      <w:proofErr w:type="spellEnd"/>
      <w:r w:rsidRPr="00ED66E9">
        <w:rPr>
          <w:sz w:val="24"/>
          <w:szCs w:val="24"/>
        </w:rPr>
        <w:t xml:space="preserve"> og dermed øge plasmakoncentrationen af </w:t>
      </w:r>
      <w:proofErr w:type="spellStart"/>
      <w:r w:rsidRPr="00ED66E9">
        <w:rPr>
          <w:sz w:val="24"/>
          <w:szCs w:val="24"/>
        </w:rPr>
        <w:t>dexamethason</w:t>
      </w:r>
      <w:proofErr w:type="spellEnd"/>
      <w:r w:rsidRPr="00ED66E9">
        <w:rPr>
          <w:sz w:val="24"/>
          <w:szCs w:val="24"/>
        </w:rPr>
        <w:t>.</w:t>
      </w:r>
    </w:p>
    <w:p w:rsidR="00651052" w:rsidRPr="00ED66E9" w:rsidRDefault="00651052" w:rsidP="00651052">
      <w:pPr>
        <w:ind w:left="851"/>
        <w:rPr>
          <w:sz w:val="24"/>
          <w:szCs w:val="24"/>
        </w:rPr>
      </w:pPr>
    </w:p>
    <w:p w:rsidR="00651052" w:rsidRPr="00ED66E9" w:rsidRDefault="00651052" w:rsidP="00651052">
      <w:pPr>
        <w:ind w:left="851"/>
        <w:rPr>
          <w:color w:val="000000"/>
          <w:sz w:val="24"/>
          <w:szCs w:val="24"/>
        </w:rPr>
      </w:pPr>
      <w:r w:rsidRPr="00ED66E9">
        <w:rPr>
          <w:color w:val="000000"/>
          <w:sz w:val="24"/>
          <w:szCs w:val="24"/>
        </w:rPr>
        <w:t>Non-</w:t>
      </w:r>
      <w:proofErr w:type="spellStart"/>
      <w:r w:rsidRPr="00ED66E9">
        <w:rPr>
          <w:color w:val="000000"/>
          <w:sz w:val="24"/>
          <w:szCs w:val="24"/>
        </w:rPr>
        <w:t>steroide</w:t>
      </w:r>
      <w:proofErr w:type="spellEnd"/>
      <w:r w:rsidRPr="00ED66E9">
        <w:rPr>
          <w:color w:val="000000"/>
          <w:sz w:val="24"/>
          <w:szCs w:val="24"/>
        </w:rPr>
        <w:t xml:space="preserve"> anti-inflammatoriske lægemidler (NSAID), aspirin og andre </w:t>
      </w:r>
      <w:proofErr w:type="spellStart"/>
      <w:r w:rsidRPr="00ED66E9">
        <w:rPr>
          <w:color w:val="000000"/>
          <w:sz w:val="24"/>
          <w:szCs w:val="24"/>
        </w:rPr>
        <w:t>salicylater</w:t>
      </w:r>
      <w:proofErr w:type="spellEnd"/>
    </w:p>
    <w:p w:rsidR="00651052" w:rsidRPr="00ED66E9" w:rsidRDefault="00651052" w:rsidP="00651052">
      <w:pPr>
        <w:ind w:left="851"/>
        <w:rPr>
          <w:color w:val="000000"/>
          <w:sz w:val="24"/>
          <w:szCs w:val="24"/>
        </w:rPr>
      </w:pPr>
      <w:r w:rsidRPr="00ED66E9">
        <w:rPr>
          <w:color w:val="000000"/>
          <w:sz w:val="24"/>
          <w:szCs w:val="24"/>
        </w:rPr>
        <w:t xml:space="preserve">Risikoen for </w:t>
      </w:r>
      <w:proofErr w:type="spellStart"/>
      <w:r w:rsidRPr="00ED66E9">
        <w:rPr>
          <w:color w:val="000000"/>
          <w:sz w:val="24"/>
          <w:szCs w:val="24"/>
        </w:rPr>
        <w:t>gastrointestinale</w:t>
      </w:r>
      <w:proofErr w:type="spellEnd"/>
      <w:r w:rsidRPr="00ED66E9">
        <w:rPr>
          <w:color w:val="000000"/>
          <w:sz w:val="24"/>
          <w:szCs w:val="24"/>
        </w:rPr>
        <w:t xml:space="preserve"> bivirkninger, såsom mavesår eller blødning, kan være øget ved samtidig brug af </w:t>
      </w:r>
      <w:proofErr w:type="spellStart"/>
      <w:r w:rsidRPr="00ED66E9">
        <w:rPr>
          <w:color w:val="000000"/>
          <w:sz w:val="24"/>
          <w:szCs w:val="24"/>
        </w:rPr>
        <w:t>dexamethason</w:t>
      </w:r>
      <w:proofErr w:type="spellEnd"/>
      <w:r w:rsidRPr="00ED66E9">
        <w:rPr>
          <w:color w:val="000000"/>
          <w:sz w:val="24"/>
          <w:szCs w:val="24"/>
        </w:rPr>
        <w:t>.</w:t>
      </w:r>
    </w:p>
    <w:p w:rsidR="00651052" w:rsidRPr="00ED66E9" w:rsidRDefault="00651052" w:rsidP="00651052">
      <w:pPr>
        <w:ind w:left="851"/>
        <w:rPr>
          <w:color w:val="000000"/>
          <w:sz w:val="24"/>
          <w:szCs w:val="24"/>
        </w:rPr>
      </w:pPr>
      <w:proofErr w:type="spellStart"/>
      <w:r w:rsidRPr="00ED66E9">
        <w:rPr>
          <w:color w:val="000000"/>
          <w:sz w:val="24"/>
          <w:szCs w:val="24"/>
        </w:rPr>
        <w:t>Dexamethason</w:t>
      </w:r>
      <w:proofErr w:type="spellEnd"/>
      <w:r w:rsidRPr="00ED66E9">
        <w:rPr>
          <w:color w:val="000000"/>
          <w:sz w:val="24"/>
          <w:szCs w:val="24"/>
        </w:rPr>
        <w:t xml:space="preserve"> øger </w:t>
      </w:r>
      <w:proofErr w:type="spellStart"/>
      <w:r w:rsidRPr="00ED66E9">
        <w:rPr>
          <w:color w:val="000000"/>
          <w:sz w:val="24"/>
          <w:szCs w:val="24"/>
        </w:rPr>
        <w:t>salicylat</w:t>
      </w:r>
      <w:proofErr w:type="spellEnd"/>
      <w:r w:rsidRPr="00ED66E9">
        <w:rPr>
          <w:color w:val="000000"/>
          <w:sz w:val="24"/>
          <w:szCs w:val="24"/>
        </w:rPr>
        <w:t xml:space="preserve"> </w:t>
      </w:r>
      <w:proofErr w:type="spellStart"/>
      <w:r w:rsidRPr="00ED66E9">
        <w:rPr>
          <w:color w:val="000000"/>
          <w:sz w:val="24"/>
          <w:szCs w:val="24"/>
        </w:rPr>
        <w:t>clearance</w:t>
      </w:r>
      <w:proofErr w:type="spellEnd"/>
      <w:r w:rsidRPr="00ED66E9">
        <w:rPr>
          <w:color w:val="000000"/>
          <w:sz w:val="24"/>
          <w:szCs w:val="24"/>
        </w:rPr>
        <w:t xml:space="preserve">, så </w:t>
      </w:r>
      <w:proofErr w:type="spellStart"/>
      <w:r w:rsidRPr="00ED66E9">
        <w:rPr>
          <w:color w:val="000000"/>
          <w:sz w:val="24"/>
          <w:szCs w:val="24"/>
        </w:rPr>
        <w:t>salicylat</w:t>
      </w:r>
      <w:proofErr w:type="spellEnd"/>
      <w:r w:rsidRPr="00ED66E9">
        <w:rPr>
          <w:color w:val="000000"/>
          <w:sz w:val="24"/>
          <w:szCs w:val="24"/>
        </w:rPr>
        <w:t xml:space="preserve"> dosis bør reduceres sideløbende med </w:t>
      </w:r>
      <w:proofErr w:type="spellStart"/>
      <w:r w:rsidRPr="00ED66E9">
        <w:rPr>
          <w:color w:val="000000"/>
          <w:sz w:val="24"/>
          <w:szCs w:val="24"/>
        </w:rPr>
        <w:t>seponering</w:t>
      </w:r>
      <w:proofErr w:type="spellEnd"/>
      <w:r w:rsidRPr="00ED66E9">
        <w:rPr>
          <w:color w:val="000000"/>
          <w:sz w:val="24"/>
          <w:szCs w:val="24"/>
        </w:rPr>
        <w:t xml:space="preserve"> af steroider.</w:t>
      </w:r>
    </w:p>
    <w:p w:rsidR="00651052" w:rsidRPr="00ED66E9" w:rsidRDefault="00651052" w:rsidP="00651052">
      <w:pPr>
        <w:ind w:left="851"/>
        <w:rPr>
          <w:color w:val="000000"/>
          <w:sz w:val="24"/>
          <w:szCs w:val="24"/>
        </w:rPr>
      </w:pPr>
    </w:p>
    <w:p w:rsidR="00651052" w:rsidRPr="00ED66E9" w:rsidRDefault="00651052" w:rsidP="00651052">
      <w:pPr>
        <w:ind w:left="851"/>
        <w:rPr>
          <w:color w:val="000000"/>
          <w:sz w:val="24"/>
          <w:szCs w:val="24"/>
        </w:rPr>
      </w:pPr>
      <w:r w:rsidRPr="00ED66E9">
        <w:rPr>
          <w:color w:val="000000"/>
          <w:sz w:val="24"/>
          <w:szCs w:val="24"/>
        </w:rPr>
        <w:t xml:space="preserve">Falsk negative resultater er blevet rapporteret i </w:t>
      </w:r>
      <w:proofErr w:type="spellStart"/>
      <w:r w:rsidRPr="00ED66E9">
        <w:rPr>
          <w:color w:val="000000"/>
          <w:sz w:val="24"/>
          <w:szCs w:val="24"/>
        </w:rPr>
        <w:t>dexamethason</w:t>
      </w:r>
      <w:proofErr w:type="spellEnd"/>
      <w:r w:rsidRPr="00ED66E9">
        <w:rPr>
          <w:color w:val="000000"/>
          <w:sz w:val="24"/>
          <w:szCs w:val="24"/>
        </w:rPr>
        <w:t xml:space="preserve"> suppressionstest hos patienter behandlet med </w:t>
      </w:r>
      <w:proofErr w:type="spellStart"/>
      <w:r w:rsidRPr="00ED66E9">
        <w:rPr>
          <w:color w:val="000000"/>
          <w:sz w:val="24"/>
          <w:szCs w:val="24"/>
        </w:rPr>
        <w:t>indomethacin</w:t>
      </w:r>
      <w:proofErr w:type="spellEnd"/>
      <w:r w:rsidRPr="00ED66E9">
        <w:rPr>
          <w:color w:val="000000"/>
          <w:sz w:val="24"/>
          <w:szCs w:val="24"/>
        </w:rPr>
        <w:t>; disse resultater bør fortolkes med forsigtighed</w:t>
      </w:r>
    </w:p>
    <w:p w:rsidR="00651052" w:rsidRPr="00ED66E9" w:rsidRDefault="00651052" w:rsidP="00651052">
      <w:pPr>
        <w:ind w:left="851"/>
        <w:rPr>
          <w:sz w:val="24"/>
          <w:szCs w:val="24"/>
        </w:rPr>
      </w:pPr>
    </w:p>
    <w:p w:rsidR="00651052" w:rsidRPr="00ED66E9" w:rsidRDefault="00651052" w:rsidP="00651052">
      <w:pPr>
        <w:ind w:left="851"/>
        <w:rPr>
          <w:color w:val="000000"/>
          <w:sz w:val="24"/>
          <w:szCs w:val="24"/>
          <w:u w:val="single"/>
        </w:rPr>
      </w:pPr>
      <w:proofErr w:type="spellStart"/>
      <w:r w:rsidRPr="00ED66E9">
        <w:rPr>
          <w:color w:val="000000"/>
          <w:sz w:val="24"/>
          <w:szCs w:val="24"/>
          <w:u w:val="single"/>
        </w:rPr>
        <w:t>Coumarin</w:t>
      </w:r>
      <w:proofErr w:type="spellEnd"/>
      <w:r w:rsidRPr="00ED66E9">
        <w:rPr>
          <w:color w:val="000000"/>
          <w:sz w:val="24"/>
          <w:szCs w:val="24"/>
          <w:u w:val="single"/>
        </w:rPr>
        <w:t xml:space="preserve"> </w:t>
      </w:r>
      <w:proofErr w:type="spellStart"/>
      <w:r w:rsidRPr="00ED66E9">
        <w:rPr>
          <w:color w:val="000000"/>
          <w:sz w:val="24"/>
          <w:szCs w:val="24"/>
          <w:u w:val="single"/>
        </w:rPr>
        <w:t>antikoagulantia</w:t>
      </w:r>
      <w:proofErr w:type="spellEnd"/>
    </w:p>
    <w:p w:rsidR="00651052" w:rsidRPr="00ED66E9" w:rsidRDefault="00651052" w:rsidP="00651052">
      <w:pPr>
        <w:ind w:left="851"/>
        <w:rPr>
          <w:color w:val="000000"/>
          <w:sz w:val="24"/>
          <w:szCs w:val="24"/>
        </w:rPr>
      </w:pPr>
      <w:r w:rsidRPr="00ED66E9">
        <w:rPr>
          <w:color w:val="000000"/>
          <w:sz w:val="24"/>
          <w:szCs w:val="24"/>
        </w:rPr>
        <w:t xml:space="preserve">Effekten af </w:t>
      </w:r>
      <w:proofErr w:type="spellStart"/>
      <w:r w:rsidRPr="00ED66E9">
        <w:rPr>
          <w:color w:val="000000"/>
          <w:sz w:val="24"/>
          <w:szCs w:val="24"/>
        </w:rPr>
        <w:t>coumarin</w:t>
      </w:r>
      <w:proofErr w:type="spellEnd"/>
      <w:r w:rsidRPr="00ED66E9">
        <w:rPr>
          <w:color w:val="000000"/>
          <w:sz w:val="24"/>
          <w:szCs w:val="24"/>
        </w:rPr>
        <w:t xml:space="preserve"> </w:t>
      </w:r>
      <w:proofErr w:type="spellStart"/>
      <w:r w:rsidRPr="00ED66E9">
        <w:rPr>
          <w:color w:val="000000"/>
          <w:sz w:val="24"/>
          <w:szCs w:val="24"/>
        </w:rPr>
        <w:t>antikoagulantia</w:t>
      </w:r>
      <w:proofErr w:type="spellEnd"/>
      <w:r w:rsidRPr="00ED66E9">
        <w:rPr>
          <w:color w:val="000000"/>
          <w:sz w:val="24"/>
          <w:szCs w:val="24"/>
        </w:rPr>
        <w:t xml:space="preserve"> kan påvirkes ved samtidig </w:t>
      </w:r>
      <w:proofErr w:type="spellStart"/>
      <w:r w:rsidRPr="00ED66E9">
        <w:rPr>
          <w:color w:val="000000"/>
          <w:sz w:val="24"/>
          <w:szCs w:val="24"/>
        </w:rPr>
        <w:t>kortikosteroidbehandling</w:t>
      </w:r>
      <w:proofErr w:type="spellEnd"/>
      <w:r w:rsidRPr="00ED66E9">
        <w:rPr>
          <w:color w:val="000000"/>
          <w:sz w:val="24"/>
          <w:szCs w:val="24"/>
        </w:rPr>
        <w:t xml:space="preserve"> og den antikoagulerende dosis skal måske justeres. For at undgå spontan blødning, skal </w:t>
      </w:r>
      <w:proofErr w:type="spellStart"/>
      <w:r w:rsidRPr="00ED66E9">
        <w:rPr>
          <w:color w:val="000000"/>
          <w:sz w:val="24"/>
          <w:szCs w:val="24"/>
        </w:rPr>
        <w:t>protrombintid</w:t>
      </w:r>
      <w:proofErr w:type="spellEnd"/>
      <w:r w:rsidRPr="00ED66E9">
        <w:rPr>
          <w:color w:val="000000"/>
          <w:sz w:val="24"/>
          <w:szCs w:val="24"/>
        </w:rPr>
        <w:t xml:space="preserve"> kontrolleres jævnligt hos patienter i samtidig behandling med </w:t>
      </w:r>
      <w:proofErr w:type="spellStart"/>
      <w:r w:rsidRPr="00ED66E9">
        <w:rPr>
          <w:color w:val="000000"/>
          <w:sz w:val="24"/>
          <w:szCs w:val="24"/>
        </w:rPr>
        <w:t>antikoagulantia</w:t>
      </w:r>
      <w:proofErr w:type="spellEnd"/>
      <w:r w:rsidRPr="00ED66E9">
        <w:rPr>
          <w:color w:val="000000"/>
          <w:sz w:val="24"/>
          <w:szCs w:val="24"/>
        </w:rPr>
        <w:t xml:space="preserve"> og </w:t>
      </w:r>
      <w:proofErr w:type="spellStart"/>
      <w:r w:rsidRPr="00ED66E9">
        <w:rPr>
          <w:color w:val="000000"/>
          <w:sz w:val="24"/>
          <w:szCs w:val="24"/>
        </w:rPr>
        <w:t>kortikosteroider</w:t>
      </w:r>
      <w:proofErr w:type="spellEnd"/>
      <w:r w:rsidRPr="00ED66E9">
        <w:rPr>
          <w:color w:val="000000"/>
          <w:sz w:val="24"/>
          <w:szCs w:val="24"/>
        </w:rPr>
        <w:t xml:space="preserve">. </w:t>
      </w:r>
    </w:p>
    <w:p w:rsidR="00651052" w:rsidRPr="00ED66E9" w:rsidRDefault="00651052" w:rsidP="00651052">
      <w:pPr>
        <w:ind w:left="851"/>
        <w:rPr>
          <w:i/>
          <w:color w:val="000000"/>
          <w:sz w:val="24"/>
          <w:szCs w:val="24"/>
        </w:rPr>
      </w:pPr>
    </w:p>
    <w:p w:rsidR="00651052" w:rsidRPr="00ED66E9" w:rsidRDefault="00651052" w:rsidP="00651052">
      <w:pPr>
        <w:ind w:left="851"/>
        <w:rPr>
          <w:color w:val="000000"/>
          <w:sz w:val="24"/>
          <w:szCs w:val="24"/>
          <w:u w:val="single"/>
        </w:rPr>
      </w:pPr>
      <w:r w:rsidRPr="00ED66E9">
        <w:rPr>
          <w:color w:val="000000"/>
          <w:sz w:val="24"/>
          <w:szCs w:val="24"/>
          <w:u w:val="single"/>
        </w:rPr>
        <w:t xml:space="preserve">Ikke-kaliumbesparende </w:t>
      </w:r>
      <w:proofErr w:type="spellStart"/>
      <w:r w:rsidRPr="00ED66E9">
        <w:rPr>
          <w:color w:val="000000"/>
          <w:sz w:val="24"/>
          <w:szCs w:val="24"/>
          <w:u w:val="single"/>
        </w:rPr>
        <w:t>diuretika</w:t>
      </w:r>
      <w:proofErr w:type="spellEnd"/>
    </w:p>
    <w:p w:rsidR="00651052" w:rsidRPr="00ED66E9" w:rsidRDefault="00651052" w:rsidP="00651052">
      <w:pPr>
        <w:ind w:left="851"/>
        <w:rPr>
          <w:color w:val="000000"/>
          <w:sz w:val="24"/>
          <w:szCs w:val="24"/>
        </w:rPr>
      </w:pPr>
      <w:r w:rsidRPr="00ED66E9">
        <w:rPr>
          <w:color w:val="000000"/>
          <w:sz w:val="24"/>
          <w:szCs w:val="24"/>
        </w:rPr>
        <w:t xml:space="preserve">Når </w:t>
      </w:r>
      <w:proofErr w:type="spellStart"/>
      <w:r w:rsidRPr="00ED66E9">
        <w:rPr>
          <w:color w:val="000000"/>
          <w:sz w:val="24"/>
          <w:szCs w:val="24"/>
        </w:rPr>
        <w:t>kortikoider</w:t>
      </w:r>
      <w:proofErr w:type="spellEnd"/>
      <w:r w:rsidRPr="00ED66E9">
        <w:rPr>
          <w:color w:val="000000"/>
          <w:sz w:val="24"/>
          <w:szCs w:val="24"/>
        </w:rPr>
        <w:t xml:space="preserve"> administreres samtidig med ikke-kaliumbesparende </w:t>
      </w:r>
      <w:proofErr w:type="spellStart"/>
      <w:r w:rsidRPr="00ED66E9">
        <w:rPr>
          <w:color w:val="000000"/>
          <w:sz w:val="24"/>
          <w:szCs w:val="24"/>
        </w:rPr>
        <w:t>diuretika</w:t>
      </w:r>
      <w:proofErr w:type="spellEnd"/>
      <w:r w:rsidRPr="00ED66E9">
        <w:rPr>
          <w:color w:val="000000"/>
          <w:sz w:val="24"/>
          <w:szCs w:val="24"/>
        </w:rPr>
        <w:t xml:space="preserve">, skal patienterne observeres nøje for at undgå udvikling af </w:t>
      </w:r>
      <w:proofErr w:type="spellStart"/>
      <w:r w:rsidRPr="00ED66E9">
        <w:rPr>
          <w:color w:val="000000"/>
          <w:sz w:val="24"/>
          <w:szCs w:val="24"/>
        </w:rPr>
        <w:t>hypokaliæmi</w:t>
      </w:r>
      <w:proofErr w:type="spellEnd"/>
      <w:r w:rsidRPr="00ED66E9">
        <w:rPr>
          <w:color w:val="000000"/>
          <w:sz w:val="24"/>
          <w:szCs w:val="24"/>
        </w:rPr>
        <w:t>.</w:t>
      </w:r>
    </w:p>
    <w:p w:rsidR="00651052" w:rsidRPr="00ED66E9" w:rsidRDefault="00651052" w:rsidP="00651052">
      <w:pPr>
        <w:ind w:left="851"/>
        <w:rPr>
          <w:color w:val="000000"/>
          <w:sz w:val="24"/>
          <w:szCs w:val="24"/>
        </w:rPr>
      </w:pPr>
    </w:p>
    <w:p w:rsidR="00651052" w:rsidRPr="00ED66E9" w:rsidRDefault="00651052" w:rsidP="00651052">
      <w:pPr>
        <w:ind w:left="851"/>
        <w:rPr>
          <w:color w:val="000000"/>
          <w:sz w:val="24"/>
          <w:szCs w:val="24"/>
          <w:u w:val="single"/>
        </w:rPr>
      </w:pPr>
      <w:proofErr w:type="spellStart"/>
      <w:r w:rsidRPr="00ED66E9">
        <w:rPr>
          <w:color w:val="000000"/>
          <w:sz w:val="24"/>
          <w:szCs w:val="24"/>
          <w:u w:val="single"/>
        </w:rPr>
        <w:t>Antidiabetika</w:t>
      </w:r>
      <w:proofErr w:type="spellEnd"/>
    </w:p>
    <w:p w:rsidR="00651052" w:rsidRPr="00ED66E9" w:rsidRDefault="00651052" w:rsidP="00651052">
      <w:pPr>
        <w:ind w:left="851"/>
        <w:rPr>
          <w:color w:val="000000"/>
          <w:sz w:val="24"/>
          <w:szCs w:val="24"/>
        </w:rPr>
      </w:pPr>
      <w:proofErr w:type="spellStart"/>
      <w:r w:rsidRPr="00ED66E9">
        <w:rPr>
          <w:color w:val="000000"/>
          <w:sz w:val="24"/>
          <w:szCs w:val="24"/>
        </w:rPr>
        <w:t>Kortikosteroider</w:t>
      </w:r>
      <w:proofErr w:type="spellEnd"/>
      <w:r w:rsidRPr="00ED66E9">
        <w:rPr>
          <w:color w:val="000000"/>
          <w:sz w:val="24"/>
          <w:szCs w:val="24"/>
        </w:rPr>
        <w:t xml:space="preserve"> kan øge blodsukkerkoncentrationerne. Det kan være nødvendigt at justere dosis af oral </w:t>
      </w:r>
      <w:proofErr w:type="spellStart"/>
      <w:r w:rsidRPr="00ED66E9">
        <w:rPr>
          <w:color w:val="000000"/>
          <w:sz w:val="24"/>
          <w:szCs w:val="24"/>
        </w:rPr>
        <w:t>antidiabetika</w:t>
      </w:r>
      <w:proofErr w:type="spellEnd"/>
      <w:r w:rsidRPr="00ED66E9">
        <w:rPr>
          <w:color w:val="000000"/>
          <w:sz w:val="24"/>
          <w:szCs w:val="24"/>
        </w:rPr>
        <w:t xml:space="preserve">, insulin eller </w:t>
      </w:r>
      <w:proofErr w:type="spellStart"/>
      <w:r w:rsidRPr="00ED66E9">
        <w:rPr>
          <w:color w:val="000000"/>
          <w:sz w:val="24"/>
          <w:szCs w:val="24"/>
        </w:rPr>
        <w:t>glukokortikoider</w:t>
      </w:r>
      <w:proofErr w:type="spellEnd"/>
      <w:r w:rsidRPr="00ED66E9">
        <w:rPr>
          <w:color w:val="000000"/>
          <w:sz w:val="24"/>
          <w:szCs w:val="24"/>
        </w:rPr>
        <w:t>, ved samtidig administration af disse.</w:t>
      </w:r>
    </w:p>
    <w:p w:rsidR="00651052" w:rsidRPr="00ED66E9" w:rsidRDefault="00651052" w:rsidP="00651052">
      <w:pPr>
        <w:ind w:left="851"/>
        <w:rPr>
          <w:sz w:val="24"/>
          <w:szCs w:val="24"/>
        </w:rPr>
      </w:pPr>
    </w:p>
    <w:p w:rsidR="00651052" w:rsidRPr="00ED66E9" w:rsidRDefault="00651052" w:rsidP="00651052">
      <w:pPr>
        <w:ind w:left="851"/>
        <w:rPr>
          <w:color w:val="000000"/>
          <w:sz w:val="24"/>
          <w:szCs w:val="24"/>
          <w:u w:val="single"/>
        </w:rPr>
      </w:pPr>
      <w:r w:rsidRPr="00ED66E9">
        <w:rPr>
          <w:color w:val="000000"/>
          <w:sz w:val="24"/>
          <w:szCs w:val="24"/>
          <w:u w:val="single"/>
        </w:rPr>
        <w:t>Hjerteglykosider</w:t>
      </w:r>
    </w:p>
    <w:p w:rsidR="00651052" w:rsidRPr="00ED66E9" w:rsidRDefault="00651052" w:rsidP="00651052">
      <w:pPr>
        <w:ind w:left="851"/>
        <w:rPr>
          <w:color w:val="000000"/>
          <w:sz w:val="24"/>
          <w:szCs w:val="24"/>
        </w:rPr>
      </w:pPr>
      <w:r w:rsidRPr="00ED66E9">
        <w:rPr>
          <w:color w:val="000000"/>
          <w:sz w:val="24"/>
          <w:szCs w:val="24"/>
        </w:rPr>
        <w:t xml:space="preserve">Patienter, der får </w:t>
      </w:r>
      <w:proofErr w:type="spellStart"/>
      <w:r w:rsidRPr="00ED66E9">
        <w:rPr>
          <w:color w:val="000000"/>
          <w:sz w:val="24"/>
          <w:szCs w:val="24"/>
        </w:rPr>
        <w:t>dexamethason</w:t>
      </w:r>
      <w:proofErr w:type="spellEnd"/>
      <w:r w:rsidRPr="00ED66E9">
        <w:rPr>
          <w:color w:val="000000"/>
          <w:sz w:val="24"/>
          <w:szCs w:val="24"/>
        </w:rPr>
        <w:t xml:space="preserve"> og hjerteglykosider skal overvåges nøje, da disse patienter kan have øget risiko for </w:t>
      </w:r>
      <w:proofErr w:type="spellStart"/>
      <w:r w:rsidRPr="00ED66E9">
        <w:rPr>
          <w:color w:val="000000"/>
          <w:sz w:val="24"/>
          <w:szCs w:val="24"/>
        </w:rPr>
        <w:t>arytmi</w:t>
      </w:r>
      <w:proofErr w:type="spellEnd"/>
      <w:r w:rsidRPr="00ED66E9">
        <w:rPr>
          <w:color w:val="000000"/>
          <w:sz w:val="24"/>
          <w:szCs w:val="24"/>
        </w:rPr>
        <w:t xml:space="preserve"> pga. </w:t>
      </w:r>
      <w:proofErr w:type="spellStart"/>
      <w:r w:rsidRPr="00ED66E9">
        <w:rPr>
          <w:color w:val="000000"/>
          <w:sz w:val="24"/>
          <w:szCs w:val="24"/>
        </w:rPr>
        <w:t>hypokaliæmi</w:t>
      </w:r>
      <w:proofErr w:type="spellEnd"/>
      <w:r w:rsidRPr="00ED66E9">
        <w:rPr>
          <w:color w:val="000000"/>
          <w:sz w:val="24"/>
          <w:szCs w:val="24"/>
        </w:rPr>
        <w:t>.</w:t>
      </w:r>
    </w:p>
    <w:p w:rsidR="00651052" w:rsidRPr="00ED66E9" w:rsidRDefault="00651052" w:rsidP="00651052">
      <w:pPr>
        <w:ind w:left="851"/>
        <w:rPr>
          <w:sz w:val="24"/>
          <w:szCs w:val="24"/>
        </w:rPr>
      </w:pPr>
    </w:p>
    <w:p w:rsidR="00651052" w:rsidRPr="00ED66E9" w:rsidRDefault="00651052" w:rsidP="00651052">
      <w:pPr>
        <w:ind w:left="851"/>
        <w:rPr>
          <w:color w:val="000000"/>
          <w:sz w:val="24"/>
          <w:szCs w:val="24"/>
          <w:u w:val="single"/>
        </w:rPr>
      </w:pPr>
      <w:r w:rsidRPr="00ED66E9">
        <w:rPr>
          <w:color w:val="000000"/>
          <w:sz w:val="24"/>
          <w:szCs w:val="24"/>
          <w:u w:val="single"/>
        </w:rPr>
        <w:t>Østrogener</w:t>
      </w:r>
    </w:p>
    <w:p w:rsidR="00651052" w:rsidRPr="00ED66E9" w:rsidRDefault="00651052" w:rsidP="00651052">
      <w:pPr>
        <w:ind w:left="851"/>
        <w:rPr>
          <w:color w:val="000000"/>
          <w:sz w:val="24"/>
          <w:szCs w:val="24"/>
        </w:rPr>
      </w:pPr>
      <w:r w:rsidRPr="00ED66E9">
        <w:rPr>
          <w:color w:val="000000"/>
          <w:sz w:val="24"/>
          <w:szCs w:val="24"/>
        </w:rPr>
        <w:t xml:space="preserve">Østrogener kan forstærke virkningen af </w:t>
      </w:r>
      <w:proofErr w:type="spellStart"/>
      <w:r w:rsidRPr="00ED66E9">
        <w:rPr>
          <w:color w:val="000000"/>
          <w:sz w:val="24"/>
          <w:szCs w:val="24"/>
        </w:rPr>
        <w:t>dexamethason</w:t>
      </w:r>
      <w:proofErr w:type="spellEnd"/>
      <w:r w:rsidRPr="00ED66E9">
        <w:rPr>
          <w:color w:val="000000"/>
          <w:sz w:val="24"/>
          <w:szCs w:val="24"/>
        </w:rPr>
        <w:t xml:space="preserve"> på grund af nedsat </w:t>
      </w:r>
      <w:proofErr w:type="spellStart"/>
      <w:r w:rsidRPr="00ED66E9">
        <w:rPr>
          <w:color w:val="000000"/>
          <w:sz w:val="24"/>
          <w:szCs w:val="24"/>
        </w:rPr>
        <w:t>hepatisk</w:t>
      </w:r>
      <w:proofErr w:type="spellEnd"/>
      <w:r w:rsidRPr="00ED66E9">
        <w:rPr>
          <w:color w:val="000000"/>
          <w:sz w:val="24"/>
          <w:szCs w:val="24"/>
        </w:rPr>
        <w:t xml:space="preserve"> </w:t>
      </w:r>
      <w:proofErr w:type="spellStart"/>
      <w:r w:rsidRPr="00ED66E9">
        <w:rPr>
          <w:color w:val="000000"/>
          <w:sz w:val="24"/>
          <w:szCs w:val="24"/>
        </w:rPr>
        <w:t>metabolisering</w:t>
      </w:r>
      <w:proofErr w:type="spellEnd"/>
      <w:r w:rsidRPr="00ED66E9">
        <w:rPr>
          <w:color w:val="000000"/>
          <w:sz w:val="24"/>
          <w:szCs w:val="24"/>
        </w:rPr>
        <w:t xml:space="preserve"> af </w:t>
      </w:r>
      <w:proofErr w:type="spellStart"/>
      <w:r w:rsidRPr="00ED66E9">
        <w:rPr>
          <w:color w:val="000000"/>
          <w:sz w:val="24"/>
          <w:szCs w:val="24"/>
        </w:rPr>
        <w:t>dexamethason</w:t>
      </w:r>
      <w:proofErr w:type="spellEnd"/>
      <w:r w:rsidRPr="00ED66E9">
        <w:rPr>
          <w:color w:val="000000"/>
          <w:sz w:val="24"/>
          <w:szCs w:val="24"/>
        </w:rPr>
        <w:t>.</w:t>
      </w:r>
    </w:p>
    <w:p w:rsidR="00651052" w:rsidRPr="00ED66E9" w:rsidRDefault="00651052" w:rsidP="00651052">
      <w:pPr>
        <w:ind w:left="851"/>
        <w:rPr>
          <w:sz w:val="24"/>
          <w:szCs w:val="24"/>
        </w:rPr>
      </w:pPr>
    </w:p>
    <w:p w:rsidR="00651052" w:rsidRPr="00ED66E9" w:rsidRDefault="00651052" w:rsidP="00651052">
      <w:pPr>
        <w:ind w:left="851"/>
        <w:rPr>
          <w:sz w:val="24"/>
          <w:szCs w:val="24"/>
          <w:u w:val="single"/>
        </w:rPr>
      </w:pPr>
      <w:proofErr w:type="spellStart"/>
      <w:r w:rsidRPr="00ED66E9">
        <w:rPr>
          <w:sz w:val="24"/>
          <w:szCs w:val="24"/>
          <w:u w:val="single"/>
        </w:rPr>
        <w:t>Isoniazid</w:t>
      </w:r>
      <w:proofErr w:type="spellEnd"/>
    </w:p>
    <w:p w:rsidR="00651052" w:rsidRPr="00ED66E9" w:rsidRDefault="00651052" w:rsidP="00651052">
      <w:pPr>
        <w:ind w:left="851"/>
        <w:rPr>
          <w:sz w:val="24"/>
          <w:szCs w:val="24"/>
        </w:rPr>
      </w:pPr>
      <w:proofErr w:type="spellStart"/>
      <w:r w:rsidRPr="00ED66E9">
        <w:rPr>
          <w:sz w:val="24"/>
          <w:szCs w:val="24"/>
        </w:rPr>
        <w:t>Isoniazids</w:t>
      </w:r>
      <w:proofErr w:type="spellEnd"/>
      <w:r w:rsidRPr="00ED66E9">
        <w:rPr>
          <w:sz w:val="24"/>
          <w:szCs w:val="24"/>
        </w:rPr>
        <w:t xml:space="preserve"> plasmakoncentration kan nedsættes, når det administreres samtidig med </w:t>
      </w:r>
      <w:proofErr w:type="spellStart"/>
      <w:r w:rsidRPr="00ED66E9">
        <w:rPr>
          <w:sz w:val="24"/>
          <w:szCs w:val="24"/>
        </w:rPr>
        <w:t>dexamethason</w:t>
      </w:r>
      <w:proofErr w:type="spellEnd"/>
      <w:r w:rsidRPr="00ED66E9">
        <w:rPr>
          <w:sz w:val="24"/>
          <w:szCs w:val="24"/>
        </w:rPr>
        <w:t>.</w:t>
      </w:r>
    </w:p>
    <w:p w:rsidR="00651052" w:rsidRPr="00ED66E9" w:rsidRDefault="00651052" w:rsidP="00E20F8C">
      <w:pPr>
        <w:pStyle w:val="Brdtekst"/>
        <w:ind w:left="851"/>
        <w:rPr>
          <w:szCs w:val="24"/>
        </w:rPr>
      </w:pPr>
    </w:p>
    <w:p w:rsidR="00651052" w:rsidRPr="00ED66E9" w:rsidRDefault="00651052" w:rsidP="00651052">
      <w:pPr>
        <w:ind w:left="851"/>
        <w:rPr>
          <w:sz w:val="24"/>
          <w:szCs w:val="24"/>
          <w:u w:val="single"/>
        </w:rPr>
      </w:pPr>
      <w:r w:rsidRPr="00ED66E9">
        <w:rPr>
          <w:sz w:val="24"/>
          <w:szCs w:val="24"/>
          <w:u w:val="single"/>
        </w:rPr>
        <w:t>Laboratorieværdier</w:t>
      </w:r>
    </w:p>
    <w:p w:rsidR="00651052" w:rsidRPr="00ED66E9" w:rsidRDefault="00651052" w:rsidP="00651052">
      <w:pPr>
        <w:ind w:left="851"/>
        <w:rPr>
          <w:sz w:val="24"/>
          <w:szCs w:val="24"/>
        </w:rPr>
      </w:pPr>
      <w:r w:rsidRPr="00ED66E9">
        <w:rPr>
          <w:sz w:val="24"/>
          <w:szCs w:val="24"/>
        </w:rPr>
        <w:t>Dette lægemiddel kan ændre følgende laboratorieværdier:</w:t>
      </w:r>
    </w:p>
    <w:p w:rsidR="00651052" w:rsidRPr="00ED66E9" w:rsidRDefault="00651052" w:rsidP="00651052">
      <w:pPr>
        <w:pStyle w:val="Brdtekst"/>
        <w:numPr>
          <w:ilvl w:val="0"/>
          <w:numId w:val="7"/>
        </w:numPr>
        <w:tabs>
          <w:tab w:val="left" w:pos="1134"/>
          <w:tab w:val="left" w:pos="2127"/>
        </w:tabs>
        <w:ind w:left="2127" w:hanging="1276"/>
        <w:rPr>
          <w:szCs w:val="24"/>
        </w:rPr>
      </w:pPr>
      <w:r w:rsidRPr="00ED66E9">
        <w:rPr>
          <w:szCs w:val="24"/>
        </w:rPr>
        <w:t>Blod:</w:t>
      </w:r>
      <w:r w:rsidRPr="00ED66E9">
        <w:rPr>
          <w:szCs w:val="24"/>
        </w:rPr>
        <w:tab/>
        <w:t>Forhøjet kolesterol og glukose, og reduktion af calcium, kalium og skjoldbruskkirtelhormoner.</w:t>
      </w:r>
    </w:p>
    <w:p w:rsidR="00651052" w:rsidRPr="00ED66E9" w:rsidRDefault="00651052" w:rsidP="00651052">
      <w:pPr>
        <w:pStyle w:val="Brdtekst"/>
        <w:numPr>
          <w:ilvl w:val="0"/>
          <w:numId w:val="7"/>
        </w:numPr>
        <w:tabs>
          <w:tab w:val="left" w:pos="1134"/>
          <w:tab w:val="left" w:pos="2127"/>
        </w:tabs>
        <w:ind w:left="2127" w:hanging="1276"/>
        <w:rPr>
          <w:szCs w:val="24"/>
        </w:rPr>
      </w:pPr>
      <w:r w:rsidRPr="00ED66E9">
        <w:rPr>
          <w:szCs w:val="24"/>
        </w:rPr>
        <w:t>Urin:</w:t>
      </w:r>
      <w:r w:rsidRPr="00ED66E9">
        <w:rPr>
          <w:szCs w:val="24"/>
        </w:rPr>
        <w:tab/>
        <w:t>Øget glukose.</w:t>
      </w:r>
    </w:p>
    <w:p w:rsidR="00651052" w:rsidRPr="00ED66E9" w:rsidRDefault="00651052" w:rsidP="00651052">
      <w:pPr>
        <w:pStyle w:val="Brdtekst"/>
        <w:numPr>
          <w:ilvl w:val="0"/>
          <w:numId w:val="7"/>
        </w:numPr>
        <w:tabs>
          <w:tab w:val="left" w:pos="1134"/>
          <w:tab w:val="left" w:pos="2127"/>
        </w:tabs>
        <w:ind w:left="2127" w:hanging="1276"/>
        <w:rPr>
          <w:szCs w:val="24"/>
        </w:rPr>
      </w:pPr>
      <w:r w:rsidRPr="00ED66E9">
        <w:rPr>
          <w:szCs w:val="24"/>
        </w:rPr>
        <w:t>Hud test:</w:t>
      </w:r>
      <w:r w:rsidRPr="00ED66E9">
        <w:rPr>
          <w:szCs w:val="24"/>
        </w:rPr>
        <w:tab/>
      </w:r>
      <w:proofErr w:type="spellStart"/>
      <w:r w:rsidRPr="00ED66E9">
        <w:rPr>
          <w:szCs w:val="24"/>
        </w:rPr>
        <w:t>Tuberculin</w:t>
      </w:r>
      <w:proofErr w:type="spellEnd"/>
      <w:r w:rsidRPr="00ED66E9">
        <w:rPr>
          <w:szCs w:val="24"/>
        </w:rPr>
        <w:t>- og allergi priktest.</w:t>
      </w:r>
    </w:p>
    <w:p w:rsidR="00B938C8" w:rsidRDefault="00B938C8">
      <w:pPr>
        <w:rPr>
          <w:sz w:val="24"/>
          <w:szCs w:val="24"/>
        </w:rPr>
      </w:pPr>
      <w:r>
        <w:rPr>
          <w:sz w:val="24"/>
          <w:szCs w:val="24"/>
        </w:rPr>
        <w:br w:type="page"/>
      </w:r>
    </w:p>
    <w:p w:rsidR="00651052" w:rsidRPr="00ED66E9" w:rsidRDefault="00651052" w:rsidP="00651052">
      <w:pPr>
        <w:tabs>
          <w:tab w:val="left" w:pos="851"/>
        </w:tabs>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4.6</w:t>
      </w:r>
      <w:r w:rsidRPr="00ED66E9">
        <w:rPr>
          <w:b/>
          <w:sz w:val="24"/>
          <w:szCs w:val="24"/>
        </w:rPr>
        <w:tab/>
      </w:r>
      <w:r w:rsidR="00803A32">
        <w:rPr>
          <w:b/>
          <w:sz w:val="24"/>
          <w:szCs w:val="24"/>
        </w:rPr>
        <w:t>Fertilitet, g</w:t>
      </w:r>
      <w:r w:rsidRPr="00ED66E9">
        <w:rPr>
          <w:b/>
          <w:sz w:val="24"/>
          <w:szCs w:val="24"/>
        </w:rPr>
        <w:t>raviditet og amning</w:t>
      </w:r>
    </w:p>
    <w:p w:rsidR="00651052" w:rsidRPr="00ED66E9" w:rsidRDefault="00651052" w:rsidP="00651052">
      <w:pPr>
        <w:pStyle w:val="Brdtekst"/>
        <w:ind w:left="851" w:hanging="851"/>
        <w:rPr>
          <w:bCs/>
          <w:szCs w:val="24"/>
          <w:u w:val="single"/>
        </w:rPr>
      </w:pPr>
    </w:p>
    <w:p w:rsidR="00651052" w:rsidRPr="00ED66E9" w:rsidRDefault="00651052" w:rsidP="00651052">
      <w:pPr>
        <w:pStyle w:val="Brdtekst"/>
        <w:ind w:left="851"/>
        <w:rPr>
          <w:bCs/>
          <w:szCs w:val="24"/>
          <w:u w:val="single"/>
        </w:rPr>
      </w:pPr>
      <w:r w:rsidRPr="00ED66E9">
        <w:rPr>
          <w:bCs/>
          <w:szCs w:val="24"/>
          <w:u w:val="single"/>
        </w:rPr>
        <w:t xml:space="preserve">Graviditet </w:t>
      </w:r>
    </w:p>
    <w:p w:rsidR="00651052" w:rsidRPr="00ED66E9" w:rsidRDefault="00651052" w:rsidP="00651052">
      <w:pPr>
        <w:pStyle w:val="Brdtekst"/>
        <w:ind w:left="851"/>
        <w:rPr>
          <w:bCs/>
          <w:szCs w:val="24"/>
        </w:rPr>
      </w:pPr>
      <w:proofErr w:type="spellStart"/>
      <w:r w:rsidRPr="00ED66E9">
        <w:rPr>
          <w:szCs w:val="24"/>
        </w:rPr>
        <w:t>Dexamethason</w:t>
      </w:r>
      <w:proofErr w:type="spellEnd"/>
      <w:r w:rsidRPr="00ED66E9">
        <w:rPr>
          <w:szCs w:val="24"/>
        </w:rPr>
        <w:t xml:space="preserve"> krydser placentabarrieren. Under graviditet, især i det første trimester, bør behandling kun påbegyndes efter vurdering af fordele og ulemper ved behandling. Det er også nødvendigt at tage højde for, at </w:t>
      </w:r>
      <w:proofErr w:type="spellStart"/>
      <w:r w:rsidRPr="00ED66E9">
        <w:rPr>
          <w:szCs w:val="24"/>
        </w:rPr>
        <w:t>dexamethasons</w:t>
      </w:r>
      <w:proofErr w:type="spellEnd"/>
      <w:r w:rsidRPr="00ED66E9">
        <w:rPr>
          <w:szCs w:val="24"/>
        </w:rPr>
        <w:t xml:space="preserve"> eliminationshalveringstid kan være forlænget. </w:t>
      </w:r>
    </w:p>
    <w:p w:rsidR="00651052" w:rsidRPr="00ED66E9" w:rsidRDefault="00651052" w:rsidP="00651052">
      <w:pPr>
        <w:pStyle w:val="Brdtekst"/>
        <w:ind w:left="851" w:hanging="851"/>
        <w:rPr>
          <w:bCs/>
          <w:szCs w:val="24"/>
        </w:rPr>
      </w:pPr>
    </w:p>
    <w:p w:rsidR="00651052" w:rsidRPr="00ED66E9" w:rsidRDefault="00651052" w:rsidP="00651052">
      <w:pPr>
        <w:pStyle w:val="Brdtekst"/>
        <w:ind w:left="851"/>
        <w:rPr>
          <w:bCs/>
          <w:szCs w:val="24"/>
        </w:rPr>
      </w:pPr>
      <w:r w:rsidRPr="00ED66E9">
        <w:rPr>
          <w:szCs w:val="24"/>
        </w:rPr>
        <w:t xml:space="preserve">Dyreforsøg har vist, at </w:t>
      </w:r>
      <w:proofErr w:type="spellStart"/>
      <w:r w:rsidRPr="00ED66E9">
        <w:rPr>
          <w:szCs w:val="24"/>
        </w:rPr>
        <w:t>dexamethason</w:t>
      </w:r>
      <w:proofErr w:type="spellEnd"/>
      <w:r w:rsidRPr="00ED66E9">
        <w:rPr>
          <w:szCs w:val="24"/>
        </w:rPr>
        <w:t xml:space="preserve"> kan fremkalde </w:t>
      </w:r>
      <w:proofErr w:type="spellStart"/>
      <w:r w:rsidRPr="00ED66E9">
        <w:rPr>
          <w:szCs w:val="24"/>
        </w:rPr>
        <w:t>læbe-ganespalte</w:t>
      </w:r>
      <w:proofErr w:type="spellEnd"/>
      <w:r w:rsidRPr="00ED66E9">
        <w:rPr>
          <w:szCs w:val="24"/>
        </w:rPr>
        <w:t>. Der foreligger dog kun begrænsede data vedrørende den forhøjede risiko for læbe-gane</w:t>
      </w:r>
      <w:r w:rsidR="00B938C8">
        <w:rPr>
          <w:szCs w:val="24"/>
        </w:rPr>
        <w:t>-</w:t>
      </w:r>
      <w:r w:rsidRPr="00ED66E9">
        <w:rPr>
          <w:szCs w:val="24"/>
        </w:rPr>
        <w:t xml:space="preserve">spalte hos menneskefostre som følge af administration af </w:t>
      </w:r>
      <w:proofErr w:type="spellStart"/>
      <w:r w:rsidRPr="00ED66E9">
        <w:rPr>
          <w:szCs w:val="24"/>
        </w:rPr>
        <w:t>glukokortikoider</w:t>
      </w:r>
      <w:proofErr w:type="spellEnd"/>
      <w:r w:rsidRPr="00ED66E9">
        <w:rPr>
          <w:szCs w:val="24"/>
        </w:rPr>
        <w:t xml:space="preserve"> til moderen i det første trimester af graviditeten. </w:t>
      </w:r>
    </w:p>
    <w:p w:rsidR="00651052" w:rsidRPr="00ED66E9" w:rsidRDefault="00651052" w:rsidP="00651052">
      <w:pPr>
        <w:pStyle w:val="Brdtekst"/>
        <w:ind w:left="851" w:hanging="851"/>
        <w:rPr>
          <w:bCs/>
          <w:szCs w:val="24"/>
        </w:rPr>
      </w:pPr>
    </w:p>
    <w:p w:rsidR="00651052" w:rsidRPr="00ED66E9" w:rsidRDefault="00651052" w:rsidP="00651052">
      <w:pPr>
        <w:pStyle w:val="Brdtekst"/>
        <w:ind w:left="851"/>
        <w:rPr>
          <w:bCs/>
          <w:szCs w:val="24"/>
        </w:rPr>
      </w:pPr>
      <w:r w:rsidRPr="00ED66E9">
        <w:rPr>
          <w:szCs w:val="24"/>
        </w:rPr>
        <w:t xml:space="preserve">Ændringer i fosterets vækst kan ikke udelukkes ved langvarig behandling med </w:t>
      </w:r>
      <w:proofErr w:type="spellStart"/>
      <w:r w:rsidRPr="00ED66E9">
        <w:rPr>
          <w:szCs w:val="24"/>
        </w:rPr>
        <w:t>glukokortikoider</w:t>
      </w:r>
      <w:proofErr w:type="spellEnd"/>
      <w:r w:rsidRPr="00ED66E9">
        <w:rPr>
          <w:szCs w:val="24"/>
        </w:rPr>
        <w:t xml:space="preserve"> under graviditet. Hvis der gives </w:t>
      </w:r>
      <w:proofErr w:type="spellStart"/>
      <w:r w:rsidRPr="00ED66E9">
        <w:rPr>
          <w:szCs w:val="24"/>
        </w:rPr>
        <w:t>glukokortikoidbehandling</w:t>
      </w:r>
      <w:proofErr w:type="spellEnd"/>
      <w:r w:rsidRPr="00ED66E9">
        <w:rPr>
          <w:szCs w:val="24"/>
        </w:rPr>
        <w:t xml:space="preserve"> mod graviditetens slutning, er der risiko for atrofiering af binyrebarken hos fosteret, og dette kan nødvendiggøre gradvis substitutionsbehandling af det nyfødte barn. </w:t>
      </w:r>
    </w:p>
    <w:p w:rsidR="00651052" w:rsidRPr="00ED66E9" w:rsidRDefault="00651052" w:rsidP="00651052">
      <w:pPr>
        <w:pStyle w:val="Brdtekst"/>
        <w:ind w:left="851" w:hanging="851"/>
        <w:rPr>
          <w:bCs/>
          <w:szCs w:val="24"/>
        </w:rPr>
      </w:pPr>
    </w:p>
    <w:p w:rsidR="00651052" w:rsidRPr="00ED66E9" w:rsidRDefault="00651052" w:rsidP="00651052">
      <w:pPr>
        <w:pStyle w:val="Brdtekst"/>
        <w:ind w:left="851"/>
        <w:rPr>
          <w:bCs/>
          <w:szCs w:val="24"/>
          <w:u w:val="single"/>
        </w:rPr>
      </w:pPr>
      <w:r w:rsidRPr="00ED66E9">
        <w:rPr>
          <w:bCs/>
          <w:szCs w:val="24"/>
          <w:u w:val="single"/>
        </w:rPr>
        <w:t xml:space="preserve">Amning </w:t>
      </w:r>
    </w:p>
    <w:p w:rsidR="00651052" w:rsidRDefault="00651052" w:rsidP="00651052">
      <w:pPr>
        <w:pStyle w:val="Brdtekst"/>
        <w:ind w:left="851"/>
        <w:rPr>
          <w:szCs w:val="24"/>
        </w:rPr>
      </w:pPr>
      <w:proofErr w:type="spellStart"/>
      <w:r w:rsidRPr="00ED66E9">
        <w:rPr>
          <w:szCs w:val="24"/>
        </w:rPr>
        <w:t>Glukokortikoider</w:t>
      </w:r>
      <w:proofErr w:type="spellEnd"/>
      <w:r w:rsidRPr="00ED66E9">
        <w:rPr>
          <w:szCs w:val="24"/>
        </w:rPr>
        <w:t xml:space="preserve"> udskilles i human mælk. Det er endnu ukendt, om </w:t>
      </w:r>
      <w:proofErr w:type="spellStart"/>
      <w:r w:rsidRPr="00ED66E9">
        <w:rPr>
          <w:szCs w:val="24"/>
        </w:rPr>
        <w:t>dexamethason</w:t>
      </w:r>
      <w:proofErr w:type="spellEnd"/>
      <w:r w:rsidRPr="00ED66E9">
        <w:rPr>
          <w:szCs w:val="24"/>
        </w:rPr>
        <w:t xml:space="preserve"> er skadeligt for det ammede barn. Det anbefales dog, at </w:t>
      </w:r>
      <w:proofErr w:type="spellStart"/>
      <w:r w:rsidRPr="00ED66E9">
        <w:rPr>
          <w:szCs w:val="24"/>
        </w:rPr>
        <w:t>Dexavit</w:t>
      </w:r>
      <w:proofErr w:type="spellEnd"/>
      <w:r w:rsidRPr="00ED66E9">
        <w:rPr>
          <w:szCs w:val="24"/>
        </w:rPr>
        <w:t xml:space="preserve"> kun ordineres under amning på tvingende indikation. Hvis behandlingen nødvendiggør høje doser </w:t>
      </w:r>
      <w:proofErr w:type="spellStart"/>
      <w:r w:rsidRPr="00ED66E9">
        <w:rPr>
          <w:szCs w:val="24"/>
        </w:rPr>
        <w:t>dexamethason</w:t>
      </w:r>
      <w:proofErr w:type="spellEnd"/>
      <w:r w:rsidRPr="00ED66E9">
        <w:rPr>
          <w:szCs w:val="24"/>
        </w:rPr>
        <w:t xml:space="preserve">, bør barnet fravænnes fra amning. </w:t>
      </w:r>
    </w:p>
    <w:p w:rsidR="00E60A5E" w:rsidRPr="00E20F8C" w:rsidRDefault="00E60A5E" w:rsidP="00651052">
      <w:pPr>
        <w:pStyle w:val="Brdtekst"/>
        <w:ind w:left="851"/>
        <w:rPr>
          <w:bCs/>
          <w:szCs w:val="24"/>
        </w:rPr>
      </w:pPr>
    </w:p>
    <w:p w:rsidR="00E60A5E" w:rsidRPr="00E20F8C" w:rsidRDefault="00E60A5E" w:rsidP="00E60A5E">
      <w:pPr>
        <w:pStyle w:val="Brdtekst"/>
        <w:ind w:left="851"/>
        <w:rPr>
          <w:bCs/>
          <w:szCs w:val="24"/>
        </w:rPr>
      </w:pPr>
      <w:r>
        <w:t xml:space="preserve">Studier har vist en øget risiko for hypoglykæmi hos nyfødte efter kortvarig administration af </w:t>
      </w:r>
      <w:proofErr w:type="spellStart"/>
      <w:r>
        <w:t>kortikosteroider</w:t>
      </w:r>
      <w:proofErr w:type="spellEnd"/>
      <w:r>
        <w:t xml:space="preserve">, herunder </w:t>
      </w:r>
      <w:proofErr w:type="spellStart"/>
      <w:r>
        <w:t>dexamethason</w:t>
      </w:r>
      <w:proofErr w:type="spellEnd"/>
      <w:r>
        <w:t>, hos kvinder, der er i risiko for sen præmatur fødsel.</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4.7</w:t>
      </w:r>
      <w:r w:rsidRPr="00ED66E9">
        <w:rPr>
          <w:b/>
          <w:sz w:val="24"/>
          <w:szCs w:val="24"/>
        </w:rPr>
        <w:tab/>
        <w:t xml:space="preserve">Virkning på evnen til at føre motorkøretøj </w:t>
      </w:r>
      <w:r w:rsidR="00803A32">
        <w:rPr>
          <w:b/>
          <w:sz w:val="24"/>
          <w:szCs w:val="24"/>
        </w:rPr>
        <w:t>og</w:t>
      </w:r>
      <w:r w:rsidRPr="00ED66E9">
        <w:rPr>
          <w:b/>
          <w:sz w:val="24"/>
          <w:szCs w:val="24"/>
        </w:rPr>
        <w:t xml:space="preserve"> betjene maskiner</w:t>
      </w:r>
    </w:p>
    <w:p w:rsidR="00651052" w:rsidRPr="00ED66E9" w:rsidRDefault="00651052" w:rsidP="00651052">
      <w:pPr>
        <w:pStyle w:val="Brdtekst"/>
        <w:ind w:left="851"/>
        <w:rPr>
          <w:szCs w:val="24"/>
        </w:rPr>
      </w:pPr>
      <w:r w:rsidRPr="00ED66E9">
        <w:rPr>
          <w:szCs w:val="24"/>
        </w:rPr>
        <w:t>Ikke mærkning.</w:t>
      </w:r>
    </w:p>
    <w:p w:rsidR="00651052" w:rsidRPr="00ED66E9" w:rsidRDefault="00651052" w:rsidP="00651052">
      <w:pPr>
        <w:pStyle w:val="Brdtekst"/>
        <w:ind w:left="851"/>
        <w:rPr>
          <w:rStyle w:val="hps"/>
          <w:color w:val="222222"/>
          <w:szCs w:val="24"/>
        </w:rPr>
      </w:pPr>
      <w:proofErr w:type="spellStart"/>
      <w:r w:rsidRPr="00ED66E9">
        <w:rPr>
          <w:rStyle w:val="hps"/>
          <w:color w:val="222222"/>
          <w:szCs w:val="24"/>
        </w:rPr>
        <w:t>Dexavit</w:t>
      </w:r>
      <w:proofErr w:type="spellEnd"/>
      <w:r w:rsidRPr="00ED66E9">
        <w:rPr>
          <w:color w:val="222222"/>
          <w:szCs w:val="24"/>
        </w:rPr>
        <w:t xml:space="preserve"> </w:t>
      </w:r>
      <w:r w:rsidRPr="00ED66E9">
        <w:rPr>
          <w:rStyle w:val="hps"/>
          <w:color w:val="222222"/>
          <w:szCs w:val="24"/>
        </w:rPr>
        <w:t>har ingen eller ringe effekt på evnen</w:t>
      </w:r>
      <w:r w:rsidRPr="00ED66E9">
        <w:rPr>
          <w:color w:val="222222"/>
          <w:szCs w:val="24"/>
        </w:rPr>
        <w:t xml:space="preserve"> </w:t>
      </w:r>
      <w:r w:rsidRPr="00ED66E9">
        <w:rPr>
          <w:rStyle w:val="hps"/>
          <w:color w:val="222222"/>
          <w:szCs w:val="24"/>
        </w:rPr>
        <w:t>til at</w:t>
      </w:r>
      <w:r w:rsidRPr="00ED66E9">
        <w:rPr>
          <w:color w:val="222222"/>
          <w:szCs w:val="24"/>
        </w:rPr>
        <w:t xml:space="preserve"> </w:t>
      </w:r>
      <w:r w:rsidRPr="00ED66E9">
        <w:rPr>
          <w:rStyle w:val="hps"/>
          <w:color w:val="222222"/>
          <w:szCs w:val="24"/>
        </w:rPr>
        <w:t>føre motorkøretøj eller betjene</w:t>
      </w:r>
      <w:r w:rsidRPr="00ED66E9">
        <w:rPr>
          <w:color w:val="222222"/>
          <w:szCs w:val="24"/>
        </w:rPr>
        <w:t xml:space="preserve"> </w:t>
      </w:r>
      <w:r w:rsidRPr="00ED66E9">
        <w:rPr>
          <w:rStyle w:val="hps"/>
          <w:color w:val="222222"/>
          <w:szCs w:val="24"/>
        </w:rPr>
        <w:t>maskiner.</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4.8</w:t>
      </w:r>
      <w:r w:rsidRPr="00ED66E9">
        <w:rPr>
          <w:b/>
          <w:sz w:val="24"/>
          <w:szCs w:val="24"/>
        </w:rPr>
        <w:tab/>
        <w:t>Bivirkninger</w:t>
      </w:r>
    </w:p>
    <w:p w:rsidR="00651052" w:rsidRPr="00ED66E9" w:rsidRDefault="00651052" w:rsidP="00651052">
      <w:pPr>
        <w:pStyle w:val="Brdtekst"/>
        <w:ind w:left="851"/>
        <w:rPr>
          <w:szCs w:val="24"/>
        </w:rPr>
      </w:pPr>
      <w:r w:rsidRPr="00ED66E9">
        <w:rPr>
          <w:szCs w:val="24"/>
        </w:rPr>
        <w:t xml:space="preserve">Forekomsten af forudsigelige bivirkninger, herunder </w:t>
      </w:r>
      <w:proofErr w:type="spellStart"/>
      <w:r w:rsidRPr="00ED66E9">
        <w:rPr>
          <w:szCs w:val="24"/>
        </w:rPr>
        <w:t>hypothalamus</w:t>
      </w:r>
      <w:proofErr w:type="spellEnd"/>
      <w:r w:rsidRPr="00ED66E9">
        <w:rPr>
          <w:szCs w:val="24"/>
        </w:rPr>
        <w:t>-hypofyse-</w:t>
      </w:r>
      <w:proofErr w:type="spellStart"/>
      <w:r w:rsidRPr="00ED66E9">
        <w:rPr>
          <w:szCs w:val="24"/>
        </w:rPr>
        <w:t>adrenal</w:t>
      </w:r>
      <w:proofErr w:type="spellEnd"/>
      <w:r w:rsidRPr="00ED66E9">
        <w:rPr>
          <w:szCs w:val="24"/>
        </w:rPr>
        <w:t xml:space="preserve"> suppression korrelerer med den relative styrke af lægemidlet, dosering, timing af administration og varighed af behandlingen.</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rPr>
      </w:pPr>
      <w:r w:rsidRPr="00ED66E9">
        <w:rPr>
          <w:szCs w:val="24"/>
        </w:rPr>
        <w:t xml:space="preserve">Bivirkningerne anføres nedenfor i henhold til </w:t>
      </w:r>
      <w:proofErr w:type="spellStart"/>
      <w:r w:rsidRPr="00ED66E9">
        <w:rPr>
          <w:szCs w:val="24"/>
        </w:rPr>
        <w:t>MedDRA</w:t>
      </w:r>
      <w:proofErr w:type="spellEnd"/>
      <w:r w:rsidRPr="00ED66E9">
        <w:rPr>
          <w:szCs w:val="24"/>
        </w:rPr>
        <w:t xml:space="preserve"> organklasser og frekvens. Frekvenserne defineres som: Meget almindelig (</w:t>
      </w:r>
      <w:r w:rsidRPr="00ED66E9">
        <w:rPr>
          <w:szCs w:val="24"/>
        </w:rPr>
        <w:sym w:font="Symbol" w:char="F0B3"/>
      </w:r>
      <w:r w:rsidRPr="00ED66E9">
        <w:rPr>
          <w:szCs w:val="24"/>
        </w:rPr>
        <w:t>1/10), almindelig (</w:t>
      </w:r>
      <w:r w:rsidRPr="00ED66E9">
        <w:rPr>
          <w:szCs w:val="24"/>
        </w:rPr>
        <w:sym w:font="Symbol" w:char="F0B3"/>
      </w:r>
      <w:r w:rsidRPr="00ED66E9">
        <w:rPr>
          <w:szCs w:val="24"/>
        </w:rPr>
        <w:t>1/100 til &lt;1/10), ikke almindelig (</w:t>
      </w:r>
      <w:r w:rsidRPr="00ED66E9">
        <w:rPr>
          <w:szCs w:val="24"/>
        </w:rPr>
        <w:sym w:font="Symbol" w:char="F0B3"/>
      </w:r>
      <w:r w:rsidRPr="00ED66E9">
        <w:rPr>
          <w:szCs w:val="24"/>
        </w:rPr>
        <w:t>1/1.000 til &lt;1/100), sjælden (</w:t>
      </w:r>
      <w:r w:rsidRPr="00ED66E9">
        <w:rPr>
          <w:szCs w:val="24"/>
        </w:rPr>
        <w:sym w:font="Symbol" w:char="F0B3"/>
      </w:r>
      <w:r w:rsidRPr="00ED66E9">
        <w:rPr>
          <w:szCs w:val="24"/>
        </w:rPr>
        <w:t>1/10.000 til &lt;1/1.000), meget sjælden (&lt;1/10.000), ikke kendt (kan ikke estimeres ud fra forhåndenværende data).</w:t>
      </w:r>
    </w:p>
    <w:p w:rsidR="00651052" w:rsidRPr="00ED66E9" w:rsidRDefault="00651052" w:rsidP="00651052">
      <w:pPr>
        <w:pStyle w:val="Brdtekst"/>
        <w:ind w:left="851" w:hanging="851"/>
        <w:rPr>
          <w:szCs w:val="24"/>
          <w:u w:val="single"/>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4723"/>
      </w:tblGrid>
      <w:tr w:rsidR="00651052" w:rsidRPr="00ED66E9" w:rsidTr="003B4BCE">
        <w:trPr>
          <w:trHeight w:val="397"/>
          <w:tblHeader/>
        </w:trPr>
        <w:tc>
          <w:tcPr>
            <w:tcW w:w="2313" w:type="pct"/>
            <w:tcBorders>
              <w:top w:val="single" w:sz="4" w:space="0" w:color="auto"/>
              <w:left w:val="single" w:sz="4" w:space="0" w:color="auto"/>
              <w:bottom w:val="single" w:sz="4" w:space="0" w:color="auto"/>
              <w:right w:val="single" w:sz="4" w:space="0" w:color="auto"/>
            </w:tcBorders>
            <w:vAlign w:val="center"/>
            <w:hideMark/>
          </w:tcPr>
          <w:p w:rsidR="00651052" w:rsidRPr="00ED66E9" w:rsidRDefault="00651052" w:rsidP="003B4BCE">
            <w:pPr>
              <w:rPr>
                <w:b/>
                <w:sz w:val="24"/>
                <w:szCs w:val="24"/>
              </w:rPr>
            </w:pPr>
            <w:r w:rsidRPr="00ED66E9">
              <w:rPr>
                <w:b/>
                <w:sz w:val="24"/>
                <w:szCs w:val="24"/>
              </w:rPr>
              <w:t>Systemorganklasser</w:t>
            </w:r>
          </w:p>
        </w:tc>
        <w:tc>
          <w:tcPr>
            <w:tcW w:w="2687" w:type="pct"/>
            <w:tcBorders>
              <w:top w:val="single" w:sz="4" w:space="0" w:color="auto"/>
              <w:left w:val="single" w:sz="4" w:space="0" w:color="auto"/>
              <w:bottom w:val="single" w:sz="4" w:space="0" w:color="auto"/>
              <w:right w:val="single" w:sz="4" w:space="0" w:color="auto"/>
            </w:tcBorders>
            <w:vAlign w:val="center"/>
            <w:hideMark/>
          </w:tcPr>
          <w:p w:rsidR="00651052" w:rsidRPr="00ED66E9" w:rsidRDefault="00651052" w:rsidP="003B4BCE">
            <w:pPr>
              <w:rPr>
                <w:b/>
                <w:sz w:val="24"/>
                <w:szCs w:val="24"/>
              </w:rPr>
            </w:pPr>
            <w:r w:rsidRPr="00ED66E9">
              <w:rPr>
                <w:b/>
                <w:sz w:val="24"/>
                <w:szCs w:val="24"/>
              </w:rPr>
              <w:t>Bivirkning</w:t>
            </w:r>
          </w:p>
        </w:tc>
      </w:tr>
      <w:tr w:rsidR="00651052" w:rsidRPr="00ED66E9" w:rsidTr="003B4BCE">
        <w:trPr>
          <w:trHeight w:val="340"/>
        </w:trPr>
        <w:tc>
          <w:tcPr>
            <w:tcW w:w="5000" w:type="pct"/>
            <w:gridSpan w:val="2"/>
            <w:tcBorders>
              <w:top w:val="single" w:sz="4" w:space="0" w:color="auto"/>
              <w:left w:val="single" w:sz="4" w:space="0" w:color="auto"/>
              <w:bottom w:val="nil"/>
              <w:right w:val="single" w:sz="4" w:space="0" w:color="auto"/>
            </w:tcBorders>
            <w:hideMark/>
          </w:tcPr>
          <w:p w:rsidR="00651052" w:rsidRPr="00ED66E9" w:rsidRDefault="00651052" w:rsidP="003B4BCE">
            <w:pPr>
              <w:rPr>
                <w:b/>
                <w:sz w:val="24"/>
                <w:szCs w:val="24"/>
              </w:rPr>
            </w:pPr>
            <w:r w:rsidRPr="00ED66E9">
              <w:rPr>
                <w:b/>
                <w:sz w:val="24"/>
                <w:szCs w:val="24"/>
              </w:rPr>
              <w:t>Blod og lymfesystem</w:t>
            </w:r>
          </w:p>
        </w:tc>
      </w:tr>
      <w:tr w:rsidR="00651052" w:rsidRPr="00ED66E9" w:rsidTr="003B4BCE">
        <w:trPr>
          <w:trHeight w:val="397"/>
        </w:trPr>
        <w:tc>
          <w:tcPr>
            <w:tcW w:w="2313" w:type="pct"/>
            <w:tcBorders>
              <w:top w:val="nil"/>
              <w:left w:val="single" w:sz="4" w:space="0" w:color="auto"/>
              <w:bottom w:val="single" w:sz="4" w:space="0" w:color="auto"/>
              <w:right w:val="single" w:sz="4" w:space="0" w:color="auto"/>
            </w:tcBorders>
            <w:hideMark/>
          </w:tcPr>
          <w:p w:rsidR="00651052" w:rsidRPr="00ED66E9" w:rsidRDefault="00651052" w:rsidP="003B4BCE">
            <w:pPr>
              <w:rPr>
                <w:i/>
                <w:sz w:val="24"/>
                <w:szCs w:val="24"/>
              </w:rPr>
            </w:pPr>
            <w:r w:rsidRPr="00ED66E9">
              <w:rPr>
                <w:i/>
                <w:snapToGrid w:val="0"/>
                <w:sz w:val="24"/>
                <w:szCs w:val="24"/>
              </w:rPr>
              <w:t>Ikke almindelig</w:t>
            </w:r>
          </w:p>
        </w:tc>
        <w:tc>
          <w:tcPr>
            <w:tcW w:w="2687" w:type="pct"/>
            <w:tcBorders>
              <w:top w:val="nil"/>
              <w:left w:val="single" w:sz="4" w:space="0" w:color="auto"/>
              <w:bottom w:val="single" w:sz="4" w:space="0" w:color="auto"/>
              <w:right w:val="single" w:sz="4" w:space="0" w:color="auto"/>
            </w:tcBorders>
            <w:hideMark/>
          </w:tcPr>
          <w:p w:rsidR="00651052" w:rsidRPr="00ED66E9" w:rsidRDefault="00651052" w:rsidP="003B4BCE">
            <w:pPr>
              <w:rPr>
                <w:i/>
                <w:snapToGrid w:val="0"/>
                <w:sz w:val="24"/>
                <w:szCs w:val="24"/>
              </w:rPr>
            </w:pPr>
            <w:proofErr w:type="spellStart"/>
            <w:r w:rsidRPr="00ED66E9">
              <w:rPr>
                <w:snapToGrid w:val="0"/>
                <w:sz w:val="24"/>
                <w:szCs w:val="24"/>
              </w:rPr>
              <w:t>Lymfopeni</w:t>
            </w:r>
            <w:proofErr w:type="spellEnd"/>
            <w:r w:rsidRPr="00ED66E9">
              <w:rPr>
                <w:snapToGrid w:val="0"/>
                <w:sz w:val="24"/>
                <w:szCs w:val="24"/>
              </w:rPr>
              <w:t xml:space="preserve">, </w:t>
            </w:r>
            <w:proofErr w:type="spellStart"/>
            <w:r w:rsidRPr="00ED66E9">
              <w:rPr>
                <w:snapToGrid w:val="0"/>
                <w:sz w:val="24"/>
                <w:szCs w:val="24"/>
              </w:rPr>
              <w:t>eosinopeni</w:t>
            </w:r>
            <w:proofErr w:type="spellEnd"/>
            <w:r w:rsidRPr="00ED66E9">
              <w:rPr>
                <w:snapToGrid w:val="0"/>
                <w:sz w:val="24"/>
                <w:szCs w:val="24"/>
              </w:rPr>
              <w:t>.</w:t>
            </w:r>
          </w:p>
        </w:tc>
      </w:tr>
      <w:tr w:rsidR="00651052" w:rsidRPr="00ED66E9" w:rsidTr="003B4BCE">
        <w:trPr>
          <w:trHeight w:val="340"/>
        </w:trPr>
        <w:tc>
          <w:tcPr>
            <w:tcW w:w="5000" w:type="pct"/>
            <w:gridSpan w:val="2"/>
            <w:tcBorders>
              <w:top w:val="single" w:sz="4" w:space="0" w:color="auto"/>
              <w:left w:val="single" w:sz="4" w:space="0" w:color="auto"/>
              <w:bottom w:val="nil"/>
              <w:right w:val="single" w:sz="4" w:space="0" w:color="auto"/>
            </w:tcBorders>
            <w:hideMark/>
          </w:tcPr>
          <w:p w:rsidR="00651052" w:rsidRPr="00ED66E9" w:rsidRDefault="00651052" w:rsidP="003B4BCE">
            <w:pPr>
              <w:rPr>
                <w:b/>
                <w:sz w:val="24"/>
                <w:szCs w:val="24"/>
              </w:rPr>
            </w:pPr>
            <w:r w:rsidRPr="00ED66E9">
              <w:rPr>
                <w:b/>
                <w:sz w:val="24"/>
                <w:szCs w:val="24"/>
              </w:rPr>
              <w:t>Immunsystemet</w:t>
            </w:r>
          </w:p>
        </w:tc>
      </w:tr>
      <w:tr w:rsidR="00651052" w:rsidRPr="00ED66E9" w:rsidTr="003B4BCE">
        <w:trPr>
          <w:trHeight w:val="397"/>
        </w:trPr>
        <w:tc>
          <w:tcPr>
            <w:tcW w:w="2313" w:type="pct"/>
            <w:tcBorders>
              <w:top w:val="nil"/>
              <w:left w:val="single" w:sz="4" w:space="0" w:color="auto"/>
              <w:bottom w:val="nil"/>
              <w:right w:val="single" w:sz="4" w:space="0" w:color="auto"/>
            </w:tcBorders>
            <w:hideMark/>
          </w:tcPr>
          <w:p w:rsidR="00651052" w:rsidRPr="00ED66E9" w:rsidRDefault="00651052" w:rsidP="003B4BCE">
            <w:pPr>
              <w:rPr>
                <w:sz w:val="24"/>
                <w:szCs w:val="24"/>
              </w:rPr>
            </w:pPr>
            <w:r w:rsidRPr="00ED66E9">
              <w:rPr>
                <w:i/>
                <w:snapToGrid w:val="0"/>
                <w:sz w:val="24"/>
                <w:szCs w:val="24"/>
              </w:rPr>
              <w:t>Almindelig</w:t>
            </w:r>
          </w:p>
        </w:tc>
        <w:tc>
          <w:tcPr>
            <w:tcW w:w="2687" w:type="pct"/>
            <w:tcBorders>
              <w:top w:val="nil"/>
              <w:left w:val="single" w:sz="4" w:space="0" w:color="auto"/>
              <w:bottom w:val="nil"/>
              <w:right w:val="single" w:sz="4" w:space="0" w:color="auto"/>
            </w:tcBorders>
            <w:hideMark/>
          </w:tcPr>
          <w:p w:rsidR="00651052" w:rsidRPr="00ED66E9" w:rsidRDefault="00651052" w:rsidP="003B4BCE">
            <w:pPr>
              <w:rPr>
                <w:i/>
                <w:snapToGrid w:val="0"/>
                <w:sz w:val="24"/>
                <w:szCs w:val="24"/>
              </w:rPr>
            </w:pPr>
            <w:r w:rsidRPr="00ED66E9">
              <w:rPr>
                <w:snapToGrid w:val="0"/>
                <w:sz w:val="24"/>
                <w:szCs w:val="24"/>
              </w:rPr>
              <w:t>Øget modtagelighed for infektioner, trøske.</w:t>
            </w:r>
          </w:p>
        </w:tc>
      </w:tr>
      <w:tr w:rsidR="00651052" w:rsidRPr="00ED66E9" w:rsidTr="003B4BCE">
        <w:trPr>
          <w:trHeight w:val="397"/>
        </w:trPr>
        <w:tc>
          <w:tcPr>
            <w:tcW w:w="2313" w:type="pct"/>
            <w:tcBorders>
              <w:top w:val="nil"/>
              <w:left w:val="single" w:sz="4" w:space="0" w:color="auto"/>
              <w:bottom w:val="single" w:sz="4" w:space="0" w:color="auto"/>
              <w:right w:val="single" w:sz="4" w:space="0" w:color="auto"/>
            </w:tcBorders>
            <w:hideMark/>
          </w:tcPr>
          <w:p w:rsidR="00651052" w:rsidRPr="00ED66E9" w:rsidRDefault="00651052" w:rsidP="003B4BCE">
            <w:pPr>
              <w:rPr>
                <w:sz w:val="24"/>
                <w:szCs w:val="24"/>
              </w:rPr>
            </w:pPr>
            <w:r w:rsidRPr="00ED66E9">
              <w:rPr>
                <w:i/>
                <w:snapToGrid w:val="0"/>
                <w:sz w:val="24"/>
                <w:szCs w:val="24"/>
              </w:rPr>
              <w:t>Ikke almindelig</w:t>
            </w:r>
          </w:p>
        </w:tc>
        <w:tc>
          <w:tcPr>
            <w:tcW w:w="2687" w:type="pct"/>
            <w:tcBorders>
              <w:top w:val="nil"/>
              <w:left w:val="single" w:sz="4" w:space="0" w:color="auto"/>
              <w:bottom w:val="single" w:sz="4" w:space="0" w:color="auto"/>
              <w:right w:val="single" w:sz="4" w:space="0" w:color="auto"/>
            </w:tcBorders>
            <w:hideMark/>
          </w:tcPr>
          <w:p w:rsidR="00651052" w:rsidRPr="00ED66E9" w:rsidRDefault="00651052" w:rsidP="003B4BCE">
            <w:pPr>
              <w:rPr>
                <w:i/>
                <w:snapToGrid w:val="0"/>
                <w:sz w:val="24"/>
                <w:szCs w:val="24"/>
              </w:rPr>
            </w:pPr>
            <w:r w:rsidRPr="00ED66E9">
              <w:rPr>
                <w:sz w:val="24"/>
                <w:szCs w:val="24"/>
              </w:rPr>
              <w:t>G</w:t>
            </w:r>
            <w:r w:rsidRPr="00ED66E9">
              <w:rPr>
                <w:snapToGrid w:val="0"/>
                <w:sz w:val="24"/>
                <w:szCs w:val="24"/>
              </w:rPr>
              <w:t>eneraliseret allergisk reaktion.</w:t>
            </w:r>
          </w:p>
        </w:tc>
      </w:tr>
      <w:tr w:rsidR="00651052" w:rsidRPr="00ED66E9" w:rsidTr="003B4BCE">
        <w:trPr>
          <w:trHeight w:val="340"/>
        </w:trPr>
        <w:tc>
          <w:tcPr>
            <w:tcW w:w="5000" w:type="pct"/>
            <w:gridSpan w:val="2"/>
            <w:tcBorders>
              <w:top w:val="single" w:sz="4" w:space="0" w:color="auto"/>
              <w:left w:val="single" w:sz="4" w:space="0" w:color="auto"/>
              <w:bottom w:val="nil"/>
              <w:right w:val="single" w:sz="4" w:space="0" w:color="auto"/>
            </w:tcBorders>
            <w:hideMark/>
          </w:tcPr>
          <w:p w:rsidR="00651052" w:rsidRPr="00ED66E9" w:rsidRDefault="00651052" w:rsidP="003B4BCE">
            <w:pPr>
              <w:rPr>
                <w:b/>
                <w:sz w:val="24"/>
                <w:szCs w:val="24"/>
              </w:rPr>
            </w:pPr>
            <w:r w:rsidRPr="00ED66E9">
              <w:rPr>
                <w:b/>
                <w:sz w:val="24"/>
                <w:szCs w:val="24"/>
              </w:rPr>
              <w:t>Det endokrine system</w:t>
            </w:r>
          </w:p>
        </w:tc>
      </w:tr>
      <w:tr w:rsidR="00651052" w:rsidRPr="00ED66E9" w:rsidTr="003B4BCE">
        <w:trPr>
          <w:trHeight w:val="699"/>
        </w:trPr>
        <w:tc>
          <w:tcPr>
            <w:tcW w:w="2313" w:type="pct"/>
            <w:tcBorders>
              <w:top w:val="nil"/>
              <w:left w:val="single" w:sz="4" w:space="0" w:color="auto"/>
              <w:bottom w:val="nil"/>
              <w:right w:val="single" w:sz="4" w:space="0" w:color="auto"/>
            </w:tcBorders>
            <w:hideMark/>
          </w:tcPr>
          <w:p w:rsidR="00651052" w:rsidRPr="00ED66E9" w:rsidRDefault="00651052" w:rsidP="003B4BCE">
            <w:pPr>
              <w:rPr>
                <w:sz w:val="24"/>
                <w:szCs w:val="24"/>
              </w:rPr>
            </w:pPr>
            <w:r w:rsidRPr="00ED66E9">
              <w:rPr>
                <w:i/>
                <w:snapToGrid w:val="0"/>
                <w:sz w:val="24"/>
                <w:szCs w:val="24"/>
              </w:rPr>
              <w:t>Almindelig</w:t>
            </w:r>
          </w:p>
        </w:tc>
        <w:tc>
          <w:tcPr>
            <w:tcW w:w="2687" w:type="pct"/>
            <w:tcBorders>
              <w:top w:val="nil"/>
              <w:left w:val="single" w:sz="4" w:space="0" w:color="auto"/>
              <w:bottom w:val="nil"/>
              <w:right w:val="single" w:sz="4" w:space="0" w:color="auto"/>
            </w:tcBorders>
            <w:hideMark/>
          </w:tcPr>
          <w:p w:rsidR="00651052" w:rsidRPr="00ED66E9" w:rsidRDefault="00651052" w:rsidP="003B4BCE">
            <w:pPr>
              <w:rPr>
                <w:snapToGrid w:val="0"/>
                <w:sz w:val="24"/>
                <w:szCs w:val="24"/>
              </w:rPr>
            </w:pPr>
            <w:proofErr w:type="spellStart"/>
            <w:r w:rsidRPr="00ED66E9">
              <w:rPr>
                <w:snapToGrid w:val="0"/>
                <w:sz w:val="24"/>
                <w:szCs w:val="24"/>
              </w:rPr>
              <w:t>Hyperglykæmi</w:t>
            </w:r>
            <w:proofErr w:type="spellEnd"/>
            <w:r w:rsidRPr="00ED66E9">
              <w:rPr>
                <w:snapToGrid w:val="0"/>
                <w:sz w:val="24"/>
                <w:szCs w:val="24"/>
              </w:rPr>
              <w:t xml:space="preserve">, binyrebarkinsufficiens </w:t>
            </w:r>
            <w:proofErr w:type="spellStart"/>
            <w:r w:rsidRPr="00ED66E9">
              <w:rPr>
                <w:snapToGrid w:val="0"/>
                <w:sz w:val="24"/>
                <w:szCs w:val="24"/>
              </w:rPr>
              <w:t>Cushings</w:t>
            </w:r>
            <w:proofErr w:type="spellEnd"/>
            <w:r w:rsidRPr="00ED66E9">
              <w:rPr>
                <w:snapToGrid w:val="0"/>
                <w:sz w:val="24"/>
                <w:szCs w:val="24"/>
              </w:rPr>
              <w:t xml:space="preserve"> syndrom.</w:t>
            </w:r>
          </w:p>
        </w:tc>
      </w:tr>
      <w:tr w:rsidR="00651052" w:rsidRPr="00ED66E9" w:rsidTr="003B4BCE">
        <w:trPr>
          <w:trHeight w:val="397"/>
        </w:trPr>
        <w:tc>
          <w:tcPr>
            <w:tcW w:w="2313" w:type="pct"/>
            <w:tcBorders>
              <w:top w:val="nil"/>
              <w:left w:val="single" w:sz="4" w:space="0" w:color="auto"/>
              <w:bottom w:val="single" w:sz="4" w:space="0" w:color="auto"/>
              <w:right w:val="single" w:sz="4" w:space="0" w:color="auto"/>
            </w:tcBorders>
            <w:hideMark/>
          </w:tcPr>
          <w:p w:rsidR="00651052" w:rsidRPr="00ED66E9" w:rsidRDefault="00651052" w:rsidP="003B4BCE">
            <w:pPr>
              <w:rPr>
                <w:sz w:val="24"/>
                <w:szCs w:val="24"/>
              </w:rPr>
            </w:pPr>
            <w:r w:rsidRPr="00ED66E9">
              <w:rPr>
                <w:i/>
                <w:snapToGrid w:val="0"/>
                <w:sz w:val="24"/>
                <w:szCs w:val="24"/>
              </w:rPr>
              <w:t>Ikke almindelig</w:t>
            </w:r>
          </w:p>
        </w:tc>
        <w:tc>
          <w:tcPr>
            <w:tcW w:w="2687" w:type="pct"/>
            <w:tcBorders>
              <w:top w:val="nil"/>
              <w:left w:val="single" w:sz="4" w:space="0" w:color="auto"/>
              <w:bottom w:val="single" w:sz="4" w:space="0" w:color="auto"/>
              <w:right w:val="single" w:sz="4" w:space="0" w:color="auto"/>
            </w:tcBorders>
            <w:hideMark/>
          </w:tcPr>
          <w:p w:rsidR="00651052" w:rsidRPr="00ED66E9" w:rsidRDefault="00651052" w:rsidP="003B4BCE">
            <w:pPr>
              <w:rPr>
                <w:i/>
                <w:snapToGrid w:val="0"/>
                <w:sz w:val="24"/>
                <w:szCs w:val="24"/>
              </w:rPr>
            </w:pPr>
            <w:proofErr w:type="spellStart"/>
            <w:r w:rsidRPr="00ED66E9">
              <w:rPr>
                <w:snapToGrid w:val="0"/>
                <w:sz w:val="24"/>
                <w:szCs w:val="24"/>
              </w:rPr>
              <w:t>Amenorré</w:t>
            </w:r>
            <w:proofErr w:type="spellEnd"/>
            <w:r w:rsidRPr="00ED66E9">
              <w:rPr>
                <w:snapToGrid w:val="0"/>
                <w:sz w:val="24"/>
                <w:szCs w:val="24"/>
              </w:rPr>
              <w:t>.</w:t>
            </w:r>
          </w:p>
        </w:tc>
      </w:tr>
      <w:tr w:rsidR="00651052" w:rsidRPr="00ED66E9" w:rsidTr="003B4BCE">
        <w:trPr>
          <w:trHeight w:val="340"/>
        </w:trPr>
        <w:tc>
          <w:tcPr>
            <w:tcW w:w="5000" w:type="pct"/>
            <w:gridSpan w:val="2"/>
            <w:tcBorders>
              <w:top w:val="single" w:sz="4" w:space="0" w:color="auto"/>
              <w:left w:val="single" w:sz="4" w:space="0" w:color="auto"/>
              <w:bottom w:val="nil"/>
              <w:right w:val="single" w:sz="4" w:space="0" w:color="auto"/>
            </w:tcBorders>
            <w:hideMark/>
          </w:tcPr>
          <w:p w:rsidR="00651052" w:rsidRPr="00ED66E9" w:rsidRDefault="00651052" w:rsidP="003B4BCE">
            <w:pPr>
              <w:rPr>
                <w:b/>
                <w:sz w:val="24"/>
                <w:szCs w:val="24"/>
              </w:rPr>
            </w:pPr>
            <w:r w:rsidRPr="00ED66E9">
              <w:rPr>
                <w:b/>
                <w:sz w:val="24"/>
                <w:szCs w:val="24"/>
              </w:rPr>
              <w:t xml:space="preserve">Metabolisme og ernæring  </w:t>
            </w:r>
          </w:p>
        </w:tc>
      </w:tr>
      <w:tr w:rsidR="00651052" w:rsidRPr="00ED66E9" w:rsidTr="003B4BCE">
        <w:trPr>
          <w:trHeight w:val="397"/>
        </w:trPr>
        <w:tc>
          <w:tcPr>
            <w:tcW w:w="2313" w:type="pct"/>
            <w:tcBorders>
              <w:top w:val="nil"/>
              <w:left w:val="single" w:sz="4" w:space="0" w:color="auto"/>
              <w:bottom w:val="nil"/>
              <w:right w:val="single" w:sz="4" w:space="0" w:color="auto"/>
            </w:tcBorders>
            <w:hideMark/>
          </w:tcPr>
          <w:p w:rsidR="00651052" w:rsidRPr="00ED66E9" w:rsidRDefault="00651052" w:rsidP="003B4BCE">
            <w:pPr>
              <w:rPr>
                <w:sz w:val="24"/>
                <w:szCs w:val="24"/>
              </w:rPr>
            </w:pPr>
            <w:r w:rsidRPr="00ED66E9">
              <w:rPr>
                <w:i/>
                <w:snapToGrid w:val="0"/>
                <w:sz w:val="24"/>
                <w:szCs w:val="24"/>
              </w:rPr>
              <w:t>Almindelig</w:t>
            </w:r>
          </w:p>
        </w:tc>
        <w:tc>
          <w:tcPr>
            <w:tcW w:w="2687" w:type="pct"/>
            <w:tcBorders>
              <w:top w:val="nil"/>
              <w:left w:val="single" w:sz="4" w:space="0" w:color="auto"/>
              <w:bottom w:val="nil"/>
              <w:right w:val="single" w:sz="4" w:space="0" w:color="auto"/>
            </w:tcBorders>
            <w:hideMark/>
          </w:tcPr>
          <w:p w:rsidR="00651052" w:rsidRPr="00ED66E9" w:rsidRDefault="00651052" w:rsidP="003B4BCE">
            <w:pPr>
              <w:rPr>
                <w:snapToGrid w:val="0"/>
                <w:sz w:val="24"/>
                <w:szCs w:val="24"/>
              </w:rPr>
            </w:pPr>
            <w:proofErr w:type="spellStart"/>
            <w:r w:rsidRPr="00ED66E9">
              <w:rPr>
                <w:sz w:val="24"/>
                <w:szCs w:val="24"/>
              </w:rPr>
              <w:t>P</w:t>
            </w:r>
            <w:r w:rsidRPr="00ED66E9">
              <w:rPr>
                <w:snapToGrid w:val="0"/>
                <w:sz w:val="24"/>
                <w:szCs w:val="24"/>
              </w:rPr>
              <w:t>olyfagi</w:t>
            </w:r>
            <w:proofErr w:type="spellEnd"/>
          </w:p>
        </w:tc>
      </w:tr>
      <w:tr w:rsidR="00651052" w:rsidRPr="00ED66E9" w:rsidTr="003B4BCE">
        <w:trPr>
          <w:trHeight w:val="397"/>
        </w:trPr>
        <w:tc>
          <w:tcPr>
            <w:tcW w:w="2313" w:type="pct"/>
            <w:tcBorders>
              <w:top w:val="nil"/>
              <w:left w:val="single" w:sz="4" w:space="0" w:color="auto"/>
              <w:bottom w:val="single" w:sz="4" w:space="0" w:color="auto"/>
              <w:right w:val="single" w:sz="4" w:space="0" w:color="auto"/>
            </w:tcBorders>
            <w:hideMark/>
          </w:tcPr>
          <w:p w:rsidR="00651052" w:rsidRPr="00ED66E9" w:rsidRDefault="00651052" w:rsidP="003B4BCE">
            <w:pPr>
              <w:rPr>
                <w:sz w:val="24"/>
                <w:szCs w:val="24"/>
              </w:rPr>
            </w:pPr>
            <w:r w:rsidRPr="00ED66E9">
              <w:rPr>
                <w:i/>
                <w:snapToGrid w:val="0"/>
                <w:sz w:val="24"/>
                <w:szCs w:val="24"/>
              </w:rPr>
              <w:t>Ikke almindelig</w:t>
            </w:r>
          </w:p>
        </w:tc>
        <w:tc>
          <w:tcPr>
            <w:tcW w:w="2687" w:type="pct"/>
            <w:tcBorders>
              <w:top w:val="nil"/>
              <w:left w:val="single" w:sz="4" w:space="0" w:color="auto"/>
              <w:bottom w:val="single" w:sz="4" w:space="0" w:color="auto"/>
              <w:right w:val="single" w:sz="4" w:space="0" w:color="auto"/>
            </w:tcBorders>
            <w:hideMark/>
          </w:tcPr>
          <w:p w:rsidR="00651052" w:rsidRPr="00ED66E9" w:rsidRDefault="00651052" w:rsidP="003B4BCE">
            <w:pPr>
              <w:rPr>
                <w:snapToGrid w:val="0"/>
                <w:sz w:val="24"/>
                <w:szCs w:val="24"/>
              </w:rPr>
            </w:pPr>
            <w:proofErr w:type="spellStart"/>
            <w:r w:rsidRPr="00ED66E9">
              <w:rPr>
                <w:snapToGrid w:val="0"/>
                <w:sz w:val="24"/>
                <w:szCs w:val="24"/>
              </w:rPr>
              <w:t>Hypokaliæmi</w:t>
            </w:r>
            <w:proofErr w:type="spellEnd"/>
            <w:r w:rsidRPr="00ED66E9">
              <w:rPr>
                <w:snapToGrid w:val="0"/>
                <w:sz w:val="24"/>
                <w:szCs w:val="24"/>
              </w:rPr>
              <w:t xml:space="preserve"> </w:t>
            </w:r>
          </w:p>
        </w:tc>
      </w:tr>
      <w:tr w:rsidR="00651052" w:rsidRPr="00ED66E9" w:rsidTr="003B4BCE">
        <w:trPr>
          <w:trHeight w:val="340"/>
        </w:trPr>
        <w:tc>
          <w:tcPr>
            <w:tcW w:w="5000" w:type="pct"/>
            <w:gridSpan w:val="2"/>
            <w:tcBorders>
              <w:top w:val="single" w:sz="4" w:space="0" w:color="auto"/>
              <w:left w:val="single" w:sz="4" w:space="0" w:color="auto"/>
              <w:bottom w:val="nil"/>
              <w:right w:val="single" w:sz="4" w:space="0" w:color="auto"/>
            </w:tcBorders>
            <w:hideMark/>
          </w:tcPr>
          <w:p w:rsidR="00651052" w:rsidRPr="00ED66E9" w:rsidRDefault="00651052" w:rsidP="003B4BCE">
            <w:pPr>
              <w:rPr>
                <w:b/>
                <w:snapToGrid w:val="0"/>
                <w:sz w:val="24"/>
                <w:szCs w:val="24"/>
              </w:rPr>
            </w:pPr>
            <w:r w:rsidRPr="00ED66E9">
              <w:rPr>
                <w:b/>
                <w:sz w:val="24"/>
                <w:szCs w:val="24"/>
              </w:rPr>
              <w:t>Psykiske forstyrrelser</w:t>
            </w:r>
          </w:p>
        </w:tc>
      </w:tr>
      <w:tr w:rsidR="00651052" w:rsidRPr="00ED66E9" w:rsidTr="003B4BCE">
        <w:trPr>
          <w:trHeight w:val="397"/>
        </w:trPr>
        <w:tc>
          <w:tcPr>
            <w:tcW w:w="2313" w:type="pct"/>
            <w:tcBorders>
              <w:top w:val="nil"/>
              <w:left w:val="single" w:sz="4" w:space="0" w:color="auto"/>
              <w:bottom w:val="single" w:sz="4" w:space="0" w:color="auto"/>
              <w:right w:val="single" w:sz="4" w:space="0" w:color="auto"/>
            </w:tcBorders>
            <w:hideMark/>
          </w:tcPr>
          <w:p w:rsidR="00651052" w:rsidRPr="00ED66E9" w:rsidRDefault="00651052" w:rsidP="003B4BCE">
            <w:pPr>
              <w:rPr>
                <w:sz w:val="24"/>
                <w:szCs w:val="24"/>
              </w:rPr>
            </w:pPr>
            <w:r w:rsidRPr="00ED66E9">
              <w:rPr>
                <w:i/>
                <w:snapToGrid w:val="0"/>
                <w:sz w:val="24"/>
                <w:szCs w:val="24"/>
              </w:rPr>
              <w:t>Ikke almindelig</w:t>
            </w:r>
          </w:p>
        </w:tc>
        <w:tc>
          <w:tcPr>
            <w:tcW w:w="2687" w:type="pct"/>
            <w:tcBorders>
              <w:top w:val="nil"/>
              <w:left w:val="single" w:sz="4" w:space="0" w:color="auto"/>
              <w:bottom w:val="single" w:sz="4" w:space="0" w:color="auto"/>
              <w:right w:val="single" w:sz="4" w:space="0" w:color="auto"/>
            </w:tcBorders>
            <w:hideMark/>
          </w:tcPr>
          <w:p w:rsidR="00651052" w:rsidRPr="00ED66E9" w:rsidRDefault="00651052" w:rsidP="003B4BCE">
            <w:pPr>
              <w:rPr>
                <w:snapToGrid w:val="0"/>
                <w:sz w:val="24"/>
                <w:szCs w:val="24"/>
              </w:rPr>
            </w:pPr>
            <w:r w:rsidRPr="00ED66E9">
              <w:rPr>
                <w:snapToGrid w:val="0"/>
                <w:sz w:val="24"/>
                <w:szCs w:val="24"/>
              </w:rPr>
              <w:t>Psykotisk reaktion.</w:t>
            </w:r>
          </w:p>
        </w:tc>
      </w:tr>
      <w:tr w:rsidR="00651052" w:rsidRPr="00ED66E9" w:rsidTr="003B4BCE">
        <w:trPr>
          <w:trHeight w:val="340"/>
        </w:trPr>
        <w:tc>
          <w:tcPr>
            <w:tcW w:w="5000" w:type="pct"/>
            <w:gridSpan w:val="2"/>
            <w:tcBorders>
              <w:top w:val="single" w:sz="4" w:space="0" w:color="auto"/>
              <w:left w:val="single" w:sz="4" w:space="0" w:color="auto"/>
              <w:bottom w:val="nil"/>
              <w:right w:val="single" w:sz="4" w:space="0" w:color="auto"/>
            </w:tcBorders>
            <w:hideMark/>
          </w:tcPr>
          <w:p w:rsidR="00651052" w:rsidRPr="00ED66E9" w:rsidRDefault="00651052" w:rsidP="003B4BCE">
            <w:pPr>
              <w:rPr>
                <w:b/>
                <w:sz w:val="24"/>
                <w:szCs w:val="24"/>
              </w:rPr>
            </w:pPr>
            <w:r w:rsidRPr="00ED66E9">
              <w:rPr>
                <w:b/>
                <w:sz w:val="24"/>
                <w:szCs w:val="24"/>
              </w:rPr>
              <w:t>Nervesystemet</w:t>
            </w:r>
          </w:p>
        </w:tc>
      </w:tr>
      <w:tr w:rsidR="00651052" w:rsidRPr="00ED66E9" w:rsidTr="003B4BCE">
        <w:trPr>
          <w:trHeight w:val="397"/>
        </w:trPr>
        <w:tc>
          <w:tcPr>
            <w:tcW w:w="2313" w:type="pct"/>
            <w:tcBorders>
              <w:top w:val="nil"/>
              <w:left w:val="single" w:sz="4" w:space="0" w:color="auto"/>
              <w:bottom w:val="single" w:sz="4" w:space="0" w:color="auto"/>
              <w:right w:val="single" w:sz="4" w:space="0" w:color="auto"/>
            </w:tcBorders>
            <w:hideMark/>
          </w:tcPr>
          <w:p w:rsidR="00651052" w:rsidRPr="00ED66E9" w:rsidRDefault="00651052" w:rsidP="003B4BCE">
            <w:pPr>
              <w:rPr>
                <w:noProof/>
                <w:sz w:val="24"/>
                <w:szCs w:val="24"/>
              </w:rPr>
            </w:pPr>
            <w:r w:rsidRPr="00ED66E9">
              <w:rPr>
                <w:i/>
                <w:snapToGrid w:val="0"/>
                <w:sz w:val="24"/>
                <w:szCs w:val="24"/>
              </w:rPr>
              <w:t>Ikke almindelig</w:t>
            </w:r>
          </w:p>
        </w:tc>
        <w:tc>
          <w:tcPr>
            <w:tcW w:w="2687" w:type="pct"/>
            <w:tcBorders>
              <w:top w:val="nil"/>
              <w:left w:val="single" w:sz="4" w:space="0" w:color="auto"/>
              <w:bottom w:val="single" w:sz="4" w:space="0" w:color="auto"/>
              <w:right w:val="single" w:sz="4" w:space="0" w:color="auto"/>
            </w:tcBorders>
            <w:hideMark/>
          </w:tcPr>
          <w:p w:rsidR="00651052" w:rsidRPr="00ED66E9" w:rsidRDefault="00651052" w:rsidP="003B4BCE">
            <w:pPr>
              <w:rPr>
                <w:snapToGrid w:val="0"/>
                <w:sz w:val="24"/>
                <w:szCs w:val="24"/>
              </w:rPr>
            </w:pPr>
            <w:proofErr w:type="spellStart"/>
            <w:r w:rsidRPr="00ED66E9">
              <w:rPr>
                <w:snapToGrid w:val="0"/>
                <w:sz w:val="24"/>
                <w:szCs w:val="24"/>
              </w:rPr>
              <w:t>Intrakraniel</w:t>
            </w:r>
            <w:proofErr w:type="spellEnd"/>
            <w:r w:rsidRPr="00ED66E9">
              <w:rPr>
                <w:snapToGrid w:val="0"/>
                <w:sz w:val="24"/>
                <w:szCs w:val="24"/>
              </w:rPr>
              <w:t xml:space="preserve"> hypertension, neurologiske ændringer.</w:t>
            </w:r>
          </w:p>
        </w:tc>
      </w:tr>
      <w:tr w:rsidR="00651052" w:rsidRPr="00ED66E9" w:rsidTr="003B4BCE">
        <w:trPr>
          <w:trHeight w:val="340"/>
        </w:trPr>
        <w:tc>
          <w:tcPr>
            <w:tcW w:w="5000" w:type="pct"/>
            <w:gridSpan w:val="2"/>
            <w:tcBorders>
              <w:top w:val="single" w:sz="4" w:space="0" w:color="auto"/>
              <w:left w:val="single" w:sz="4" w:space="0" w:color="auto"/>
              <w:bottom w:val="nil"/>
              <w:right w:val="single" w:sz="4" w:space="0" w:color="auto"/>
            </w:tcBorders>
            <w:hideMark/>
          </w:tcPr>
          <w:p w:rsidR="00651052" w:rsidRPr="00ED66E9" w:rsidRDefault="00651052" w:rsidP="003B4BCE">
            <w:pPr>
              <w:rPr>
                <w:b/>
                <w:sz w:val="24"/>
                <w:szCs w:val="24"/>
              </w:rPr>
            </w:pPr>
            <w:r w:rsidRPr="00ED66E9">
              <w:rPr>
                <w:b/>
                <w:noProof/>
                <w:sz w:val="24"/>
                <w:szCs w:val="24"/>
              </w:rPr>
              <w:t>Øjne</w:t>
            </w:r>
          </w:p>
        </w:tc>
      </w:tr>
      <w:tr w:rsidR="00651052" w:rsidRPr="00ED66E9" w:rsidTr="003B4BCE">
        <w:trPr>
          <w:trHeight w:val="332"/>
        </w:trPr>
        <w:tc>
          <w:tcPr>
            <w:tcW w:w="2313" w:type="pct"/>
            <w:tcBorders>
              <w:top w:val="nil"/>
              <w:left w:val="single" w:sz="4" w:space="0" w:color="auto"/>
              <w:bottom w:val="nil"/>
              <w:right w:val="single" w:sz="4" w:space="0" w:color="auto"/>
            </w:tcBorders>
            <w:hideMark/>
          </w:tcPr>
          <w:p w:rsidR="00651052" w:rsidRPr="00ED66E9" w:rsidRDefault="00651052" w:rsidP="003B4BCE">
            <w:pPr>
              <w:rPr>
                <w:i/>
                <w:snapToGrid w:val="0"/>
                <w:sz w:val="24"/>
                <w:szCs w:val="24"/>
              </w:rPr>
            </w:pPr>
            <w:r w:rsidRPr="00ED66E9">
              <w:rPr>
                <w:i/>
                <w:snapToGrid w:val="0"/>
                <w:sz w:val="24"/>
                <w:szCs w:val="24"/>
              </w:rPr>
              <w:t>Almindelig</w:t>
            </w:r>
          </w:p>
        </w:tc>
        <w:tc>
          <w:tcPr>
            <w:tcW w:w="2687" w:type="pct"/>
            <w:tcBorders>
              <w:top w:val="nil"/>
              <w:left w:val="single" w:sz="4" w:space="0" w:color="auto"/>
              <w:bottom w:val="nil"/>
              <w:right w:val="single" w:sz="4" w:space="0" w:color="auto"/>
            </w:tcBorders>
            <w:hideMark/>
          </w:tcPr>
          <w:p w:rsidR="00651052" w:rsidRPr="00ED66E9" w:rsidRDefault="00651052" w:rsidP="003B4BCE">
            <w:pPr>
              <w:rPr>
                <w:snapToGrid w:val="0"/>
                <w:sz w:val="24"/>
                <w:szCs w:val="24"/>
              </w:rPr>
            </w:pPr>
            <w:r w:rsidRPr="00ED66E9">
              <w:rPr>
                <w:snapToGrid w:val="0"/>
                <w:sz w:val="24"/>
                <w:szCs w:val="24"/>
              </w:rPr>
              <w:t>Katarakt.</w:t>
            </w:r>
          </w:p>
        </w:tc>
      </w:tr>
      <w:tr w:rsidR="00651052" w:rsidRPr="00ED66E9" w:rsidTr="003B4BCE">
        <w:trPr>
          <w:trHeight w:val="397"/>
        </w:trPr>
        <w:tc>
          <w:tcPr>
            <w:tcW w:w="2313" w:type="pct"/>
            <w:tcBorders>
              <w:top w:val="nil"/>
              <w:left w:val="single" w:sz="4" w:space="0" w:color="auto"/>
              <w:bottom w:val="single" w:sz="4" w:space="0" w:color="auto"/>
              <w:right w:val="single" w:sz="4" w:space="0" w:color="auto"/>
            </w:tcBorders>
            <w:hideMark/>
          </w:tcPr>
          <w:p w:rsidR="00651052" w:rsidRPr="00ED66E9" w:rsidRDefault="00651052" w:rsidP="003B4BCE">
            <w:pPr>
              <w:rPr>
                <w:i/>
                <w:snapToGrid w:val="0"/>
                <w:sz w:val="24"/>
                <w:szCs w:val="24"/>
              </w:rPr>
            </w:pPr>
            <w:r w:rsidRPr="00ED66E9">
              <w:rPr>
                <w:i/>
                <w:snapToGrid w:val="0"/>
                <w:sz w:val="24"/>
                <w:szCs w:val="24"/>
              </w:rPr>
              <w:t>Ikke kendt</w:t>
            </w:r>
          </w:p>
        </w:tc>
        <w:tc>
          <w:tcPr>
            <w:tcW w:w="2687" w:type="pct"/>
            <w:tcBorders>
              <w:top w:val="nil"/>
              <w:left w:val="single" w:sz="4" w:space="0" w:color="auto"/>
              <w:bottom w:val="single" w:sz="4" w:space="0" w:color="auto"/>
              <w:right w:val="single" w:sz="4" w:space="0" w:color="auto"/>
            </w:tcBorders>
            <w:hideMark/>
          </w:tcPr>
          <w:p w:rsidR="00651052" w:rsidRPr="00ED66E9" w:rsidRDefault="00651052" w:rsidP="003B4BCE">
            <w:pPr>
              <w:rPr>
                <w:snapToGrid w:val="0"/>
                <w:sz w:val="24"/>
                <w:szCs w:val="24"/>
              </w:rPr>
            </w:pPr>
            <w:proofErr w:type="spellStart"/>
            <w:r w:rsidRPr="00ED66E9">
              <w:rPr>
                <w:snapToGrid w:val="0"/>
                <w:sz w:val="24"/>
                <w:szCs w:val="24"/>
              </w:rPr>
              <w:t>Chorioretinopati</w:t>
            </w:r>
            <w:proofErr w:type="spellEnd"/>
            <w:r w:rsidRPr="00ED66E9">
              <w:rPr>
                <w:snapToGrid w:val="0"/>
                <w:sz w:val="24"/>
                <w:szCs w:val="24"/>
              </w:rPr>
              <w:t>.</w:t>
            </w:r>
          </w:p>
        </w:tc>
      </w:tr>
      <w:tr w:rsidR="00651052" w:rsidRPr="00ED66E9" w:rsidTr="003B4BCE">
        <w:trPr>
          <w:trHeight w:val="340"/>
        </w:trPr>
        <w:tc>
          <w:tcPr>
            <w:tcW w:w="5000" w:type="pct"/>
            <w:gridSpan w:val="2"/>
            <w:tcBorders>
              <w:top w:val="single" w:sz="4" w:space="0" w:color="auto"/>
              <w:left w:val="single" w:sz="4" w:space="0" w:color="auto"/>
              <w:bottom w:val="nil"/>
              <w:right w:val="single" w:sz="4" w:space="0" w:color="auto"/>
            </w:tcBorders>
            <w:hideMark/>
          </w:tcPr>
          <w:p w:rsidR="00651052" w:rsidRPr="00ED66E9" w:rsidRDefault="00651052" w:rsidP="003B4BCE">
            <w:pPr>
              <w:rPr>
                <w:b/>
                <w:sz w:val="24"/>
                <w:szCs w:val="24"/>
              </w:rPr>
            </w:pPr>
            <w:r w:rsidRPr="00ED66E9">
              <w:rPr>
                <w:b/>
                <w:noProof/>
                <w:sz w:val="24"/>
                <w:szCs w:val="24"/>
              </w:rPr>
              <w:t>Hjerte</w:t>
            </w:r>
          </w:p>
        </w:tc>
      </w:tr>
      <w:tr w:rsidR="00651052" w:rsidRPr="00ED66E9" w:rsidTr="00897A9E">
        <w:trPr>
          <w:trHeight w:val="397"/>
        </w:trPr>
        <w:tc>
          <w:tcPr>
            <w:tcW w:w="2313" w:type="pct"/>
            <w:tcBorders>
              <w:top w:val="nil"/>
              <w:left w:val="single" w:sz="4" w:space="0" w:color="auto"/>
              <w:bottom w:val="nil"/>
              <w:right w:val="single" w:sz="4" w:space="0" w:color="auto"/>
            </w:tcBorders>
            <w:hideMark/>
          </w:tcPr>
          <w:p w:rsidR="00651052" w:rsidRPr="00ED66E9" w:rsidRDefault="00651052" w:rsidP="003B4BCE">
            <w:pPr>
              <w:rPr>
                <w:snapToGrid w:val="0"/>
                <w:sz w:val="24"/>
                <w:szCs w:val="24"/>
              </w:rPr>
            </w:pPr>
            <w:r w:rsidRPr="00ED66E9">
              <w:rPr>
                <w:i/>
                <w:snapToGrid w:val="0"/>
                <w:sz w:val="24"/>
                <w:szCs w:val="24"/>
              </w:rPr>
              <w:t>Ikke almindelig</w:t>
            </w:r>
          </w:p>
        </w:tc>
        <w:tc>
          <w:tcPr>
            <w:tcW w:w="2687" w:type="pct"/>
            <w:tcBorders>
              <w:top w:val="nil"/>
              <w:left w:val="single" w:sz="4" w:space="0" w:color="auto"/>
              <w:bottom w:val="nil"/>
              <w:right w:val="single" w:sz="4" w:space="0" w:color="auto"/>
            </w:tcBorders>
            <w:hideMark/>
          </w:tcPr>
          <w:p w:rsidR="00651052" w:rsidRPr="00ED66E9" w:rsidRDefault="00651052" w:rsidP="003B4BCE">
            <w:pPr>
              <w:rPr>
                <w:i/>
                <w:snapToGrid w:val="0"/>
                <w:sz w:val="24"/>
                <w:szCs w:val="24"/>
              </w:rPr>
            </w:pPr>
            <w:r w:rsidRPr="00ED66E9">
              <w:rPr>
                <w:snapToGrid w:val="0"/>
                <w:sz w:val="24"/>
                <w:szCs w:val="24"/>
              </w:rPr>
              <w:t>Hjertesvigt.</w:t>
            </w:r>
          </w:p>
        </w:tc>
      </w:tr>
      <w:tr w:rsidR="00E60A5E" w:rsidRPr="00ED66E9" w:rsidTr="003B4BCE">
        <w:trPr>
          <w:trHeight w:val="397"/>
        </w:trPr>
        <w:tc>
          <w:tcPr>
            <w:tcW w:w="2313" w:type="pct"/>
            <w:tcBorders>
              <w:top w:val="nil"/>
              <w:left w:val="single" w:sz="4" w:space="0" w:color="auto"/>
              <w:bottom w:val="single" w:sz="4" w:space="0" w:color="auto"/>
              <w:right w:val="single" w:sz="4" w:space="0" w:color="auto"/>
            </w:tcBorders>
          </w:tcPr>
          <w:p w:rsidR="00E60A5E" w:rsidRPr="00ED66E9" w:rsidRDefault="00E60A5E" w:rsidP="003B4BCE">
            <w:pPr>
              <w:rPr>
                <w:i/>
                <w:snapToGrid w:val="0"/>
                <w:sz w:val="24"/>
                <w:szCs w:val="24"/>
              </w:rPr>
            </w:pPr>
            <w:r w:rsidRPr="00ED66E9">
              <w:rPr>
                <w:i/>
                <w:snapToGrid w:val="0"/>
                <w:sz w:val="24"/>
                <w:szCs w:val="24"/>
              </w:rPr>
              <w:t>Ikke kendt</w:t>
            </w:r>
          </w:p>
        </w:tc>
        <w:tc>
          <w:tcPr>
            <w:tcW w:w="2687" w:type="pct"/>
            <w:tcBorders>
              <w:top w:val="nil"/>
              <w:left w:val="single" w:sz="4" w:space="0" w:color="auto"/>
              <w:bottom w:val="single" w:sz="4" w:space="0" w:color="auto"/>
              <w:right w:val="single" w:sz="4" w:space="0" w:color="auto"/>
            </w:tcBorders>
          </w:tcPr>
          <w:p w:rsidR="00E60A5E" w:rsidRPr="00ED66E9" w:rsidRDefault="00E60A5E" w:rsidP="003B4BCE">
            <w:pPr>
              <w:rPr>
                <w:snapToGrid w:val="0"/>
                <w:sz w:val="24"/>
                <w:szCs w:val="24"/>
              </w:rPr>
            </w:pPr>
            <w:proofErr w:type="spellStart"/>
            <w:r>
              <w:rPr>
                <w:snapToGrid w:val="0"/>
                <w:sz w:val="24"/>
                <w:szCs w:val="24"/>
              </w:rPr>
              <w:t>H</w:t>
            </w:r>
            <w:r w:rsidRPr="00152ECB">
              <w:rPr>
                <w:snapToGrid w:val="0"/>
                <w:sz w:val="24"/>
                <w:szCs w:val="24"/>
              </w:rPr>
              <w:t>ypertrofisk</w:t>
            </w:r>
            <w:proofErr w:type="spellEnd"/>
            <w:r w:rsidRPr="00152ECB">
              <w:rPr>
                <w:snapToGrid w:val="0"/>
                <w:sz w:val="24"/>
                <w:szCs w:val="24"/>
              </w:rPr>
              <w:t xml:space="preserve"> </w:t>
            </w:r>
            <w:proofErr w:type="spellStart"/>
            <w:r w:rsidRPr="00152ECB">
              <w:rPr>
                <w:snapToGrid w:val="0"/>
                <w:sz w:val="24"/>
                <w:szCs w:val="24"/>
              </w:rPr>
              <w:t>kardiomyopati</w:t>
            </w:r>
            <w:proofErr w:type="spellEnd"/>
            <w:r w:rsidRPr="00152ECB">
              <w:rPr>
                <w:snapToGrid w:val="0"/>
                <w:sz w:val="24"/>
                <w:szCs w:val="24"/>
              </w:rPr>
              <w:t xml:space="preserve"> hos for tidligt fødte børn (se pkt. 4.4).</w:t>
            </w:r>
          </w:p>
        </w:tc>
      </w:tr>
      <w:tr w:rsidR="00651052" w:rsidRPr="00ED66E9" w:rsidTr="003B4BCE">
        <w:trPr>
          <w:trHeight w:val="359"/>
        </w:trPr>
        <w:tc>
          <w:tcPr>
            <w:tcW w:w="5000" w:type="pct"/>
            <w:gridSpan w:val="2"/>
            <w:tcBorders>
              <w:top w:val="single" w:sz="4" w:space="0" w:color="auto"/>
              <w:left w:val="single" w:sz="4" w:space="0" w:color="auto"/>
              <w:bottom w:val="nil"/>
              <w:right w:val="single" w:sz="4" w:space="0" w:color="auto"/>
            </w:tcBorders>
            <w:hideMark/>
          </w:tcPr>
          <w:p w:rsidR="00651052" w:rsidRPr="00ED66E9" w:rsidRDefault="00651052" w:rsidP="003B4BCE">
            <w:pPr>
              <w:rPr>
                <w:b/>
                <w:sz w:val="24"/>
                <w:szCs w:val="24"/>
              </w:rPr>
            </w:pPr>
            <w:r w:rsidRPr="00ED66E9">
              <w:rPr>
                <w:b/>
                <w:noProof/>
                <w:sz w:val="24"/>
                <w:szCs w:val="24"/>
              </w:rPr>
              <w:t>Vaskulære sygdomme</w:t>
            </w:r>
          </w:p>
        </w:tc>
      </w:tr>
      <w:tr w:rsidR="00651052" w:rsidRPr="00ED66E9" w:rsidTr="003B4BCE">
        <w:trPr>
          <w:trHeight w:val="397"/>
        </w:trPr>
        <w:tc>
          <w:tcPr>
            <w:tcW w:w="2313" w:type="pct"/>
            <w:tcBorders>
              <w:top w:val="nil"/>
              <w:left w:val="single" w:sz="4" w:space="0" w:color="auto"/>
              <w:bottom w:val="nil"/>
              <w:right w:val="single" w:sz="4" w:space="0" w:color="auto"/>
            </w:tcBorders>
            <w:hideMark/>
          </w:tcPr>
          <w:p w:rsidR="00651052" w:rsidRPr="00ED66E9" w:rsidRDefault="00651052" w:rsidP="003B4BCE">
            <w:pPr>
              <w:rPr>
                <w:noProof/>
                <w:sz w:val="24"/>
                <w:szCs w:val="24"/>
              </w:rPr>
            </w:pPr>
            <w:r w:rsidRPr="00ED66E9">
              <w:rPr>
                <w:i/>
                <w:snapToGrid w:val="0"/>
                <w:sz w:val="24"/>
                <w:szCs w:val="24"/>
              </w:rPr>
              <w:t>Almindelig</w:t>
            </w:r>
          </w:p>
        </w:tc>
        <w:tc>
          <w:tcPr>
            <w:tcW w:w="2687" w:type="pct"/>
            <w:tcBorders>
              <w:top w:val="nil"/>
              <w:left w:val="single" w:sz="4" w:space="0" w:color="auto"/>
              <w:bottom w:val="nil"/>
              <w:right w:val="single" w:sz="4" w:space="0" w:color="auto"/>
            </w:tcBorders>
            <w:hideMark/>
          </w:tcPr>
          <w:p w:rsidR="00651052" w:rsidRPr="00ED66E9" w:rsidRDefault="00651052" w:rsidP="003B4BCE">
            <w:pPr>
              <w:rPr>
                <w:snapToGrid w:val="0"/>
                <w:sz w:val="24"/>
                <w:szCs w:val="24"/>
              </w:rPr>
            </w:pPr>
            <w:r w:rsidRPr="00ED66E9">
              <w:rPr>
                <w:snapToGrid w:val="0"/>
                <w:sz w:val="24"/>
                <w:szCs w:val="24"/>
              </w:rPr>
              <w:t>Hedeture (ved høje doser).</w:t>
            </w:r>
          </w:p>
        </w:tc>
      </w:tr>
      <w:tr w:rsidR="00651052" w:rsidRPr="00ED66E9" w:rsidTr="003B4BCE">
        <w:trPr>
          <w:trHeight w:val="397"/>
        </w:trPr>
        <w:tc>
          <w:tcPr>
            <w:tcW w:w="2313" w:type="pct"/>
            <w:tcBorders>
              <w:top w:val="nil"/>
              <w:left w:val="single" w:sz="4" w:space="0" w:color="auto"/>
              <w:bottom w:val="single" w:sz="4" w:space="0" w:color="auto"/>
              <w:right w:val="single" w:sz="4" w:space="0" w:color="auto"/>
            </w:tcBorders>
            <w:hideMark/>
          </w:tcPr>
          <w:p w:rsidR="00651052" w:rsidRPr="00ED66E9" w:rsidRDefault="00651052" w:rsidP="003B4BCE">
            <w:pPr>
              <w:rPr>
                <w:noProof/>
                <w:sz w:val="24"/>
                <w:szCs w:val="24"/>
              </w:rPr>
            </w:pPr>
            <w:r w:rsidRPr="00ED66E9">
              <w:rPr>
                <w:i/>
                <w:snapToGrid w:val="0"/>
                <w:sz w:val="24"/>
                <w:szCs w:val="24"/>
              </w:rPr>
              <w:t>Ikke almindelig</w:t>
            </w:r>
          </w:p>
        </w:tc>
        <w:tc>
          <w:tcPr>
            <w:tcW w:w="2687" w:type="pct"/>
            <w:tcBorders>
              <w:top w:val="nil"/>
              <w:left w:val="single" w:sz="4" w:space="0" w:color="auto"/>
              <w:bottom w:val="single" w:sz="4" w:space="0" w:color="auto"/>
              <w:right w:val="single" w:sz="4" w:space="0" w:color="auto"/>
            </w:tcBorders>
            <w:hideMark/>
          </w:tcPr>
          <w:p w:rsidR="00651052" w:rsidRPr="00ED66E9" w:rsidRDefault="00651052" w:rsidP="003B4BCE">
            <w:pPr>
              <w:rPr>
                <w:snapToGrid w:val="0"/>
                <w:sz w:val="24"/>
                <w:szCs w:val="24"/>
              </w:rPr>
            </w:pPr>
            <w:proofErr w:type="spellStart"/>
            <w:r w:rsidRPr="00ED66E9">
              <w:rPr>
                <w:snapToGrid w:val="0"/>
                <w:sz w:val="24"/>
                <w:szCs w:val="24"/>
              </w:rPr>
              <w:t>Tromboemboli</w:t>
            </w:r>
            <w:proofErr w:type="spellEnd"/>
            <w:r w:rsidRPr="00ED66E9">
              <w:rPr>
                <w:snapToGrid w:val="0"/>
                <w:sz w:val="24"/>
                <w:szCs w:val="24"/>
              </w:rPr>
              <w:t>, ødemer, hypertension.</w:t>
            </w:r>
          </w:p>
        </w:tc>
      </w:tr>
      <w:tr w:rsidR="00651052" w:rsidRPr="00ED66E9" w:rsidTr="003B4BCE">
        <w:trPr>
          <w:trHeight w:val="340"/>
        </w:trPr>
        <w:tc>
          <w:tcPr>
            <w:tcW w:w="5000" w:type="pct"/>
            <w:gridSpan w:val="2"/>
            <w:tcBorders>
              <w:top w:val="single" w:sz="4" w:space="0" w:color="auto"/>
              <w:left w:val="single" w:sz="4" w:space="0" w:color="auto"/>
              <w:bottom w:val="nil"/>
              <w:right w:val="single" w:sz="4" w:space="0" w:color="auto"/>
            </w:tcBorders>
            <w:hideMark/>
          </w:tcPr>
          <w:p w:rsidR="00651052" w:rsidRPr="00ED66E9" w:rsidRDefault="00651052" w:rsidP="003B4BCE">
            <w:pPr>
              <w:rPr>
                <w:b/>
                <w:sz w:val="24"/>
                <w:szCs w:val="24"/>
              </w:rPr>
            </w:pPr>
            <w:r w:rsidRPr="00ED66E9">
              <w:rPr>
                <w:b/>
                <w:noProof/>
                <w:sz w:val="24"/>
                <w:szCs w:val="24"/>
              </w:rPr>
              <w:t xml:space="preserve">Mave-tarm-kanalen   </w:t>
            </w:r>
          </w:p>
        </w:tc>
      </w:tr>
      <w:tr w:rsidR="00651052" w:rsidRPr="00ED66E9" w:rsidTr="003B4BCE">
        <w:trPr>
          <w:trHeight w:val="397"/>
        </w:trPr>
        <w:tc>
          <w:tcPr>
            <w:tcW w:w="2313" w:type="pct"/>
            <w:tcBorders>
              <w:top w:val="nil"/>
              <w:left w:val="single" w:sz="4" w:space="0" w:color="auto"/>
              <w:bottom w:val="nil"/>
              <w:right w:val="single" w:sz="4" w:space="0" w:color="auto"/>
            </w:tcBorders>
            <w:hideMark/>
          </w:tcPr>
          <w:p w:rsidR="00651052" w:rsidRPr="00ED66E9" w:rsidRDefault="00651052" w:rsidP="003B4BCE">
            <w:pPr>
              <w:rPr>
                <w:noProof/>
                <w:sz w:val="24"/>
                <w:szCs w:val="24"/>
              </w:rPr>
            </w:pPr>
            <w:r w:rsidRPr="00ED66E9">
              <w:rPr>
                <w:i/>
                <w:snapToGrid w:val="0"/>
                <w:sz w:val="24"/>
                <w:szCs w:val="24"/>
              </w:rPr>
              <w:t>Almindelig</w:t>
            </w:r>
          </w:p>
        </w:tc>
        <w:tc>
          <w:tcPr>
            <w:tcW w:w="2687" w:type="pct"/>
            <w:tcBorders>
              <w:top w:val="nil"/>
              <w:left w:val="single" w:sz="4" w:space="0" w:color="auto"/>
              <w:bottom w:val="nil"/>
              <w:right w:val="single" w:sz="4" w:space="0" w:color="auto"/>
            </w:tcBorders>
            <w:hideMark/>
          </w:tcPr>
          <w:p w:rsidR="00651052" w:rsidRPr="00ED66E9" w:rsidRDefault="00651052" w:rsidP="003B4BCE">
            <w:pPr>
              <w:rPr>
                <w:snapToGrid w:val="0"/>
                <w:sz w:val="24"/>
                <w:szCs w:val="24"/>
              </w:rPr>
            </w:pPr>
            <w:proofErr w:type="spellStart"/>
            <w:r w:rsidRPr="00ED66E9">
              <w:rPr>
                <w:snapToGrid w:val="0"/>
                <w:sz w:val="24"/>
                <w:szCs w:val="24"/>
              </w:rPr>
              <w:t>Peptisk</w:t>
            </w:r>
            <w:proofErr w:type="spellEnd"/>
            <w:r w:rsidRPr="00ED66E9">
              <w:rPr>
                <w:snapToGrid w:val="0"/>
                <w:sz w:val="24"/>
                <w:szCs w:val="24"/>
              </w:rPr>
              <w:t xml:space="preserve"> ulcus (ved høje doser).</w:t>
            </w:r>
          </w:p>
        </w:tc>
      </w:tr>
      <w:tr w:rsidR="00651052" w:rsidRPr="00ED66E9" w:rsidTr="003B4BCE">
        <w:trPr>
          <w:trHeight w:val="397"/>
        </w:trPr>
        <w:tc>
          <w:tcPr>
            <w:tcW w:w="2313" w:type="pct"/>
            <w:tcBorders>
              <w:top w:val="nil"/>
              <w:left w:val="single" w:sz="4" w:space="0" w:color="auto"/>
              <w:bottom w:val="single" w:sz="4" w:space="0" w:color="auto"/>
              <w:right w:val="single" w:sz="4" w:space="0" w:color="auto"/>
            </w:tcBorders>
          </w:tcPr>
          <w:p w:rsidR="00651052" w:rsidRPr="00ED66E9" w:rsidRDefault="00651052" w:rsidP="003B4BCE">
            <w:pPr>
              <w:rPr>
                <w:i/>
                <w:snapToGrid w:val="0"/>
                <w:sz w:val="24"/>
                <w:szCs w:val="24"/>
              </w:rPr>
            </w:pPr>
            <w:r w:rsidRPr="00ED66E9">
              <w:rPr>
                <w:i/>
                <w:snapToGrid w:val="0"/>
                <w:sz w:val="24"/>
                <w:szCs w:val="24"/>
              </w:rPr>
              <w:t>Ikke almindelig</w:t>
            </w:r>
          </w:p>
        </w:tc>
        <w:tc>
          <w:tcPr>
            <w:tcW w:w="2687" w:type="pct"/>
            <w:tcBorders>
              <w:top w:val="nil"/>
              <w:left w:val="single" w:sz="4" w:space="0" w:color="auto"/>
              <w:bottom w:val="single" w:sz="4" w:space="0" w:color="auto"/>
              <w:right w:val="single" w:sz="4" w:space="0" w:color="auto"/>
            </w:tcBorders>
          </w:tcPr>
          <w:p w:rsidR="00651052" w:rsidRPr="00ED66E9" w:rsidRDefault="00651052" w:rsidP="003B4BCE">
            <w:pPr>
              <w:rPr>
                <w:snapToGrid w:val="0"/>
                <w:sz w:val="24"/>
                <w:szCs w:val="24"/>
              </w:rPr>
            </w:pPr>
            <w:r w:rsidRPr="00ED66E9">
              <w:rPr>
                <w:snapToGrid w:val="0"/>
                <w:sz w:val="24"/>
                <w:szCs w:val="24"/>
              </w:rPr>
              <w:t xml:space="preserve">Akut </w:t>
            </w:r>
            <w:proofErr w:type="spellStart"/>
            <w:r w:rsidRPr="00ED66E9">
              <w:rPr>
                <w:snapToGrid w:val="0"/>
                <w:sz w:val="24"/>
                <w:szCs w:val="24"/>
              </w:rPr>
              <w:t>pankreatit</w:t>
            </w:r>
            <w:proofErr w:type="spellEnd"/>
          </w:p>
        </w:tc>
      </w:tr>
      <w:tr w:rsidR="00651052" w:rsidRPr="00ED66E9" w:rsidTr="003B4BCE">
        <w:trPr>
          <w:trHeight w:val="340"/>
        </w:trPr>
        <w:tc>
          <w:tcPr>
            <w:tcW w:w="5000" w:type="pct"/>
            <w:gridSpan w:val="2"/>
            <w:tcBorders>
              <w:top w:val="single" w:sz="4" w:space="0" w:color="auto"/>
              <w:left w:val="single" w:sz="4" w:space="0" w:color="auto"/>
              <w:bottom w:val="nil"/>
              <w:right w:val="single" w:sz="4" w:space="0" w:color="auto"/>
            </w:tcBorders>
            <w:hideMark/>
          </w:tcPr>
          <w:p w:rsidR="00651052" w:rsidRPr="00ED66E9" w:rsidRDefault="00651052" w:rsidP="003B4BCE">
            <w:pPr>
              <w:rPr>
                <w:b/>
                <w:snapToGrid w:val="0"/>
                <w:sz w:val="24"/>
                <w:szCs w:val="24"/>
              </w:rPr>
            </w:pPr>
            <w:r w:rsidRPr="00ED66E9">
              <w:rPr>
                <w:b/>
                <w:noProof/>
                <w:sz w:val="24"/>
                <w:szCs w:val="24"/>
              </w:rPr>
              <w:t>Hud og subkutane væv</w:t>
            </w:r>
          </w:p>
        </w:tc>
      </w:tr>
      <w:tr w:rsidR="00651052" w:rsidRPr="00ED66E9" w:rsidTr="003B4BCE">
        <w:trPr>
          <w:trHeight w:val="964"/>
        </w:trPr>
        <w:tc>
          <w:tcPr>
            <w:tcW w:w="2313" w:type="pct"/>
            <w:tcBorders>
              <w:top w:val="nil"/>
              <w:left w:val="single" w:sz="4" w:space="0" w:color="auto"/>
              <w:bottom w:val="nil"/>
              <w:right w:val="single" w:sz="4" w:space="0" w:color="auto"/>
            </w:tcBorders>
          </w:tcPr>
          <w:p w:rsidR="00651052" w:rsidRPr="00ED66E9" w:rsidRDefault="00651052" w:rsidP="003B4BCE">
            <w:pPr>
              <w:rPr>
                <w:sz w:val="24"/>
                <w:szCs w:val="24"/>
              </w:rPr>
            </w:pPr>
            <w:r w:rsidRPr="00ED66E9">
              <w:rPr>
                <w:i/>
                <w:snapToGrid w:val="0"/>
                <w:sz w:val="24"/>
                <w:szCs w:val="24"/>
              </w:rPr>
              <w:t>Almindelig</w:t>
            </w:r>
          </w:p>
        </w:tc>
        <w:tc>
          <w:tcPr>
            <w:tcW w:w="2687" w:type="pct"/>
            <w:tcBorders>
              <w:top w:val="nil"/>
              <w:left w:val="single" w:sz="4" w:space="0" w:color="auto"/>
              <w:bottom w:val="nil"/>
              <w:right w:val="single" w:sz="4" w:space="0" w:color="auto"/>
            </w:tcBorders>
            <w:hideMark/>
          </w:tcPr>
          <w:p w:rsidR="00651052" w:rsidRPr="00ED66E9" w:rsidRDefault="00651052" w:rsidP="003B4BCE">
            <w:pPr>
              <w:rPr>
                <w:snapToGrid w:val="0"/>
                <w:sz w:val="24"/>
                <w:szCs w:val="24"/>
              </w:rPr>
            </w:pPr>
            <w:r w:rsidRPr="00ED66E9">
              <w:rPr>
                <w:snapToGrid w:val="0"/>
                <w:sz w:val="24"/>
                <w:szCs w:val="24"/>
              </w:rPr>
              <w:t xml:space="preserve">Forsinket sårheling, allergisk reaktion på applikationsstedet. </w:t>
            </w:r>
          </w:p>
          <w:p w:rsidR="00651052" w:rsidRPr="00ED66E9" w:rsidRDefault="00651052" w:rsidP="003B4BCE">
            <w:pPr>
              <w:rPr>
                <w:i/>
                <w:snapToGrid w:val="0"/>
                <w:sz w:val="24"/>
                <w:szCs w:val="24"/>
              </w:rPr>
            </w:pPr>
            <w:r w:rsidRPr="00ED66E9">
              <w:rPr>
                <w:snapToGrid w:val="0"/>
                <w:sz w:val="24"/>
                <w:szCs w:val="24"/>
              </w:rPr>
              <w:t xml:space="preserve">Ved høje doser: </w:t>
            </w:r>
            <w:proofErr w:type="spellStart"/>
            <w:r w:rsidRPr="00ED66E9">
              <w:rPr>
                <w:snapToGrid w:val="0"/>
                <w:sz w:val="24"/>
                <w:szCs w:val="24"/>
              </w:rPr>
              <w:t>hirsutisme</w:t>
            </w:r>
            <w:proofErr w:type="spellEnd"/>
            <w:r w:rsidRPr="00ED66E9">
              <w:rPr>
                <w:snapToGrid w:val="0"/>
                <w:sz w:val="24"/>
                <w:szCs w:val="24"/>
              </w:rPr>
              <w:t xml:space="preserve">, </w:t>
            </w:r>
            <w:proofErr w:type="spellStart"/>
            <w:r w:rsidRPr="00ED66E9">
              <w:rPr>
                <w:snapToGrid w:val="0"/>
                <w:sz w:val="24"/>
                <w:szCs w:val="24"/>
              </w:rPr>
              <w:t>hyperpigmentering</w:t>
            </w:r>
            <w:proofErr w:type="spellEnd"/>
            <w:r w:rsidRPr="00ED66E9">
              <w:rPr>
                <w:snapToGrid w:val="0"/>
                <w:sz w:val="24"/>
                <w:szCs w:val="24"/>
              </w:rPr>
              <w:t xml:space="preserve">, systemisk </w:t>
            </w:r>
            <w:proofErr w:type="spellStart"/>
            <w:r w:rsidRPr="00ED66E9">
              <w:rPr>
                <w:snapToGrid w:val="0"/>
                <w:sz w:val="24"/>
                <w:szCs w:val="24"/>
              </w:rPr>
              <w:t>sklerodermi</w:t>
            </w:r>
            <w:proofErr w:type="spellEnd"/>
            <w:r w:rsidRPr="00ED66E9">
              <w:rPr>
                <w:snapToGrid w:val="0"/>
                <w:sz w:val="24"/>
                <w:szCs w:val="24"/>
              </w:rPr>
              <w:t>.</w:t>
            </w:r>
          </w:p>
        </w:tc>
      </w:tr>
      <w:tr w:rsidR="00651052" w:rsidRPr="00ED66E9" w:rsidTr="003B4BCE">
        <w:trPr>
          <w:trHeight w:val="397"/>
        </w:trPr>
        <w:tc>
          <w:tcPr>
            <w:tcW w:w="2313" w:type="pct"/>
            <w:tcBorders>
              <w:top w:val="nil"/>
              <w:left w:val="single" w:sz="4" w:space="0" w:color="auto"/>
              <w:bottom w:val="single" w:sz="4" w:space="0" w:color="auto"/>
              <w:right w:val="single" w:sz="4" w:space="0" w:color="auto"/>
            </w:tcBorders>
            <w:hideMark/>
          </w:tcPr>
          <w:p w:rsidR="00651052" w:rsidRPr="00ED66E9" w:rsidRDefault="00651052" w:rsidP="003B4BCE">
            <w:pPr>
              <w:rPr>
                <w:sz w:val="24"/>
                <w:szCs w:val="24"/>
              </w:rPr>
            </w:pPr>
            <w:r w:rsidRPr="00ED66E9">
              <w:rPr>
                <w:i/>
                <w:snapToGrid w:val="0"/>
                <w:sz w:val="24"/>
                <w:szCs w:val="24"/>
              </w:rPr>
              <w:t>Ikke almindelig</w:t>
            </w:r>
          </w:p>
        </w:tc>
        <w:tc>
          <w:tcPr>
            <w:tcW w:w="2687" w:type="pct"/>
            <w:tcBorders>
              <w:top w:val="nil"/>
              <w:left w:val="single" w:sz="4" w:space="0" w:color="auto"/>
              <w:bottom w:val="single" w:sz="4" w:space="0" w:color="auto"/>
              <w:right w:val="single" w:sz="4" w:space="0" w:color="auto"/>
            </w:tcBorders>
            <w:hideMark/>
          </w:tcPr>
          <w:p w:rsidR="00651052" w:rsidRPr="00ED66E9" w:rsidRDefault="00651052" w:rsidP="003B4BCE">
            <w:pPr>
              <w:rPr>
                <w:snapToGrid w:val="0"/>
                <w:sz w:val="24"/>
                <w:szCs w:val="24"/>
              </w:rPr>
            </w:pPr>
            <w:r w:rsidRPr="00ED66E9">
              <w:rPr>
                <w:snapToGrid w:val="0"/>
                <w:sz w:val="24"/>
                <w:szCs w:val="24"/>
              </w:rPr>
              <w:t>Svedtendens.</w:t>
            </w:r>
          </w:p>
        </w:tc>
      </w:tr>
      <w:tr w:rsidR="00651052" w:rsidRPr="00ED66E9" w:rsidTr="003B4BCE">
        <w:trPr>
          <w:trHeight w:val="340"/>
        </w:trPr>
        <w:tc>
          <w:tcPr>
            <w:tcW w:w="5000" w:type="pct"/>
            <w:gridSpan w:val="2"/>
            <w:tcBorders>
              <w:top w:val="single" w:sz="4" w:space="0" w:color="auto"/>
              <w:left w:val="single" w:sz="4" w:space="0" w:color="auto"/>
              <w:bottom w:val="nil"/>
              <w:right w:val="single" w:sz="4" w:space="0" w:color="auto"/>
            </w:tcBorders>
            <w:hideMark/>
          </w:tcPr>
          <w:p w:rsidR="00651052" w:rsidRPr="00ED66E9" w:rsidRDefault="00651052" w:rsidP="003B4BCE">
            <w:pPr>
              <w:rPr>
                <w:b/>
                <w:sz w:val="24"/>
                <w:szCs w:val="24"/>
              </w:rPr>
            </w:pPr>
            <w:r w:rsidRPr="00ED66E9">
              <w:rPr>
                <w:b/>
                <w:sz w:val="24"/>
                <w:szCs w:val="24"/>
              </w:rPr>
              <w:t>Knogler, led, muskler og bindevæv</w:t>
            </w:r>
          </w:p>
        </w:tc>
      </w:tr>
      <w:tr w:rsidR="00651052" w:rsidRPr="00ED66E9" w:rsidTr="003B4BCE">
        <w:trPr>
          <w:trHeight w:val="680"/>
        </w:trPr>
        <w:tc>
          <w:tcPr>
            <w:tcW w:w="2313" w:type="pct"/>
            <w:tcBorders>
              <w:top w:val="nil"/>
              <w:left w:val="single" w:sz="4" w:space="0" w:color="auto"/>
              <w:bottom w:val="nil"/>
              <w:right w:val="single" w:sz="4" w:space="0" w:color="auto"/>
            </w:tcBorders>
            <w:hideMark/>
          </w:tcPr>
          <w:p w:rsidR="00651052" w:rsidRPr="00ED66E9" w:rsidRDefault="00651052" w:rsidP="003B4BCE">
            <w:pPr>
              <w:rPr>
                <w:sz w:val="24"/>
                <w:szCs w:val="24"/>
              </w:rPr>
            </w:pPr>
            <w:r w:rsidRPr="00ED66E9">
              <w:rPr>
                <w:i/>
                <w:snapToGrid w:val="0"/>
                <w:sz w:val="24"/>
                <w:szCs w:val="24"/>
              </w:rPr>
              <w:t>Almindelig</w:t>
            </w:r>
          </w:p>
        </w:tc>
        <w:tc>
          <w:tcPr>
            <w:tcW w:w="2687" w:type="pct"/>
            <w:tcBorders>
              <w:top w:val="nil"/>
              <w:left w:val="single" w:sz="4" w:space="0" w:color="auto"/>
              <w:bottom w:val="nil"/>
              <w:right w:val="single" w:sz="4" w:space="0" w:color="auto"/>
            </w:tcBorders>
            <w:hideMark/>
          </w:tcPr>
          <w:p w:rsidR="00651052" w:rsidRPr="00ED66E9" w:rsidRDefault="00651052" w:rsidP="003B4BCE">
            <w:pPr>
              <w:rPr>
                <w:snapToGrid w:val="0"/>
                <w:sz w:val="24"/>
                <w:szCs w:val="24"/>
              </w:rPr>
            </w:pPr>
            <w:r w:rsidRPr="00ED66E9">
              <w:rPr>
                <w:snapToGrid w:val="0"/>
                <w:sz w:val="24"/>
                <w:szCs w:val="24"/>
              </w:rPr>
              <w:t>Ved langvarig behandling: Osteoporose, knogleskørhed, muskelsvaghed.</w:t>
            </w:r>
          </w:p>
        </w:tc>
      </w:tr>
      <w:tr w:rsidR="00651052" w:rsidRPr="00ED66E9" w:rsidTr="003B4BCE">
        <w:trPr>
          <w:trHeight w:val="397"/>
        </w:trPr>
        <w:tc>
          <w:tcPr>
            <w:tcW w:w="2313" w:type="pct"/>
            <w:tcBorders>
              <w:top w:val="nil"/>
              <w:left w:val="single" w:sz="4" w:space="0" w:color="auto"/>
              <w:bottom w:val="single" w:sz="4" w:space="0" w:color="auto"/>
              <w:right w:val="single" w:sz="4" w:space="0" w:color="auto"/>
            </w:tcBorders>
            <w:hideMark/>
          </w:tcPr>
          <w:p w:rsidR="00651052" w:rsidRPr="00ED66E9" w:rsidRDefault="00651052" w:rsidP="003B4BCE">
            <w:pPr>
              <w:rPr>
                <w:sz w:val="24"/>
                <w:szCs w:val="24"/>
              </w:rPr>
            </w:pPr>
            <w:r w:rsidRPr="00ED66E9">
              <w:rPr>
                <w:i/>
                <w:snapToGrid w:val="0"/>
                <w:sz w:val="24"/>
                <w:szCs w:val="24"/>
              </w:rPr>
              <w:t>Ikke almindelig</w:t>
            </w:r>
          </w:p>
        </w:tc>
        <w:tc>
          <w:tcPr>
            <w:tcW w:w="2687" w:type="pct"/>
            <w:tcBorders>
              <w:top w:val="nil"/>
              <w:left w:val="single" w:sz="4" w:space="0" w:color="auto"/>
              <w:bottom w:val="single" w:sz="4" w:space="0" w:color="auto"/>
              <w:right w:val="single" w:sz="4" w:space="0" w:color="auto"/>
            </w:tcBorders>
            <w:hideMark/>
          </w:tcPr>
          <w:p w:rsidR="00651052" w:rsidRPr="00ED66E9" w:rsidRDefault="00651052" w:rsidP="003B4BCE">
            <w:pPr>
              <w:rPr>
                <w:snapToGrid w:val="0"/>
                <w:sz w:val="24"/>
                <w:szCs w:val="24"/>
              </w:rPr>
            </w:pPr>
            <w:proofErr w:type="spellStart"/>
            <w:r w:rsidRPr="00ED66E9">
              <w:rPr>
                <w:snapToGrid w:val="0"/>
                <w:sz w:val="24"/>
                <w:szCs w:val="24"/>
              </w:rPr>
              <w:t>Myopati</w:t>
            </w:r>
            <w:proofErr w:type="spellEnd"/>
          </w:p>
        </w:tc>
      </w:tr>
      <w:tr w:rsidR="00651052" w:rsidRPr="00ED66E9" w:rsidTr="003B4BCE">
        <w:trPr>
          <w:trHeight w:val="412"/>
        </w:trPr>
        <w:tc>
          <w:tcPr>
            <w:tcW w:w="5000" w:type="pct"/>
            <w:gridSpan w:val="2"/>
            <w:tcBorders>
              <w:top w:val="single" w:sz="4" w:space="0" w:color="auto"/>
              <w:left w:val="single" w:sz="4" w:space="0" w:color="auto"/>
              <w:bottom w:val="nil"/>
              <w:right w:val="single" w:sz="4" w:space="0" w:color="auto"/>
            </w:tcBorders>
            <w:hideMark/>
          </w:tcPr>
          <w:p w:rsidR="00651052" w:rsidRPr="00ED66E9" w:rsidRDefault="00651052" w:rsidP="00B938C8">
            <w:pPr>
              <w:keepNext/>
              <w:rPr>
                <w:b/>
                <w:sz w:val="24"/>
                <w:szCs w:val="24"/>
              </w:rPr>
            </w:pPr>
            <w:r w:rsidRPr="00ED66E9">
              <w:rPr>
                <w:b/>
                <w:sz w:val="24"/>
                <w:szCs w:val="24"/>
              </w:rPr>
              <w:t>Almene symptomer og reaktioner på administrationsstedet</w:t>
            </w:r>
          </w:p>
        </w:tc>
      </w:tr>
      <w:tr w:rsidR="00651052" w:rsidRPr="00ED66E9" w:rsidTr="003B4BCE">
        <w:trPr>
          <w:trHeight w:val="1531"/>
        </w:trPr>
        <w:tc>
          <w:tcPr>
            <w:tcW w:w="2313" w:type="pct"/>
            <w:tcBorders>
              <w:top w:val="nil"/>
              <w:left w:val="single" w:sz="4" w:space="0" w:color="auto"/>
              <w:bottom w:val="nil"/>
              <w:right w:val="single" w:sz="4" w:space="0" w:color="auto"/>
            </w:tcBorders>
            <w:hideMark/>
          </w:tcPr>
          <w:p w:rsidR="00651052" w:rsidRPr="00ED66E9" w:rsidRDefault="00651052" w:rsidP="00B938C8">
            <w:pPr>
              <w:keepNext/>
              <w:rPr>
                <w:sz w:val="24"/>
                <w:szCs w:val="24"/>
              </w:rPr>
            </w:pPr>
            <w:r w:rsidRPr="00ED66E9">
              <w:rPr>
                <w:i/>
                <w:snapToGrid w:val="0"/>
                <w:sz w:val="24"/>
                <w:szCs w:val="24"/>
              </w:rPr>
              <w:t>Ikke almindelig</w:t>
            </w:r>
            <w:r w:rsidRPr="00ED66E9">
              <w:rPr>
                <w:snapToGrid w:val="0"/>
                <w:sz w:val="24"/>
                <w:szCs w:val="24"/>
              </w:rPr>
              <w:t>:</w:t>
            </w:r>
            <w:r w:rsidRPr="00ED66E9">
              <w:rPr>
                <w:sz w:val="24"/>
                <w:szCs w:val="24"/>
              </w:rPr>
              <w:t xml:space="preserve"> </w:t>
            </w:r>
          </w:p>
        </w:tc>
        <w:tc>
          <w:tcPr>
            <w:tcW w:w="2687" w:type="pct"/>
            <w:tcBorders>
              <w:top w:val="nil"/>
              <w:left w:val="single" w:sz="4" w:space="0" w:color="auto"/>
              <w:bottom w:val="nil"/>
              <w:right w:val="single" w:sz="4" w:space="0" w:color="auto"/>
            </w:tcBorders>
            <w:hideMark/>
          </w:tcPr>
          <w:p w:rsidR="00651052" w:rsidRPr="00ED66E9" w:rsidRDefault="00651052" w:rsidP="00B938C8">
            <w:pPr>
              <w:keepNext/>
              <w:rPr>
                <w:i/>
                <w:sz w:val="24"/>
                <w:szCs w:val="24"/>
              </w:rPr>
            </w:pPr>
            <w:r w:rsidRPr="00ED66E9">
              <w:rPr>
                <w:sz w:val="24"/>
                <w:szCs w:val="24"/>
              </w:rPr>
              <w:t xml:space="preserve">Ved hurtig intravenøs indgivelse af høje doser: Allergiske reaktioner og infektioner ved applikationsstedet, generaliseret allergisk reaktion (anafylaksi), ansigtsrødmen, </w:t>
            </w:r>
            <w:proofErr w:type="spellStart"/>
            <w:r w:rsidRPr="00ED66E9">
              <w:rPr>
                <w:sz w:val="24"/>
                <w:szCs w:val="24"/>
              </w:rPr>
              <w:t>arytmi</w:t>
            </w:r>
            <w:proofErr w:type="spellEnd"/>
            <w:r w:rsidRPr="00ED66E9">
              <w:rPr>
                <w:sz w:val="24"/>
                <w:szCs w:val="24"/>
              </w:rPr>
              <w:t xml:space="preserve"> eller hjertebanken, krampeanfald</w:t>
            </w:r>
          </w:p>
        </w:tc>
      </w:tr>
      <w:tr w:rsidR="00651052" w:rsidRPr="00ED66E9" w:rsidTr="003B4BCE">
        <w:trPr>
          <w:trHeight w:val="397"/>
        </w:trPr>
        <w:tc>
          <w:tcPr>
            <w:tcW w:w="2313" w:type="pct"/>
            <w:tcBorders>
              <w:top w:val="nil"/>
              <w:left w:val="single" w:sz="4" w:space="0" w:color="auto"/>
              <w:bottom w:val="single" w:sz="4" w:space="0" w:color="auto"/>
              <w:right w:val="single" w:sz="4" w:space="0" w:color="auto"/>
            </w:tcBorders>
            <w:hideMark/>
          </w:tcPr>
          <w:p w:rsidR="00651052" w:rsidRPr="00ED66E9" w:rsidRDefault="00651052" w:rsidP="00B938C8">
            <w:pPr>
              <w:keepNext/>
              <w:rPr>
                <w:noProof/>
                <w:sz w:val="24"/>
                <w:szCs w:val="24"/>
              </w:rPr>
            </w:pPr>
            <w:r w:rsidRPr="00ED66E9">
              <w:rPr>
                <w:i/>
                <w:sz w:val="24"/>
                <w:szCs w:val="24"/>
              </w:rPr>
              <w:t>Ikke kendt</w:t>
            </w:r>
            <w:r w:rsidRPr="00ED66E9">
              <w:rPr>
                <w:sz w:val="24"/>
                <w:szCs w:val="24"/>
              </w:rPr>
              <w:t xml:space="preserve">: </w:t>
            </w:r>
          </w:p>
        </w:tc>
        <w:tc>
          <w:tcPr>
            <w:tcW w:w="2687" w:type="pct"/>
            <w:tcBorders>
              <w:top w:val="nil"/>
              <w:left w:val="single" w:sz="4" w:space="0" w:color="auto"/>
              <w:bottom w:val="single" w:sz="4" w:space="0" w:color="auto"/>
              <w:right w:val="single" w:sz="4" w:space="0" w:color="auto"/>
            </w:tcBorders>
            <w:hideMark/>
          </w:tcPr>
          <w:p w:rsidR="00651052" w:rsidRPr="00ED66E9" w:rsidRDefault="00651052" w:rsidP="00B938C8">
            <w:pPr>
              <w:keepNext/>
              <w:rPr>
                <w:i/>
                <w:sz w:val="24"/>
                <w:szCs w:val="24"/>
              </w:rPr>
            </w:pPr>
            <w:r w:rsidRPr="00ED66E9">
              <w:rPr>
                <w:noProof/>
                <w:sz w:val="24"/>
                <w:szCs w:val="24"/>
              </w:rPr>
              <w:t>Hikke</w:t>
            </w:r>
          </w:p>
        </w:tc>
      </w:tr>
    </w:tbl>
    <w:p w:rsidR="00651052" w:rsidRPr="00ED66E9" w:rsidRDefault="00651052" w:rsidP="00651052">
      <w:pPr>
        <w:pStyle w:val="Brdtekst"/>
        <w:ind w:left="851" w:hanging="851"/>
        <w:rPr>
          <w:szCs w:val="24"/>
        </w:rPr>
      </w:pPr>
    </w:p>
    <w:p w:rsidR="00651052" w:rsidRPr="00ED66E9" w:rsidRDefault="00651052" w:rsidP="00651052">
      <w:pPr>
        <w:ind w:left="851"/>
        <w:rPr>
          <w:sz w:val="24"/>
          <w:szCs w:val="24"/>
          <w:u w:val="single"/>
        </w:rPr>
      </w:pPr>
      <w:r w:rsidRPr="00ED66E9">
        <w:rPr>
          <w:sz w:val="24"/>
          <w:szCs w:val="24"/>
          <w:u w:val="single"/>
        </w:rPr>
        <w:t>Beskrivelse af udvalgte bivirkninger</w:t>
      </w:r>
    </w:p>
    <w:p w:rsidR="00651052" w:rsidRPr="00ED66E9" w:rsidRDefault="00651052" w:rsidP="00651052">
      <w:pPr>
        <w:ind w:left="851"/>
        <w:rPr>
          <w:sz w:val="24"/>
          <w:szCs w:val="24"/>
        </w:rPr>
      </w:pPr>
      <w:r w:rsidRPr="00ED66E9">
        <w:rPr>
          <w:sz w:val="24"/>
          <w:szCs w:val="24"/>
        </w:rPr>
        <w:t xml:space="preserve">Bivirkninger, der primært opstår ved langvarig brug, og som kræver lægehjælp: Akne eller andre hudproblemer, </w:t>
      </w:r>
      <w:proofErr w:type="spellStart"/>
      <w:r w:rsidRPr="00ED66E9">
        <w:rPr>
          <w:sz w:val="24"/>
          <w:szCs w:val="24"/>
        </w:rPr>
        <w:t>avaskulær</w:t>
      </w:r>
      <w:proofErr w:type="spellEnd"/>
      <w:r w:rsidRPr="00ED66E9">
        <w:rPr>
          <w:sz w:val="24"/>
          <w:szCs w:val="24"/>
        </w:rPr>
        <w:t xml:space="preserve"> nekrose, </w:t>
      </w:r>
      <w:proofErr w:type="spellStart"/>
      <w:r w:rsidRPr="00ED66E9">
        <w:rPr>
          <w:sz w:val="24"/>
          <w:szCs w:val="24"/>
        </w:rPr>
        <w:t>Cushing</w:t>
      </w:r>
      <w:proofErr w:type="spellEnd"/>
      <w:r w:rsidRPr="00ED66E9">
        <w:rPr>
          <w:sz w:val="24"/>
          <w:szCs w:val="24"/>
        </w:rPr>
        <w:t xml:space="preserve">-lignende symptomer, ødem, endokrin påvirkning, </w:t>
      </w:r>
      <w:proofErr w:type="spellStart"/>
      <w:r w:rsidRPr="00ED66E9">
        <w:rPr>
          <w:sz w:val="24"/>
          <w:szCs w:val="24"/>
        </w:rPr>
        <w:t>gastrointestinal</w:t>
      </w:r>
      <w:proofErr w:type="spellEnd"/>
      <w:r w:rsidRPr="00ED66E9">
        <w:rPr>
          <w:sz w:val="24"/>
          <w:szCs w:val="24"/>
        </w:rPr>
        <w:t xml:space="preserve"> irritation, </w:t>
      </w:r>
      <w:proofErr w:type="spellStart"/>
      <w:r w:rsidRPr="00ED66E9">
        <w:rPr>
          <w:sz w:val="24"/>
          <w:szCs w:val="24"/>
        </w:rPr>
        <w:t>hypokaliæmi</w:t>
      </w:r>
      <w:proofErr w:type="spellEnd"/>
      <w:r w:rsidRPr="00ED66E9">
        <w:rPr>
          <w:sz w:val="24"/>
          <w:szCs w:val="24"/>
        </w:rPr>
        <w:t xml:space="preserve">, osteoporose eller knoglebrud, </w:t>
      </w:r>
      <w:proofErr w:type="spellStart"/>
      <w:r w:rsidRPr="00ED66E9">
        <w:rPr>
          <w:sz w:val="24"/>
          <w:szCs w:val="24"/>
        </w:rPr>
        <w:t>pancreatitis</w:t>
      </w:r>
      <w:proofErr w:type="spellEnd"/>
      <w:r w:rsidRPr="00ED66E9">
        <w:rPr>
          <w:sz w:val="24"/>
          <w:szCs w:val="24"/>
        </w:rPr>
        <w:t xml:space="preserve">, ulcus </w:t>
      </w:r>
      <w:proofErr w:type="spellStart"/>
      <w:r w:rsidRPr="00ED66E9">
        <w:rPr>
          <w:sz w:val="24"/>
          <w:szCs w:val="24"/>
        </w:rPr>
        <w:t>pepticum</w:t>
      </w:r>
      <w:proofErr w:type="spellEnd"/>
      <w:r w:rsidRPr="00ED66E9">
        <w:rPr>
          <w:sz w:val="24"/>
          <w:szCs w:val="24"/>
        </w:rPr>
        <w:t xml:space="preserve"> eller tarmperforation, </w:t>
      </w:r>
      <w:proofErr w:type="spellStart"/>
      <w:r w:rsidRPr="00ED66E9">
        <w:rPr>
          <w:sz w:val="24"/>
          <w:szCs w:val="24"/>
        </w:rPr>
        <w:t>ardannelse</w:t>
      </w:r>
      <w:proofErr w:type="spellEnd"/>
      <w:r w:rsidRPr="00ED66E9">
        <w:rPr>
          <w:sz w:val="24"/>
          <w:szCs w:val="24"/>
        </w:rPr>
        <w:t xml:space="preserve"> ved injektionsstedet, steroid </w:t>
      </w:r>
      <w:proofErr w:type="spellStart"/>
      <w:r w:rsidRPr="00ED66E9">
        <w:rPr>
          <w:sz w:val="24"/>
          <w:szCs w:val="24"/>
        </w:rPr>
        <w:t>myopati</w:t>
      </w:r>
      <w:proofErr w:type="spellEnd"/>
      <w:r w:rsidRPr="00ED66E9">
        <w:rPr>
          <w:sz w:val="24"/>
          <w:szCs w:val="24"/>
        </w:rPr>
        <w:t xml:space="preserve">, </w:t>
      </w:r>
      <w:proofErr w:type="spellStart"/>
      <w:r w:rsidRPr="00ED66E9">
        <w:rPr>
          <w:sz w:val="24"/>
          <w:szCs w:val="24"/>
        </w:rPr>
        <w:t>striae</w:t>
      </w:r>
      <w:proofErr w:type="spellEnd"/>
      <w:r w:rsidRPr="00ED66E9">
        <w:rPr>
          <w:sz w:val="24"/>
          <w:szCs w:val="24"/>
        </w:rPr>
        <w:t xml:space="preserve">, </w:t>
      </w:r>
      <w:proofErr w:type="spellStart"/>
      <w:r w:rsidRPr="00ED66E9">
        <w:rPr>
          <w:sz w:val="24"/>
          <w:szCs w:val="24"/>
        </w:rPr>
        <w:t>seneruptur</w:t>
      </w:r>
      <w:proofErr w:type="spellEnd"/>
      <w:r w:rsidRPr="00ED66E9">
        <w:rPr>
          <w:sz w:val="24"/>
          <w:szCs w:val="24"/>
        </w:rPr>
        <w:t>.</w:t>
      </w:r>
    </w:p>
    <w:p w:rsidR="00651052" w:rsidRPr="00ED66E9" w:rsidRDefault="00651052" w:rsidP="00651052">
      <w:pPr>
        <w:ind w:left="851"/>
        <w:rPr>
          <w:sz w:val="24"/>
          <w:szCs w:val="24"/>
        </w:rPr>
      </w:pPr>
      <w:r w:rsidRPr="00ED66E9">
        <w:rPr>
          <w:sz w:val="24"/>
          <w:szCs w:val="24"/>
        </w:rPr>
        <w:t xml:space="preserve">Lokale reaktioner på injektionsstedet: Usædvanlige blå mærker og </w:t>
      </w:r>
      <w:proofErr w:type="spellStart"/>
      <w:r w:rsidRPr="00ED66E9">
        <w:rPr>
          <w:sz w:val="24"/>
          <w:szCs w:val="24"/>
        </w:rPr>
        <w:t>hæmatom</w:t>
      </w:r>
      <w:proofErr w:type="spellEnd"/>
      <w:r w:rsidRPr="00ED66E9">
        <w:rPr>
          <w:sz w:val="24"/>
          <w:szCs w:val="24"/>
        </w:rPr>
        <w:t>, sår, der ikke heler.</w:t>
      </w:r>
    </w:p>
    <w:p w:rsidR="00651052" w:rsidRPr="00ED66E9" w:rsidRDefault="00651052" w:rsidP="00651052">
      <w:pPr>
        <w:ind w:left="851"/>
        <w:rPr>
          <w:sz w:val="24"/>
          <w:szCs w:val="24"/>
        </w:rPr>
      </w:pPr>
    </w:p>
    <w:p w:rsidR="00651052" w:rsidRPr="00ED66E9" w:rsidRDefault="00651052" w:rsidP="00651052">
      <w:pPr>
        <w:ind w:left="851"/>
        <w:rPr>
          <w:sz w:val="24"/>
          <w:szCs w:val="24"/>
        </w:rPr>
      </w:pPr>
      <w:r w:rsidRPr="00ED66E9">
        <w:rPr>
          <w:sz w:val="24"/>
          <w:szCs w:val="24"/>
        </w:rPr>
        <w:t xml:space="preserve">Behandlingen bør omgående seponeres, hvis patienten oplever episoder af </w:t>
      </w:r>
      <w:proofErr w:type="spellStart"/>
      <w:r w:rsidRPr="00ED66E9">
        <w:rPr>
          <w:sz w:val="24"/>
          <w:szCs w:val="24"/>
        </w:rPr>
        <w:t>adrenal</w:t>
      </w:r>
      <w:proofErr w:type="spellEnd"/>
      <w:r w:rsidRPr="00ED66E9">
        <w:rPr>
          <w:sz w:val="24"/>
          <w:szCs w:val="24"/>
        </w:rPr>
        <w:t xml:space="preserve"> hyperaktivitet, f.eks. akne, </w:t>
      </w:r>
      <w:proofErr w:type="spellStart"/>
      <w:r w:rsidRPr="00ED66E9">
        <w:rPr>
          <w:sz w:val="24"/>
          <w:szCs w:val="24"/>
        </w:rPr>
        <w:t>hirsutisme</w:t>
      </w:r>
      <w:proofErr w:type="spellEnd"/>
      <w:r w:rsidRPr="00ED66E9">
        <w:rPr>
          <w:sz w:val="24"/>
          <w:szCs w:val="24"/>
        </w:rPr>
        <w:t xml:space="preserve">, </w:t>
      </w:r>
      <w:proofErr w:type="spellStart"/>
      <w:r w:rsidRPr="00ED66E9">
        <w:rPr>
          <w:sz w:val="24"/>
          <w:szCs w:val="24"/>
        </w:rPr>
        <w:t>kutan</w:t>
      </w:r>
      <w:proofErr w:type="spellEnd"/>
      <w:r w:rsidRPr="00ED66E9">
        <w:rPr>
          <w:sz w:val="24"/>
          <w:szCs w:val="24"/>
        </w:rPr>
        <w:t xml:space="preserve"> </w:t>
      </w:r>
      <w:proofErr w:type="spellStart"/>
      <w:r w:rsidRPr="00ED66E9">
        <w:rPr>
          <w:sz w:val="24"/>
          <w:szCs w:val="24"/>
        </w:rPr>
        <w:t>hyperpigmentering</w:t>
      </w:r>
      <w:proofErr w:type="spellEnd"/>
      <w:r w:rsidRPr="00ED66E9">
        <w:rPr>
          <w:sz w:val="24"/>
          <w:szCs w:val="24"/>
        </w:rPr>
        <w:t xml:space="preserve">, hedeture og </w:t>
      </w:r>
      <w:proofErr w:type="spellStart"/>
      <w:r w:rsidRPr="00ED66E9">
        <w:rPr>
          <w:sz w:val="24"/>
          <w:szCs w:val="24"/>
        </w:rPr>
        <w:t>sklerodermi</w:t>
      </w:r>
      <w:proofErr w:type="spellEnd"/>
      <w:r w:rsidRPr="00ED66E9">
        <w:rPr>
          <w:sz w:val="24"/>
          <w:szCs w:val="24"/>
        </w:rPr>
        <w:t>.</w:t>
      </w:r>
    </w:p>
    <w:p w:rsidR="00651052" w:rsidRPr="00ED66E9" w:rsidRDefault="00651052" w:rsidP="00651052">
      <w:pPr>
        <w:ind w:left="851"/>
        <w:rPr>
          <w:sz w:val="24"/>
          <w:szCs w:val="24"/>
        </w:rPr>
      </w:pPr>
    </w:p>
    <w:p w:rsidR="00651052" w:rsidRPr="00ED66E9" w:rsidRDefault="00651052" w:rsidP="00651052">
      <w:pPr>
        <w:ind w:left="851"/>
        <w:rPr>
          <w:sz w:val="24"/>
          <w:szCs w:val="24"/>
          <w:u w:val="single"/>
        </w:rPr>
      </w:pPr>
      <w:r w:rsidRPr="00ED66E9">
        <w:rPr>
          <w:sz w:val="24"/>
          <w:szCs w:val="24"/>
          <w:u w:val="single"/>
        </w:rPr>
        <w:t>Indberetning af formodede bivirkninger</w:t>
      </w:r>
    </w:p>
    <w:p w:rsidR="00651052" w:rsidRPr="00ED66E9" w:rsidRDefault="00651052" w:rsidP="00651052">
      <w:pPr>
        <w:ind w:left="851"/>
        <w:rPr>
          <w:sz w:val="24"/>
          <w:szCs w:val="24"/>
        </w:rPr>
      </w:pPr>
      <w:r w:rsidRPr="00ED66E9">
        <w:rPr>
          <w:sz w:val="24"/>
          <w:szCs w:val="24"/>
        </w:rPr>
        <w:t>Når lægemidlet er godkendt, er indberetning af formodede bivirkninger vigtig. Det muliggør løbende overvågning af benefit/</w:t>
      </w:r>
      <w:proofErr w:type="spellStart"/>
      <w:r w:rsidRPr="00ED66E9">
        <w:rPr>
          <w:sz w:val="24"/>
          <w:szCs w:val="24"/>
        </w:rPr>
        <w:t>risk</w:t>
      </w:r>
      <w:proofErr w:type="spellEnd"/>
      <w:r w:rsidRPr="00ED66E9">
        <w:rPr>
          <w:sz w:val="24"/>
          <w:szCs w:val="24"/>
        </w:rPr>
        <w:t xml:space="preserve">-forholdet for lægemidlet. </w:t>
      </w:r>
      <w:r w:rsidR="00E20F8C">
        <w:rPr>
          <w:sz w:val="24"/>
          <w:szCs w:val="24"/>
        </w:rPr>
        <w:t>S</w:t>
      </w:r>
      <w:r w:rsidRPr="00ED66E9">
        <w:rPr>
          <w:sz w:val="24"/>
          <w:szCs w:val="24"/>
        </w:rPr>
        <w:t>undhedsperson</w:t>
      </w:r>
      <w:r w:rsidR="00E20F8C">
        <w:rPr>
          <w:sz w:val="24"/>
          <w:szCs w:val="24"/>
        </w:rPr>
        <w:t>er</w:t>
      </w:r>
      <w:r w:rsidRPr="00ED66E9">
        <w:rPr>
          <w:sz w:val="24"/>
          <w:szCs w:val="24"/>
        </w:rPr>
        <w:t xml:space="preserve"> anmodes om at indberette alle formodede bivirkninger via:</w:t>
      </w:r>
    </w:p>
    <w:p w:rsidR="00651052" w:rsidRPr="00ED66E9" w:rsidRDefault="00651052" w:rsidP="00651052">
      <w:pPr>
        <w:ind w:left="851"/>
        <w:rPr>
          <w:sz w:val="24"/>
          <w:szCs w:val="24"/>
        </w:rPr>
      </w:pPr>
    </w:p>
    <w:p w:rsidR="00651052" w:rsidRPr="00ED66E9" w:rsidRDefault="00651052" w:rsidP="00651052">
      <w:pPr>
        <w:ind w:left="851"/>
        <w:rPr>
          <w:sz w:val="24"/>
          <w:szCs w:val="24"/>
        </w:rPr>
      </w:pPr>
      <w:r w:rsidRPr="00ED66E9">
        <w:rPr>
          <w:sz w:val="24"/>
          <w:szCs w:val="24"/>
        </w:rPr>
        <w:t>Lægemiddelstyrelsen</w:t>
      </w:r>
    </w:p>
    <w:p w:rsidR="00651052" w:rsidRPr="00ED66E9" w:rsidRDefault="00651052" w:rsidP="00651052">
      <w:pPr>
        <w:ind w:left="851"/>
        <w:rPr>
          <w:sz w:val="24"/>
          <w:szCs w:val="24"/>
        </w:rPr>
      </w:pPr>
      <w:r w:rsidRPr="00ED66E9">
        <w:rPr>
          <w:sz w:val="24"/>
          <w:szCs w:val="24"/>
        </w:rPr>
        <w:t>Axel Heides Gade 1</w:t>
      </w:r>
    </w:p>
    <w:p w:rsidR="00651052" w:rsidRPr="00ED66E9" w:rsidRDefault="00651052" w:rsidP="00651052">
      <w:pPr>
        <w:ind w:left="851"/>
        <w:rPr>
          <w:sz w:val="24"/>
          <w:szCs w:val="24"/>
        </w:rPr>
      </w:pPr>
      <w:r w:rsidRPr="00ED66E9">
        <w:rPr>
          <w:sz w:val="24"/>
          <w:szCs w:val="24"/>
        </w:rPr>
        <w:t>DK-2300 København S</w:t>
      </w:r>
    </w:p>
    <w:p w:rsidR="00651052" w:rsidRPr="00ED66E9" w:rsidRDefault="00651052" w:rsidP="00651052">
      <w:pPr>
        <w:ind w:left="851"/>
        <w:rPr>
          <w:sz w:val="24"/>
          <w:szCs w:val="24"/>
        </w:rPr>
      </w:pPr>
      <w:r w:rsidRPr="00ED66E9">
        <w:rPr>
          <w:sz w:val="24"/>
          <w:szCs w:val="24"/>
        </w:rPr>
        <w:t xml:space="preserve">Website: </w:t>
      </w:r>
      <w:r w:rsidRPr="00ED66E9">
        <w:rPr>
          <w:rStyle w:val="Hyperlink"/>
          <w:sz w:val="24"/>
          <w:szCs w:val="24"/>
        </w:rPr>
        <w:t>www.meldenbivirkning.dk</w:t>
      </w:r>
      <w:r w:rsidRPr="00ED66E9">
        <w:rPr>
          <w:sz w:val="24"/>
          <w:szCs w:val="24"/>
        </w:rPr>
        <w:t xml:space="preserve"> </w:t>
      </w:r>
    </w:p>
    <w:p w:rsidR="00651052" w:rsidRPr="00ED66E9" w:rsidRDefault="00651052" w:rsidP="00651052">
      <w:pPr>
        <w:pStyle w:val="Sidehoved"/>
        <w:tabs>
          <w:tab w:val="left" w:pos="851"/>
        </w:tabs>
        <w:ind w:left="851" w:hanging="851"/>
        <w:rPr>
          <w:szCs w:val="24"/>
        </w:rPr>
      </w:pPr>
    </w:p>
    <w:p w:rsidR="00651052" w:rsidRPr="00ED66E9" w:rsidRDefault="00651052" w:rsidP="00651052">
      <w:pPr>
        <w:tabs>
          <w:tab w:val="left" w:pos="851"/>
        </w:tabs>
        <w:ind w:left="851" w:hanging="851"/>
        <w:rPr>
          <w:b/>
          <w:sz w:val="24"/>
          <w:szCs w:val="24"/>
        </w:rPr>
      </w:pPr>
      <w:r w:rsidRPr="00ED66E9">
        <w:rPr>
          <w:b/>
          <w:sz w:val="24"/>
          <w:szCs w:val="24"/>
        </w:rPr>
        <w:t>4.9</w:t>
      </w:r>
      <w:r w:rsidRPr="00ED66E9">
        <w:rPr>
          <w:b/>
          <w:sz w:val="24"/>
          <w:szCs w:val="24"/>
        </w:rPr>
        <w:tab/>
        <w:t>Overdosering</w:t>
      </w:r>
    </w:p>
    <w:p w:rsidR="00651052" w:rsidRPr="00ED66E9" w:rsidRDefault="00651052" w:rsidP="00651052">
      <w:pPr>
        <w:pStyle w:val="Brdtekst"/>
        <w:ind w:left="851"/>
        <w:rPr>
          <w:szCs w:val="24"/>
        </w:rPr>
      </w:pPr>
      <w:r w:rsidRPr="00ED66E9">
        <w:rPr>
          <w:szCs w:val="24"/>
        </w:rPr>
        <w:t>Anafylaksi: Behandles med adrenalin og overtryksventilation. Anden understøttende behandling rettet mod at holde patienten i ro.</w:t>
      </w:r>
    </w:p>
    <w:p w:rsidR="00651052" w:rsidRPr="00ED66E9" w:rsidRDefault="00651052" w:rsidP="00651052">
      <w:pPr>
        <w:pStyle w:val="Brdtekst"/>
        <w:ind w:left="851"/>
        <w:rPr>
          <w:szCs w:val="24"/>
        </w:rPr>
      </w:pPr>
      <w:r w:rsidRPr="00ED66E9">
        <w:rPr>
          <w:szCs w:val="24"/>
        </w:rPr>
        <w:t>I tilfælde af kronisk overdosering kan der forekomme forværring af de beskrevne bivirkninger (se pkt. 4.8) især bivirkninger vedrørende det endokrine system, metabolisme og elektrolytbalance.</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4.10</w:t>
      </w:r>
      <w:r w:rsidRPr="00ED66E9">
        <w:rPr>
          <w:b/>
          <w:sz w:val="24"/>
          <w:szCs w:val="24"/>
        </w:rPr>
        <w:tab/>
        <w:t>Udlevering</w:t>
      </w:r>
    </w:p>
    <w:p w:rsidR="00651052" w:rsidRPr="00ED66E9" w:rsidRDefault="00651052" w:rsidP="00651052">
      <w:pPr>
        <w:tabs>
          <w:tab w:val="left" w:pos="851"/>
        </w:tabs>
        <w:ind w:left="851" w:hanging="851"/>
        <w:rPr>
          <w:sz w:val="24"/>
          <w:szCs w:val="24"/>
        </w:rPr>
      </w:pPr>
      <w:r w:rsidRPr="00ED66E9">
        <w:rPr>
          <w:sz w:val="24"/>
          <w:szCs w:val="24"/>
        </w:rPr>
        <w:tab/>
        <w:t>B</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5.</w:t>
      </w:r>
      <w:r w:rsidRPr="00ED66E9">
        <w:rPr>
          <w:b/>
          <w:sz w:val="24"/>
          <w:szCs w:val="24"/>
        </w:rPr>
        <w:tab/>
        <w:t>FARMAKOLOGISKE EGENSKABER</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num" w:pos="851"/>
        </w:tabs>
        <w:ind w:left="851" w:hanging="851"/>
        <w:rPr>
          <w:b/>
          <w:sz w:val="24"/>
          <w:szCs w:val="24"/>
        </w:rPr>
      </w:pPr>
      <w:r w:rsidRPr="00ED66E9">
        <w:rPr>
          <w:b/>
          <w:sz w:val="24"/>
          <w:szCs w:val="24"/>
        </w:rPr>
        <w:t>5.1</w:t>
      </w:r>
      <w:r w:rsidRPr="00ED66E9">
        <w:rPr>
          <w:b/>
          <w:sz w:val="24"/>
          <w:szCs w:val="24"/>
        </w:rPr>
        <w:tab/>
      </w:r>
      <w:proofErr w:type="spellStart"/>
      <w:r w:rsidRPr="00ED66E9">
        <w:rPr>
          <w:b/>
          <w:sz w:val="24"/>
          <w:szCs w:val="24"/>
        </w:rPr>
        <w:t>Farmakodynamiske</w:t>
      </w:r>
      <w:proofErr w:type="spellEnd"/>
      <w:r w:rsidRPr="00ED66E9">
        <w:rPr>
          <w:b/>
          <w:sz w:val="24"/>
          <w:szCs w:val="24"/>
        </w:rPr>
        <w:t xml:space="preserve"> egenskaber</w:t>
      </w:r>
    </w:p>
    <w:p w:rsidR="00803A32" w:rsidRPr="00ED66E9" w:rsidRDefault="00803A32" w:rsidP="00803A32">
      <w:pPr>
        <w:pStyle w:val="Brdtekst"/>
        <w:ind w:left="851"/>
        <w:rPr>
          <w:szCs w:val="24"/>
        </w:rPr>
      </w:pPr>
      <w:proofErr w:type="spellStart"/>
      <w:r w:rsidRPr="00C922B2">
        <w:rPr>
          <w:szCs w:val="24"/>
        </w:rPr>
        <w:t>Farmakoterapeutisk</w:t>
      </w:r>
      <w:proofErr w:type="spellEnd"/>
      <w:r w:rsidRPr="00C922B2">
        <w:rPr>
          <w:szCs w:val="24"/>
        </w:rPr>
        <w:t xml:space="preserve"> klassifikation:</w:t>
      </w:r>
      <w:r>
        <w:rPr>
          <w:szCs w:val="24"/>
        </w:rPr>
        <w:t xml:space="preserve"> </w:t>
      </w:r>
      <w:proofErr w:type="spellStart"/>
      <w:r w:rsidRPr="00ED66E9">
        <w:rPr>
          <w:szCs w:val="24"/>
        </w:rPr>
        <w:t>Glukokortikoider</w:t>
      </w:r>
      <w:proofErr w:type="spellEnd"/>
      <w:r w:rsidRPr="00ED66E9">
        <w:rPr>
          <w:szCs w:val="24"/>
        </w:rPr>
        <w:t>.</w:t>
      </w:r>
      <w:r>
        <w:rPr>
          <w:szCs w:val="24"/>
        </w:rPr>
        <w:t xml:space="preserve"> </w:t>
      </w:r>
      <w:r w:rsidRPr="00ED66E9">
        <w:rPr>
          <w:szCs w:val="24"/>
        </w:rPr>
        <w:t>ATC-kode: H 02 AB 02.</w:t>
      </w:r>
    </w:p>
    <w:p w:rsidR="00803A32" w:rsidRDefault="00803A32" w:rsidP="00651052">
      <w:pPr>
        <w:pStyle w:val="Brdtekst"/>
        <w:ind w:left="851"/>
        <w:rPr>
          <w:szCs w:val="24"/>
        </w:rPr>
      </w:pPr>
    </w:p>
    <w:p w:rsidR="00651052" w:rsidRPr="00ED66E9" w:rsidRDefault="00651052" w:rsidP="00651052">
      <w:pPr>
        <w:pStyle w:val="Brdtekst"/>
        <w:ind w:left="851"/>
        <w:rPr>
          <w:szCs w:val="24"/>
        </w:rPr>
      </w:pPr>
      <w:proofErr w:type="spellStart"/>
      <w:r w:rsidRPr="00ED66E9">
        <w:rPr>
          <w:szCs w:val="24"/>
        </w:rPr>
        <w:t>Dexamethason</w:t>
      </w:r>
      <w:proofErr w:type="spellEnd"/>
      <w:r w:rsidRPr="00ED66E9">
        <w:rPr>
          <w:szCs w:val="24"/>
        </w:rPr>
        <w:t xml:space="preserve"> er et </w:t>
      </w:r>
      <w:proofErr w:type="spellStart"/>
      <w:r w:rsidRPr="00ED66E9">
        <w:rPr>
          <w:szCs w:val="24"/>
        </w:rPr>
        <w:t>fluorineret</w:t>
      </w:r>
      <w:proofErr w:type="spellEnd"/>
      <w:r w:rsidRPr="00ED66E9">
        <w:rPr>
          <w:szCs w:val="24"/>
        </w:rPr>
        <w:t xml:space="preserve">, langtidsvirkende, potent, anti-inflammatorisk og </w:t>
      </w:r>
      <w:proofErr w:type="spellStart"/>
      <w:r w:rsidRPr="00ED66E9">
        <w:rPr>
          <w:szCs w:val="24"/>
        </w:rPr>
        <w:t>immunosuppressivt</w:t>
      </w:r>
      <w:proofErr w:type="spellEnd"/>
      <w:r w:rsidRPr="00ED66E9">
        <w:rPr>
          <w:szCs w:val="24"/>
        </w:rPr>
        <w:t xml:space="preserve"> virkende </w:t>
      </w:r>
      <w:proofErr w:type="spellStart"/>
      <w:r w:rsidRPr="00ED66E9">
        <w:rPr>
          <w:szCs w:val="24"/>
        </w:rPr>
        <w:t>glukokortikoid</w:t>
      </w:r>
      <w:proofErr w:type="spellEnd"/>
      <w:r w:rsidRPr="00ED66E9">
        <w:rPr>
          <w:szCs w:val="24"/>
        </w:rPr>
        <w:t xml:space="preserve"> med lav </w:t>
      </w:r>
      <w:proofErr w:type="spellStart"/>
      <w:r w:rsidRPr="00ED66E9">
        <w:rPr>
          <w:szCs w:val="24"/>
        </w:rPr>
        <w:t>mineralokortikoid</w:t>
      </w:r>
      <w:proofErr w:type="spellEnd"/>
      <w:r w:rsidRPr="00ED66E9">
        <w:rPr>
          <w:szCs w:val="24"/>
        </w:rPr>
        <w:t xml:space="preserve"> aktivitet. </w:t>
      </w:r>
      <w:proofErr w:type="spellStart"/>
      <w:r w:rsidRPr="00ED66E9">
        <w:rPr>
          <w:szCs w:val="24"/>
        </w:rPr>
        <w:t>Glukokortikoider</w:t>
      </w:r>
      <w:proofErr w:type="spellEnd"/>
      <w:r w:rsidRPr="00ED66E9">
        <w:rPr>
          <w:szCs w:val="24"/>
        </w:rPr>
        <w:t xml:space="preserve"> kan have markant og varierende metabolisk effekt. De ændrer også immunrespons på forskellige stimuli.</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rPr>
      </w:pPr>
      <w:proofErr w:type="spellStart"/>
      <w:r w:rsidRPr="00ED66E9">
        <w:rPr>
          <w:szCs w:val="24"/>
        </w:rPr>
        <w:t>Dexamethason</w:t>
      </w:r>
      <w:proofErr w:type="spellEnd"/>
      <w:r w:rsidRPr="00ED66E9">
        <w:rPr>
          <w:szCs w:val="24"/>
        </w:rPr>
        <w:t xml:space="preserve"> hæmmer syntesen af </w:t>
      </w:r>
      <w:proofErr w:type="spellStart"/>
      <w:r w:rsidRPr="00ED66E9">
        <w:rPr>
          <w:szCs w:val="24"/>
        </w:rPr>
        <w:t>prostaglandiner</w:t>
      </w:r>
      <w:proofErr w:type="spellEnd"/>
      <w:r w:rsidRPr="00ED66E9">
        <w:rPr>
          <w:szCs w:val="24"/>
        </w:rPr>
        <w:t xml:space="preserve"> og </w:t>
      </w:r>
      <w:proofErr w:type="spellStart"/>
      <w:r w:rsidRPr="00ED66E9">
        <w:rPr>
          <w:szCs w:val="24"/>
        </w:rPr>
        <w:t>leukotriener</w:t>
      </w:r>
      <w:proofErr w:type="spellEnd"/>
      <w:r w:rsidRPr="00ED66E9">
        <w:rPr>
          <w:szCs w:val="24"/>
        </w:rPr>
        <w:t xml:space="preserve">, stoffer, der medierer </w:t>
      </w:r>
      <w:proofErr w:type="spellStart"/>
      <w:r w:rsidRPr="00ED66E9">
        <w:rPr>
          <w:szCs w:val="24"/>
        </w:rPr>
        <w:t>vaskulære</w:t>
      </w:r>
      <w:proofErr w:type="spellEnd"/>
      <w:r w:rsidRPr="00ED66E9">
        <w:rPr>
          <w:szCs w:val="24"/>
        </w:rPr>
        <w:t xml:space="preserve"> og cellulære inflammatoriske og immunologiske processer. </w:t>
      </w:r>
      <w:proofErr w:type="spellStart"/>
      <w:r w:rsidRPr="00ED66E9">
        <w:rPr>
          <w:szCs w:val="24"/>
        </w:rPr>
        <w:t>Dexamethason</w:t>
      </w:r>
      <w:proofErr w:type="spellEnd"/>
      <w:r w:rsidRPr="00ED66E9">
        <w:rPr>
          <w:szCs w:val="24"/>
        </w:rPr>
        <w:t xml:space="preserve"> reducerer derfor </w:t>
      </w:r>
      <w:proofErr w:type="spellStart"/>
      <w:r w:rsidRPr="00ED66E9">
        <w:rPr>
          <w:szCs w:val="24"/>
        </w:rPr>
        <w:t>vasodilation</w:t>
      </w:r>
      <w:proofErr w:type="spellEnd"/>
      <w:r w:rsidRPr="00ED66E9">
        <w:rPr>
          <w:szCs w:val="24"/>
        </w:rPr>
        <w:t xml:space="preserve"> med </w:t>
      </w:r>
      <w:proofErr w:type="spellStart"/>
      <w:r w:rsidRPr="00ED66E9">
        <w:rPr>
          <w:szCs w:val="24"/>
        </w:rPr>
        <w:t>ekssudation</w:t>
      </w:r>
      <w:proofErr w:type="spellEnd"/>
      <w:r w:rsidRPr="00ED66E9">
        <w:rPr>
          <w:szCs w:val="24"/>
        </w:rPr>
        <w:t xml:space="preserve"> typisk for inflammatoriske processer, leukocyt aktivitet, </w:t>
      </w:r>
      <w:proofErr w:type="spellStart"/>
      <w:r w:rsidRPr="00ED66E9">
        <w:rPr>
          <w:szCs w:val="24"/>
        </w:rPr>
        <w:t>neutrofil</w:t>
      </w:r>
      <w:proofErr w:type="spellEnd"/>
      <w:r w:rsidRPr="00ED66E9">
        <w:rPr>
          <w:szCs w:val="24"/>
        </w:rPr>
        <w:t xml:space="preserve"> aggregering og </w:t>
      </w:r>
      <w:proofErr w:type="spellStart"/>
      <w:r w:rsidRPr="00ED66E9">
        <w:rPr>
          <w:szCs w:val="24"/>
        </w:rPr>
        <w:t>degranulering</w:t>
      </w:r>
      <w:proofErr w:type="spellEnd"/>
      <w:r w:rsidRPr="00ED66E9">
        <w:rPr>
          <w:szCs w:val="24"/>
        </w:rPr>
        <w:t xml:space="preserve">, frigivelse af hydrolytiske enzymer fra lysosomer, m.m. Dette skyldes hæmning af syntesen af </w:t>
      </w:r>
      <w:proofErr w:type="spellStart"/>
      <w:r w:rsidRPr="00ED66E9">
        <w:rPr>
          <w:szCs w:val="24"/>
        </w:rPr>
        <w:t>phospholipase</w:t>
      </w:r>
      <w:proofErr w:type="spellEnd"/>
      <w:r w:rsidRPr="00ED66E9">
        <w:rPr>
          <w:szCs w:val="24"/>
        </w:rPr>
        <w:t xml:space="preserve"> A2, enzymet, der er ansvarlig for at frigive polyumættede fedtsyrer, som er forstadier til </w:t>
      </w:r>
      <w:proofErr w:type="spellStart"/>
      <w:r w:rsidRPr="00ED66E9">
        <w:rPr>
          <w:szCs w:val="24"/>
        </w:rPr>
        <w:t>prostaglandiner</w:t>
      </w:r>
      <w:proofErr w:type="spellEnd"/>
      <w:r w:rsidRPr="00ED66E9">
        <w:rPr>
          <w:szCs w:val="24"/>
        </w:rPr>
        <w:t xml:space="preserve"> og </w:t>
      </w:r>
      <w:proofErr w:type="spellStart"/>
      <w:r w:rsidRPr="00ED66E9">
        <w:rPr>
          <w:szCs w:val="24"/>
        </w:rPr>
        <w:t>leukotriener</w:t>
      </w:r>
      <w:proofErr w:type="spellEnd"/>
      <w:r w:rsidRPr="00ED66E9">
        <w:rPr>
          <w:szCs w:val="24"/>
        </w:rPr>
        <w:t>.</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rPr>
      </w:pPr>
      <w:proofErr w:type="spellStart"/>
      <w:r w:rsidRPr="00ED66E9">
        <w:rPr>
          <w:szCs w:val="24"/>
        </w:rPr>
        <w:t>Dexamethason</w:t>
      </w:r>
      <w:proofErr w:type="spellEnd"/>
      <w:r w:rsidRPr="00ED66E9">
        <w:rPr>
          <w:szCs w:val="24"/>
        </w:rPr>
        <w:t xml:space="preserve"> er 30 gange mere potent end kortison, 25 gange mere potent end </w:t>
      </w:r>
      <w:proofErr w:type="spellStart"/>
      <w:r w:rsidRPr="00ED66E9">
        <w:rPr>
          <w:szCs w:val="24"/>
        </w:rPr>
        <w:t>hydrokortison</w:t>
      </w:r>
      <w:proofErr w:type="spellEnd"/>
      <w:r w:rsidRPr="00ED66E9">
        <w:rPr>
          <w:szCs w:val="24"/>
        </w:rPr>
        <w:t xml:space="preserve">, 6 gange mere potent end </w:t>
      </w:r>
      <w:proofErr w:type="spellStart"/>
      <w:r w:rsidRPr="00ED66E9">
        <w:rPr>
          <w:szCs w:val="24"/>
        </w:rPr>
        <w:t>prednison</w:t>
      </w:r>
      <w:proofErr w:type="spellEnd"/>
      <w:r w:rsidRPr="00ED66E9">
        <w:rPr>
          <w:szCs w:val="24"/>
        </w:rPr>
        <w:t xml:space="preserve"> og </w:t>
      </w:r>
      <w:proofErr w:type="spellStart"/>
      <w:r w:rsidRPr="00ED66E9">
        <w:rPr>
          <w:szCs w:val="24"/>
        </w:rPr>
        <w:t>prednisolon</w:t>
      </w:r>
      <w:proofErr w:type="spellEnd"/>
      <w:r w:rsidRPr="00ED66E9">
        <w:rPr>
          <w:szCs w:val="24"/>
        </w:rPr>
        <w:t xml:space="preserve"> og 5 gange mere potent end </w:t>
      </w:r>
      <w:proofErr w:type="spellStart"/>
      <w:r w:rsidRPr="00ED66E9">
        <w:rPr>
          <w:szCs w:val="24"/>
        </w:rPr>
        <w:t>methylprednisolon</w:t>
      </w:r>
      <w:proofErr w:type="spellEnd"/>
      <w:r w:rsidRPr="00ED66E9">
        <w:rPr>
          <w:szCs w:val="24"/>
        </w:rPr>
        <w:t xml:space="preserve"> og </w:t>
      </w:r>
      <w:proofErr w:type="spellStart"/>
      <w:r w:rsidRPr="00ED66E9">
        <w:rPr>
          <w:szCs w:val="24"/>
        </w:rPr>
        <w:t>triamcinolon</w:t>
      </w:r>
      <w:proofErr w:type="spellEnd"/>
      <w:r w:rsidRPr="00ED66E9">
        <w:rPr>
          <w:szCs w:val="24"/>
        </w:rPr>
        <w:t>.</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5.2</w:t>
      </w:r>
      <w:r w:rsidRPr="00ED66E9">
        <w:rPr>
          <w:b/>
          <w:sz w:val="24"/>
          <w:szCs w:val="24"/>
        </w:rPr>
        <w:tab/>
      </w:r>
      <w:proofErr w:type="spellStart"/>
      <w:r w:rsidRPr="00ED66E9">
        <w:rPr>
          <w:b/>
          <w:sz w:val="24"/>
          <w:szCs w:val="24"/>
        </w:rPr>
        <w:t>Farmakokinetiske</w:t>
      </w:r>
      <w:proofErr w:type="spellEnd"/>
      <w:r w:rsidRPr="00ED66E9">
        <w:rPr>
          <w:b/>
          <w:sz w:val="24"/>
          <w:szCs w:val="24"/>
        </w:rPr>
        <w:t xml:space="preserve"> egenskaber</w:t>
      </w:r>
    </w:p>
    <w:p w:rsidR="00651052" w:rsidRPr="00ED66E9" w:rsidRDefault="00651052" w:rsidP="00651052">
      <w:pPr>
        <w:widowControl w:val="0"/>
        <w:autoSpaceDE w:val="0"/>
        <w:autoSpaceDN w:val="0"/>
        <w:adjustRightInd w:val="0"/>
        <w:ind w:left="851" w:hanging="851"/>
        <w:rPr>
          <w:bCs/>
          <w:sz w:val="24"/>
          <w:szCs w:val="24"/>
          <w:u w:val="single"/>
        </w:rPr>
      </w:pPr>
    </w:p>
    <w:p w:rsidR="00651052" w:rsidRPr="00ED66E9" w:rsidRDefault="00651052" w:rsidP="00651052">
      <w:pPr>
        <w:widowControl w:val="0"/>
        <w:autoSpaceDE w:val="0"/>
        <w:autoSpaceDN w:val="0"/>
        <w:adjustRightInd w:val="0"/>
        <w:ind w:left="851"/>
        <w:rPr>
          <w:sz w:val="24"/>
          <w:szCs w:val="24"/>
          <w:u w:val="single"/>
          <w:lang w:eastAsia="es-ES"/>
        </w:rPr>
      </w:pPr>
      <w:r w:rsidRPr="00ED66E9">
        <w:rPr>
          <w:bCs/>
          <w:sz w:val="24"/>
          <w:szCs w:val="24"/>
          <w:u w:val="single"/>
        </w:rPr>
        <w:t>Absorption</w:t>
      </w:r>
    </w:p>
    <w:p w:rsidR="00651052" w:rsidRPr="00ED66E9" w:rsidRDefault="00651052" w:rsidP="00651052">
      <w:pPr>
        <w:widowControl w:val="0"/>
        <w:autoSpaceDE w:val="0"/>
        <w:autoSpaceDN w:val="0"/>
        <w:adjustRightInd w:val="0"/>
        <w:spacing w:line="3" w:lineRule="exact"/>
        <w:ind w:left="851" w:hanging="851"/>
        <w:rPr>
          <w:sz w:val="24"/>
          <w:szCs w:val="24"/>
        </w:rPr>
      </w:pPr>
    </w:p>
    <w:p w:rsidR="00651052" w:rsidRPr="00ED66E9" w:rsidRDefault="00651052" w:rsidP="00651052">
      <w:pPr>
        <w:widowControl w:val="0"/>
        <w:overflowPunct w:val="0"/>
        <w:autoSpaceDE w:val="0"/>
        <w:autoSpaceDN w:val="0"/>
        <w:adjustRightInd w:val="0"/>
        <w:spacing w:line="249" w:lineRule="auto"/>
        <w:ind w:left="851"/>
        <w:rPr>
          <w:sz w:val="24"/>
          <w:szCs w:val="24"/>
        </w:rPr>
      </w:pPr>
      <w:r w:rsidRPr="00ED66E9">
        <w:rPr>
          <w:sz w:val="24"/>
          <w:szCs w:val="24"/>
        </w:rPr>
        <w:t xml:space="preserve">Efter intravenøs injektion af </w:t>
      </w:r>
      <w:proofErr w:type="spellStart"/>
      <w:r w:rsidRPr="00ED66E9">
        <w:rPr>
          <w:sz w:val="24"/>
          <w:szCs w:val="24"/>
        </w:rPr>
        <w:t>dexamethasonphosphat</w:t>
      </w:r>
      <w:proofErr w:type="spellEnd"/>
      <w:r w:rsidRPr="00ED66E9">
        <w:rPr>
          <w:sz w:val="24"/>
          <w:szCs w:val="24"/>
        </w:rPr>
        <w:t xml:space="preserve"> sker hydrolyse af esteren meget hurtigt. Hos mennesker nås maksimal serumkoncentration af </w:t>
      </w:r>
      <w:proofErr w:type="gramStart"/>
      <w:r w:rsidRPr="00ED66E9">
        <w:rPr>
          <w:sz w:val="24"/>
          <w:szCs w:val="24"/>
        </w:rPr>
        <w:t>frit alkohol</w:t>
      </w:r>
      <w:proofErr w:type="gramEnd"/>
      <w:r w:rsidRPr="00ED66E9">
        <w:rPr>
          <w:sz w:val="24"/>
          <w:szCs w:val="24"/>
        </w:rPr>
        <w:t xml:space="preserve"> fra </w:t>
      </w:r>
      <w:proofErr w:type="spellStart"/>
      <w:r w:rsidRPr="00ED66E9">
        <w:rPr>
          <w:sz w:val="24"/>
          <w:szCs w:val="24"/>
        </w:rPr>
        <w:t>dexamethason</w:t>
      </w:r>
      <w:proofErr w:type="spellEnd"/>
      <w:r w:rsidRPr="00ED66E9">
        <w:rPr>
          <w:sz w:val="24"/>
          <w:szCs w:val="24"/>
        </w:rPr>
        <w:t xml:space="preserve"> senest 10 minutter efter injektion af esteren. I alt 90 % af </w:t>
      </w:r>
      <w:proofErr w:type="spellStart"/>
      <w:r w:rsidRPr="00ED66E9">
        <w:rPr>
          <w:sz w:val="24"/>
          <w:szCs w:val="24"/>
        </w:rPr>
        <w:t>dexamethasonphosphat</w:t>
      </w:r>
      <w:proofErr w:type="spellEnd"/>
      <w:r w:rsidRPr="00ED66E9">
        <w:rPr>
          <w:sz w:val="24"/>
          <w:szCs w:val="24"/>
        </w:rPr>
        <w:t xml:space="preserve"> omdannes til </w:t>
      </w:r>
      <w:proofErr w:type="gramStart"/>
      <w:r w:rsidRPr="00ED66E9">
        <w:rPr>
          <w:sz w:val="24"/>
          <w:szCs w:val="24"/>
        </w:rPr>
        <w:t>frit alkohol</w:t>
      </w:r>
      <w:proofErr w:type="gramEnd"/>
      <w:r w:rsidRPr="00ED66E9">
        <w:rPr>
          <w:sz w:val="24"/>
          <w:szCs w:val="24"/>
        </w:rPr>
        <w:t>.</w:t>
      </w:r>
    </w:p>
    <w:p w:rsidR="00651052" w:rsidRPr="00ED66E9" w:rsidRDefault="00651052" w:rsidP="00651052">
      <w:pPr>
        <w:widowControl w:val="0"/>
        <w:autoSpaceDE w:val="0"/>
        <w:autoSpaceDN w:val="0"/>
        <w:adjustRightInd w:val="0"/>
        <w:spacing w:line="215" w:lineRule="exact"/>
        <w:ind w:left="851" w:hanging="851"/>
        <w:rPr>
          <w:sz w:val="24"/>
          <w:szCs w:val="24"/>
        </w:rPr>
      </w:pPr>
    </w:p>
    <w:p w:rsidR="00651052" w:rsidRPr="00ED66E9" w:rsidRDefault="00651052" w:rsidP="00651052">
      <w:pPr>
        <w:widowControl w:val="0"/>
        <w:overflowPunct w:val="0"/>
        <w:autoSpaceDE w:val="0"/>
        <w:autoSpaceDN w:val="0"/>
        <w:adjustRightInd w:val="0"/>
        <w:spacing w:line="254" w:lineRule="auto"/>
        <w:ind w:left="851"/>
        <w:rPr>
          <w:sz w:val="24"/>
          <w:szCs w:val="24"/>
        </w:rPr>
      </w:pPr>
      <w:r w:rsidRPr="00ED66E9">
        <w:rPr>
          <w:sz w:val="24"/>
          <w:szCs w:val="24"/>
        </w:rPr>
        <w:t xml:space="preserve">Med et normalt blodkredsløb absorberes </w:t>
      </w:r>
      <w:proofErr w:type="spellStart"/>
      <w:r w:rsidRPr="00ED66E9">
        <w:rPr>
          <w:sz w:val="24"/>
          <w:szCs w:val="24"/>
        </w:rPr>
        <w:t>dexamethasonphosphat</w:t>
      </w:r>
      <w:proofErr w:type="spellEnd"/>
      <w:r w:rsidRPr="00ED66E9">
        <w:rPr>
          <w:sz w:val="24"/>
          <w:szCs w:val="24"/>
        </w:rPr>
        <w:t xml:space="preserve"> hurtigt og næsten fuldstændigt med maksimal serumkoncentration af </w:t>
      </w:r>
      <w:proofErr w:type="spellStart"/>
      <w:r w:rsidRPr="00ED66E9">
        <w:rPr>
          <w:sz w:val="24"/>
          <w:szCs w:val="24"/>
        </w:rPr>
        <w:t>dexamethason</w:t>
      </w:r>
      <w:proofErr w:type="spellEnd"/>
      <w:r w:rsidRPr="00ED66E9">
        <w:rPr>
          <w:sz w:val="24"/>
          <w:szCs w:val="24"/>
        </w:rPr>
        <w:t xml:space="preserve"> 60 minutter efter intramuskulær administration.</w:t>
      </w:r>
    </w:p>
    <w:p w:rsidR="00651052" w:rsidRPr="00ED66E9" w:rsidRDefault="00651052" w:rsidP="00651052">
      <w:pPr>
        <w:widowControl w:val="0"/>
        <w:autoSpaceDE w:val="0"/>
        <w:autoSpaceDN w:val="0"/>
        <w:adjustRightInd w:val="0"/>
        <w:spacing w:line="211" w:lineRule="exact"/>
        <w:ind w:left="851" w:hanging="851"/>
        <w:rPr>
          <w:sz w:val="24"/>
          <w:szCs w:val="24"/>
        </w:rPr>
      </w:pPr>
    </w:p>
    <w:p w:rsidR="00651052" w:rsidRPr="00ED66E9" w:rsidRDefault="00651052" w:rsidP="00651052">
      <w:pPr>
        <w:widowControl w:val="0"/>
        <w:autoSpaceDE w:val="0"/>
        <w:autoSpaceDN w:val="0"/>
        <w:adjustRightInd w:val="0"/>
        <w:ind w:left="851"/>
        <w:rPr>
          <w:bCs/>
          <w:sz w:val="24"/>
          <w:szCs w:val="24"/>
          <w:u w:val="single"/>
        </w:rPr>
      </w:pPr>
      <w:r w:rsidRPr="00ED66E9">
        <w:rPr>
          <w:bCs/>
          <w:sz w:val="24"/>
          <w:szCs w:val="24"/>
          <w:u w:val="single"/>
        </w:rPr>
        <w:t>Fordeling</w:t>
      </w:r>
    </w:p>
    <w:p w:rsidR="00651052" w:rsidRPr="00ED66E9" w:rsidRDefault="00651052" w:rsidP="00651052">
      <w:pPr>
        <w:widowControl w:val="0"/>
        <w:autoSpaceDE w:val="0"/>
        <w:autoSpaceDN w:val="0"/>
        <w:adjustRightInd w:val="0"/>
        <w:spacing w:line="1" w:lineRule="exact"/>
        <w:ind w:left="851" w:hanging="851"/>
        <w:rPr>
          <w:sz w:val="24"/>
          <w:szCs w:val="24"/>
        </w:rPr>
      </w:pPr>
    </w:p>
    <w:p w:rsidR="00651052" w:rsidRPr="00ED66E9" w:rsidRDefault="00651052" w:rsidP="00651052">
      <w:pPr>
        <w:widowControl w:val="0"/>
        <w:overflowPunct w:val="0"/>
        <w:autoSpaceDE w:val="0"/>
        <w:autoSpaceDN w:val="0"/>
        <w:adjustRightInd w:val="0"/>
        <w:spacing w:line="254" w:lineRule="auto"/>
        <w:ind w:left="851"/>
        <w:rPr>
          <w:sz w:val="24"/>
          <w:szCs w:val="24"/>
        </w:rPr>
      </w:pPr>
      <w:proofErr w:type="spellStart"/>
      <w:r w:rsidRPr="00ED66E9">
        <w:rPr>
          <w:sz w:val="24"/>
          <w:szCs w:val="24"/>
        </w:rPr>
        <w:t>Dexamethason</w:t>
      </w:r>
      <w:proofErr w:type="spellEnd"/>
      <w:r w:rsidRPr="00ED66E9">
        <w:rPr>
          <w:sz w:val="24"/>
          <w:szCs w:val="24"/>
        </w:rPr>
        <w:t xml:space="preserve"> binder sig hovedsageligt til plasmaalbumin på en dosisafhængig måde. Ved meget høje doser findes det meste frit i blodplasma, dvs. uden at være proteinbundet.</w:t>
      </w:r>
    </w:p>
    <w:p w:rsidR="00651052" w:rsidRPr="00ED66E9" w:rsidRDefault="00651052" w:rsidP="00651052">
      <w:pPr>
        <w:widowControl w:val="0"/>
        <w:autoSpaceDE w:val="0"/>
        <w:autoSpaceDN w:val="0"/>
        <w:adjustRightInd w:val="0"/>
        <w:spacing w:line="205" w:lineRule="exact"/>
        <w:ind w:left="851" w:hanging="851"/>
        <w:rPr>
          <w:sz w:val="24"/>
          <w:szCs w:val="24"/>
        </w:rPr>
      </w:pPr>
    </w:p>
    <w:p w:rsidR="00651052" w:rsidRPr="00ED66E9" w:rsidRDefault="00651052" w:rsidP="00651052">
      <w:pPr>
        <w:widowControl w:val="0"/>
        <w:overflowPunct w:val="0"/>
        <w:autoSpaceDE w:val="0"/>
        <w:autoSpaceDN w:val="0"/>
        <w:adjustRightInd w:val="0"/>
        <w:spacing w:line="247" w:lineRule="auto"/>
        <w:ind w:left="851"/>
        <w:rPr>
          <w:sz w:val="24"/>
          <w:szCs w:val="24"/>
        </w:rPr>
      </w:pPr>
      <w:r w:rsidRPr="00ED66E9">
        <w:rPr>
          <w:sz w:val="24"/>
          <w:szCs w:val="24"/>
        </w:rPr>
        <w:t xml:space="preserve">Maksimale niveauer af </w:t>
      </w:r>
      <w:proofErr w:type="spellStart"/>
      <w:r w:rsidRPr="00ED66E9">
        <w:rPr>
          <w:sz w:val="24"/>
          <w:szCs w:val="24"/>
        </w:rPr>
        <w:t>dexamethason</w:t>
      </w:r>
      <w:proofErr w:type="spellEnd"/>
      <w:r w:rsidRPr="00ED66E9">
        <w:rPr>
          <w:sz w:val="24"/>
          <w:szCs w:val="24"/>
        </w:rPr>
        <w:t xml:space="preserve"> i cerebrospinalvæske (CSF) nås 4 timer efter intravenøs administration af radioaktivt mærket </w:t>
      </w:r>
      <w:proofErr w:type="spellStart"/>
      <w:r w:rsidRPr="00ED66E9">
        <w:rPr>
          <w:sz w:val="24"/>
          <w:szCs w:val="24"/>
        </w:rPr>
        <w:t>dexamethason</w:t>
      </w:r>
      <w:proofErr w:type="spellEnd"/>
      <w:r w:rsidRPr="00ED66E9">
        <w:rPr>
          <w:sz w:val="24"/>
          <w:szCs w:val="24"/>
        </w:rPr>
        <w:t xml:space="preserve"> og stiger til ca. 1/6 af den plasmakoncentration, der blev målt på det pågældende tidspunkt. CSF-koncentrationen af </w:t>
      </w:r>
      <w:proofErr w:type="spellStart"/>
      <w:r w:rsidRPr="00ED66E9">
        <w:rPr>
          <w:sz w:val="24"/>
          <w:szCs w:val="24"/>
        </w:rPr>
        <w:t>dexamethason</w:t>
      </w:r>
      <w:proofErr w:type="spellEnd"/>
      <w:r w:rsidRPr="00ED66E9">
        <w:rPr>
          <w:sz w:val="24"/>
          <w:szCs w:val="24"/>
        </w:rPr>
        <w:t xml:space="preserve"> falder langsomt og kan påvises ved niveauer på op til 2/3 af den maksimale koncentration 24 timer efter injektion.</w:t>
      </w:r>
    </w:p>
    <w:p w:rsidR="00651052" w:rsidRPr="00ED66E9" w:rsidRDefault="00651052" w:rsidP="00651052">
      <w:pPr>
        <w:widowControl w:val="0"/>
        <w:autoSpaceDE w:val="0"/>
        <w:autoSpaceDN w:val="0"/>
        <w:adjustRightInd w:val="0"/>
        <w:spacing w:line="275" w:lineRule="exact"/>
        <w:ind w:left="851" w:hanging="851"/>
        <w:rPr>
          <w:sz w:val="24"/>
          <w:szCs w:val="24"/>
        </w:rPr>
      </w:pPr>
    </w:p>
    <w:p w:rsidR="00651052" w:rsidRPr="00ED66E9" w:rsidRDefault="00651052" w:rsidP="00651052">
      <w:pPr>
        <w:widowControl w:val="0"/>
        <w:autoSpaceDE w:val="0"/>
        <w:autoSpaceDN w:val="0"/>
        <w:adjustRightInd w:val="0"/>
        <w:ind w:left="851"/>
        <w:rPr>
          <w:bCs/>
          <w:sz w:val="24"/>
          <w:szCs w:val="24"/>
          <w:u w:val="single"/>
        </w:rPr>
      </w:pPr>
      <w:r w:rsidRPr="00ED66E9">
        <w:rPr>
          <w:bCs/>
          <w:sz w:val="24"/>
          <w:szCs w:val="24"/>
          <w:u w:val="single"/>
        </w:rPr>
        <w:t>Biotransformation</w:t>
      </w:r>
    </w:p>
    <w:p w:rsidR="00651052" w:rsidRPr="00ED66E9" w:rsidRDefault="00651052" w:rsidP="00651052">
      <w:pPr>
        <w:widowControl w:val="0"/>
        <w:autoSpaceDE w:val="0"/>
        <w:autoSpaceDN w:val="0"/>
        <w:adjustRightInd w:val="0"/>
        <w:spacing w:line="3" w:lineRule="exact"/>
        <w:ind w:left="851" w:hanging="851"/>
        <w:rPr>
          <w:sz w:val="24"/>
          <w:szCs w:val="24"/>
        </w:rPr>
      </w:pPr>
    </w:p>
    <w:p w:rsidR="00651052" w:rsidRPr="00ED66E9" w:rsidRDefault="00651052" w:rsidP="00651052">
      <w:pPr>
        <w:widowControl w:val="0"/>
        <w:overflowPunct w:val="0"/>
        <w:autoSpaceDE w:val="0"/>
        <w:autoSpaceDN w:val="0"/>
        <w:adjustRightInd w:val="0"/>
        <w:spacing w:line="271" w:lineRule="auto"/>
        <w:ind w:left="851"/>
        <w:rPr>
          <w:sz w:val="24"/>
          <w:szCs w:val="24"/>
        </w:rPr>
      </w:pPr>
      <w:proofErr w:type="spellStart"/>
      <w:r w:rsidRPr="00ED66E9">
        <w:rPr>
          <w:sz w:val="24"/>
          <w:szCs w:val="24"/>
        </w:rPr>
        <w:t>Dexamethason</w:t>
      </w:r>
      <w:proofErr w:type="spellEnd"/>
      <w:r w:rsidRPr="00ED66E9">
        <w:rPr>
          <w:sz w:val="24"/>
          <w:szCs w:val="24"/>
        </w:rPr>
        <w:t xml:space="preserve"> </w:t>
      </w:r>
      <w:proofErr w:type="spellStart"/>
      <w:r w:rsidRPr="00ED66E9">
        <w:rPr>
          <w:sz w:val="24"/>
          <w:szCs w:val="24"/>
        </w:rPr>
        <w:t>metaboliseres</w:t>
      </w:r>
      <w:proofErr w:type="spellEnd"/>
      <w:r w:rsidRPr="00ED66E9">
        <w:rPr>
          <w:sz w:val="24"/>
          <w:szCs w:val="24"/>
        </w:rPr>
        <w:t xml:space="preserve"> i et vist omfang i leveren. CYP3A4 er involveret i den </w:t>
      </w:r>
      <w:proofErr w:type="spellStart"/>
      <w:r w:rsidRPr="00ED66E9">
        <w:rPr>
          <w:sz w:val="24"/>
          <w:szCs w:val="24"/>
        </w:rPr>
        <w:t>oxidative</w:t>
      </w:r>
      <w:proofErr w:type="spellEnd"/>
      <w:r w:rsidRPr="00ED66E9">
        <w:rPr>
          <w:sz w:val="24"/>
          <w:szCs w:val="24"/>
        </w:rPr>
        <w:t xml:space="preserve"> metabolisme af </w:t>
      </w:r>
      <w:proofErr w:type="spellStart"/>
      <w:r w:rsidRPr="00ED66E9">
        <w:rPr>
          <w:sz w:val="24"/>
          <w:szCs w:val="24"/>
        </w:rPr>
        <w:t>dexamethason</w:t>
      </w:r>
      <w:proofErr w:type="spellEnd"/>
      <w:r w:rsidRPr="00ED66E9">
        <w:rPr>
          <w:sz w:val="24"/>
          <w:szCs w:val="24"/>
        </w:rPr>
        <w:t xml:space="preserve"> </w:t>
      </w:r>
      <w:r w:rsidRPr="00ED66E9">
        <w:rPr>
          <w:i/>
          <w:iCs/>
          <w:sz w:val="24"/>
          <w:szCs w:val="24"/>
        </w:rPr>
        <w:t xml:space="preserve">in </w:t>
      </w:r>
      <w:proofErr w:type="spellStart"/>
      <w:r w:rsidRPr="00ED66E9">
        <w:rPr>
          <w:i/>
          <w:iCs/>
          <w:sz w:val="24"/>
          <w:szCs w:val="24"/>
        </w:rPr>
        <w:t>vitro</w:t>
      </w:r>
      <w:proofErr w:type="spellEnd"/>
      <w:r w:rsidRPr="00ED66E9">
        <w:rPr>
          <w:sz w:val="24"/>
          <w:szCs w:val="24"/>
        </w:rPr>
        <w:t>.</w:t>
      </w:r>
    </w:p>
    <w:p w:rsidR="00651052" w:rsidRPr="00ED66E9" w:rsidRDefault="00651052" w:rsidP="00651052">
      <w:pPr>
        <w:widowControl w:val="0"/>
        <w:overflowPunct w:val="0"/>
        <w:autoSpaceDE w:val="0"/>
        <w:autoSpaceDN w:val="0"/>
        <w:adjustRightInd w:val="0"/>
        <w:spacing w:line="271" w:lineRule="auto"/>
        <w:ind w:left="851" w:hanging="851"/>
        <w:rPr>
          <w:sz w:val="24"/>
          <w:szCs w:val="24"/>
        </w:rPr>
      </w:pPr>
    </w:p>
    <w:p w:rsidR="00651052" w:rsidRPr="00ED66E9" w:rsidRDefault="00651052" w:rsidP="00651052">
      <w:pPr>
        <w:widowControl w:val="0"/>
        <w:autoSpaceDE w:val="0"/>
        <w:autoSpaceDN w:val="0"/>
        <w:adjustRightInd w:val="0"/>
        <w:ind w:left="851"/>
        <w:rPr>
          <w:bCs/>
          <w:sz w:val="24"/>
          <w:szCs w:val="24"/>
          <w:u w:val="single"/>
        </w:rPr>
      </w:pPr>
      <w:r w:rsidRPr="00ED66E9">
        <w:rPr>
          <w:bCs/>
          <w:sz w:val="24"/>
          <w:szCs w:val="24"/>
          <w:u w:val="single"/>
        </w:rPr>
        <w:t>Elimination</w:t>
      </w:r>
    </w:p>
    <w:p w:rsidR="00651052" w:rsidRPr="00ED66E9" w:rsidRDefault="00651052" w:rsidP="00651052">
      <w:pPr>
        <w:widowControl w:val="0"/>
        <w:autoSpaceDE w:val="0"/>
        <w:autoSpaceDN w:val="0"/>
        <w:adjustRightInd w:val="0"/>
        <w:spacing w:line="3" w:lineRule="exact"/>
        <w:ind w:left="851" w:hanging="851"/>
        <w:rPr>
          <w:sz w:val="24"/>
          <w:szCs w:val="24"/>
        </w:rPr>
      </w:pPr>
    </w:p>
    <w:p w:rsidR="00651052" w:rsidRPr="00ED66E9" w:rsidRDefault="00651052" w:rsidP="00651052">
      <w:pPr>
        <w:widowControl w:val="0"/>
        <w:overflowPunct w:val="0"/>
        <w:autoSpaceDE w:val="0"/>
        <w:autoSpaceDN w:val="0"/>
        <w:adjustRightInd w:val="0"/>
        <w:spacing w:line="244" w:lineRule="auto"/>
        <w:ind w:left="851"/>
        <w:rPr>
          <w:sz w:val="24"/>
          <w:szCs w:val="24"/>
        </w:rPr>
      </w:pPr>
      <w:proofErr w:type="spellStart"/>
      <w:r w:rsidRPr="00ED66E9">
        <w:rPr>
          <w:sz w:val="24"/>
          <w:szCs w:val="24"/>
        </w:rPr>
        <w:t>Dexamethason</w:t>
      </w:r>
      <w:proofErr w:type="spellEnd"/>
      <w:r w:rsidRPr="00ED66E9">
        <w:rPr>
          <w:sz w:val="24"/>
          <w:szCs w:val="24"/>
        </w:rPr>
        <w:t xml:space="preserve"> udskilles hovedsageligt af nyrerne i form af </w:t>
      </w:r>
      <w:proofErr w:type="gramStart"/>
      <w:r w:rsidRPr="00ED66E9">
        <w:rPr>
          <w:sz w:val="24"/>
          <w:szCs w:val="24"/>
        </w:rPr>
        <w:t>frit alkohol</w:t>
      </w:r>
      <w:proofErr w:type="gramEnd"/>
      <w:r w:rsidRPr="00ED66E9">
        <w:rPr>
          <w:sz w:val="24"/>
          <w:szCs w:val="24"/>
        </w:rPr>
        <w:t xml:space="preserve"> fra </w:t>
      </w:r>
      <w:proofErr w:type="spellStart"/>
      <w:r w:rsidRPr="00ED66E9">
        <w:rPr>
          <w:sz w:val="24"/>
          <w:szCs w:val="24"/>
        </w:rPr>
        <w:t>dexamethason</w:t>
      </w:r>
      <w:proofErr w:type="spellEnd"/>
      <w:r w:rsidRPr="00ED66E9">
        <w:rPr>
          <w:sz w:val="24"/>
          <w:szCs w:val="24"/>
        </w:rPr>
        <w:t xml:space="preserve">. Efter konjugation med </w:t>
      </w:r>
      <w:proofErr w:type="spellStart"/>
      <w:r w:rsidRPr="00ED66E9">
        <w:rPr>
          <w:sz w:val="24"/>
          <w:szCs w:val="24"/>
        </w:rPr>
        <w:t>glukuronsyre</w:t>
      </w:r>
      <w:proofErr w:type="spellEnd"/>
      <w:r w:rsidRPr="00ED66E9">
        <w:rPr>
          <w:sz w:val="24"/>
          <w:szCs w:val="24"/>
        </w:rPr>
        <w:t xml:space="preserve"> eller svovlsyre i leveren udskilles metabolitterne hovedsageligt af nyrerne som </w:t>
      </w:r>
      <w:proofErr w:type="spellStart"/>
      <w:r w:rsidRPr="00ED66E9">
        <w:rPr>
          <w:sz w:val="24"/>
          <w:szCs w:val="24"/>
        </w:rPr>
        <w:t>glukuronater</w:t>
      </w:r>
      <w:proofErr w:type="spellEnd"/>
      <w:r w:rsidRPr="00ED66E9">
        <w:rPr>
          <w:sz w:val="24"/>
          <w:szCs w:val="24"/>
        </w:rPr>
        <w:t xml:space="preserve"> eller sulfater. </w:t>
      </w:r>
      <w:proofErr w:type="spellStart"/>
      <w:r w:rsidRPr="00ED66E9">
        <w:rPr>
          <w:sz w:val="24"/>
          <w:szCs w:val="24"/>
        </w:rPr>
        <w:t>Dexamethasons</w:t>
      </w:r>
      <w:proofErr w:type="spellEnd"/>
      <w:r w:rsidRPr="00ED66E9">
        <w:rPr>
          <w:sz w:val="24"/>
          <w:szCs w:val="24"/>
        </w:rPr>
        <w:t xml:space="preserve"> eliminations</w:t>
      </w:r>
      <w:r w:rsidRPr="00ED66E9">
        <w:rPr>
          <w:sz w:val="24"/>
          <w:szCs w:val="24"/>
        </w:rPr>
        <w:softHyphen/>
        <w:t xml:space="preserve">halveringstid i serum hos voksne er ca. 4 timer. Da eliminationshalveringstiden er over 36 timer, kan daglig administration af </w:t>
      </w:r>
      <w:proofErr w:type="spellStart"/>
      <w:r w:rsidRPr="00ED66E9">
        <w:rPr>
          <w:sz w:val="24"/>
          <w:szCs w:val="24"/>
        </w:rPr>
        <w:t>dexamethason</w:t>
      </w:r>
      <w:proofErr w:type="spellEnd"/>
      <w:r w:rsidRPr="00ED66E9">
        <w:rPr>
          <w:sz w:val="24"/>
          <w:szCs w:val="24"/>
        </w:rPr>
        <w:t xml:space="preserve"> forårsage akkumulering og overdosering.</w:t>
      </w:r>
    </w:p>
    <w:p w:rsidR="00651052" w:rsidRDefault="00651052" w:rsidP="00651052">
      <w:pPr>
        <w:widowControl w:val="0"/>
        <w:autoSpaceDE w:val="0"/>
        <w:autoSpaceDN w:val="0"/>
        <w:adjustRightInd w:val="0"/>
        <w:spacing w:line="218" w:lineRule="exact"/>
        <w:ind w:left="851" w:hanging="851"/>
        <w:rPr>
          <w:sz w:val="24"/>
          <w:szCs w:val="24"/>
        </w:rPr>
      </w:pPr>
    </w:p>
    <w:p w:rsidR="00803A32" w:rsidRDefault="00803A32" w:rsidP="00651052">
      <w:pPr>
        <w:widowControl w:val="0"/>
        <w:autoSpaceDE w:val="0"/>
        <w:autoSpaceDN w:val="0"/>
        <w:adjustRightInd w:val="0"/>
        <w:spacing w:line="218" w:lineRule="exact"/>
        <w:ind w:left="851" w:hanging="851"/>
        <w:rPr>
          <w:sz w:val="24"/>
          <w:szCs w:val="24"/>
        </w:rPr>
      </w:pPr>
    </w:p>
    <w:p w:rsidR="00803A32" w:rsidRDefault="00803A32" w:rsidP="00651052">
      <w:pPr>
        <w:widowControl w:val="0"/>
        <w:autoSpaceDE w:val="0"/>
        <w:autoSpaceDN w:val="0"/>
        <w:adjustRightInd w:val="0"/>
        <w:spacing w:line="218" w:lineRule="exact"/>
        <w:ind w:left="851" w:hanging="851"/>
        <w:rPr>
          <w:sz w:val="24"/>
          <w:szCs w:val="24"/>
        </w:rPr>
      </w:pPr>
    </w:p>
    <w:p w:rsidR="00803A32" w:rsidRDefault="00803A32" w:rsidP="00651052">
      <w:pPr>
        <w:widowControl w:val="0"/>
        <w:autoSpaceDE w:val="0"/>
        <w:autoSpaceDN w:val="0"/>
        <w:adjustRightInd w:val="0"/>
        <w:spacing w:line="218" w:lineRule="exact"/>
        <w:ind w:left="851" w:hanging="851"/>
        <w:rPr>
          <w:sz w:val="24"/>
          <w:szCs w:val="24"/>
        </w:rPr>
      </w:pPr>
    </w:p>
    <w:p w:rsidR="00803A32" w:rsidRPr="00ED66E9" w:rsidRDefault="00803A32" w:rsidP="00651052">
      <w:pPr>
        <w:widowControl w:val="0"/>
        <w:autoSpaceDE w:val="0"/>
        <w:autoSpaceDN w:val="0"/>
        <w:adjustRightInd w:val="0"/>
        <w:spacing w:line="218" w:lineRule="exact"/>
        <w:ind w:left="851" w:hanging="851"/>
        <w:rPr>
          <w:sz w:val="24"/>
          <w:szCs w:val="24"/>
        </w:rPr>
      </w:pPr>
    </w:p>
    <w:p w:rsidR="00651052" w:rsidRPr="00ED66E9" w:rsidRDefault="00651052" w:rsidP="00651052">
      <w:pPr>
        <w:widowControl w:val="0"/>
        <w:autoSpaceDE w:val="0"/>
        <w:autoSpaceDN w:val="0"/>
        <w:adjustRightInd w:val="0"/>
        <w:ind w:left="851"/>
        <w:rPr>
          <w:bCs/>
          <w:sz w:val="24"/>
          <w:szCs w:val="24"/>
          <w:u w:val="single"/>
        </w:rPr>
      </w:pPr>
      <w:r w:rsidRPr="00ED66E9">
        <w:rPr>
          <w:bCs/>
          <w:sz w:val="24"/>
          <w:szCs w:val="24"/>
          <w:u w:val="single"/>
        </w:rPr>
        <w:t>Farmakokinetik hos særlige patientgrupper</w:t>
      </w:r>
    </w:p>
    <w:p w:rsidR="00651052" w:rsidRPr="00ED66E9" w:rsidRDefault="00651052" w:rsidP="00651052">
      <w:pPr>
        <w:widowControl w:val="0"/>
        <w:autoSpaceDE w:val="0"/>
        <w:autoSpaceDN w:val="0"/>
        <w:adjustRightInd w:val="0"/>
        <w:ind w:left="851" w:hanging="851"/>
        <w:rPr>
          <w:sz w:val="24"/>
          <w:szCs w:val="24"/>
        </w:rPr>
      </w:pPr>
    </w:p>
    <w:p w:rsidR="00651052" w:rsidRPr="00ED66E9" w:rsidRDefault="00651052" w:rsidP="00651052">
      <w:pPr>
        <w:widowControl w:val="0"/>
        <w:autoSpaceDE w:val="0"/>
        <w:autoSpaceDN w:val="0"/>
        <w:adjustRightInd w:val="0"/>
        <w:ind w:left="851"/>
        <w:rPr>
          <w:i/>
          <w:sz w:val="24"/>
          <w:szCs w:val="24"/>
        </w:rPr>
      </w:pPr>
      <w:r w:rsidRPr="00ED66E9">
        <w:rPr>
          <w:i/>
          <w:sz w:val="24"/>
          <w:szCs w:val="24"/>
        </w:rPr>
        <w:t>Nedsat nyrefunktion</w:t>
      </w:r>
    </w:p>
    <w:p w:rsidR="00651052" w:rsidRPr="00ED66E9" w:rsidRDefault="00651052" w:rsidP="00651052">
      <w:pPr>
        <w:widowControl w:val="0"/>
        <w:autoSpaceDE w:val="0"/>
        <w:autoSpaceDN w:val="0"/>
        <w:adjustRightInd w:val="0"/>
        <w:ind w:left="851"/>
        <w:rPr>
          <w:sz w:val="24"/>
          <w:szCs w:val="24"/>
        </w:rPr>
      </w:pPr>
      <w:r w:rsidRPr="00ED66E9">
        <w:rPr>
          <w:sz w:val="24"/>
          <w:szCs w:val="24"/>
        </w:rPr>
        <w:t xml:space="preserve">Nedsat nyrefunktion påvirker ikke udskillelsen af </w:t>
      </w:r>
      <w:proofErr w:type="spellStart"/>
      <w:r w:rsidRPr="00ED66E9">
        <w:rPr>
          <w:sz w:val="24"/>
          <w:szCs w:val="24"/>
        </w:rPr>
        <w:t>dexamethason</w:t>
      </w:r>
      <w:proofErr w:type="spellEnd"/>
      <w:r w:rsidRPr="00ED66E9">
        <w:rPr>
          <w:sz w:val="24"/>
          <w:szCs w:val="24"/>
        </w:rPr>
        <w:t xml:space="preserve"> i betydelig grad.</w:t>
      </w:r>
    </w:p>
    <w:p w:rsidR="00651052" w:rsidRPr="00ED66E9" w:rsidRDefault="00651052" w:rsidP="00651052">
      <w:pPr>
        <w:widowControl w:val="0"/>
        <w:autoSpaceDE w:val="0"/>
        <w:autoSpaceDN w:val="0"/>
        <w:adjustRightInd w:val="0"/>
        <w:ind w:left="851" w:hanging="851"/>
        <w:rPr>
          <w:sz w:val="24"/>
          <w:szCs w:val="24"/>
        </w:rPr>
      </w:pPr>
    </w:p>
    <w:p w:rsidR="00651052" w:rsidRPr="00ED66E9" w:rsidRDefault="00651052" w:rsidP="00651052">
      <w:pPr>
        <w:widowControl w:val="0"/>
        <w:autoSpaceDE w:val="0"/>
        <w:autoSpaceDN w:val="0"/>
        <w:adjustRightInd w:val="0"/>
        <w:ind w:left="851"/>
        <w:rPr>
          <w:i/>
          <w:sz w:val="24"/>
          <w:szCs w:val="24"/>
        </w:rPr>
      </w:pPr>
      <w:r w:rsidRPr="00ED66E9">
        <w:rPr>
          <w:i/>
          <w:sz w:val="24"/>
          <w:szCs w:val="24"/>
        </w:rPr>
        <w:t>Nedsat leverfunktion</w:t>
      </w:r>
    </w:p>
    <w:p w:rsidR="00651052" w:rsidRPr="00ED66E9" w:rsidRDefault="00651052" w:rsidP="00651052">
      <w:pPr>
        <w:widowControl w:val="0"/>
        <w:overflowPunct w:val="0"/>
        <w:autoSpaceDE w:val="0"/>
        <w:autoSpaceDN w:val="0"/>
        <w:adjustRightInd w:val="0"/>
        <w:ind w:left="851"/>
        <w:rPr>
          <w:sz w:val="24"/>
          <w:szCs w:val="24"/>
        </w:rPr>
      </w:pPr>
      <w:r w:rsidRPr="00ED66E9">
        <w:rPr>
          <w:sz w:val="24"/>
          <w:szCs w:val="24"/>
        </w:rPr>
        <w:t xml:space="preserve">Ved svært nedsat leverfunktion, f.eks. ved hepatitis eller </w:t>
      </w:r>
      <w:proofErr w:type="spellStart"/>
      <w:r w:rsidRPr="00ED66E9">
        <w:rPr>
          <w:sz w:val="24"/>
          <w:szCs w:val="24"/>
        </w:rPr>
        <w:t>levercirrhose</w:t>
      </w:r>
      <w:proofErr w:type="spellEnd"/>
      <w:r w:rsidRPr="00ED66E9">
        <w:rPr>
          <w:sz w:val="24"/>
          <w:szCs w:val="24"/>
        </w:rPr>
        <w:t xml:space="preserve">, er </w:t>
      </w:r>
      <w:proofErr w:type="spellStart"/>
      <w:r w:rsidRPr="00ED66E9">
        <w:rPr>
          <w:sz w:val="24"/>
          <w:szCs w:val="24"/>
        </w:rPr>
        <w:t>glukokortikoiders</w:t>
      </w:r>
      <w:proofErr w:type="spellEnd"/>
      <w:r w:rsidRPr="00ED66E9">
        <w:rPr>
          <w:sz w:val="24"/>
          <w:szCs w:val="24"/>
        </w:rPr>
        <w:t xml:space="preserve"> eliminationshalveringstid forøget. I tilfælde af hypoalbuminæmi stiger andelen af ikke-proteinbundet (aktivt) </w:t>
      </w:r>
      <w:proofErr w:type="spellStart"/>
      <w:r w:rsidRPr="00ED66E9">
        <w:rPr>
          <w:sz w:val="24"/>
          <w:szCs w:val="24"/>
        </w:rPr>
        <w:t>kortikosteroid</w:t>
      </w:r>
      <w:proofErr w:type="spellEnd"/>
      <w:r w:rsidR="00E31035">
        <w:rPr>
          <w:sz w:val="24"/>
          <w:szCs w:val="24"/>
        </w:rPr>
        <w:t>.</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5.3</w:t>
      </w:r>
      <w:r w:rsidRPr="00ED66E9">
        <w:rPr>
          <w:b/>
          <w:sz w:val="24"/>
          <w:szCs w:val="24"/>
        </w:rPr>
        <w:tab/>
      </w:r>
      <w:r w:rsidR="00803A32">
        <w:rPr>
          <w:b/>
          <w:sz w:val="24"/>
          <w:szCs w:val="24"/>
        </w:rPr>
        <w:t>Non-</w:t>
      </w:r>
      <w:r w:rsidRPr="00ED66E9">
        <w:rPr>
          <w:b/>
          <w:sz w:val="24"/>
          <w:szCs w:val="24"/>
        </w:rPr>
        <w:t>kliniske sikkerhedsdata</w:t>
      </w:r>
    </w:p>
    <w:p w:rsidR="00651052" w:rsidRPr="00ED66E9" w:rsidRDefault="00651052" w:rsidP="00651052">
      <w:pPr>
        <w:pStyle w:val="Brdtekst"/>
        <w:ind w:left="851"/>
        <w:rPr>
          <w:szCs w:val="24"/>
        </w:rPr>
      </w:pPr>
      <w:r w:rsidRPr="00ED66E9">
        <w:rPr>
          <w:szCs w:val="24"/>
        </w:rPr>
        <w:t>I dyreforsøg blev ganespalte observeret i rotter, mus, hamstere, kaniner, hunde og primater; ikke i heste og får. I nogle tilfælde blev disse afvigelser set i kombination med defekter i centralnervesystemet og hjertet. I primater blev hjernepåvirkning observeret efter eksponering. Desuden kan intrauterin vækst blive forsinket. Den kliniske relevans af disse fund kendes ikke, og hos gravide kvinder bør benefit-</w:t>
      </w:r>
      <w:proofErr w:type="spellStart"/>
      <w:r w:rsidRPr="00ED66E9">
        <w:rPr>
          <w:szCs w:val="24"/>
        </w:rPr>
        <w:t>risk</w:t>
      </w:r>
      <w:proofErr w:type="spellEnd"/>
      <w:r w:rsidRPr="00ED66E9">
        <w:rPr>
          <w:szCs w:val="24"/>
        </w:rPr>
        <w:t xml:space="preserve"> ratioen vurderes eftersom den terapeutiske fordel ved dette lægemiddel i nogle tilfælde kan være større end den potentielle </w:t>
      </w:r>
      <w:proofErr w:type="spellStart"/>
      <w:r w:rsidRPr="00ED66E9">
        <w:rPr>
          <w:szCs w:val="24"/>
        </w:rPr>
        <w:t>teratogene</w:t>
      </w:r>
      <w:proofErr w:type="spellEnd"/>
      <w:r w:rsidRPr="00ED66E9">
        <w:rPr>
          <w:szCs w:val="24"/>
        </w:rPr>
        <w:t xml:space="preserve"> risiko.  </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6.</w:t>
      </w:r>
      <w:r w:rsidRPr="00ED66E9">
        <w:rPr>
          <w:b/>
          <w:sz w:val="24"/>
          <w:szCs w:val="24"/>
        </w:rPr>
        <w:tab/>
        <w:t>FARMACEUTISKE OPLYSNINGER</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6.1</w:t>
      </w:r>
      <w:r w:rsidRPr="00ED66E9">
        <w:rPr>
          <w:b/>
          <w:sz w:val="24"/>
          <w:szCs w:val="24"/>
        </w:rPr>
        <w:tab/>
        <w:t>Hjælpestoffer</w:t>
      </w:r>
    </w:p>
    <w:p w:rsidR="00651052" w:rsidRPr="00ED66E9" w:rsidRDefault="00651052" w:rsidP="00651052">
      <w:pPr>
        <w:pStyle w:val="Brdtekst"/>
        <w:ind w:left="851"/>
        <w:rPr>
          <w:szCs w:val="24"/>
        </w:rPr>
      </w:pPr>
      <w:proofErr w:type="spellStart"/>
      <w:r w:rsidRPr="00ED66E9">
        <w:rPr>
          <w:szCs w:val="24"/>
        </w:rPr>
        <w:t>Dinatriumedetat</w:t>
      </w:r>
      <w:proofErr w:type="spellEnd"/>
    </w:p>
    <w:p w:rsidR="00651052" w:rsidRPr="00ED66E9" w:rsidRDefault="00651052" w:rsidP="00651052">
      <w:pPr>
        <w:pStyle w:val="Brdtekst"/>
        <w:ind w:left="851"/>
        <w:rPr>
          <w:szCs w:val="24"/>
        </w:rPr>
      </w:pPr>
      <w:r w:rsidRPr="00ED66E9">
        <w:rPr>
          <w:szCs w:val="24"/>
        </w:rPr>
        <w:t>Natriumcitrat (E 331)</w:t>
      </w:r>
    </w:p>
    <w:p w:rsidR="00651052" w:rsidRPr="00ED66E9" w:rsidRDefault="00651052" w:rsidP="00651052">
      <w:pPr>
        <w:pStyle w:val="Brdtekst"/>
        <w:ind w:left="851"/>
        <w:rPr>
          <w:szCs w:val="24"/>
        </w:rPr>
      </w:pPr>
      <w:r w:rsidRPr="00ED66E9">
        <w:rPr>
          <w:szCs w:val="24"/>
        </w:rPr>
        <w:t>Natriumhydroxid (E 524) (til justering af pH)</w:t>
      </w:r>
    </w:p>
    <w:p w:rsidR="00651052" w:rsidRPr="00ED66E9" w:rsidRDefault="00651052" w:rsidP="00651052">
      <w:pPr>
        <w:tabs>
          <w:tab w:val="left" w:pos="1134"/>
          <w:tab w:val="left" w:pos="4251"/>
        </w:tabs>
        <w:ind w:left="851"/>
        <w:jc w:val="both"/>
        <w:rPr>
          <w:rFonts w:eastAsiaTheme="minorHAnsi"/>
          <w:sz w:val="24"/>
          <w:szCs w:val="24"/>
        </w:rPr>
      </w:pPr>
      <w:r w:rsidRPr="00ED66E9">
        <w:rPr>
          <w:rFonts w:eastAsiaTheme="minorHAnsi"/>
          <w:sz w:val="24"/>
          <w:szCs w:val="24"/>
        </w:rPr>
        <w:t>Vand til injektionsvæsker</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6.2</w:t>
      </w:r>
      <w:r w:rsidRPr="00ED66E9">
        <w:rPr>
          <w:b/>
          <w:sz w:val="24"/>
          <w:szCs w:val="24"/>
        </w:rPr>
        <w:tab/>
        <w:t>Uforligeligheder</w:t>
      </w:r>
    </w:p>
    <w:p w:rsidR="00651052" w:rsidRPr="00ED66E9" w:rsidRDefault="00651052" w:rsidP="00651052">
      <w:pPr>
        <w:ind w:left="851"/>
        <w:rPr>
          <w:sz w:val="24"/>
          <w:szCs w:val="24"/>
        </w:rPr>
      </w:pPr>
      <w:r w:rsidRPr="00ED66E9">
        <w:rPr>
          <w:sz w:val="24"/>
          <w:szCs w:val="24"/>
        </w:rPr>
        <w:t xml:space="preserve">Forskellige typer af uforligeligheder er blevet beskrevet for </w:t>
      </w:r>
      <w:proofErr w:type="spellStart"/>
      <w:r w:rsidRPr="00ED66E9">
        <w:rPr>
          <w:sz w:val="24"/>
          <w:szCs w:val="24"/>
        </w:rPr>
        <w:t>dexamethason</w:t>
      </w:r>
      <w:proofErr w:type="spellEnd"/>
      <w:r w:rsidRPr="00ED66E9">
        <w:rPr>
          <w:sz w:val="24"/>
          <w:szCs w:val="24"/>
        </w:rPr>
        <w:t xml:space="preserve"> og følgende lægemidler. </w:t>
      </w:r>
      <w:proofErr w:type="spellStart"/>
      <w:r w:rsidRPr="00ED66E9">
        <w:rPr>
          <w:sz w:val="24"/>
          <w:szCs w:val="24"/>
        </w:rPr>
        <w:t>Dexavit</w:t>
      </w:r>
      <w:proofErr w:type="spellEnd"/>
      <w:r w:rsidRPr="00ED66E9">
        <w:rPr>
          <w:sz w:val="24"/>
          <w:szCs w:val="24"/>
        </w:rPr>
        <w:t xml:space="preserve"> bør derfor ikke blandes med opløsninger, der indeholder disse stoffer:</w:t>
      </w:r>
    </w:p>
    <w:p w:rsidR="00651052" w:rsidRPr="00ED66E9" w:rsidRDefault="00651052" w:rsidP="00651052">
      <w:pPr>
        <w:ind w:left="851"/>
        <w:rPr>
          <w:sz w:val="24"/>
          <w:szCs w:val="24"/>
          <w:lang w:val="sv-SE"/>
        </w:rPr>
      </w:pPr>
      <w:proofErr w:type="spellStart"/>
      <w:r w:rsidRPr="00ED66E9">
        <w:rPr>
          <w:sz w:val="24"/>
          <w:szCs w:val="24"/>
          <w:lang w:val="sv-SE"/>
        </w:rPr>
        <w:t>Amikacin</w:t>
      </w:r>
      <w:proofErr w:type="spellEnd"/>
    </w:p>
    <w:p w:rsidR="00651052" w:rsidRPr="00ED66E9" w:rsidRDefault="00651052" w:rsidP="00651052">
      <w:pPr>
        <w:ind w:left="851"/>
        <w:rPr>
          <w:sz w:val="24"/>
          <w:szCs w:val="24"/>
          <w:lang w:val="sv-SE"/>
        </w:rPr>
      </w:pPr>
      <w:proofErr w:type="spellStart"/>
      <w:r w:rsidRPr="00ED66E9">
        <w:rPr>
          <w:sz w:val="24"/>
          <w:szCs w:val="24"/>
          <w:lang w:val="sv-SE"/>
        </w:rPr>
        <w:t>Klorpromazin</w:t>
      </w:r>
      <w:proofErr w:type="spellEnd"/>
    </w:p>
    <w:p w:rsidR="00651052" w:rsidRPr="00ED66E9" w:rsidRDefault="00651052" w:rsidP="00651052">
      <w:pPr>
        <w:ind w:left="851"/>
        <w:rPr>
          <w:sz w:val="24"/>
          <w:szCs w:val="24"/>
          <w:lang w:val="sv-SE"/>
        </w:rPr>
      </w:pPr>
      <w:proofErr w:type="spellStart"/>
      <w:r w:rsidRPr="00ED66E9">
        <w:rPr>
          <w:sz w:val="24"/>
          <w:szCs w:val="24"/>
          <w:lang w:val="sv-SE"/>
        </w:rPr>
        <w:t>Daunorubicin</w:t>
      </w:r>
      <w:proofErr w:type="spellEnd"/>
    </w:p>
    <w:p w:rsidR="00651052" w:rsidRPr="00ED66E9" w:rsidRDefault="00651052" w:rsidP="00651052">
      <w:pPr>
        <w:ind w:left="851"/>
        <w:rPr>
          <w:sz w:val="24"/>
          <w:szCs w:val="24"/>
          <w:lang w:val="sv-SE"/>
        </w:rPr>
      </w:pPr>
      <w:proofErr w:type="spellStart"/>
      <w:r w:rsidRPr="00ED66E9">
        <w:rPr>
          <w:sz w:val="24"/>
          <w:szCs w:val="24"/>
          <w:lang w:val="sv-SE"/>
        </w:rPr>
        <w:t>Diphenhydramin</w:t>
      </w:r>
      <w:proofErr w:type="spellEnd"/>
    </w:p>
    <w:p w:rsidR="00651052" w:rsidRPr="00ED66E9" w:rsidRDefault="00651052" w:rsidP="00651052">
      <w:pPr>
        <w:ind w:left="851"/>
        <w:rPr>
          <w:sz w:val="24"/>
          <w:szCs w:val="24"/>
          <w:lang w:val="sv-SE"/>
        </w:rPr>
      </w:pPr>
      <w:proofErr w:type="spellStart"/>
      <w:r w:rsidRPr="00ED66E9">
        <w:rPr>
          <w:sz w:val="24"/>
          <w:szCs w:val="24"/>
          <w:lang w:val="sv-SE"/>
        </w:rPr>
        <w:t>Doxapram</w:t>
      </w:r>
      <w:proofErr w:type="spellEnd"/>
    </w:p>
    <w:p w:rsidR="00651052" w:rsidRPr="00ED66E9" w:rsidRDefault="00651052" w:rsidP="00651052">
      <w:pPr>
        <w:ind w:left="851"/>
        <w:rPr>
          <w:sz w:val="24"/>
          <w:szCs w:val="24"/>
          <w:lang w:val="sv-SE"/>
        </w:rPr>
      </w:pPr>
      <w:proofErr w:type="spellStart"/>
      <w:r w:rsidRPr="00ED66E9">
        <w:rPr>
          <w:sz w:val="24"/>
          <w:szCs w:val="24"/>
          <w:lang w:val="sv-SE"/>
        </w:rPr>
        <w:t>Doxorubicin</w:t>
      </w:r>
      <w:proofErr w:type="spellEnd"/>
    </w:p>
    <w:p w:rsidR="00651052" w:rsidRPr="00ED66E9" w:rsidRDefault="00651052" w:rsidP="00651052">
      <w:pPr>
        <w:ind w:left="851"/>
        <w:rPr>
          <w:sz w:val="24"/>
          <w:szCs w:val="24"/>
          <w:lang w:val="sv-SE"/>
        </w:rPr>
      </w:pPr>
      <w:r w:rsidRPr="00ED66E9">
        <w:rPr>
          <w:sz w:val="24"/>
          <w:szCs w:val="24"/>
          <w:lang w:val="sv-SE"/>
        </w:rPr>
        <w:t>Galliumnitrat</w:t>
      </w:r>
    </w:p>
    <w:p w:rsidR="00651052" w:rsidRPr="00ED66E9" w:rsidRDefault="00651052" w:rsidP="00651052">
      <w:pPr>
        <w:ind w:left="851"/>
        <w:rPr>
          <w:sz w:val="24"/>
          <w:szCs w:val="24"/>
          <w:lang w:val="sv-SE"/>
        </w:rPr>
      </w:pPr>
      <w:proofErr w:type="spellStart"/>
      <w:r w:rsidRPr="00ED66E9">
        <w:rPr>
          <w:sz w:val="24"/>
          <w:szCs w:val="24"/>
          <w:lang w:val="sv-SE"/>
        </w:rPr>
        <w:t>Glycopyrroniumbromid</w:t>
      </w:r>
      <w:proofErr w:type="spellEnd"/>
    </w:p>
    <w:p w:rsidR="00651052" w:rsidRPr="00ED66E9" w:rsidRDefault="00651052" w:rsidP="00651052">
      <w:pPr>
        <w:ind w:left="851"/>
        <w:rPr>
          <w:sz w:val="24"/>
          <w:szCs w:val="24"/>
          <w:lang w:val="sv-SE"/>
        </w:rPr>
      </w:pPr>
      <w:proofErr w:type="spellStart"/>
      <w:r w:rsidRPr="00ED66E9">
        <w:rPr>
          <w:sz w:val="24"/>
          <w:szCs w:val="24"/>
          <w:lang w:val="sv-SE"/>
        </w:rPr>
        <w:t>Hydromorphon</w:t>
      </w:r>
      <w:proofErr w:type="spellEnd"/>
    </w:p>
    <w:p w:rsidR="00651052" w:rsidRPr="00ED66E9" w:rsidRDefault="00651052" w:rsidP="00651052">
      <w:pPr>
        <w:ind w:left="851"/>
        <w:rPr>
          <w:sz w:val="24"/>
          <w:szCs w:val="24"/>
          <w:lang w:val="sv-SE"/>
        </w:rPr>
      </w:pPr>
      <w:proofErr w:type="spellStart"/>
      <w:r w:rsidRPr="00ED66E9">
        <w:rPr>
          <w:sz w:val="24"/>
          <w:szCs w:val="24"/>
          <w:lang w:val="sv-SE"/>
        </w:rPr>
        <w:t>Idarubicin</w:t>
      </w:r>
      <w:proofErr w:type="spellEnd"/>
    </w:p>
    <w:p w:rsidR="00651052" w:rsidRPr="00ED66E9" w:rsidRDefault="00651052" w:rsidP="00651052">
      <w:pPr>
        <w:ind w:left="851"/>
        <w:rPr>
          <w:sz w:val="24"/>
          <w:szCs w:val="24"/>
          <w:lang w:val="sv-SE"/>
        </w:rPr>
      </w:pPr>
      <w:proofErr w:type="spellStart"/>
      <w:r w:rsidRPr="00ED66E9">
        <w:rPr>
          <w:sz w:val="24"/>
          <w:szCs w:val="24"/>
          <w:lang w:val="sv-SE"/>
        </w:rPr>
        <w:t>Lorazepam</w:t>
      </w:r>
      <w:proofErr w:type="spellEnd"/>
    </w:p>
    <w:p w:rsidR="00651052" w:rsidRPr="00ED66E9" w:rsidRDefault="00651052" w:rsidP="00651052">
      <w:pPr>
        <w:ind w:left="851"/>
        <w:rPr>
          <w:sz w:val="24"/>
          <w:szCs w:val="24"/>
          <w:lang w:val="sv-SE"/>
        </w:rPr>
      </w:pPr>
      <w:proofErr w:type="spellStart"/>
      <w:r w:rsidRPr="00ED66E9">
        <w:rPr>
          <w:sz w:val="24"/>
          <w:szCs w:val="24"/>
          <w:lang w:val="sv-SE"/>
        </w:rPr>
        <w:t>Metaraminol</w:t>
      </w:r>
      <w:proofErr w:type="spellEnd"/>
    </w:p>
    <w:p w:rsidR="00651052" w:rsidRPr="00ED66E9" w:rsidRDefault="00651052" w:rsidP="00651052">
      <w:pPr>
        <w:ind w:left="851"/>
        <w:rPr>
          <w:sz w:val="24"/>
          <w:szCs w:val="24"/>
        </w:rPr>
      </w:pPr>
      <w:proofErr w:type="spellStart"/>
      <w:r w:rsidRPr="00ED66E9">
        <w:rPr>
          <w:sz w:val="24"/>
          <w:szCs w:val="24"/>
        </w:rPr>
        <w:t>Ondansetron</w:t>
      </w:r>
      <w:proofErr w:type="spellEnd"/>
    </w:p>
    <w:p w:rsidR="00651052" w:rsidRPr="00ED66E9" w:rsidRDefault="00651052" w:rsidP="00651052">
      <w:pPr>
        <w:ind w:left="851"/>
        <w:rPr>
          <w:sz w:val="24"/>
          <w:szCs w:val="24"/>
        </w:rPr>
      </w:pPr>
      <w:proofErr w:type="spellStart"/>
      <w:r w:rsidRPr="00ED66E9">
        <w:rPr>
          <w:sz w:val="24"/>
          <w:szCs w:val="24"/>
        </w:rPr>
        <w:t>Prochlorperazin</w:t>
      </w:r>
      <w:proofErr w:type="spellEnd"/>
    </w:p>
    <w:p w:rsidR="00651052" w:rsidRPr="00ED66E9" w:rsidRDefault="00651052" w:rsidP="00651052">
      <w:pPr>
        <w:ind w:left="851"/>
        <w:rPr>
          <w:sz w:val="24"/>
          <w:szCs w:val="24"/>
        </w:rPr>
      </w:pPr>
      <w:proofErr w:type="spellStart"/>
      <w:r w:rsidRPr="00ED66E9">
        <w:rPr>
          <w:sz w:val="24"/>
          <w:szCs w:val="24"/>
        </w:rPr>
        <w:t>Vancomycin</w:t>
      </w:r>
      <w:proofErr w:type="spellEnd"/>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6.3</w:t>
      </w:r>
      <w:r w:rsidRPr="00ED66E9">
        <w:rPr>
          <w:b/>
          <w:sz w:val="24"/>
          <w:szCs w:val="24"/>
        </w:rPr>
        <w:tab/>
        <w:t>Opbevaringstid</w:t>
      </w:r>
    </w:p>
    <w:p w:rsidR="00651052" w:rsidRPr="00ED66E9" w:rsidRDefault="00651052" w:rsidP="00651052">
      <w:pPr>
        <w:pStyle w:val="Brdtekst"/>
        <w:ind w:left="851"/>
        <w:rPr>
          <w:szCs w:val="24"/>
        </w:rPr>
      </w:pPr>
      <w:r w:rsidRPr="00ED66E9">
        <w:rPr>
          <w:szCs w:val="24"/>
        </w:rPr>
        <w:t>30 måneder.</w:t>
      </w:r>
    </w:p>
    <w:p w:rsidR="00651052" w:rsidRPr="00ED66E9" w:rsidRDefault="00651052" w:rsidP="00651052">
      <w:pPr>
        <w:pStyle w:val="Brdtekst"/>
        <w:ind w:left="851"/>
        <w:rPr>
          <w:szCs w:val="24"/>
        </w:rPr>
      </w:pPr>
    </w:p>
    <w:p w:rsidR="00651052" w:rsidRPr="00ED66E9" w:rsidRDefault="00651052" w:rsidP="00651052">
      <w:pPr>
        <w:ind w:left="851"/>
        <w:rPr>
          <w:rFonts w:eastAsia="Calibri"/>
          <w:sz w:val="24"/>
          <w:szCs w:val="24"/>
        </w:rPr>
      </w:pPr>
      <w:r w:rsidRPr="00ED66E9">
        <w:rPr>
          <w:rFonts w:eastAsia="Calibri"/>
          <w:iCs/>
          <w:sz w:val="24"/>
          <w:szCs w:val="24"/>
        </w:rPr>
        <w:t>Kemisk og fysisk stabilitet ved brug er påvist i 24 timer ved 25 °C for det fortyndede produkt i forskellige opløsninger, se pkt. 6.6.</w:t>
      </w:r>
    </w:p>
    <w:p w:rsidR="00651052" w:rsidRPr="00ED66E9" w:rsidRDefault="00651052" w:rsidP="00651052">
      <w:pPr>
        <w:ind w:left="851"/>
        <w:rPr>
          <w:rFonts w:eastAsia="Calibri"/>
          <w:sz w:val="24"/>
          <w:szCs w:val="24"/>
        </w:rPr>
      </w:pPr>
    </w:p>
    <w:p w:rsidR="00651052" w:rsidRPr="00ED66E9" w:rsidRDefault="00651052" w:rsidP="00651052">
      <w:pPr>
        <w:shd w:val="clear" w:color="auto" w:fill="FFFFFF"/>
        <w:ind w:left="851"/>
        <w:rPr>
          <w:rFonts w:eastAsia="Calibri"/>
          <w:iCs/>
          <w:sz w:val="24"/>
          <w:szCs w:val="24"/>
          <w:lang w:eastAsia="da-DK"/>
        </w:rPr>
      </w:pPr>
      <w:r w:rsidRPr="00ED66E9">
        <w:rPr>
          <w:rFonts w:eastAsia="Calibri"/>
          <w:iCs/>
          <w:sz w:val="24"/>
          <w:szCs w:val="24"/>
        </w:rPr>
        <w:t>Fra et mikrobiologisk synspunkt skal præparatet anvendes straks. Anvendelse af andre opbevaringstider og -betingelser er på brugerens eget ansvar med mindre fortynding er foretaget under kontrollerede og validerede aseptiske forhold.</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6.4</w:t>
      </w:r>
      <w:r w:rsidRPr="00ED66E9">
        <w:rPr>
          <w:b/>
          <w:sz w:val="24"/>
          <w:szCs w:val="24"/>
        </w:rPr>
        <w:tab/>
        <w:t>Særlige opbevaringsforhold</w:t>
      </w:r>
    </w:p>
    <w:p w:rsidR="00651052" w:rsidRPr="00ED66E9" w:rsidRDefault="00651052" w:rsidP="00651052">
      <w:pPr>
        <w:pStyle w:val="Brdtekst"/>
        <w:ind w:left="851"/>
        <w:rPr>
          <w:szCs w:val="24"/>
        </w:rPr>
      </w:pPr>
      <w:r w:rsidRPr="00ED66E9">
        <w:rPr>
          <w:noProof/>
          <w:szCs w:val="24"/>
        </w:rPr>
        <w:t xml:space="preserve">Opbevares </w:t>
      </w:r>
      <w:r w:rsidRPr="00ED66E9">
        <w:rPr>
          <w:szCs w:val="24"/>
        </w:rPr>
        <w:t xml:space="preserve">ved temperaturer </w:t>
      </w:r>
      <w:r w:rsidRPr="00ED66E9">
        <w:rPr>
          <w:noProof/>
          <w:szCs w:val="24"/>
        </w:rPr>
        <w:t xml:space="preserve">under 30 °C. </w:t>
      </w:r>
    </w:p>
    <w:p w:rsidR="00651052" w:rsidRPr="00ED66E9" w:rsidRDefault="00651052" w:rsidP="00651052">
      <w:pPr>
        <w:pStyle w:val="Brdtekst"/>
        <w:ind w:left="851"/>
        <w:rPr>
          <w:szCs w:val="24"/>
        </w:rPr>
      </w:pPr>
      <w:r w:rsidRPr="00ED66E9">
        <w:rPr>
          <w:szCs w:val="24"/>
        </w:rPr>
        <w:t>Opbevares i den originale yderpakning for at beskytte mod lys.</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6.5</w:t>
      </w:r>
      <w:r w:rsidRPr="00ED66E9">
        <w:rPr>
          <w:b/>
          <w:sz w:val="24"/>
          <w:szCs w:val="24"/>
        </w:rPr>
        <w:tab/>
        <w:t>Emballagetype og pakningsstørrelser</w:t>
      </w:r>
    </w:p>
    <w:p w:rsidR="00156B52" w:rsidRPr="00ED66E9" w:rsidRDefault="00156B52" w:rsidP="00156B52">
      <w:pPr>
        <w:ind w:left="851"/>
        <w:rPr>
          <w:sz w:val="24"/>
          <w:szCs w:val="24"/>
        </w:rPr>
      </w:pPr>
      <w:r w:rsidRPr="00ED66E9">
        <w:rPr>
          <w:sz w:val="24"/>
          <w:szCs w:val="24"/>
        </w:rPr>
        <w:t>Type I glas ampul.</w:t>
      </w:r>
    </w:p>
    <w:p w:rsidR="00156B52" w:rsidRPr="00ED66E9" w:rsidRDefault="00156B52" w:rsidP="00156B52">
      <w:pPr>
        <w:ind w:left="851"/>
        <w:rPr>
          <w:sz w:val="24"/>
          <w:szCs w:val="24"/>
        </w:rPr>
      </w:pPr>
    </w:p>
    <w:p w:rsidR="00156B52" w:rsidRPr="00ED66E9" w:rsidRDefault="00156B52" w:rsidP="00156B52">
      <w:pPr>
        <w:ind w:left="851"/>
        <w:rPr>
          <w:sz w:val="24"/>
          <w:szCs w:val="24"/>
        </w:rPr>
      </w:pPr>
      <w:r w:rsidRPr="00ED66E9">
        <w:rPr>
          <w:sz w:val="24"/>
          <w:szCs w:val="24"/>
        </w:rPr>
        <w:t>Pakningsstørrelser:</w:t>
      </w:r>
    </w:p>
    <w:p w:rsidR="00156B52" w:rsidRPr="00ED66E9" w:rsidRDefault="00156B52" w:rsidP="00156B52">
      <w:pPr>
        <w:ind w:left="851"/>
        <w:rPr>
          <w:sz w:val="24"/>
          <w:szCs w:val="24"/>
          <w:u w:val="single"/>
        </w:rPr>
      </w:pPr>
      <w:r w:rsidRPr="00ED66E9">
        <w:rPr>
          <w:sz w:val="24"/>
          <w:szCs w:val="24"/>
          <w:u w:val="single"/>
        </w:rPr>
        <w:t>1 ml ampul:</w:t>
      </w:r>
    </w:p>
    <w:p w:rsidR="00156B52" w:rsidRPr="00ED66E9" w:rsidRDefault="00156B52" w:rsidP="00156B52">
      <w:pPr>
        <w:ind w:left="851"/>
        <w:rPr>
          <w:sz w:val="24"/>
          <w:szCs w:val="24"/>
        </w:rPr>
      </w:pPr>
      <w:r w:rsidRPr="00ED66E9">
        <w:rPr>
          <w:sz w:val="24"/>
          <w:szCs w:val="24"/>
        </w:rPr>
        <w:t>3</w:t>
      </w:r>
      <w:r w:rsidR="00F07C73">
        <w:rPr>
          <w:sz w:val="24"/>
          <w:szCs w:val="24"/>
        </w:rPr>
        <w:t>×</w:t>
      </w:r>
      <w:r w:rsidRPr="00ED66E9">
        <w:rPr>
          <w:sz w:val="24"/>
          <w:szCs w:val="24"/>
        </w:rPr>
        <w:t>1 ml ampuller og 100</w:t>
      </w:r>
      <w:r w:rsidR="00F07C73">
        <w:rPr>
          <w:sz w:val="24"/>
          <w:szCs w:val="24"/>
        </w:rPr>
        <w:t>×</w:t>
      </w:r>
      <w:r w:rsidRPr="00ED66E9">
        <w:rPr>
          <w:sz w:val="24"/>
          <w:szCs w:val="24"/>
        </w:rPr>
        <w:t>1 ml ampuller</w:t>
      </w:r>
    </w:p>
    <w:p w:rsidR="00156B52" w:rsidRPr="00ED66E9" w:rsidRDefault="00156B52" w:rsidP="00156B52">
      <w:pPr>
        <w:ind w:left="851"/>
        <w:rPr>
          <w:sz w:val="24"/>
          <w:szCs w:val="24"/>
          <w:u w:val="single"/>
        </w:rPr>
      </w:pPr>
    </w:p>
    <w:p w:rsidR="00156B52" w:rsidRPr="00ED66E9" w:rsidRDefault="00156B52" w:rsidP="00156B52">
      <w:pPr>
        <w:ind w:left="851"/>
        <w:rPr>
          <w:sz w:val="24"/>
          <w:szCs w:val="24"/>
          <w:u w:val="single"/>
        </w:rPr>
      </w:pPr>
      <w:r w:rsidRPr="00ED66E9">
        <w:rPr>
          <w:sz w:val="24"/>
          <w:szCs w:val="24"/>
          <w:u w:val="single"/>
        </w:rPr>
        <w:t>5 ml ampul:</w:t>
      </w:r>
    </w:p>
    <w:p w:rsidR="00156B52" w:rsidRPr="00ED66E9" w:rsidRDefault="00156B52" w:rsidP="00156B52">
      <w:pPr>
        <w:ind w:left="851"/>
        <w:rPr>
          <w:sz w:val="24"/>
          <w:szCs w:val="24"/>
        </w:rPr>
      </w:pPr>
      <w:r w:rsidRPr="00ED66E9">
        <w:rPr>
          <w:sz w:val="24"/>
          <w:szCs w:val="24"/>
        </w:rPr>
        <w:t>5</w:t>
      </w:r>
      <w:r w:rsidR="00F07C73">
        <w:rPr>
          <w:sz w:val="24"/>
          <w:szCs w:val="24"/>
        </w:rPr>
        <w:t>×</w:t>
      </w:r>
      <w:r w:rsidRPr="00ED66E9">
        <w:rPr>
          <w:sz w:val="24"/>
          <w:szCs w:val="24"/>
        </w:rPr>
        <w:t>5 ml ampuller</w:t>
      </w:r>
    </w:p>
    <w:p w:rsidR="00651052" w:rsidRPr="00ED66E9" w:rsidRDefault="00651052" w:rsidP="00651052">
      <w:pPr>
        <w:ind w:left="851"/>
        <w:rPr>
          <w:sz w:val="24"/>
          <w:szCs w:val="24"/>
        </w:rPr>
      </w:pPr>
      <w:r w:rsidRPr="00ED66E9">
        <w:rPr>
          <w:sz w:val="24"/>
          <w:szCs w:val="24"/>
        </w:rPr>
        <w:t>Ikke alle pakningsstørrelser er nødvendigvis markedsført.</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6.6</w:t>
      </w:r>
      <w:r w:rsidRPr="00ED66E9">
        <w:rPr>
          <w:b/>
          <w:sz w:val="24"/>
          <w:szCs w:val="24"/>
        </w:rPr>
        <w:tab/>
        <w:t xml:space="preserve">Regler for </w:t>
      </w:r>
      <w:r w:rsidR="00803A32">
        <w:rPr>
          <w:b/>
          <w:sz w:val="24"/>
          <w:szCs w:val="24"/>
        </w:rPr>
        <w:t>bortskaffelse</w:t>
      </w:r>
      <w:r w:rsidRPr="00ED66E9">
        <w:rPr>
          <w:b/>
          <w:sz w:val="24"/>
          <w:szCs w:val="24"/>
        </w:rPr>
        <w:t xml:space="preserve"> og anden håndtering</w:t>
      </w:r>
    </w:p>
    <w:p w:rsidR="00651052" w:rsidRPr="00ED66E9" w:rsidRDefault="00651052" w:rsidP="00651052">
      <w:pPr>
        <w:pStyle w:val="Brdtekst"/>
        <w:ind w:left="851"/>
        <w:rPr>
          <w:szCs w:val="24"/>
        </w:rPr>
      </w:pPr>
      <w:proofErr w:type="spellStart"/>
      <w:r w:rsidRPr="00ED66E9">
        <w:rPr>
          <w:szCs w:val="24"/>
        </w:rPr>
        <w:t>Dexavit</w:t>
      </w:r>
      <w:proofErr w:type="spellEnd"/>
      <w:r w:rsidRPr="00ED66E9">
        <w:rPr>
          <w:szCs w:val="24"/>
        </w:rPr>
        <w:t xml:space="preserve"> er kun til engangsbrug og eventuelt overskydende opløsning skal kasseres umiddelbart efter åbning af ampullen.</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rPr>
      </w:pPr>
      <w:r w:rsidRPr="00ED66E9">
        <w:rPr>
          <w:szCs w:val="24"/>
        </w:rPr>
        <w:t>Kun klar opløsning bør anvendes. Må ikke anvendes, hvis opløsningen er uklar eller indeholder partikler.</w:t>
      </w:r>
    </w:p>
    <w:p w:rsidR="00651052" w:rsidRPr="00ED66E9" w:rsidRDefault="00651052" w:rsidP="00651052">
      <w:pPr>
        <w:pStyle w:val="Brdtekst"/>
        <w:ind w:left="851" w:hanging="851"/>
        <w:rPr>
          <w:szCs w:val="24"/>
        </w:rPr>
      </w:pPr>
    </w:p>
    <w:p w:rsidR="00651052" w:rsidRPr="00ED66E9" w:rsidRDefault="00651052" w:rsidP="00651052">
      <w:pPr>
        <w:pStyle w:val="Brdtekst"/>
        <w:ind w:left="851"/>
        <w:rPr>
          <w:szCs w:val="24"/>
        </w:rPr>
      </w:pPr>
      <w:r w:rsidRPr="00ED66E9">
        <w:rPr>
          <w:szCs w:val="24"/>
        </w:rPr>
        <w:t>Ikke anvendt lægemiddel samt affald heraf skal bortskaffes i henhold til lokale retningslinjer.</w:t>
      </w:r>
    </w:p>
    <w:p w:rsidR="00651052" w:rsidRPr="00ED66E9" w:rsidRDefault="00651052" w:rsidP="00651052">
      <w:pPr>
        <w:pStyle w:val="Brdtekst"/>
        <w:ind w:left="851"/>
        <w:rPr>
          <w:szCs w:val="24"/>
        </w:rPr>
      </w:pPr>
    </w:p>
    <w:p w:rsidR="00651052" w:rsidRPr="00ED66E9" w:rsidRDefault="00651052" w:rsidP="00651052">
      <w:pPr>
        <w:pStyle w:val="Brdtekst"/>
        <w:ind w:left="851"/>
        <w:rPr>
          <w:szCs w:val="24"/>
        </w:rPr>
      </w:pPr>
      <w:proofErr w:type="spellStart"/>
      <w:r w:rsidRPr="00ED66E9">
        <w:rPr>
          <w:szCs w:val="24"/>
        </w:rPr>
        <w:t>Dexavit</w:t>
      </w:r>
      <w:proofErr w:type="spellEnd"/>
      <w:r w:rsidRPr="00ED66E9">
        <w:rPr>
          <w:szCs w:val="24"/>
        </w:rPr>
        <w:t xml:space="preserve"> kan tilsættes i en af følgende opløsninger:</w:t>
      </w:r>
    </w:p>
    <w:p w:rsidR="00651052" w:rsidRPr="00ED66E9" w:rsidRDefault="00651052" w:rsidP="00651052">
      <w:pPr>
        <w:pStyle w:val="Listeafsnit"/>
        <w:numPr>
          <w:ilvl w:val="0"/>
          <w:numId w:val="8"/>
        </w:numPr>
        <w:rPr>
          <w:rFonts w:eastAsia="Calibri"/>
          <w:sz w:val="24"/>
          <w:szCs w:val="24"/>
        </w:rPr>
      </w:pPr>
      <w:r w:rsidRPr="00ED66E9">
        <w:rPr>
          <w:rFonts w:eastAsia="Calibri"/>
          <w:iCs/>
          <w:sz w:val="24"/>
          <w:szCs w:val="24"/>
        </w:rPr>
        <w:t xml:space="preserve">5 % </w:t>
      </w:r>
      <w:proofErr w:type="spellStart"/>
      <w:r w:rsidRPr="00ED66E9">
        <w:rPr>
          <w:rFonts w:eastAsia="Calibri"/>
          <w:iCs/>
          <w:sz w:val="24"/>
          <w:szCs w:val="24"/>
        </w:rPr>
        <w:t>glucose</w:t>
      </w:r>
      <w:proofErr w:type="spellEnd"/>
    </w:p>
    <w:p w:rsidR="00651052" w:rsidRPr="00ED66E9" w:rsidRDefault="00651052" w:rsidP="00651052">
      <w:pPr>
        <w:pStyle w:val="Listeafsnit"/>
        <w:numPr>
          <w:ilvl w:val="0"/>
          <w:numId w:val="8"/>
        </w:numPr>
        <w:rPr>
          <w:rFonts w:eastAsia="Calibri"/>
          <w:sz w:val="24"/>
          <w:szCs w:val="24"/>
        </w:rPr>
      </w:pPr>
      <w:r w:rsidRPr="00ED66E9">
        <w:rPr>
          <w:rFonts w:eastAsia="Calibri"/>
          <w:iCs/>
          <w:sz w:val="24"/>
          <w:szCs w:val="24"/>
        </w:rPr>
        <w:t xml:space="preserve">0,9 % </w:t>
      </w:r>
      <w:proofErr w:type="spellStart"/>
      <w:r w:rsidRPr="00ED66E9">
        <w:rPr>
          <w:rFonts w:eastAsia="Calibri"/>
          <w:iCs/>
          <w:sz w:val="24"/>
          <w:szCs w:val="24"/>
        </w:rPr>
        <w:t>natriumchlorid</w:t>
      </w:r>
      <w:proofErr w:type="spellEnd"/>
    </w:p>
    <w:p w:rsidR="00651052" w:rsidRPr="00ED66E9" w:rsidRDefault="00651052" w:rsidP="00651052">
      <w:pPr>
        <w:pStyle w:val="Listeafsnit"/>
        <w:numPr>
          <w:ilvl w:val="0"/>
          <w:numId w:val="8"/>
        </w:numPr>
        <w:rPr>
          <w:rFonts w:eastAsia="Calibri"/>
          <w:sz w:val="24"/>
          <w:szCs w:val="24"/>
        </w:rPr>
      </w:pPr>
      <w:r w:rsidRPr="00ED66E9">
        <w:rPr>
          <w:rFonts w:eastAsia="Calibri"/>
          <w:sz w:val="24"/>
          <w:szCs w:val="24"/>
        </w:rPr>
        <w:t>Ringer-laktat</w:t>
      </w:r>
    </w:p>
    <w:p w:rsidR="00651052" w:rsidRPr="00ED66E9" w:rsidRDefault="00651052" w:rsidP="00651052">
      <w:pPr>
        <w:tabs>
          <w:tab w:val="left" w:pos="851"/>
        </w:tabs>
        <w:ind w:left="851" w:hanging="851"/>
        <w:jc w:val="both"/>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7.</w:t>
      </w:r>
      <w:r w:rsidRPr="00ED66E9">
        <w:rPr>
          <w:b/>
          <w:sz w:val="24"/>
          <w:szCs w:val="24"/>
        </w:rPr>
        <w:tab/>
        <w:t>INDEHAVER AF MARKEDSFØRINGSTILLADELSEN</w:t>
      </w:r>
    </w:p>
    <w:p w:rsidR="00803A32" w:rsidRDefault="00803A32" w:rsidP="00181305">
      <w:pPr>
        <w:ind w:left="851"/>
        <w:rPr>
          <w:sz w:val="24"/>
          <w:szCs w:val="24"/>
        </w:rPr>
      </w:pPr>
      <w:r w:rsidRPr="00803A32">
        <w:rPr>
          <w:sz w:val="24"/>
          <w:szCs w:val="24"/>
        </w:rPr>
        <w:t xml:space="preserve">XGX </w:t>
      </w:r>
      <w:bookmarkStart w:id="2" w:name="_GoBack"/>
      <w:bookmarkEnd w:id="2"/>
      <w:r w:rsidRPr="00803A32">
        <w:rPr>
          <w:sz w:val="24"/>
          <w:szCs w:val="24"/>
        </w:rPr>
        <w:t xml:space="preserve">Pharma </w:t>
      </w:r>
      <w:proofErr w:type="spellStart"/>
      <w:r w:rsidRPr="00803A32">
        <w:rPr>
          <w:sz w:val="24"/>
          <w:szCs w:val="24"/>
        </w:rPr>
        <w:t>ApS</w:t>
      </w:r>
    </w:p>
    <w:p w:rsidR="00181305" w:rsidRDefault="00181305" w:rsidP="00181305">
      <w:pPr>
        <w:ind w:left="851"/>
        <w:rPr>
          <w:sz w:val="24"/>
          <w:szCs w:val="24"/>
        </w:rPr>
      </w:pPr>
      <w:proofErr w:type="spellEnd"/>
      <w:r w:rsidRPr="00181305">
        <w:rPr>
          <w:sz w:val="24"/>
          <w:szCs w:val="24"/>
        </w:rPr>
        <w:t>Frederiksgade</w:t>
      </w:r>
      <w:r>
        <w:rPr>
          <w:sz w:val="24"/>
          <w:szCs w:val="24"/>
        </w:rPr>
        <w:t xml:space="preserve"> </w:t>
      </w:r>
      <w:r w:rsidRPr="00181305">
        <w:rPr>
          <w:sz w:val="24"/>
          <w:szCs w:val="24"/>
        </w:rPr>
        <w:t xml:space="preserve">11, st.th. </w:t>
      </w:r>
    </w:p>
    <w:p w:rsidR="00651052" w:rsidRPr="00ED66E9" w:rsidRDefault="00181305" w:rsidP="00181305">
      <w:pPr>
        <w:ind w:left="851"/>
        <w:rPr>
          <w:sz w:val="24"/>
          <w:szCs w:val="24"/>
        </w:rPr>
      </w:pPr>
      <w:r w:rsidRPr="00181305">
        <w:rPr>
          <w:sz w:val="24"/>
          <w:szCs w:val="24"/>
        </w:rPr>
        <w:t>1265 København K</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8.</w:t>
      </w:r>
      <w:r w:rsidRPr="00ED66E9">
        <w:rPr>
          <w:b/>
          <w:sz w:val="24"/>
          <w:szCs w:val="24"/>
        </w:rPr>
        <w:tab/>
        <w:t>MARKEDSFØRINGSTILLADELSESNUMMER (</w:t>
      </w:r>
      <w:r w:rsidR="00803A32">
        <w:rPr>
          <w:b/>
          <w:sz w:val="24"/>
          <w:szCs w:val="24"/>
        </w:rPr>
        <w:t>-</w:t>
      </w:r>
      <w:r w:rsidRPr="00ED66E9">
        <w:rPr>
          <w:b/>
          <w:sz w:val="24"/>
          <w:szCs w:val="24"/>
        </w:rPr>
        <w:t>NUMRE)</w:t>
      </w:r>
    </w:p>
    <w:p w:rsidR="00651052" w:rsidRPr="00ED66E9" w:rsidRDefault="00651052" w:rsidP="00651052">
      <w:pPr>
        <w:tabs>
          <w:tab w:val="left" w:pos="851"/>
        </w:tabs>
        <w:ind w:left="851" w:hanging="851"/>
        <w:rPr>
          <w:sz w:val="24"/>
          <w:szCs w:val="24"/>
        </w:rPr>
      </w:pPr>
      <w:r w:rsidRPr="00ED66E9">
        <w:rPr>
          <w:sz w:val="24"/>
          <w:szCs w:val="24"/>
        </w:rPr>
        <w:tab/>
        <w:t>55739</w:t>
      </w:r>
    </w:p>
    <w:p w:rsidR="00651052" w:rsidRPr="00ED66E9" w:rsidRDefault="00651052" w:rsidP="00651052">
      <w:pPr>
        <w:tabs>
          <w:tab w:val="left" w:pos="851"/>
        </w:tabs>
        <w:ind w:left="851" w:hanging="851"/>
        <w:jc w:val="both"/>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9.</w:t>
      </w:r>
      <w:r w:rsidRPr="00ED66E9">
        <w:rPr>
          <w:b/>
          <w:sz w:val="24"/>
          <w:szCs w:val="24"/>
        </w:rPr>
        <w:tab/>
        <w:t>DATO FOR FØRSTE MARKEDSFØRINGSTILLADELSE</w:t>
      </w:r>
    </w:p>
    <w:p w:rsidR="00651052" w:rsidRPr="00ED66E9" w:rsidRDefault="00651052" w:rsidP="00651052">
      <w:pPr>
        <w:tabs>
          <w:tab w:val="left" w:pos="851"/>
        </w:tabs>
        <w:ind w:left="851" w:hanging="851"/>
        <w:rPr>
          <w:sz w:val="24"/>
          <w:szCs w:val="24"/>
        </w:rPr>
      </w:pPr>
      <w:r w:rsidRPr="00ED66E9">
        <w:rPr>
          <w:sz w:val="24"/>
          <w:szCs w:val="24"/>
        </w:rPr>
        <w:tab/>
        <w:t>21. juli 2017</w:t>
      </w:r>
    </w:p>
    <w:p w:rsidR="00651052" w:rsidRPr="00ED66E9" w:rsidRDefault="00651052" w:rsidP="00651052">
      <w:pPr>
        <w:tabs>
          <w:tab w:val="left" w:pos="851"/>
        </w:tabs>
        <w:ind w:left="851" w:hanging="851"/>
        <w:rPr>
          <w:sz w:val="24"/>
          <w:szCs w:val="24"/>
        </w:rPr>
      </w:pPr>
    </w:p>
    <w:p w:rsidR="00651052" w:rsidRPr="00ED66E9" w:rsidRDefault="00651052" w:rsidP="00651052">
      <w:pPr>
        <w:tabs>
          <w:tab w:val="left" w:pos="851"/>
        </w:tabs>
        <w:ind w:left="851" w:hanging="851"/>
        <w:rPr>
          <w:b/>
          <w:sz w:val="24"/>
          <w:szCs w:val="24"/>
        </w:rPr>
      </w:pPr>
      <w:r w:rsidRPr="00ED66E9">
        <w:rPr>
          <w:b/>
          <w:sz w:val="24"/>
          <w:szCs w:val="24"/>
        </w:rPr>
        <w:t>10.</w:t>
      </w:r>
      <w:r w:rsidRPr="00ED66E9">
        <w:rPr>
          <w:b/>
          <w:sz w:val="24"/>
          <w:szCs w:val="24"/>
        </w:rPr>
        <w:tab/>
        <w:t>DATO FOR ÆNDRING AF TEKSTEN</w:t>
      </w:r>
    </w:p>
    <w:p w:rsidR="009260DE" w:rsidRPr="00ED66E9" w:rsidRDefault="00651052" w:rsidP="00E31035">
      <w:pPr>
        <w:tabs>
          <w:tab w:val="left" w:pos="851"/>
        </w:tabs>
        <w:ind w:left="851" w:hanging="851"/>
        <w:rPr>
          <w:sz w:val="24"/>
          <w:szCs w:val="24"/>
        </w:rPr>
      </w:pPr>
      <w:r w:rsidRPr="00ED66E9">
        <w:rPr>
          <w:sz w:val="24"/>
          <w:szCs w:val="24"/>
        </w:rPr>
        <w:tab/>
      </w:r>
      <w:r w:rsidR="00803A32">
        <w:rPr>
          <w:sz w:val="24"/>
          <w:szCs w:val="24"/>
        </w:rPr>
        <w:t>14</w:t>
      </w:r>
      <w:r w:rsidR="00E31035">
        <w:rPr>
          <w:sz w:val="24"/>
          <w:szCs w:val="24"/>
        </w:rPr>
        <w:t xml:space="preserve">. </w:t>
      </w:r>
      <w:r w:rsidR="00803A32">
        <w:rPr>
          <w:sz w:val="24"/>
          <w:szCs w:val="24"/>
        </w:rPr>
        <w:t>oktober</w:t>
      </w:r>
      <w:r w:rsidR="00E31035">
        <w:rPr>
          <w:sz w:val="24"/>
          <w:szCs w:val="24"/>
        </w:rPr>
        <w:t xml:space="preserve"> 202</w:t>
      </w:r>
      <w:r w:rsidR="00803A32">
        <w:rPr>
          <w:sz w:val="24"/>
          <w:szCs w:val="24"/>
        </w:rPr>
        <w:t>4</w:t>
      </w:r>
    </w:p>
    <w:sectPr w:rsidR="009260DE" w:rsidRPr="00ED66E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052" w:rsidRDefault="00651052">
      <w:r>
        <w:separator/>
      </w:r>
    </w:p>
  </w:endnote>
  <w:endnote w:type="continuationSeparator" w:id="0">
    <w:p w:rsidR="00651052" w:rsidRDefault="0065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8748B">
      <w:rPr>
        <w:i/>
        <w:noProof/>
        <w:sz w:val="18"/>
        <w:szCs w:val="18"/>
      </w:rPr>
      <w:t>Dexavit, injektions--infusionsvæske, opløsning 4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052" w:rsidRDefault="00651052">
      <w:r>
        <w:separator/>
      </w:r>
    </w:p>
  </w:footnote>
  <w:footnote w:type="continuationSeparator" w:id="0">
    <w:p w:rsidR="00651052" w:rsidRDefault="00651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C65E2"/>
    <w:multiLevelType w:val="hybridMultilevel"/>
    <w:tmpl w:val="B7745C30"/>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21504E6"/>
    <w:multiLevelType w:val="hybridMultilevel"/>
    <w:tmpl w:val="BE229412"/>
    <w:lvl w:ilvl="0" w:tplc="079C5486">
      <w:start w:val="1"/>
      <w:numFmt w:val="bullet"/>
      <w:lvlText w:val=""/>
      <w:lvlJc w:val="left"/>
      <w:pPr>
        <w:ind w:left="1287" w:hanging="360"/>
      </w:pPr>
      <w:rPr>
        <w:rFonts w:ascii="Symbol" w:hAnsi="Symbol" w:hint="default"/>
        <w:sz w:val="19"/>
      </w:rPr>
    </w:lvl>
    <w:lvl w:ilvl="1" w:tplc="04060003">
      <w:start w:val="1"/>
      <w:numFmt w:val="bullet"/>
      <w:lvlText w:val="o"/>
      <w:lvlJc w:val="left"/>
      <w:pPr>
        <w:ind w:left="2007" w:hanging="360"/>
      </w:pPr>
      <w:rPr>
        <w:rFonts w:ascii="Courier New" w:hAnsi="Courier New" w:cs="Courier New" w:hint="default"/>
      </w:rPr>
    </w:lvl>
    <w:lvl w:ilvl="2" w:tplc="04060005">
      <w:start w:val="1"/>
      <w:numFmt w:val="bullet"/>
      <w:lvlText w:val=""/>
      <w:lvlJc w:val="left"/>
      <w:pPr>
        <w:ind w:left="2727" w:hanging="360"/>
      </w:pPr>
      <w:rPr>
        <w:rFonts w:ascii="Wingdings" w:hAnsi="Wingdings" w:hint="default"/>
      </w:rPr>
    </w:lvl>
    <w:lvl w:ilvl="3" w:tplc="04060001">
      <w:start w:val="1"/>
      <w:numFmt w:val="bullet"/>
      <w:lvlText w:val=""/>
      <w:lvlJc w:val="left"/>
      <w:pPr>
        <w:ind w:left="3447" w:hanging="360"/>
      </w:pPr>
      <w:rPr>
        <w:rFonts w:ascii="Symbol" w:hAnsi="Symbol" w:hint="default"/>
      </w:rPr>
    </w:lvl>
    <w:lvl w:ilvl="4" w:tplc="04060003">
      <w:start w:val="1"/>
      <w:numFmt w:val="bullet"/>
      <w:lvlText w:val="o"/>
      <w:lvlJc w:val="left"/>
      <w:pPr>
        <w:ind w:left="4167" w:hanging="360"/>
      </w:pPr>
      <w:rPr>
        <w:rFonts w:ascii="Courier New" w:hAnsi="Courier New" w:cs="Courier New" w:hint="default"/>
      </w:rPr>
    </w:lvl>
    <w:lvl w:ilvl="5" w:tplc="04060005">
      <w:start w:val="1"/>
      <w:numFmt w:val="bullet"/>
      <w:lvlText w:val=""/>
      <w:lvlJc w:val="left"/>
      <w:pPr>
        <w:ind w:left="4887" w:hanging="360"/>
      </w:pPr>
      <w:rPr>
        <w:rFonts w:ascii="Wingdings" w:hAnsi="Wingdings" w:hint="default"/>
      </w:rPr>
    </w:lvl>
    <w:lvl w:ilvl="6" w:tplc="04060001">
      <w:start w:val="1"/>
      <w:numFmt w:val="bullet"/>
      <w:lvlText w:val=""/>
      <w:lvlJc w:val="left"/>
      <w:pPr>
        <w:ind w:left="5607" w:hanging="360"/>
      </w:pPr>
      <w:rPr>
        <w:rFonts w:ascii="Symbol" w:hAnsi="Symbol" w:hint="default"/>
      </w:rPr>
    </w:lvl>
    <w:lvl w:ilvl="7" w:tplc="04060003">
      <w:start w:val="1"/>
      <w:numFmt w:val="bullet"/>
      <w:lvlText w:val="o"/>
      <w:lvlJc w:val="left"/>
      <w:pPr>
        <w:ind w:left="6327" w:hanging="360"/>
      </w:pPr>
      <w:rPr>
        <w:rFonts w:ascii="Courier New" w:hAnsi="Courier New" w:cs="Courier New" w:hint="default"/>
      </w:rPr>
    </w:lvl>
    <w:lvl w:ilvl="8" w:tplc="04060005">
      <w:start w:val="1"/>
      <w:numFmt w:val="bullet"/>
      <w:lvlText w:val=""/>
      <w:lvlJc w:val="left"/>
      <w:pPr>
        <w:ind w:left="7047"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3743491"/>
    <w:multiLevelType w:val="hybridMultilevel"/>
    <w:tmpl w:val="C660EE20"/>
    <w:lvl w:ilvl="0" w:tplc="04060001">
      <w:start w:val="1"/>
      <w:numFmt w:val="bullet"/>
      <w:lvlText w:val=""/>
      <w:lvlJc w:val="left"/>
      <w:pPr>
        <w:ind w:left="4120" w:hanging="360"/>
      </w:pPr>
      <w:rPr>
        <w:rFonts w:ascii="Symbol" w:hAnsi="Symbol" w:hint="default"/>
      </w:rPr>
    </w:lvl>
    <w:lvl w:ilvl="1" w:tplc="04060003" w:tentative="1">
      <w:start w:val="1"/>
      <w:numFmt w:val="bullet"/>
      <w:lvlText w:val="o"/>
      <w:lvlJc w:val="left"/>
      <w:pPr>
        <w:ind w:left="4840" w:hanging="360"/>
      </w:pPr>
      <w:rPr>
        <w:rFonts w:ascii="Courier New" w:hAnsi="Courier New" w:cs="Courier New" w:hint="default"/>
      </w:rPr>
    </w:lvl>
    <w:lvl w:ilvl="2" w:tplc="04060005" w:tentative="1">
      <w:start w:val="1"/>
      <w:numFmt w:val="bullet"/>
      <w:lvlText w:val=""/>
      <w:lvlJc w:val="left"/>
      <w:pPr>
        <w:ind w:left="5560" w:hanging="360"/>
      </w:pPr>
      <w:rPr>
        <w:rFonts w:ascii="Wingdings" w:hAnsi="Wingdings" w:hint="default"/>
      </w:rPr>
    </w:lvl>
    <w:lvl w:ilvl="3" w:tplc="04060001" w:tentative="1">
      <w:start w:val="1"/>
      <w:numFmt w:val="bullet"/>
      <w:lvlText w:val=""/>
      <w:lvlJc w:val="left"/>
      <w:pPr>
        <w:ind w:left="6280" w:hanging="360"/>
      </w:pPr>
      <w:rPr>
        <w:rFonts w:ascii="Symbol" w:hAnsi="Symbol" w:hint="default"/>
      </w:rPr>
    </w:lvl>
    <w:lvl w:ilvl="4" w:tplc="04060003" w:tentative="1">
      <w:start w:val="1"/>
      <w:numFmt w:val="bullet"/>
      <w:lvlText w:val="o"/>
      <w:lvlJc w:val="left"/>
      <w:pPr>
        <w:ind w:left="7000" w:hanging="360"/>
      </w:pPr>
      <w:rPr>
        <w:rFonts w:ascii="Courier New" w:hAnsi="Courier New" w:cs="Courier New" w:hint="default"/>
      </w:rPr>
    </w:lvl>
    <w:lvl w:ilvl="5" w:tplc="04060005" w:tentative="1">
      <w:start w:val="1"/>
      <w:numFmt w:val="bullet"/>
      <w:lvlText w:val=""/>
      <w:lvlJc w:val="left"/>
      <w:pPr>
        <w:ind w:left="7720" w:hanging="360"/>
      </w:pPr>
      <w:rPr>
        <w:rFonts w:ascii="Wingdings" w:hAnsi="Wingdings" w:hint="default"/>
      </w:rPr>
    </w:lvl>
    <w:lvl w:ilvl="6" w:tplc="04060001" w:tentative="1">
      <w:start w:val="1"/>
      <w:numFmt w:val="bullet"/>
      <w:lvlText w:val=""/>
      <w:lvlJc w:val="left"/>
      <w:pPr>
        <w:ind w:left="8440" w:hanging="360"/>
      </w:pPr>
      <w:rPr>
        <w:rFonts w:ascii="Symbol" w:hAnsi="Symbol" w:hint="default"/>
      </w:rPr>
    </w:lvl>
    <w:lvl w:ilvl="7" w:tplc="04060003" w:tentative="1">
      <w:start w:val="1"/>
      <w:numFmt w:val="bullet"/>
      <w:lvlText w:val="o"/>
      <w:lvlJc w:val="left"/>
      <w:pPr>
        <w:ind w:left="9160" w:hanging="360"/>
      </w:pPr>
      <w:rPr>
        <w:rFonts w:ascii="Courier New" w:hAnsi="Courier New" w:cs="Courier New" w:hint="default"/>
      </w:rPr>
    </w:lvl>
    <w:lvl w:ilvl="8" w:tplc="04060005" w:tentative="1">
      <w:start w:val="1"/>
      <w:numFmt w:val="bullet"/>
      <w:lvlText w:val=""/>
      <w:lvlJc w:val="left"/>
      <w:pPr>
        <w:ind w:left="98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52"/>
    <w:rsid w:val="00023D52"/>
    <w:rsid w:val="000259B9"/>
    <w:rsid w:val="00041491"/>
    <w:rsid w:val="00050D16"/>
    <w:rsid w:val="00074F2A"/>
    <w:rsid w:val="0008748B"/>
    <w:rsid w:val="000A1CA8"/>
    <w:rsid w:val="000A466B"/>
    <w:rsid w:val="000B058C"/>
    <w:rsid w:val="000E4EE6"/>
    <w:rsid w:val="00127851"/>
    <w:rsid w:val="001454E2"/>
    <w:rsid w:val="00156B52"/>
    <w:rsid w:val="001616A8"/>
    <w:rsid w:val="00181305"/>
    <w:rsid w:val="0018166B"/>
    <w:rsid w:val="00206CE8"/>
    <w:rsid w:val="0021526C"/>
    <w:rsid w:val="002174E7"/>
    <w:rsid w:val="00283A2B"/>
    <w:rsid w:val="002B30AD"/>
    <w:rsid w:val="002C2C01"/>
    <w:rsid w:val="002C4056"/>
    <w:rsid w:val="003769EB"/>
    <w:rsid w:val="003A29AE"/>
    <w:rsid w:val="003A32D7"/>
    <w:rsid w:val="003B4074"/>
    <w:rsid w:val="003C769A"/>
    <w:rsid w:val="003F1838"/>
    <w:rsid w:val="0045746C"/>
    <w:rsid w:val="004859E7"/>
    <w:rsid w:val="0049104B"/>
    <w:rsid w:val="004E3B12"/>
    <w:rsid w:val="00532310"/>
    <w:rsid w:val="00560ECC"/>
    <w:rsid w:val="00565F0F"/>
    <w:rsid w:val="00594A86"/>
    <w:rsid w:val="00596D86"/>
    <w:rsid w:val="00637F5A"/>
    <w:rsid w:val="00651052"/>
    <w:rsid w:val="006560B1"/>
    <w:rsid w:val="006756DD"/>
    <w:rsid w:val="00737275"/>
    <w:rsid w:val="00740EEC"/>
    <w:rsid w:val="0078011A"/>
    <w:rsid w:val="00782AF4"/>
    <w:rsid w:val="00790EE7"/>
    <w:rsid w:val="007B6649"/>
    <w:rsid w:val="00803A32"/>
    <w:rsid w:val="0081546F"/>
    <w:rsid w:val="0082576E"/>
    <w:rsid w:val="00832894"/>
    <w:rsid w:val="00897A9E"/>
    <w:rsid w:val="00907F75"/>
    <w:rsid w:val="009260DE"/>
    <w:rsid w:val="0093258A"/>
    <w:rsid w:val="009C7BA3"/>
    <w:rsid w:val="009D1F5A"/>
    <w:rsid w:val="00A8424B"/>
    <w:rsid w:val="00B003BF"/>
    <w:rsid w:val="00B373D7"/>
    <w:rsid w:val="00B938C8"/>
    <w:rsid w:val="00C03C9D"/>
    <w:rsid w:val="00C36276"/>
    <w:rsid w:val="00C42586"/>
    <w:rsid w:val="00C60CCD"/>
    <w:rsid w:val="00C84483"/>
    <w:rsid w:val="00C95551"/>
    <w:rsid w:val="00CB20D7"/>
    <w:rsid w:val="00D020B0"/>
    <w:rsid w:val="00D11748"/>
    <w:rsid w:val="00D366CF"/>
    <w:rsid w:val="00E108AA"/>
    <w:rsid w:val="00E20F8C"/>
    <w:rsid w:val="00E31035"/>
    <w:rsid w:val="00E31812"/>
    <w:rsid w:val="00E3749A"/>
    <w:rsid w:val="00E60A5E"/>
    <w:rsid w:val="00E7437F"/>
    <w:rsid w:val="00E865B8"/>
    <w:rsid w:val="00EC0B9B"/>
    <w:rsid w:val="00ED5E9F"/>
    <w:rsid w:val="00ED66E9"/>
    <w:rsid w:val="00F07C73"/>
    <w:rsid w:val="00F5052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5EB6F"/>
  <w15:chartTrackingRefBased/>
  <w15:docId w15:val="{A950B699-71DC-4B96-AA2C-38F9A95A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651052"/>
    <w:pPr>
      <w:ind w:left="567"/>
    </w:pPr>
    <w:rPr>
      <w:rFonts w:eastAsiaTheme="minorHAnsi"/>
      <w:sz w:val="24"/>
      <w:szCs w:val="22"/>
    </w:rPr>
  </w:style>
  <w:style w:type="character" w:customStyle="1" w:styleId="BrdtekstTegn">
    <w:name w:val="Brødtekst Tegn"/>
    <w:basedOn w:val="Standardskrifttypeiafsnit"/>
    <w:link w:val="Brdtekst"/>
    <w:uiPriority w:val="1"/>
    <w:rsid w:val="00651052"/>
    <w:rPr>
      <w:rFonts w:eastAsiaTheme="minorHAnsi"/>
      <w:sz w:val="24"/>
      <w:szCs w:val="22"/>
      <w:lang w:eastAsia="en-US"/>
    </w:rPr>
  </w:style>
  <w:style w:type="character" w:customStyle="1" w:styleId="hps">
    <w:name w:val="hps"/>
    <w:basedOn w:val="Standardskrifttypeiafsnit"/>
    <w:rsid w:val="00651052"/>
  </w:style>
  <w:style w:type="character" w:styleId="Hyperlink">
    <w:name w:val="Hyperlink"/>
    <w:basedOn w:val="Standardskrifttypeiafsnit"/>
    <w:semiHidden/>
    <w:unhideWhenUsed/>
    <w:rsid w:val="00651052"/>
    <w:rPr>
      <w:strike w:val="0"/>
      <w:dstrike w:val="0"/>
      <w:color w:val="0000FF"/>
      <w:u w:val="none"/>
      <w:effect w:val="none"/>
    </w:rPr>
  </w:style>
  <w:style w:type="paragraph" w:styleId="Listeafsnit">
    <w:name w:val="List Paragraph"/>
    <w:basedOn w:val="Normal"/>
    <w:link w:val="ListeafsnitTegn"/>
    <w:uiPriority w:val="34"/>
    <w:qFormat/>
    <w:rsid w:val="00651052"/>
    <w:pPr>
      <w:ind w:left="720"/>
      <w:contextualSpacing/>
    </w:pPr>
  </w:style>
  <w:style w:type="character" w:customStyle="1" w:styleId="ListeafsnitTegn">
    <w:name w:val="Listeafsnit Tegn"/>
    <w:basedOn w:val="Standardskrifttypeiafsnit"/>
    <w:link w:val="Listeafsnit"/>
    <w:uiPriority w:val="34"/>
    <w:rsid w:val="00651052"/>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3777</Words>
  <Characters>26386</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2024090001_x000d_
Ændring af MAH navn fra Vital Pharma Nordic ApS</dc:description>
  <cp:lastModifiedBy>Marianne Ott Jensen</cp:lastModifiedBy>
  <cp:revision>4</cp:revision>
  <cp:lastPrinted>2012-08-22T08:53:00Z</cp:lastPrinted>
  <dcterms:created xsi:type="dcterms:W3CDTF">2024-10-10T09:37:00Z</dcterms:created>
  <dcterms:modified xsi:type="dcterms:W3CDTF">2024-10-10T09:40:00Z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