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7A5F"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1C8C9E5A" wp14:editId="59A3A71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10D7CA8" w14:textId="77777777" w:rsidR="006B3847" w:rsidRPr="00303008" w:rsidRDefault="006B3847" w:rsidP="006B3847">
      <w:pPr>
        <w:rPr>
          <w:sz w:val="24"/>
          <w:szCs w:val="24"/>
          <w:lang w:val="en-GB"/>
        </w:rPr>
      </w:pPr>
    </w:p>
    <w:p w14:paraId="0D741353" w14:textId="4E47383C" w:rsidR="006B3847" w:rsidRPr="00303008" w:rsidRDefault="006B3847" w:rsidP="006B3847">
      <w:pPr>
        <w:tabs>
          <w:tab w:val="right" w:pos="9356"/>
        </w:tabs>
        <w:rPr>
          <w:b/>
          <w:sz w:val="24"/>
          <w:szCs w:val="24"/>
          <w:lang w:val="en-GB"/>
        </w:rPr>
      </w:pPr>
      <w:r w:rsidRPr="00303008">
        <w:rPr>
          <w:b/>
          <w:sz w:val="24"/>
          <w:szCs w:val="24"/>
          <w:lang w:val="en-GB"/>
        </w:rPr>
        <w:tab/>
      </w:r>
      <w:r w:rsidR="00C35E91">
        <w:rPr>
          <w:b/>
          <w:sz w:val="24"/>
          <w:szCs w:val="24"/>
          <w:lang w:val="en-GB"/>
        </w:rPr>
        <w:t>28. maj 2024</w:t>
      </w:r>
    </w:p>
    <w:p w14:paraId="391605E9" w14:textId="77777777" w:rsidR="006B3847" w:rsidRPr="00303008" w:rsidRDefault="006B3847" w:rsidP="006B3847">
      <w:pPr>
        <w:rPr>
          <w:sz w:val="24"/>
          <w:szCs w:val="24"/>
          <w:lang w:val="en-GB"/>
        </w:rPr>
      </w:pPr>
    </w:p>
    <w:p w14:paraId="1CED7C4F" w14:textId="77777777" w:rsidR="007C5D2A" w:rsidRPr="00303008" w:rsidRDefault="007C5D2A" w:rsidP="007C5D2A">
      <w:pPr>
        <w:rPr>
          <w:sz w:val="24"/>
          <w:szCs w:val="24"/>
          <w:lang w:val="en-GB"/>
        </w:rPr>
      </w:pPr>
    </w:p>
    <w:p w14:paraId="5DC6B32C" w14:textId="77777777" w:rsidR="007C5D2A" w:rsidRPr="00303008" w:rsidRDefault="007C5D2A" w:rsidP="007C5D2A">
      <w:pPr>
        <w:rPr>
          <w:sz w:val="24"/>
          <w:szCs w:val="24"/>
          <w:lang w:val="en-GB"/>
        </w:rPr>
      </w:pPr>
    </w:p>
    <w:p w14:paraId="2AD47BF9"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34A4C2E5" w14:textId="77777777" w:rsidR="007C5D2A" w:rsidRPr="00303008" w:rsidRDefault="007C5D2A" w:rsidP="007C5D2A">
      <w:pPr>
        <w:jc w:val="center"/>
        <w:rPr>
          <w:sz w:val="24"/>
          <w:szCs w:val="24"/>
          <w:lang w:val="en-GB"/>
        </w:rPr>
      </w:pPr>
    </w:p>
    <w:p w14:paraId="2FD590F3" w14:textId="77777777" w:rsidR="007C5D2A" w:rsidRPr="00303008" w:rsidRDefault="007C5D2A" w:rsidP="007C5D2A">
      <w:pPr>
        <w:jc w:val="center"/>
        <w:rPr>
          <w:b/>
          <w:sz w:val="24"/>
          <w:szCs w:val="24"/>
          <w:lang w:val="en-GB"/>
        </w:rPr>
      </w:pPr>
      <w:r w:rsidRPr="00303008">
        <w:rPr>
          <w:b/>
          <w:sz w:val="24"/>
          <w:szCs w:val="24"/>
          <w:lang w:val="en-GB"/>
        </w:rPr>
        <w:t>for</w:t>
      </w:r>
    </w:p>
    <w:p w14:paraId="2F26983D" w14:textId="77777777" w:rsidR="007C5D2A" w:rsidRPr="00303008" w:rsidRDefault="007C5D2A" w:rsidP="007C5D2A">
      <w:pPr>
        <w:jc w:val="center"/>
        <w:rPr>
          <w:sz w:val="24"/>
          <w:szCs w:val="24"/>
          <w:lang w:val="en-GB"/>
        </w:rPr>
      </w:pPr>
    </w:p>
    <w:p w14:paraId="76AB2D74" w14:textId="77777777" w:rsidR="007C5D2A" w:rsidRPr="00303008" w:rsidRDefault="00C25DBB" w:rsidP="007C5D2A">
      <w:pPr>
        <w:jc w:val="center"/>
        <w:rPr>
          <w:b/>
          <w:sz w:val="24"/>
          <w:szCs w:val="24"/>
          <w:lang w:val="en-GB"/>
        </w:rPr>
      </w:pPr>
      <w:r>
        <w:rPr>
          <w:b/>
          <w:sz w:val="24"/>
          <w:szCs w:val="24"/>
          <w:lang w:val="en-GB"/>
        </w:rPr>
        <w:t>Dexhility, hard capsules</w:t>
      </w:r>
    </w:p>
    <w:p w14:paraId="1FFBBE6B" w14:textId="77777777" w:rsidR="007C5D2A" w:rsidRPr="00303008" w:rsidRDefault="007C5D2A" w:rsidP="007C5D2A">
      <w:pPr>
        <w:jc w:val="both"/>
        <w:rPr>
          <w:sz w:val="24"/>
          <w:szCs w:val="24"/>
          <w:lang w:val="en-GB"/>
        </w:rPr>
      </w:pPr>
    </w:p>
    <w:p w14:paraId="17C4CB57" w14:textId="77777777" w:rsidR="0042292D" w:rsidRPr="00303008" w:rsidRDefault="0042292D" w:rsidP="007C5D2A">
      <w:pPr>
        <w:jc w:val="both"/>
        <w:rPr>
          <w:sz w:val="24"/>
          <w:szCs w:val="24"/>
          <w:lang w:val="en-GB"/>
        </w:rPr>
      </w:pPr>
    </w:p>
    <w:p w14:paraId="73B9927B"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31357CA2" w14:textId="459776FB" w:rsidR="008F2F8C" w:rsidRPr="00303008" w:rsidRDefault="003B4007" w:rsidP="008F2F8C">
      <w:pPr>
        <w:tabs>
          <w:tab w:val="left" w:pos="8222"/>
        </w:tabs>
        <w:ind w:left="851"/>
        <w:rPr>
          <w:sz w:val="24"/>
          <w:szCs w:val="24"/>
          <w:lang w:val="en-GB"/>
        </w:rPr>
      </w:pPr>
      <w:r>
        <w:rPr>
          <w:sz w:val="24"/>
          <w:szCs w:val="24"/>
          <w:lang w:val="en-GB"/>
        </w:rPr>
        <w:t>32918</w:t>
      </w:r>
    </w:p>
    <w:p w14:paraId="6BFB27BE" w14:textId="77777777" w:rsidR="007C5D2A" w:rsidRPr="00303008" w:rsidRDefault="007C5D2A" w:rsidP="007C5D2A">
      <w:pPr>
        <w:tabs>
          <w:tab w:val="left" w:pos="851"/>
        </w:tabs>
        <w:jc w:val="both"/>
        <w:rPr>
          <w:sz w:val="24"/>
          <w:szCs w:val="24"/>
          <w:lang w:val="en-GB"/>
        </w:rPr>
      </w:pPr>
    </w:p>
    <w:p w14:paraId="1D309C8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CF1040F" w14:textId="16188586" w:rsidR="007C5D2A" w:rsidRPr="00303008" w:rsidRDefault="003B4007" w:rsidP="004A3BF4">
      <w:pPr>
        <w:tabs>
          <w:tab w:val="left" w:pos="851"/>
        </w:tabs>
        <w:ind w:left="851"/>
        <w:rPr>
          <w:sz w:val="24"/>
          <w:szCs w:val="24"/>
          <w:lang w:val="en-GB"/>
        </w:rPr>
      </w:pPr>
      <w:r>
        <w:rPr>
          <w:sz w:val="24"/>
          <w:szCs w:val="24"/>
          <w:lang w:val="en-GB"/>
        </w:rPr>
        <w:t>Dexhility</w:t>
      </w:r>
    </w:p>
    <w:p w14:paraId="7535B5AC" w14:textId="77777777" w:rsidR="007C5D2A" w:rsidRPr="00303008" w:rsidRDefault="007C5D2A" w:rsidP="004A3BF4">
      <w:pPr>
        <w:tabs>
          <w:tab w:val="left" w:pos="851"/>
        </w:tabs>
        <w:ind w:left="851"/>
        <w:rPr>
          <w:sz w:val="24"/>
          <w:szCs w:val="24"/>
          <w:lang w:val="en-GB"/>
        </w:rPr>
      </w:pPr>
    </w:p>
    <w:p w14:paraId="28877C00"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70ACD0DB" w14:textId="79D2D6C8" w:rsidR="007C5D2A" w:rsidRDefault="007C5D2A" w:rsidP="004A3BF4">
      <w:pPr>
        <w:tabs>
          <w:tab w:val="left" w:pos="851"/>
        </w:tabs>
        <w:ind w:left="851"/>
        <w:rPr>
          <w:sz w:val="24"/>
          <w:szCs w:val="24"/>
          <w:lang w:val="en-GB"/>
        </w:rPr>
      </w:pPr>
    </w:p>
    <w:p w14:paraId="016B78C5" w14:textId="77777777" w:rsidR="003B4007" w:rsidRPr="003B4007" w:rsidRDefault="003B4007" w:rsidP="003B4007">
      <w:pPr>
        <w:tabs>
          <w:tab w:val="left" w:pos="851"/>
        </w:tabs>
        <w:ind w:left="851"/>
        <w:rPr>
          <w:sz w:val="24"/>
          <w:szCs w:val="24"/>
          <w:lang w:val="en-GB"/>
        </w:rPr>
      </w:pPr>
      <w:r w:rsidRPr="003B4007">
        <w:rPr>
          <w:sz w:val="24"/>
          <w:szCs w:val="24"/>
          <w:lang w:val="en-GB"/>
        </w:rPr>
        <w:t>20 mg: Each hard capsule contains 24.4 mg lisdexamfetamine diadipate, corresponding to 20 mg lisdexamfetamine dimesylate and to 5.9 mg of dexamfetamine.</w:t>
      </w:r>
    </w:p>
    <w:p w14:paraId="1304CC79" w14:textId="77777777" w:rsidR="003B4007" w:rsidRPr="003B4007" w:rsidRDefault="003B4007" w:rsidP="003B4007">
      <w:pPr>
        <w:tabs>
          <w:tab w:val="left" w:pos="851"/>
        </w:tabs>
        <w:ind w:left="851"/>
        <w:rPr>
          <w:sz w:val="24"/>
          <w:szCs w:val="24"/>
          <w:lang w:val="en-GB"/>
        </w:rPr>
      </w:pPr>
    </w:p>
    <w:p w14:paraId="3A250C8F" w14:textId="77777777" w:rsidR="003B4007" w:rsidRPr="003B4007" w:rsidRDefault="003B4007" w:rsidP="003B4007">
      <w:pPr>
        <w:tabs>
          <w:tab w:val="left" w:pos="851"/>
        </w:tabs>
        <w:ind w:left="851"/>
        <w:rPr>
          <w:sz w:val="24"/>
          <w:szCs w:val="24"/>
          <w:lang w:val="en-GB"/>
        </w:rPr>
      </w:pPr>
      <w:bookmarkStart w:id="2" w:name="_Hlk94614161"/>
      <w:r w:rsidRPr="003B4007">
        <w:rPr>
          <w:sz w:val="24"/>
          <w:szCs w:val="24"/>
          <w:lang w:val="en-GB"/>
        </w:rPr>
        <w:t xml:space="preserve">30 mg: </w:t>
      </w:r>
      <w:bookmarkEnd w:id="2"/>
      <w:r w:rsidRPr="003B4007">
        <w:rPr>
          <w:sz w:val="24"/>
          <w:szCs w:val="24"/>
          <w:lang w:val="en-GB"/>
        </w:rPr>
        <w:t>Each hard capsule contains 36.6 mg lisdexamfetamine diadipate, corresponding to 30 mg lisdexamfetamine dimesylate and to 8.9 mg of dexamfetamine.</w:t>
      </w:r>
    </w:p>
    <w:p w14:paraId="3A5F9DAF" w14:textId="77777777" w:rsidR="003B4007" w:rsidRPr="003B4007" w:rsidRDefault="003B4007" w:rsidP="003B4007">
      <w:pPr>
        <w:tabs>
          <w:tab w:val="left" w:pos="851"/>
        </w:tabs>
        <w:ind w:left="851"/>
        <w:rPr>
          <w:sz w:val="24"/>
          <w:szCs w:val="24"/>
          <w:lang w:val="en-GB"/>
        </w:rPr>
      </w:pPr>
    </w:p>
    <w:p w14:paraId="01310890" w14:textId="77777777" w:rsidR="003B4007" w:rsidRPr="003B4007" w:rsidRDefault="003B4007" w:rsidP="003B4007">
      <w:pPr>
        <w:tabs>
          <w:tab w:val="left" w:pos="851"/>
        </w:tabs>
        <w:ind w:left="851"/>
        <w:rPr>
          <w:sz w:val="24"/>
          <w:szCs w:val="24"/>
          <w:lang w:val="en-GB"/>
        </w:rPr>
      </w:pPr>
      <w:r w:rsidRPr="003B4007">
        <w:rPr>
          <w:sz w:val="24"/>
          <w:szCs w:val="24"/>
          <w:lang w:val="en-GB"/>
        </w:rPr>
        <w:t>40 mg: Each hard capsule contains 48.8 mg lisdexamfetamine diadipate, corresponding to 40 mg lisdexamfetamine dimesylate and to 11.9 mg of dexamfetamine.</w:t>
      </w:r>
    </w:p>
    <w:p w14:paraId="51222273" w14:textId="77777777" w:rsidR="003B4007" w:rsidRPr="003B4007" w:rsidRDefault="003B4007" w:rsidP="003B4007">
      <w:pPr>
        <w:tabs>
          <w:tab w:val="left" w:pos="851"/>
        </w:tabs>
        <w:ind w:left="851"/>
        <w:rPr>
          <w:sz w:val="24"/>
          <w:szCs w:val="24"/>
          <w:lang w:val="en-GB"/>
        </w:rPr>
      </w:pPr>
    </w:p>
    <w:p w14:paraId="25908114" w14:textId="77777777" w:rsidR="003B4007" w:rsidRPr="003B4007" w:rsidRDefault="003B4007" w:rsidP="003B4007">
      <w:pPr>
        <w:tabs>
          <w:tab w:val="left" w:pos="851"/>
        </w:tabs>
        <w:ind w:left="851"/>
        <w:rPr>
          <w:sz w:val="24"/>
          <w:szCs w:val="24"/>
          <w:lang w:val="en-GB"/>
        </w:rPr>
      </w:pPr>
      <w:bookmarkStart w:id="3" w:name="_Hlk94614173"/>
      <w:r w:rsidRPr="003B4007">
        <w:rPr>
          <w:sz w:val="24"/>
          <w:szCs w:val="24"/>
          <w:lang w:val="en-GB"/>
        </w:rPr>
        <w:t xml:space="preserve">50 mg: </w:t>
      </w:r>
      <w:bookmarkEnd w:id="3"/>
      <w:r w:rsidRPr="003B4007">
        <w:rPr>
          <w:sz w:val="24"/>
          <w:szCs w:val="24"/>
          <w:lang w:val="en-GB"/>
        </w:rPr>
        <w:t>Each hard capsule contains 61.0 mg lisdexamfetamine diadipate, corresponding to 50 mg lisdexamfetamine dimesylate and to 14.8 mg of dexamfetamine.</w:t>
      </w:r>
    </w:p>
    <w:p w14:paraId="33B49F67" w14:textId="77777777" w:rsidR="003B4007" w:rsidRPr="003B4007" w:rsidRDefault="003B4007" w:rsidP="003B4007">
      <w:pPr>
        <w:tabs>
          <w:tab w:val="left" w:pos="851"/>
        </w:tabs>
        <w:ind w:left="851"/>
        <w:rPr>
          <w:sz w:val="24"/>
          <w:szCs w:val="24"/>
          <w:lang w:val="en-GB"/>
        </w:rPr>
      </w:pPr>
    </w:p>
    <w:p w14:paraId="335402AB" w14:textId="77777777" w:rsidR="003B4007" w:rsidRPr="003B4007" w:rsidRDefault="003B4007" w:rsidP="003B4007">
      <w:pPr>
        <w:tabs>
          <w:tab w:val="left" w:pos="851"/>
        </w:tabs>
        <w:ind w:left="851"/>
        <w:rPr>
          <w:sz w:val="24"/>
          <w:szCs w:val="24"/>
          <w:lang w:val="en-GB"/>
        </w:rPr>
      </w:pPr>
      <w:r w:rsidRPr="003B4007">
        <w:rPr>
          <w:sz w:val="24"/>
          <w:szCs w:val="24"/>
          <w:lang w:val="en-GB"/>
        </w:rPr>
        <w:t>60 mg: Each hard capsule contains 73.2 mg lisdexamfetamine diadipate, corresponding to 60 mg lisdexamfetamine dimesylate and to 17.8 mg of dexamfetamine.</w:t>
      </w:r>
    </w:p>
    <w:p w14:paraId="38F72234" w14:textId="77777777" w:rsidR="003B4007" w:rsidRPr="003B4007" w:rsidRDefault="003B4007" w:rsidP="003B4007">
      <w:pPr>
        <w:tabs>
          <w:tab w:val="left" w:pos="851"/>
        </w:tabs>
        <w:ind w:left="851"/>
        <w:rPr>
          <w:sz w:val="24"/>
          <w:szCs w:val="24"/>
          <w:lang w:val="en-GB"/>
        </w:rPr>
      </w:pPr>
    </w:p>
    <w:p w14:paraId="7BE7F4B0" w14:textId="77777777" w:rsidR="003B4007" w:rsidRPr="003B4007" w:rsidRDefault="003B4007" w:rsidP="003B4007">
      <w:pPr>
        <w:tabs>
          <w:tab w:val="left" w:pos="851"/>
        </w:tabs>
        <w:ind w:left="851"/>
        <w:rPr>
          <w:sz w:val="24"/>
          <w:szCs w:val="24"/>
          <w:lang w:val="en-GB"/>
        </w:rPr>
      </w:pPr>
      <w:bookmarkStart w:id="4" w:name="_Hlk94614186"/>
      <w:r w:rsidRPr="003B4007">
        <w:rPr>
          <w:sz w:val="24"/>
          <w:szCs w:val="24"/>
          <w:lang w:val="en-GB"/>
        </w:rPr>
        <w:t xml:space="preserve">70 mg: </w:t>
      </w:r>
      <w:bookmarkEnd w:id="4"/>
      <w:r w:rsidRPr="003B4007">
        <w:rPr>
          <w:sz w:val="24"/>
          <w:szCs w:val="24"/>
          <w:lang w:val="en-GB"/>
        </w:rPr>
        <w:t>Each hard capsule contains 85.4 mg lisdexamfetamine diadipate, corresponding to 70 mg lisdexamfetamine dimesylate and to 20.8 mg of dexamfetamine.</w:t>
      </w:r>
    </w:p>
    <w:p w14:paraId="61B52F59" w14:textId="77777777" w:rsidR="003B4007" w:rsidRPr="003B4007" w:rsidRDefault="003B4007" w:rsidP="003B4007">
      <w:pPr>
        <w:tabs>
          <w:tab w:val="left" w:pos="851"/>
        </w:tabs>
        <w:ind w:left="851"/>
        <w:rPr>
          <w:sz w:val="24"/>
          <w:szCs w:val="24"/>
          <w:lang w:val="en-GB"/>
        </w:rPr>
      </w:pPr>
    </w:p>
    <w:p w14:paraId="7EE65214" w14:textId="77777777" w:rsidR="003B4007" w:rsidRPr="003B4007" w:rsidRDefault="003B4007" w:rsidP="003B4007">
      <w:pPr>
        <w:tabs>
          <w:tab w:val="left" w:pos="851"/>
        </w:tabs>
        <w:ind w:left="851"/>
        <w:rPr>
          <w:sz w:val="24"/>
          <w:szCs w:val="24"/>
          <w:lang w:val="en-GB"/>
        </w:rPr>
      </w:pPr>
      <w:r w:rsidRPr="003B4007">
        <w:rPr>
          <w:sz w:val="24"/>
          <w:szCs w:val="24"/>
          <w:lang w:val="en-GB"/>
        </w:rPr>
        <w:t>For the full list of excipients, see section 6.1.</w:t>
      </w:r>
    </w:p>
    <w:p w14:paraId="30D55EFD" w14:textId="77777777" w:rsidR="007C5D2A" w:rsidRPr="00303008" w:rsidRDefault="007C5D2A" w:rsidP="004A3BF4">
      <w:pPr>
        <w:tabs>
          <w:tab w:val="left" w:pos="851"/>
        </w:tabs>
        <w:ind w:left="851"/>
        <w:rPr>
          <w:sz w:val="24"/>
          <w:szCs w:val="24"/>
          <w:lang w:val="en-GB"/>
        </w:rPr>
      </w:pPr>
    </w:p>
    <w:p w14:paraId="04A9EC7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49A780A7" w14:textId="77777777" w:rsidR="00440FC0" w:rsidRPr="00440FC0" w:rsidRDefault="00440FC0" w:rsidP="00440FC0">
      <w:pPr>
        <w:tabs>
          <w:tab w:val="left" w:pos="851"/>
        </w:tabs>
        <w:ind w:left="851"/>
        <w:rPr>
          <w:i/>
          <w:sz w:val="24"/>
          <w:szCs w:val="24"/>
          <w:lang w:val="en-GB"/>
        </w:rPr>
      </w:pPr>
      <w:r w:rsidRPr="00440FC0">
        <w:rPr>
          <w:sz w:val="24"/>
          <w:szCs w:val="24"/>
          <w:lang w:val="en-GB"/>
        </w:rPr>
        <w:t>Hard capsules</w:t>
      </w:r>
    </w:p>
    <w:p w14:paraId="39FF683A" w14:textId="77777777" w:rsidR="00440FC0" w:rsidRPr="00440FC0" w:rsidRDefault="00440FC0" w:rsidP="00440FC0">
      <w:pPr>
        <w:tabs>
          <w:tab w:val="left" w:pos="851"/>
        </w:tabs>
        <w:ind w:left="851"/>
        <w:rPr>
          <w:sz w:val="24"/>
          <w:szCs w:val="24"/>
          <w:lang w:val="en-GB"/>
        </w:rPr>
      </w:pPr>
    </w:p>
    <w:p w14:paraId="164E3F95" w14:textId="77777777" w:rsidR="00440FC0" w:rsidRPr="00440FC0" w:rsidRDefault="00440FC0" w:rsidP="00440FC0">
      <w:pPr>
        <w:tabs>
          <w:tab w:val="left" w:pos="851"/>
        </w:tabs>
        <w:ind w:left="851"/>
        <w:rPr>
          <w:sz w:val="24"/>
          <w:szCs w:val="24"/>
          <w:lang w:val="en-GB"/>
        </w:rPr>
      </w:pPr>
      <w:r w:rsidRPr="00440FC0">
        <w:rPr>
          <w:sz w:val="24"/>
          <w:szCs w:val="24"/>
          <w:lang w:val="en-GB"/>
        </w:rPr>
        <w:t xml:space="preserve">20 mg: Light brown, opaque hard capsules, approximately 16 mm of length, with black imprint ‘20’ on body and ‘LI’ on cap, </w:t>
      </w:r>
      <w:bookmarkStart w:id="5" w:name="_Hlk96438696"/>
      <w:r w:rsidRPr="00440FC0">
        <w:rPr>
          <w:sz w:val="24"/>
          <w:szCs w:val="24"/>
          <w:lang w:val="en-GB"/>
        </w:rPr>
        <w:t>filled with white to off white powder.</w:t>
      </w:r>
      <w:bookmarkEnd w:id="5"/>
    </w:p>
    <w:p w14:paraId="52E9E7AE" w14:textId="77777777" w:rsidR="00440FC0" w:rsidRPr="00440FC0" w:rsidRDefault="00440FC0" w:rsidP="00440FC0">
      <w:pPr>
        <w:tabs>
          <w:tab w:val="left" w:pos="851"/>
        </w:tabs>
        <w:ind w:left="851"/>
        <w:rPr>
          <w:sz w:val="24"/>
          <w:szCs w:val="24"/>
          <w:lang w:val="en-GB"/>
        </w:rPr>
      </w:pPr>
    </w:p>
    <w:p w14:paraId="7269F305" w14:textId="77777777" w:rsidR="00440FC0" w:rsidRPr="00440FC0" w:rsidRDefault="00440FC0" w:rsidP="00440FC0">
      <w:pPr>
        <w:tabs>
          <w:tab w:val="left" w:pos="851"/>
        </w:tabs>
        <w:ind w:left="851"/>
        <w:rPr>
          <w:sz w:val="24"/>
          <w:szCs w:val="24"/>
          <w:lang w:val="en-GB"/>
        </w:rPr>
      </w:pPr>
      <w:r w:rsidRPr="00440FC0">
        <w:rPr>
          <w:sz w:val="24"/>
          <w:szCs w:val="24"/>
          <w:lang w:val="en-GB"/>
        </w:rPr>
        <w:lastRenderedPageBreak/>
        <w:t>30 mg: Pink, opaque hard capsules, approximately 16 mm of length, with black imprint ‘30’ on body and ‘LI’ on cap, filled with white to off white powder.</w:t>
      </w:r>
    </w:p>
    <w:p w14:paraId="659D0DD6" w14:textId="77777777" w:rsidR="00440FC0" w:rsidRPr="00440FC0" w:rsidRDefault="00440FC0" w:rsidP="00440FC0">
      <w:pPr>
        <w:tabs>
          <w:tab w:val="left" w:pos="851"/>
        </w:tabs>
        <w:ind w:left="851"/>
        <w:rPr>
          <w:sz w:val="24"/>
          <w:szCs w:val="24"/>
          <w:lang w:val="en-GB"/>
        </w:rPr>
      </w:pPr>
    </w:p>
    <w:p w14:paraId="5528B0DE" w14:textId="77777777" w:rsidR="00440FC0" w:rsidRPr="00440FC0" w:rsidRDefault="00440FC0" w:rsidP="00440FC0">
      <w:pPr>
        <w:tabs>
          <w:tab w:val="left" w:pos="851"/>
        </w:tabs>
        <w:ind w:left="851"/>
        <w:rPr>
          <w:sz w:val="24"/>
          <w:szCs w:val="24"/>
          <w:lang w:val="en-GB"/>
        </w:rPr>
      </w:pPr>
      <w:r w:rsidRPr="00440FC0">
        <w:rPr>
          <w:sz w:val="24"/>
          <w:szCs w:val="24"/>
          <w:lang w:val="en-GB"/>
        </w:rPr>
        <w:t>40 mg: Dark green, opaque hard capsules, approximately 16 mm of length, with black imprint ‘40’ on body and ‘LI’ on cap, filled with white to off white powder.</w:t>
      </w:r>
    </w:p>
    <w:p w14:paraId="15162498" w14:textId="77777777" w:rsidR="00440FC0" w:rsidRPr="00440FC0" w:rsidRDefault="00440FC0" w:rsidP="00440FC0">
      <w:pPr>
        <w:tabs>
          <w:tab w:val="left" w:pos="851"/>
        </w:tabs>
        <w:ind w:left="851"/>
        <w:rPr>
          <w:sz w:val="24"/>
          <w:szCs w:val="24"/>
          <w:lang w:val="en-GB"/>
        </w:rPr>
      </w:pPr>
    </w:p>
    <w:p w14:paraId="0D869CEF" w14:textId="77777777" w:rsidR="00440FC0" w:rsidRPr="00440FC0" w:rsidRDefault="00440FC0" w:rsidP="00440FC0">
      <w:pPr>
        <w:tabs>
          <w:tab w:val="left" w:pos="851"/>
        </w:tabs>
        <w:ind w:left="851"/>
        <w:rPr>
          <w:sz w:val="24"/>
          <w:szCs w:val="24"/>
          <w:lang w:val="en-GB"/>
        </w:rPr>
      </w:pPr>
      <w:r w:rsidRPr="00440FC0">
        <w:rPr>
          <w:sz w:val="24"/>
          <w:szCs w:val="24"/>
          <w:lang w:val="en-GB"/>
        </w:rPr>
        <w:t>50 mg: Light blue, opaque hard capsules, approximately 16 mm of length, with black imprint ‘50’ on body and ‘LI’ on cap, filled with white to off white powder.</w:t>
      </w:r>
    </w:p>
    <w:p w14:paraId="003F3BC5" w14:textId="77777777" w:rsidR="00440FC0" w:rsidRPr="00440FC0" w:rsidRDefault="00440FC0" w:rsidP="00440FC0">
      <w:pPr>
        <w:tabs>
          <w:tab w:val="left" w:pos="851"/>
        </w:tabs>
        <w:ind w:left="851"/>
        <w:rPr>
          <w:sz w:val="24"/>
          <w:szCs w:val="24"/>
          <w:lang w:val="en-GB"/>
        </w:rPr>
      </w:pPr>
    </w:p>
    <w:p w14:paraId="14E497DC" w14:textId="77777777" w:rsidR="00440FC0" w:rsidRPr="00440FC0" w:rsidRDefault="00440FC0" w:rsidP="00440FC0">
      <w:pPr>
        <w:tabs>
          <w:tab w:val="left" w:pos="851"/>
        </w:tabs>
        <w:ind w:left="851"/>
        <w:rPr>
          <w:sz w:val="24"/>
          <w:szCs w:val="24"/>
          <w:lang w:val="en-GB"/>
        </w:rPr>
      </w:pPr>
      <w:r w:rsidRPr="00440FC0">
        <w:rPr>
          <w:sz w:val="24"/>
          <w:szCs w:val="24"/>
          <w:lang w:val="en-GB"/>
        </w:rPr>
        <w:t>60 mg: Turquoise, opaque hard capsules, approximately 16 mm of length, with black imprint ‘60’ on body and ‘LI’ on cap, filled with white to off white powder.</w:t>
      </w:r>
    </w:p>
    <w:p w14:paraId="20A29B9B" w14:textId="77777777" w:rsidR="00440FC0" w:rsidRPr="00440FC0" w:rsidRDefault="00440FC0" w:rsidP="00440FC0">
      <w:pPr>
        <w:tabs>
          <w:tab w:val="left" w:pos="851"/>
        </w:tabs>
        <w:ind w:left="851"/>
        <w:rPr>
          <w:sz w:val="24"/>
          <w:szCs w:val="24"/>
          <w:lang w:val="en-GB"/>
        </w:rPr>
      </w:pPr>
    </w:p>
    <w:p w14:paraId="1938527F" w14:textId="77777777" w:rsidR="00440FC0" w:rsidRPr="00440FC0" w:rsidRDefault="00440FC0" w:rsidP="00440FC0">
      <w:pPr>
        <w:tabs>
          <w:tab w:val="left" w:pos="851"/>
        </w:tabs>
        <w:ind w:left="851"/>
        <w:rPr>
          <w:sz w:val="24"/>
          <w:szCs w:val="24"/>
          <w:lang w:val="en-GB"/>
        </w:rPr>
      </w:pPr>
      <w:r w:rsidRPr="00440FC0">
        <w:rPr>
          <w:sz w:val="24"/>
          <w:szCs w:val="24"/>
          <w:lang w:val="en-GB"/>
        </w:rPr>
        <w:t>70 mg: Brown, opaque hard capsules, approximately 16 mm of length, with black imprint ‘70’ on body and ‘LI’ on cap, filled with white to off white powder.</w:t>
      </w:r>
    </w:p>
    <w:p w14:paraId="18F6B8B1" w14:textId="77777777" w:rsidR="007C5D2A" w:rsidRPr="00303008" w:rsidRDefault="007C5D2A" w:rsidP="004A3BF4">
      <w:pPr>
        <w:tabs>
          <w:tab w:val="left" w:pos="851"/>
        </w:tabs>
        <w:ind w:left="851"/>
        <w:rPr>
          <w:sz w:val="24"/>
          <w:szCs w:val="24"/>
          <w:lang w:val="en-GB"/>
        </w:rPr>
      </w:pPr>
    </w:p>
    <w:p w14:paraId="4C1813A6" w14:textId="77777777" w:rsidR="007C5D2A" w:rsidRPr="00303008" w:rsidRDefault="007C5D2A" w:rsidP="004A3BF4">
      <w:pPr>
        <w:tabs>
          <w:tab w:val="left" w:pos="851"/>
        </w:tabs>
        <w:ind w:left="851"/>
        <w:rPr>
          <w:sz w:val="24"/>
          <w:szCs w:val="24"/>
          <w:lang w:val="en-GB"/>
        </w:rPr>
      </w:pPr>
    </w:p>
    <w:p w14:paraId="52B6ADBB"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4533C463" w14:textId="77777777" w:rsidR="007C5D2A" w:rsidRPr="00303008" w:rsidRDefault="007C5D2A" w:rsidP="004A3BF4">
      <w:pPr>
        <w:tabs>
          <w:tab w:val="left" w:pos="851"/>
        </w:tabs>
        <w:ind w:left="851"/>
        <w:rPr>
          <w:sz w:val="24"/>
          <w:szCs w:val="24"/>
          <w:lang w:val="en-GB"/>
        </w:rPr>
      </w:pPr>
    </w:p>
    <w:p w14:paraId="6E01E18E"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05EC635"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Dexhility is indicated as part of a comprehensive treatment programme for attention deficit/hyperactivity disorder (ADHD) in children aged 6 years and over when response to previous methylphenidate treatment is considered clinically inadequate. </w:t>
      </w:r>
    </w:p>
    <w:p w14:paraId="6EE69340" w14:textId="77777777" w:rsidR="00961494" w:rsidRPr="00961494" w:rsidRDefault="00961494" w:rsidP="00961494">
      <w:pPr>
        <w:tabs>
          <w:tab w:val="left" w:pos="851"/>
        </w:tabs>
        <w:ind w:left="851"/>
        <w:rPr>
          <w:sz w:val="24"/>
          <w:szCs w:val="24"/>
          <w:lang w:val="en-GB"/>
        </w:rPr>
      </w:pPr>
    </w:p>
    <w:p w14:paraId="1EAC00B4"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Treatment must be under the supervision of a specialist in childhood and/or adolescent behavioural disorders. Diagnosis should be made according to DSM criteria or the guidelines in ICD and should be based on a complete history and evaluation of the patient. Diagnosis cannot be made solely on the presence of one or more symptom. </w:t>
      </w:r>
    </w:p>
    <w:p w14:paraId="47A3B602" w14:textId="77777777" w:rsidR="00961494" w:rsidRPr="00961494" w:rsidRDefault="00961494" w:rsidP="00961494">
      <w:pPr>
        <w:tabs>
          <w:tab w:val="left" w:pos="851"/>
        </w:tabs>
        <w:ind w:left="851"/>
        <w:rPr>
          <w:sz w:val="24"/>
          <w:szCs w:val="24"/>
          <w:lang w:val="en-GB"/>
        </w:rPr>
      </w:pPr>
    </w:p>
    <w:p w14:paraId="6E8A428A"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The specific aetiology of this syndrome is unknown, and there is no single diagnostic test. Adequate diagnosis requires the use of medical and specialised psychological, educational, and social resources. </w:t>
      </w:r>
    </w:p>
    <w:p w14:paraId="4927A3D7"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A comprehensive treatment programme typically includes psychological, educational and social measures as well as pharmacotherapy and is aimed at stabilising children with a behavioural syndrome characterised by symptoms which may include chronic history of short attention span, distractibility, emotional lability, impulsivity, moderate to severe hyperactivity, minor neurological signs and abnormal EEG. Learning may or may not be impaired. </w:t>
      </w:r>
    </w:p>
    <w:p w14:paraId="10C544C0" w14:textId="77777777" w:rsidR="00961494" w:rsidRPr="00961494" w:rsidRDefault="00961494" w:rsidP="00961494">
      <w:pPr>
        <w:tabs>
          <w:tab w:val="left" w:pos="851"/>
        </w:tabs>
        <w:ind w:left="851"/>
        <w:rPr>
          <w:sz w:val="24"/>
          <w:szCs w:val="24"/>
          <w:lang w:val="en-GB"/>
        </w:rPr>
      </w:pPr>
    </w:p>
    <w:p w14:paraId="7AEB44D3"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Dexhility is not indicated in all children with ADHD and the decision to use the medicinal product must be based on a very thorough assessment of the severity and chronicity of the child’s symptoms in relation to the child’s age and potential for abuse, misuse or diversion. </w:t>
      </w:r>
    </w:p>
    <w:p w14:paraId="2EBC5302" w14:textId="77777777" w:rsidR="00961494" w:rsidRPr="00961494" w:rsidRDefault="00961494" w:rsidP="00961494">
      <w:pPr>
        <w:tabs>
          <w:tab w:val="left" w:pos="851"/>
        </w:tabs>
        <w:ind w:left="851"/>
        <w:rPr>
          <w:sz w:val="24"/>
          <w:szCs w:val="24"/>
          <w:lang w:val="en-GB"/>
        </w:rPr>
      </w:pPr>
    </w:p>
    <w:p w14:paraId="09C92D0D" w14:textId="77777777" w:rsidR="00961494" w:rsidRPr="00961494" w:rsidRDefault="00961494" w:rsidP="00961494">
      <w:pPr>
        <w:tabs>
          <w:tab w:val="left" w:pos="851"/>
        </w:tabs>
        <w:ind w:left="851"/>
        <w:rPr>
          <w:sz w:val="24"/>
          <w:szCs w:val="24"/>
          <w:lang w:val="en-GB"/>
        </w:rPr>
      </w:pPr>
      <w:r w:rsidRPr="00961494">
        <w:rPr>
          <w:sz w:val="24"/>
          <w:szCs w:val="24"/>
          <w:lang w:val="en-GB"/>
        </w:rPr>
        <w:t>Appropriate educational placement is essential, and psychosocial intervention is generally necessary. The use of Dexhility should always be used in this way according to the licensed indication.</w:t>
      </w:r>
    </w:p>
    <w:p w14:paraId="2AF116E6" w14:textId="77777777" w:rsidR="007C5D2A" w:rsidRPr="00303008" w:rsidRDefault="007C5D2A" w:rsidP="00A85D26">
      <w:pPr>
        <w:tabs>
          <w:tab w:val="left" w:pos="851"/>
        </w:tabs>
        <w:ind w:left="851"/>
        <w:rPr>
          <w:sz w:val="24"/>
          <w:szCs w:val="24"/>
          <w:lang w:val="en-GB"/>
        </w:rPr>
      </w:pPr>
    </w:p>
    <w:p w14:paraId="7E08388A"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2CEF14B7" w14:textId="77777777" w:rsidR="00961494" w:rsidRPr="00961494" w:rsidRDefault="00961494" w:rsidP="00961494">
      <w:pPr>
        <w:tabs>
          <w:tab w:val="left" w:pos="851"/>
        </w:tabs>
        <w:ind w:left="851"/>
        <w:rPr>
          <w:sz w:val="24"/>
          <w:szCs w:val="24"/>
          <w:lang w:val="en-GB"/>
        </w:rPr>
      </w:pPr>
      <w:r w:rsidRPr="00961494">
        <w:rPr>
          <w:sz w:val="24"/>
          <w:szCs w:val="24"/>
          <w:lang w:val="en-GB"/>
        </w:rPr>
        <w:t>Treatment must be initiated under the supervision of an appropriate specialist in childhood and/or adolescent behavioural disorders.</w:t>
      </w:r>
    </w:p>
    <w:p w14:paraId="6AFA6873" w14:textId="2F8A70F9" w:rsidR="00961494" w:rsidRDefault="00961494">
      <w:pPr>
        <w:rPr>
          <w:sz w:val="24"/>
          <w:szCs w:val="24"/>
          <w:lang w:val="en-GB"/>
        </w:rPr>
      </w:pPr>
      <w:r>
        <w:rPr>
          <w:sz w:val="24"/>
          <w:szCs w:val="24"/>
          <w:lang w:val="en-GB"/>
        </w:rPr>
        <w:br w:type="page"/>
      </w:r>
    </w:p>
    <w:p w14:paraId="6D1CBA4D" w14:textId="77777777" w:rsidR="00961494" w:rsidRPr="00961494" w:rsidRDefault="00961494" w:rsidP="00961494">
      <w:pPr>
        <w:tabs>
          <w:tab w:val="left" w:pos="851"/>
        </w:tabs>
        <w:ind w:left="851"/>
        <w:rPr>
          <w:sz w:val="24"/>
          <w:szCs w:val="24"/>
          <w:lang w:val="en-GB"/>
        </w:rPr>
      </w:pPr>
    </w:p>
    <w:p w14:paraId="2385F7EB" w14:textId="77777777" w:rsidR="00961494" w:rsidRPr="00961494" w:rsidRDefault="00961494" w:rsidP="00961494">
      <w:pPr>
        <w:tabs>
          <w:tab w:val="left" w:pos="851"/>
        </w:tabs>
        <w:ind w:left="851"/>
        <w:rPr>
          <w:sz w:val="24"/>
          <w:szCs w:val="24"/>
          <w:u w:val="single"/>
          <w:lang w:val="en-GB"/>
        </w:rPr>
      </w:pPr>
      <w:r w:rsidRPr="00961494">
        <w:rPr>
          <w:sz w:val="24"/>
          <w:szCs w:val="24"/>
          <w:u w:val="single"/>
          <w:lang w:val="en-GB"/>
        </w:rPr>
        <w:t>Pre-treatment evaluation</w:t>
      </w:r>
    </w:p>
    <w:p w14:paraId="3000234B"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Prior to prescribing, it is necessary to conduct a baseline evaluation of a patient’s cardiovascular status including blood pressure and heart rate. A comprehensive history should document concomitant medications, past and present co-morbid medical and psychiatric disorders or symptoms, family history of sudden cardiac/unexplained death, and accurate recording of pre-treatment height and weight on a growth chart (see section 4.3 and section 4.4). </w:t>
      </w:r>
    </w:p>
    <w:p w14:paraId="1056CAA4" w14:textId="77777777" w:rsidR="00961494" w:rsidRPr="00961494" w:rsidRDefault="00961494" w:rsidP="00961494">
      <w:pPr>
        <w:tabs>
          <w:tab w:val="left" w:pos="851"/>
        </w:tabs>
        <w:ind w:left="851"/>
        <w:rPr>
          <w:sz w:val="24"/>
          <w:szCs w:val="24"/>
          <w:lang w:val="en-GB"/>
        </w:rPr>
      </w:pPr>
    </w:p>
    <w:p w14:paraId="6CA8B99C" w14:textId="77777777" w:rsidR="00961494" w:rsidRPr="00961494" w:rsidRDefault="00961494" w:rsidP="00961494">
      <w:pPr>
        <w:tabs>
          <w:tab w:val="left" w:pos="851"/>
        </w:tabs>
        <w:ind w:left="851"/>
        <w:rPr>
          <w:sz w:val="24"/>
          <w:szCs w:val="24"/>
          <w:lang w:val="en-GB"/>
        </w:rPr>
      </w:pPr>
      <w:r w:rsidRPr="00961494">
        <w:rPr>
          <w:sz w:val="24"/>
          <w:szCs w:val="24"/>
          <w:lang w:val="en-GB"/>
        </w:rPr>
        <w:t>Consistent with other stimulants, the potential for abuse, misuse or diversion of Dexhility should be considered prior to prescribing (see section 4.4).</w:t>
      </w:r>
    </w:p>
    <w:p w14:paraId="1FE5932E" w14:textId="77777777" w:rsidR="00961494" w:rsidRPr="00961494" w:rsidRDefault="00961494" w:rsidP="00961494">
      <w:pPr>
        <w:tabs>
          <w:tab w:val="left" w:pos="851"/>
        </w:tabs>
        <w:ind w:left="851"/>
        <w:rPr>
          <w:sz w:val="24"/>
          <w:szCs w:val="24"/>
          <w:lang w:val="en-GB"/>
        </w:rPr>
      </w:pPr>
    </w:p>
    <w:p w14:paraId="454C08C7" w14:textId="77777777" w:rsidR="00961494" w:rsidRPr="00961494" w:rsidRDefault="00961494" w:rsidP="00961494">
      <w:pPr>
        <w:tabs>
          <w:tab w:val="left" w:pos="851"/>
        </w:tabs>
        <w:ind w:left="851"/>
        <w:rPr>
          <w:sz w:val="24"/>
          <w:szCs w:val="24"/>
          <w:u w:val="single"/>
          <w:lang w:val="en-GB"/>
        </w:rPr>
      </w:pPr>
      <w:r w:rsidRPr="00961494">
        <w:rPr>
          <w:sz w:val="24"/>
          <w:szCs w:val="24"/>
          <w:u w:val="single"/>
          <w:lang w:val="en-GB"/>
        </w:rPr>
        <w:t>Ongoing monitoring</w:t>
      </w:r>
    </w:p>
    <w:p w14:paraId="51EB4B91" w14:textId="77777777" w:rsidR="00961494" w:rsidRPr="00961494" w:rsidRDefault="00961494" w:rsidP="00961494">
      <w:pPr>
        <w:tabs>
          <w:tab w:val="left" w:pos="851"/>
        </w:tabs>
        <w:ind w:left="851"/>
        <w:rPr>
          <w:sz w:val="24"/>
          <w:szCs w:val="24"/>
          <w:lang w:val="en-GB"/>
        </w:rPr>
      </w:pPr>
      <w:r w:rsidRPr="00961494">
        <w:rPr>
          <w:sz w:val="24"/>
          <w:szCs w:val="24"/>
          <w:lang w:val="en-GB"/>
        </w:rPr>
        <w:t>Growth, psychiatric, and cardiovascular status should be continually monitored (see also section 4.4).</w:t>
      </w:r>
    </w:p>
    <w:p w14:paraId="4ABED17E" w14:textId="77777777" w:rsidR="00961494" w:rsidRPr="00961494" w:rsidRDefault="00961494" w:rsidP="00961494">
      <w:pPr>
        <w:tabs>
          <w:tab w:val="left" w:pos="851"/>
        </w:tabs>
        <w:ind w:left="851"/>
        <w:rPr>
          <w:sz w:val="24"/>
          <w:szCs w:val="24"/>
          <w:lang w:val="en-GB"/>
        </w:rPr>
      </w:pPr>
    </w:p>
    <w:p w14:paraId="1577A41F" w14:textId="77777777" w:rsidR="00961494" w:rsidRPr="00961494" w:rsidRDefault="00961494" w:rsidP="00961494">
      <w:pPr>
        <w:numPr>
          <w:ilvl w:val="0"/>
          <w:numId w:val="5"/>
        </w:numPr>
        <w:tabs>
          <w:tab w:val="left" w:pos="851"/>
        </w:tabs>
        <w:ind w:left="1134" w:hanging="283"/>
        <w:rPr>
          <w:sz w:val="24"/>
          <w:szCs w:val="24"/>
          <w:lang w:val="en-GB"/>
        </w:rPr>
      </w:pPr>
      <w:r w:rsidRPr="00961494">
        <w:rPr>
          <w:sz w:val="24"/>
          <w:szCs w:val="24"/>
          <w:lang w:val="en-GB"/>
        </w:rPr>
        <w:t>Blood pressure and pulse should be recorded on a centile chart at each adjustment of dose and at least every six months.</w:t>
      </w:r>
    </w:p>
    <w:p w14:paraId="29DFE878" w14:textId="77777777" w:rsidR="00961494" w:rsidRPr="00961494" w:rsidRDefault="00961494" w:rsidP="00961494">
      <w:pPr>
        <w:numPr>
          <w:ilvl w:val="0"/>
          <w:numId w:val="5"/>
        </w:numPr>
        <w:tabs>
          <w:tab w:val="left" w:pos="851"/>
        </w:tabs>
        <w:ind w:left="1134" w:hanging="283"/>
        <w:rPr>
          <w:sz w:val="24"/>
          <w:szCs w:val="24"/>
          <w:lang w:val="en-GB"/>
        </w:rPr>
      </w:pPr>
      <w:r w:rsidRPr="00961494">
        <w:rPr>
          <w:sz w:val="24"/>
          <w:szCs w:val="24"/>
          <w:lang w:val="en-GB"/>
        </w:rPr>
        <w:t>Height, weight, and appetite should be recorded at least six-monthly with maintenance of a growth chart.</w:t>
      </w:r>
    </w:p>
    <w:p w14:paraId="0DE607B5" w14:textId="77777777" w:rsidR="00961494" w:rsidRPr="00961494" w:rsidRDefault="00961494" w:rsidP="00961494">
      <w:pPr>
        <w:numPr>
          <w:ilvl w:val="0"/>
          <w:numId w:val="5"/>
        </w:numPr>
        <w:tabs>
          <w:tab w:val="left" w:pos="851"/>
        </w:tabs>
        <w:ind w:left="1134" w:hanging="283"/>
        <w:rPr>
          <w:sz w:val="24"/>
          <w:szCs w:val="24"/>
          <w:lang w:val="en-GB"/>
        </w:rPr>
      </w:pPr>
      <w:r w:rsidRPr="00961494">
        <w:rPr>
          <w:sz w:val="24"/>
          <w:szCs w:val="24"/>
          <w:lang w:val="en-GB"/>
        </w:rPr>
        <w:t xml:space="preserve">Development of </w:t>
      </w:r>
      <w:r w:rsidRPr="00961494">
        <w:rPr>
          <w:i/>
          <w:iCs/>
          <w:sz w:val="24"/>
          <w:szCs w:val="24"/>
          <w:lang w:val="en-GB"/>
        </w:rPr>
        <w:t>de novo</w:t>
      </w:r>
      <w:r w:rsidRPr="00961494">
        <w:rPr>
          <w:sz w:val="24"/>
          <w:szCs w:val="24"/>
          <w:lang w:val="en-GB"/>
        </w:rPr>
        <w:t xml:space="preserve"> or worsening of pre-existing psychiatric disorders should be monitored at every adjustment of dose and then at least every six months and at every visit.</w:t>
      </w:r>
    </w:p>
    <w:p w14:paraId="4CC26280" w14:textId="77777777" w:rsidR="00961494" w:rsidRPr="00961494" w:rsidRDefault="00961494" w:rsidP="00961494">
      <w:pPr>
        <w:tabs>
          <w:tab w:val="left" w:pos="851"/>
        </w:tabs>
        <w:ind w:left="851"/>
        <w:rPr>
          <w:sz w:val="24"/>
          <w:szCs w:val="24"/>
          <w:lang w:val="en-GB"/>
        </w:rPr>
      </w:pPr>
    </w:p>
    <w:p w14:paraId="5849A7BC" w14:textId="77777777" w:rsidR="00961494" w:rsidRPr="00961494" w:rsidRDefault="00961494" w:rsidP="00961494">
      <w:pPr>
        <w:tabs>
          <w:tab w:val="left" w:pos="851"/>
        </w:tabs>
        <w:ind w:left="851"/>
        <w:rPr>
          <w:sz w:val="24"/>
          <w:szCs w:val="24"/>
          <w:lang w:val="en-GB"/>
        </w:rPr>
      </w:pPr>
      <w:r w:rsidRPr="00961494">
        <w:rPr>
          <w:sz w:val="24"/>
          <w:szCs w:val="24"/>
          <w:lang w:val="en-GB"/>
        </w:rPr>
        <w:t>Patients should be monitored for the risk of diversion, misuse, and abuse of Dexhility.</w:t>
      </w:r>
    </w:p>
    <w:p w14:paraId="1CB4ABF8" w14:textId="77777777" w:rsidR="00961494" w:rsidRPr="00961494" w:rsidRDefault="00961494" w:rsidP="00961494">
      <w:pPr>
        <w:tabs>
          <w:tab w:val="left" w:pos="851"/>
        </w:tabs>
        <w:ind w:left="851"/>
        <w:rPr>
          <w:sz w:val="24"/>
          <w:szCs w:val="24"/>
          <w:u w:val="single"/>
          <w:lang w:val="en-GB"/>
        </w:rPr>
      </w:pPr>
    </w:p>
    <w:p w14:paraId="5A36064F" w14:textId="77777777" w:rsidR="00961494" w:rsidRPr="00961494" w:rsidRDefault="00961494" w:rsidP="00961494">
      <w:pPr>
        <w:tabs>
          <w:tab w:val="left" w:pos="851"/>
        </w:tabs>
        <w:ind w:left="851"/>
        <w:rPr>
          <w:sz w:val="24"/>
          <w:szCs w:val="24"/>
          <w:u w:val="single"/>
          <w:lang w:val="en-GB"/>
        </w:rPr>
      </w:pPr>
      <w:r w:rsidRPr="00961494">
        <w:rPr>
          <w:sz w:val="24"/>
          <w:szCs w:val="24"/>
          <w:u w:val="single"/>
          <w:lang w:val="en-GB"/>
        </w:rPr>
        <w:t xml:space="preserve">Posology </w:t>
      </w:r>
    </w:p>
    <w:p w14:paraId="505F6B4B" w14:textId="77777777" w:rsidR="00961494" w:rsidRPr="00961494" w:rsidRDefault="00961494" w:rsidP="00961494">
      <w:pPr>
        <w:tabs>
          <w:tab w:val="left" w:pos="851"/>
        </w:tabs>
        <w:ind w:left="851"/>
        <w:rPr>
          <w:sz w:val="24"/>
          <w:szCs w:val="24"/>
          <w:lang w:val="en-GB"/>
        </w:rPr>
      </w:pPr>
      <w:r w:rsidRPr="00961494">
        <w:rPr>
          <w:sz w:val="24"/>
          <w:szCs w:val="24"/>
          <w:lang w:val="en-GB"/>
        </w:rPr>
        <w:t xml:space="preserve">Dosage should be individualised according to the therapeutic needs and response of the patient. </w:t>
      </w:r>
    </w:p>
    <w:p w14:paraId="77A3F4CF" w14:textId="77777777" w:rsidR="00961494" w:rsidRPr="00961494" w:rsidRDefault="00961494" w:rsidP="00961494">
      <w:pPr>
        <w:tabs>
          <w:tab w:val="left" w:pos="851"/>
        </w:tabs>
        <w:ind w:left="851"/>
        <w:rPr>
          <w:sz w:val="24"/>
          <w:szCs w:val="24"/>
          <w:lang w:val="en-GB"/>
        </w:rPr>
      </w:pPr>
      <w:r w:rsidRPr="00961494">
        <w:rPr>
          <w:sz w:val="24"/>
          <w:szCs w:val="24"/>
          <w:lang w:val="en-GB"/>
        </w:rPr>
        <w:t>Careful dose titration is necessary at the start of treatment with Dexhility.</w:t>
      </w:r>
    </w:p>
    <w:p w14:paraId="67F39DDC" w14:textId="77777777" w:rsidR="00961494" w:rsidRPr="00961494" w:rsidRDefault="00961494" w:rsidP="00961494">
      <w:pPr>
        <w:tabs>
          <w:tab w:val="left" w:pos="851"/>
        </w:tabs>
        <w:ind w:left="851"/>
        <w:rPr>
          <w:sz w:val="24"/>
          <w:szCs w:val="24"/>
          <w:lang w:val="en-GB"/>
        </w:rPr>
      </w:pPr>
    </w:p>
    <w:p w14:paraId="07FBFA16" w14:textId="77777777" w:rsidR="00961494" w:rsidRPr="00961494" w:rsidRDefault="00961494" w:rsidP="00961494">
      <w:pPr>
        <w:tabs>
          <w:tab w:val="left" w:pos="851"/>
        </w:tabs>
        <w:ind w:left="851"/>
        <w:rPr>
          <w:sz w:val="24"/>
          <w:szCs w:val="24"/>
          <w:lang w:val="en-GB"/>
        </w:rPr>
      </w:pPr>
      <w:r w:rsidRPr="00961494">
        <w:rPr>
          <w:sz w:val="24"/>
          <w:szCs w:val="24"/>
          <w:lang w:val="en-GB"/>
        </w:rPr>
        <w:t>The starting dose is 30 mg taken once daily in the morning. When in the judgment of the clinician a lower initial dose is appropriate, patients may begin treatment with 20 mg once daily in the morning.</w:t>
      </w:r>
    </w:p>
    <w:p w14:paraId="68B5C674" w14:textId="77777777" w:rsidR="00961494" w:rsidRPr="00961494" w:rsidRDefault="00961494" w:rsidP="00961494">
      <w:pPr>
        <w:tabs>
          <w:tab w:val="left" w:pos="851"/>
        </w:tabs>
        <w:ind w:left="851"/>
        <w:rPr>
          <w:sz w:val="24"/>
          <w:szCs w:val="24"/>
          <w:lang w:val="en-GB"/>
        </w:rPr>
      </w:pPr>
    </w:p>
    <w:p w14:paraId="208B2D47" w14:textId="77777777" w:rsidR="00961494" w:rsidRPr="00961494" w:rsidRDefault="00961494" w:rsidP="00961494">
      <w:pPr>
        <w:tabs>
          <w:tab w:val="left" w:pos="851"/>
        </w:tabs>
        <w:ind w:left="851"/>
        <w:rPr>
          <w:sz w:val="24"/>
          <w:szCs w:val="24"/>
          <w:lang w:val="en-GB"/>
        </w:rPr>
      </w:pPr>
      <w:r w:rsidRPr="00961494">
        <w:rPr>
          <w:sz w:val="24"/>
          <w:szCs w:val="24"/>
          <w:lang w:val="en-GB"/>
        </w:rPr>
        <w:t>The dose may be increased by</w:t>
      </w:r>
      <w:r w:rsidRPr="00961494">
        <w:rPr>
          <w:i/>
          <w:sz w:val="24"/>
          <w:szCs w:val="24"/>
          <w:lang w:val="en-GB"/>
        </w:rPr>
        <w:t xml:space="preserve"> </w:t>
      </w:r>
      <w:r w:rsidRPr="00961494">
        <w:rPr>
          <w:sz w:val="24"/>
          <w:szCs w:val="24"/>
          <w:lang w:val="en-GB"/>
        </w:rPr>
        <w:t>10 or 20 mg increments, at approximately weekly intervals. Dexhility should be administered orally at the lowest effective dose.</w:t>
      </w:r>
    </w:p>
    <w:p w14:paraId="1654CE2B" w14:textId="77777777" w:rsidR="00961494" w:rsidRPr="00961494" w:rsidRDefault="00961494" w:rsidP="00961494">
      <w:pPr>
        <w:tabs>
          <w:tab w:val="left" w:pos="851"/>
        </w:tabs>
        <w:ind w:left="851"/>
        <w:rPr>
          <w:sz w:val="24"/>
          <w:szCs w:val="24"/>
          <w:lang w:val="en-GB"/>
        </w:rPr>
      </w:pPr>
    </w:p>
    <w:p w14:paraId="4E760523" w14:textId="77777777" w:rsidR="00961494" w:rsidRPr="00961494" w:rsidRDefault="00961494" w:rsidP="00961494">
      <w:pPr>
        <w:tabs>
          <w:tab w:val="left" w:pos="851"/>
        </w:tabs>
        <w:ind w:left="851"/>
        <w:rPr>
          <w:sz w:val="24"/>
          <w:szCs w:val="24"/>
          <w:lang w:val="en-GB"/>
        </w:rPr>
      </w:pPr>
      <w:r w:rsidRPr="00961494">
        <w:rPr>
          <w:sz w:val="24"/>
          <w:szCs w:val="24"/>
          <w:lang w:val="en-GB"/>
        </w:rPr>
        <w:t>The maximum recommended dose is 70 mg/day; higher doses have not been studied.</w:t>
      </w:r>
    </w:p>
    <w:p w14:paraId="20AFEE6D" w14:textId="77777777" w:rsidR="00961494" w:rsidRPr="00961494" w:rsidRDefault="00961494" w:rsidP="00961494">
      <w:pPr>
        <w:tabs>
          <w:tab w:val="left" w:pos="851"/>
        </w:tabs>
        <w:ind w:left="851"/>
        <w:rPr>
          <w:sz w:val="24"/>
          <w:szCs w:val="24"/>
          <w:lang w:val="en-GB"/>
        </w:rPr>
      </w:pPr>
    </w:p>
    <w:p w14:paraId="185A95DB" w14:textId="77777777" w:rsidR="00961494" w:rsidRPr="00961494" w:rsidRDefault="00961494" w:rsidP="00961494">
      <w:pPr>
        <w:tabs>
          <w:tab w:val="left" w:pos="851"/>
        </w:tabs>
        <w:ind w:left="851"/>
        <w:rPr>
          <w:sz w:val="24"/>
          <w:szCs w:val="24"/>
          <w:lang w:val="en-GB"/>
        </w:rPr>
      </w:pPr>
      <w:r w:rsidRPr="00961494">
        <w:rPr>
          <w:sz w:val="24"/>
          <w:szCs w:val="24"/>
          <w:lang w:val="en-GB"/>
        </w:rPr>
        <w:t>Treatment must be stopped if the symptoms do not improve after appropriate dose adjustment over a 1-month period. If paradoxical aggravation of symptoms or other intolerable adverse events occur, the dose should be reduced or discontinued.</w:t>
      </w:r>
    </w:p>
    <w:p w14:paraId="6633A642" w14:textId="77777777" w:rsidR="00961494" w:rsidRPr="00961494" w:rsidRDefault="00961494" w:rsidP="00961494">
      <w:pPr>
        <w:tabs>
          <w:tab w:val="left" w:pos="851"/>
        </w:tabs>
        <w:ind w:left="851"/>
        <w:rPr>
          <w:sz w:val="24"/>
          <w:szCs w:val="24"/>
          <w:u w:val="single"/>
          <w:lang w:val="en-GB"/>
        </w:rPr>
      </w:pPr>
    </w:p>
    <w:p w14:paraId="667E188D" w14:textId="77777777" w:rsidR="00961494" w:rsidRPr="00961494" w:rsidRDefault="00961494" w:rsidP="00961494">
      <w:pPr>
        <w:tabs>
          <w:tab w:val="left" w:pos="851"/>
        </w:tabs>
        <w:ind w:left="851"/>
        <w:rPr>
          <w:sz w:val="24"/>
          <w:szCs w:val="24"/>
          <w:lang w:val="en-GB"/>
        </w:rPr>
      </w:pPr>
      <w:r w:rsidRPr="00961494">
        <w:rPr>
          <w:sz w:val="24"/>
          <w:szCs w:val="24"/>
          <w:u w:val="single"/>
          <w:lang w:val="en-GB"/>
        </w:rPr>
        <w:t xml:space="preserve">Method of administration </w:t>
      </w:r>
    </w:p>
    <w:p w14:paraId="7E367261" w14:textId="77777777" w:rsidR="00961494" w:rsidRPr="00961494" w:rsidRDefault="00961494" w:rsidP="00961494">
      <w:pPr>
        <w:tabs>
          <w:tab w:val="left" w:pos="851"/>
        </w:tabs>
        <w:ind w:left="851"/>
        <w:rPr>
          <w:iCs/>
          <w:sz w:val="24"/>
          <w:szCs w:val="24"/>
          <w:lang w:val="en-GB"/>
        </w:rPr>
      </w:pPr>
      <w:r w:rsidRPr="00961494">
        <w:rPr>
          <w:iCs/>
          <w:sz w:val="24"/>
          <w:szCs w:val="24"/>
          <w:lang w:val="en-GB"/>
        </w:rPr>
        <w:t>Dexhility may be taken with or without food.</w:t>
      </w:r>
    </w:p>
    <w:p w14:paraId="09CF0128" w14:textId="77777777" w:rsidR="00961494" w:rsidRPr="00961494" w:rsidRDefault="00961494" w:rsidP="00961494">
      <w:pPr>
        <w:tabs>
          <w:tab w:val="left" w:pos="851"/>
        </w:tabs>
        <w:ind w:left="851"/>
        <w:rPr>
          <w:iCs/>
          <w:sz w:val="24"/>
          <w:szCs w:val="24"/>
          <w:lang w:val="en-GB"/>
        </w:rPr>
      </w:pPr>
    </w:p>
    <w:p w14:paraId="656C1034" w14:textId="77777777" w:rsidR="00961494" w:rsidRPr="00961494" w:rsidRDefault="00961494" w:rsidP="00961494">
      <w:pPr>
        <w:tabs>
          <w:tab w:val="left" w:pos="851"/>
        </w:tabs>
        <w:ind w:left="851"/>
        <w:rPr>
          <w:iCs/>
          <w:sz w:val="24"/>
          <w:szCs w:val="24"/>
          <w:lang w:val="en-GB"/>
        </w:rPr>
      </w:pPr>
      <w:r w:rsidRPr="00961494">
        <w:rPr>
          <w:iCs/>
          <w:sz w:val="24"/>
          <w:szCs w:val="24"/>
          <w:lang w:val="en-GB"/>
        </w:rPr>
        <w:t>Dexhility may be swallowed whole, or the capsule opened and the entire contents emptied and mixed with a soft food such as yogurt or in a glass of water or orange juice. If the contents include any compacted powder, a spoon may be used to break apart the powder in the soft food or liquid. The contents should be stirred until completely dispersed. The patient should consume the entire mixture of soft food or liquid immediately; it should not be stored. The active ingredient dissolves completely once dispersed; however, a film containing the inactive ingredients may remain in the glass or container once the mixture is consumed.</w:t>
      </w:r>
    </w:p>
    <w:p w14:paraId="7DB68F53" w14:textId="77777777" w:rsidR="00961494" w:rsidRPr="00961494" w:rsidRDefault="00961494" w:rsidP="00961494">
      <w:pPr>
        <w:tabs>
          <w:tab w:val="left" w:pos="851"/>
        </w:tabs>
        <w:ind w:left="851"/>
        <w:rPr>
          <w:iCs/>
          <w:sz w:val="24"/>
          <w:szCs w:val="24"/>
          <w:lang w:val="en-GB"/>
        </w:rPr>
      </w:pPr>
    </w:p>
    <w:p w14:paraId="5FA56DB1" w14:textId="77777777" w:rsidR="00961494" w:rsidRPr="00961494" w:rsidRDefault="00961494" w:rsidP="00961494">
      <w:pPr>
        <w:tabs>
          <w:tab w:val="left" w:pos="851"/>
        </w:tabs>
        <w:ind w:left="851"/>
        <w:rPr>
          <w:iCs/>
          <w:sz w:val="24"/>
          <w:szCs w:val="24"/>
          <w:lang w:val="en-GB"/>
        </w:rPr>
      </w:pPr>
      <w:r w:rsidRPr="00961494">
        <w:rPr>
          <w:iCs/>
          <w:sz w:val="24"/>
          <w:szCs w:val="24"/>
          <w:lang w:val="en-GB"/>
        </w:rPr>
        <w:t>The patient should not take anything less than one capsule per day and a single capsule should not be divided.</w:t>
      </w:r>
    </w:p>
    <w:p w14:paraId="686E19F5" w14:textId="77777777" w:rsidR="00961494" w:rsidRPr="00961494" w:rsidRDefault="00961494" w:rsidP="00961494">
      <w:pPr>
        <w:tabs>
          <w:tab w:val="left" w:pos="851"/>
        </w:tabs>
        <w:ind w:left="851"/>
        <w:rPr>
          <w:iCs/>
          <w:sz w:val="24"/>
          <w:szCs w:val="24"/>
          <w:lang w:val="en-GB"/>
        </w:rPr>
      </w:pPr>
    </w:p>
    <w:p w14:paraId="62E6B31A" w14:textId="77777777" w:rsidR="00961494" w:rsidRPr="00961494" w:rsidRDefault="00961494" w:rsidP="00961494">
      <w:pPr>
        <w:tabs>
          <w:tab w:val="left" w:pos="851"/>
        </w:tabs>
        <w:ind w:left="851"/>
        <w:rPr>
          <w:iCs/>
          <w:sz w:val="24"/>
          <w:szCs w:val="24"/>
          <w:lang w:val="en-GB"/>
        </w:rPr>
      </w:pPr>
      <w:r w:rsidRPr="00961494">
        <w:rPr>
          <w:iCs/>
          <w:sz w:val="24"/>
          <w:szCs w:val="24"/>
          <w:lang w:val="en-GB"/>
        </w:rPr>
        <w:t>In the event of a missed dose, Dexhility dosing can resume the next day. Afternoon doses should be avoided because of the potential for insomnia.</w:t>
      </w:r>
    </w:p>
    <w:p w14:paraId="4771EA40" w14:textId="77777777" w:rsidR="00961494" w:rsidRPr="00961494" w:rsidRDefault="00961494" w:rsidP="00961494">
      <w:pPr>
        <w:tabs>
          <w:tab w:val="left" w:pos="851"/>
        </w:tabs>
        <w:ind w:left="851"/>
        <w:rPr>
          <w:iCs/>
          <w:sz w:val="24"/>
          <w:szCs w:val="24"/>
          <w:lang w:val="en-GB"/>
        </w:rPr>
      </w:pPr>
    </w:p>
    <w:p w14:paraId="7834721D" w14:textId="77777777" w:rsidR="00961494" w:rsidRPr="00961494" w:rsidRDefault="00961494" w:rsidP="00961494">
      <w:pPr>
        <w:tabs>
          <w:tab w:val="left" w:pos="851"/>
        </w:tabs>
        <w:ind w:left="851"/>
        <w:rPr>
          <w:iCs/>
          <w:sz w:val="24"/>
          <w:szCs w:val="24"/>
          <w:u w:val="single"/>
          <w:lang w:val="en-GB"/>
        </w:rPr>
      </w:pPr>
      <w:r w:rsidRPr="00961494">
        <w:rPr>
          <w:iCs/>
          <w:sz w:val="24"/>
          <w:szCs w:val="24"/>
          <w:u w:val="single"/>
          <w:lang w:val="en-GB"/>
        </w:rPr>
        <w:t>Long-term use</w:t>
      </w:r>
    </w:p>
    <w:p w14:paraId="2790846E" w14:textId="77777777" w:rsidR="00961494" w:rsidRPr="00961494" w:rsidRDefault="00961494" w:rsidP="00961494">
      <w:pPr>
        <w:tabs>
          <w:tab w:val="left" w:pos="851"/>
        </w:tabs>
        <w:ind w:left="851"/>
        <w:rPr>
          <w:iCs/>
          <w:sz w:val="24"/>
          <w:szCs w:val="24"/>
          <w:lang w:val="en-GB"/>
        </w:rPr>
      </w:pPr>
      <w:r w:rsidRPr="00961494">
        <w:rPr>
          <w:iCs/>
          <w:sz w:val="24"/>
          <w:szCs w:val="24"/>
          <w:lang w:val="en-GB"/>
        </w:rPr>
        <w:t>Pharmacological treatment of ADHD may be needed for extended periods. The physician who elects to use Dexhility for extended periods (over 12 months) should re-evaluate the usefulness of Dexhility at least yearly, and consider trial periods off medication to assess the patient’s functioning without pharmacotherapy, preferably during times of school holidays.</w:t>
      </w:r>
    </w:p>
    <w:p w14:paraId="6E354048" w14:textId="77777777" w:rsidR="00961494" w:rsidRPr="00961494" w:rsidRDefault="00961494" w:rsidP="00961494">
      <w:pPr>
        <w:tabs>
          <w:tab w:val="left" w:pos="851"/>
        </w:tabs>
        <w:ind w:left="851"/>
        <w:rPr>
          <w:iCs/>
          <w:sz w:val="24"/>
          <w:szCs w:val="24"/>
          <w:lang w:val="en-GB"/>
        </w:rPr>
      </w:pPr>
    </w:p>
    <w:p w14:paraId="0BEFFF93" w14:textId="77777777" w:rsidR="00961494" w:rsidRPr="00961494" w:rsidRDefault="00961494" w:rsidP="00961494">
      <w:pPr>
        <w:tabs>
          <w:tab w:val="left" w:pos="851"/>
        </w:tabs>
        <w:ind w:left="851"/>
        <w:rPr>
          <w:iCs/>
          <w:sz w:val="24"/>
          <w:szCs w:val="24"/>
          <w:u w:val="single"/>
          <w:lang w:val="en-GB"/>
        </w:rPr>
      </w:pPr>
      <w:r w:rsidRPr="00961494">
        <w:rPr>
          <w:iCs/>
          <w:sz w:val="24"/>
          <w:szCs w:val="24"/>
          <w:u w:val="single"/>
          <w:lang w:val="en-GB"/>
        </w:rPr>
        <w:t>Adults</w:t>
      </w:r>
    </w:p>
    <w:p w14:paraId="6BFDEAB9" w14:textId="77777777" w:rsidR="00961494" w:rsidRPr="00961494" w:rsidRDefault="00961494" w:rsidP="00961494">
      <w:pPr>
        <w:tabs>
          <w:tab w:val="left" w:pos="851"/>
        </w:tabs>
        <w:ind w:left="851"/>
        <w:rPr>
          <w:iCs/>
          <w:sz w:val="24"/>
          <w:szCs w:val="24"/>
          <w:lang w:val="en-GB"/>
        </w:rPr>
      </w:pPr>
      <w:r w:rsidRPr="00961494">
        <w:rPr>
          <w:iCs/>
          <w:sz w:val="24"/>
          <w:szCs w:val="24"/>
          <w:lang w:val="en-GB"/>
        </w:rPr>
        <w:t>In adolescents whose symptoms persist into adulthood and who have shown clear benefit from treatment, it may be appropriate to continue treatment into adulthood (see sections 4.4 and 5.1).</w:t>
      </w:r>
    </w:p>
    <w:p w14:paraId="07229C18" w14:textId="77777777" w:rsidR="00961494" w:rsidRPr="00961494" w:rsidRDefault="00961494" w:rsidP="00961494">
      <w:pPr>
        <w:tabs>
          <w:tab w:val="left" w:pos="851"/>
        </w:tabs>
        <w:ind w:left="851"/>
        <w:rPr>
          <w:iCs/>
          <w:sz w:val="24"/>
          <w:szCs w:val="24"/>
          <w:u w:val="single"/>
          <w:lang w:val="en-GB"/>
        </w:rPr>
      </w:pPr>
    </w:p>
    <w:p w14:paraId="55CAF2F3" w14:textId="77777777" w:rsidR="00961494" w:rsidRPr="00961494" w:rsidRDefault="00961494" w:rsidP="00961494">
      <w:pPr>
        <w:tabs>
          <w:tab w:val="left" w:pos="851"/>
        </w:tabs>
        <w:ind w:left="851"/>
        <w:rPr>
          <w:iCs/>
          <w:sz w:val="24"/>
          <w:szCs w:val="24"/>
          <w:u w:val="single"/>
          <w:lang w:val="en-GB"/>
        </w:rPr>
      </w:pPr>
      <w:r w:rsidRPr="00961494">
        <w:rPr>
          <w:iCs/>
          <w:sz w:val="24"/>
          <w:szCs w:val="24"/>
          <w:u w:val="single"/>
          <w:lang w:val="en-GB"/>
        </w:rPr>
        <w:t>Children under 6 years</w:t>
      </w:r>
    </w:p>
    <w:p w14:paraId="0B7B61CA" w14:textId="77777777" w:rsidR="00961494" w:rsidRPr="00961494" w:rsidRDefault="00961494" w:rsidP="00961494">
      <w:pPr>
        <w:tabs>
          <w:tab w:val="left" w:pos="851"/>
        </w:tabs>
        <w:ind w:left="851"/>
        <w:rPr>
          <w:iCs/>
          <w:sz w:val="24"/>
          <w:szCs w:val="24"/>
          <w:lang w:val="en-GB"/>
        </w:rPr>
      </w:pPr>
      <w:r w:rsidRPr="00961494">
        <w:rPr>
          <w:iCs/>
          <w:sz w:val="24"/>
          <w:szCs w:val="24"/>
          <w:lang w:val="en-GB"/>
        </w:rPr>
        <w:t>Dexhility should not be used in children under the age of 6 years. Safety and efficacy in this age group has not been established.</w:t>
      </w:r>
      <w:r w:rsidRPr="00961494">
        <w:rPr>
          <w:sz w:val="24"/>
          <w:szCs w:val="24"/>
          <w:lang w:val="en-GB"/>
        </w:rPr>
        <w:t xml:space="preserve"> </w:t>
      </w:r>
      <w:r w:rsidRPr="00961494">
        <w:rPr>
          <w:iCs/>
          <w:sz w:val="24"/>
          <w:szCs w:val="24"/>
          <w:lang w:val="en-GB"/>
        </w:rPr>
        <w:t>Currently available data are described in sections 4.8, 5.1 and 5.2 but no recommendation on a posology can be made.</w:t>
      </w:r>
    </w:p>
    <w:p w14:paraId="17633663" w14:textId="77777777" w:rsidR="00961494" w:rsidRPr="00961494" w:rsidRDefault="00961494" w:rsidP="00961494">
      <w:pPr>
        <w:tabs>
          <w:tab w:val="left" w:pos="851"/>
        </w:tabs>
        <w:ind w:left="851"/>
        <w:rPr>
          <w:iCs/>
          <w:sz w:val="24"/>
          <w:szCs w:val="24"/>
          <w:lang w:val="en-GB"/>
        </w:rPr>
      </w:pPr>
    </w:p>
    <w:p w14:paraId="542A29B0" w14:textId="77777777" w:rsidR="00961494" w:rsidRPr="00961494" w:rsidRDefault="00961494" w:rsidP="00961494">
      <w:pPr>
        <w:tabs>
          <w:tab w:val="left" w:pos="851"/>
        </w:tabs>
        <w:ind w:left="851"/>
        <w:rPr>
          <w:iCs/>
          <w:sz w:val="24"/>
          <w:szCs w:val="24"/>
          <w:u w:val="single"/>
          <w:lang w:val="en-GB"/>
        </w:rPr>
      </w:pPr>
      <w:r w:rsidRPr="00961494">
        <w:rPr>
          <w:iCs/>
          <w:sz w:val="24"/>
          <w:szCs w:val="24"/>
          <w:u w:val="single"/>
          <w:lang w:val="en-GB"/>
        </w:rPr>
        <w:t>Patients with renal impairment</w:t>
      </w:r>
    </w:p>
    <w:p w14:paraId="189B5A52" w14:textId="77777777" w:rsidR="00961494" w:rsidRPr="00961494" w:rsidRDefault="00961494" w:rsidP="00961494">
      <w:pPr>
        <w:tabs>
          <w:tab w:val="left" w:pos="851"/>
        </w:tabs>
        <w:ind w:left="851"/>
        <w:rPr>
          <w:iCs/>
          <w:sz w:val="24"/>
          <w:szCs w:val="24"/>
          <w:lang w:val="en-GB"/>
        </w:rPr>
      </w:pPr>
      <w:r w:rsidRPr="00961494">
        <w:rPr>
          <w:iCs/>
          <w:sz w:val="24"/>
          <w:szCs w:val="24"/>
          <w:lang w:val="en-GB"/>
        </w:rPr>
        <w:t>Due to reduced clearance in patients with severe renal insufficiency (GFR 15 to &lt; 30 mL/min/1.73 m</w:t>
      </w:r>
      <w:r w:rsidRPr="00961494">
        <w:rPr>
          <w:iCs/>
          <w:sz w:val="24"/>
          <w:szCs w:val="24"/>
          <w:vertAlign w:val="superscript"/>
          <w:lang w:val="en-GB"/>
        </w:rPr>
        <w:t>2</w:t>
      </w:r>
      <w:r w:rsidRPr="00961494">
        <w:rPr>
          <w:iCs/>
          <w:sz w:val="24"/>
          <w:szCs w:val="24"/>
          <w:lang w:val="en-GB"/>
        </w:rPr>
        <w:t xml:space="preserve"> or CrCl &lt; 30 mL/min) the maximum dose should not exceed 50 mg/day. Further dose reduction should be considered in patients undergoing dialysis. Lisdexamfetamine and dexamfetamine are not dialysable.</w:t>
      </w:r>
    </w:p>
    <w:p w14:paraId="1AE4AEF8" w14:textId="77777777" w:rsidR="00961494" w:rsidRPr="00961494" w:rsidRDefault="00961494" w:rsidP="00961494">
      <w:pPr>
        <w:tabs>
          <w:tab w:val="left" w:pos="851"/>
        </w:tabs>
        <w:ind w:left="851"/>
        <w:rPr>
          <w:iCs/>
          <w:sz w:val="24"/>
          <w:szCs w:val="24"/>
          <w:lang w:val="en-GB"/>
        </w:rPr>
      </w:pPr>
    </w:p>
    <w:p w14:paraId="521915E4" w14:textId="77777777" w:rsidR="00961494" w:rsidRPr="00961494" w:rsidRDefault="00961494" w:rsidP="00961494">
      <w:pPr>
        <w:tabs>
          <w:tab w:val="left" w:pos="851"/>
        </w:tabs>
        <w:ind w:left="851"/>
        <w:rPr>
          <w:iCs/>
          <w:sz w:val="24"/>
          <w:szCs w:val="24"/>
          <w:u w:val="single"/>
          <w:lang w:val="en-GB"/>
        </w:rPr>
      </w:pPr>
      <w:r w:rsidRPr="00961494">
        <w:rPr>
          <w:iCs/>
          <w:sz w:val="24"/>
          <w:szCs w:val="24"/>
          <w:u w:val="single"/>
          <w:lang w:val="en-GB"/>
        </w:rPr>
        <w:t>Patients with hepatic impairment</w:t>
      </w:r>
    </w:p>
    <w:p w14:paraId="1D6C871F" w14:textId="77777777" w:rsidR="00961494" w:rsidRPr="00961494" w:rsidRDefault="00961494" w:rsidP="00961494">
      <w:pPr>
        <w:tabs>
          <w:tab w:val="left" w:pos="851"/>
        </w:tabs>
        <w:ind w:left="851"/>
        <w:rPr>
          <w:iCs/>
          <w:sz w:val="24"/>
          <w:szCs w:val="24"/>
          <w:lang w:val="en-GB"/>
        </w:rPr>
      </w:pPr>
      <w:r w:rsidRPr="00961494">
        <w:rPr>
          <w:iCs/>
          <w:sz w:val="24"/>
          <w:szCs w:val="24"/>
          <w:lang w:val="en-GB"/>
        </w:rPr>
        <w:t>No studies have been conducted in patients with hepatic impairment.</w:t>
      </w:r>
    </w:p>
    <w:p w14:paraId="406F4B99" w14:textId="77777777" w:rsidR="007C5D2A" w:rsidRPr="00303008" w:rsidRDefault="007C5D2A" w:rsidP="00A85D26">
      <w:pPr>
        <w:tabs>
          <w:tab w:val="left" w:pos="851"/>
        </w:tabs>
        <w:ind w:left="851"/>
        <w:rPr>
          <w:sz w:val="24"/>
          <w:szCs w:val="24"/>
          <w:lang w:val="en-GB"/>
        </w:rPr>
      </w:pPr>
    </w:p>
    <w:p w14:paraId="08B4029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38AEDC1F" w14:textId="77777777" w:rsidR="00B3239A" w:rsidRPr="00B3239A" w:rsidRDefault="00B3239A" w:rsidP="00B3239A">
      <w:pPr>
        <w:tabs>
          <w:tab w:val="left" w:pos="851"/>
        </w:tabs>
        <w:ind w:left="851"/>
        <w:rPr>
          <w:sz w:val="24"/>
          <w:szCs w:val="24"/>
          <w:lang w:val="en-GB"/>
        </w:rPr>
      </w:pPr>
      <w:r w:rsidRPr="00B3239A">
        <w:rPr>
          <w:sz w:val="24"/>
          <w:szCs w:val="24"/>
          <w:lang w:val="en-GB"/>
        </w:rPr>
        <w:t>Hypersensitivity to sympathomimetic amines or any of the excipients listed in section 6.1.</w:t>
      </w:r>
    </w:p>
    <w:p w14:paraId="273F6290" w14:textId="77777777" w:rsidR="00B3239A" w:rsidRPr="00B3239A" w:rsidRDefault="00B3239A" w:rsidP="00B3239A">
      <w:pPr>
        <w:tabs>
          <w:tab w:val="left" w:pos="851"/>
        </w:tabs>
        <w:ind w:left="851"/>
        <w:rPr>
          <w:sz w:val="24"/>
          <w:szCs w:val="24"/>
          <w:lang w:val="en-GB"/>
        </w:rPr>
      </w:pPr>
      <w:r w:rsidRPr="00B3239A">
        <w:rPr>
          <w:sz w:val="24"/>
          <w:szCs w:val="24"/>
          <w:lang w:val="en-GB"/>
        </w:rPr>
        <w:t>Concomitant use of monoamine oxidase inhibitors (MAOI) or within 14 days after MAOI treatment (hypertensive crisis may result; see section 4.5).</w:t>
      </w:r>
    </w:p>
    <w:p w14:paraId="45B4E4DC" w14:textId="77777777" w:rsidR="00B3239A" w:rsidRPr="00B3239A" w:rsidRDefault="00B3239A" w:rsidP="00B3239A">
      <w:pPr>
        <w:tabs>
          <w:tab w:val="left" w:pos="851"/>
        </w:tabs>
        <w:ind w:left="851"/>
        <w:rPr>
          <w:sz w:val="24"/>
          <w:szCs w:val="24"/>
          <w:lang w:val="en-GB"/>
        </w:rPr>
      </w:pPr>
      <w:r w:rsidRPr="00B3239A">
        <w:rPr>
          <w:sz w:val="24"/>
          <w:szCs w:val="24"/>
          <w:lang w:val="en-GB"/>
        </w:rPr>
        <w:t>Hyperthyroidism or thyrotoxicosis.</w:t>
      </w:r>
    </w:p>
    <w:p w14:paraId="47BCAEC1" w14:textId="77777777" w:rsidR="00B3239A" w:rsidRPr="00B3239A" w:rsidRDefault="00B3239A" w:rsidP="00B3239A">
      <w:pPr>
        <w:tabs>
          <w:tab w:val="left" w:pos="851"/>
        </w:tabs>
        <w:ind w:left="851"/>
        <w:rPr>
          <w:sz w:val="24"/>
          <w:szCs w:val="24"/>
          <w:lang w:val="en-GB"/>
        </w:rPr>
      </w:pPr>
      <w:r w:rsidRPr="00B3239A">
        <w:rPr>
          <w:sz w:val="24"/>
          <w:szCs w:val="24"/>
          <w:lang w:val="en-GB"/>
        </w:rPr>
        <w:t>Agitated states.</w:t>
      </w:r>
    </w:p>
    <w:p w14:paraId="2C88EBFE" w14:textId="77777777" w:rsidR="00B3239A" w:rsidRPr="00B3239A" w:rsidRDefault="00B3239A" w:rsidP="00B3239A">
      <w:pPr>
        <w:tabs>
          <w:tab w:val="left" w:pos="851"/>
        </w:tabs>
        <w:ind w:left="851"/>
        <w:rPr>
          <w:sz w:val="24"/>
          <w:szCs w:val="24"/>
          <w:lang w:val="en-GB"/>
        </w:rPr>
      </w:pPr>
      <w:r w:rsidRPr="00B3239A">
        <w:rPr>
          <w:sz w:val="24"/>
          <w:szCs w:val="24"/>
          <w:lang w:val="en-GB"/>
        </w:rPr>
        <w:t>Symptomatic cardiovascular disease.</w:t>
      </w:r>
    </w:p>
    <w:p w14:paraId="1BD24CDD" w14:textId="77777777" w:rsidR="00B3239A" w:rsidRPr="00B3239A" w:rsidRDefault="00B3239A" w:rsidP="00B3239A">
      <w:pPr>
        <w:tabs>
          <w:tab w:val="left" w:pos="851"/>
        </w:tabs>
        <w:ind w:left="851"/>
        <w:rPr>
          <w:sz w:val="24"/>
          <w:szCs w:val="24"/>
          <w:lang w:val="en-GB"/>
        </w:rPr>
      </w:pPr>
      <w:r w:rsidRPr="00B3239A">
        <w:rPr>
          <w:sz w:val="24"/>
          <w:szCs w:val="24"/>
          <w:lang w:val="en-GB"/>
        </w:rPr>
        <w:t>Advanced arteriosclerosis.</w:t>
      </w:r>
    </w:p>
    <w:p w14:paraId="6DDB68BD" w14:textId="77777777" w:rsidR="00B3239A" w:rsidRPr="00B3239A" w:rsidRDefault="00B3239A" w:rsidP="00B3239A">
      <w:pPr>
        <w:tabs>
          <w:tab w:val="left" w:pos="851"/>
        </w:tabs>
        <w:ind w:left="851"/>
        <w:rPr>
          <w:sz w:val="24"/>
          <w:szCs w:val="24"/>
          <w:lang w:val="en-GB"/>
        </w:rPr>
      </w:pPr>
      <w:r w:rsidRPr="00B3239A">
        <w:rPr>
          <w:sz w:val="24"/>
          <w:szCs w:val="24"/>
          <w:lang w:val="en-GB"/>
        </w:rPr>
        <w:t>Moderate to severe hypertension.</w:t>
      </w:r>
    </w:p>
    <w:p w14:paraId="154E0C2E" w14:textId="77777777" w:rsidR="00B3239A" w:rsidRPr="00B3239A" w:rsidRDefault="00B3239A" w:rsidP="00B3239A">
      <w:pPr>
        <w:tabs>
          <w:tab w:val="left" w:pos="851"/>
        </w:tabs>
        <w:ind w:left="851"/>
        <w:rPr>
          <w:sz w:val="24"/>
          <w:szCs w:val="24"/>
          <w:lang w:val="en-GB"/>
        </w:rPr>
      </w:pPr>
      <w:r w:rsidRPr="00B3239A">
        <w:rPr>
          <w:sz w:val="24"/>
          <w:szCs w:val="24"/>
          <w:lang w:val="en-GB"/>
        </w:rPr>
        <w:t>Glaucoma.</w:t>
      </w:r>
    </w:p>
    <w:p w14:paraId="02783B40" w14:textId="77BD3DEE" w:rsidR="00E57032" w:rsidRDefault="00E57032">
      <w:pPr>
        <w:rPr>
          <w:sz w:val="24"/>
          <w:szCs w:val="24"/>
          <w:lang w:val="en-GB"/>
        </w:rPr>
      </w:pPr>
      <w:r>
        <w:rPr>
          <w:sz w:val="24"/>
          <w:szCs w:val="24"/>
          <w:lang w:val="en-GB"/>
        </w:rPr>
        <w:br w:type="page"/>
      </w:r>
    </w:p>
    <w:p w14:paraId="31FDD769" w14:textId="77777777" w:rsidR="007C5D2A" w:rsidRPr="00303008" w:rsidRDefault="007C5D2A" w:rsidP="003E0341">
      <w:pPr>
        <w:tabs>
          <w:tab w:val="left" w:pos="851"/>
        </w:tabs>
        <w:ind w:left="851"/>
        <w:rPr>
          <w:sz w:val="24"/>
          <w:szCs w:val="24"/>
          <w:lang w:val="en-GB"/>
        </w:rPr>
      </w:pPr>
    </w:p>
    <w:p w14:paraId="5985C184"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2EEC2A01" w14:textId="77777777" w:rsidR="00B3239A" w:rsidRPr="00B3239A" w:rsidRDefault="00B3239A" w:rsidP="00B3239A">
      <w:pPr>
        <w:tabs>
          <w:tab w:val="left" w:pos="851"/>
        </w:tabs>
        <w:ind w:left="851"/>
        <w:rPr>
          <w:sz w:val="24"/>
          <w:szCs w:val="24"/>
          <w:lang w:val="en-GB"/>
        </w:rPr>
      </w:pPr>
    </w:p>
    <w:p w14:paraId="35143611"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Abuse and dependence</w:t>
      </w:r>
    </w:p>
    <w:p w14:paraId="17D9E96B" w14:textId="77777777" w:rsidR="00B3239A" w:rsidRPr="00B3239A" w:rsidRDefault="00B3239A" w:rsidP="00B3239A">
      <w:pPr>
        <w:tabs>
          <w:tab w:val="left" w:pos="851"/>
        </w:tabs>
        <w:ind w:left="851"/>
        <w:rPr>
          <w:sz w:val="24"/>
          <w:szCs w:val="24"/>
          <w:lang w:val="en-GB"/>
        </w:rPr>
      </w:pPr>
      <w:r w:rsidRPr="00B3239A">
        <w:rPr>
          <w:sz w:val="24"/>
          <w:szCs w:val="24"/>
          <w:lang w:val="en-GB"/>
        </w:rPr>
        <w:t>Stimulants including Dexhility have a potential for abuse, misuse, dependence, or diversion for non-therapeutic uses that physicians should consider when prescribing this product. Stimulants should be prescribed cautiously to patients with a history of substance abuse or dependence.</w:t>
      </w:r>
    </w:p>
    <w:p w14:paraId="1DDC65C5" w14:textId="77777777" w:rsidR="00B3239A" w:rsidRPr="00B3239A" w:rsidRDefault="00B3239A" w:rsidP="00B3239A">
      <w:pPr>
        <w:tabs>
          <w:tab w:val="left" w:pos="851"/>
        </w:tabs>
        <w:ind w:left="851"/>
        <w:rPr>
          <w:sz w:val="24"/>
          <w:szCs w:val="24"/>
          <w:lang w:val="en-GB"/>
        </w:rPr>
      </w:pPr>
    </w:p>
    <w:p w14:paraId="2B38FD60" w14:textId="77777777" w:rsidR="00B3239A" w:rsidRPr="00B3239A" w:rsidRDefault="00B3239A" w:rsidP="00B3239A">
      <w:pPr>
        <w:tabs>
          <w:tab w:val="left" w:pos="851"/>
        </w:tabs>
        <w:ind w:left="851"/>
        <w:rPr>
          <w:sz w:val="24"/>
          <w:szCs w:val="24"/>
          <w:lang w:val="en-GB"/>
        </w:rPr>
      </w:pPr>
      <w:r w:rsidRPr="00B3239A">
        <w:rPr>
          <w:sz w:val="24"/>
          <w:szCs w:val="24"/>
          <w:lang w:val="en-GB"/>
        </w:rPr>
        <w:t>Tolerance, extreme psychological dependence, and severe social disability have occurred with the abuse of stimulants. There are reports of patients who have increased the dose of amfetamine to levels many times higher than recommended; abrupt cessation following prolonged high dose administration results in extreme fatigue and mental depression. Changes are also noted on the sleep EEG. Manifestations of chronic intoxication with amfetamines may include severe dermatoses, marked insomnia, irritability, hyperactivity, and personality changes. The most severe manifestation of chronic intoxication is psychosis, often clinically indistinguishable from schizophrenia.</w:t>
      </w:r>
    </w:p>
    <w:p w14:paraId="445D184D" w14:textId="77777777" w:rsidR="00B3239A" w:rsidRPr="00B3239A" w:rsidRDefault="00B3239A" w:rsidP="00B3239A">
      <w:pPr>
        <w:tabs>
          <w:tab w:val="left" w:pos="851"/>
        </w:tabs>
        <w:ind w:left="851"/>
        <w:rPr>
          <w:sz w:val="24"/>
          <w:szCs w:val="24"/>
          <w:u w:val="single"/>
          <w:lang w:val="en-GB"/>
        </w:rPr>
      </w:pPr>
    </w:p>
    <w:p w14:paraId="427A264D"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Cardiovascular adverse events</w:t>
      </w:r>
    </w:p>
    <w:p w14:paraId="631C3A20" w14:textId="77777777" w:rsidR="00B3239A" w:rsidRPr="00B3239A" w:rsidRDefault="00B3239A" w:rsidP="00B3239A">
      <w:pPr>
        <w:tabs>
          <w:tab w:val="left" w:pos="851"/>
        </w:tabs>
        <w:ind w:left="851"/>
        <w:rPr>
          <w:sz w:val="24"/>
          <w:szCs w:val="24"/>
          <w:lang w:val="en-GB"/>
        </w:rPr>
      </w:pPr>
    </w:p>
    <w:p w14:paraId="4CEEDBE1" w14:textId="77777777" w:rsidR="00B3239A" w:rsidRPr="00B3239A" w:rsidRDefault="00B3239A" w:rsidP="00B3239A">
      <w:pPr>
        <w:tabs>
          <w:tab w:val="left" w:pos="851"/>
        </w:tabs>
        <w:ind w:left="851"/>
        <w:rPr>
          <w:i/>
          <w:sz w:val="24"/>
          <w:szCs w:val="24"/>
          <w:lang w:val="en-GB"/>
        </w:rPr>
      </w:pPr>
      <w:r w:rsidRPr="00B3239A">
        <w:rPr>
          <w:i/>
          <w:sz w:val="24"/>
          <w:szCs w:val="24"/>
          <w:lang w:val="en-GB"/>
        </w:rPr>
        <w:t>Sudden death in patients with pre-existing structural cardiac abnormalities or other serious heart problems</w:t>
      </w:r>
    </w:p>
    <w:p w14:paraId="0276230E" w14:textId="77777777" w:rsidR="00B3239A" w:rsidRPr="00B3239A" w:rsidRDefault="00B3239A" w:rsidP="00B3239A">
      <w:pPr>
        <w:tabs>
          <w:tab w:val="left" w:pos="851"/>
        </w:tabs>
        <w:ind w:left="851"/>
        <w:rPr>
          <w:sz w:val="24"/>
          <w:szCs w:val="24"/>
          <w:lang w:val="en-GB"/>
        </w:rPr>
      </w:pPr>
    </w:p>
    <w:p w14:paraId="092B7B2C" w14:textId="77777777" w:rsidR="00B3239A" w:rsidRPr="00B3239A" w:rsidRDefault="00B3239A" w:rsidP="00B3239A">
      <w:pPr>
        <w:tabs>
          <w:tab w:val="left" w:pos="851"/>
        </w:tabs>
        <w:ind w:left="851"/>
        <w:rPr>
          <w:sz w:val="24"/>
          <w:szCs w:val="24"/>
          <w:lang w:val="en-GB"/>
        </w:rPr>
      </w:pPr>
      <w:r w:rsidRPr="00B3239A">
        <w:rPr>
          <w:sz w:val="24"/>
          <w:szCs w:val="24"/>
          <w:lang w:val="en-GB"/>
        </w:rPr>
        <w:t>Children and adolescents: Sudden death has been reported in children and adolescents taking CNS stimulants, including those with structural cardiac abnormalities or other serious heart problems. Although some serious heart problems alone carry an increased risk of sudden death, stimulant products generally should not be used in children or adolescents with known serious structural cardiac abnormalities, cardiomyopathy, serious heart rhythm abnormalities, or other serious cardiac problems that may place them at increased vulnerability to the sympathomimetic effects of a stimulant medicinal product.</w:t>
      </w:r>
    </w:p>
    <w:p w14:paraId="64210B78" w14:textId="77777777" w:rsidR="00B3239A" w:rsidRPr="00B3239A" w:rsidRDefault="00B3239A" w:rsidP="00B3239A">
      <w:pPr>
        <w:tabs>
          <w:tab w:val="left" w:pos="851"/>
        </w:tabs>
        <w:ind w:left="851"/>
        <w:rPr>
          <w:sz w:val="24"/>
          <w:szCs w:val="24"/>
          <w:lang w:val="en-GB"/>
        </w:rPr>
      </w:pPr>
    </w:p>
    <w:p w14:paraId="62C1EC2D" w14:textId="77777777" w:rsidR="00B3239A" w:rsidRPr="00B3239A" w:rsidRDefault="00B3239A" w:rsidP="00B3239A">
      <w:pPr>
        <w:tabs>
          <w:tab w:val="left" w:pos="851"/>
        </w:tabs>
        <w:ind w:left="851"/>
        <w:rPr>
          <w:sz w:val="24"/>
          <w:szCs w:val="24"/>
          <w:lang w:val="en-GB"/>
        </w:rPr>
      </w:pPr>
      <w:r w:rsidRPr="00B3239A">
        <w:rPr>
          <w:sz w:val="24"/>
          <w:szCs w:val="24"/>
          <w:lang w:val="en-GB"/>
        </w:rPr>
        <w:t>Adults: Sudden deaths, stroke, and myocardial infarction have been reported in adults taking stimulant medicinal products at usual doses for ADHD. Although the role of stimulants in these adult cases is also unknown, adults have a greater likelihood than children of having serious structural cardiac abnormalities, cardiomyopathy, serious heart rhythm abnormalities, coronary artery disease, or other serious cardiac problems. Adults with such abnormalities should also generally not be treated with stimulant medicinal products.</w:t>
      </w:r>
    </w:p>
    <w:p w14:paraId="448E52FD" w14:textId="77777777" w:rsidR="00B3239A" w:rsidRPr="00B3239A" w:rsidRDefault="00B3239A" w:rsidP="00B3239A">
      <w:pPr>
        <w:tabs>
          <w:tab w:val="left" w:pos="851"/>
        </w:tabs>
        <w:ind w:left="851"/>
        <w:rPr>
          <w:i/>
          <w:sz w:val="24"/>
          <w:szCs w:val="24"/>
          <w:lang w:val="en-GB"/>
        </w:rPr>
      </w:pPr>
    </w:p>
    <w:p w14:paraId="2312892E" w14:textId="77777777" w:rsidR="00B3239A" w:rsidRPr="00B3239A" w:rsidRDefault="00B3239A" w:rsidP="00B3239A">
      <w:pPr>
        <w:tabs>
          <w:tab w:val="left" w:pos="851"/>
        </w:tabs>
        <w:ind w:left="851"/>
        <w:rPr>
          <w:i/>
          <w:sz w:val="24"/>
          <w:szCs w:val="24"/>
          <w:lang w:val="en-GB"/>
        </w:rPr>
      </w:pPr>
      <w:r w:rsidRPr="00B3239A">
        <w:rPr>
          <w:i/>
          <w:sz w:val="24"/>
          <w:szCs w:val="24"/>
          <w:lang w:val="en-GB"/>
        </w:rPr>
        <w:t>Hypertension and other cardiovascular conditions</w:t>
      </w:r>
    </w:p>
    <w:p w14:paraId="4D855D4B" w14:textId="77777777" w:rsidR="00B3239A" w:rsidRPr="00B3239A" w:rsidRDefault="00B3239A" w:rsidP="00B3239A">
      <w:pPr>
        <w:tabs>
          <w:tab w:val="left" w:pos="851"/>
        </w:tabs>
        <w:ind w:left="851"/>
        <w:rPr>
          <w:sz w:val="24"/>
          <w:szCs w:val="24"/>
          <w:lang w:val="en-GB"/>
        </w:rPr>
      </w:pPr>
      <w:r w:rsidRPr="00B3239A">
        <w:rPr>
          <w:sz w:val="24"/>
          <w:szCs w:val="24"/>
          <w:lang w:val="en-GB"/>
        </w:rPr>
        <w:t>Stimulant medications cause a modest increase in average blood pressure (about 2-4 mmHg) and average heart rate (about 3-6 bpm), and individuals may have larger increases. While the mean changes alone would not be expected to have short-term consequences, all patients should be monitored for larger changes in heart rate and blood pressure. Caution is indicated in treating patients whose underlying medical conditions might be compromised by increases in blood pressure or heart rate, e.g., those with pre-existing hypertension, heart failure, recent myocardial infarction, or ventricular arrhythmia.</w:t>
      </w:r>
    </w:p>
    <w:p w14:paraId="1058E3FC" w14:textId="77777777" w:rsidR="00B3239A" w:rsidRPr="00B3239A" w:rsidRDefault="00B3239A" w:rsidP="00B3239A">
      <w:pPr>
        <w:tabs>
          <w:tab w:val="left" w:pos="851"/>
        </w:tabs>
        <w:ind w:left="851"/>
        <w:rPr>
          <w:sz w:val="24"/>
          <w:szCs w:val="24"/>
          <w:lang w:val="en-GB"/>
        </w:rPr>
      </w:pPr>
    </w:p>
    <w:p w14:paraId="3D2EF6F1" w14:textId="77777777" w:rsidR="00B3239A" w:rsidRPr="00B3239A" w:rsidRDefault="00B3239A" w:rsidP="00B3239A">
      <w:pPr>
        <w:tabs>
          <w:tab w:val="left" w:pos="851"/>
        </w:tabs>
        <w:ind w:left="851"/>
        <w:rPr>
          <w:sz w:val="24"/>
          <w:szCs w:val="24"/>
          <w:lang w:val="en-GB"/>
        </w:rPr>
      </w:pPr>
      <w:r w:rsidRPr="00B3239A">
        <w:rPr>
          <w:sz w:val="24"/>
          <w:szCs w:val="24"/>
          <w:lang w:val="en-GB"/>
        </w:rPr>
        <w:t>Lisdexamfetamine has shown to prolong the QT</w:t>
      </w:r>
      <w:r w:rsidRPr="00B3239A">
        <w:rPr>
          <w:sz w:val="24"/>
          <w:szCs w:val="24"/>
          <w:vertAlign w:val="subscript"/>
          <w:lang w:val="en-GB"/>
        </w:rPr>
        <w:t>c</w:t>
      </w:r>
      <w:r w:rsidRPr="00B3239A">
        <w:rPr>
          <w:sz w:val="24"/>
          <w:szCs w:val="24"/>
          <w:lang w:val="en-GB"/>
        </w:rPr>
        <w:t xml:space="preserve"> interval in some patients. It should be used with caution in patients with prolongation of the QT</w:t>
      </w:r>
      <w:r w:rsidRPr="00B3239A">
        <w:rPr>
          <w:sz w:val="24"/>
          <w:szCs w:val="24"/>
          <w:vertAlign w:val="subscript"/>
          <w:lang w:val="en-GB"/>
        </w:rPr>
        <w:t>c</w:t>
      </w:r>
      <w:r w:rsidRPr="00B3239A">
        <w:rPr>
          <w:sz w:val="24"/>
          <w:szCs w:val="24"/>
          <w:lang w:val="en-GB"/>
        </w:rPr>
        <w:t xml:space="preserve"> interval, in patients treated with medicinal products affecting the QT</w:t>
      </w:r>
      <w:r w:rsidRPr="00B3239A">
        <w:rPr>
          <w:sz w:val="24"/>
          <w:szCs w:val="24"/>
          <w:vertAlign w:val="subscript"/>
          <w:lang w:val="en-GB"/>
        </w:rPr>
        <w:t>c</w:t>
      </w:r>
      <w:r w:rsidRPr="00B3239A">
        <w:rPr>
          <w:sz w:val="24"/>
          <w:szCs w:val="24"/>
          <w:lang w:val="en-GB"/>
        </w:rPr>
        <w:t xml:space="preserve"> interval, or in patients with relevant pre-existing cardiac disease or electrolyte disturbances.</w:t>
      </w:r>
    </w:p>
    <w:p w14:paraId="4DC43E76" w14:textId="77777777" w:rsidR="00B3239A" w:rsidRPr="00B3239A" w:rsidRDefault="00B3239A" w:rsidP="00B3239A">
      <w:pPr>
        <w:tabs>
          <w:tab w:val="left" w:pos="851"/>
        </w:tabs>
        <w:ind w:left="851"/>
        <w:rPr>
          <w:sz w:val="24"/>
          <w:szCs w:val="24"/>
          <w:lang w:val="en-GB"/>
        </w:rPr>
      </w:pPr>
    </w:p>
    <w:p w14:paraId="7C9D1692" w14:textId="77777777" w:rsidR="00B3239A" w:rsidRPr="00B3239A" w:rsidRDefault="00B3239A" w:rsidP="00B3239A">
      <w:pPr>
        <w:tabs>
          <w:tab w:val="left" w:pos="851"/>
        </w:tabs>
        <w:ind w:left="851"/>
        <w:rPr>
          <w:sz w:val="24"/>
          <w:szCs w:val="24"/>
          <w:lang w:val="en-GB"/>
        </w:rPr>
      </w:pPr>
      <w:r w:rsidRPr="00B3239A">
        <w:rPr>
          <w:sz w:val="24"/>
          <w:szCs w:val="24"/>
          <w:lang w:val="en-GB"/>
        </w:rPr>
        <w:t>The use of Dexhility is contraindicated in patients with symptomatic cardiovascular disease and also in those patients with moderate to severe hypertension (see section 4.3).</w:t>
      </w:r>
    </w:p>
    <w:p w14:paraId="3177D9D9" w14:textId="77777777" w:rsidR="00B3239A" w:rsidRPr="00B3239A" w:rsidRDefault="00B3239A" w:rsidP="00B3239A">
      <w:pPr>
        <w:tabs>
          <w:tab w:val="left" w:pos="851"/>
        </w:tabs>
        <w:ind w:left="851"/>
        <w:rPr>
          <w:sz w:val="24"/>
          <w:szCs w:val="24"/>
          <w:lang w:val="en-GB"/>
        </w:rPr>
      </w:pPr>
    </w:p>
    <w:p w14:paraId="5DED2895" w14:textId="77777777" w:rsidR="00B3239A" w:rsidRPr="00B3239A" w:rsidRDefault="00B3239A" w:rsidP="00B3239A">
      <w:pPr>
        <w:tabs>
          <w:tab w:val="left" w:pos="851"/>
        </w:tabs>
        <w:ind w:left="851"/>
        <w:rPr>
          <w:i/>
          <w:sz w:val="24"/>
          <w:szCs w:val="24"/>
          <w:lang w:val="en-GB"/>
        </w:rPr>
      </w:pPr>
      <w:r w:rsidRPr="00B3239A">
        <w:rPr>
          <w:i/>
          <w:sz w:val="24"/>
          <w:szCs w:val="24"/>
          <w:lang w:val="en-GB"/>
        </w:rPr>
        <w:t>Cardiomyopathy</w:t>
      </w:r>
    </w:p>
    <w:p w14:paraId="5CD6E31A" w14:textId="77777777" w:rsidR="00B3239A" w:rsidRPr="00B3239A" w:rsidRDefault="00B3239A" w:rsidP="00B3239A">
      <w:pPr>
        <w:tabs>
          <w:tab w:val="left" w:pos="851"/>
        </w:tabs>
        <w:ind w:left="851"/>
        <w:rPr>
          <w:sz w:val="24"/>
          <w:szCs w:val="24"/>
          <w:lang w:val="en-GB"/>
        </w:rPr>
      </w:pPr>
      <w:r w:rsidRPr="00B3239A">
        <w:rPr>
          <w:sz w:val="24"/>
          <w:szCs w:val="24"/>
          <w:lang w:val="en-GB"/>
        </w:rPr>
        <w:t>Cardiomyopathy has been reported with chronic amfetamine use. It has also been reported with lisdexamfetamine-containing medicinal products.</w:t>
      </w:r>
    </w:p>
    <w:p w14:paraId="3AD34007" w14:textId="77777777" w:rsidR="00B3239A" w:rsidRPr="00B3239A" w:rsidRDefault="00B3239A" w:rsidP="00B3239A">
      <w:pPr>
        <w:tabs>
          <w:tab w:val="left" w:pos="851"/>
        </w:tabs>
        <w:ind w:left="851"/>
        <w:rPr>
          <w:sz w:val="24"/>
          <w:szCs w:val="24"/>
          <w:lang w:val="en-GB"/>
        </w:rPr>
      </w:pPr>
    </w:p>
    <w:p w14:paraId="554C0F61" w14:textId="77777777" w:rsidR="00B3239A" w:rsidRPr="00B3239A" w:rsidRDefault="00B3239A" w:rsidP="00B3239A">
      <w:pPr>
        <w:tabs>
          <w:tab w:val="left" w:pos="851"/>
        </w:tabs>
        <w:ind w:left="851"/>
        <w:rPr>
          <w:i/>
          <w:sz w:val="24"/>
          <w:szCs w:val="24"/>
          <w:lang w:val="en-GB"/>
        </w:rPr>
      </w:pPr>
      <w:r w:rsidRPr="00B3239A">
        <w:rPr>
          <w:i/>
          <w:sz w:val="24"/>
          <w:szCs w:val="24"/>
          <w:lang w:val="en-GB"/>
        </w:rPr>
        <w:t>Assessing cardiovascular status in patients being treated with stimulant medications</w:t>
      </w:r>
    </w:p>
    <w:p w14:paraId="55A20D62" w14:textId="77777777" w:rsidR="00B3239A" w:rsidRPr="00B3239A" w:rsidRDefault="00B3239A" w:rsidP="00B3239A">
      <w:pPr>
        <w:tabs>
          <w:tab w:val="left" w:pos="851"/>
        </w:tabs>
        <w:ind w:left="851"/>
        <w:rPr>
          <w:sz w:val="24"/>
          <w:szCs w:val="24"/>
          <w:lang w:val="en-GB"/>
        </w:rPr>
      </w:pPr>
      <w:r w:rsidRPr="00B3239A">
        <w:rPr>
          <w:sz w:val="24"/>
          <w:szCs w:val="24"/>
          <w:lang w:val="en-GB"/>
        </w:rPr>
        <w:t>All patients who are being considered for treatment with stimulant medications should have a careful history (including assessment for a family history of sudden death or ventricular arrhythmia) and physical exam to assess for the presence of cardiac disease, and should receive further cardiac evaluation if findings suggest such disease (e.g., electrocardiogram or echocardiogram). Patients who develop symptoms such as exertional chest pain, unexplained syncope, or other symptoms suggestive of cardiac disease during stimulant treatment should undergo a prompt cardiac evaluation.</w:t>
      </w:r>
    </w:p>
    <w:p w14:paraId="44E85D44" w14:textId="77777777" w:rsidR="00B3239A" w:rsidRPr="00B3239A" w:rsidRDefault="00B3239A" w:rsidP="00B3239A">
      <w:pPr>
        <w:tabs>
          <w:tab w:val="left" w:pos="851"/>
        </w:tabs>
        <w:ind w:left="851"/>
        <w:rPr>
          <w:sz w:val="24"/>
          <w:szCs w:val="24"/>
          <w:u w:val="single"/>
          <w:lang w:val="en-GB"/>
        </w:rPr>
      </w:pPr>
    </w:p>
    <w:p w14:paraId="214ECC6D"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Psychiatric adverse events</w:t>
      </w:r>
    </w:p>
    <w:p w14:paraId="67053974" w14:textId="77777777" w:rsidR="00B3239A" w:rsidRPr="00B3239A" w:rsidRDefault="00B3239A" w:rsidP="00B3239A">
      <w:pPr>
        <w:tabs>
          <w:tab w:val="left" w:pos="851"/>
        </w:tabs>
        <w:ind w:left="851"/>
        <w:rPr>
          <w:sz w:val="24"/>
          <w:szCs w:val="24"/>
          <w:u w:val="single"/>
          <w:lang w:val="en-GB"/>
        </w:rPr>
      </w:pPr>
    </w:p>
    <w:p w14:paraId="4E79F866" w14:textId="77777777" w:rsidR="00B3239A" w:rsidRPr="00B3239A" w:rsidRDefault="00B3239A" w:rsidP="00B3239A">
      <w:pPr>
        <w:tabs>
          <w:tab w:val="left" w:pos="851"/>
        </w:tabs>
        <w:ind w:left="851"/>
        <w:rPr>
          <w:i/>
          <w:sz w:val="24"/>
          <w:szCs w:val="24"/>
          <w:lang w:val="en-GB"/>
        </w:rPr>
      </w:pPr>
      <w:r w:rsidRPr="00B3239A">
        <w:rPr>
          <w:i/>
          <w:sz w:val="24"/>
          <w:szCs w:val="24"/>
          <w:lang w:val="en-GB"/>
        </w:rPr>
        <w:t>Pre-existing psychosis</w:t>
      </w:r>
    </w:p>
    <w:p w14:paraId="51FC041F" w14:textId="77777777" w:rsidR="00B3239A" w:rsidRPr="00B3239A" w:rsidRDefault="00B3239A" w:rsidP="00B3239A">
      <w:pPr>
        <w:tabs>
          <w:tab w:val="left" w:pos="851"/>
        </w:tabs>
        <w:ind w:left="851"/>
        <w:rPr>
          <w:sz w:val="24"/>
          <w:szCs w:val="24"/>
          <w:lang w:val="en-GB"/>
        </w:rPr>
      </w:pPr>
      <w:r w:rsidRPr="00B3239A">
        <w:rPr>
          <w:sz w:val="24"/>
          <w:szCs w:val="24"/>
          <w:lang w:val="en-GB"/>
        </w:rPr>
        <w:t>Administration of stimulants may exacerbate symptoms of behaviour disturbance and thought disorder in patients with pre-existing psychotic disorders.</w:t>
      </w:r>
    </w:p>
    <w:p w14:paraId="4C370C93" w14:textId="77777777" w:rsidR="00B3239A" w:rsidRPr="00B3239A" w:rsidRDefault="00B3239A" w:rsidP="00B3239A">
      <w:pPr>
        <w:tabs>
          <w:tab w:val="left" w:pos="851"/>
        </w:tabs>
        <w:ind w:left="851"/>
        <w:rPr>
          <w:sz w:val="24"/>
          <w:szCs w:val="24"/>
          <w:lang w:val="en-GB"/>
        </w:rPr>
      </w:pPr>
    </w:p>
    <w:p w14:paraId="76EA5225" w14:textId="77777777" w:rsidR="00B3239A" w:rsidRPr="00B3239A" w:rsidRDefault="00B3239A" w:rsidP="00B3239A">
      <w:pPr>
        <w:tabs>
          <w:tab w:val="left" w:pos="851"/>
        </w:tabs>
        <w:ind w:left="851"/>
        <w:rPr>
          <w:i/>
          <w:sz w:val="24"/>
          <w:szCs w:val="24"/>
          <w:lang w:val="en-GB"/>
        </w:rPr>
      </w:pPr>
      <w:r w:rsidRPr="00B3239A">
        <w:rPr>
          <w:i/>
          <w:sz w:val="24"/>
          <w:szCs w:val="24"/>
          <w:lang w:val="en-GB"/>
        </w:rPr>
        <w:t>Bipolar illness</w:t>
      </w:r>
    </w:p>
    <w:p w14:paraId="38F4D020" w14:textId="77777777" w:rsidR="00B3239A" w:rsidRPr="00B3239A" w:rsidRDefault="00B3239A" w:rsidP="00B3239A">
      <w:pPr>
        <w:tabs>
          <w:tab w:val="left" w:pos="851"/>
        </w:tabs>
        <w:ind w:left="851"/>
        <w:rPr>
          <w:sz w:val="24"/>
          <w:szCs w:val="24"/>
          <w:lang w:val="en-GB"/>
        </w:rPr>
      </w:pPr>
      <w:r w:rsidRPr="00B3239A">
        <w:rPr>
          <w:sz w:val="24"/>
          <w:szCs w:val="24"/>
          <w:lang w:val="en-GB"/>
        </w:rPr>
        <w:t>Particular care should be taken in using stimulants to treat ADHD patients with comorbid bipolar disorder because of concern for possible induction of mixed/manic episode in such patients. Prior to initiating treatment with a stimulant, patients with comorbid depressive symptoms should be adequately screened to determine if they are at risk for bipolar disorder; such screening should include a detailed psychiatric history, including a family history of suicide, bipolar disorder, and depression.</w:t>
      </w:r>
    </w:p>
    <w:p w14:paraId="22E12641" w14:textId="77777777" w:rsidR="00B3239A" w:rsidRPr="00B3239A" w:rsidRDefault="00B3239A" w:rsidP="00B3239A">
      <w:pPr>
        <w:tabs>
          <w:tab w:val="left" w:pos="851"/>
        </w:tabs>
        <w:ind w:left="851"/>
        <w:rPr>
          <w:sz w:val="24"/>
          <w:szCs w:val="24"/>
          <w:lang w:val="en-GB"/>
        </w:rPr>
      </w:pPr>
    </w:p>
    <w:p w14:paraId="32856228" w14:textId="77777777" w:rsidR="00B3239A" w:rsidRPr="00B3239A" w:rsidRDefault="00B3239A" w:rsidP="00B3239A">
      <w:pPr>
        <w:tabs>
          <w:tab w:val="left" w:pos="851"/>
        </w:tabs>
        <w:ind w:left="851"/>
        <w:rPr>
          <w:i/>
          <w:sz w:val="24"/>
          <w:szCs w:val="24"/>
          <w:lang w:val="en-GB"/>
        </w:rPr>
      </w:pPr>
      <w:r w:rsidRPr="00B3239A">
        <w:rPr>
          <w:i/>
          <w:sz w:val="24"/>
          <w:szCs w:val="24"/>
          <w:lang w:val="en-GB"/>
        </w:rPr>
        <w:t>Emergence of new psychotic or manic symptoms</w:t>
      </w:r>
    </w:p>
    <w:p w14:paraId="7DE9A5C2" w14:textId="77777777" w:rsidR="00B3239A" w:rsidRPr="00B3239A" w:rsidRDefault="00B3239A" w:rsidP="00B3239A">
      <w:pPr>
        <w:tabs>
          <w:tab w:val="left" w:pos="851"/>
        </w:tabs>
        <w:ind w:left="851"/>
        <w:rPr>
          <w:sz w:val="24"/>
          <w:szCs w:val="24"/>
          <w:lang w:val="en-GB"/>
        </w:rPr>
      </w:pPr>
      <w:r w:rsidRPr="00B3239A">
        <w:rPr>
          <w:sz w:val="24"/>
          <w:szCs w:val="24"/>
          <w:lang w:val="en-GB"/>
        </w:rPr>
        <w:t>Treatment emergent psychotic or manic symptoms, e.g., hallucinations, delusional thinking, or mania in children and adolescents without prior history of psychotic illness or mania can be caused by stimulants at usual doses. If such symptoms occur, consideration should be given to a possible causal role of the stimulant, and discontinuation of treatment may be appropriate.</w:t>
      </w:r>
    </w:p>
    <w:p w14:paraId="07890DF3" w14:textId="77777777" w:rsidR="00B3239A" w:rsidRPr="00B3239A" w:rsidRDefault="00B3239A" w:rsidP="00B3239A">
      <w:pPr>
        <w:tabs>
          <w:tab w:val="left" w:pos="851"/>
        </w:tabs>
        <w:ind w:left="851"/>
        <w:rPr>
          <w:i/>
          <w:sz w:val="24"/>
          <w:szCs w:val="24"/>
          <w:lang w:val="en-GB"/>
        </w:rPr>
      </w:pPr>
    </w:p>
    <w:p w14:paraId="2FE8CA2B" w14:textId="77777777" w:rsidR="00B3239A" w:rsidRPr="00B3239A" w:rsidRDefault="00B3239A" w:rsidP="00B3239A">
      <w:pPr>
        <w:tabs>
          <w:tab w:val="left" w:pos="851"/>
        </w:tabs>
        <w:ind w:left="851"/>
        <w:rPr>
          <w:i/>
          <w:sz w:val="24"/>
          <w:szCs w:val="24"/>
          <w:lang w:val="en-GB"/>
        </w:rPr>
      </w:pPr>
      <w:r w:rsidRPr="00B3239A">
        <w:rPr>
          <w:i/>
          <w:sz w:val="24"/>
          <w:szCs w:val="24"/>
          <w:lang w:val="en-GB"/>
        </w:rPr>
        <w:t>Aggression</w:t>
      </w:r>
    </w:p>
    <w:p w14:paraId="7AFB29C6" w14:textId="77777777" w:rsidR="00B3239A" w:rsidRPr="00B3239A" w:rsidRDefault="00B3239A" w:rsidP="00B3239A">
      <w:pPr>
        <w:tabs>
          <w:tab w:val="left" w:pos="851"/>
        </w:tabs>
        <w:ind w:left="851"/>
        <w:rPr>
          <w:sz w:val="24"/>
          <w:szCs w:val="24"/>
          <w:lang w:val="en-GB"/>
        </w:rPr>
      </w:pPr>
      <w:r w:rsidRPr="00B3239A">
        <w:rPr>
          <w:sz w:val="24"/>
          <w:szCs w:val="24"/>
          <w:lang w:val="en-GB"/>
        </w:rPr>
        <w:t>Aggressive behaviour or hostility is often observed in children and adolescents with ADHD, and has been reported in clinical trials and the postmarketing experience of some medications indicated for the treatment of ADHD, including lisdexmafetamine-products. Stimulants may cause aggressive behaviour or hostility. Patients beginning treatment for ADHD should be monitored for the appearance of or worsening of aggressive behaviour or hostility.</w:t>
      </w:r>
    </w:p>
    <w:p w14:paraId="107E934F" w14:textId="3EEFAA14" w:rsidR="00CB19AD" w:rsidRDefault="00CB19AD">
      <w:pPr>
        <w:rPr>
          <w:sz w:val="24"/>
          <w:szCs w:val="24"/>
          <w:lang w:val="en-GB"/>
        </w:rPr>
      </w:pPr>
      <w:r>
        <w:rPr>
          <w:sz w:val="24"/>
          <w:szCs w:val="24"/>
          <w:lang w:val="en-GB"/>
        </w:rPr>
        <w:br w:type="page"/>
      </w:r>
    </w:p>
    <w:p w14:paraId="0B5C9E7B" w14:textId="77777777" w:rsidR="00B3239A" w:rsidRPr="00B3239A" w:rsidRDefault="00B3239A" w:rsidP="00B3239A">
      <w:pPr>
        <w:tabs>
          <w:tab w:val="left" w:pos="851"/>
        </w:tabs>
        <w:ind w:left="851"/>
        <w:rPr>
          <w:sz w:val="24"/>
          <w:szCs w:val="24"/>
          <w:lang w:val="en-GB"/>
        </w:rPr>
      </w:pPr>
    </w:p>
    <w:p w14:paraId="62E5F345" w14:textId="77777777" w:rsidR="00B3239A" w:rsidRPr="00B3239A" w:rsidRDefault="00B3239A" w:rsidP="00B3239A">
      <w:pPr>
        <w:tabs>
          <w:tab w:val="left" w:pos="851"/>
        </w:tabs>
        <w:ind w:left="851"/>
        <w:rPr>
          <w:i/>
          <w:sz w:val="24"/>
          <w:szCs w:val="24"/>
          <w:lang w:val="en-GB"/>
        </w:rPr>
      </w:pPr>
      <w:r w:rsidRPr="00B3239A">
        <w:rPr>
          <w:i/>
          <w:sz w:val="24"/>
          <w:szCs w:val="24"/>
          <w:lang w:val="en-GB"/>
        </w:rPr>
        <w:t>Tics</w:t>
      </w:r>
    </w:p>
    <w:p w14:paraId="20B3B726" w14:textId="77777777" w:rsidR="00B3239A" w:rsidRPr="00B3239A" w:rsidRDefault="00B3239A" w:rsidP="00B3239A">
      <w:pPr>
        <w:tabs>
          <w:tab w:val="left" w:pos="851"/>
        </w:tabs>
        <w:ind w:left="851"/>
        <w:rPr>
          <w:sz w:val="24"/>
          <w:szCs w:val="24"/>
          <w:lang w:val="en-GB"/>
        </w:rPr>
      </w:pPr>
      <w:r w:rsidRPr="00B3239A">
        <w:rPr>
          <w:sz w:val="24"/>
          <w:szCs w:val="24"/>
          <w:lang w:val="en-GB"/>
        </w:rPr>
        <w:t>Stimulants have been reported to exacerbate motor and phonic tics and Tourette’s syndrome. Therefore, clinical evaluation for tics and Tourette’s syndrome in children and their families should precede use of stimulant medications.</w:t>
      </w:r>
    </w:p>
    <w:p w14:paraId="2985DF28" w14:textId="77777777" w:rsidR="00B3239A" w:rsidRPr="00B3239A" w:rsidRDefault="00B3239A" w:rsidP="00B3239A">
      <w:pPr>
        <w:tabs>
          <w:tab w:val="left" w:pos="851"/>
        </w:tabs>
        <w:ind w:left="851"/>
        <w:rPr>
          <w:sz w:val="24"/>
          <w:szCs w:val="24"/>
          <w:lang w:val="en-GB"/>
        </w:rPr>
      </w:pPr>
    </w:p>
    <w:p w14:paraId="0FCEDDC5"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Long-term suppression of growth (height and weight)</w:t>
      </w:r>
    </w:p>
    <w:p w14:paraId="46E229F7" w14:textId="77777777" w:rsidR="00B3239A" w:rsidRPr="00B3239A" w:rsidRDefault="00B3239A" w:rsidP="00B3239A">
      <w:pPr>
        <w:tabs>
          <w:tab w:val="left" w:pos="851"/>
        </w:tabs>
        <w:ind w:left="851"/>
        <w:rPr>
          <w:sz w:val="24"/>
          <w:szCs w:val="24"/>
          <w:lang w:val="en-GB"/>
        </w:rPr>
      </w:pPr>
      <w:r w:rsidRPr="00B3239A">
        <w:rPr>
          <w:sz w:val="24"/>
          <w:szCs w:val="24"/>
          <w:lang w:val="en-GB"/>
        </w:rPr>
        <w:t xml:space="preserve">Stimulants have been associated with a slowing of weight gain and a reduction in attained height. Growth should be monitored during treatment with stimulants, and patients who are not growing or gaining weight as expected may need to have their treatment interrupted. Height, weight, and appetite should be recorded at least 6-monthly. </w:t>
      </w:r>
    </w:p>
    <w:p w14:paraId="6D70C2F1" w14:textId="77777777" w:rsidR="00B3239A" w:rsidRPr="00B3239A" w:rsidRDefault="00B3239A" w:rsidP="00B3239A">
      <w:pPr>
        <w:tabs>
          <w:tab w:val="left" w:pos="851"/>
        </w:tabs>
        <w:ind w:left="851"/>
        <w:rPr>
          <w:sz w:val="24"/>
          <w:szCs w:val="24"/>
          <w:lang w:val="en-GB"/>
        </w:rPr>
      </w:pPr>
    </w:p>
    <w:p w14:paraId="19F38C11" w14:textId="77777777" w:rsidR="00B3239A" w:rsidRPr="00B3239A" w:rsidRDefault="00B3239A" w:rsidP="00B3239A">
      <w:pPr>
        <w:tabs>
          <w:tab w:val="left" w:pos="851"/>
        </w:tabs>
        <w:ind w:left="851"/>
        <w:rPr>
          <w:sz w:val="24"/>
          <w:szCs w:val="24"/>
          <w:lang w:val="en-GB"/>
        </w:rPr>
      </w:pPr>
      <w:r w:rsidRPr="00B3239A">
        <w:rPr>
          <w:sz w:val="24"/>
          <w:szCs w:val="24"/>
          <w:lang w:val="en-GB"/>
        </w:rPr>
        <w:t>In a controlled study of patients aged 6 to 17 years the mean (SD) changes in body weight after seven weeks were -2.35 (2.084) kg for lisdexamfetamine , +0.87 (1.102) kg for placebo, and -1.36 (1.552) kg for methylphenidate hydrochloride.</w:t>
      </w:r>
    </w:p>
    <w:p w14:paraId="2F512D09" w14:textId="77777777" w:rsidR="00B3239A" w:rsidRPr="00B3239A" w:rsidRDefault="00B3239A" w:rsidP="00B3239A">
      <w:pPr>
        <w:tabs>
          <w:tab w:val="left" w:pos="851"/>
        </w:tabs>
        <w:ind w:left="851"/>
        <w:rPr>
          <w:sz w:val="24"/>
          <w:szCs w:val="24"/>
          <w:lang w:val="en-GB"/>
        </w:rPr>
      </w:pPr>
    </w:p>
    <w:p w14:paraId="58398956"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Seizures</w:t>
      </w:r>
    </w:p>
    <w:p w14:paraId="3C2AECE7" w14:textId="77777777" w:rsidR="00B3239A" w:rsidRPr="00B3239A" w:rsidRDefault="00B3239A" w:rsidP="00B3239A">
      <w:pPr>
        <w:tabs>
          <w:tab w:val="left" w:pos="851"/>
        </w:tabs>
        <w:ind w:left="851"/>
        <w:rPr>
          <w:sz w:val="24"/>
          <w:szCs w:val="24"/>
          <w:lang w:val="en-GB"/>
        </w:rPr>
      </w:pPr>
      <w:r w:rsidRPr="00B3239A">
        <w:rPr>
          <w:sz w:val="24"/>
          <w:szCs w:val="24"/>
          <w:lang w:val="en-GB"/>
        </w:rPr>
        <w:t>There is some clinical evidence that stimulants may lower the convulsive threshold in patients with prior history of seizure, in patients with prior EEG abnormalities in absence of seizures, and very rarely, in patients without a history of seizures and no prior EEG evidence of seizures. In the presence of new onset or worsening seizures, the medicinal product should be discontinued.</w:t>
      </w:r>
    </w:p>
    <w:p w14:paraId="55CF40A5" w14:textId="77777777" w:rsidR="00B3239A" w:rsidRPr="00B3239A" w:rsidRDefault="00B3239A" w:rsidP="00B3239A">
      <w:pPr>
        <w:tabs>
          <w:tab w:val="left" w:pos="851"/>
        </w:tabs>
        <w:ind w:left="851"/>
        <w:rPr>
          <w:sz w:val="24"/>
          <w:szCs w:val="24"/>
          <w:lang w:val="en-GB"/>
        </w:rPr>
      </w:pPr>
    </w:p>
    <w:p w14:paraId="0AEFD4E8"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Visual disturbance</w:t>
      </w:r>
    </w:p>
    <w:p w14:paraId="5BD4B143" w14:textId="77777777" w:rsidR="00B3239A" w:rsidRPr="00B3239A" w:rsidRDefault="00B3239A" w:rsidP="00B3239A">
      <w:pPr>
        <w:tabs>
          <w:tab w:val="left" w:pos="851"/>
        </w:tabs>
        <w:ind w:left="851"/>
        <w:rPr>
          <w:sz w:val="24"/>
          <w:szCs w:val="24"/>
          <w:lang w:val="en-GB"/>
        </w:rPr>
      </w:pPr>
      <w:r w:rsidRPr="00B3239A">
        <w:rPr>
          <w:sz w:val="24"/>
          <w:szCs w:val="24"/>
          <w:lang w:val="en-GB"/>
        </w:rPr>
        <w:t>Difficulties with accommodation and blurring of vision have been reported with stimulant treatment.</w:t>
      </w:r>
    </w:p>
    <w:p w14:paraId="09A1518D" w14:textId="77777777" w:rsidR="00B3239A" w:rsidRPr="00B3239A" w:rsidRDefault="00B3239A" w:rsidP="00B3239A">
      <w:pPr>
        <w:tabs>
          <w:tab w:val="left" w:pos="851"/>
        </w:tabs>
        <w:ind w:left="851"/>
        <w:rPr>
          <w:sz w:val="24"/>
          <w:szCs w:val="24"/>
          <w:lang w:val="en-GB"/>
        </w:rPr>
      </w:pPr>
    </w:p>
    <w:p w14:paraId="0CC24B84"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Prescribing and dispensing</w:t>
      </w:r>
    </w:p>
    <w:p w14:paraId="36707918" w14:textId="77777777" w:rsidR="00B3239A" w:rsidRPr="00B3239A" w:rsidRDefault="00B3239A" w:rsidP="00B3239A">
      <w:pPr>
        <w:tabs>
          <w:tab w:val="left" w:pos="851"/>
        </w:tabs>
        <w:ind w:left="851"/>
        <w:rPr>
          <w:sz w:val="24"/>
          <w:szCs w:val="24"/>
          <w:lang w:val="en-GB"/>
        </w:rPr>
      </w:pPr>
      <w:r w:rsidRPr="00B3239A">
        <w:rPr>
          <w:sz w:val="24"/>
          <w:szCs w:val="24"/>
          <w:lang w:val="en-GB"/>
        </w:rPr>
        <w:t>The least amount of Dexhility feasible should be prescribed or dispensed in order to minimise the risk of possible overdose by the patient.</w:t>
      </w:r>
    </w:p>
    <w:p w14:paraId="13E266A9" w14:textId="77777777" w:rsidR="00B3239A" w:rsidRPr="00B3239A" w:rsidRDefault="00B3239A" w:rsidP="00B3239A">
      <w:pPr>
        <w:tabs>
          <w:tab w:val="left" w:pos="851"/>
        </w:tabs>
        <w:ind w:left="851"/>
        <w:rPr>
          <w:sz w:val="24"/>
          <w:szCs w:val="24"/>
          <w:u w:val="single"/>
          <w:lang w:val="en-GB"/>
        </w:rPr>
      </w:pPr>
    </w:p>
    <w:p w14:paraId="6F892C2C"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Use with other sympathomimetic medicinal products</w:t>
      </w:r>
    </w:p>
    <w:p w14:paraId="01CA370A" w14:textId="77777777" w:rsidR="00B3239A" w:rsidRPr="00B3239A" w:rsidRDefault="00B3239A" w:rsidP="00B3239A">
      <w:pPr>
        <w:tabs>
          <w:tab w:val="left" w:pos="851"/>
        </w:tabs>
        <w:ind w:left="851"/>
        <w:rPr>
          <w:sz w:val="24"/>
          <w:szCs w:val="24"/>
          <w:lang w:val="en-GB"/>
        </w:rPr>
      </w:pPr>
      <w:r w:rsidRPr="00B3239A">
        <w:rPr>
          <w:sz w:val="24"/>
          <w:szCs w:val="24"/>
          <w:lang w:val="en-GB"/>
        </w:rPr>
        <w:t>Dexhility should be used with caution in patients who use other sympathomimetic medicinal products (see section 4.5).</w:t>
      </w:r>
    </w:p>
    <w:p w14:paraId="45AE2AF6" w14:textId="77777777" w:rsidR="00B3239A" w:rsidRPr="00B3239A" w:rsidRDefault="00B3239A" w:rsidP="00B3239A">
      <w:pPr>
        <w:tabs>
          <w:tab w:val="left" w:pos="851"/>
        </w:tabs>
        <w:ind w:left="851"/>
        <w:rPr>
          <w:sz w:val="24"/>
          <w:szCs w:val="24"/>
          <w:lang w:val="en-GB"/>
        </w:rPr>
      </w:pPr>
    </w:p>
    <w:p w14:paraId="45B2FF47" w14:textId="77777777" w:rsidR="00B3239A" w:rsidRPr="00B3239A" w:rsidRDefault="00B3239A" w:rsidP="00B3239A">
      <w:pPr>
        <w:tabs>
          <w:tab w:val="left" w:pos="851"/>
        </w:tabs>
        <w:ind w:left="851"/>
        <w:rPr>
          <w:sz w:val="24"/>
          <w:szCs w:val="24"/>
          <w:u w:val="single"/>
          <w:lang w:val="en-GB"/>
        </w:rPr>
      </w:pPr>
      <w:r w:rsidRPr="00B3239A">
        <w:rPr>
          <w:sz w:val="24"/>
          <w:szCs w:val="24"/>
          <w:u w:val="single"/>
          <w:lang w:val="en-GB"/>
        </w:rPr>
        <w:t>Use in adults</w:t>
      </w:r>
    </w:p>
    <w:p w14:paraId="109B51EE" w14:textId="77777777" w:rsidR="00B3239A" w:rsidRPr="00B3239A" w:rsidRDefault="00B3239A" w:rsidP="00B3239A">
      <w:pPr>
        <w:tabs>
          <w:tab w:val="left" w:pos="851"/>
        </w:tabs>
        <w:ind w:left="851"/>
        <w:rPr>
          <w:sz w:val="24"/>
          <w:szCs w:val="24"/>
          <w:lang w:val="en-GB"/>
        </w:rPr>
      </w:pPr>
      <w:r w:rsidRPr="00B3239A">
        <w:rPr>
          <w:sz w:val="24"/>
          <w:szCs w:val="24"/>
          <w:lang w:val="en-GB"/>
        </w:rPr>
        <w:t>If treatment withdrawal has not been successful when an adolescent has reached 18 years of age continued treatment into adulthood may be necessary. The need for further treatment of these adults should be reviewed regularly and undertaken annually.</w:t>
      </w:r>
    </w:p>
    <w:p w14:paraId="31A2DE92" w14:textId="77777777" w:rsidR="00B3239A" w:rsidRPr="00B3239A" w:rsidRDefault="00B3239A" w:rsidP="00B3239A">
      <w:pPr>
        <w:tabs>
          <w:tab w:val="left" w:pos="851"/>
        </w:tabs>
        <w:ind w:left="851"/>
        <w:rPr>
          <w:sz w:val="24"/>
          <w:szCs w:val="24"/>
          <w:lang w:val="en-GB"/>
        </w:rPr>
      </w:pPr>
    </w:p>
    <w:p w14:paraId="504148FA" w14:textId="77777777" w:rsidR="00B3239A" w:rsidRPr="00B3239A" w:rsidRDefault="00B3239A" w:rsidP="00B3239A">
      <w:pPr>
        <w:tabs>
          <w:tab w:val="left" w:pos="851"/>
        </w:tabs>
        <w:ind w:left="851"/>
        <w:rPr>
          <w:sz w:val="24"/>
          <w:szCs w:val="24"/>
          <w:u w:val="single"/>
          <w:lang w:val="en-GB"/>
        </w:rPr>
      </w:pPr>
      <w:bookmarkStart w:id="6" w:name="_Hlk96448674"/>
      <w:r w:rsidRPr="00B3239A">
        <w:rPr>
          <w:sz w:val="24"/>
          <w:szCs w:val="24"/>
          <w:u w:val="single"/>
          <w:lang w:val="en-GB"/>
        </w:rPr>
        <w:t>Dexhility contains sodium</w:t>
      </w:r>
    </w:p>
    <w:bookmarkEnd w:id="6"/>
    <w:p w14:paraId="60D0C769" w14:textId="77777777" w:rsidR="00B3239A" w:rsidRPr="00B3239A" w:rsidRDefault="00B3239A" w:rsidP="00B3239A">
      <w:pPr>
        <w:tabs>
          <w:tab w:val="left" w:pos="851"/>
        </w:tabs>
        <w:ind w:left="851"/>
        <w:rPr>
          <w:sz w:val="24"/>
          <w:szCs w:val="24"/>
          <w:lang w:val="en-GB"/>
        </w:rPr>
      </w:pPr>
      <w:r w:rsidRPr="00B3239A">
        <w:rPr>
          <w:sz w:val="24"/>
          <w:szCs w:val="24"/>
          <w:lang w:val="en-GB"/>
        </w:rPr>
        <w:t>This medicine contains less than 1 mmol sodium (23 mg) per capsule, that is to say essentially ‘sodium-free’.</w:t>
      </w:r>
    </w:p>
    <w:p w14:paraId="5A52CD8B" w14:textId="77777777" w:rsidR="007C5D2A" w:rsidRPr="00303008" w:rsidRDefault="007C5D2A" w:rsidP="003E0341">
      <w:pPr>
        <w:tabs>
          <w:tab w:val="left" w:pos="851"/>
        </w:tabs>
        <w:ind w:left="851"/>
        <w:rPr>
          <w:sz w:val="24"/>
          <w:szCs w:val="24"/>
          <w:lang w:val="en-GB"/>
        </w:rPr>
      </w:pPr>
    </w:p>
    <w:p w14:paraId="35A4399E"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4C58C8FA" w14:textId="77777777" w:rsidR="00D44C81" w:rsidRPr="00D44C81" w:rsidRDefault="00D44C81" w:rsidP="00D44C81">
      <w:pPr>
        <w:tabs>
          <w:tab w:val="left" w:pos="851"/>
        </w:tabs>
        <w:ind w:left="851"/>
        <w:rPr>
          <w:sz w:val="24"/>
          <w:szCs w:val="24"/>
          <w:lang w:val="en-GB"/>
        </w:rPr>
      </w:pPr>
    </w:p>
    <w:p w14:paraId="05230BC5" w14:textId="77777777" w:rsidR="00D44C81" w:rsidRPr="00D44C81" w:rsidRDefault="00D44C81" w:rsidP="00D44C81">
      <w:pPr>
        <w:tabs>
          <w:tab w:val="left" w:pos="851"/>
        </w:tabs>
        <w:ind w:left="851"/>
        <w:rPr>
          <w:sz w:val="24"/>
          <w:szCs w:val="24"/>
          <w:u w:val="single"/>
          <w:lang w:val="en-GB"/>
        </w:rPr>
      </w:pPr>
      <w:r w:rsidRPr="00D44C81">
        <w:rPr>
          <w:i/>
          <w:sz w:val="24"/>
          <w:szCs w:val="24"/>
          <w:u w:val="single"/>
          <w:lang w:val="en-GB"/>
        </w:rPr>
        <w:t>In vitro</w:t>
      </w:r>
      <w:r w:rsidRPr="00D44C81">
        <w:rPr>
          <w:sz w:val="24"/>
          <w:szCs w:val="24"/>
          <w:u w:val="single"/>
          <w:lang w:val="en-GB"/>
        </w:rPr>
        <w:t xml:space="preserve"> enzyme inhibition </w:t>
      </w:r>
    </w:p>
    <w:p w14:paraId="5B1908AF" w14:textId="77777777" w:rsidR="00D44C81" w:rsidRPr="00D44C81" w:rsidRDefault="00D44C81" w:rsidP="00D44C81">
      <w:pPr>
        <w:tabs>
          <w:tab w:val="left" w:pos="851"/>
        </w:tabs>
        <w:ind w:left="851"/>
        <w:rPr>
          <w:sz w:val="24"/>
          <w:szCs w:val="24"/>
          <w:lang w:val="en-GB"/>
        </w:rPr>
      </w:pPr>
      <w:r w:rsidRPr="00D44C81">
        <w:rPr>
          <w:i/>
          <w:sz w:val="24"/>
          <w:szCs w:val="24"/>
          <w:lang w:val="en-GB"/>
        </w:rPr>
        <w:t>In vitro</w:t>
      </w:r>
      <w:r w:rsidRPr="00D44C81">
        <w:rPr>
          <w:sz w:val="24"/>
          <w:szCs w:val="24"/>
          <w:lang w:val="en-GB"/>
        </w:rPr>
        <w:t xml:space="preserve"> experiments with human microsomes indicate minor inhibition of CYP2D6 by amfetamine and minor inhibition of CYP1A2, 2D6, and 3A4 by one or more metabolites. Although the clinical significance of this interaction is likely to be minimal, consideration should be given when medications metabolised by these pathways are administered. </w:t>
      </w:r>
    </w:p>
    <w:p w14:paraId="6A6F029B" w14:textId="77777777" w:rsidR="00D44C81" w:rsidRPr="00D44C81" w:rsidRDefault="00D44C81" w:rsidP="00D44C81">
      <w:pPr>
        <w:tabs>
          <w:tab w:val="left" w:pos="851"/>
        </w:tabs>
        <w:ind w:left="851"/>
        <w:rPr>
          <w:sz w:val="24"/>
          <w:szCs w:val="24"/>
          <w:lang w:val="en-GB"/>
        </w:rPr>
      </w:pPr>
    </w:p>
    <w:p w14:paraId="3FC3D6C4"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Agents whose blood levels may be impacted by lisdexamfetamine-containing medicinal products</w:t>
      </w:r>
    </w:p>
    <w:p w14:paraId="0BBF0824" w14:textId="77777777" w:rsidR="00D44C81" w:rsidRPr="00D44C81" w:rsidRDefault="00D44C81" w:rsidP="00D44C81">
      <w:pPr>
        <w:tabs>
          <w:tab w:val="left" w:pos="851"/>
        </w:tabs>
        <w:ind w:left="851"/>
        <w:rPr>
          <w:sz w:val="24"/>
          <w:szCs w:val="24"/>
          <w:lang w:val="en-GB"/>
        </w:rPr>
      </w:pPr>
      <w:r w:rsidRPr="00D44C81">
        <w:rPr>
          <w:sz w:val="24"/>
          <w:szCs w:val="24"/>
          <w:lang w:val="en-GB"/>
        </w:rPr>
        <w:t xml:space="preserve">Extended release guanfacine: In a drug interaction study, administration of an extended release guanfacine in combination with lisdexamfetamine induced a 19% increase in guanfacine maximum plasma concentrations </w:t>
      </w:r>
      <w:r w:rsidRPr="00D44C81">
        <w:rPr>
          <w:sz w:val="24"/>
          <w:szCs w:val="24"/>
          <w:lang w:val="en-US"/>
        </w:rPr>
        <w:t>(C</w:t>
      </w:r>
      <w:r w:rsidRPr="00D44C81">
        <w:rPr>
          <w:sz w:val="24"/>
          <w:szCs w:val="24"/>
          <w:vertAlign w:val="subscript"/>
          <w:lang w:val="en-US"/>
        </w:rPr>
        <w:t>max</w:t>
      </w:r>
      <w:r w:rsidRPr="00D44C81">
        <w:rPr>
          <w:sz w:val="24"/>
          <w:szCs w:val="24"/>
          <w:lang w:val="en-US"/>
        </w:rPr>
        <w:t>)</w:t>
      </w:r>
      <w:r w:rsidRPr="00D44C81">
        <w:rPr>
          <w:sz w:val="24"/>
          <w:szCs w:val="24"/>
          <w:lang w:val="en-GB"/>
        </w:rPr>
        <w:t>, whereas, exposure (area under the curve; AUC) was increased by 7%. These small changes are not expected to be clinically meaningful. In this study, no effect on dexamfetamine exposure was observed following co-administration of extended release guanfacine and lisdexamfetamine dimesylate.</w:t>
      </w:r>
    </w:p>
    <w:p w14:paraId="3AA7F9A9" w14:textId="77777777" w:rsidR="00D44C81" w:rsidRPr="00D44C81" w:rsidRDefault="00D44C81" w:rsidP="00D44C81">
      <w:pPr>
        <w:tabs>
          <w:tab w:val="left" w:pos="851"/>
        </w:tabs>
        <w:ind w:left="851"/>
        <w:rPr>
          <w:sz w:val="24"/>
          <w:szCs w:val="24"/>
          <w:lang w:val="en-GB"/>
        </w:rPr>
      </w:pPr>
    </w:p>
    <w:p w14:paraId="5921A528" w14:textId="77777777" w:rsidR="00D44C81" w:rsidRPr="00D44C81" w:rsidRDefault="00D44C81" w:rsidP="00D44C81">
      <w:pPr>
        <w:tabs>
          <w:tab w:val="left" w:pos="851"/>
        </w:tabs>
        <w:ind w:left="851"/>
        <w:rPr>
          <w:sz w:val="24"/>
          <w:szCs w:val="24"/>
          <w:lang w:val="en-GB"/>
        </w:rPr>
      </w:pPr>
      <w:r w:rsidRPr="00D44C81">
        <w:rPr>
          <w:sz w:val="24"/>
          <w:szCs w:val="24"/>
          <w:lang w:val="en-GB"/>
        </w:rPr>
        <w:t>Extended release venlafaxine: In a drug interaction study, administration of 225 mg extended release venlafaxine, a CYP2D6 substrate, in combination with 70 mg lisdexamfetamine induced a 9% decrease in the C</w:t>
      </w:r>
      <w:r w:rsidRPr="00D44C81">
        <w:rPr>
          <w:sz w:val="24"/>
          <w:szCs w:val="24"/>
          <w:vertAlign w:val="subscript"/>
          <w:lang w:val="en-GB"/>
        </w:rPr>
        <w:t>max</w:t>
      </w:r>
      <w:r w:rsidRPr="00D44C81">
        <w:rPr>
          <w:sz w:val="24"/>
          <w:szCs w:val="24"/>
          <w:lang w:val="en-GB"/>
        </w:rPr>
        <w:t xml:space="preserve"> and 17% decrease in the AUC for the primary active metabolite o-desmethylvenlafaxine and a 10% increase in C</w:t>
      </w:r>
      <w:r w:rsidRPr="00D44C81">
        <w:rPr>
          <w:sz w:val="24"/>
          <w:szCs w:val="24"/>
          <w:vertAlign w:val="subscript"/>
          <w:lang w:val="en-GB"/>
        </w:rPr>
        <w:t>max</w:t>
      </w:r>
      <w:r w:rsidRPr="00D44C81">
        <w:rPr>
          <w:sz w:val="24"/>
          <w:szCs w:val="24"/>
          <w:lang w:val="en-GB"/>
        </w:rPr>
        <w:t xml:space="preserve"> and 13% increase in AUC for venlafaxine. Dexamfetamine may be a weak inhibitor of CYP2D6. Lisdexamfetamine has no effect on the AUC and C</w:t>
      </w:r>
      <w:r w:rsidRPr="00D44C81">
        <w:rPr>
          <w:sz w:val="24"/>
          <w:szCs w:val="24"/>
          <w:vertAlign w:val="subscript"/>
          <w:lang w:val="en-GB"/>
        </w:rPr>
        <w:t>max</w:t>
      </w:r>
      <w:r w:rsidRPr="00D44C81">
        <w:rPr>
          <w:sz w:val="24"/>
          <w:szCs w:val="24"/>
          <w:lang w:val="en-GB"/>
        </w:rPr>
        <w:t xml:space="preserve"> of the composite of venlafaxine and o-desmethylvenlafaxine. These small changes are not expected to be clinically meaningful. In this study, no effect on dexamfetamine exposure was observed following co-administration of extended release venlafaxine and lisdexamfetamine.</w:t>
      </w:r>
    </w:p>
    <w:p w14:paraId="7AC9C46C" w14:textId="77777777" w:rsidR="00D44C81" w:rsidRPr="00D44C81" w:rsidRDefault="00D44C81" w:rsidP="00D44C81">
      <w:pPr>
        <w:tabs>
          <w:tab w:val="left" w:pos="851"/>
        </w:tabs>
        <w:ind w:left="851"/>
        <w:rPr>
          <w:sz w:val="24"/>
          <w:szCs w:val="24"/>
          <w:lang w:val="en-GB"/>
        </w:rPr>
      </w:pPr>
    </w:p>
    <w:p w14:paraId="29815BB9"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Agents and conditions that alter urinary pH and impact the urinary excretion and half-life of amfetamine</w:t>
      </w:r>
    </w:p>
    <w:p w14:paraId="7510B512" w14:textId="77777777" w:rsidR="00D44C81" w:rsidRPr="00D44C81" w:rsidRDefault="00D44C81" w:rsidP="00D44C81">
      <w:pPr>
        <w:tabs>
          <w:tab w:val="left" w:pos="851"/>
        </w:tabs>
        <w:ind w:left="851"/>
        <w:rPr>
          <w:sz w:val="24"/>
          <w:szCs w:val="24"/>
          <w:lang w:val="en-GB"/>
        </w:rPr>
      </w:pPr>
      <w:r w:rsidRPr="00D44C81">
        <w:rPr>
          <w:sz w:val="24"/>
          <w:szCs w:val="24"/>
          <w:lang w:val="en-GB"/>
        </w:rPr>
        <w:t>Ascorbic acid and other agents and conditions (thiazide diuretics, diets high in animal protein, diabetes, respiratory acidosis) that acidify urine increase urinary excretion and decrease the half-life of amfetamine. Sodium bicarbonate and other agents and conditions (diets high in fruits and vegetables, urinary tract infections and vomiting) that alkalinise urine decrease urinary excretion and extend the half-life of amfetamine.</w:t>
      </w:r>
    </w:p>
    <w:p w14:paraId="1CFF67E8" w14:textId="77777777" w:rsidR="00D44C81" w:rsidRPr="00D44C81" w:rsidRDefault="00D44C81" w:rsidP="00D44C81">
      <w:pPr>
        <w:tabs>
          <w:tab w:val="left" w:pos="851"/>
        </w:tabs>
        <w:ind w:left="851"/>
        <w:rPr>
          <w:sz w:val="24"/>
          <w:szCs w:val="24"/>
          <w:lang w:val="en-GB"/>
        </w:rPr>
      </w:pPr>
    </w:p>
    <w:p w14:paraId="0D41E635"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Monoamine oxidase inhibitors</w:t>
      </w:r>
    </w:p>
    <w:p w14:paraId="2C5DD82B" w14:textId="77777777" w:rsidR="00D44C81" w:rsidRPr="00D44C81" w:rsidRDefault="00D44C81" w:rsidP="00D44C81">
      <w:pPr>
        <w:tabs>
          <w:tab w:val="left" w:pos="851"/>
        </w:tabs>
        <w:ind w:left="851"/>
        <w:rPr>
          <w:sz w:val="24"/>
          <w:szCs w:val="24"/>
          <w:lang w:val="en-GB"/>
        </w:rPr>
      </w:pPr>
      <w:r w:rsidRPr="00D44C81">
        <w:rPr>
          <w:sz w:val="24"/>
          <w:szCs w:val="24"/>
          <w:lang w:val="en-GB"/>
        </w:rPr>
        <w:t>Amfetamine should not be administered during or within 14 days following the administration of monoamine oxidase inhibitors (MAOI) because it can increase the release of norepinephrine and other monoamines. This can cause severe headaches and other signs of hypertensive crisis. A variety of toxic neurological effects and malignant hyperpyrexia can occur, sometimes with fatal outcomes (see section 4.3).</w:t>
      </w:r>
    </w:p>
    <w:p w14:paraId="273AA2B8" w14:textId="77777777" w:rsidR="00D44C81" w:rsidRPr="00D44C81" w:rsidRDefault="00D44C81" w:rsidP="00D44C81">
      <w:pPr>
        <w:tabs>
          <w:tab w:val="left" w:pos="851"/>
        </w:tabs>
        <w:ind w:left="851"/>
        <w:rPr>
          <w:sz w:val="24"/>
          <w:szCs w:val="24"/>
          <w:lang w:val="en-GB"/>
        </w:rPr>
      </w:pPr>
    </w:p>
    <w:p w14:paraId="0F81300F"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Serotonergic medicinal products</w:t>
      </w:r>
    </w:p>
    <w:p w14:paraId="0404544D" w14:textId="77777777" w:rsidR="00D44C81" w:rsidRPr="00D44C81" w:rsidRDefault="00D44C81" w:rsidP="00D44C81">
      <w:pPr>
        <w:tabs>
          <w:tab w:val="left" w:pos="851"/>
        </w:tabs>
        <w:ind w:left="851"/>
        <w:rPr>
          <w:sz w:val="24"/>
          <w:szCs w:val="24"/>
          <w:lang w:val="en-GB"/>
        </w:rPr>
      </w:pPr>
      <w:r w:rsidRPr="00D44C81">
        <w:rPr>
          <w:sz w:val="24"/>
          <w:szCs w:val="24"/>
          <w:lang w:val="en-GB"/>
        </w:rPr>
        <w:t xml:space="preserve">Serotonin syndrome has rarely occurred in association with the use of amphetamines, such as </w:t>
      </w:r>
      <w:r w:rsidRPr="00D44C81">
        <w:rPr>
          <w:sz w:val="24"/>
          <w:szCs w:val="24"/>
          <w:u w:val="single"/>
          <w:lang w:val="en-GB"/>
        </w:rPr>
        <w:t>lisdexamfetamine</w:t>
      </w:r>
      <w:r w:rsidRPr="00D44C81">
        <w:rPr>
          <w:sz w:val="24"/>
          <w:szCs w:val="24"/>
          <w:lang w:val="en-GB"/>
        </w:rPr>
        <w:t>, when given in conjunction with serotonergic medicinal products, including selective serotonin reuptake inhibitors (SSRIs) and serotonin and noradrenaline reuptake inhibitors (SNRIs). It has also been reported in association with overdose of amfetamines, including lisdexamfetamine-containing products (see section 4.9).</w:t>
      </w:r>
    </w:p>
    <w:p w14:paraId="3522B7C9" w14:textId="77777777" w:rsidR="00D44C81" w:rsidRPr="00D44C81" w:rsidRDefault="00D44C81" w:rsidP="00D44C81">
      <w:pPr>
        <w:tabs>
          <w:tab w:val="left" w:pos="851"/>
        </w:tabs>
        <w:ind w:left="851"/>
        <w:rPr>
          <w:sz w:val="24"/>
          <w:szCs w:val="24"/>
          <w:lang w:val="en-GB"/>
        </w:rPr>
      </w:pPr>
    </w:p>
    <w:p w14:paraId="0FF15B23"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Agents whose effects may be reduced by amfetamines</w:t>
      </w:r>
    </w:p>
    <w:p w14:paraId="335170B1" w14:textId="77777777" w:rsidR="00D44C81" w:rsidRPr="00D44C81" w:rsidRDefault="00D44C81" w:rsidP="00D44C81">
      <w:pPr>
        <w:tabs>
          <w:tab w:val="left" w:pos="851"/>
        </w:tabs>
        <w:ind w:left="851"/>
        <w:rPr>
          <w:sz w:val="24"/>
          <w:szCs w:val="24"/>
          <w:lang w:val="en-GB"/>
        </w:rPr>
      </w:pPr>
      <w:r w:rsidRPr="00D44C81">
        <w:rPr>
          <w:sz w:val="24"/>
          <w:szCs w:val="24"/>
          <w:lang w:val="en-GB"/>
        </w:rPr>
        <w:t>Antihypertensives: Amfetamines may decrease the effectiveness of guanethidine or other antihypertensive medications.</w:t>
      </w:r>
    </w:p>
    <w:p w14:paraId="565CFBFC" w14:textId="77777777" w:rsidR="00D44C81" w:rsidRPr="00D44C81" w:rsidRDefault="00D44C81" w:rsidP="00D44C81">
      <w:pPr>
        <w:tabs>
          <w:tab w:val="left" w:pos="851"/>
        </w:tabs>
        <w:ind w:left="851"/>
        <w:rPr>
          <w:sz w:val="24"/>
          <w:szCs w:val="24"/>
          <w:lang w:val="en-GB"/>
        </w:rPr>
      </w:pPr>
    </w:p>
    <w:p w14:paraId="483BC98A"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Agents whose effects may be potentiated by amfetamines</w:t>
      </w:r>
    </w:p>
    <w:p w14:paraId="411665C2" w14:textId="77777777" w:rsidR="00D44C81" w:rsidRPr="00D44C81" w:rsidRDefault="00D44C81" w:rsidP="00D44C81">
      <w:pPr>
        <w:tabs>
          <w:tab w:val="left" w:pos="851"/>
        </w:tabs>
        <w:ind w:left="851"/>
        <w:rPr>
          <w:sz w:val="24"/>
          <w:szCs w:val="24"/>
          <w:lang w:val="en-GB"/>
        </w:rPr>
      </w:pPr>
      <w:r w:rsidRPr="00D44C81">
        <w:rPr>
          <w:sz w:val="24"/>
          <w:szCs w:val="24"/>
          <w:lang w:val="en-GB"/>
        </w:rPr>
        <w:t>Amfetamines potentiate the analgesic effect of narcotic analgesics.</w:t>
      </w:r>
    </w:p>
    <w:p w14:paraId="134AA9D5" w14:textId="36743D64" w:rsidR="000C2850" w:rsidRDefault="000C2850">
      <w:pPr>
        <w:rPr>
          <w:sz w:val="24"/>
          <w:szCs w:val="24"/>
          <w:u w:val="single"/>
          <w:lang w:val="en-GB"/>
        </w:rPr>
      </w:pPr>
      <w:r>
        <w:rPr>
          <w:sz w:val="24"/>
          <w:szCs w:val="24"/>
          <w:u w:val="single"/>
          <w:lang w:val="en-GB"/>
        </w:rPr>
        <w:br w:type="page"/>
      </w:r>
    </w:p>
    <w:p w14:paraId="2463FB59" w14:textId="77777777" w:rsidR="00D44C81" w:rsidRPr="00D44C81" w:rsidRDefault="00D44C81" w:rsidP="00D44C81">
      <w:pPr>
        <w:tabs>
          <w:tab w:val="left" w:pos="851"/>
        </w:tabs>
        <w:ind w:left="851"/>
        <w:rPr>
          <w:sz w:val="24"/>
          <w:szCs w:val="24"/>
          <w:u w:val="single"/>
          <w:lang w:val="en-GB"/>
        </w:rPr>
      </w:pPr>
    </w:p>
    <w:p w14:paraId="32620880"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Agents that may reduce the effects of amfetamines</w:t>
      </w:r>
    </w:p>
    <w:p w14:paraId="1E14E80C" w14:textId="77777777" w:rsidR="00D44C81" w:rsidRPr="00D44C81" w:rsidRDefault="00D44C81" w:rsidP="00D44C81">
      <w:pPr>
        <w:tabs>
          <w:tab w:val="left" w:pos="851"/>
        </w:tabs>
        <w:ind w:left="851"/>
        <w:rPr>
          <w:sz w:val="24"/>
          <w:szCs w:val="24"/>
          <w:lang w:val="en-GB"/>
        </w:rPr>
      </w:pPr>
      <w:r w:rsidRPr="00D44C81">
        <w:rPr>
          <w:sz w:val="24"/>
          <w:szCs w:val="24"/>
          <w:lang w:val="en-GB"/>
        </w:rPr>
        <w:t>Chlorpromazine: Chlorpromazine blocks dopamine and norepinephrine receptors, thus inhibiting the central stimulant effects of amfetamines.</w:t>
      </w:r>
    </w:p>
    <w:p w14:paraId="2316D387" w14:textId="77777777" w:rsidR="00D44C81" w:rsidRPr="00D44C81" w:rsidRDefault="00D44C81" w:rsidP="00D44C81">
      <w:pPr>
        <w:tabs>
          <w:tab w:val="left" w:pos="851"/>
        </w:tabs>
        <w:ind w:left="851"/>
        <w:rPr>
          <w:sz w:val="24"/>
          <w:szCs w:val="24"/>
          <w:lang w:val="en-GB"/>
        </w:rPr>
      </w:pPr>
    </w:p>
    <w:p w14:paraId="3DBD9A3D" w14:textId="77777777" w:rsidR="00D44C81" w:rsidRPr="00D44C81" w:rsidRDefault="00D44C81" w:rsidP="00D44C81">
      <w:pPr>
        <w:tabs>
          <w:tab w:val="left" w:pos="851"/>
        </w:tabs>
        <w:ind w:left="851"/>
        <w:rPr>
          <w:sz w:val="24"/>
          <w:szCs w:val="24"/>
          <w:lang w:val="en-GB"/>
        </w:rPr>
      </w:pPr>
      <w:r w:rsidRPr="00D44C81">
        <w:rPr>
          <w:sz w:val="24"/>
          <w:szCs w:val="24"/>
          <w:lang w:val="en-GB"/>
        </w:rPr>
        <w:t>Haloperidol: Haloperidol blocks dopamine receptors, thus inhibiting the central stimulant effects of amfetamines.</w:t>
      </w:r>
    </w:p>
    <w:p w14:paraId="2DD2F8D8" w14:textId="77777777" w:rsidR="00D44C81" w:rsidRPr="00D44C81" w:rsidRDefault="00D44C81" w:rsidP="00D44C81">
      <w:pPr>
        <w:tabs>
          <w:tab w:val="left" w:pos="851"/>
        </w:tabs>
        <w:ind w:left="851"/>
        <w:rPr>
          <w:sz w:val="24"/>
          <w:szCs w:val="24"/>
          <w:lang w:val="en-GB"/>
        </w:rPr>
      </w:pPr>
    </w:p>
    <w:p w14:paraId="11A1326A" w14:textId="77777777" w:rsidR="00D44C81" w:rsidRPr="00D44C81" w:rsidRDefault="00D44C81" w:rsidP="00D44C81">
      <w:pPr>
        <w:tabs>
          <w:tab w:val="left" w:pos="851"/>
        </w:tabs>
        <w:ind w:left="851"/>
        <w:rPr>
          <w:sz w:val="24"/>
          <w:szCs w:val="24"/>
          <w:lang w:val="en-GB"/>
        </w:rPr>
      </w:pPr>
      <w:r w:rsidRPr="00D44C81">
        <w:rPr>
          <w:sz w:val="24"/>
          <w:szCs w:val="24"/>
          <w:lang w:val="en-GB"/>
        </w:rPr>
        <w:t>Lithium carbonate: The anorectic and stimulatory effects of amfetamines may be inhibited by lithium carbonate.</w:t>
      </w:r>
    </w:p>
    <w:p w14:paraId="7017CBF8" w14:textId="77777777" w:rsidR="00D44C81" w:rsidRPr="00D44C81" w:rsidRDefault="00D44C81" w:rsidP="00D44C81">
      <w:pPr>
        <w:tabs>
          <w:tab w:val="left" w:pos="851"/>
        </w:tabs>
        <w:ind w:left="851"/>
        <w:rPr>
          <w:sz w:val="24"/>
          <w:szCs w:val="24"/>
          <w:lang w:val="en-GB"/>
        </w:rPr>
      </w:pPr>
    </w:p>
    <w:p w14:paraId="5BF8E386"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Use with alcohol</w:t>
      </w:r>
    </w:p>
    <w:p w14:paraId="310CBBB5" w14:textId="77777777" w:rsidR="00D44C81" w:rsidRPr="00D44C81" w:rsidRDefault="00D44C81" w:rsidP="00D44C81">
      <w:pPr>
        <w:tabs>
          <w:tab w:val="left" w:pos="851"/>
        </w:tabs>
        <w:ind w:left="851"/>
        <w:rPr>
          <w:sz w:val="24"/>
          <w:szCs w:val="24"/>
          <w:lang w:val="en-GB"/>
        </w:rPr>
      </w:pPr>
      <w:r w:rsidRPr="00D44C81">
        <w:rPr>
          <w:sz w:val="24"/>
          <w:szCs w:val="24"/>
          <w:lang w:val="en-GB"/>
        </w:rPr>
        <w:t>There are limited data on the possible interaction with alcohol.</w:t>
      </w:r>
    </w:p>
    <w:p w14:paraId="5089DE67" w14:textId="77777777" w:rsidR="00D44C81" w:rsidRPr="00D44C81" w:rsidRDefault="00D44C81" w:rsidP="00D44C81">
      <w:pPr>
        <w:tabs>
          <w:tab w:val="left" w:pos="851"/>
        </w:tabs>
        <w:ind w:left="851"/>
        <w:rPr>
          <w:sz w:val="24"/>
          <w:szCs w:val="24"/>
          <w:lang w:val="en-GB"/>
        </w:rPr>
      </w:pPr>
    </w:p>
    <w:p w14:paraId="5425F27A" w14:textId="77777777" w:rsidR="00D44C81" w:rsidRPr="00D44C81" w:rsidRDefault="00D44C81" w:rsidP="00D44C81">
      <w:pPr>
        <w:tabs>
          <w:tab w:val="left" w:pos="851"/>
        </w:tabs>
        <w:ind w:left="851"/>
        <w:rPr>
          <w:sz w:val="24"/>
          <w:szCs w:val="24"/>
          <w:u w:val="single"/>
          <w:lang w:val="en-GB"/>
        </w:rPr>
      </w:pPr>
      <w:r w:rsidRPr="00D44C81">
        <w:rPr>
          <w:sz w:val="24"/>
          <w:szCs w:val="24"/>
          <w:u w:val="single"/>
          <w:lang w:val="en-GB"/>
        </w:rPr>
        <w:t>Drug/laboratory test interactions</w:t>
      </w:r>
    </w:p>
    <w:p w14:paraId="3B52EAFE" w14:textId="77777777" w:rsidR="00D44C81" w:rsidRPr="00D44C81" w:rsidRDefault="00D44C81" w:rsidP="00D44C81">
      <w:pPr>
        <w:tabs>
          <w:tab w:val="left" w:pos="851"/>
        </w:tabs>
        <w:ind w:left="851"/>
        <w:rPr>
          <w:sz w:val="24"/>
          <w:szCs w:val="24"/>
          <w:lang w:val="en-GB"/>
        </w:rPr>
      </w:pPr>
      <w:r w:rsidRPr="00D44C81">
        <w:rPr>
          <w:sz w:val="24"/>
          <w:szCs w:val="24"/>
          <w:lang w:val="en-GB"/>
        </w:rPr>
        <w:t>Amfetamines can cause a significant elevation in plasma corticosteroid levels. This increase is greatest in the evening. Amfetamine may interfere with urinary steroid determinations.</w:t>
      </w:r>
    </w:p>
    <w:p w14:paraId="770DF09B" w14:textId="77777777" w:rsidR="00D44C81" w:rsidRPr="00D44C81" w:rsidRDefault="00D44C81" w:rsidP="00D44C81">
      <w:pPr>
        <w:tabs>
          <w:tab w:val="left" w:pos="851"/>
        </w:tabs>
        <w:ind w:left="851"/>
        <w:rPr>
          <w:sz w:val="24"/>
          <w:szCs w:val="24"/>
          <w:lang w:val="en-GB"/>
        </w:rPr>
      </w:pPr>
    </w:p>
    <w:p w14:paraId="39BBA1D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3D9B4376" w14:textId="77777777" w:rsidR="00B74276" w:rsidRPr="00B74276" w:rsidRDefault="00B74276" w:rsidP="00B74276">
      <w:pPr>
        <w:tabs>
          <w:tab w:val="left" w:pos="851"/>
        </w:tabs>
        <w:ind w:left="851"/>
        <w:rPr>
          <w:sz w:val="24"/>
          <w:szCs w:val="24"/>
          <w:u w:val="single"/>
          <w:lang w:val="en-GB"/>
        </w:rPr>
      </w:pPr>
    </w:p>
    <w:p w14:paraId="0877E016" w14:textId="77777777" w:rsidR="00B74276" w:rsidRPr="00B74276" w:rsidRDefault="00B74276" w:rsidP="00B74276">
      <w:pPr>
        <w:tabs>
          <w:tab w:val="left" w:pos="851"/>
        </w:tabs>
        <w:ind w:left="851"/>
        <w:rPr>
          <w:sz w:val="24"/>
          <w:szCs w:val="24"/>
          <w:u w:val="single"/>
          <w:lang w:val="en-GB"/>
        </w:rPr>
      </w:pPr>
      <w:r w:rsidRPr="00B74276">
        <w:rPr>
          <w:sz w:val="24"/>
          <w:szCs w:val="24"/>
          <w:u w:val="single"/>
          <w:lang w:val="en-GB"/>
        </w:rPr>
        <w:t>Pregnancy</w:t>
      </w:r>
    </w:p>
    <w:p w14:paraId="1486E472" w14:textId="77777777" w:rsidR="00B74276" w:rsidRPr="00B74276" w:rsidRDefault="00B74276" w:rsidP="00B74276">
      <w:pPr>
        <w:tabs>
          <w:tab w:val="left" w:pos="851"/>
        </w:tabs>
        <w:ind w:left="851"/>
        <w:rPr>
          <w:sz w:val="24"/>
          <w:szCs w:val="24"/>
          <w:lang w:val="en-GB"/>
        </w:rPr>
      </w:pPr>
      <w:r w:rsidRPr="00B74276">
        <w:rPr>
          <w:sz w:val="24"/>
          <w:szCs w:val="24"/>
          <w:lang w:val="en-GB"/>
        </w:rPr>
        <w:t>Dexamfetamine, the active metabolite of lisdexamfetamine, crosses the placenta. Data from a cohort study of in total approximately 5570 pregnancies exposed to amfetamine in the first trimester do not suggest an increased risk of congenital malformation. Data from another cohort study in approximately 3100 pregnancies exposed to amfetamine during the first 20 weeks of pregnancy, suggest an increased risk of preeclampsia, and preterm birth. Newborns exposed to amfetamine during pregnancy may experience withdrawal symptoms.</w:t>
      </w:r>
    </w:p>
    <w:p w14:paraId="15F6934D" w14:textId="77777777" w:rsidR="00B74276" w:rsidRPr="00B74276" w:rsidRDefault="00B74276" w:rsidP="00B74276">
      <w:pPr>
        <w:tabs>
          <w:tab w:val="left" w:pos="851"/>
        </w:tabs>
        <w:ind w:left="851"/>
        <w:rPr>
          <w:sz w:val="24"/>
          <w:szCs w:val="24"/>
          <w:lang w:val="en-GB"/>
        </w:rPr>
      </w:pPr>
    </w:p>
    <w:p w14:paraId="2F7DB90E" w14:textId="77777777" w:rsidR="00B74276" w:rsidRPr="00B74276" w:rsidRDefault="00B74276" w:rsidP="00B74276">
      <w:pPr>
        <w:tabs>
          <w:tab w:val="left" w:pos="851"/>
        </w:tabs>
        <w:ind w:left="851"/>
        <w:rPr>
          <w:sz w:val="24"/>
          <w:szCs w:val="24"/>
          <w:lang w:val="en-GB"/>
        </w:rPr>
      </w:pPr>
      <w:r w:rsidRPr="00B74276">
        <w:rPr>
          <w:sz w:val="24"/>
          <w:szCs w:val="24"/>
          <w:lang w:val="en-GB"/>
        </w:rPr>
        <w:t>In animal reproduction studies, lisdexamfetamine had no effect on embryofoetal development or survival when administered orally to pregnant rats and rabbits (see section 5.3). Administration of lisdexamfetamine to juvenile rats was associated with reductions in growth measurements at clinically relevant exposures.</w:t>
      </w:r>
    </w:p>
    <w:p w14:paraId="05311DE3" w14:textId="77777777" w:rsidR="00B74276" w:rsidRPr="00B74276" w:rsidRDefault="00B74276" w:rsidP="00B74276">
      <w:pPr>
        <w:tabs>
          <w:tab w:val="left" w:pos="851"/>
        </w:tabs>
        <w:ind w:left="851"/>
        <w:rPr>
          <w:sz w:val="24"/>
          <w:szCs w:val="24"/>
          <w:lang w:val="en-GB"/>
        </w:rPr>
      </w:pPr>
    </w:p>
    <w:p w14:paraId="48545219" w14:textId="77777777" w:rsidR="00B74276" w:rsidRPr="00B74276" w:rsidRDefault="00B74276" w:rsidP="00B74276">
      <w:pPr>
        <w:tabs>
          <w:tab w:val="left" w:pos="851"/>
        </w:tabs>
        <w:ind w:left="851"/>
        <w:rPr>
          <w:sz w:val="24"/>
          <w:szCs w:val="24"/>
          <w:lang w:val="en-GB"/>
        </w:rPr>
      </w:pPr>
      <w:r w:rsidRPr="00B74276">
        <w:rPr>
          <w:sz w:val="24"/>
          <w:szCs w:val="24"/>
          <w:lang w:val="en-GB"/>
        </w:rPr>
        <w:t>The physician should discuss Dexhility treatment with female patients who have started menstruation. Dexhility should only be used during pregnancy if the potential benefit justifies the potential risk to the foetus.</w:t>
      </w:r>
    </w:p>
    <w:p w14:paraId="65DE719B" w14:textId="77777777" w:rsidR="00B74276" w:rsidRPr="00B74276" w:rsidRDefault="00B74276" w:rsidP="00B74276">
      <w:pPr>
        <w:tabs>
          <w:tab w:val="left" w:pos="851"/>
        </w:tabs>
        <w:ind w:left="851"/>
        <w:rPr>
          <w:sz w:val="24"/>
          <w:szCs w:val="24"/>
          <w:lang w:val="en-GB"/>
        </w:rPr>
      </w:pPr>
    </w:p>
    <w:p w14:paraId="21B9300F" w14:textId="77777777" w:rsidR="00B74276" w:rsidRPr="00B74276" w:rsidRDefault="00B74276" w:rsidP="00B74276">
      <w:pPr>
        <w:tabs>
          <w:tab w:val="left" w:pos="851"/>
        </w:tabs>
        <w:ind w:left="851"/>
        <w:rPr>
          <w:sz w:val="24"/>
          <w:szCs w:val="24"/>
          <w:u w:val="single"/>
          <w:lang w:val="en-GB"/>
        </w:rPr>
      </w:pPr>
      <w:r w:rsidRPr="00B74276">
        <w:rPr>
          <w:sz w:val="24"/>
          <w:szCs w:val="24"/>
          <w:u w:val="single"/>
          <w:lang w:val="en-GB"/>
        </w:rPr>
        <w:t>Breast-feeding</w:t>
      </w:r>
    </w:p>
    <w:p w14:paraId="2FBEF1F4" w14:textId="77777777" w:rsidR="00B74276" w:rsidRPr="00B74276" w:rsidRDefault="00B74276" w:rsidP="00B74276">
      <w:pPr>
        <w:tabs>
          <w:tab w:val="left" w:pos="851"/>
        </w:tabs>
        <w:ind w:left="851"/>
        <w:rPr>
          <w:sz w:val="24"/>
          <w:szCs w:val="24"/>
          <w:lang w:val="en-GB"/>
        </w:rPr>
      </w:pPr>
      <w:r w:rsidRPr="00B74276">
        <w:rPr>
          <w:sz w:val="24"/>
          <w:szCs w:val="24"/>
          <w:lang w:val="en-GB"/>
        </w:rPr>
        <w:t>Amfetamines are excreted in human milk. Dexhility should not be used during breast-feeding.</w:t>
      </w:r>
    </w:p>
    <w:p w14:paraId="4B54E9B1" w14:textId="77777777" w:rsidR="00B74276" w:rsidRPr="00B74276" w:rsidRDefault="00B74276" w:rsidP="00B74276">
      <w:pPr>
        <w:tabs>
          <w:tab w:val="left" w:pos="851"/>
        </w:tabs>
        <w:ind w:left="851"/>
        <w:rPr>
          <w:sz w:val="24"/>
          <w:szCs w:val="24"/>
          <w:u w:val="single"/>
          <w:lang w:val="en-GB"/>
        </w:rPr>
      </w:pPr>
    </w:p>
    <w:p w14:paraId="13961328" w14:textId="77777777" w:rsidR="00B74276" w:rsidRPr="00B74276" w:rsidRDefault="00B74276" w:rsidP="00B74276">
      <w:pPr>
        <w:tabs>
          <w:tab w:val="left" w:pos="851"/>
        </w:tabs>
        <w:ind w:left="851"/>
        <w:rPr>
          <w:sz w:val="24"/>
          <w:szCs w:val="24"/>
          <w:u w:val="single"/>
          <w:lang w:val="en-GB"/>
        </w:rPr>
      </w:pPr>
      <w:r w:rsidRPr="00B74276">
        <w:rPr>
          <w:sz w:val="24"/>
          <w:szCs w:val="24"/>
          <w:u w:val="single"/>
          <w:lang w:val="en-GB"/>
        </w:rPr>
        <w:t>Fertility</w:t>
      </w:r>
    </w:p>
    <w:p w14:paraId="0FB583B2" w14:textId="77777777" w:rsidR="00B74276" w:rsidRPr="00B74276" w:rsidRDefault="00B74276" w:rsidP="00B74276">
      <w:pPr>
        <w:tabs>
          <w:tab w:val="left" w:pos="851"/>
        </w:tabs>
        <w:ind w:left="851"/>
        <w:rPr>
          <w:sz w:val="24"/>
          <w:szCs w:val="24"/>
          <w:lang w:val="en-GB"/>
        </w:rPr>
      </w:pPr>
      <w:bookmarkStart w:id="7" w:name="_Hlk69993469"/>
      <w:r w:rsidRPr="00B74276">
        <w:rPr>
          <w:sz w:val="24"/>
          <w:szCs w:val="24"/>
          <w:lang w:val="en-GB"/>
        </w:rPr>
        <w:t xml:space="preserve">The effects of  lisdexamfetamine dimesylate on fertility and early embryonic development have not been investigated in animal reproductive studies. </w:t>
      </w:r>
      <w:bookmarkEnd w:id="7"/>
      <w:r w:rsidRPr="00B74276">
        <w:rPr>
          <w:sz w:val="24"/>
          <w:szCs w:val="24"/>
          <w:lang w:val="en-GB"/>
        </w:rPr>
        <w:t>Amfetamine has shown no harmful effects on fertility in a rat study (see section 5.3). The effects of lisdexamfetamine dimesylate on human fertility has not been investigated.</w:t>
      </w:r>
    </w:p>
    <w:p w14:paraId="1569B6B0" w14:textId="1F4A9EA9" w:rsidR="00F068F8" w:rsidRDefault="00F068F8">
      <w:pPr>
        <w:rPr>
          <w:sz w:val="24"/>
          <w:szCs w:val="24"/>
          <w:lang w:val="en-GB"/>
        </w:rPr>
      </w:pPr>
      <w:r>
        <w:rPr>
          <w:sz w:val="24"/>
          <w:szCs w:val="24"/>
          <w:lang w:val="en-GB"/>
        </w:rPr>
        <w:br w:type="page"/>
      </w:r>
    </w:p>
    <w:p w14:paraId="0CB58680" w14:textId="77777777" w:rsidR="007C5D2A" w:rsidRPr="00303008" w:rsidRDefault="007C5D2A" w:rsidP="003E0341">
      <w:pPr>
        <w:tabs>
          <w:tab w:val="left" w:pos="851"/>
        </w:tabs>
        <w:ind w:left="851"/>
        <w:rPr>
          <w:sz w:val="24"/>
          <w:szCs w:val="24"/>
          <w:lang w:val="en-GB"/>
        </w:rPr>
      </w:pPr>
    </w:p>
    <w:p w14:paraId="1392359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40CAB4A7" w14:textId="77777777" w:rsidR="008E65A3" w:rsidRDefault="008E65A3" w:rsidP="00F068F8">
      <w:pPr>
        <w:tabs>
          <w:tab w:val="left" w:pos="851"/>
        </w:tabs>
        <w:ind w:left="851"/>
        <w:rPr>
          <w:sz w:val="24"/>
          <w:szCs w:val="24"/>
          <w:lang w:val="en-GB"/>
        </w:rPr>
      </w:pPr>
      <w:r>
        <w:rPr>
          <w:sz w:val="24"/>
          <w:szCs w:val="24"/>
          <w:lang w:val="en-GB"/>
        </w:rPr>
        <w:t>Traffic warning.</w:t>
      </w:r>
    </w:p>
    <w:p w14:paraId="753AEBAD" w14:textId="76C36370" w:rsidR="00F068F8" w:rsidRPr="00F068F8" w:rsidRDefault="00F068F8" w:rsidP="00F068F8">
      <w:pPr>
        <w:tabs>
          <w:tab w:val="left" w:pos="851"/>
        </w:tabs>
        <w:ind w:left="851"/>
        <w:rPr>
          <w:sz w:val="24"/>
          <w:szCs w:val="24"/>
          <w:lang w:val="en-GB"/>
        </w:rPr>
      </w:pPr>
      <w:r w:rsidRPr="00F068F8">
        <w:rPr>
          <w:sz w:val="24"/>
          <w:szCs w:val="24"/>
          <w:lang w:val="en-GB"/>
        </w:rPr>
        <w:t>Dexhility can cause dizziness, drowsiness and visual disturbances including difficulties with accommodation and blurred vision. These could have a moderate influence on the ability to drive and use machines. Patients should be warned of these possible effects and advised that if affected, they should avoid potentially hazardous activities such as driving or operating machinery.</w:t>
      </w:r>
    </w:p>
    <w:p w14:paraId="3195C4FB" w14:textId="77777777" w:rsidR="007C5D2A" w:rsidRPr="00303008" w:rsidRDefault="007C5D2A" w:rsidP="003E0341">
      <w:pPr>
        <w:tabs>
          <w:tab w:val="left" w:pos="851"/>
        </w:tabs>
        <w:ind w:left="851"/>
        <w:rPr>
          <w:sz w:val="24"/>
          <w:szCs w:val="24"/>
          <w:lang w:val="en-GB"/>
        </w:rPr>
      </w:pPr>
    </w:p>
    <w:p w14:paraId="59B28E1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19E21231" w14:textId="77777777" w:rsidR="008E65A3" w:rsidRPr="008E65A3" w:rsidRDefault="008E65A3" w:rsidP="008E65A3">
      <w:pPr>
        <w:pStyle w:val="Default"/>
        <w:ind w:left="851"/>
        <w:rPr>
          <w:i/>
          <w:color w:val="008000"/>
          <w:lang w:val="en-GB"/>
        </w:rPr>
      </w:pPr>
    </w:p>
    <w:p w14:paraId="10E0AC6F" w14:textId="77777777" w:rsidR="008E65A3" w:rsidRPr="008E65A3" w:rsidRDefault="008E65A3" w:rsidP="008E65A3">
      <w:pPr>
        <w:pStyle w:val="Default"/>
        <w:ind w:left="851"/>
        <w:rPr>
          <w:color w:val="auto"/>
          <w:u w:val="single"/>
          <w:lang w:val="en-GB"/>
        </w:rPr>
      </w:pPr>
      <w:r w:rsidRPr="008E65A3">
        <w:rPr>
          <w:color w:val="auto"/>
          <w:u w:val="single"/>
          <w:lang w:val="en-GB"/>
        </w:rPr>
        <w:t>Summary of the safety profile</w:t>
      </w:r>
    </w:p>
    <w:p w14:paraId="4255FCD6" w14:textId="77777777" w:rsidR="008E65A3" w:rsidRPr="008E65A3" w:rsidRDefault="008E65A3" w:rsidP="008E65A3">
      <w:pPr>
        <w:pStyle w:val="Default"/>
        <w:ind w:left="851"/>
        <w:rPr>
          <w:color w:val="auto"/>
          <w:lang w:val="en-GB"/>
        </w:rPr>
      </w:pPr>
      <w:r w:rsidRPr="008E65A3">
        <w:rPr>
          <w:color w:val="auto"/>
          <w:lang w:val="en-GB"/>
        </w:rPr>
        <w:t xml:space="preserve">Adverse reactions observed with </w:t>
      </w:r>
      <w:r w:rsidRPr="008E65A3">
        <w:rPr>
          <w:lang w:val="en-GB"/>
        </w:rPr>
        <w:t>lisdexamfetamine-containing medicinal products</w:t>
      </w:r>
      <w:r w:rsidRPr="008E65A3">
        <w:rPr>
          <w:color w:val="auto"/>
          <w:lang w:val="en-GB"/>
        </w:rPr>
        <w:t xml:space="preserve"> mainly reflect side effects commonly associated with stimulant use. Very common adverse reactions include decreased appetite, insomnia, dry mouth, headache, upper abdominal pain, and weight decreased.</w:t>
      </w:r>
    </w:p>
    <w:p w14:paraId="77D16CA3" w14:textId="77777777" w:rsidR="008E65A3" w:rsidRPr="008E65A3" w:rsidRDefault="008E65A3" w:rsidP="008E65A3">
      <w:pPr>
        <w:pStyle w:val="Default"/>
        <w:ind w:left="851"/>
        <w:rPr>
          <w:color w:val="auto"/>
          <w:lang w:val="en-GB"/>
        </w:rPr>
      </w:pPr>
    </w:p>
    <w:p w14:paraId="3841B3AF" w14:textId="77777777" w:rsidR="008E65A3" w:rsidRPr="008E65A3" w:rsidRDefault="008E65A3" w:rsidP="008E65A3">
      <w:pPr>
        <w:pStyle w:val="Default"/>
        <w:ind w:left="851"/>
        <w:rPr>
          <w:color w:val="auto"/>
          <w:u w:val="single"/>
          <w:lang w:val="en-GB"/>
        </w:rPr>
      </w:pPr>
      <w:r w:rsidRPr="008E65A3">
        <w:rPr>
          <w:color w:val="auto"/>
          <w:u w:val="single"/>
          <w:lang w:val="en-GB"/>
        </w:rPr>
        <w:t>Tabulated summary of adverse reactions</w:t>
      </w:r>
    </w:p>
    <w:p w14:paraId="7CFA3BE7" w14:textId="77777777" w:rsidR="008E65A3" w:rsidRPr="008E65A3" w:rsidRDefault="008E65A3" w:rsidP="008E65A3">
      <w:pPr>
        <w:pStyle w:val="Default"/>
        <w:ind w:left="851"/>
        <w:rPr>
          <w:color w:val="auto"/>
          <w:lang w:val="en-GB"/>
        </w:rPr>
      </w:pPr>
      <w:r w:rsidRPr="008E65A3">
        <w:rPr>
          <w:color w:val="auto"/>
          <w:lang w:val="en-GB"/>
        </w:rPr>
        <w:t>The following table presents all adverse reactions based on clinical trials and spontaneous reporting.</w:t>
      </w:r>
    </w:p>
    <w:p w14:paraId="26D90E79" w14:textId="77777777" w:rsidR="008E65A3" w:rsidRPr="008E65A3" w:rsidRDefault="008E65A3" w:rsidP="008E65A3">
      <w:pPr>
        <w:pStyle w:val="Default"/>
        <w:ind w:left="851"/>
        <w:rPr>
          <w:color w:val="auto"/>
          <w:lang w:val="en-GB"/>
        </w:rPr>
      </w:pPr>
    </w:p>
    <w:p w14:paraId="700CEDAE" w14:textId="77777777" w:rsidR="008E65A3" w:rsidRPr="008E65A3" w:rsidRDefault="008E65A3" w:rsidP="008E65A3">
      <w:pPr>
        <w:pStyle w:val="Default"/>
        <w:ind w:left="851"/>
        <w:rPr>
          <w:color w:val="auto"/>
          <w:lang w:val="en-GB"/>
        </w:rPr>
      </w:pPr>
      <w:r w:rsidRPr="008E65A3">
        <w:rPr>
          <w:color w:val="auto"/>
          <w:lang w:val="en-GB"/>
        </w:rPr>
        <w:t>The following definitions apply to the frequency terminology used hereafter:</w:t>
      </w:r>
    </w:p>
    <w:p w14:paraId="3B070F1E" w14:textId="77777777" w:rsidR="008E65A3" w:rsidRPr="008E65A3" w:rsidRDefault="008E65A3" w:rsidP="008E65A3">
      <w:pPr>
        <w:pStyle w:val="Default"/>
        <w:ind w:left="851"/>
        <w:rPr>
          <w:color w:val="auto"/>
          <w:lang w:val="en-GB"/>
        </w:rPr>
      </w:pPr>
      <w:r w:rsidRPr="008E65A3">
        <w:rPr>
          <w:color w:val="auto"/>
          <w:lang w:val="en-GB"/>
        </w:rPr>
        <w:t>Very common (≥ 1/10)</w:t>
      </w:r>
    </w:p>
    <w:p w14:paraId="18DBC2C0" w14:textId="77777777" w:rsidR="008E65A3" w:rsidRPr="008E65A3" w:rsidRDefault="008E65A3" w:rsidP="008E65A3">
      <w:pPr>
        <w:pStyle w:val="Default"/>
        <w:ind w:left="851"/>
        <w:rPr>
          <w:color w:val="auto"/>
          <w:lang w:val="en-GB"/>
        </w:rPr>
      </w:pPr>
      <w:r w:rsidRPr="008E65A3">
        <w:rPr>
          <w:color w:val="auto"/>
          <w:lang w:val="en-GB"/>
        </w:rPr>
        <w:t>Common (≥ 1/100 to &lt; 1/10)</w:t>
      </w:r>
    </w:p>
    <w:p w14:paraId="41CAF2DA" w14:textId="77777777" w:rsidR="008E65A3" w:rsidRPr="008E65A3" w:rsidRDefault="008E65A3" w:rsidP="008E65A3">
      <w:pPr>
        <w:pStyle w:val="Default"/>
        <w:ind w:left="851"/>
        <w:rPr>
          <w:color w:val="auto"/>
          <w:lang w:val="en-GB"/>
        </w:rPr>
      </w:pPr>
      <w:r w:rsidRPr="008E65A3">
        <w:rPr>
          <w:color w:val="auto"/>
          <w:lang w:val="en-GB"/>
        </w:rPr>
        <w:t>Uncommon (≥ 1/1,000 to &lt; 1/100)</w:t>
      </w:r>
    </w:p>
    <w:p w14:paraId="21D36A64" w14:textId="77777777" w:rsidR="008E65A3" w:rsidRPr="008E65A3" w:rsidRDefault="008E65A3" w:rsidP="008E65A3">
      <w:pPr>
        <w:pStyle w:val="Default"/>
        <w:ind w:left="851"/>
        <w:rPr>
          <w:color w:val="auto"/>
          <w:lang w:val="en-GB"/>
        </w:rPr>
      </w:pPr>
      <w:r w:rsidRPr="008E65A3">
        <w:rPr>
          <w:color w:val="auto"/>
          <w:lang w:val="en-GB"/>
        </w:rPr>
        <w:t>Rare (≥ 1/10,000 to &lt; 1/1,000)</w:t>
      </w:r>
    </w:p>
    <w:p w14:paraId="46A545F6" w14:textId="77777777" w:rsidR="008E65A3" w:rsidRPr="008E65A3" w:rsidRDefault="008E65A3" w:rsidP="008E65A3">
      <w:pPr>
        <w:pStyle w:val="Default"/>
        <w:ind w:left="851"/>
        <w:rPr>
          <w:color w:val="auto"/>
          <w:lang w:val="en-GB"/>
        </w:rPr>
      </w:pPr>
      <w:r w:rsidRPr="008E65A3">
        <w:rPr>
          <w:color w:val="auto"/>
          <w:lang w:val="en-GB"/>
        </w:rPr>
        <w:t>Very rare (&lt; 1/10,000)</w:t>
      </w:r>
    </w:p>
    <w:p w14:paraId="4D79BAB8" w14:textId="77777777" w:rsidR="008E65A3" w:rsidRPr="008E65A3" w:rsidRDefault="008E65A3" w:rsidP="008E65A3">
      <w:pPr>
        <w:pStyle w:val="Default"/>
        <w:ind w:left="851"/>
        <w:rPr>
          <w:color w:val="auto"/>
          <w:lang w:val="en-GB"/>
        </w:rPr>
      </w:pPr>
      <w:r w:rsidRPr="008E65A3">
        <w:rPr>
          <w:color w:val="auto"/>
          <w:lang w:val="en-GB"/>
        </w:rPr>
        <w:t>Frequency not known (cannot be estimated from the available data).</w:t>
      </w:r>
    </w:p>
    <w:p w14:paraId="51FD0234" w14:textId="77777777" w:rsidR="008E65A3" w:rsidRPr="008E65A3" w:rsidRDefault="008E65A3" w:rsidP="008E65A3">
      <w:pPr>
        <w:pStyle w:val="Default"/>
        <w:ind w:left="851"/>
        <w:rPr>
          <w:color w:val="auto"/>
          <w:lang w:val="en-GB"/>
        </w:rPr>
      </w:pPr>
    </w:p>
    <w:p w14:paraId="724A6B2A" w14:textId="77777777" w:rsidR="008E65A3" w:rsidRPr="008E65A3" w:rsidRDefault="008E65A3" w:rsidP="008E65A3">
      <w:pPr>
        <w:pStyle w:val="Default"/>
        <w:ind w:left="851"/>
        <w:rPr>
          <w:color w:val="auto"/>
          <w:lang w:val="en-GB"/>
        </w:rPr>
      </w:pPr>
      <w:r w:rsidRPr="008E65A3">
        <w:rPr>
          <w:color w:val="auto"/>
          <w:lang w:val="en-GB"/>
        </w:rPr>
        <w:t>An asterisk (*) indicates that additional information on the respective adverse reaction is provided below the table.</w:t>
      </w:r>
    </w:p>
    <w:p w14:paraId="2BFE2824" w14:textId="77777777" w:rsidR="008E65A3" w:rsidRDefault="008E65A3" w:rsidP="008E65A3">
      <w:pPr>
        <w:pStyle w:val="Default"/>
        <w:rPr>
          <w:sz w:val="22"/>
          <w:szCs w:val="22"/>
          <w:lang w:val="en-GB"/>
        </w:rPr>
      </w:pPr>
    </w:p>
    <w:tbl>
      <w:tblPr>
        <w:tblW w:w="9285"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984"/>
        <w:gridCol w:w="1843"/>
        <w:gridCol w:w="1842"/>
        <w:gridCol w:w="1859"/>
      </w:tblGrid>
      <w:tr w:rsidR="008E65A3" w14:paraId="6EFE2277" w14:textId="77777777" w:rsidTr="008E65A3">
        <w:trPr>
          <w:trHeight w:val="451"/>
        </w:trPr>
        <w:tc>
          <w:tcPr>
            <w:tcW w:w="1758" w:type="dxa"/>
            <w:tcBorders>
              <w:top w:val="single" w:sz="4" w:space="0" w:color="000000"/>
              <w:left w:val="single" w:sz="4" w:space="0" w:color="000000"/>
              <w:bottom w:val="single" w:sz="4" w:space="0" w:color="000000"/>
              <w:right w:val="single" w:sz="4" w:space="0" w:color="000000"/>
            </w:tcBorders>
            <w:hideMark/>
          </w:tcPr>
          <w:p w14:paraId="5056A68C" w14:textId="77777777" w:rsidR="008E65A3" w:rsidRDefault="008E65A3">
            <w:pPr>
              <w:pStyle w:val="TableParagraph"/>
              <w:spacing w:line="217" w:lineRule="exact"/>
              <w:rPr>
                <w:b/>
                <w:sz w:val="19"/>
              </w:rPr>
            </w:pPr>
            <w:r>
              <w:rPr>
                <w:b/>
                <w:sz w:val="19"/>
              </w:rPr>
              <w:t>System/Organ</w:t>
            </w:r>
            <w:r>
              <w:rPr>
                <w:b/>
                <w:spacing w:val="-5"/>
                <w:sz w:val="19"/>
              </w:rPr>
              <w:t xml:space="preserve"> </w:t>
            </w:r>
            <w:r>
              <w:rPr>
                <w:b/>
                <w:sz w:val="19"/>
              </w:rPr>
              <w:t>Class</w:t>
            </w:r>
          </w:p>
        </w:tc>
        <w:tc>
          <w:tcPr>
            <w:tcW w:w="1985" w:type="dxa"/>
            <w:tcBorders>
              <w:top w:val="single" w:sz="4" w:space="0" w:color="000000"/>
              <w:left w:val="single" w:sz="4" w:space="0" w:color="000000"/>
              <w:bottom w:val="single" w:sz="4" w:space="0" w:color="000000"/>
              <w:right w:val="single" w:sz="4" w:space="0" w:color="000000"/>
            </w:tcBorders>
            <w:hideMark/>
          </w:tcPr>
          <w:p w14:paraId="27402EEA" w14:textId="77777777" w:rsidR="008E65A3" w:rsidRDefault="008E65A3">
            <w:pPr>
              <w:pStyle w:val="TableParagraph"/>
              <w:spacing w:before="5" w:line="240" w:lineRule="auto"/>
              <w:ind w:left="57"/>
              <w:rPr>
                <w:b/>
                <w:sz w:val="19"/>
              </w:rPr>
            </w:pPr>
            <w:r>
              <w:rPr>
                <w:b/>
                <w:sz w:val="19"/>
              </w:rPr>
              <w:t>Adverse</w:t>
            </w:r>
            <w:r>
              <w:rPr>
                <w:b/>
                <w:spacing w:val="-4"/>
                <w:sz w:val="19"/>
              </w:rPr>
              <w:t xml:space="preserve"> </w:t>
            </w:r>
            <w:r>
              <w:rPr>
                <w:b/>
                <w:sz w:val="19"/>
              </w:rPr>
              <w:t>Reaction</w:t>
            </w:r>
          </w:p>
        </w:tc>
        <w:tc>
          <w:tcPr>
            <w:tcW w:w="1843" w:type="dxa"/>
            <w:tcBorders>
              <w:top w:val="single" w:sz="4" w:space="0" w:color="000000"/>
              <w:left w:val="single" w:sz="4" w:space="0" w:color="000000"/>
              <w:bottom w:val="single" w:sz="4" w:space="0" w:color="000000"/>
              <w:right w:val="single" w:sz="4" w:space="0" w:color="000000"/>
            </w:tcBorders>
            <w:hideMark/>
          </w:tcPr>
          <w:p w14:paraId="6454899E" w14:textId="77777777" w:rsidR="008E65A3" w:rsidRDefault="008E65A3">
            <w:pPr>
              <w:pStyle w:val="TableParagraph"/>
              <w:spacing w:before="5" w:line="240" w:lineRule="auto"/>
              <w:rPr>
                <w:b/>
                <w:sz w:val="19"/>
              </w:rPr>
            </w:pPr>
            <w:r>
              <w:rPr>
                <w:b/>
                <w:sz w:val="19"/>
              </w:rPr>
              <w:t>Children</w:t>
            </w:r>
          </w:p>
          <w:p w14:paraId="1A305E99" w14:textId="77777777" w:rsidR="008E65A3" w:rsidRDefault="008E65A3">
            <w:pPr>
              <w:pStyle w:val="TableParagraph"/>
              <w:spacing w:before="7" w:line="201" w:lineRule="exact"/>
              <w:rPr>
                <w:b/>
                <w:sz w:val="19"/>
              </w:rPr>
            </w:pPr>
            <w:r>
              <w:rPr>
                <w:b/>
                <w:sz w:val="19"/>
              </w:rPr>
              <w:t>(6 to 12 years)</w:t>
            </w:r>
          </w:p>
        </w:tc>
        <w:tc>
          <w:tcPr>
            <w:tcW w:w="1842" w:type="dxa"/>
            <w:tcBorders>
              <w:top w:val="single" w:sz="4" w:space="0" w:color="000000"/>
              <w:left w:val="single" w:sz="4" w:space="0" w:color="000000"/>
              <w:bottom w:val="single" w:sz="4" w:space="0" w:color="000000"/>
              <w:right w:val="single" w:sz="4" w:space="0" w:color="000000"/>
            </w:tcBorders>
            <w:hideMark/>
          </w:tcPr>
          <w:p w14:paraId="4CA9D226" w14:textId="77777777" w:rsidR="008E65A3" w:rsidRDefault="008E65A3">
            <w:pPr>
              <w:pStyle w:val="TableParagraph"/>
              <w:spacing w:line="226" w:lineRule="exact"/>
              <w:ind w:right="526"/>
              <w:rPr>
                <w:b/>
                <w:sz w:val="19"/>
              </w:rPr>
            </w:pPr>
            <w:r>
              <w:rPr>
                <w:b/>
                <w:sz w:val="19"/>
              </w:rPr>
              <w:t>Adolescents</w:t>
            </w:r>
            <w:r>
              <w:rPr>
                <w:b/>
                <w:spacing w:val="1"/>
                <w:sz w:val="19"/>
              </w:rPr>
              <w:t xml:space="preserve"> </w:t>
            </w:r>
            <w:r>
              <w:rPr>
                <w:b/>
                <w:sz w:val="19"/>
              </w:rPr>
              <w:t>(13 to 17 years)</w:t>
            </w:r>
          </w:p>
        </w:tc>
        <w:tc>
          <w:tcPr>
            <w:tcW w:w="1859" w:type="dxa"/>
            <w:tcBorders>
              <w:top w:val="single" w:sz="4" w:space="0" w:color="000000"/>
              <w:left w:val="single" w:sz="4" w:space="0" w:color="000000"/>
              <w:bottom w:val="single" w:sz="4" w:space="0" w:color="000000"/>
              <w:right w:val="single" w:sz="4" w:space="0" w:color="000000"/>
            </w:tcBorders>
            <w:hideMark/>
          </w:tcPr>
          <w:p w14:paraId="29EFC8FC" w14:textId="77777777" w:rsidR="008E65A3" w:rsidRDefault="008E65A3">
            <w:pPr>
              <w:pStyle w:val="TableParagraph"/>
              <w:spacing w:before="5" w:line="240" w:lineRule="auto"/>
              <w:rPr>
                <w:b/>
                <w:sz w:val="19"/>
              </w:rPr>
            </w:pPr>
            <w:r>
              <w:rPr>
                <w:b/>
                <w:sz w:val="19"/>
              </w:rPr>
              <w:t>Adults</w:t>
            </w:r>
          </w:p>
        </w:tc>
      </w:tr>
      <w:tr w:rsidR="008E65A3" w14:paraId="44730F40" w14:textId="77777777" w:rsidTr="008E65A3">
        <w:trPr>
          <w:trHeight w:val="222"/>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267D34E8" w14:textId="77777777" w:rsidR="008E65A3" w:rsidRDefault="008E65A3">
            <w:pPr>
              <w:pStyle w:val="TableParagraph"/>
              <w:spacing w:line="216" w:lineRule="exact"/>
              <w:rPr>
                <w:b/>
                <w:sz w:val="19"/>
              </w:rPr>
            </w:pPr>
            <w:r>
              <w:rPr>
                <w:b/>
                <w:sz w:val="19"/>
              </w:rPr>
              <w:t>Immune</w:t>
            </w:r>
            <w:r>
              <w:rPr>
                <w:b/>
                <w:spacing w:val="-4"/>
                <w:sz w:val="19"/>
              </w:rPr>
              <w:t xml:space="preserve"> </w:t>
            </w:r>
            <w:r>
              <w:rPr>
                <w:b/>
                <w:sz w:val="19"/>
              </w:rPr>
              <w:t>System</w:t>
            </w:r>
          </w:p>
          <w:p w14:paraId="2C635D8F" w14:textId="77777777" w:rsidR="008E65A3" w:rsidRDefault="008E65A3">
            <w:pPr>
              <w:pStyle w:val="TableParagraph"/>
              <w:spacing w:before="1" w:line="218" w:lineRule="exact"/>
              <w:rPr>
                <w:b/>
                <w:sz w:val="19"/>
              </w:rPr>
            </w:pP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7B08F00B" w14:textId="77777777" w:rsidR="008E65A3" w:rsidRDefault="008E65A3">
            <w:pPr>
              <w:pStyle w:val="TableParagraph"/>
              <w:spacing w:line="202" w:lineRule="exact"/>
              <w:ind w:left="57"/>
              <w:rPr>
                <w:sz w:val="19"/>
              </w:rPr>
            </w:pPr>
            <w:r>
              <w:rPr>
                <w:sz w:val="19"/>
              </w:rPr>
              <w:t>Anaphylactic</w:t>
            </w:r>
            <w:r>
              <w:rPr>
                <w:spacing w:val="-7"/>
                <w:sz w:val="19"/>
              </w:rPr>
              <w:t xml:space="preserve"> </w:t>
            </w:r>
            <w:r>
              <w:rPr>
                <w:sz w:val="19"/>
              </w:rPr>
              <w:t>reaction</w:t>
            </w:r>
          </w:p>
        </w:tc>
        <w:tc>
          <w:tcPr>
            <w:tcW w:w="1843" w:type="dxa"/>
            <w:tcBorders>
              <w:top w:val="single" w:sz="4" w:space="0" w:color="000000"/>
              <w:left w:val="single" w:sz="4" w:space="0" w:color="000000"/>
              <w:bottom w:val="single" w:sz="4" w:space="0" w:color="000000"/>
              <w:right w:val="single" w:sz="4" w:space="0" w:color="000000"/>
            </w:tcBorders>
            <w:hideMark/>
          </w:tcPr>
          <w:p w14:paraId="20EDBF93" w14:textId="77777777" w:rsidR="008E65A3" w:rsidRDefault="008E65A3">
            <w:pPr>
              <w:pStyle w:val="TableParagraph"/>
              <w:spacing w:line="202"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5BDB1B54" w14:textId="77777777" w:rsidR="008E65A3" w:rsidRDefault="008E65A3">
            <w:pPr>
              <w:pStyle w:val="TableParagraph"/>
              <w:spacing w:line="202"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7FB456CE" w14:textId="77777777" w:rsidR="008E65A3" w:rsidRDefault="008E65A3">
            <w:pPr>
              <w:pStyle w:val="TableParagraph"/>
              <w:spacing w:line="202"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425724B5"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D1CF22E"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2A837FB7" w14:textId="77777777" w:rsidR="008E65A3" w:rsidRDefault="008E65A3">
            <w:pPr>
              <w:pStyle w:val="TableParagraph"/>
              <w:ind w:left="57"/>
              <w:rPr>
                <w:sz w:val="19"/>
              </w:rPr>
            </w:pPr>
            <w:r>
              <w:rPr>
                <w:sz w:val="19"/>
              </w:rPr>
              <w:t>Hypersensitivity</w:t>
            </w:r>
          </w:p>
        </w:tc>
        <w:tc>
          <w:tcPr>
            <w:tcW w:w="1843" w:type="dxa"/>
            <w:tcBorders>
              <w:top w:val="single" w:sz="4" w:space="0" w:color="000000"/>
              <w:left w:val="single" w:sz="4" w:space="0" w:color="000000"/>
              <w:bottom w:val="single" w:sz="4" w:space="0" w:color="000000"/>
              <w:right w:val="single" w:sz="4" w:space="0" w:color="000000"/>
            </w:tcBorders>
            <w:hideMark/>
          </w:tcPr>
          <w:p w14:paraId="11C76161"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28EF8E2C"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092DEFDA" w14:textId="77777777" w:rsidR="008E65A3" w:rsidRDefault="008E65A3">
            <w:pPr>
              <w:pStyle w:val="TableParagraph"/>
              <w:rPr>
                <w:sz w:val="19"/>
              </w:rPr>
            </w:pPr>
            <w:r>
              <w:rPr>
                <w:sz w:val="19"/>
              </w:rPr>
              <w:t>Uncommon</w:t>
            </w:r>
          </w:p>
        </w:tc>
      </w:tr>
      <w:tr w:rsidR="008E65A3" w14:paraId="3008C753" w14:textId="77777777" w:rsidTr="008E65A3">
        <w:trPr>
          <w:trHeight w:val="455"/>
        </w:trPr>
        <w:tc>
          <w:tcPr>
            <w:tcW w:w="1758" w:type="dxa"/>
            <w:tcBorders>
              <w:top w:val="single" w:sz="4" w:space="0" w:color="000000"/>
              <w:left w:val="single" w:sz="4" w:space="0" w:color="000000"/>
              <w:bottom w:val="single" w:sz="4" w:space="0" w:color="000000"/>
              <w:right w:val="single" w:sz="4" w:space="0" w:color="000000"/>
            </w:tcBorders>
            <w:hideMark/>
          </w:tcPr>
          <w:p w14:paraId="24281B88" w14:textId="77777777" w:rsidR="008E65A3" w:rsidRDefault="008E65A3">
            <w:pPr>
              <w:pStyle w:val="TableParagraph"/>
              <w:spacing w:line="220" w:lineRule="exact"/>
              <w:ind w:right="79"/>
              <w:rPr>
                <w:b/>
                <w:sz w:val="19"/>
              </w:rPr>
            </w:pPr>
            <w:r>
              <w:rPr>
                <w:b/>
                <w:sz w:val="19"/>
              </w:rPr>
              <w:t>Metabolism and</w:t>
            </w:r>
            <w:r>
              <w:rPr>
                <w:b/>
                <w:spacing w:val="1"/>
                <w:sz w:val="19"/>
              </w:rPr>
              <w:t xml:space="preserve"> </w:t>
            </w:r>
            <w:r>
              <w:rPr>
                <w:b/>
                <w:sz w:val="19"/>
              </w:rPr>
              <w:t>Nutrition</w:t>
            </w:r>
            <w:r>
              <w:rPr>
                <w:b/>
                <w:spacing w:val="-7"/>
                <w:sz w:val="19"/>
              </w:rPr>
              <w:t xml:space="preserve"> </w:t>
            </w: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31B4F9D6" w14:textId="77777777" w:rsidR="008E65A3" w:rsidRDefault="008E65A3">
            <w:pPr>
              <w:pStyle w:val="TableParagraph"/>
              <w:spacing w:line="240" w:lineRule="auto"/>
              <w:ind w:left="57"/>
              <w:rPr>
                <w:sz w:val="19"/>
              </w:rPr>
            </w:pPr>
            <w:r>
              <w:rPr>
                <w:sz w:val="19"/>
              </w:rPr>
              <w:t>Decreased</w:t>
            </w:r>
            <w:r>
              <w:rPr>
                <w:spacing w:val="-3"/>
                <w:sz w:val="19"/>
              </w:rPr>
              <w:t xml:space="preserve"> </w:t>
            </w:r>
            <w:r>
              <w:rPr>
                <w:sz w:val="19"/>
              </w:rPr>
              <w:t>appetite</w:t>
            </w:r>
          </w:p>
        </w:tc>
        <w:tc>
          <w:tcPr>
            <w:tcW w:w="1843" w:type="dxa"/>
            <w:tcBorders>
              <w:top w:val="single" w:sz="4" w:space="0" w:color="000000"/>
              <w:left w:val="single" w:sz="4" w:space="0" w:color="000000"/>
              <w:bottom w:val="single" w:sz="4" w:space="0" w:color="000000"/>
              <w:right w:val="single" w:sz="4" w:space="0" w:color="000000"/>
            </w:tcBorders>
            <w:hideMark/>
          </w:tcPr>
          <w:p w14:paraId="06E160E2" w14:textId="77777777" w:rsidR="008E65A3" w:rsidRDefault="008E65A3">
            <w:pPr>
              <w:pStyle w:val="TableParagraph"/>
              <w:spacing w:line="240" w:lineRule="auto"/>
              <w:rPr>
                <w:sz w:val="19"/>
              </w:rPr>
            </w:pPr>
            <w:r>
              <w:rPr>
                <w:sz w:val="19"/>
              </w:rPr>
              <w:t>Very</w:t>
            </w:r>
            <w:r>
              <w:rPr>
                <w:spacing w:val="-9"/>
                <w:sz w:val="19"/>
              </w:rPr>
              <w:t xml:space="preserve"> </w:t>
            </w: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0F4E8549" w14:textId="77777777" w:rsidR="008E65A3" w:rsidRDefault="008E65A3">
            <w:pPr>
              <w:pStyle w:val="TableParagraph"/>
              <w:spacing w:line="240" w:lineRule="auto"/>
              <w:rPr>
                <w:sz w:val="19"/>
              </w:rPr>
            </w:pPr>
            <w:r>
              <w:rPr>
                <w:sz w:val="19"/>
              </w:rPr>
              <w:t>Very</w:t>
            </w:r>
            <w:r>
              <w:rPr>
                <w:spacing w:val="-9"/>
                <w:sz w:val="19"/>
              </w:rPr>
              <w:t xml:space="preserve"> </w:t>
            </w: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525C0A6D" w14:textId="77777777" w:rsidR="008E65A3" w:rsidRDefault="008E65A3">
            <w:pPr>
              <w:pStyle w:val="TableParagraph"/>
              <w:spacing w:line="240" w:lineRule="auto"/>
              <w:rPr>
                <w:sz w:val="19"/>
              </w:rPr>
            </w:pPr>
            <w:r>
              <w:rPr>
                <w:sz w:val="19"/>
              </w:rPr>
              <w:t>Very</w:t>
            </w:r>
            <w:r>
              <w:rPr>
                <w:spacing w:val="-9"/>
                <w:sz w:val="19"/>
              </w:rPr>
              <w:t xml:space="preserve"> </w:t>
            </w:r>
            <w:r>
              <w:rPr>
                <w:sz w:val="19"/>
              </w:rPr>
              <w:t>common</w:t>
            </w:r>
          </w:p>
        </w:tc>
      </w:tr>
      <w:tr w:rsidR="008E65A3" w14:paraId="2E192755"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5BD378D1" w14:textId="77777777" w:rsidR="008E65A3" w:rsidRDefault="008E65A3">
            <w:pPr>
              <w:pStyle w:val="TableParagraph"/>
              <w:spacing w:line="240" w:lineRule="auto"/>
              <w:ind w:right="764"/>
              <w:rPr>
                <w:b/>
                <w:sz w:val="19"/>
              </w:rPr>
            </w:pPr>
            <w:r>
              <w:rPr>
                <w:b/>
                <w:sz w:val="19"/>
              </w:rPr>
              <w:t>Psychiatric</w:t>
            </w:r>
            <w:r>
              <w:rPr>
                <w:b/>
                <w:spacing w:val="-45"/>
                <w:sz w:val="19"/>
              </w:rPr>
              <w:t xml:space="preserve"> </w:t>
            </w: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5ACED692" w14:textId="77777777" w:rsidR="008E65A3" w:rsidRDefault="008E65A3">
            <w:pPr>
              <w:pStyle w:val="TableParagraph"/>
              <w:ind w:left="57"/>
              <w:rPr>
                <w:sz w:val="19"/>
              </w:rPr>
            </w:pPr>
            <w:r>
              <w:rPr>
                <w:sz w:val="19"/>
              </w:rPr>
              <w:t>*Insomnia</w:t>
            </w:r>
          </w:p>
        </w:tc>
        <w:tc>
          <w:tcPr>
            <w:tcW w:w="1843" w:type="dxa"/>
            <w:tcBorders>
              <w:top w:val="single" w:sz="4" w:space="0" w:color="000000"/>
              <w:left w:val="single" w:sz="4" w:space="0" w:color="000000"/>
              <w:bottom w:val="single" w:sz="4" w:space="0" w:color="000000"/>
              <w:right w:val="single" w:sz="4" w:space="0" w:color="000000"/>
            </w:tcBorders>
            <w:hideMark/>
          </w:tcPr>
          <w:p w14:paraId="4C0A876A" w14:textId="77777777" w:rsidR="008E65A3" w:rsidRDefault="008E65A3">
            <w:pPr>
              <w:pStyle w:val="TableParagraph"/>
              <w:rPr>
                <w:sz w:val="19"/>
              </w:rPr>
            </w:pPr>
            <w:r>
              <w:rPr>
                <w:sz w:val="19"/>
              </w:rPr>
              <w:t>Very</w:t>
            </w:r>
            <w:r>
              <w:rPr>
                <w:spacing w:val="-9"/>
                <w:sz w:val="19"/>
              </w:rPr>
              <w:t xml:space="preserve"> </w:t>
            </w: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4AF9C852" w14:textId="77777777" w:rsidR="008E65A3" w:rsidRDefault="008E65A3">
            <w:pPr>
              <w:pStyle w:val="TableParagraph"/>
              <w:rPr>
                <w:sz w:val="19"/>
              </w:rPr>
            </w:pPr>
            <w:r>
              <w:rPr>
                <w:sz w:val="19"/>
              </w:rPr>
              <w:t>Very</w:t>
            </w:r>
            <w:r>
              <w:rPr>
                <w:spacing w:val="-9"/>
                <w:sz w:val="19"/>
              </w:rPr>
              <w:t xml:space="preserve"> </w:t>
            </w: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6B86D152" w14:textId="77777777" w:rsidR="008E65A3" w:rsidRDefault="008E65A3">
            <w:pPr>
              <w:pStyle w:val="TableParagraph"/>
              <w:rPr>
                <w:sz w:val="19"/>
              </w:rPr>
            </w:pPr>
            <w:r>
              <w:rPr>
                <w:sz w:val="19"/>
              </w:rPr>
              <w:t>Very</w:t>
            </w:r>
            <w:r>
              <w:rPr>
                <w:spacing w:val="-9"/>
                <w:sz w:val="19"/>
              </w:rPr>
              <w:t xml:space="preserve"> </w:t>
            </w:r>
            <w:r>
              <w:rPr>
                <w:sz w:val="19"/>
              </w:rPr>
              <w:t>common</w:t>
            </w:r>
          </w:p>
        </w:tc>
      </w:tr>
      <w:tr w:rsidR="008E65A3" w14:paraId="37C96C95"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1606BB21"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1B458CE6" w14:textId="77777777" w:rsidR="008E65A3" w:rsidRDefault="008E65A3">
            <w:pPr>
              <w:pStyle w:val="TableParagraph"/>
              <w:ind w:left="57"/>
              <w:rPr>
                <w:sz w:val="19"/>
              </w:rPr>
            </w:pPr>
            <w:r>
              <w:rPr>
                <w:sz w:val="19"/>
              </w:rPr>
              <w:t>Agitation</w:t>
            </w:r>
          </w:p>
        </w:tc>
        <w:tc>
          <w:tcPr>
            <w:tcW w:w="1843" w:type="dxa"/>
            <w:tcBorders>
              <w:top w:val="single" w:sz="4" w:space="0" w:color="000000"/>
              <w:left w:val="single" w:sz="4" w:space="0" w:color="000000"/>
              <w:bottom w:val="single" w:sz="4" w:space="0" w:color="000000"/>
              <w:right w:val="single" w:sz="4" w:space="0" w:color="000000"/>
            </w:tcBorders>
            <w:hideMark/>
          </w:tcPr>
          <w:p w14:paraId="563B17F7"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3413325A"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5F7F7571" w14:textId="77777777" w:rsidR="008E65A3" w:rsidRDefault="008E65A3">
            <w:pPr>
              <w:pStyle w:val="TableParagraph"/>
              <w:rPr>
                <w:sz w:val="19"/>
              </w:rPr>
            </w:pPr>
            <w:r>
              <w:rPr>
                <w:sz w:val="19"/>
              </w:rPr>
              <w:t>Common</w:t>
            </w:r>
          </w:p>
        </w:tc>
      </w:tr>
      <w:tr w:rsidR="008E65A3" w14:paraId="58800706"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557659F"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4E26844" w14:textId="77777777" w:rsidR="008E65A3" w:rsidRDefault="008E65A3">
            <w:pPr>
              <w:pStyle w:val="TableParagraph"/>
              <w:ind w:left="57"/>
              <w:rPr>
                <w:sz w:val="19"/>
              </w:rPr>
            </w:pPr>
            <w:r>
              <w:rPr>
                <w:sz w:val="19"/>
              </w:rPr>
              <w:t>Anxiety</w:t>
            </w:r>
          </w:p>
        </w:tc>
        <w:tc>
          <w:tcPr>
            <w:tcW w:w="1843" w:type="dxa"/>
            <w:tcBorders>
              <w:top w:val="single" w:sz="4" w:space="0" w:color="000000"/>
              <w:left w:val="single" w:sz="4" w:space="0" w:color="000000"/>
              <w:bottom w:val="single" w:sz="4" w:space="0" w:color="000000"/>
              <w:right w:val="single" w:sz="4" w:space="0" w:color="000000"/>
            </w:tcBorders>
            <w:hideMark/>
          </w:tcPr>
          <w:p w14:paraId="3CC6DAEF"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33C9E1AF"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62E3CEC3" w14:textId="77777777" w:rsidR="008E65A3" w:rsidRDefault="008E65A3">
            <w:pPr>
              <w:pStyle w:val="TableParagraph"/>
              <w:rPr>
                <w:sz w:val="19"/>
              </w:rPr>
            </w:pPr>
            <w:r>
              <w:rPr>
                <w:sz w:val="19"/>
              </w:rPr>
              <w:t>Common</w:t>
            </w:r>
          </w:p>
        </w:tc>
      </w:tr>
      <w:tr w:rsidR="008E65A3" w14:paraId="7F981FCA"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29A5882"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6423936" w14:textId="77777777" w:rsidR="008E65A3" w:rsidRDefault="008E65A3">
            <w:pPr>
              <w:pStyle w:val="TableParagraph"/>
              <w:ind w:left="57"/>
              <w:rPr>
                <w:sz w:val="19"/>
              </w:rPr>
            </w:pPr>
            <w:r>
              <w:rPr>
                <w:sz w:val="19"/>
              </w:rPr>
              <w:t>Logorrhea</w:t>
            </w:r>
          </w:p>
        </w:tc>
        <w:tc>
          <w:tcPr>
            <w:tcW w:w="1843" w:type="dxa"/>
            <w:tcBorders>
              <w:top w:val="single" w:sz="4" w:space="0" w:color="000000"/>
              <w:left w:val="single" w:sz="4" w:space="0" w:color="000000"/>
              <w:bottom w:val="single" w:sz="4" w:space="0" w:color="000000"/>
              <w:right w:val="single" w:sz="4" w:space="0" w:color="000000"/>
            </w:tcBorders>
            <w:hideMark/>
          </w:tcPr>
          <w:p w14:paraId="2599991F"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1093FF33"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18B1FF34" w14:textId="77777777" w:rsidR="008E65A3" w:rsidRDefault="008E65A3">
            <w:pPr>
              <w:pStyle w:val="TableParagraph"/>
              <w:rPr>
                <w:sz w:val="19"/>
              </w:rPr>
            </w:pPr>
            <w:r>
              <w:rPr>
                <w:sz w:val="19"/>
              </w:rPr>
              <w:t>Uncommon</w:t>
            </w:r>
          </w:p>
        </w:tc>
      </w:tr>
      <w:tr w:rsidR="008E65A3" w14:paraId="688DBE8C"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A08878A"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0444760E" w14:textId="77777777" w:rsidR="008E65A3" w:rsidRDefault="008E65A3">
            <w:pPr>
              <w:pStyle w:val="TableParagraph"/>
              <w:ind w:left="57"/>
              <w:rPr>
                <w:sz w:val="19"/>
              </w:rPr>
            </w:pPr>
            <w:r>
              <w:rPr>
                <w:sz w:val="19"/>
              </w:rPr>
              <w:t>Libido</w:t>
            </w:r>
            <w:r>
              <w:rPr>
                <w:spacing w:val="-4"/>
                <w:sz w:val="19"/>
              </w:rPr>
              <w:t xml:space="preserve"> </w:t>
            </w:r>
            <w:r>
              <w:rPr>
                <w:sz w:val="19"/>
              </w:rPr>
              <w:t>decreased</w:t>
            </w:r>
          </w:p>
        </w:tc>
        <w:tc>
          <w:tcPr>
            <w:tcW w:w="1843" w:type="dxa"/>
            <w:tcBorders>
              <w:top w:val="single" w:sz="4" w:space="0" w:color="000000"/>
              <w:left w:val="single" w:sz="4" w:space="0" w:color="000000"/>
              <w:bottom w:val="single" w:sz="4" w:space="0" w:color="000000"/>
              <w:right w:val="single" w:sz="4" w:space="0" w:color="000000"/>
            </w:tcBorders>
            <w:hideMark/>
          </w:tcPr>
          <w:p w14:paraId="51719E0C" w14:textId="77777777" w:rsidR="008E65A3" w:rsidRDefault="008E65A3">
            <w:pPr>
              <w:pStyle w:val="TableParagraph"/>
              <w:rPr>
                <w:sz w:val="19"/>
              </w:rPr>
            </w:pPr>
            <w:r>
              <w:rPr>
                <w:sz w:val="19"/>
              </w:rPr>
              <w:t>Not</w:t>
            </w:r>
            <w:r>
              <w:rPr>
                <w:spacing w:val="-2"/>
                <w:sz w:val="19"/>
              </w:rPr>
              <w:t xml:space="preserve"> </w:t>
            </w:r>
            <w:r>
              <w:rPr>
                <w:sz w:val="19"/>
              </w:rPr>
              <w:t>applicable</w:t>
            </w:r>
          </w:p>
        </w:tc>
        <w:tc>
          <w:tcPr>
            <w:tcW w:w="1842" w:type="dxa"/>
            <w:tcBorders>
              <w:top w:val="single" w:sz="4" w:space="0" w:color="000000"/>
              <w:left w:val="single" w:sz="4" w:space="0" w:color="000000"/>
              <w:bottom w:val="single" w:sz="4" w:space="0" w:color="000000"/>
              <w:right w:val="single" w:sz="4" w:space="0" w:color="000000"/>
            </w:tcBorders>
            <w:hideMark/>
          </w:tcPr>
          <w:p w14:paraId="0EC91D96" w14:textId="77777777" w:rsidR="008E65A3" w:rsidRDefault="008E65A3">
            <w:pPr>
              <w:pStyle w:val="TableParagraph"/>
              <w:rPr>
                <w:sz w:val="19"/>
              </w:rPr>
            </w:pPr>
            <w:r>
              <w:rPr>
                <w:sz w:val="19"/>
              </w:rPr>
              <w:t>Not</w:t>
            </w:r>
            <w:r>
              <w:rPr>
                <w:spacing w:val="-2"/>
                <w:sz w:val="19"/>
              </w:rPr>
              <w:t xml:space="preserve"> </w:t>
            </w:r>
            <w:r>
              <w:rPr>
                <w:sz w:val="19"/>
              </w:rPr>
              <w:t>reported</w:t>
            </w:r>
          </w:p>
        </w:tc>
        <w:tc>
          <w:tcPr>
            <w:tcW w:w="1859" w:type="dxa"/>
            <w:tcBorders>
              <w:top w:val="single" w:sz="4" w:space="0" w:color="000000"/>
              <w:left w:val="single" w:sz="4" w:space="0" w:color="000000"/>
              <w:bottom w:val="single" w:sz="4" w:space="0" w:color="000000"/>
              <w:right w:val="single" w:sz="4" w:space="0" w:color="000000"/>
            </w:tcBorders>
            <w:hideMark/>
          </w:tcPr>
          <w:p w14:paraId="5480B432" w14:textId="77777777" w:rsidR="008E65A3" w:rsidRDefault="008E65A3">
            <w:pPr>
              <w:pStyle w:val="TableParagraph"/>
              <w:rPr>
                <w:sz w:val="19"/>
              </w:rPr>
            </w:pPr>
            <w:r>
              <w:rPr>
                <w:sz w:val="19"/>
              </w:rPr>
              <w:t>Common</w:t>
            </w:r>
          </w:p>
        </w:tc>
      </w:tr>
      <w:tr w:rsidR="008E65A3" w14:paraId="5DC46DDB"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0D3FFA4"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0002F6F2" w14:textId="77777777" w:rsidR="008E65A3" w:rsidRDefault="008E65A3">
            <w:pPr>
              <w:pStyle w:val="TableParagraph"/>
              <w:ind w:left="57"/>
              <w:rPr>
                <w:sz w:val="19"/>
              </w:rPr>
            </w:pPr>
            <w:r>
              <w:rPr>
                <w:sz w:val="19"/>
              </w:rPr>
              <w:t>Depression</w:t>
            </w:r>
          </w:p>
        </w:tc>
        <w:tc>
          <w:tcPr>
            <w:tcW w:w="1843" w:type="dxa"/>
            <w:tcBorders>
              <w:top w:val="single" w:sz="4" w:space="0" w:color="000000"/>
              <w:left w:val="single" w:sz="4" w:space="0" w:color="000000"/>
              <w:bottom w:val="single" w:sz="4" w:space="0" w:color="000000"/>
              <w:right w:val="single" w:sz="4" w:space="0" w:color="000000"/>
            </w:tcBorders>
            <w:hideMark/>
          </w:tcPr>
          <w:p w14:paraId="0CC85684"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7CABCD0F"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65E6AE95" w14:textId="77777777" w:rsidR="008E65A3" w:rsidRDefault="008E65A3">
            <w:pPr>
              <w:pStyle w:val="TableParagraph"/>
              <w:rPr>
                <w:sz w:val="19"/>
              </w:rPr>
            </w:pPr>
            <w:r>
              <w:rPr>
                <w:sz w:val="19"/>
              </w:rPr>
              <w:t>Uncommon</w:t>
            </w:r>
          </w:p>
        </w:tc>
      </w:tr>
      <w:tr w:rsidR="008E65A3" w14:paraId="6BC55FDA"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3B761B2"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D2BBC29" w14:textId="77777777" w:rsidR="008E65A3" w:rsidRDefault="008E65A3">
            <w:pPr>
              <w:pStyle w:val="TableParagraph"/>
              <w:ind w:left="57"/>
              <w:rPr>
                <w:sz w:val="19"/>
              </w:rPr>
            </w:pPr>
            <w:r>
              <w:rPr>
                <w:sz w:val="19"/>
              </w:rPr>
              <w:t>Tic</w:t>
            </w:r>
          </w:p>
        </w:tc>
        <w:tc>
          <w:tcPr>
            <w:tcW w:w="1843" w:type="dxa"/>
            <w:tcBorders>
              <w:top w:val="single" w:sz="4" w:space="0" w:color="000000"/>
              <w:left w:val="single" w:sz="4" w:space="0" w:color="000000"/>
              <w:bottom w:val="single" w:sz="4" w:space="0" w:color="000000"/>
              <w:right w:val="single" w:sz="4" w:space="0" w:color="000000"/>
            </w:tcBorders>
            <w:hideMark/>
          </w:tcPr>
          <w:p w14:paraId="51DE4A35"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57D1C0DF"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24E12140" w14:textId="77777777" w:rsidR="008E65A3" w:rsidRDefault="008E65A3">
            <w:pPr>
              <w:pStyle w:val="TableParagraph"/>
              <w:rPr>
                <w:sz w:val="19"/>
              </w:rPr>
            </w:pPr>
            <w:r>
              <w:rPr>
                <w:sz w:val="19"/>
              </w:rPr>
              <w:t>Uncommon</w:t>
            </w:r>
          </w:p>
        </w:tc>
      </w:tr>
      <w:tr w:rsidR="008E65A3" w14:paraId="24A6AEEE"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DFB129A"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740560B4" w14:textId="77777777" w:rsidR="008E65A3" w:rsidRDefault="008E65A3">
            <w:pPr>
              <w:pStyle w:val="TableParagraph"/>
              <w:ind w:left="57"/>
              <w:rPr>
                <w:sz w:val="19"/>
              </w:rPr>
            </w:pPr>
            <w:r>
              <w:rPr>
                <w:sz w:val="19"/>
              </w:rPr>
              <w:t>Affect</w:t>
            </w:r>
            <w:r>
              <w:rPr>
                <w:spacing w:val="-2"/>
                <w:sz w:val="19"/>
              </w:rPr>
              <w:t xml:space="preserve"> </w:t>
            </w:r>
            <w:r>
              <w:rPr>
                <w:sz w:val="19"/>
              </w:rPr>
              <w:t>lability</w:t>
            </w:r>
          </w:p>
        </w:tc>
        <w:tc>
          <w:tcPr>
            <w:tcW w:w="1843" w:type="dxa"/>
            <w:tcBorders>
              <w:top w:val="single" w:sz="4" w:space="0" w:color="000000"/>
              <w:left w:val="single" w:sz="4" w:space="0" w:color="000000"/>
              <w:bottom w:val="single" w:sz="4" w:space="0" w:color="000000"/>
              <w:right w:val="single" w:sz="4" w:space="0" w:color="000000"/>
            </w:tcBorders>
            <w:hideMark/>
          </w:tcPr>
          <w:p w14:paraId="0D5BD387"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16CE9885"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0EBDDBD2" w14:textId="77777777" w:rsidR="008E65A3" w:rsidRDefault="008E65A3">
            <w:pPr>
              <w:pStyle w:val="TableParagraph"/>
              <w:rPr>
                <w:sz w:val="19"/>
              </w:rPr>
            </w:pPr>
            <w:r>
              <w:rPr>
                <w:sz w:val="19"/>
              </w:rPr>
              <w:t>Common</w:t>
            </w:r>
          </w:p>
        </w:tc>
      </w:tr>
      <w:tr w:rsidR="008E65A3" w14:paraId="78DFECFB"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991974F"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1668A0A" w14:textId="77777777" w:rsidR="008E65A3" w:rsidRDefault="008E65A3">
            <w:pPr>
              <w:pStyle w:val="TableParagraph"/>
              <w:ind w:left="57"/>
              <w:rPr>
                <w:sz w:val="19"/>
              </w:rPr>
            </w:pPr>
            <w:r>
              <w:rPr>
                <w:sz w:val="19"/>
              </w:rPr>
              <w:t>Dysphoria</w:t>
            </w:r>
          </w:p>
        </w:tc>
        <w:tc>
          <w:tcPr>
            <w:tcW w:w="1843" w:type="dxa"/>
            <w:tcBorders>
              <w:top w:val="single" w:sz="4" w:space="0" w:color="000000"/>
              <w:left w:val="single" w:sz="4" w:space="0" w:color="000000"/>
              <w:bottom w:val="single" w:sz="4" w:space="0" w:color="000000"/>
              <w:right w:val="single" w:sz="4" w:space="0" w:color="000000"/>
            </w:tcBorders>
            <w:hideMark/>
          </w:tcPr>
          <w:p w14:paraId="65CA8164"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24D2B86A"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42F9813E" w14:textId="77777777" w:rsidR="008E65A3" w:rsidRDefault="008E65A3">
            <w:pPr>
              <w:pStyle w:val="TableParagraph"/>
              <w:rPr>
                <w:sz w:val="19"/>
              </w:rPr>
            </w:pPr>
            <w:r>
              <w:rPr>
                <w:sz w:val="19"/>
              </w:rPr>
              <w:t>Uncommon</w:t>
            </w:r>
          </w:p>
        </w:tc>
      </w:tr>
      <w:tr w:rsidR="008E65A3" w14:paraId="13553F0E"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19341A2"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949C5C8" w14:textId="77777777" w:rsidR="008E65A3" w:rsidRDefault="008E65A3">
            <w:pPr>
              <w:pStyle w:val="TableParagraph"/>
              <w:ind w:left="57"/>
              <w:rPr>
                <w:sz w:val="19"/>
              </w:rPr>
            </w:pPr>
            <w:r>
              <w:rPr>
                <w:sz w:val="19"/>
              </w:rPr>
              <w:t>Euphoria</w:t>
            </w:r>
          </w:p>
        </w:tc>
        <w:tc>
          <w:tcPr>
            <w:tcW w:w="1843" w:type="dxa"/>
            <w:tcBorders>
              <w:top w:val="single" w:sz="4" w:space="0" w:color="000000"/>
              <w:left w:val="single" w:sz="4" w:space="0" w:color="000000"/>
              <w:bottom w:val="single" w:sz="4" w:space="0" w:color="000000"/>
              <w:right w:val="single" w:sz="4" w:space="0" w:color="000000"/>
            </w:tcBorders>
            <w:hideMark/>
          </w:tcPr>
          <w:p w14:paraId="2E357302"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5389D60A"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69E50DF4" w14:textId="77777777" w:rsidR="008E65A3" w:rsidRDefault="008E65A3">
            <w:pPr>
              <w:pStyle w:val="TableParagraph"/>
              <w:rPr>
                <w:sz w:val="19"/>
              </w:rPr>
            </w:pPr>
            <w:r>
              <w:rPr>
                <w:sz w:val="19"/>
              </w:rPr>
              <w:t>Uncommon</w:t>
            </w:r>
          </w:p>
        </w:tc>
      </w:tr>
      <w:tr w:rsidR="008E65A3" w14:paraId="7B2E0916" w14:textId="77777777" w:rsidTr="008E65A3">
        <w:trPr>
          <w:trHeight w:val="446"/>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860C7C3"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3DC6F36" w14:textId="77777777" w:rsidR="008E65A3" w:rsidRDefault="008E65A3">
            <w:pPr>
              <w:pStyle w:val="TableParagraph"/>
              <w:spacing w:line="240" w:lineRule="auto"/>
              <w:ind w:left="57"/>
              <w:rPr>
                <w:sz w:val="19"/>
              </w:rPr>
            </w:pPr>
            <w:r>
              <w:rPr>
                <w:sz w:val="19"/>
              </w:rPr>
              <w:t>Psychomotor</w:t>
            </w:r>
          </w:p>
          <w:p w14:paraId="7AA34F9E" w14:textId="77777777" w:rsidR="008E65A3" w:rsidRDefault="008E65A3">
            <w:pPr>
              <w:pStyle w:val="TableParagraph"/>
              <w:spacing w:before="5"/>
              <w:ind w:left="57"/>
              <w:rPr>
                <w:sz w:val="19"/>
              </w:rPr>
            </w:pPr>
            <w:r>
              <w:rPr>
                <w:sz w:val="19"/>
              </w:rPr>
              <w:t>hyperactivity</w:t>
            </w:r>
          </w:p>
        </w:tc>
        <w:tc>
          <w:tcPr>
            <w:tcW w:w="1843" w:type="dxa"/>
            <w:tcBorders>
              <w:top w:val="single" w:sz="4" w:space="0" w:color="000000"/>
              <w:left w:val="single" w:sz="4" w:space="0" w:color="000000"/>
              <w:bottom w:val="single" w:sz="4" w:space="0" w:color="000000"/>
              <w:right w:val="single" w:sz="4" w:space="0" w:color="000000"/>
            </w:tcBorders>
            <w:hideMark/>
          </w:tcPr>
          <w:p w14:paraId="66325AE7" w14:textId="77777777" w:rsidR="008E65A3" w:rsidRDefault="008E65A3">
            <w:pPr>
              <w:pStyle w:val="TableParagraph"/>
              <w:spacing w:line="240" w:lineRule="auto"/>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34D64F86" w14:textId="77777777" w:rsidR="008E65A3" w:rsidRDefault="008E65A3">
            <w:pPr>
              <w:pStyle w:val="TableParagraph"/>
              <w:spacing w:line="240" w:lineRule="auto"/>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1CB587F8" w14:textId="77777777" w:rsidR="008E65A3" w:rsidRDefault="008E65A3">
            <w:pPr>
              <w:pStyle w:val="TableParagraph"/>
              <w:spacing w:line="240" w:lineRule="auto"/>
              <w:rPr>
                <w:sz w:val="19"/>
              </w:rPr>
            </w:pPr>
            <w:r>
              <w:rPr>
                <w:sz w:val="19"/>
              </w:rPr>
              <w:t>Common</w:t>
            </w:r>
          </w:p>
        </w:tc>
      </w:tr>
      <w:tr w:rsidR="008E65A3" w14:paraId="554D2189"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301F8296"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43E1760E" w14:textId="77777777" w:rsidR="008E65A3" w:rsidRDefault="008E65A3">
            <w:pPr>
              <w:pStyle w:val="TableParagraph"/>
              <w:ind w:left="57"/>
              <w:rPr>
                <w:sz w:val="19"/>
              </w:rPr>
            </w:pPr>
            <w:r>
              <w:rPr>
                <w:sz w:val="19"/>
              </w:rPr>
              <w:t>Bruxism</w:t>
            </w:r>
          </w:p>
        </w:tc>
        <w:tc>
          <w:tcPr>
            <w:tcW w:w="1843" w:type="dxa"/>
            <w:tcBorders>
              <w:top w:val="single" w:sz="4" w:space="0" w:color="000000"/>
              <w:left w:val="dashed" w:sz="4" w:space="0" w:color="000000"/>
              <w:bottom w:val="single" w:sz="4" w:space="0" w:color="000000"/>
              <w:right w:val="dashed" w:sz="4" w:space="0" w:color="000000"/>
            </w:tcBorders>
            <w:hideMark/>
          </w:tcPr>
          <w:p w14:paraId="3B7ACE74"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714F0A09"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0040E991" w14:textId="77777777" w:rsidR="008E65A3" w:rsidRDefault="008E65A3">
            <w:pPr>
              <w:pStyle w:val="TableParagraph"/>
              <w:rPr>
                <w:sz w:val="19"/>
              </w:rPr>
            </w:pPr>
            <w:r>
              <w:rPr>
                <w:sz w:val="19"/>
              </w:rPr>
              <w:t>Common</w:t>
            </w:r>
          </w:p>
        </w:tc>
      </w:tr>
      <w:tr w:rsidR="008E65A3" w14:paraId="6F5E3B8E"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B0C7804"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7864DAE3" w14:textId="77777777" w:rsidR="008E65A3" w:rsidRDefault="008E65A3">
            <w:pPr>
              <w:pStyle w:val="TableParagraph"/>
              <w:ind w:left="57"/>
              <w:rPr>
                <w:sz w:val="19"/>
              </w:rPr>
            </w:pPr>
            <w:r>
              <w:rPr>
                <w:sz w:val="19"/>
              </w:rPr>
              <w:t>Dermatillomania</w:t>
            </w:r>
          </w:p>
        </w:tc>
        <w:tc>
          <w:tcPr>
            <w:tcW w:w="1843" w:type="dxa"/>
            <w:tcBorders>
              <w:top w:val="single" w:sz="4" w:space="0" w:color="000000"/>
              <w:left w:val="dashed" w:sz="4" w:space="0" w:color="000000"/>
              <w:bottom w:val="single" w:sz="4" w:space="0" w:color="000000"/>
              <w:right w:val="dashed" w:sz="4" w:space="0" w:color="000000"/>
            </w:tcBorders>
            <w:hideMark/>
          </w:tcPr>
          <w:p w14:paraId="502E2176"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14C69465"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2137A915" w14:textId="77777777" w:rsidR="008E65A3" w:rsidRDefault="008E65A3">
            <w:pPr>
              <w:pStyle w:val="TableParagraph"/>
              <w:rPr>
                <w:sz w:val="19"/>
              </w:rPr>
            </w:pPr>
            <w:r>
              <w:rPr>
                <w:sz w:val="19"/>
              </w:rPr>
              <w:t>Uncommon</w:t>
            </w:r>
          </w:p>
        </w:tc>
      </w:tr>
      <w:tr w:rsidR="008E65A3" w14:paraId="0DC283A2"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D1FA7E2"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12782ECB" w14:textId="77777777" w:rsidR="008E65A3" w:rsidRDefault="008E65A3">
            <w:pPr>
              <w:pStyle w:val="TableParagraph"/>
              <w:ind w:left="57"/>
              <w:rPr>
                <w:sz w:val="19"/>
              </w:rPr>
            </w:pPr>
            <w:r>
              <w:rPr>
                <w:sz w:val="19"/>
              </w:rPr>
              <w:t>Psychotic</w:t>
            </w:r>
            <w:r>
              <w:rPr>
                <w:spacing w:val="-4"/>
                <w:sz w:val="19"/>
              </w:rPr>
              <w:t xml:space="preserve"> </w:t>
            </w:r>
            <w:r>
              <w:rPr>
                <w:sz w:val="19"/>
              </w:rPr>
              <w:t>episodes</w:t>
            </w:r>
          </w:p>
        </w:tc>
        <w:tc>
          <w:tcPr>
            <w:tcW w:w="1843" w:type="dxa"/>
            <w:tcBorders>
              <w:top w:val="single" w:sz="4" w:space="0" w:color="000000"/>
              <w:left w:val="dashed" w:sz="4" w:space="0" w:color="000000"/>
              <w:bottom w:val="single" w:sz="4" w:space="0" w:color="000000"/>
              <w:right w:val="dashed" w:sz="4" w:space="0" w:color="000000"/>
            </w:tcBorders>
            <w:hideMark/>
          </w:tcPr>
          <w:p w14:paraId="27A7E33C"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dashed" w:sz="4" w:space="0" w:color="000000"/>
              <w:bottom w:val="single" w:sz="4" w:space="0" w:color="000000"/>
              <w:right w:val="dashed" w:sz="4" w:space="0" w:color="000000"/>
            </w:tcBorders>
            <w:hideMark/>
          </w:tcPr>
          <w:p w14:paraId="6EC54531"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dashed" w:sz="4" w:space="0" w:color="000000"/>
              <w:bottom w:val="single" w:sz="4" w:space="0" w:color="000000"/>
              <w:right w:val="single" w:sz="4" w:space="0" w:color="000000"/>
            </w:tcBorders>
            <w:hideMark/>
          </w:tcPr>
          <w:p w14:paraId="20FC652F"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2BB90D9E"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A40A33B"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1CC31648" w14:textId="77777777" w:rsidR="008E65A3" w:rsidRDefault="008E65A3">
            <w:pPr>
              <w:pStyle w:val="TableParagraph"/>
              <w:ind w:left="57"/>
              <w:rPr>
                <w:sz w:val="19"/>
              </w:rPr>
            </w:pPr>
            <w:r>
              <w:rPr>
                <w:sz w:val="19"/>
              </w:rPr>
              <w:t>Mania</w:t>
            </w:r>
          </w:p>
        </w:tc>
        <w:tc>
          <w:tcPr>
            <w:tcW w:w="1843" w:type="dxa"/>
            <w:tcBorders>
              <w:top w:val="single" w:sz="4" w:space="0" w:color="000000"/>
              <w:left w:val="dashed" w:sz="4" w:space="0" w:color="000000"/>
              <w:bottom w:val="single" w:sz="4" w:space="0" w:color="000000"/>
              <w:right w:val="dashed" w:sz="4" w:space="0" w:color="000000"/>
            </w:tcBorders>
            <w:hideMark/>
          </w:tcPr>
          <w:p w14:paraId="033A87C6"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77777292"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3C733B5C" w14:textId="77777777" w:rsidR="008E65A3" w:rsidRDefault="008E65A3">
            <w:pPr>
              <w:pStyle w:val="TableParagraph"/>
              <w:rPr>
                <w:sz w:val="19"/>
              </w:rPr>
            </w:pPr>
            <w:r>
              <w:rPr>
                <w:sz w:val="19"/>
              </w:rPr>
              <w:t>Uncommon</w:t>
            </w:r>
          </w:p>
        </w:tc>
      </w:tr>
      <w:tr w:rsidR="008E65A3" w14:paraId="64D1076A"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54C2E0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068EB543" w14:textId="77777777" w:rsidR="008E65A3" w:rsidRDefault="008E65A3">
            <w:pPr>
              <w:pStyle w:val="TableParagraph"/>
              <w:ind w:left="57"/>
              <w:rPr>
                <w:sz w:val="19"/>
              </w:rPr>
            </w:pPr>
            <w:r>
              <w:rPr>
                <w:sz w:val="19"/>
              </w:rPr>
              <w:t>Hallucination</w:t>
            </w:r>
          </w:p>
        </w:tc>
        <w:tc>
          <w:tcPr>
            <w:tcW w:w="1843" w:type="dxa"/>
            <w:tcBorders>
              <w:top w:val="single" w:sz="4" w:space="0" w:color="000000"/>
              <w:left w:val="dashed" w:sz="4" w:space="0" w:color="000000"/>
              <w:bottom w:val="single" w:sz="4" w:space="0" w:color="000000"/>
              <w:right w:val="dashed" w:sz="4" w:space="0" w:color="000000"/>
            </w:tcBorders>
            <w:hideMark/>
          </w:tcPr>
          <w:p w14:paraId="2BCC826A"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5FB3E363"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132746BA"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3C7C1970"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216500A"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6D096400" w14:textId="77777777" w:rsidR="008E65A3" w:rsidRDefault="008E65A3">
            <w:pPr>
              <w:pStyle w:val="TableParagraph"/>
              <w:ind w:left="57"/>
              <w:rPr>
                <w:sz w:val="19"/>
              </w:rPr>
            </w:pPr>
            <w:r>
              <w:rPr>
                <w:sz w:val="19"/>
              </w:rPr>
              <w:t>Aggression</w:t>
            </w:r>
          </w:p>
        </w:tc>
        <w:tc>
          <w:tcPr>
            <w:tcW w:w="1843" w:type="dxa"/>
            <w:tcBorders>
              <w:top w:val="single" w:sz="4" w:space="0" w:color="000000"/>
              <w:left w:val="dashed" w:sz="4" w:space="0" w:color="000000"/>
              <w:bottom w:val="single" w:sz="4" w:space="0" w:color="000000"/>
              <w:right w:val="dashed" w:sz="4" w:space="0" w:color="000000"/>
            </w:tcBorders>
            <w:hideMark/>
          </w:tcPr>
          <w:p w14:paraId="1C4E4212" w14:textId="77777777" w:rsidR="008E65A3" w:rsidRDefault="008E65A3">
            <w:pPr>
              <w:pStyle w:val="TableParagraph"/>
              <w:rPr>
                <w:sz w:val="19"/>
              </w:rPr>
            </w:pPr>
            <w:r>
              <w:rPr>
                <w:sz w:val="19"/>
              </w:rPr>
              <w:t>Common</w:t>
            </w:r>
          </w:p>
        </w:tc>
        <w:tc>
          <w:tcPr>
            <w:tcW w:w="1842" w:type="dxa"/>
            <w:tcBorders>
              <w:top w:val="single" w:sz="4" w:space="0" w:color="000000"/>
              <w:left w:val="dashed" w:sz="4" w:space="0" w:color="000000"/>
              <w:bottom w:val="single" w:sz="4" w:space="0" w:color="000000"/>
              <w:right w:val="dashed" w:sz="4" w:space="0" w:color="000000"/>
            </w:tcBorders>
            <w:hideMark/>
          </w:tcPr>
          <w:p w14:paraId="01497FF0"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7BBDD407"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641E2F0D"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7FE8BDAB" w14:textId="77777777" w:rsidR="008E65A3" w:rsidRDefault="008E65A3">
            <w:pPr>
              <w:pStyle w:val="TableParagraph"/>
              <w:spacing w:line="240" w:lineRule="auto"/>
              <w:ind w:right="376"/>
              <w:rPr>
                <w:b/>
                <w:sz w:val="19"/>
              </w:rPr>
            </w:pPr>
            <w:r>
              <w:rPr>
                <w:b/>
                <w:spacing w:val="-1"/>
                <w:sz w:val="19"/>
              </w:rPr>
              <w:t xml:space="preserve">Nervous </w:t>
            </w:r>
            <w:r>
              <w:rPr>
                <w:b/>
                <w:sz w:val="19"/>
              </w:rPr>
              <w:t>System</w:t>
            </w:r>
            <w:r>
              <w:rPr>
                <w:b/>
                <w:spacing w:val="-45"/>
                <w:sz w:val="19"/>
              </w:rPr>
              <w:t xml:space="preserve"> </w:t>
            </w:r>
            <w:r>
              <w:rPr>
                <w:b/>
                <w:sz w:val="19"/>
              </w:rPr>
              <w:t>Disorders</w:t>
            </w:r>
          </w:p>
        </w:tc>
        <w:tc>
          <w:tcPr>
            <w:tcW w:w="1985" w:type="dxa"/>
            <w:tcBorders>
              <w:top w:val="single" w:sz="4" w:space="0" w:color="000000"/>
              <w:left w:val="single" w:sz="4" w:space="0" w:color="000000"/>
              <w:bottom w:val="single" w:sz="4" w:space="0" w:color="000000"/>
              <w:right w:val="dashed" w:sz="4" w:space="0" w:color="000000"/>
            </w:tcBorders>
            <w:hideMark/>
          </w:tcPr>
          <w:p w14:paraId="1EC13D1D" w14:textId="77777777" w:rsidR="008E65A3" w:rsidRDefault="008E65A3">
            <w:pPr>
              <w:pStyle w:val="TableParagraph"/>
              <w:ind w:left="57"/>
              <w:rPr>
                <w:sz w:val="19"/>
              </w:rPr>
            </w:pPr>
            <w:r>
              <w:rPr>
                <w:sz w:val="19"/>
              </w:rPr>
              <w:t>Headache</w:t>
            </w:r>
          </w:p>
        </w:tc>
        <w:tc>
          <w:tcPr>
            <w:tcW w:w="1843" w:type="dxa"/>
            <w:tcBorders>
              <w:top w:val="single" w:sz="4" w:space="0" w:color="000000"/>
              <w:left w:val="dashed" w:sz="4" w:space="0" w:color="000000"/>
              <w:bottom w:val="single" w:sz="4" w:space="0" w:color="000000"/>
              <w:right w:val="dashed" w:sz="4" w:space="0" w:color="000000"/>
            </w:tcBorders>
            <w:hideMark/>
          </w:tcPr>
          <w:p w14:paraId="76523BE7" w14:textId="77777777" w:rsidR="008E65A3" w:rsidRDefault="008E65A3">
            <w:pPr>
              <w:pStyle w:val="TableParagraph"/>
              <w:rPr>
                <w:sz w:val="19"/>
              </w:rPr>
            </w:pPr>
            <w:r>
              <w:rPr>
                <w:sz w:val="19"/>
              </w:rPr>
              <w:t>Very</w:t>
            </w:r>
            <w:r>
              <w:rPr>
                <w:spacing w:val="-9"/>
                <w:sz w:val="19"/>
              </w:rPr>
              <w:t xml:space="preserve"> </w:t>
            </w:r>
            <w:r>
              <w:rPr>
                <w:sz w:val="19"/>
              </w:rPr>
              <w:t>common</w:t>
            </w:r>
          </w:p>
        </w:tc>
        <w:tc>
          <w:tcPr>
            <w:tcW w:w="1842" w:type="dxa"/>
            <w:tcBorders>
              <w:top w:val="single" w:sz="4" w:space="0" w:color="000000"/>
              <w:left w:val="dashed" w:sz="4" w:space="0" w:color="000000"/>
              <w:bottom w:val="single" w:sz="4" w:space="0" w:color="000000"/>
              <w:right w:val="dashed" w:sz="4" w:space="0" w:color="000000"/>
            </w:tcBorders>
            <w:hideMark/>
          </w:tcPr>
          <w:p w14:paraId="4BD0F9DD" w14:textId="77777777" w:rsidR="008E65A3" w:rsidRDefault="008E65A3">
            <w:pPr>
              <w:pStyle w:val="TableParagraph"/>
              <w:rPr>
                <w:sz w:val="19"/>
              </w:rPr>
            </w:pPr>
            <w:r>
              <w:rPr>
                <w:sz w:val="19"/>
              </w:rPr>
              <w:t>Very</w:t>
            </w:r>
            <w:r>
              <w:rPr>
                <w:spacing w:val="-9"/>
                <w:sz w:val="19"/>
              </w:rPr>
              <w:t xml:space="preserve"> </w:t>
            </w: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2B0E7152" w14:textId="77777777" w:rsidR="008E65A3" w:rsidRDefault="008E65A3">
            <w:pPr>
              <w:pStyle w:val="TableParagraph"/>
              <w:rPr>
                <w:sz w:val="19"/>
              </w:rPr>
            </w:pPr>
            <w:r>
              <w:rPr>
                <w:sz w:val="19"/>
              </w:rPr>
              <w:t>Very</w:t>
            </w:r>
            <w:r>
              <w:rPr>
                <w:spacing w:val="-9"/>
                <w:sz w:val="19"/>
              </w:rPr>
              <w:t xml:space="preserve"> </w:t>
            </w:r>
            <w:r>
              <w:rPr>
                <w:sz w:val="19"/>
              </w:rPr>
              <w:t>common</w:t>
            </w:r>
          </w:p>
        </w:tc>
      </w:tr>
      <w:tr w:rsidR="008E65A3" w14:paraId="7139D4CC"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50004E0"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1CC7E895" w14:textId="77777777" w:rsidR="008E65A3" w:rsidRDefault="008E65A3">
            <w:pPr>
              <w:pStyle w:val="TableParagraph"/>
              <w:ind w:left="57"/>
              <w:rPr>
                <w:sz w:val="19"/>
              </w:rPr>
            </w:pPr>
            <w:r>
              <w:rPr>
                <w:sz w:val="19"/>
              </w:rPr>
              <w:t>Dizziness</w:t>
            </w:r>
          </w:p>
        </w:tc>
        <w:tc>
          <w:tcPr>
            <w:tcW w:w="1843" w:type="dxa"/>
            <w:tcBorders>
              <w:top w:val="single" w:sz="4" w:space="0" w:color="000000"/>
              <w:left w:val="dashed" w:sz="4" w:space="0" w:color="000000"/>
              <w:bottom w:val="single" w:sz="4" w:space="0" w:color="000000"/>
              <w:right w:val="dashed" w:sz="4" w:space="0" w:color="000000"/>
            </w:tcBorders>
            <w:hideMark/>
          </w:tcPr>
          <w:p w14:paraId="3C32627D" w14:textId="77777777" w:rsidR="008E65A3" w:rsidRDefault="008E65A3">
            <w:pPr>
              <w:pStyle w:val="TableParagraph"/>
              <w:rPr>
                <w:sz w:val="19"/>
              </w:rPr>
            </w:pPr>
            <w:r>
              <w:rPr>
                <w:sz w:val="19"/>
              </w:rPr>
              <w:t>Common</w:t>
            </w:r>
          </w:p>
        </w:tc>
        <w:tc>
          <w:tcPr>
            <w:tcW w:w="1842" w:type="dxa"/>
            <w:tcBorders>
              <w:top w:val="single" w:sz="4" w:space="0" w:color="000000"/>
              <w:left w:val="dashed" w:sz="4" w:space="0" w:color="000000"/>
              <w:bottom w:val="single" w:sz="4" w:space="0" w:color="000000"/>
              <w:right w:val="dashed" w:sz="4" w:space="0" w:color="000000"/>
            </w:tcBorders>
            <w:hideMark/>
          </w:tcPr>
          <w:p w14:paraId="73F91E63"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370FB905" w14:textId="77777777" w:rsidR="008E65A3" w:rsidRDefault="008E65A3">
            <w:pPr>
              <w:pStyle w:val="TableParagraph"/>
              <w:rPr>
                <w:sz w:val="19"/>
              </w:rPr>
            </w:pPr>
            <w:r>
              <w:rPr>
                <w:sz w:val="19"/>
              </w:rPr>
              <w:t>Common</w:t>
            </w:r>
          </w:p>
        </w:tc>
      </w:tr>
      <w:tr w:rsidR="008E65A3" w14:paraId="5C512330"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2A58A19"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33AFC1D1" w14:textId="77777777" w:rsidR="008E65A3" w:rsidRDefault="008E65A3">
            <w:pPr>
              <w:pStyle w:val="TableParagraph"/>
              <w:ind w:left="57"/>
              <w:rPr>
                <w:sz w:val="19"/>
              </w:rPr>
            </w:pPr>
            <w:r>
              <w:rPr>
                <w:sz w:val="19"/>
              </w:rPr>
              <w:t>Restlessness</w:t>
            </w:r>
          </w:p>
        </w:tc>
        <w:tc>
          <w:tcPr>
            <w:tcW w:w="1843" w:type="dxa"/>
            <w:tcBorders>
              <w:top w:val="single" w:sz="4" w:space="0" w:color="000000"/>
              <w:left w:val="dashed" w:sz="4" w:space="0" w:color="000000"/>
              <w:bottom w:val="single" w:sz="4" w:space="0" w:color="000000"/>
              <w:right w:val="dashed" w:sz="4" w:space="0" w:color="000000"/>
            </w:tcBorders>
            <w:hideMark/>
          </w:tcPr>
          <w:p w14:paraId="78AB3581"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5B309A1C"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729514F0" w14:textId="77777777" w:rsidR="008E65A3" w:rsidRDefault="008E65A3">
            <w:pPr>
              <w:pStyle w:val="TableParagraph"/>
              <w:rPr>
                <w:sz w:val="19"/>
              </w:rPr>
            </w:pPr>
            <w:r>
              <w:rPr>
                <w:sz w:val="19"/>
              </w:rPr>
              <w:t>Common</w:t>
            </w:r>
          </w:p>
        </w:tc>
      </w:tr>
      <w:tr w:rsidR="008E65A3" w14:paraId="5E0F0D03"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FBFC6C6"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6B3967B4" w14:textId="77777777" w:rsidR="008E65A3" w:rsidRDefault="008E65A3">
            <w:pPr>
              <w:pStyle w:val="TableParagraph"/>
              <w:ind w:left="57"/>
              <w:rPr>
                <w:sz w:val="19"/>
              </w:rPr>
            </w:pPr>
            <w:r>
              <w:rPr>
                <w:sz w:val="19"/>
              </w:rPr>
              <w:t>Tremor</w:t>
            </w:r>
          </w:p>
        </w:tc>
        <w:tc>
          <w:tcPr>
            <w:tcW w:w="1843" w:type="dxa"/>
            <w:tcBorders>
              <w:top w:val="single" w:sz="4" w:space="0" w:color="000000"/>
              <w:left w:val="dashed" w:sz="4" w:space="0" w:color="000000"/>
              <w:bottom w:val="single" w:sz="4" w:space="0" w:color="000000"/>
              <w:right w:val="dashed" w:sz="4" w:space="0" w:color="000000"/>
            </w:tcBorders>
            <w:hideMark/>
          </w:tcPr>
          <w:p w14:paraId="144C5310"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4F1B4B3A"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6521D5AC" w14:textId="77777777" w:rsidR="008E65A3" w:rsidRDefault="008E65A3">
            <w:pPr>
              <w:pStyle w:val="TableParagraph"/>
              <w:rPr>
                <w:sz w:val="19"/>
              </w:rPr>
            </w:pPr>
            <w:r>
              <w:rPr>
                <w:sz w:val="19"/>
              </w:rPr>
              <w:t>Common</w:t>
            </w:r>
          </w:p>
        </w:tc>
      </w:tr>
      <w:tr w:rsidR="008E65A3" w14:paraId="1F92ADE2"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2730AA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126C64FD" w14:textId="77777777" w:rsidR="008E65A3" w:rsidRDefault="008E65A3">
            <w:pPr>
              <w:pStyle w:val="TableParagraph"/>
              <w:ind w:left="57"/>
              <w:rPr>
                <w:sz w:val="19"/>
              </w:rPr>
            </w:pPr>
            <w:r>
              <w:rPr>
                <w:sz w:val="19"/>
              </w:rPr>
              <w:t>Somnolence</w:t>
            </w:r>
          </w:p>
        </w:tc>
        <w:tc>
          <w:tcPr>
            <w:tcW w:w="1843" w:type="dxa"/>
            <w:tcBorders>
              <w:top w:val="single" w:sz="4" w:space="0" w:color="000000"/>
              <w:left w:val="dashed" w:sz="4" w:space="0" w:color="000000"/>
              <w:bottom w:val="single" w:sz="4" w:space="0" w:color="000000"/>
              <w:right w:val="dashed" w:sz="4" w:space="0" w:color="000000"/>
            </w:tcBorders>
            <w:hideMark/>
          </w:tcPr>
          <w:p w14:paraId="636AF9DA" w14:textId="77777777" w:rsidR="008E65A3" w:rsidRDefault="008E65A3">
            <w:pPr>
              <w:pStyle w:val="TableParagraph"/>
              <w:rPr>
                <w:sz w:val="19"/>
              </w:rPr>
            </w:pPr>
            <w:r>
              <w:rPr>
                <w:sz w:val="19"/>
              </w:rPr>
              <w:t>Common</w:t>
            </w:r>
          </w:p>
        </w:tc>
        <w:tc>
          <w:tcPr>
            <w:tcW w:w="1842" w:type="dxa"/>
            <w:tcBorders>
              <w:top w:val="single" w:sz="4" w:space="0" w:color="000000"/>
              <w:left w:val="dashed" w:sz="4" w:space="0" w:color="000000"/>
              <w:bottom w:val="single" w:sz="4" w:space="0" w:color="000000"/>
              <w:right w:val="dashed" w:sz="4" w:space="0" w:color="000000"/>
            </w:tcBorders>
            <w:hideMark/>
          </w:tcPr>
          <w:p w14:paraId="1A001D07"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1166608D" w14:textId="77777777" w:rsidR="008E65A3" w:rsidRDefault="008E65A3">
            <w:pPr>
              <w:pStyle w:val="TableParagraph"/>
              <w:rPr>
                <w:sz w:val="19"/>
              </w:rPr>
            </w:pPr>
            <w:r>
              <w:rPr>
                <w:sz w:val="19"/>
              </w:rPr>
              <w:t>Uncommon</w:t>
            </w:r>
          </w:p>
        </w:tc>
      </w:tr>
      <w:tr w:rsidR="008E65A3" w14:paraId="3896CFAC"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925747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0CF1F05F" w14:textId="77777777" w:rsidR="008E65A3" w:rsidRDefault="008E65A3">
            <w:pPr>
              <w:pStyle w:val="TableParagraph"/>
              <w:ind w:left="57"/>
              <w:rPr>
                <w:sz w:val="19"/>
              </w:rPr>
            </w:pPr>
            <w:r>
              <w:rPr>
                <w:sz w:val="19"/>
              </w:rPr>
              <w:t>Seizure</w:t>
            </w:r>
          </w:p>
        </w:tc>
        <w:tc>
          <w:tcPr>
            <w:tcW w:w="1843" w:type="dxa"/>
            <w:tcBorders>
              <w:top w:val="single" w:sz="4" w:space="0" w:color="000000"/>
              <w:left w:val="dashed" w:sz="4" w:space="0" w:color="000000"/>
              <w:bottom w:val="single" w:sz="4" w:space="0" w:color="000000"/>
              <w:right w:val="dashed" w:sz="4" w:space="0" w:color="000000"/>
            </w:tcBorders>
            <w:hideMark/>
          </w:tcPr>
          <w:p w14:paraId="389F18A5"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dashed" w:sz="4" w:space="0" w:color="000000"/>
              <w:bottom w:val="single" w:sz="4" w:space="0" w:color="000000"/>
              <w:right w:val="dashed" w:sz="4" w:space="0" w:color="000000"/>
            </w:tcBorders>
            <w:hideMark/>
          </w:tcPr>
          <w:p w14:paraId="4A814B41"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dashed" w:sz="4" w:space="0" w:color="000000"/>
              <w:bottom w:val="single" w:sz="4" w:space="0" w:color="000000"/>
              <w:right w:val="single" w:sz="4" w:space="0" w:color="000000"/>
            </w:tcBorders>
            <w:hideMark/>
          </w:tcPr>
          <w:p w14:paraId="5D30EA3B"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4749E49F"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CA9C51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67FAC165" w14:textId="77777777" w:rsidR="008E65A3" w:rsidRDefault="008E65A3">
            <w:pPr>
              <w:pStyle w:val="TableParagraph"/>
              <w:ind w:left="57"/>
              <w:rPr>
                <w:sz w:val="19"/>
              </w:rPr>
            </w:pPr>
            <w:r>
              <w:rPr>
                <w:sz w:val="19"/>
              </w:rPr>
              <w:t>Dyskinesia</w:t>
            </w:r>
          </w:p>
        </w:tc>
        <w:tc>
          <w:tcPr>
            <w:tcW w:w="1843" w:type="dxa"/>
            <w:tcBorders>
              <w:top w:val="single" w:sz="4" w:space="0" w:color="000000"/>
              <w:left w:val="dashed" w:sz="4" w:space="0" w:color="000000"/>
              <w:bottom w:val="single" w:sz="4" w:space="0" w:color="000000"/>
              <w:right w:val="dashed" w:sz="4" w:space="0" w:color="000000"/>
            </w:tcBorders>
            <w:hideMark/>
          </w:tcPr>
          <w:p w14:paraId="19DA28D2"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615CADB2"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3B80625A" w14:textId="77777777" w:rsidR="008E65A3" w:rsidRDefault="008E65A3">
            <w:pPr>
              <w:pStyle w:val="TableParagraph"/>
              <w:rPr>
                <w:sz w:val="19"/>
              </w:rPr>
            </w:pPr>
            <w:r>
              <w:rPr>
                <w:sz w:val="19"/>
              </w:rPr>
              <w:t>Uncommon</w:t>
            </w:r>
          </w:p>
        </w:tc>
      </w:tr>
      <w:tr w:rsidR="008E65A3" w14:paraId="6D5D1D78"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8D47E00"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0AF2C8D4" w14:textId="77777777" w:rsidR="008E65A3" w:rsidRDefault="008E65A3">
            <w:pPr>
              <w:pStyle w:val="TableParagraph"/>
              <w:ind w:left="57"/>
              <w:rPr>
                <w:sz w:val="19"/>
              </w:rPr>
            </w:pPr>
            <w:r>
              <w:rPr>
                <w:sz w:val="19"/>
              </w:rPr>
              <w:t>Dysgeusia</w:t>
            </w:r>
          </w:p>
        </w:tc>
        <w:tc>
          <w:tcPr>
            <w:tcW w:w="1843" w:type="dxa"/>
            <w:tcBorders>
              <w:top w:val="single" w:sz="4" w:space="0" w:color="000000"/>
              <w:left w:val="dashed" w:sz="4" w:space="0" w:color="000000"/>
              <w:bottom w:val="single" w:sz="4" w:space="0" w:color="000000"/>
              <w:right w:val="dashed" w:sz="4" w:space="0" w:color="000000"/>
            </w:tcBorders>
            <w:hideMark/>
          </w:tcPr>
          <w:p w14:paraId="1F0F2630"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2338C99E"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549B857E" w14:textId="77777777" w:rsidR="008E65A3" w:rsidRDefault="008E65A3">
            <w:pPr>
              <w:pStyle w:val="TableParagraph"/>
              <w:rPr>
                <w:sz w:val="19"/>
              </w:rPr>
            </w:pPr>
            <w:r>
              <w:rPr>
                <w:sz w:val="19"/>
              </w:rPr>
              <w:t>Uncommon</w:t>
            </w:r>
          </w:p>
        </w:tc>
      </w:tr>
      <w:tr w:rsidR="008E65A3" w14:paraId="51978DB3"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840779C"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4C396E9E" w14:textId="77777777" w:rsidR="008E65A3" w:rsidRDefault="008E65A3">
            <w:pPr>
              <w:pStyle w:val="TableParagraph"/>
              <w:ind w:left="57"/>
              <w:rPr>
                <w:sz w:val="19"/>
              </w:rPr>
            </w:pPr>
            <w:r>
              <w:rPr>
                <w:sz w:val="19"/>
              </w:rPr>
              <w:t>Syncope</w:t>
            </w:r>
          </w:p>
        </w:tc>
        <w:tc>
          <w:tcPr>
            <w:tcW w:w="1843" w:type="dxa"/>
            <w:tcBorders>
              <w:top w:val="single" w:sz="4" w:space="0" w:color="000000"/>
              <w:left w:val="dashed" w:sz="4" w:space="0" w:color="000000"/>
              <w:bottom w:val="single" w:sz="4" w:space="0" w:color="000000"/>
              <w:right w:val="dashed" w:sz="4" w:space="0" w:color="000000"/>
            </w:tcBorders>
            <w:hideMark/>
          </w:tcPr>
          <w:p w14:paraId="52558029"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352279CA"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06A70C82" w14:textId="77777777" w:rsidR="008E65A3" w:rsidRDefault="008E65A3">
            <w:pPr>
              <w:pStyle w:val="TableParagraph"/>
              <w:rPr>
                <w:sz w:val="19"/>
              </w:rPr>
            </w:pPr>
            <w:r>
              <w:rPr>
                <w:sz w:val="19"/>
              </w:rPr>
              <w:t>Uncommon</w:t>
            </w:r>
          </w:p>
        </w:tc>
      </w:tr>
      <w:tr w:rsidR="008E65A3" w14:paraId="0286524E"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3E23E7E4" w14:textId="77777777" w:rsidR="008E65A3" w:rsidRDefault="008E65A3">
            <w:pPr>
              <w:pStyle w:val="TableParagraph"/>
              <w:spacing w:line="217" w:lineRule="exact"/>
              <w:rPr>
                <w:b/>
                <w:sz w:val="19"/>
              </w:rPr>
            </w:pPr>
            <w:r>
              <w:rPr>
                <w:b/>
                <w:sz w:val="19"/>
              </w:rPr>
              <w:t>Eye</w:t>
            </w:r>
            <w:r>
              <w:rPr>
                <w:b/>
                <w:spacing w:val="-2"/>
                <w:sz w:val="19"/>
              </w:rPr>
              <w:t xml:space="preserve"> </w:t>
            </w:r>
            <w:r>
              <w:rPr>
                <w:b/>
                <w:sz w:val="19"/>
              </w:rPr>
              <w:t>Disorders</w:t>
            </w:r>
          </w:p>
        </w:tc>
        <w:tc>
          <w:tcPr>
            <w:tcW w:w="1985" w:type="dxa"/>
            <w:tcBorders>
              <w:top w:val="single" w:sz="4" w:space="0" w:color="000000"/>
              <w:left w:val="single" w:sz="4" w:space="0" w:color="000000"/>
              <w:bottom w:val="single" w:sz="4" w:space="0" w:color="000000"/>
              <w:right w:val="dashed" w:sz="4" w:space="0" w:color="000000"/>
            </w:tcBorders>
            <w:hideMark/>
          </w:tcPr>
          <w:p w14:paraId="0283E3D5" w14:textId="77777777" w:rsidR="008E65A3" w:rsidRDefault="008E65A3">
            <w:pPr>
              <w:pStyle w:val="TableParagraph"/>
              <w:ind w:left="57"/>
              <w:rPr>
                <w:sz w:val="19"/>
              </w:rPr>
            </w:pPr>
            <w:r>
              <w:rPr>
                <w:sz w:val="19"/>
              </w:rPr>
              <w:t>Vision</w:t>
            </w:r>
            <w:r>
              <w:rPr>
                <w:spacing w:val="-1"/>
                <w:sz w:val="19"/>
              </w:rPr>
              <w:t xml:space="preserve"> </w:t>
            </w:r>
            <w:r>
              <w:rPr>
                <w:sz w:val="19"/>
              </w:rPr>
              <w:t>blurred</w:t>
            </w:r>
          </w:p>
        </w:tc>
        <w:tc>
          <w:tcPr>
            <w:tcW w:w="1843" w:type="dxa"/>
            <w:tcBorders>
              <w:top w:val="single" w:sz="4" w:space="0" w:color="000000"/>
              <w:left w:val="dashed" w:sz="4" w:space="0" w:color="000000"/>
              <w:bottom w:val="single" w:sz="4" w:space="0" w:color="000000"/>
              <w:right w:val="dashed" w:sz="4" w:space="0" w:color="000000"/>
            </w:tcBorders>
            <w:hideMark/>
          </w:tcPr>
          <w:p w14:paraId="18C8193B"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4F7C9E6A"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dashed" w:sz="4" w:space="0" w:color="000000"/>
              <w:bottom w:val="single" w:sz="4" w:space="0" w:color="000000"/>
              <w:right w:val="single" w:sz="4" w:space="0" w:color="000000"/>
            </w:tcBorders>
            <w:hideMark/>
          </w:tcPr>
          <w:p w14:paraId="7AD618E7" w14:textId="77777777" w:rsidR="008E65A3" w:rsidRDefault="008E65A3">
            <w:pPr>
              <w:pStyle w:val="TableParagraph"/>
              <w:rPr>
                <w:sz w:val="19"/>
              </w:rPr>
            </w:pPr>
            <w:r>
              <w:rPr>
                <w:sz w:val="19"/>
              </w:rPr>
              <w:t>Uncommon</w:t>
            </w:r>
          </w:p>
        </w:tc>
      </w:tr>
      <w:tr w:rsidR="008E65A3" w14:paraId="75B3D7D8"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6101B8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62FCF5CA" w14:textId="77777777" w:rsidR="008E65A3" w:rsidRDefault="008E65A3">
            <w:pPr>
              <w:pStyle w:val="TableParagraph"/>
              <w:ind w:left="57"/>
              <w:rPr>
                <w:sz w:val="19"/>
              </w:rPr>
            </w:pPr>
            <w:r>
              <w:rPr>
                <w:sz w:val="19"/>
              </w:rPr>
              <w:t>Mydriasis</w:t>
            </w:r>
          </w:p>
        </w:tc>
        <w:tc>
          <w:tcPr>
            <w:tcW w:w="1843" w:type="dxa"/>
            <w:tcBorders>
              <w:top w:val="single" w:sz="4" w:space="0" w:color="000000"/>
              <w:left w:val="dashed" w:sz="4" w:space="0" w:color="000000"/>
              <w:bottom w:val="single" w:sz="4" w:space="0" w:color="000000"/>
              <w:right w:val="dashed" w:sz="4" w:space="0" w:color="000000"/>
            </w:tcBorders>
            <w:hideMark/>
          </w:tcPr>
          <w:p w14:paraId="1D6E3EF2"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2971875B" w14:textId="77777777" w:rsidR="008E65A3" w:rsidRDefault="008E65A3">
            <w:pPr>
              <w:pStyle w:val="TableParagraph"/>
              <w:rPr>
                <w:sz w:val="19"/>
              </w:rPr>
            </w:pPr>
            <w:r>
              <w:rPr>
                <w:sz w:val="19"/>
              </w:rPr>
              <w:t>Uncommon</w:t>
            </w:r>
          </w:p>
        </w:tc>
        <w:tc>
          <w:tcPr>
            <w:tcW w:w="1859" w:type="dxa"/>
            <w:tcBorders>
              <w:top w:val="single" w:sz="4" w:space="0" w:color="000000"/>
              <w:left w:val="dashed" w:sz="4" w:space="0" w:color="000000"/>
              <w:bottom w:val="single" w:sz="4" w:space="0" w:color="000000"/>
              <w:right w:val="single" w:sz="4" w:space="0" w:color="000000"/>
            </w:tcBorders>
            <w:hideMark/>
          </w:tcPr>
          <w:p w14:paraId="036285CE"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22DF3ACC"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0F6C7986" w14:textId="77777777" w:rsidR="008E65A3" w:rsidRDefault="008E65A3">
            <w:pPr>
              <w:pStyle w:val="TableParagraph"/>
              <w:spacing w:line="217" w:lineRule="exact"/>
              <w:rPr>
                <w:b/>
                <w:sz w:val="19"/>
              </w:rPr>
            </w:pPr>
            <w:r>
              <w:rPr>
                <w:b/>
                <w:sz w:val="19"/>
              </w:rPr>
              <w:t>Cardiac</w:t>
            </w:r>
            <w:r>
              <w:rPr>
                <w:b/>
                <w:spacing w:val="-3"/>
                <w:sz w:val="19"/>
              </w:rPr>
              <w:t xml:space="preserve"> </w:t>
            </w:r>
            <w:r>
              <w:rPr>
                <w:b/>
                <w:sz w:val="19"/>
              </w:rPr>
              <w:t>Disorders</w:t>
            </w:r>
          </w:p>
        </w:tc>
        <w:tc>
          <w:tcPr>
            <w:tcW w:w="1985" w:type="dxa"/>
            <w:tcBorders>
              <w:top w:val="single" w:sz="4" w:space="0" w:color="000000"/>
              <w:left w:val="single" w:sz="4" w:space="0" w:color="000000"/>
              <w:bottom w:val="single" w:sz="4" w:space="0" w:color="000000"/>
              <w:right w:val="dashed" w:sz="4" w:space="0" w:color="000000"/>
            </w:tcBorders>
            <w:hideMark/>
          </w:tcPr>
          <w:p w14:paraId="4F7ECD7D" w14:textId="77777777" w:rsidR="008E65A3" w:rsidRDefault="008E65A3">
            <w:pPr>
              <w:pStyle w:val="TableParagraph"/>
              <w:ind w:left="57"/>
              <w:rPr>
                <w:sz w:val="19"/>
              </w:rPr>
            </w:pPr>
            <w:r>
              <w:rPr>
                <w:sz w:val="19"/>
              </w:rPr>
              <w:t>Tachycardia</w:t>
            </w:r>
          </w:p>
        </w:tc>
        <w:tc>
          <w:tcPr>
            <w:tcW w:w="1843" w:type="dxa"/>
            <w:tcBorders>
              <w:top w:val="single" w:sz="4" w:space="0" w:color="000000"/>
              <w:left w:val="dashed" w:sz="4" w:space="0" w:color="000000"/>
              <w:bottom w:val="single" w:sz="4" w:space="0" w:color="000000"/>
              <w:right w:val="dashed" w:sz="4" w:space="0" w:color="000000"/>
            </w:tcBorders>
            <w:hideMark/>
          </w:tcPr>
          <w:p w14:paraId="4E9E1D02" w14:textId="77777777" w:rsidR="008E65A3" w:rsidRDefault="008E65A3">
            <w:pPr>
              <w:pStyle w:val="TableParagraph"/>
              <w:rPr>
                <w:sz w:val="19"/>
              </w:rPr>
            </w:pPr>
            <w:r>
              <w:rPr>
                <w:sz w:val="19"/>
              </w:rPr>
              <w:t>Common</w:t>
            </w:r>
          </w:p>
        </w:tc>
        <w:tc>
          <w:tcPr>
            <w:tcW w:w="1842" w:type="dxa"/>
            <w:tcBorders>
              <w:top w:val="single" w:sz="4" w:space="0" w:color="000000"/>
              <w:left w:val="dashed" w:sz="4" w:space="0" w:color="000000"/>
              <w:bottom w:val="single" w:sz="4" w:space="0" w:color="000000"/>
              <w:right w:val="dashed" w:sz="4" w:space="0" w:color="000000"/>
            </w:tcBorders>
            <w:hideMark/>
          </w:tcPr>
          <w:p w14:paraId="22CBC572"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7E627995" w14:textId="77777777" w:rsidR="008E65A3" w:rsidRDefault="008E65A3">
            <w:pPr>
              <w:pStyle w:val="TableParagraph"/>
              <w:rPr>
                <w:sz w:val="19"/>
              </w:rPr>
            </w:pPr>
            <w:r>
              <w:rPr>
                <w:sz w:val="19"/>
              </w:rPr>
              <w:t>Common</w:t>
            </w:r>
          </w:p>
        </w:tc>
      </w:tr>
      <w:tr w:rsidR="008E65A3" w14:paraId="570BE67D"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68DF6CB6"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dashed" w:sz="4" w:space="0" w:color="000000"/>
            </w:tcBorders>
            <w:hideMark/>
          </w:tcPr>
          <w:p w14:paraId="5E5A82B1" w14:textId="77777777" w:rsidR="008E65A3" w:rsidRDefault="008E65A3">
            <w:pPr>
              <w:pStyle w:val="TableParagraph"/>
              <w:ind w:left="57"/>
              <w:rPr>
                <w:sz w:val="19"/>
              </w:rPr>
            </w:pPr>
            <w:r>
              <w:rPr>
                <w:sz w:val="19"/>
              </w:rPr>
              <w:t>Palpitation</w:t>
            </w:r>
          </w:p>
        </w:tc>
        <w:tc>
          <w:tcPr>
            <w:tcW w:w="1843" w:type="dxa"/>
            <w:tcBorders>
              <w:top w:val="single" w:sz="4" w:space="0" w:color="000000"/>
              <w:left w:val="dashed" w:sz="4" w:space="0" w:color="000000"/>
              <w:bottom w:val="single" w:sz="4" w:space="0" w:color="000000"/>
              <w:right w:val="dashed" w:sz="4" w:space="0" w:color="000000"/>
            </w:tcBorders>
            <w:hideMark/>
          </w:tcPr>
          <w:p w14:paraId="5154B4D0" w14:textId="77777777" w:rsidR="008E65A3" w:rsidRDefault="008E65A3">
            <w:pPr>
              <w:pStyle w:val="TableParagraph"/>
              <w:rPr>
                <w:sz w:val="19"/>
              </w:rPr>
            </w:pPr>
            <w:r>
              <w:rPr>
                <w:sz w:val="19"/>
              </w:rPr>
              <w:t>Uncommon</w:t>
            </w:r>
          </w:p>
        </w:tc>
        <w:tc>
          <w:tcPr>
            <w:tcW w:w="1842" w:type="dxa"/>
            <w:tcBorders>
              <w:top w:val="single" w:sz="4" w:space="0" w:color="000000"/>
              <w:left w:val="dashed" w:sz="4" w:space="0" w:color="000000"/>
              <w:bottom w:val="single" w:sz="4" w:space="0" w:color="000000"/>
              <w:right w:val="dashed" w:sz="4" w:space="0" w:color="000000"/>
            </w:tcBorders>
            <w:hideMark/>
          </w:tcPr>
          <w:p w14:paraId="39A97AB6" w14:textId="77777777" w:rsidR="008E65A3" w:rsidRDefault="008E65A3">
            <w:pPr>
              <w:pStyle w:val="TableParagraph"/>
              <w:rPr>
                <w:sz w:val="19"/>
              </w:rPr>
            </w:pPr>
            <w:r>
              <w:rPr>
                <w:sz w:val="19"/>
              </w:rPr>
              <w:t>Common</w:t>
            </w:r>
          </w:p>
        </w:tc>
        <w:tc>
          <w:tcPr>
            <w:tcW w:w="1859" w:type="dxa"/>
            <w:tcBorders>
              <w:top w:val="single" w:sz="4" w:space="0" w:color="000000"/>
              <w:left w:val="dashed" w:sz="4" w:space="0" w:color="000000"/>
              <w:bottom w:val="single" w:sz="4" w:space="0" w:color="000000"/>
              <w:right w:val="single" w:sz="4" w:space="0" w:color="000000"/>
            </w:tcBorders>
            <w:hideMark/>
          </w:tcPr>
          <w:p w14:paraId="35D56837" w14:textId="77777777" w:rsidR="008E65A3" w:rsidRDefault="008E65A3">
            <w:pPr>
              <w:pStyle w:val="TableParagraph"/>
              <w:rPr>
                <w:sz w:val="19"/>
              </w:rPr>
            </w:pPr>
            <w:r>
              <w:rPr>
                <w:sz w:val="19"/>
              </w:rPr>
              <w:t>Common</w:t>
            </w:r>
          </w:p>
        </w:tc>
      </w:tr>
      <w:tr w:rsidR="008E65A3" w14:paraId="42BFF1E8"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7E962173"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608E2306" w14:textId="77777777" w:rsidR="008E65A3" w:rsidRDefault="008E65A3">
            <w:pPr>
              <w:pStyle w:val="TableParagraph"/>
              <w:ind w:left="57"/>
              <w:rPr>
                <w:sz w:val="19"/>
              </w:rPr>
            </w:pPr>
            <w:r>
              <w:rPr>
                <w:sz w:val="19"/>
              </w:rPr>
              <w:t>QTc</w:t>
            </w:r>
            <w:r>
              <w:rPr>
                <w:spacing w:val="-4"/>
                <w:sz w:val="19"/>
              </w:rPr>
              <w:t xml:space="preserve"> </w:t>
            </w:r>
            <w:r>
              <w:rPr>
                <w:sz w:val="19"/>
              </w:rPr>
              <w:t>prolongation</w:t>
            </w:r>
          </w:p>
        </w:tc>
        <w:tc>
          <w:tcPr>
            <w:tcW w:w="1843" w:type="dxa"/>
            <w:tcBorders>
              <w:top w:val="single" w:sz="4" w:space="0" w:color="000000"/>
              <w:left w:val="single" w:sz="4" w:space="0" w:color="000000"/>
              <w:bottom w:val="single" w:sz="4" w:space="0" w:color="000000"/>
              <w:right w:val="single" w:sz="4" w:space="0" w:color="000000"/>
            </w:tcBorders>
            <w:hideMark/>
          </w:tcPr>
          <w:p w14:paraId="47E28CE6"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594426B9"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268E78E0"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11500ED5"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8B02487"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78762150" w14:textId="77777777" w:rsidR="008E65A3" w:rsidRDefault="008E65A3">
            <w:pPr>
              <w:pStyle w:val="TableParagraph"/>
              <w:ind w:left="57"/>
              <w:rPr>
                <w:sz w:val="19"/>
              </w:rPr>
            </w:pPr>
            <w:r>
              <w:rPr>
                <w:sz w:val="19"/>
              </w:rPr>
              <w:t>Cardiomyopathy</w:t>
            </w:r>
          </w:p>
        </w:tc>
        <w:tc>
          <w:tcPr>
            <w:tcW w:w="1843" w:type="dxa"/>
            <w:tcBorders>
              <w:top w:val="single" w:sz="4" w:space="0" w:color="000000"/>
              <w:left w:val="single" w:sz="4" w:space="0" w:color="000000"/>
              <w:bottom w:val="single" w:sz="4" w:space="0" w:color="000000"/>
              <w:right w:val="single" w:sz="4" w:space="0" w:color="000000"/>
            </w:tcBorders>
            <w:hideMark/>
          </w:tcPr>
          <w:p w14:paraId="66E8E4D5"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0F9FB971"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7D99D367"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2B99A09E"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4755B0F5" w14:textId="77777777" w:rsidR="008E65A3" w:rsidRDefault="008E65A3">
            <w:pPr>
              <w:pStyle w:val="TableParagraph"/>
              <w:rPr>
                <w:b/>
                <w:sz w:val="19"/>
              </w:rPr>
            </w:pPr>
            <w:r>
              <w:rPr>
                <w:b/>
                <w:sz w:val="19"/>
              </w:rPr>
              <w:t>Vascular</w:t>
            </w:r>
            <w:r>
              <w:rPr>
                <w:b/>
                <w:spacing w:val="-1"/>
                <w:sz w:val="19"/>
              </w:rPr>
              <w:t xml:space="preserve"> </w:t>
            </w: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3D728DF5" w14:textId="77777777" w:rsidR="008E65A3" w:rsidRDefault="008E65A3">
            <w:pPr>
              <w:pStyle w:val="TableParagraph"/>
              <w:ind w:left="57"/>
              <w:rPr>
                <w:sz w:val="19"/>
              </w:rPr>
            </w:pPr>
            <w:r>
              <w:rPr>
                <w:sz w:val="19"/>
              </w:rPr>
              <w:t>Raynaud’s</w:t>
            </w:r>
            <w:r>
              <w:rPr>
                <w:spacing w:val="-3"/>
                <w:sz w:val="19"/>
              </w:rPr>
              <w:t xml:space="preserve"> </w:t>
            </w:r>
            <w:r>
              <w:rPr>
                <w:sz w:val="19"/>
              </w:rPr>
              <w:t>phenomenon</w:t>
            </w:r>
          </w:p>
        </w:tc>
        <w:tc>
          <w:tcPr>
            <w:tcW w:w="1843" w:type="dxa"/>
            <w:tcBorders>
              <w:top w:val="single" w:sz="4" w:space="0" w:color="000000"/>
              <w:left w:val="single" w:sz="4" w:space="0" w:color="000000"/>
              <w:bottom w:val="single" w:sz="4" w:space="0" w:color="000000"/>
              <w:right w:val="single" w:sz="4" w:space="0" w:color="000000"/>
            </w:tcBorders>
            <w:hideMark/>
          </w:tcPr>
          <w:p w14:paraId="6EBCB982"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59259155"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1145534E"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75410381"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3FB3999A"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6818785E" w14:textId="77777777" w:rsidR="008E65A3" w:rsidRDefault="008E65A3">
            <w:pPr>
              <w:pStyle w:val="TableParagraph"/>
              <w:ind w:left="57"/>
              <w:rPr>
                <w:sz w:val="19"/>
              </w:rPr>
            </w:pPr>
            <w:r>
              <w:rPr>
                <w:rFonts w:eastAsia="Arial Unicode MS"/>
                <w:sz w:val="19"/>
                <w:szCs w:val="19"/>
                <w:lang w:val="en-GB"/>
              </w:rPr>
              <w:t>Epistaxis</w:t>
            </w:r>
          </w:p>
        </w:tc>
        <w:tc>
          <w:tcPr>
            <w:tcW w:w="1843" w:type="dxa"/>
            <w:tcBorders>
              <w:top w:val="single" w:sz="4" w:space="0" w:color="000000"/>
              <w:left w:val="single" w:sz="4" w:space="0" w:color="000000"/>
              <w:bottom w:val="single" w:sz="4" w:space="0" w:color="000000"/>
              <w:right w:val="single" w:sz="4" w:space="0" w:color="000000"/>
            </w:tcBorders>
            <w:hideMark/>
          </w:tcPr>
          <w:p w14:paraId="0DCE9CAC" w14:textId="77777777" w:rsidR="008E65A3" w:rsidRDefault="008E65A3">
            <w:pPr>
              <w:pStyle w:val="TableParagraph"/>
              <w:rPr>
                <w:sz w:val="19"/>
              </w:rPr>
            </w:pPr>
            <w:r>
              <w:rPr>
                <w:rFonts w:eastAsia="Arial Unicode MS"/>
                <w:sz w:val="19"/>
                <w:szCs w:val="19"/>
                <w:lang w:val="en-GB"/>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4A5D22E3" w14:textId="77777777" w:rsidR="008E65A3" w:rsidRDefault="008E65A3">
            <w:pPr>
              <w:pStyle w:val="TableParagraph"/>
              <w:rPr>
                <w:sz w:val="19"/>
              </w:rPr>
            </w:pPr>
            <w:r>
              <w:rPr>
                <w:rFonts w:eastAsia="Arial Unicode MS"/>
                <w:sz w:val="19"/>
                <w:szCs w:val="19"/>
                <w:lang w:val="en-GB"/>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72104557" w14:textId="77777777" w:rsidR="008E65A3" w:rsidRDefault="008E65A3">
            <w:pPr>
              <w:pStyle w:val="TableParagraph"/>
              <w:rPr>
                <w:sz w:val="19"/>
              </w:rPr>
            </w:pPr>
            <w:r>
              <w:rPr>
                <w:rFonts w:eastAsia="Arial Unicode MS"/>
                <w:sz w:val="19"/>
                <w:szCs w:val="19"/>
                <w:lang w:val="en-GB"/>
              </w:rPr>
              <w:t>Uncommon</w:t>
            </w:r>
          </w:p>
        </w:tc>
      </w:tr>
      <w:tr w:rsidR="008E65A3" w14:paraId="36687135" w14:textId="77777777" w:rsidTr="008E65A3">
        <w:trPr>
          <w:trHeight w:val="879"/>
        </w:trPr>
        <w:tc>
          <w:tcPr>
            <w:tcW w:w="1758" w:type="dxa"/>
            <w:tcBorders>
              <w:top w:val="single" w:sz="4" w:space="0" w:color="000000"/>
              <w:left w:val="single" w:sz="4" w:space="0" w:color="000000"/>
              <w:bottom w:val="single" w:sz="4" w:space="0" w:color="000000"/>
              <w:right w:val="single" w:sz="4" w:space="0" w:color="000000"/>
            </w:tcBorders>
            <w:hideMark/>
          </w:tcPr>
          <w:p w14:paraId="5A305117" w14:textId="77777777" w:rsidR="008E65A3" w:rsidRDefault="008E65A3">
            <w:pPr>
              <w:pStyle w:val="TableParagraph"/>
              <w:spacing w:line="240" w:lineRule="auto"/>
              <w:ind w:right="589"/>
              <w:rPr>
                <w:b/>
                <w:sz w:val="19"/>
                <w:lang w:val="en-GB"/>
              </w:rPr>
            </w:pPr>
            <w:r>
              <w:rPr>
                <w:b/>
                <w:sz w:val="19"/>
                <w:lang w:val="en-GB"/>
              </w:rPr>
              <w:t>Respiratory,</w:t>
            </w:r>
            <w:r>
              <w:rPr>
                <w:b/>
                <w:spacing w:val="1"/>
                <w:sz w:val="19"/>
                <w:lang w:val="en-GB"/>
              </w:rPr>
              <w:t xml:space="preserve"> </w:t>
            </w:r>
            <w:r>
              <w:rPr>
                <w:b/>
                <w:sz w:val="19"/>
                <w:lang w:val="en-GB"/>
              </w:rPr>
              <w:t>Thoracic and</w:t>
            </w:r>
            <w:r>
              <w:rPr>
                <w:b/>
                <w:spacing w:val="-45"/>
                <w:sz w:val="19"/>
                <w:lang w:val="en-GB"/>
              </w:rPr>
              <w:t xml:space="preserve"> </w:t>
            </w:r>
            <w:r>
              <w:rPr>
                <w:b/>
                <w:sz w:val="19"/>
                <w:lang w:val="en-GB"/>
              </w:rPr>
              <w:t>Mediastinal</w:t>
            </w:r>
          </w:p>
          <w:p w14:paraId="0AA3C87C" w14:textId="77777777" w:rsidR="008E65A3" w:rsidRDefault="008E65A3">
            <w:pPr>
              <w:pStyle w:val="TableParagraph"/>
              <w:spacing w:line="205" w:lineRule="exact"/>
              <w:rPr>
                <w:b/>
                <w:sz w:val="19"/>
                <w:lang w:val="en-GB"/>
              </w:rPr>
            </w:pPr>
            <w:r>
              <w:rPr>
                <w:b/>
                <w:sz w:val="19"/>
                <w:lang w:val="en-GB"/>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484EEA74" w14:textId="77777777" w:rsidR="008E65A3" w:rsidRDefault="008E65A3">
            <w:pPr>
              <w:pStyle w:val="TableParagraph"/>
              <w:spacing w:line="213" w:lineRule="exact"/>
              <w:ind w:left="57"/>
              <w:rPr>
                <w:sz w:val="19"/>
              </w:rPr>
            </w:pPr>
            <w:r>
              <w:rPr>
                <w:sz w:val="19"/>
              </w:rPr>
              <w:t>Dyspnoea</w:t>
            </w:r>
          </w:p>
        </w:tc>
        <w:tc>
          <w:tcPr>
            <w:tcW w:w="1843" w:type="dxa"/>
            <w:tcBorders>
              <w:top w:val="single" w:sz="4" w:space="0" w:color="000000"/>
              <w:left w:val="single" w:sz="4" w:space="0" w:color="000000"/>
              <w:bottom w:val="single" w:sz="4" w:space="0" w:color="000000"/>
              <w:right w:val="single" w:sz="4" w:space="0" w:color="000000"/>
            </w:tcBorders>
            <w:hideMark/>
          </w:tcPr>
          <w:p w14:paraId="168540D4" w14:textId="77777777" w:rsidR="008E65A3" w:rsidRDefault="008E65A3">
            <w:pPr>
              <w:pStyle w:val="TableParagraph"/>
              <w:spacing w:line="213" w:lineRule="exact"/>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1114D2F2" w14:textId="77777777" w:rsidR="008E65A3" w:rsidRDefault="008E65A3">
            <w:pPr>
              <w:pStyle w:val="TableParagraph"/>
              <w:spacing w:line="213" w:lineRule="exact"/>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66ED3DCB" w14:textId="77777777" w:rsidR="008E65A3" w:rsidRDefault="008E65A3">
            <w:pPr>
              <w:pStyle w:val="TableParagraph"/>
              <w:spacing w:line="213" w:lineRule="exact"/>
              <w:rPr>
                <w:sz w:val="19"/>
              </w:rPr>
            </w:pPr>
            <w:r>
              <w:rPr>
                <w:sz w:val="19"/>
              </w:rPr>
              <w:t>Common</w:t>
            </w:r>
          </w:p>
        </w:tc>
      </w:tr>
      <w:tr w:rsidR="008E65A3" w14:paraId="25A3FA4D"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5FCBDDA3" w14:textId="77777777" w:rsidR="008E65A3" w:rsidRDefault="008E65A3">
            <w:pPr>
              <w:pStyle w:val="TableParagraph"/>
              <w:spacing w:line="240" w:lineRule="auto"/>
              <w:ind w:right="379"/>
              <w:rPr>
                <w:b/>
                <w:sz w:val="19"/>
              </w:rPr>
            </w:pPr>
            <w:r>
              <w:rPr>
                <w:b/>
                <w:spacing w:val="-1"/>
                <w:sz w:val="19"/>
              </w:rPr>
              <w:t>Gastrointestinal</w:t>
            </w:r>
            <w:r>
              <w:rPr>
                <w:b/>
                <w:spacing w:val="-45"/>
                <w:sz w:val="19"/>
              </w:rPr>
              <w:t xml:space="preserve"> </w:t>
            </w: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2B0298D2" w14:textId="77777777" w:rsidR="008E65A3" w:rsidRDefault="008E65A3">
            <w:pPr>
              <w:pStyle w:val="TableParagraph"/>
              <w:ind w:left="57"/>
              <w:rPr>
                <w:sz w:val="19"/>
              </w:rPr>
            </w:pPr>
            <w:r>
              <w:rPr>
                <w:sz w:val="19"/>
              </w:rPr>
              <w:t>Dry</w:t>
            </w:r>
            <w:r>
              <w:rPr>
                <w:spacing w:val="-8"/>
                <w:sz w:val="19"/>
              </w:rPr>
              <w:t xml:space="preserve"> </w:t>
            </w:r>
            <w:r>
              <w:rPr>
                <w:sz w:val="19"/>
              </w:rPr>
              <w:t>mouth</w:t>
            </w:r>
          </w:p>
        </w:tc>
        <w:tc>
          <w:tcPr>
            <w:tcW w:w="1843" w:type="dxa"/>
            <w:tcBorders>
              <w:top w:val="single" w:sz="4" w:space="0" w:color="000000"/>
              <w:left w:val="single" w:sz="4" w:space="0" w:color="000000"/>
              <w:bottom w:val="single" w:sz="4" w:space="0" w:color="000000"/>
              <w:right w:val="single" w:sz="4" w:space="0" w:color="000000"/>
            </w:tcBorders>
            <w:hideMark/>
          </w:tcPr>
          <w:p w14:paraId="1DAD8BA1"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25D26313"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132FA39A" w14:textId="77777777" w:rsidR="008E65A3" w:rsidRDefault="008E65A3">
            <w:pPr>
              <w:pStyle w:val="TableParagraph"/>
              <w:rPr>
                <w:sz w:val="19"/>
              </w:rPr>
            </w:pPr>
            <w:r>
              <w:rPr>
                <w:sz w:val="19"/>
              </w:rPr>
              <w:t>Very</w:t>
            </w:r>
            <w:r>
              <w:rPr>
                <w:spacing w:val="-9"/>
                <w:sz w:val="19"/>
              </w:rPr>
              <w:t xml:space="preserve"> </w:t>
            </w:r>
            <w:r>
              <w:rPr>
                <w:sz w:val="19"/>
              </w:rPr>
              <w:t>common</w:t>
            </w:r>
          </w:p>
        </w:tc>
      </w:tr>
      <w:tr w:rsidR="008E65A3" w14:paraId="6435584C"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1EC62E06"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3E04BAF" w14:textId="77777777" w:rsidR="008E65A3" w:rsidRDefault="008E65A3">
            <w:pPr>
              <w:pStyle w:val="TableParagraph"/>
              <w:ind w:left="57"/>
              <w:rPr>
                <w:sz w:val="19"/>
              </w:rPr>
            </w:pPr>
            <w:r>
              <w:rPr>
                <w:sz w:val="19"/>
              </w:rPr>
              <w:t>Diarrhoea</w:t>
            </w:r>
          </w:p>
        </w:tc>
        <w:tc>
          <w:tcPr>
            <w:tcW w:w="1843" w:type="dxa"/>
            <w:tcBorders>
              <w:top w:val="single" w:sz="4" w:space="0" w:color="000000"/>
              <w:left w:val="single" w:sz="4" w:space="0" w:color="000000"/>
              <w:bottom w:val="single" w:sz="4" w:space="0" w:color="000000"/>
              <w:right w:val="single" w:sz="4" w:space="0" w:color="000000"/>
            </w:tcBorders>
            <w:hideMark/>
          </w:tcPr>
          <w:p w14:paraId="3EC4588F"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0D863394"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70756F22" w14:textId="77777777" w:rsidR="008E65A3" w:rsidRDefault="008E65A3">
            <w:pPr>
              <w:pStyle w:val="TableParagraph"/>
              <w:rPr>
                <w:sz w:val="19"/>
              </w:rPr>
            </w:pPr>
            <w:r>
              <w:rPr>
                <w:sz w:val="19"/>
              </w:rPr>
              <w:t>Common</w:t>
            </w:r>
          </w:p>
        </w:tc>
      </w:tr>
      <w:tr w:rsidR="008E65A3" w14:paraId="6CC427A2"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6D8939A4"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4754735" w14:textId="77777777" w:rsidR="008E65A3" w:rsidRDefault="008E65A3">
            <w:pPr>
              <w:pStyle w:val="TableParagraph"/>
              <w:ind w:left="57"/>
              <w:rPr>
                <w:sz w:val="19"/>
              </w:rPr>
            </w:pPr>
            <w:r>
              <w:rPr>
                <w:sz w:val="19"/>
              </w:rPr>
              <w:t>Constipation</w:t>
            </w:r>
          </w:p>
        </w:tc>
        <w:tc>
          <w:tcPr>
            <w:tcW w:w="1843" w:type="dxa"/>
            <w:tcBorders>
              <w:top w:val="single" w:sz="4" w:space="0" w:color="000000"/>
              <w:left w:val="single" w:sz="4" w:space="0" w:color="000000"/>
              <w:bottom w:val="single" w:sz="4" w:space="0" w:color="000000"/>
              <w:right w:val="single" w:sz="4" w:space="0" w:color="000000"/>
            </w:tcBorders>
            <w:hideMark/>
          </w:tcPr>
          <w:p w14:paraId="62399531"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561D69F1"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41762708" w14:textId="77777777" w:rsidR="008E65A3" w:rsidRDefault="008E65A3">
            <w:pPr>
              <w:pStyle w:val="TableParagraph"/>
              <w:rPr>
                <w:sz w:val="19"/>
              </w:rPr>
            </w:pPr>
            <w:r>
              <w:rPr>
                <w:sz w:val="19"/>
              </w:rPr>
              <w:t>Common</w:t>
            </w:r>
          </w:p>
        </w:tc>
      </w:tr>
      <w:tr w:rsidR="008E65A3" w14:paraId="0AB62010"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3C3167DD"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E6A666C" w14:textId="77777777" w:rsidR="008E65A3" w:rsidRDefault="008E65A3">
            <w:pPr>
              <w:pStyle w:val="TableParagraph"/>
              <w:ind w:left="57"/>
              <w:rPr>
                <w:sz w:val="19"/>
              </w:rPr>
            </w:pPr>
            <w:r>
              <w:rPr>
                <w:sz w:val="19"/>
              </w:rPr>
              <w:t>Upper</w:t>
            </w:r>
            <w:r>
              <w:rPr>
                <w:spacing w:val="-3"/>
                <w:sz w:val="19"/>
              </w:rPr>
              <w:t xml:space="preserve"> </w:t>
            </w:r>
            <w:r>
              <w:rPr>
                <w:sz w:val="19"/>
              </w:rPr>
              <w:t>abdominal</w:t>
            </w:r>
            <w:r>
              <w:rPr>
                <w:spacing w:val="-1"/>
                <w:sz w:val="19"/>
              </w:rPr>
              <w:t xml:space="preserve"> </w:t>
            </w:r>
            <w:r>
              <w:rPr>
                <w:sz w:val="19"/>
              </w:rPr>
              <w:t>pain</w:t>
            </w:r>
          </w:p>
        </w:tc>
        <w:tc>
          <w:tcPr>
            <w:tcW w:w="1843" w:type="dxa"/>
            <w:tcBorders>
              <w:top w:val="single" w:sz="4" w:space="0" w:color="000000"/>
              <w:left w:val="single" w:sz="4" w:space="0" w:color="000000"/>
              <w:bottom w:val="single" w:sz="4" w:space="0" w:color="000000"/>
              <w:right w:val="single" w:sz="4" w:space="0" w:color="000000"/>
            </w:tcBorders>
            <w:hideMark/>
          </w:tcPr>
          <w:p w14:paraId="62E80E9B" w14:textId="77777777" w:rsidR="008E65A3" w:rsidRDefault="008E65A3">
            <w:pPr>
              <w:pStyle w:val="TableParagraph"/>
              <w:rPr>
                <w:sz w:val="19"/>
              </w:rPr>
            </w:pPr>
            <w:r>
              <w:rPr>
                <w:sz w:val="19"/>
              </w:rPr>
              <w:t>Very</w:t>
            </w:r>
            <w:r>
              <w:rPr>
                <w:spacing w:val="-9"/>
                <w:sz w:val="19"/>
              </w:rPr>
              <w:t xml:space="preserve"> </w:t>
            </w: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7B85342F"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402FF426" w14:textId="77777777" w:rsidR="008E65A3" w:rsidRDefault="008E65A3">
            <w:pPr>
              <w:pStyle w:val="TableParagraph"/>
              <w:rPr>
                <w:sz w:val="19"/>
              </w:rPr>
            </w:pPr>
            <w:r>
              <w:rPr>
                <w:sz w:val="19"/>
              </w:rPr>
              <w:t>Common</w:t>
            </w:r>
          </w:p>
        </w:tc>
      </w:tr>
      <w:tr w:rsidR="008E65A3" w14:paraId="7A309F3B"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07F8B984"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6BF1BD2A" w14:textId="77777777" w:rsidR="008E65A3" w:rsidRDefault="008E65A3">
            <w:pPr>
              <w:pStyle w:val="TableParagraph"/>
              <w:ind w:left="57"/>
              <w:rPr>
                <w:sz w:val="19"/>
              </w:rPr>
            </w:pPr>
            <w:r>
              <w:rPr>
                <w:sz w:val="19"/>
              </w:rPr>
              <w:t>Nausea</w:t>
            </w:r>
          </w:p>
        </w:tc>
        <w:tc>
          <w:tcPr>
            <w:tcW w:w="1843" w:type="dxa"/>
            <w:tcBorders>
              <w:top w:val="single" w:sz="4" w:space="0" w:color="000000"/>
              <w:left w:val="single" w:sz="4" w:space="0" w:color="000000"/>
              <w:bottom w:val="single" w:sz="4" w:space="0" w:color="000000"/>
              <w:right w:val="single" w:sz="4" w:space="0" w:color="000000"/>
            </w:tcBorders>
            <w:hideMark/>
          </w:tcPr>
          <w:p w14:paraId="33F2E7A6"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08AD9AA8"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0712E039" w14:textId="77777777" w:rsidR="008E65A3" w:rsidRDefault="008E65A3">
            <w:pPr>
              <w:pStyle w:val="TableParagraph"/>
              <w:rPr>
                <w:sz w:val="19"/>
              </w:rPr>
            </w:pPr>
            <w:r>
              <w:rPr>
                <w:sz w:val="19"/>
              </w:rPr>
              <w:t>Common</w:t>
            </w:r>
          </w:p>
        </w:tc>
      </w:tr>
      <w:tr w:rsidR="008E65A3" w14:paraId="78A90CDE"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365980F0"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22B43D3F" w14:textId="77777777" w:rsidR="008E65A3" w:rsidRDefault="008E65A3">
            <w:pPr>
              <w:pStyle w:val="TableParagraph"/>
              <w:ind w:left="57"/>
              <w:rPr>
                <w:sz w:val="19"/>
              </w:rPr>
            </w:pPr>
            <w:r>
              <w:rPr>
                <w:sz w:val="19"/>
              </w:rPr>
              <w:t>Vomiting</w:t>
            </w:r>
          </w:p>
        </w:tc>
        <w:tc>
          <w:tcPr>
            <w:tcW w:w="1843" w:type="dxa"/>
            <w:tcBorders>
              <w:top w:val="single" w:sz="4" w:space="0" w:color="000000"/>
              <w:left w:val="single" w:sz="4" w:space="0" w:color="000000"/>
              <w:bottom w:val="single" w:sz="4" w:space="0" w:color="000000"/>
              <w:right w:val="single" w:sz="4" w:space="0" w:color="000000"/>
            </w:tcBorders>
            <w:hideMark/>
          </w:tcPr>
          <w:p w14:paraId="779E6D5B"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13D6233D"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19129349" w14:textId="77777777" w:rsidR="008E65A3" w:rsidRDefault="008E65A3">
            <w:pPr>
              <w:pStyle w:val="TableParagraph"/>
              <w:rPr>
                <w:sz w:val="19"/>
              </w:rPr>
            </w:pPr>
            <w:r>
              <w:rPr>
                <w:sz w:val="19"/>
              </w:rPr>
              <w:t>Uncommon</w:t>
            </w:r>
          </w:p>
        </w:tc>
      </w:tr>
      <w:tr w:rsidR="008E65A3" w14:paraId="5DA0F6CE" w14:textId="77777777" w:rsidTr="008E65A3">
        <w:trPr>
          <w:trHeight w:val="440"/>
        </w:trPr>
        <w:tc>
          <w:tcPr>
            <w:tcW w:w="1758" w:type="dxa"/>
            <w:tcBorders>
              <w:top w:val="single" w:sz="4" w:space="0" w:color="000000"/>
              <w:left w:val="single" w:sz="4" w:space="0" w:color="000000"/>
              <w:bottom w:val="single" w:sz="4" w:space="0" w:color="000000"/>
              <w:right w:val="single" w:sz="4" w:space="0" w:color="000000"/>
            </w:tcBorders>
            <w:hideMark/>
          </w:tcPr>
          <w:p w14:paraId="085F8714" w14:textId="77777777" w:rsidR="008E65A3" w:rsidRDefault="008E65A3">
            <w:pPr>
              <w:pStyle w:val="TableParagraph"/>
              <w:spacing w:line="211" w:lineRule="exact"/>
              <w:rPr>
                <w:b/>
                <w:sz w:val="19"/>
              </w:rPr>
            </w:pPr>
            <w:r>
              <w:rPr>
                <w:b/>
                <w:sz w:val="19"/>
              </w:rPr>
              <w:t>Hepatobiliary</w:t>
            </w:r>
          </w:p>
          <w:p w14:paraId="53CDC96E" w14:textId="77777777" w:rsidR="008E65A3" w:rsidRDefault="008E65A3">
            <w:pPr>
              <w:pStyle w:val="TableParagraph"/>
              <w:spacing w:before="1" w:line="207" w:lineRule="exact"/>
              <w:rPr>
                <w:b/>
                <w:sz w:val="19"/>
              </w:rPr>
            </w:pPr>
            <w:r>
              <w:rPr>
                <w:b/>
                <w:sz w:val="19"/>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18B55F86" w14:textId="77777777" w:rsidR="008E65A3" w:rsidRDefault="008E65A3">
            <w:pPr>
              <w:pStyle w:val="TableParagraph"/>
              <w:spacing w:line="213" w:lineRule="exact"/>
              <w:ind w:left="57"/>
              <w:rPr>
                <w:sz w:val="19"/>
              </w:rPr>
            </w:pPr>
            <w:r>
              <w:rPr>
                <w:sz w:val="19"/>
              </w:rPr>
              <w:t>*Eosinophilic</w:t>
            </w:r>
            <w:r>
              <w:rPr>
                <w:spacing w:val="-3"/>
                <w:sz w:val="19"/>
              </w:rPr>
              <w:t xml:space="preserve"> </w:t>
            </w:r>
            <w:r>
              <w:rPr>
                <w:sz w:val="19"/>
              </w:rPr>
              <w:t>Hepatitis</w:t>
            </w:r>
          </w:p>
        </w:tc>
        <w:tc>
          <w:tcPr>
            <w:tcW w:w="1843" w:type="dxa"/>
            <w:tcBorders>
              <w:top w:val="single" w:sz="4" w:space="0" w:color="000000"/>
              <w:left w:val="single" w:sz="4" w:space="0" w:color="000000"/>
              <w:bottom w:val="single" w:sz="4" w:space="0" w:color="000000"/>
              <w:right w:val="single" w:sz="4" w:space="0" w:color="000000"/>
            </w:tcBorders>
            <w:hideMark/>
          </w:tcPr>
          <w:p w14:paraId="011E5400"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03893FF2"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4366E661"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48E1EFD9"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03291614" w14:textId="77777777" w:rsidR="008E65A3" w:rsidRDefault="008E65A3">
            <w:pPr>
              <w:pStyle w:val="TableParagraph"/>
              <w:spacing w:line="240" w:lineRule="auto"/>
              <w:ind w:right="326"/>
              <w:rPr>
                <w:b/>
                <w:sz w:val="19"/>
                <w:lang w:val="en-GB"/>
              </w:rPr>
            </w:pPr>
            <w:r>
              <w:rPr>
                <w:b/>
                <w:sz w:val="19"/>
                <w:lang w:val="en-GB"/>
              </w:rPr>
              <w:t>Skin and</w:t>
            </w:r>
            <w:r>
              <w:rPr>
                <w:b/>
                <w:spacing w:val="1"/>
                <w:sz w:val="19"/>
                <w:lang w:val="en-GB"/>
              </w:rPr>
              <w:t xml:space="preserve"> </w:t>
            </w:r>
            <w:r>
              <w:rPr>
                <w:b/>
                <w:sz w:val="19"/>
                <w:lang w:val="en-GB"/>
              </w:rPr>
              <w:t>Subcutaneous</w:t>
            </w:r>
            <w:r>
              <w:rPr>
                <w:b/>
                <w:spacing w:val="1"/>
                <w:sz w:val="19"/>
                <w:lang w:val="en-GB"/>
              </w:rPr>
              <w:t xml:space="preserve"> </w:t>
            </w:r>
            <w:r>
              <w:rPr>
                <w:b/>
                <w:sz w:val="19"/>
                <w:lang w:val="en-GB"/>
              </w:rPr>
              <w:t>Tissue</w:t>
            </w:r>
            <w:r>
              <w:rPr>
                <w:b/>
                <w:spacing w:val="-11"/>
                <w:sz w:val="19"/>
                <w:lang w:val="en-GB"/>
              </w:rPr>
              <w:t xml:space="preserve"> </w:t>
            </w:r>
            <w:r>
              <w:rPr>
                <w:b/>
                <w:sz w:val="19"/>
                <w:lang w:val="en-GB"/>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5A40BD8E" w14:textId="77777777" w:rsidR="008E65A3" w:rsidRDefault="008E65A3">
            <w:pPr>
              <w:pStyle w:val="TableParagraph"/>
              <w:ind w:left="57"/>
              <w:rPr>
                <w:sz w:val="19"/>
              </w:rPr>
            </w:pPr>
            <w:r>
              <w:rPr>
                <w:sz w:val="19"/>
              </w:rPr>
              <w:t>Hyperhidrosis</w:t>
            </w:r>
          </w:p>
        </w:tc>
        <w:tc>
          <w:tcPr>
            <w:tcW w:w="1843" w:type="dxa"/>
            <w:tcBorders>
              <w:top w:val="single" w:sz="4" w:space="0" w:color="000000"/>
              <w:left w:val="single" w:sz="4" w:space="0" w:color="000000"/>
              <w:bottom w:val="single" w:sz="4" w:space="0" w:color="000000"/>
              <w:right w:val="single" w:sz="4" w:space="0" w:color="000000"/>
            </w:tcBorders>
            <w:hideMark/>
          </w:tcPr>
          <w:p w14:paraId="00B4C496"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31E66A5C"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6F8B2A48" w14:textId="77777777" w:rsidR="008E65A3" w:rsidRDefault="008E65A3">
            <w:pPr>
              <w:pStyle w:val="TableParagraph"/>
              <w:rPr>
                <w:sz w:val="19"/>
              </w:rPr>
            </w:pPr>
            <w:r>
              <w:rPr>
                <w:sz w:val="19"/>
              </w:rPr>
              <w:t>Common</w:t>
            </w:r>
          </w:p>
        </w:tc>
      </w:tr>
      <w:tr w:rsidR="008E65A3" w14:paraId="2BFEC6D2"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1EBB386B"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0F701985" w14:textId="77777777" w:rsidR="008E65A3" w:rsidRDefault="008E65A3">
            <w:pPr>
              <w:pStyle w:val="TableParagraph"/>
              <w:ind w:left="57"/>
              <w:rPr>
                <w:sz w:val="19"/>
              </w:rPr>
            </w:pPr>
            <w:r>
              <w:rPr>
                <w:sz w:val="19"/>
              </w:rPr>
              <w:t>Urticaria</w:t>
            </w:r>
          </w:p>
        </w:tc>
        <w:tc>
          <w:tcPr>
            <w:tcW w:w="1843" w:type="dxa"/>
            <w:tcBorders>
              <w:top w:val="single" w:sz="4" w:space="0" w:color="000000"/>
              <w:left w:val="single" w:sz="4" w:space="0" w:color="000000"/>
              <w:bottom w:val="single" w:sz="4" w:space="0" w:color="000000"/>
              <w:right w:val="single" w:sz="4" w:space="0" w:color="000000"/>
            </w:tcBorders>
            <w:hideMark/>
          </w:tcPr>
          <w:p w14:paraId="5A8FC314"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583BC635"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082FC755" w14:textId="77777777" w:rsidR="008E65A3" w:rsidRDefault="008E65A3">
            <w:pPr>
              <w:pStyle w:val="TableParagraph"/>
              <w:rPr>
                <w:sz w:val="19"/>
              </w:rPr>
            </w:pPr>
            <w:r>
              <w:rPr>
                <w:sz w:val="19"/>
              </w:rPr>
              <w:t>Uncommon</w:t>
            </w:r>
          </w:p>
        </w:tc>
      </w:tr>
      <w:tr w:rsidR="008E65A3" w14:paraId="599B1BC3"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681E2FF1"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69221F98" w14:textId="77777777" w:rsidR="008E65A3" w:rsidRDefault="008E65A3">
            <w:pPr>
              <w:pStyle w:val="TableParagraph"/>
              <w:ind w:left="57"/>
              <w:rPr>
                <w:sz w:val="19"/>
              </w:rPr>
            </w:pPr>
            <w:r>
              <w:rPr>
                <w:sz w:val="19"/>
              </w:rPr>
              <w:t>Rash</w:t>
            </w:r>
          </w:p>
        </w:tc>
        <w:tc>
          <w:tcPr>
            <w:tcW w:w="1843" w:type="dxa"/>
            <w:tcBorders>
              <w:top w:val="single" w:sz="4" w:space="0" w:color="000000"/>
              <w:left w:val="single" w:sz="4" w:space="0" w:color="000000"/>
              <w:bottom w:val="single" w:sz="4" w:space="0" w:color="000000"/>
              <w:right w:val="single" w:sz="4" w:space="0" w:color="000000"/>
            </w:tcBorders>
            <w:hideMark/>
          </w:tcPr>
          <w:p w14:paraId="5D22EB66"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1FAD9873"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61BE38EF" w14:textId="77777777" w:rsidR="008E65A3" w:rsidRDefault="008E65A3">
            <w:pPr>
              <w:pStyle w:val="TableParagraph"/>
              <w:rPr>
                <w:sz w:val="19"/>
              </w:rPr>
            </w:pPr>
            <w:r>
              <w:rPr>
                <w:sz w:val="19"/>
              </w:rPr>
              <w:t>Uncommon</w:t>
            </w:r>
          </w:p>
        </w:tc>
      </w:tr>
      <w:tr w:rsidR="008E65A3" w14:paraId="4899DEAA"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E84FA1B"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E7BB7B9" w14:textId="77777777" w:rsidR="008E65A3" w:rsidRDefault="008E65A3">
            <w:pPr>
              <w:pStyle w:val="TableParagraph"/>
              <w:ind w:left="57"/>
              <w:rPr>
                <w:sz w:val="19"/>
              </w:rPr>
            </w:pPr>
            <w:r>
              <w:rPr>
                <w:sz w:val="19"/>
              </w:rPr>
              <w:t>*Angioedema</w:t>
            </w:r>
          </w:p>
        </w:tc>
        <w:tc>
          <w:tcPr>
            <w:tcW w:w="1843" w:type="dxa"/>
            <w:tcBorders>
              <w:top w:val="single" w:sz="4" w:space="0" w:color="000000"/>
              <w:left w:val="single" w:sz="4" w:space="0" w:color="000000"/>
              <w:bottom w:val="single" w:sz="4" w:space="0" w:color="000000"/>
              <w:right w:val="single" w:sz="4" w:space="0" w:color="000000"/>
            </w:tcBorders>
            <w:hideMark/>
          </w:tcPr>
          <w:p w14:paraId="2B440CD9"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6CADB619"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5F2FD20B" w14:textId="77777777" w:rsidR="008E65A3" w:rsidRDefault="008E65A3">
            <w:pPr>
              <w:pStyle w:val="TableParagraph"/>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77DC8E95" w14:textId="77777777" w:rsidTr="008E65A3">
        <w:trPr>
          <w:trHeight w:val="446"/>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2000476"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65B80180" w14:textId="77777777" w:rsidR="008E65A3" w:rsidRDefault="008E65A3">
            <w:pPr>
              <w:pStyle w:val="TableParagraph"/>
              <w:spacing w:line="213" w:lineRule="exact"/>
              <w:ind w:left="57"/>
              <w:rPr>
                <w:sz w:val="19"/>
              </w:rPr>
            </w:pPr>
            <w:r>
              <w:rPr>
                <w:sz w:val="19"/>
              </w:rPr>
              <w:t>*Stevens-Johnson</w:t>
            </w:r>
          </w:p>
          <w:p w14:paraId="5F1E7526" w14:textId="77777777" w:rsidR="008E65A3" w:rsidRDefault="008E65A3">
            <w:pPr>
              <w:pStyle w:val="TableParagraph"/>
              <w:spacing w:before="4" w:line="209" w:lineRule="exact"/>
              <w:ind w:left="57"/>
              <w:rPr>
                <w:sz w:val="19"/>
              </w:rPr>
            </w:pPr>
            <w:r>
              <w:rPr>
                <w:sz w:val="19"/>
              </w:rPr>
              <w:t>Syndrome</w:t>
            </w:r>
          </w:p>
        </w:tc>
        <w:tc>
          <w:tcPr>
            <w:tcW w:w="1843" w:type="dxa"/>
            <w:tcBorders>
              <w:top w:val="single" w:sz="4" w:space="0" w:color="000000"/>
              <w:left w:val="single" w:sz="4" w:space="0" w:color="000000"/>
              <w:bottom w:val="single" w:sz="4" w:space="0" w:color="000000"/>
              <w:right w:val="single" w:sz="4" w:space="0" w:color="000000"/>
            </w:tcBorders>
            <w:hideMark/>
          </w:tcPr>
          <w:p w14:paraId="2E8110FE"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42" w:type="dxa"/>
            <w:tcBorders>
              <w:top w:val="single" w:sz="4" w:space="0" w:color="000000"/>
              <w:left w:val="single" w:sz="4" w:space="0" w:color="000000"/>
              <w:bottom w:val="single" w:sz="4" w:space="0" w:color="000000"/>
              <w:right w:val="single" w:sz="4" w:space="0" w:color="000000"/>
            </w:tcBorders>
            <w:hideMark/>
          </w:tcPr>
          <w:p w14:paraId="2875A01D"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c>
          <w:tcPr>
            <w:tcW w:w="1859" w:type="dxa"/>
            <w:tcBorders>
              <w:top w:val="single" w:sz="4" w:space="0" w:color="000000"/>
              <w:left w:val="single" w:sz="4" w:space="0" w:color="000000"/>
              <w:bottom w:val="single" w:sz="4" w:space="0" w:color="000000"/>
              <w:right w:val="single" w:sz="4" w:space="0" w:color="000000"/>
            </w:tcBorders>
            <w:hideMark/>
          </w:tcPr>
          <w:p w14:paraId="438C4915" w14:textId="77777777" w:rsidR="008E65A3" w:rsidRDefault="008E65A3">
            <w:pPr>
              <w:pStyle w:val="TableParagraph"/>
              <w:spacing w:line="213" w:lineRule="exact"/>
              <w:rPr>
                <w:sz w:val="19"/>
              </w:rPr>
            </w:pPr>
            <w:r>
              <w:rPr>
                <w:sz w:val="19"/>
              </w:rPr>
              <w:t>Frequency</w:t>
            </w:r>
            <w:r>
              <w:rPr>
                <w:spacing w:val="-9"/>
                <w:sz w:val="19"/>
              </w:rPr>
              <w:t xml:space="preserve"> </w:t>
            </w:r>
            <w:r>
              <w:rPr>
                <w:sz w:val="19"/>
              </w:rPr>
              <w:t>not</w:t>
            </w:r>
            <w:r>
              <w:rPr>
                <w:spacing w:val="-3"/>
                <w:sz w:val="19"/>
              </w:rPr>
              <w:t xml:space="preserve"> </w:t>
            </w:r>
            <w:r>
              <w:rPr>
                <w:sz w:val="19"/>
              </w:rPr>
              <w:t>known</w:t>
            </w:r>
          </w:p>
        </w:tc>
      </w:tr>
      <w:tr w:rsidR="008E65A3" w14:paraId="0F4BC30A" w14:textId="77777777" w:rsidTr="008E65A3">
        <w:trPr>
          <w:trHeight w:val="660"/>
        </w:trPr>
        <w:tc>
          <w:tcPr>
            <w:tcW w:w="1758" w:type="dxa"/>
            <w:tcBorders>
              <w:top w:val="single" w:sz="4" w:space="0" w:color="000000"/>
              <w:left w:val="single" w:sz="4" w:space="0" w:color="000000"/>
              <w:bottom w:val="single" w:sz="4" w:space="0" w:color="000000"/>
              <w:right w:val="single" w:sz="4" w:space="0" w:color="000000"/>
            </w:tcBorders>
            <w:hideMark/>
          </w:tcPr>
          <w:p w14:paraId="6356CFCE" w14:textId="77777777" w:rsidR="008E65A3" w:rsidRDefault="008E65A3">
            <w:pPr>
              <w:pStyle w:val="TableParagraph"/>
              <w:spacing w:line="240" w:lineRule="auto"/>
              <w:ind w:right="168"/>
              <w:rPr>
                <w:b/>
                <w:sz w:val="19"/>
                <w:lang w:val="en-GB"/>
              </w:rPr>
            </w:pPr>
            <w:r>
              <w:rPr>
                <w:b/>
                <w:sz w:val="19"/>
                <w:lang w:val="en-GB"/>
              </w:rPr>
              <w:t>Reproductive</w:t>
            </w:r>
            <w:r>
              <w:rPr>
                <w:b/>
                <w:spacing w:val="1"/>
                <w:sz w:val="19"/>
                <w:lang w:val="en-GB"/>
              </w:rPr>
              <w:t xml:space="preserve"> </w:t>
            </w:r>
            <w:r>
              <w:rPr>
                <w:b/>
                <w:sz w:val="19"/>
                <w:lang w:val="en-GB"/>
              </w:rPr>
              <w:t>System</w:t>
            </w:r>
            <w:r>
              <w:rPr>
                <w:b/>
                <w:spacing w:val="-4"/>
                <w:sz w:val="19"/>
                <w:lang w:val="en-GB"/>
              </w:rPr>
              <w:t xml:space="preserve"> </w:t>
            </w:r>
            <w:r>
              <w:rPr>
                <w:b/>
                <w:sz w:val="19"/>
                <w:lang w:val="en-GB"/>
              </w:rPr>
              <w:t>and</w:t>
            </w:r>
            <w:r>
              <w:rPr>
                <w:b/>
                <w:spacing w:val="-2"/>
                <w:sz w:val="19"/>
                <w:lang w:val="en-GB"/>
              </w:rPr>
              <w:t xml:space="preserve"> </w:t>
            </w:r>
            <w:r>
              <w:rPr>
                <w:b/>
                <w:sz w:val="19"/>
                <w:lang w:val="en-GB"/>
              </w:rPr>
              <w:t>Breast</w:t>
            </w:r>
          </w:p>
          <w:p w14:paraId="146EFE69" w14:textId="77777777" w:rsidR="008E65A3" w:rsidRDefault="008E65A3">
            <w:pPr>
              <w:pStyle w:val="TableParagraph"/>
              <w:spacing w:line="206" w:lineRule="exact"/>
              <w:rPr>
                <w:b/>
                <w:sz w:val="19"/>
                <w:lang w:val="en-GB"/>
              </w:rPr>
            </w:pPr>
            <w:r>
              <w:rPr>
                <w:b/>
                <w:sz w:val="19"/>
                <w:lang w:val="en-GB"/>
              </w:rPr>
              <w:t>Disorders</w:t>
            </w:r>
          </w:p>
        </w:tc>
        <w:tc>
          <w:tcPr>
            <w:tcW w:w="1985" w:type="dxa"/>
            <w:tcBorders>
              <w:top w:val="single" w:sz="4" w:space="0" w:color="000000"/>
              <w:left w:val="single" w:sz="4" w:space="0" w:color="000000"/>
              <w:bottom w:val="single" w:sz="4" w:space="0" w:color="000000"/>
              <w:right w:val="single" w:sz="4" w:space="0" w:color="000000"/>
            </w:tcBorders>
            <w:hideMark/>
          </w:tcPr>
          <w:p w14:paraId="0122BD31" w14:textId="77777777" w:rsidR="008E65A3" w:rsidRDefault="008E65A3">
            <w:pPr>
              <w:pStyle w:val="TableParagraph"/>
              <w:spacing w:line="213" w:lineRule="exact"/>
              <w:ind w:left="57"/>
              <w:rPr>
                <w:sz w:val="19"/>
              </w:rPr>
            </w:pPr>
            <w:r>
              <w:rPr>
                <w:sz w:val="19"/>
              </w:rPr>
              <w:t>Erectile</w:t>
            </w:r>
            <w:r>
              <w:rPr>
                <w:spacing w:val="-5"/>
                <w:sz w:val="19"/>
              </w:rPr>
              <w:t xml:space="preserve"> </w:t>
            </w:r>
            <w:r>
              <w:rPr>
                <w:sz w:val="19"/>
              </w:rPr>
              <w:t>dysfunction</w:t>
            </w:r>
          </w:p>
        </w:tc>
        <w:tc>
          <w:tcPr>
            <w:tcW w:w="1843" w:type="dxa"/>
            <w:tcBorders>
              <w:top w:val="single" w:sz="4" w:space="0" w:color="000000"/>
              <w:left w:val="single" w:sz="4" w:space="0" w:color="000000"/>
              <w:bottom w:val="single" w:sz="4" w:space="0" w:color="000000"/>
              <w:right w:val="single" w:sz="4" w:space="0" w:color="000000"/>
            </w:tcBorders>
            <w:hideMark/>
          </w:tcPr>
          <w:p w14:paraId="2CC0B960" w14:textId="77777777" w:rsidR="008E65A3" w:rsidRDefault="008E65A3">
            <w:pPr>
              <w:pStyle w:val="TableParagraph"/>
              <w:spacing w:line="213" w:lineRule="exact"/>
              <w:rPr>
                <w:sz w:val="19"/>
              </w:rPr>
            </w:pPr>
            <w:r>
              <w:rPr>
                <w:sz w:val="19"/>
              </w:rPr>
              <w:t>Not</w:t>
            </w:r>
            <w:r>
              <w:rPr>
                <w:spacing w:val="-2"/>
                <w:sz w:val="19"/>
              </w:rPr>
              <w:t xml:space="preserve"> </w:t>
            </w:r>
            <w:r>
              <w:rPr>
                <w:sz w:val="19"/>
              </w:rPr>
              <w:t>applicable</w:t>
            </w:r>
          </w:p>
        </w:tc>
        <w:tc>
          <w:tcPr>
            <w:tcW w:w="1842" w:type="dxa"/>
            <w:tcBorders>
              <w:top w:val="single" w:sz="4" w:space="0" w:color="000000"/>
              <w:left w:val="single" w:sz="4" w:space="0" w:color="000000"/>
              <w:bottom w:val="single" w:sz="4" w:space="0" w:color="000000"/>
              <w:right w:val="single" w:sz="4" w:space="0" w:color="000000"/>
            </w:tcBorders>
            <w:hideMark/>
          </w:tcPr>
          <w:p w14:paraId="789450AB" w14:textId="77777777" w:rsidR="008E65A3" w:rsidRDefault="008E65A3">
            <w:pPr>
              <w:pStyle w:val="TableParagraph"/>
              <w:spacing w:line="213" w:lineRule="exact"/>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6CE7AFAF" w14:textId="77777777" w:rsidR="008E65A3" w:rsidRDefault="008E65A3">
            <w:pPr>
              <w:pStyle w:val="TableParagraph"/>
              <w:spacing w:line="213" w:lineRule="exact"/>
              <w:rPr>
                <w:sz w:val="19"/>
              </w:rPr>
            </w:pPr>
            <w:r>
              <w:rPr>
                <w:sz w:val="19"/>
              </w:rPr>
              <w:t>Common</w:t>
            </w:r>
          </w:p>
        </w:tc>
      </w:tr>
      <w:tr w:rsidR="008E65A3" w14:paraId="6E21D065" w14:textId="77777777" w:rsidTr="008E65A3">
        <w:trPr>
          <w:trHeight w:val="223"/>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688610DA" w14:textId="77777777" w:rsidR="008E65A3" w:rsidRDefault="008E65A3">
            <w:pPr>
              <w:pStyle w:val="TableParagraph"/>
              <w:spacing w:line="240" w:lineRule="auto"/>
              <w:ind w:right="72"/>
              <w:rPr>
                <w:b/>
                <w:sz w:val="19"/>
                <w:lang w:val="en-GB"/>
              </w:rPr>
            </w:pPr>
            <w:r>
              <w:rPr>
                <w:b/>
                <w:sz w:val="19"/>
                <w:lang w:val="en-GB"/>
              </w:rPr>
              <w:t>General Disorders</w:t>
            </w:r>
            <w:r>
              <w:rPr>
                <w:b/>
                <w:spacing w:val="1"/>
                <w:sz w:val="19"/>
                <w:lang w:val="en-GB"/>
              </w:rPr>
              <w:t xml:space="preserve"> </w:t>
            </w:r>
            <w:r>
              <w:rPr>
                <w:b/>
                <w:sz w:val="19"/>
                <w:lang w:val="en-GB"/>
              </w:rPr>
              <w:t>and Administration</w:t>
            </w:r>
            <w:r>
              <w:rPr>
                <w:b/>
                <w:spacing w:val="-46"/>
                <w:sz w:val="19"/>
                <w:lang w:val="en-GB"/>
              </w:rPr>
              <w:t xml:space="preserve"> </w:t>
            </w:r>
            <w:r>
              <w:rPr>
                <w:b/>
                <w:sz w:val="19"/>
                <w:lang w:val="en-GB"/>
              </w:rPr>
              <w:t>Site</w:t>
            </w:r>
            <w:r>
              <w:rPr>
                <w:b/>
                <w:spacing w:val="-1"/>
                <w:sz w:val="19"/>
                <w:lang w:val="en-GB"/>
              </w:rPr>
              <w:t xml:space="preserve"> </w:t>
            </w:r>
            <w:r>
              <w:rPr>
                <w:b/>
                <w:sz w:val="19"/>
                <w:lang w:val="en-GB"/>
              </w:rPr>
              <w:t>Conditions</w:t>
            </w:r>
          </w:p>
        </w:tc>
        <w:tc>
          <w:tcPr>
            <w:tcW w:w="1985" w:type="dxa"/>
            <w:tcBorders>
              <w:top w:val="single" w:sz="4" w:space="0" w:color="000000"/>
              <w:left w:val="single" w:sz="4" w:space="0" w:color="000000"/>
              <w:bottom w:val="single" w:sz="4" w:space="0" w:color="000000"/>
              <w:right w:val="single" w:sz="4" w:space="0" w:color="000000"/>
            </w:tcBorders>
            <w:hideMark/>
          </w:tcPr>
          <w:p w14:paraId="7A415A33" w14:textId="77777777" w:rsidR="008E65A3" w:rsidRDefault="008E65A3">
            <w:pPr>
              <w:pStyle w:val="TableParagraph"/>
              <w:ind w:left="57"/>
              <w:rPr>
                <w:sz w:val="19"/>
              </w:rPr>
            </w:pPr>
            <w:r>
              <w:rPr>
                <w:sz w:val="19"/>
              </w:rPr>
              <w:t>Chest</w:t>
            </w:r>
            <w:r>
              <w:rPr>
                <w:spacing w:val="-1"/>
                <w:sz w:val="19"/>
              </w:rPr>
              <w:t xml:space="preserve"> </w:t>
            </w:r>
            <w:r>
              <w:rPr>
                <w:sz w:val="19"/>
              </w:rPr>
              <w:t>Pain</w:t>
            </w:r>
          </w:p>
        </w:tc>
        <w:tc>
          <w:tcPr>
            <w:tcW w:w="1843" w:type="dxa"/>
            <w:tcBorders>
              <w:top w:val="single" w:sz="4" w:space="0" w:color="000000"/>
              <w:left w:val="single" w:sz="4" w:space="0" w:color="000000"/>
              <w:bottom w:val="single" w:sz="4" w:space="0" w:color="000000"/>
              <w:right w:val="single" w:sz="4" w:space="0" w:color="000000"/>
            </w:tcBorders>
            <w:hideMark/>
          </w:tcPr>
          <w:p w14:paraId="382E6305"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66998078" w14:textId="77777777" w:rsidR="008E65A3" w:rsidRDefault="008E65A3">
            <w:pPr>
              <w:pStyle w:val="TableParagraph"/>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29E26AA4" w14:textId="77777777" w:rsidR="008E65A3" w:rsidRDefault="008E65A3">
            <w:pPr>
              <w:pStyle w:val="TableParagraph"/>
              <w:rPr>
                <w:sz w:val="19"/>
              </w:rPr>
            </w:pPr>
            <w:r>
              <w:rPr>
                <w:sz w:val="19"/>
              </w:rPr>
              <w:t>Common</w:t>
            </w:r>
          </w:p>
        </w:tc>
      </w:tr>
      <w:tr w:rsidR="008E65A3" w14:paraId="1AB299C1"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2244A316"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E314827" w14:textId="77777777" w:rsidR="008E65A3" w:rsidRDefault="008E65A3">
            <w:pPr>
              <w:pStyle w:val="TableParagraph"/>
              <w:ind w:left="57"/>
              <w:rPr>
                <w:sz w:val="19"/>
              </w:rPr>
            </w:pPr>
            <w:r>
              <w:rPr>
                <w:sz w:val="19"/>
              </w:rPr>
              <w:t>Irritability</w:t>
            </w:r>
          </w:p>
        </w:tc>
        <w:tc>
          <w:tcPr>
            <w:tcW w:w="1843" w:type="dxa"/>
            <w:tcBorders>
              <w:top w:val="single" w:sz="4" w:space="0" w:color="000000"/>
              <w:left w:val="single" w:sz="4" w:space="0" w:color="000000"/>
              <w:bottom w:val="single" w:sz="4" w:space="0" w:color="000000"/>
              <w:right w:val="single" w:sz="4" w:space="0" w:color="000000"/>
            </w:tcBorders>
            <w:hideMark/>
          </w:tcPr>
          <w:p w14:paraId="03A9CCC0"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2420874B"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0EF2FBCD" w14:textId="77777777" w:rsidR="008E65A3" w:rsidRDefault="008E65A3">
            <w:pPr>
              <w:pStyle w:val="TableParagraph"/>
              <w:rPr>
                <w:sz w:val="19"/>
              </w:rPr>
            </w:pPr>
            <w:r>
              <w:rPr>
                <w:sz w:val="19"/>
              </w:rPr>
              <w:t>Common</w:t>
            </w:r>
          </w:p>
        </w:tc>
      </w:tr>
      <w:tr w:rsidR="008E65A3" w14:paraId="581C97A7"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0C13005"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1E5BFE6B" w14:textId="77777777" w:rsidR="008E65A3" w:rsidRDefault="008E65A3">
            <w:pPr>
              <w:pStyle w:val="TableParagraph"/>
              <w:ind w:left="57"/>
              <w:rPr>
                <w:sz w:val="19"/>
              </w:rPr>
            </w:pPr>
            <w:r>
              <w:rPr>
                <w:sz w:val="19"/>
              </w:rPr>
              <w:t>Fatigue</w:t>
            </w:r>
          </w:p>
        </w:tc>
        <w:tc>
          <w:tcPr>
            <w:tcW w:w="1843" w:type="dxa"/>
            <w:tcBorders>
              <w:top w:val="single" w:sz="4" w:space="0" w:color="000000"/>
              <w:left w:val="single" w:sz="4" w:space="0" w:color="000000"/>
              <w:bottom w:val="single" w:sz="4" w:space="0" w:color="000000"/>
              <w:right w:val="single" w:sz="4" w:space="0" w:color="000000"/>
            </w:tcBorders>
            <w:hideMark/>
          </w:tcPr>
          <w:p w14:paraId="4A3C171A"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7E4F1E2D"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3C45AD78" w14:textId="77777777" w:rsidR="008E65A3" w:rsidRDefault="008E65A3">
            <w:pPr>
              <w:pStyle w:val="TableParagraph"/>
              <w:rPr>
                <w:sz w:val="19"/>
              </w:rPr>
            </w:pPr>
            <w:r>
              <w:rPr>
                <w:sz w:val="19"/>
              </w:rPr>
              <w:t>Common</w:t>
            </w:r>
          </w:p>
        </w:tc>
      </w:tr>
      <w:tr w:rsidR="008E65A3" w14:paraId="7F611220"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BF2D14F"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0D54B645" w14:textId="77777777" w:rsidR="008E65A3" w:rsidRDefault="008E65A3">
            <w:pPr>
              <w:pStyle w:val="TableParagraph"/>
              <w:ind w:left="57"/>
              <w:rPr>
                <w:sz w:val="19"/>
              </w:rPr>
            </w:pPr>
            <w:r>
              <w:rPr>
                <w:sz w:val="19"/>
              </w:rPr>
              <w:t>Feeling</w:t>
            </w:r>
            <w:r>
              <w:rPr>
                <w:spacing w:val="-5"/>
                <w:sz w:val="19"/>
              </w:rPr>
              <w:t xml:space="preserve"> </w:t>
            </w:r>
            <w:r>
              <w:rPr>
                <w:sz w:val="19"/>
              </w:rPr>
              <w:t>jittery</w:t>
            </w:r>
          </w:p>
        </w:tc>
        <w:tc>
          <w:tcPr>
            <w:tcW w:w="1843" w:type="dxa"/>
            <w:tcBorders>
              <w:top w:val="single" w:sz="4" w:space="0" w:color="000000"/>
              <w:left w:val="single" w:sz="4" w:space="0" w:color="000000"/>
              <w:bottom w:val="single" w:sz="4" w:space="0" w:color="000000"/>
              <w:right w:val="single" w:sz="4" w:space="0" w:color="000000"/>
            </w:tcBorders>
            <w:hideMark/>
          </w:tcPr>
          <w:p w14:paraId="05E11E22" w14:textId="77777777" w:rsidR="008E65A3" w:rsidRDefault="008E65A3">
            <w:pPr>
              <w:pStyle w:val="TableParagraph"/>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284DA025"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45058235" w14:textId="77777777" w:rsidR="008E65A3" w:rsidRDefault="008E65A3">
            <w:pPr>
              <w:pStyle w:val="TableParagraph"/>
              <w:rPr>
                <w:sz w:val="19"/>
              </w:rPr>
            </w:pPr>
            <w:r>
              <w:rPr>
                <w:sz w:val="19"/>
              </w:rPr>
              <w:t>Common</w:t>
            </w:r>
          </w:p>
        </w:tc>
      </w:tr>
      <w:tr w:rsidR="008E65A3" w14:paraId="5E02A277"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4A0164E3" w14:textId="77777777" w:rsidR="008E65A3" w:rsidRDefault="008E65A3">
            <w:pPr>
              <w:rPr>
                <w:b/>
                <w:sz w:val="19"/>
                <w:szCs w:val="22"/>
                <w:lang w:val="en-GB"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32883DB2" w14:textId="77777777" w:rsidR="008E65A3" w:rsidRDefault="008E65A3">
            <w:pPr>
              <w:pStyle w:val="TableParagraph"/>
              <w:ind w:left="57"/>
              <w:rPr>
                <w:sz w:val="19"/>
              </w:rPr>
            </w:pPr>
            <w:r>
              <w:rPr>
                <w:sz w:val="19"/>
              </w:rPr>
              <w:t>Pyrexia</w:t>
            </w:r>
          </w:p>
        </w:tc>
        <w:tc>
          <w:tcPr>
            <w:tcW w:w="1843" w:type="dxa"/>
            <w:tcBorders>
              <w:top w:val="single" w:sz="4" w:space="0" w:color="000000"/>
              <w:left w:val="single" w:sz="4" w:space="0" w:color="000000"/>
              <w:bottom w:val="single" w:sz="4" w:space="0" w:color="000000"/>
              <w:right w:val="single" w:sz="4" w:space="0" w:color="000000"/>
            </w:tcBorders>
            <w:hideMark/>
          </w:tcPr>
          <w:p w14:paraId="2FB3985A" w14:textId="77777777" w:rsidR="008E65A3" w:rsidRDefault="008E65A3">
            <w:pPr>
              <w:pStyle w:val="TableParagraph"/>
              <w:rPr>
                <w:sz w:val="19"/>
              </w:rPr>
            </w:pP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17E88180" w14:textId="77777777" w:rsidR="008E65A3" w:rsidRDefault="008E65A3">
            <w:pPr>
              <w:pStyle w:val="TableParagraph"/>
              <w:rPr>
                <w:sz w:val="19"/>
              </w:rPr>
            </w:pP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4DBCC5F2" w14:textId="77777777" w:rsidR="008E65A3" w:rsidRDefault="008E65A3">
            <w:pPr>
              <w:pStyle w:val="TableParagraph"/>
              <w:rPr>
                <w:sz w:val="19"/>
              </w:rPr>
            </w:pPr>
            <w:r>
              <w:rPr>
                <w:sz w:val="19"/>
              </w:rPr>
              <w:t>Uncommon</w:t>
            </w:r>
          </w:p>
        </w:tc>
      </w:tr>
      <w:tr w:rsidR="008E65A3" w14:paraId="178B4ADA" w14:textId="77777777" w:rsidTr="008E65A3">
        <w:trPr>
          <w:trHeight w:val="446"/>
        </w:trPr>
        <w:tc>
          <w:tcPr>
            <w:tcW w:w="1758" w:type="dxa"/>
            <w:vMerge w:val="restart"/>
            <w:tcBorders>
              <w:top w:val="single" w:sz="4" w:space="0" w:color="000000"/>
              <w:left w:val="single" w:sz="4" w:space="0" w:color="000000"/>
              <w:bottom w:val="single" w:sz="4" w:space="0" w:color="000000"/>
              <w:right w:val="single" w:sz="4" w:space="0" w:color="000000"/>
            </w:tcBorders>
            <w:hideMark/>
          </w:tcPr>
          <w:p w14:paraId="261F88FF" w14:textId="77777777" w:rsidR="008E65A3" w:rsidRDefault="008E65A3">
            <w:pPr>
              <w:pStyle w:val="TableParagraph"/>
              <w:spacing w:line="211" w:lineRule="exact"/>
              <w:rPr>
                <w:b/>
                <w:sz w:val="19"/>
              </w:rPr>
            </w:pPr>
            <w:r>
              <w:rPr>
                <w:b/>
                <w:sz w:val="19"/>
              </w:rPr>
              <w:t>Investigations</w:t>
            </w:r>
          </w:p>
        </w:tc>
        <w:tc>
          <w:tcPr>
            <w:tcW w:w="1985" w:type="dxa"/>
            <w:tcBorders>
              <w:top w:val="single" w:sz="4" w:space="0" w:color="000000"/>
              <w:left w:val="single" w:sz="4" w:space="0" w:color="000000"/>
              <w:bottom w:val="single" w:sz="4" w:space="0" w:color="000000"/>
              <w:right w:val="single" w:sz="4" w:space="0" w:color="000000"/>
            </w:tcBorders>
            <w:hideMark/>
          </w:tcPr>
          <w:p w14:paraId="22D76958" w14:textId="77777777" w:rsidR="008E65A3" w:rsidRDefault="008E65A3">
            <w:pPr>
              <w:pStyle w:val="TableParagraph"/>
              <w:spacing w:line="213" w:lineRule="exact"/>
              <w:ind w:left="57"/>
              <w:rPr>
                <w:sz w:val="19"/>
              </w:rPr>
            </w:pPr>
            <w:r>
              <w:rPr>
                <w:sz w:val="19"/>
              </w:rPr>
              <w:t>Blood pressure</w:t>
            </w:r>
          </w:p>
          <w:p w14:paraId="3CF10C1E" w14:textId="77777777" w:rsidR="008E65A3" w:rsidRDefault="008E65A3">
            <w:pPr>
              <w:pStyle w:val="TableParagraph"/>
              <w:spacing w:before="4" w:line="209" w:lineRule="exact"/>
              <w:ind w:left="57"/>
              <w:rPr>
                <w:sz w:val="19"/>
              </w:rPr>
            </w:pPr>
            <w:r>
              <w:rPr>
                <w:sz w:val="19"/>
              </w:rPr>
              <w:t>increased</w:t>
            </w:r>
          </w:p>
        </w:tc>
        <w:tc>
          <w:tcPr>
            <w:tcW w:w="1843" w:type="dxa"/>
            <w:tcBorders>
              <w:top w:val="single" w:sz="4" w:space="0" w:color="000000"/>
              <w:left w:val="single" w:sz="4" w:space="0" w:color="000000"/>
              <w:bottom w:val="single" w:sz="4" w:space="0" w:color="000000"/>
              <w:right w:val="single" w:sz="4" w:space="0" w:color="000000"/>
            </w:tcBorders>
            <w:hideMark/>
          </w:tcPr>
          <w:p w14:paraId="066AA8C1" w14:textId="77777777" w:rsidR="008E65A3" w:rsidRDefault="008E65A3">
            <w:pPr>
              <w:pStyle w:val="TableParagraph"/>
              <w:spacing w:line="213" w:lineRule="exact"/>
              <w:rPr>
                <w:sz w:val="19"/>
              </w:rPr>
            </w:pPr>
            <w:r>
              <w:rPr>
                <w:sz w:val="19"/>
              </w:rPr>
              <w:t>Uncommon</w:t>
            </w:r>
          </w:p>
        </w:tc>
        <w:tc>
          <w:tcPr>
            <w:tcW w:w="1842" w:type="dxa"/>
            <w:tcBorders>
              <w:top w:val="single" w:sz="4" w:space="0" w:color="000000"/>
              <w:left w:val="single" w:sz="4" w:space="0" w:color="000000"/>
              <w:bottom w:val="single" w:sz="4" w:space="0" w:color="000000"/>
              <w:right w:val="single" w:sz="4" w:space="0" w:color="000000"/>
            </w:tcBorders>
            <w:hideMark/>
          </w:tcPr>
          <w:p w14:paraId="44D89D06" w14:textId="77777777" w:rsidR="008E65A3" w:rsidRDefault="008E65A3">
            <w:pPr>
              <w:pStyle w:val="TableParagraph"/>
              <w:spacing w:line="213" w:lineRule="exact"/>
              <w:rPr>
                <w:sz w:val="19"/>
              </w:rPr>
            </w:pPr>
            <w:r>
              <w:rPr>
                <w:sz w:val="19"/>
              </w:rPr>
              <w:t>Uncommon</w:t>
            </w:r>
          </w:p>
        </w:tc>
        <w:tc>
          <w:tcPr>
            <w:tcW w:w="1859" w:type="dxa"/>
            <w:tcBorders>
              <w:top w:val="single" w:sz="4" w:space="0" w:color="000000"/>
              <w:left w:val="single" w:sz="4" w:space="0" w:color="000000"/>
              <w:bottom w:val="single" w:sz="4" w:space="0" w:color="000000"/>
              <w:right w:val="single" w:sz="4" w:space="0" w:color="000000"/>
            </w:tcBorders>
            <w:hideMark/>
          </w:tcPr>
          <w:p w14:paraId="450CCFC3" w14:textId="77777777" w:rsidR="008E65A3" w:rsidRDefault="008E65A3">
            <w:pPr>
              <w:pStyle w:val="TableParagraph"/>
              <w:spacing w:line="213" w:lineRule="exact"/>
              <w:rPr>
                <w:sz w:val="19"/>
              </w:rPr>
            </w:pPr>
            <w:r>
              <w:rPr>
                <w:sz w:val="19"/>
              </w:rPr>
              <w:t>Common</w:t>
            </w:r>
          </w:p>
        </w:tc>
      </w:tr>
      <w:tr w:rsidR="008E65A3" w14:paraId="290800E6" w14:textId="77777777" w:rsidTr="008E65A3">
        <w:trPr>
          <w:trHeight w:val="2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14:paraId="55C34CF5" w14:textId="77777777" w:rsidR="008E65A3" w:rsidRDefault="008E65A3">
            <w:pPr>
              <w:rPr>
                <w:b/>
                <w:sz w:val="19"/>
                <w:szCs w:val="22"/>
                <w:lang w:val="sv-SE"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406C42F2" w14:textId="77777777" w:rsidR="008E65A3" w:rsidRDefault="008E65A3">
            <w:pPr>
              <w:pStyle w:val="TableParagraph"/>
              <w:ind w:left="57"/>
              <w:rPr>
                <w:sz w:val="19"/>
              </w:rPr>
            </w:pPr>
            <w:r>
              <w:rPr>
                <w:sz w:val="19"/>
              </w:rPr>
              <w:t>*Weight</w:t>
            </w:r>
            <w:r>
              <w:rPr>
                <w:spacing w:val="-6"/>
                <w:sz w:val="19"/>
              </w:rPr>
              <w:t xml:space="preserve"> </w:t>
            </w:r>
            <w:r>
              <w:rPr>
                <w:sz w:val="19"/>
              </w:rPr>
              <w:t>decreased</w:t>
            </w:r>
          </w:p>
        </w:tc>
        <w:tc>
          <w:tcPr>
            <w:tcW w:w="1843" w:type="dxa"/>
            <w:tcBorders>
              <w:top w:val="single" w:sz="4" w:space="0" w:color="000000"/>
              <w:left w:val="single" w:sz="4" w:space="0" w:color="000000"/>
              <w:bottom w:val="single" w:sz="4" w:space="0" w:color="000000"/>
              <w:right w:val="single" w:sz="4" w:space="0" w:color="000000"/>
            </w:tcBorders>
            <w:hideMark/>
          </w:tcPr>
          <w:p w14:paraId="145125FE" w14:textId="77777777" w:rsidR="008E65A3" w:rsidRDefault="008E65A3">
            <w:pPr>
              <w:pStyle w:val="TableParagraph"/>
              <w:rPr>
                <w:sz w:val="19"/>
              </w:rPr>
            </w:pPr>
            <w:r>
              <w:rPr>
                <w:sz w:val="19"/>
              </w:rPr>
              <w:t>Very</w:t>
            </w:r>
            <w:r>
              <w:rPr>
                <w:spacing w:val="-9"/>
                <w:sz w:val="19"/>
              </w:rPr>
              <w:t xml:space="preserve"> </w:t>
            </w:r>
            <w:r>
              <w:rPr>
                <w:sz w:val="19"/>
              </w:rPr>
              <w:t>Common</w:t>
            </w:r>
          </w:p>
        </w:tc>
        <w:tc>
          <w:tcPr>
            <w:tcW w:w="1842" w:type="dxa"/>
            <w:tcBorders>
              <w:top w:val="single" w:sz="4" w:space="0" w:color="000000"/>
              <w:left w:val="single" w:sz="4" w:space="0" w:color="000000"/>
              <w:bottom w:val="single" w:sz="4" w:space="0" w:color="000000"/>
              <w:right w:val="single" w:sz="4" w:space="0" w:color="000000"/>
            </w:tcBorders>
            <w:hideMark/>
          </w:tcPr>
          <w:p w14:paraId="082B4038" w14:textId="77777777" w:rsidR="008E65A3" w:rsidRDefault="008E65A3">
            <w:pPr>
              <w:pStyle w:val="TableParagraph"/>
              <w:rPr>
                <w:sz w:val="19"/>
              </w:rPr>
            </w:pPr>
            <w:r>
              <w:rPr>
                <w:sz w:val="19"/>
              </w:rPr>
              <w:t>Very</w:t>
            </w:r>
            <w:r>
              <w:rPr>
                <w:spacing w:val="-9"/>
                <w:sz w:val="19"/>
              </w:rPr>
              <w:t xml:space="preserve"> </w:t>
            </w:r>
            <w:r>
              <w:rPr>
                <w:sz w:val="19"/>
              </w:rPr>
              <w:t>Common</w:t>
            </w:r>
          </w:p>
        </w:tc>
        <w:tc>
          <w:tcPr>
            <w:tcW w:w="1859" w:type="dxa"/>
            <w:tcBorders>
              <w:top w:val="single" w:sz="4" w:space="0" w:color="000000"/>
              <w:left w:val="single" w:sz="4" w:space="0" w:color="000000"/>
              <w:bottom w:val="single" w:sz="4" w:space="0" w:color="000000"/>
              <w:right w:val="single" w:sz="4" w:space="0" w:color="000000"/>
            </w:tcBorders>
            <w:hideMark/>
          </w:tcPr>
          <w:p w14:paraId="7E4B47A2" w14:textId="77777777" w:rsidR="008E65A3" w:rsidRDefault="008E65A3">
            <w:pPr>
              <w:pStyle w:val="TableParagraph"/>
              <w:rPr>
                <w:sz w:val="19"/>
              </w:rPr>
            </w:pPr>
            <w:r>
              <w:rPr>
                <w:sz w:val="19"/>
              </w:rPr>
              <w:t>Common</w:t>
            </w:r>
          </w:p>
        </w:tc>
      </w:tr>
    </w:tbl>
    <w:p w14:paraId="33173286" w14:textId="77777777" w:rsidR="008E65A3" w:rsidRDefault="008E65A3" w:rsidP="008E65A3">
      <w:pPr>
        <w:autoSpaceDE w:val="0"/>
        <w:autoSpaceDN w:val="0"/>
        <w:adjustRightInd w:val="0"/>
        <w:rPr>
          <w:sz w:val="22"/>
          <w:szCs w:val="22"/>
          <w:lang w:val="en-GB" w:eastAsia="en-US"/>
        </w:rPr>
      </w:pPr>
    </w:p>
    <w:p w14:paraId="1BFA16A6" w14:textId="77777777" w:rsidR="008E65A3" w:rsidRPr="008E65A3" w:rsidRDefault="008E65A3" w:rsidP="008E65A3">
      <w:pPr>
        <w:pStyle w:val="Default"/>
        <w:ind w:left="851"/>
        <w:rPr>
          <w:color w:val="auto"/>
          <w:u w:val="single"/>
          <w:lang w:val="en-GB"/>
        </w:rPr>
      </w:pPr>
      <w:r w:rsidRPr="008E65A3">
        <w:rPr>
          <w:color w:val="auto"/>
          <w:u w:val="single"/>
          <w:lang w:val="en-GB"/>
        </w:rPr>
        <w:t>Description of selected adverse reactions</w:t>
      </w:r>
    </w:p>
    <w:p w14:paraId="64439B38" w14:textId="77777777" w:rsidR="008E65A3" w:rsidRPr="008E65A3" w:rsidRDefault="008E65A3" w:rsidP="008E65A3">
      <w:pPr>
        <w:pStyle w:val="Default"/>
        <w:ind w:left="851"/>
        <w:rPr>
          <w:color w:val="auto"/>
          <w:lang w:val="en-GB"/>
        </w:rPr>
      </w:pPr>
    </w:p>
    <w:p w14:paraId="10A6A709" w14:textId="77777777" w:rsidR="008E65A3" w:rsidRPr="008E65A3" w:rsidRDefault="008E65A3" w:rsidP="008E65A3">
      <w:pPr>
        <w:pStyle w:val="Default"/>
        <w:ind w:left="851"/>
        <w:rPr>
          <w:i/>
          <w:color w:val="auto"/>
          <w:lang w:val="en-GB"/>
        </w:rPr>
      </w:pPr>
      <w:r w:rsidRPr="008E65A3">
        <w:rPr>
          <w:i/>
          <w:color w:val="auto"/>
          <w:lang w:val="en-GB"/>
        </w:rPr>
        <w:t>Insomnia</w:t>
      </w:r>
    </w:p>
    <w:p w14:paraId="3CCACE0E" w14:textId="77777777" w:rsidR="008E65A3" w:rsidRPr="008E65A3" w:rsidRDefault="008E65A3" w:rsidP="008E65A3">
      <w:pPr>
        <w:pStyle w:val="Default"/>
        <w:ind w:left="851"/>
        <w:rPr>
          <w:color w:val="auto"/>
          <w:lang w:val="en-GB"/>
        </w:rPr>
      </w:pPr>
      <w:r w:rsidRPr="008E65A3">
        <w:rPr>
          <w:color w:val="auto"/>
          <w:lang w:val="en-GB"/>
        </w:rPr>
        <w:t>Includes insomnia, initial insomnia, middle insomnia, and terminal insomnia.</w:t>
      </w:r>
    </w:p>
    <w:p w14:paraId="4B4FCB79" w14:textId="77777777" w:rsidR="008E65A3" w:rsidRPr="008E65A3" w:rsidRDefault="008E65A3" w:rsidP="008E65A3">
      <w:pPr>
        <w:pStyle w:val="Default"/>
        <w:ind w:left="851"/>
        <w:rPr>
          <w:color w:val="auto"/>
          <w:lang w:val="en-GB"/>
        </w:rPr>
      </w:pPr>
    </w:p>
    <w:p w14:paraId="4F3DB95F" w14:textId="77777777" w:rsidR="008E65A3" w:rsidRPr="008E65A3" w:rsidRDefault="008E65A3" w:rsidP="008E65A3">
      <w:pPr>
        <w:pStyle w:val="Default"/>
        <w:ind w:left="851"/>
        <w:rPr>
          <w:i/>
          <w:color w:val="auto"/>
          <w:lang w:val="en-GB"/>
        </w:rPr>
      </w:pPr>
      <w:r w:rsidRPr="008E65A3">
        <w:rPr>
          <w:i/>
          <w:color w:val="auto"/>
          <w:lang w:val="en-GB"/>
        </w:rPr>
        <w:t>Weight decreased</w:t>
      </w:r>
    </w:p>
    <w:p w14:paraId="4B2EF71F" w14:textId="77777777" w:rsidR="008E65A3" w:rsidRPr="008E65A3" w:rsidRDefault="008E65A3" w:rsidP="008E65A3">
      <w:pPr>
        <w:pStyle w:val="Default"/>
        <w:ind w:left="851"/>
        <w:rPr>
          <w:color w:val="auto"/>
          <w:lang w:val="en-GB"/>
        </w:rPr>
      </w:pPr>
      <w:r w:rsidRPr="008E65A3">
        <w:rPr>
          <w:color w:val="auto"/>
          <w:lang w:val="en-GB"/>
        </w:rPr>
        <w:t>In a 4-week controlled trial of lisdexamfetamine in children aged 6 to 12 years, mean weight loss from baseline to endpoint was 0.4, 0.9, and 1.1 kg, for patients assigned to receive 30 mg, 50 mg, and 70 mg of lisdexamfetamine respectively, compared to a 0.5 kg weight gain for patients receiving placebo. Higher doses were associated with greater weight loss with 4 weeks of treatment. Careful follow-up for weight in children aged 6 to 12 years who received lisdexamfetamine over 12 months suggests that continuous treatment (i.e., treatment for 7 days per week throughout the year) slows growth rate measured by body weight as demonstrated by an age- and sex-normalised mean change from baseline in percentile of -13.4 over 1 year. The average percentiles at baseline (n=271) and 12 months (n=146) were 60.9 and 47.2, respectively.</w:t>
      </w:r>
    </w:p>
    <w:p w14:paraId="63CB4DBB" w14:textId="77777777" w:rsidR="008E65A3" w:rsidRPr="008E65A3" w:rsidRDefault="008E65A3" w:rsidP="008E65A3">
      <w:pPr>
        <w:pStyle w:val="Default"/>
        <w:ind w:left="851"/>
        <w:rPr>
          <w:color w:val="auto"/>
          <w:lang w:val="en-GB"/>
        </w:rPr>
      </w:pPr>
    </w:p>
    <w:p w14:paraId="0971E73D" w14:textId="77777777" w:rsidR="008E65A3" w:rsidRPr="008E65A3" w:rsidRDefault="008E65A3" w:rsidP="008E65A3">
      <w:pPr>
        <w:pStyle w:val="Default"/>
        <w:ind w:left="851"/>
        <w:rPr>
          <w:color w:val="auto"/>
          <w:lang w:val="en-GB"/>
        </w:rPr>
      </w:pPr>
      <w:r w:rsidRPr="008E65A3">
        <w:rPr>
          <w:color w:val="auto"/>
          <w:lang w:val="en-GB"/>
        </w:rPr>
        <w:t>In a 4-week controlled trial of lisdexamfetamine in adolescents aged 13 to 17 years, mean weight loss from baseline to endpoint was 1.2, 1.9, and 2.3 kg for patients assigned to receive 30 mg, 50 mg, and 70 mg of lisdexamfetamine dimesylate respectively, compared to a 0.9 kg weight gain for patients receiving placebo. Careful follow-up for weight in adolescents aged 13 to 17 years who received lisdexamfetamine over 12 months suggests that continuous treatment (i.e., treatment for 7 days per week throughout the year) slows growth rate measured by body weight as demonstrated by an age- and sex-normalised mean change from baseline in percentile of -6.5 over 1 year. The average percentiles at baseline (n=265) and 12 months (n=156) were 66.0 and 61.5, respectively.</w:t>
      </w:r>
    </w:p>
    <w:p w14:paraId="71C0BCA4" w14:textId="77777777" w:rsidR="008E65A3" w:rsidRPr="008E65A3" w:rsidRDefault="008E65A3" w:rsidP="008E65A3">
      <w:pPr>
        <w:pStyle w:val="Default"/>
        <w:ind w:left="851"/>
        <w:rPr>
          <w:color w:val="auto"/>
          <w:lang w:val="en-GB"/>
        </w:rPr>
      </w:pPr>
    </w:p>
    <w:p w14:paraId="0A11C33D" w14:textId="77777777" w:rsidR="008E65A3" w:rsidRPr="008E65A3" w:rsidRDefault="008E65A3" w:rsidP="008E65A3">
      <w:pPr>
        <w:pStyle w:val="Default"/>
        <w:ind w:left="851"/>
        <w:rPr>
          <w:color w:val="auto"/>
          <w:lang w:val="en-GB"/>
        </w:rPr>
      </w:pPr>
      <w:r w:rsidRPr="008E65A3">
        <w:rPr>
          <w:color w:val="auto"/>
          <w:lang w:val="en-GB"/>
        </w:rPr>
        <w:t>In children and adolescents (aged 6-17) who received lisdexamfetamine over two years, careful monitoring of weight suggested that consistent medication (i.e., treatment for 7 days per week throughout the two years) resulted in a slowing of growth as measured by body weight. In children and adolescents, the average weight percentiles and standard deviations (SD) at baseline (n=314) and 24 months (week 104, n=189), were 65.4 (SD 27.11) and 48.2 (SD 29.94), respectively. The age- and sex-normalized mean change from baseline in percentile over 2 years was -16.9 (SD 17.33).</w:t>
      </w:r>
    </w:p>
    <w:p w14:paraId="667B9EC0" w14:textId="77777777" w:rsidR="008E65A3" w:rsidRPr="008E65A3" w:rsidRDefault="008E65A3" w:rsidP="008E65A3">
      <w:pPr>
        <w:pStyle w:val="Default"/>
        <w:ind w:left="851"/>
        <w:rPr>
          <w:color w:val="auto"/>
          <w:lang w:val="en-GB"/>
        </w:rPr>
      </w:pPr>
    </w:p>
    <w:p w14:paraId="2F86104E" w14:textId="77777777" w:rsidR="008E65A3" w:rsidRPr="008E65A3" w:rsidRDefault="008E65A3" w:rsidP="008E65A3">
      <w:pPr>
        <w:pStyle w:val="Default"/>
        <w:ind w:left="851"/>
        <w:rPr>
          <w:lang w:val="en-GB"/>
        </w:rPr>
      </w:pPr>
      <w:r w:rsidRPr="008E65A3">
        <w:rPr>
          <w:color w:val="auto"/>
          <w:lang w:val="en-GB"/>
        </w:rPr>
        <w:t xml:space="preserve">In a controlled clinical trial of lisdexamfetamine dimesylate in children ages 4 to 5 years who received 5 – 30 mg of </w:t>
      </w:r>
      <w:bookmarkStart w:id="8" w:name="_Hlk93508745"/>
      <w:r w:rsidRPr="008E65A3">
        <w:rPr>
          <w:color w:val="auto"/>
          <w:lang w:val="en-GB"/>
        </w:rPr>
        <w:t>lisdexamfetamine dimesylate</w:t>
      </w:r>
      <w:bookmarkEnd w:id="8"/>
      <w:r w:rsidRPr="008E65A3">
        <w:rPr>
          <w:color w:val="auto"/>
          <w:lang w:val="en-GB"/>
        </w:rPr>
        <w:t>, there were no clinically meaningful changes in weight from baseline after 6 weeks of follow-up. Careful follow-up for weight in children aged 4 to 5 years who received lisdexamfetamine dimesylate over 12 months in an open-label extension study suggests that continuous treatment (i.e., treatment for 7 days per week throughout the year) slows growth rate measured by body weight as demonstrated by an age- and sex</w:t>
      </w:r>
      <w:r w:rsidRPr="008E65A3">
        <w:rPr>
          <w:color w:val="auto"/>
          <w:lang w:val="en-GB"/>
        </w:rPr>
        <w:noBreakHyphen/>
        <w:t>normalised mean change from baseline in percentile of -17.92 (SD=13.767) over 1 year. The average percentiles at baseline (n=113) and 12 months (n=69) were 66.51 (SD=25.173) and 47.45 (SD=26.144), respectively.</w:t>
      </w:r>
    </w:p>
    <w:p w14:paraId="452C5109" w14:textId="77777777" w:rsidR="008E65A3" w:rsidRPr="008E65A3" w:rsidRDefault="008E65A3" w:rsidP="008E65A3">
      <w:pPr>
        <w:pStyle w:val="Default"/>
        <w:ind w:left="851"/>
        <w:rPr>
          <w:color w:val="auto"/>
          <w:lang w:val="en-GB"/>
        </w:rPr>
      </w:pPr>
    </w:p>
    <w:p w14:paraId="7F3F1C8B" w14:textId="77777777" w:rsidR="008E65A3" w:rsidRPr="008E65A3" w:rsidRDefault="008E65A3" w:rsidP="008E65A3">
      <w:pPr>
        <w:pStyle w:val="Default"/>
        <w:ind w:left="851"/>
        <w:rPr>
          <w:i/>
          <w:color w:val="auto"/>
          <w:lang w:val="en-GB"/>
        </w:rPr>
      </w:pPr>
      <w:r w:rsidRPr="008E65A3">
        <w:rPr>
          <w:i/>
          <w:color w:val="auto"/>
          <w:lang w:val="en-GB"/>
        </w:rPr>
        <w:t>Eosinophilic hepatitis</w:t>
      </w:r>
    </w:p>
    <w:p w14:paraId="5D4B6591" w14:textId="77777777" w:rsidR="008E65A3" w:rsidRPr="008E65A3" w:rsidRDefault="008E65A3" w:rsidP="008E65A3">
      <w:pPr>
        <w:pStyle w:val="Default"/>
        <w:ind w:left="851"/>
        <w:rPr>
          <w:color w:val="auto"/>
          <w:lang w:val="en-GB"/>
        </w:rPr>
      </w:pPr>
      <w:r w:rsidRPr="008E65A3">
        <w:rPr>
          <w:color w:val="auto"/>
          <w:lang w:val="en-GB"/>
        </w:rPr>
        <w:t>No cases were reported in the clinical studies.</w:t>
      </w:r>
    </w:p>
    <w:p w14:paraId="308459D2" w14:textId="77777777" w:rsidR="008E65A3" w:rsidRPr="008E65A3" w:rsidRDefault="008E65A3" w:rsidP="008E65A3">
      <w:pPr>
        <w:pStyle w:val="Default"/>
        <w:ind w:left="851"/>
        <w:rPr>
          <w:color w:val="auto"/>
          <w:lang w:val="en-GB"/>
        </w:rPr>
      </w:pPr>
    </w:p>
    <w:p w14:paraId="6076A793" w14:textId="77777777" w:rsidR="008E65A3" w:rsidRPr="008E65A3" w:rsidRDefault="008E65A3" w:rsidP="008E65A3">
      <w:pPr>
        <w:pStyle w:val="Default"/>
        <w:ind w:left="851"/>
        <w:rPr>
          <w:i/>
          <w:color w:val="auto"/>
          <w:lang w:val="en-GB"/>
        </w:rPr>
      </w:pPr>
      <w:r w:rsidRPr="008E65A3">
        <w:rPr>
          <w:i/>
          <w:color w:val="auto"/>
          <w:lang w:val="en-GB"/>
        </w:rPr>
        <w:t>Angioedema</w:t>
      </w:r>
    </w:p>
    <w:p w14:paraId="18A69E21" w14:textId="77777777" w:rsidR="008E65A3" w:rsidRPr="008E65A3" w:rsidRDefault="008E65A3" w:rsidP="008E65A3">
      <w:pPr>
        <w:pStyle w:val="Default"/>
        <w:ind w:left="851"/>
        <w:rPr>
          <w:color w:val="auto"/>
          <w:lang w:val="en-GB"/>
        </w:rPr>
      </w:pPr>
      <w:r w:rsidRPr="008E65A3">
        <w:rPr>
          <w:color w:val="auto"/>
          <w:lang w:val="en-GB"/>
        </w:rPr>
        <w:t>No cases were reported in the clinical studies.</w:t>
      </w:r>
    </w:p>
    <w:p w14:paraId="4B0D2876" w14:textId="77777777" w:rsidR="008E65A3" w:rsidRPr="008E65A3" w:rsidRDefault="008E65A3" w:rsidP="008E65A3">
      <w:pPr>
        <w:pStyle w:val="Default"/>
        <w:ind w:left="851"/>
        <w:rPr>
          <w:color w:val="auto"/>
          <w:lang w:val="en-GB"/>
        </w:rPr>
      </w:pPr>
    </w:p>
    <w:p w14:paraId="52D613DA" w14:textId="2B7C02FF" w:rsidR="008E65A3" w:rsidRPr="008E65A3" w:rsidRDefault="008E65A3" w:rsidP="008E65A3">
      <w:pPr>
        <w:pStyle w:val="Default"/>
        <w:ind w:left="851"/>
        <w:rPr>
          <w:i/>
          <w:color w:val="auto"/>
          <w:lang w:val="en-GB"/>
        </w:rPr>
      </w:pPr>
      <w:r w:rsidRPr="008E65A3">
        <w:rPr>
          <w:i/>
          <w:color w:val="auto"/>
          <w:lang w:val="en-GB"/>
        </w:rPr>
        <w:t>Stevens-Johnson</w:t>
      </w:r>
      <w:r w:rsidR="00E6625B">
        <w:rPr>
          <w:i/>
          <w:color w:val="auto"/>
          <w:lang w:val="en-GB"/>
        </w:rPr>
        <w:t>'s</w:t>
      </w:r>
      <w:r w:rsidRPr="008E65A3">
        <w:rPr>
          <w:i/>
          <w:color w:val="auto"/>
          <w:lang w:val="en-GB"/>
        </w:rPr>
        <w:t xml:space="preserve"> syndrome</w:t>
      </w:r>
    </w:p>
    <w:p w14:paraId="01D5AB66" w14:textId="77777777" w:rsidR="008E65A3" w:rsidRPr="008E65A3" w:rsidRDefault="008E65A3" w:rsidP="008E65A3">
      <w:pPr>
        <w:pStyle w:val="Default"/>
        <w:ind w:left="851"/>
        <w:rPr>
          <w:color w:val="auto"/>
          <w:lang w:val="en-GB"/>
        </w:rPr>
      </w:pPr>
      <w:r w:rsidRPr="008E65A3">
        <w:rPr>
          <w:color w:val="auto"/>
          <w:lang w:val="en-GB"/>
        </w:rPr>
        <w:t>No cases were reported in the clinical studies.</w:t>
      </w:r>
    </w:p>
    <w:p w14:paraId="7D1D1FB9" w14:textId="77777777" w:rsidR="008E65A3" w:rsidRPr="008E65A3" w:rsidRDefault="008E65A3" w:rsidP="008E65A3">
      <w:pPr>
        <w:pStyle w:val="Default"/>
        <w:ind w:left="851"/>
        <w:rPr>
          <w:color w:val="auto"/>
          <w:lang w:val="en-GB"/>
        </w:rPr>
      </w:pPr>
    </w:p>
    <w:p w14:paraId="6156FAD6" w14:textId="77777777" w:rsidR="008E65A3" w:rsidRPr="008E65A3" w:rsidRDefault="008E65A3" w:rsidP="008E65A3">
      <w:pPr>
        <w:pStyle w:val="Default"/>
        <w:ind w:left="851"/>
        <w:rPr>
          <w:u w:val="single"/>
          <w:lang w:val="en-GB"/>
        </w:rPr>
      </w:pPr>
      <w:r w:rsidRPr="008E65A3">
        <w:rPr>
          <w:u w:val="single"/>
          <w:lang w:val="en-GB"/>
        </w:rPr>
        <w:t>Reporting of suspected adverse reactions</w:t>
      </w:r>
    </w:p>
    <w:p w14:paraId="51DF5290" w14:textId="77777777" w:rsidR="00E6625B" w:rsidRDefault="008E65A3" w:rsidP="008E65A3">
      <w:pPr>
        <w:pStyle w:val="Default"/>
        <w:ind w:left="851"/>
        <w:rPr>
          <w:lang w:val="en-GB"/>
        </w:rPr>
      </w:pPr>
      <w:r w:rsidRPr="008E65A3">
        <w:rPr>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E6625B">
        <w:rPr>
          <w:lang w:val="en-GB"/>
        </w:rPr>
        <w:t>:</w:t>
      </w:r>
    </w:p>
    <w:p w14:paraId="69E974E8" w14:textId="77777777" w:rsidR="00E6625B" w:rsidRDefault="00E6625B" w:rsidP="008E65A3">
      <w:pPr>
        <w:pStyle w:val="Default"/>
        <w:ind w:left="851"/>
        <w:rPr>
          <w:highlight w:val="lightGray"/>
          <w:lang w:val="en-GB"/>
        </w:rPr>
      </w:pPr>
    </w:p>
    <w:p w14:paraId="6C7EE80A" w14:textId="77777777" w:rsidR="00E6625B" w:rsidRDefault="00E6625B" w:rsidP="00E6625B">
      <w:pPr>
        <w:ind w:left="851"/>
        <w:rPr>
          <w:sz w:val="24"/>
          <w:szCs w:val="24"/>
        </w:rPr>
      </w:pPr>
      <w:bookmarkStart w:id="9" w:name="_Hlk117501544"/>
      <w:bookmarkStart w:id="10" w:name="_Hlk112664459"/>
      <w:r>
        <w:rPr>
          <w:sz w:val="24"/>
          <w:szCs w:val="24"/>
        </w:rPr>
        <w:t>Lægemiddelstyrelsen</w:t>
      </w:r>
    </w:p>
    <w:p w14:paraId="5B98C2AA" w14:textId="77777777" w:rsidR="00E6625B" w:rsidRDefault="00E6625B" w:rsidP="00E6625B">
      <w:pPr>
        <w:ind w:left="851"/>
        <w:rPr>
          <w:sz w:val="24"/>
          <w:szCs w:val="24"/>
        </w:rPr>
      </w:pPr>
      <w:bookmarkStart w:id="11" w:name="_Hlk117501524"/>
      <w:bookmarkEnd w:id="9"/>
      <w:r>
        <w:rPr>
          <w:sz w:val="24"/>
          <w:szCs w:val="24"/>
        </w:rPr>
        <w:t>Axel Heides Gade 1</w:t>
      </w:r>
    </w:p>
    <w:p w14:paraId="0E70D77E" w14:textId="77777777" w:rsidR="00E6625B" w:rsidRDefault="00E6625B" w:rsidP="00E6625B">
      <w:pPr>
        <w:ind w:left="851"/>
        <w:rPr>
          <w:sz w:val="24"/>
          <w:szCs w:val="24"/>
        </w:rPr>
      </w:pPr>
      <w:r>
        <w:rPr>
          <w:sz w:val="24"/>
          <w:szCs w:val="24"/>
        </w:rPr>
        <w:t>DK-2300 København S</w:t>
      </w:r>
    </w:p>
    <w:p w14:paraId="1A07A72F" w14:textId="5A386BE1" w:rsidR="00E6625B" w:rsidRPr="00E6625B" w:rsidRDefault="00E6625B" w:rsidP="00E6625B">
      <w:pPr>
        <w:ind w:left="851"/>
        <w:rPr>
          <w:sz w:val="24"/>
          <w:szCs w:val="24"/>
          <w:lang w:val="en-US"/>
        </w:rPr>
      </w:pPr>
      <w:r w:rsidRPr="00E6625B">
        <w:rPr>
          <w:sz w:val="24"/>
          <w:szCs w:val="24"/>
          <w:lang w:val="en-US"/>
        </w:rPr>
        <w:t xml:space="preserve">Website: </w:t>
      </w:r>
      <w:r w:rsidRPr="00E6625B">
        <w:rPr>
          <w:sz w:val="24"/>
          <w:lang w:val="en-US"/>
        </w:rPr>
        <w:t>www.meldenbivirkning.dk</w:t>
      </w:r>
      <w:bookmarkEnd w:id="10"/>
      <w:bookmarkEnd w:id="11"/>
    </w:p>
    <w:p w14:paraId="1CAE98CB" w14:textId="77777777" w:rsidR="007C5D2A" w:rsidRPr="008E65A3" w:rsidRDefault="007C5D2A" w:rsidP="008E65A3">
      <w:pPr>
        <w:tabs>
          <w:tab w:val="left" w:pos="851"/>
        </w:tabs>
        <w:ind w:left="851"/>
        <w:rPr>
          <w:sz w:val="24"/>
          <w:szCs w:val="24"/>
          <w:lang w:val="en-GB"/>
        </w:rPr>
      </w:pPr>
    </w:p>
    <w:p w14:paraId="7128547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425983C" w14:textId="77777777" w:rsidR="00F33EBE" w:rsidRPr="00F33EBE" w:rsidRDefault="00F33EBE" w:rsidP="00F33EBE">
      <w:pPr>
        <w:tabs>
          <w:tab w:val="left" w:pos="851"/>
        </w:tabs>
        <w:ind w:left="851"/>
        <w:rPr>
          <w:sz w:val="24"/>
          <w:szCs w:val="24"/>
          <w:lang w:val="en-GB"/>
        </w:rPr>
      </w:pPr>
      <w:r w:rsidRPr="00F33EBE">
        <w:rPr>
          <w:sz w:val="24"/>
          <w:szCs w:val="24"/>
          <w:lang w:val="en-GB"/>
        </w:rPr>
        <w:t>The prolonged release of dexamfetamine after administration of Dexhility should be considered when treating patients with overdose.</w:t>
      </w:r>
    </w:p>
    <w:p w14:paraId="314DD80A" w14:textId="77777777" w:rsidR="00F33EBE" w:rsidRPr="00F33EBE" w:rsidRDefault="00F33EBE" w:rsidP="00F33EBE">
      <w:pPr>
        <w:tabs>
          <w:tab w:val="left" w:pos="851"/>
        </w:tabs>
        <w:ind w:left="851"/>
        <w:rPr>
          <w:sz w:val="24"/>
          <w:szCs w:val="24"/>
          <w:lang w:val="en-GB"/>
        </w:rPr>
      </w:pPr>
    </w:p>
    <w:p w14:paraId="1265D1D9" w14:textId="77777777" w:rsidR="00F33EBE" w:rsidRPr="00F33EBE" w:rsidRDefault="00F33EBE" w:rsidP="00F33EBE">
      <w:pPr>
        <w:tabs>
          <w:tab w:val="left" w:pos="851"/>
        </w:tabs>
        <w:ind w:left="851"/>
        <w:rPr>
          <w:sz w:val="24"/>
          <w:szCs w:val="24"/>
          <w:lang w:val="en-GB"/>
        </w:rPr>
      </w:pPr>
      <w:r w:rsidRPr="00F33EBE">
        <w:rPr>
          <w:sz w:val="24"/>
          <w:szCs w:val="24"/>
          <w:lang w:val="en-GB"/>
        </w:rPr>
        <w:t xml:space="preserve">Manifestations of acute overdose with amfetamines include restlessness, tremor, hyperreflexia, rapid respiration, confusion, assaultiveness, hallucinations, panic states, hyperpyrexia, and rhabdomyolysis. Fatigue and depression usually follow the central nervous system stimulation. </w:t>
      </w:r>
    </w:p>
    <w:p w14:paraId="67303FFB" w14:textId="77777777" w:rsidR="00F33EBE" w:rsidRPr="00F33EBE" w:rsidRDefault="00F33EBE" w:rsidP="00F33EBE">
      <w:pPr>
        <w:tabs>
          <w:tab w:val="left" w:pos="851"/>
        </w:tabs>
        <w:ind w:left="851"/>
        <w:rPr>
          <w:sz w:val="24"/>
          <w:szCs w:val="24"/>
          <w:lang w:val="en-GB"/>
        </w:rPr>
      </w:pPr>
      <w:r w:rsidRPr="00F33EBE">
        <w:rPr>
          <w:sz w:val="24"/>
          <w:szCs w:val="24"/>
          <w:lang w:val="en-GB"/>
        </w:rPr>
        <w:t>Cardiovascular effects include arrhythmias, hypertension or hypotension, and circulatory collapse. Gastrointestinal symptoms include nausea, vomiting, diarrhoea, and abdominal cramps. Fatal poisoning is usually preceded by convulsions and coma.</w:t>
      </w:r>
    </w:p>
    <w:p w14:paraId="41136B55" w14:textId="77777777" w:rsidR="00F33EBE" w:rsidRPr="00F33EBE" w:rsidRDefault="00F33EBE" w:rsidP="00F33EBE">
      <w:pPr>
        <w:tabs>
          <w:tab w:val="left" w:pos="851"/>
        </w:tabs>
        <w:ind w:left="851"/>
        <w:rPr>
          <w:sz w:val="24"/>
          <w:szCs w:val="24"/>
          <w:lang w:val="en-GB"/>
        </w:rPr>
      </w:pPr>
    </w:p>
    <w:p w14:paraId="21096BFB" w14:textId="77777777" w:rsidR="00F33EBE" w:rsidRPr="00F33EBE" w:rsidRDefault="00F33EBE" w:rsidP="00F33EBE">
      <w:pPr>
        <w:tabs>
          <w:tab w:val="left" w:pos="851"/>
        </w:tabs>
        <w:ind w:left="851"/>
        <w:rPr>
          <w:sz w:val="24"/>
          <w:szCs w:val="24"/>
          <w:lang w:val="en-GB"/>
        </w:rPr>
      </w:pPr>
      <w:r w:rsidRPr="00F33EBE">
        <w:rPr>
          <w:sz w:val="24"/>
          <w:szCs w:val="24"/>
          <w:lang w:val="en-GB"/>
        </w:rPr>
        <w:t>There is no specific antidote to amfetamine overdose. Management of acute amfetamine intoxication is largely symptomatic and may include administration of activated charcoal, administration of a cathartic, and sedation. Lisdexamfetamine and dexamfetamine are not dialysable.</w:t>
      </w:r>
    </w:p>
    <w:p w14:paraId="01803655" w14:textId="77777777" w:rsidR="00F33EBE" w:rsidRPr="00F33EBE" w:rsidRDefault="00F33EBE" w:rsidP="00F33EBE">
      <w:pPr>
        <w:tabs>
          <w:tab w:val="left" w:pos="851"/>
        </w:tabs>
        <w:ind w:left="851"/>
        <w:rPr>
          <w:sz w:val="24"/>
          <w:szCs w:val="24"/>
          <w:lang w:val="en-GB"/>
        </w:rPr>
      </w:pPr>
    </w:p>
    <w:p w14:paraId="2EB10C8F" w14:textId="77777777" w:rsidR="00F33EBE" w:rsidRPr="00F33EBE" w:rsidRDefault="00F33EBE" w:rsidP="00F33EBE">
      <w:pPr>
        <w:tabs>
          <w:tab w:val="left" w:pos="851"/>
        </w:tabs>
        <w:ind w:left="851"/>
        <w:rPr>
          <w:sz w:val="24"/>
          <w:szCs w:val="24"/>
          <w:lang w:val="en-GB"/>
        </w:rPr>
      </w:pPr>
      <w:r w:rsidRPr="00F33EBE">
        <w:rPr>
          <w:sz w:val="24"/>
          <w:szCs w:val="24"/>
          <w:lang w:val="en-GB"/>
        </w:rPr>
        <w:t xml:space="preserve">In case of amfetamine overdose, consult a poison control center for guidance or treat as clinically indicated. The prolonged duration of action of amfetamine should be considered when treating patients with overdose. </w:t>
      </w:r>
    </w:p>
    <w:p w14:paraId="373FCFC0" w14:textId="77777777" w:rsidR="007C5D2A" w:rsidRPr="00303008" w:rsidRDefault="007C5D2A" w:rsidP="003E0341">
      <w:pPr>
        <w:tabs>
          <w:tab w:val="left" w:pos="851"/>
        </w:tabs>
        <w:ind w:left="851"/>
        <w:rPr>
          <w:sz w:val="24"/>
          <w:szCs w:val="24"/>
          <w:lang w:val="en-GB"/>
        </w:rPr>
      </w:pPr>
    </w:p>
    <w:p w14:paraId="2611C015"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1202BC79" w14:textId="0FB1845C" w:rsidR="00AD2E36" w:rsidRPr="00303008" w:rsidRDefault="00F33EBE" w:rsidP="00AD2E36">
      <w:pPr>
        <w:tabs>
          <w:tab w:val="left" w:pos="851"/>
        </w:tabs>
        <w:ind w:left="851"/>
        <w:rPr>
          <w:sz w:val="24"/>
          <w:szCs w:val="24"/>
          <w:lang w:val="en-GB"/>
        </w:rPr>
      </w:pPr>
      <w:r>
        <w:rPr>
          <w:sz w:val="24"/>
          <w:szCs w:val="24"/>
          <w:lang w:val="en-GB"/>
        </w:rPr>
        <w:t>A§4 (kopieringspligtigt)</w:t>
      </w:r>
    </w:p>
    <w:p w14:paraId="0E053571" w14:textId="77777777" w:rsidR="007C5D2A" w:rsidRPr="00303008" w:rsidRDefault="007C5D2A" w:rsidP="003E0341">
      <w:pPr>
        <w:tabs>
          <w:tab w:val="left" w:pos="851"/>
        </w:tabs>
        <w:ind w:left="851"/>
        <w:rPr>
          <w:sz w:val="24"/>
          <w:szCs w:val="24"/>
          <w:lang w:val="en-GB"/>
        </w:rPr>
      </w:pPr>
    </w:p>
    <w:p w14:paraId="78DFEE77" w14:textId="77777777" w:rsidR="00AD2E36" w:rsidRPr="00303008" w:rsidRDefault="00AD2E36" w:rsidP="003E0341">
      <w:pPr>
        <w:tabs>
          <w:tab w:val="left" w:pos="851"/>
        </w:tabs>
        <w:ind w:left="851"/>
        <w:rPr>
          <w:sz w:val="24"/>
          <w:szCs w:val="24"/>
          <w:lang w:val="en-GB"/>
        </w:rPr>
      </w:pPr>
    </w:p>
    <w:p w14:paraId="41CC30D5"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17A40E8" w14:textId="77777777" w:rsidR="007C5D2A" w:rsidRDefault="007C5D2A" w:rsidP="003E0341">
      <w:pPr>
        <w:tabs>
          <w:tab w:val="left" w:pos="851"/>
        </w:tabs>
        <w:ind w:left="851"/>
        <w:rPr>
          <w:sz w:val="24"/>
          <w:szCs w:val="24"/>
          <w:lang w:val="en-GB"/>
        </w:rPr>
      </w:pPr>
    </w:p>
    <w:p w14:paraId="5A18E2D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33ACEA9D" w14:textId="626AC70F" w:rsidR="00385FC8" w:rsidRPr="00385FC8" w:rsidRDefault="00385FC8" w:rsidP="00385FC8">
      <w:pPr>
        <w:pStyle w:val="Default"/>
        <w:ind w:left="851"/>
        <w:rPr>
          <w:lang w:val="en-GB"/>
        </w:rPr>
      </w:pPr>
      <w:r w:rsidRPr="00385FC8">
        <w:rPr>
          <w:lang w:val="en-GB"/>
        </w:rPr>
        <w:t>Pharmacotherapeutic group: Centrally Acting Sympathomimetics, ATC code: N06BA12.</w:t>
      </w:r>
    </w:p>
    <w:p w14:paraId="0BB15850" w14:textId="77777777" w:rsidR="00385FC8" w:rsidRPr="00385FC8" w:rsidRDefault="00385FC8" w:rsidP="00385FC8">
      <w:pPr>
        <w:pStyle w:val="Default"/>
        <w:ind w:left="851"/>
        <w:rPr>
          <w:lang w:val="en-GB"/>
        </w:rPr>
      </w:pPr>
    </w:p>
    <w:p w14:paraId="2D95AF49" w14:textId="77777777" w:rsidR="00385FC8" w:rsidRPr="00385FC8" w:rsidRDefault="00385FC8" w:rsidP="00385FC8">
      <w:pPr>
        <w:pStyle w:val="Default"/>
        <w:ind w:left="851"/>
        <w:rPr>
          <w:u w:val="single"/>
          <w:lang w:val="en-GB"/>
        </w:rPr>
      </w:pPr>
      <w:r w:rsidRPr="00385FC8">
        <w:rPr>
          <w:u w:val="single"/>
          <w:lang w:val="en-GB"/>
        </w:rPr>
        <w:t>Mechanism of action</w:t>
      </w:r>
    </w:p>
    <w:p w14:paraId="537AFD62" w14:textId="77777777" w:rsidR="00385FC8" w:rsidRPr="00385FC8" w:rsidRDefault="00385FC8" w:rsidP="00385FC8">
      <w:pPr>
        <w:pStyle w:val="Default"/>
        <w:ind w:left="851"/>
        <w:rPr>
          <w:lang w:val="en-GB"/>
        </w:rPr>
      </w:pPr>
      <w:r w:rsidRPr="00385FC8">
        <w:rPr>
          <w:lang w:val="en-GB"/>
        </w:rPr>
        <w:t>Dexhility is a pharmacologically inactive prodrug. After oral administration, lisdexamfetamine is rapidly absorbed from the gastrointestinal tract and hydrolysed primarily by red blood cells to dexamfetamine, which is responsible for the medicinal product’s activity.</w:t>
      </w:r>
    </w:p>
    <w:p w14:paraId="3057888C" w14:textId="77777777" w:rsidR="00385FC8" w:rsidRPr="00385FC8" w:rsidRDefault="00385FC8" w:rsidP="00385FC8">
      <w:pPr>
        <w:pStyle w:val="Default"/>
        <w:ind w:left="851"/>
        <w:rPr>
          <w:lang w:val="en-GB"/>
        </w:rPr>
      </w:pPr>
    </w:p>
    <w:p w14:paraId="291E2493" w14:textId="77777777" w:rsidR="00385FC8" w:rsidRPr="00385FC8" w:rsidRDefault="00385FC8" w:rsidP="00385FC8">
      <w:pPr>
        <w:pStyle w:val="Default"/>
        <w:ind w:left="851"/>
        <w:rPr>
          <w:lang w:val="en-GB"/>
        </w:rPr>
      </w:pPr>
      <w:r w:rsidRPr="00385FC8">
        <w:rPr>
          <w:lang w:val="en-GB"/>
        </w:rPr>
        <w:t xml:space="preserve">Amfetamines are non-catecholamine sympathomimetic amines with CNS stimulant activity. The mode of therapeutic action of amfetamine in ADHD is not fully established, however it is thought to be due to its ability to block the reuptake of norepinephrine and dopamine into the presynaptic neuron and increase the release of these monoamines into the extraneuronal space. The prodrug, lisdexamfetamine, does not bind to the sites responsible for the reuptake of norepinephrine and dopamine </w:t>
      </w:r>
      <w:r w:rsidRPr="00385FC8">
        <w:rPr>
          <w:i/>
          <w:lang w:val="en-GB"/>
        </w:rPr>
        <w:t>in vitro</w:t>
      </w:r>
      <w:r w:rsidRPr="00385FC8">
        <w:rPr>
          <w:lang w:val="en-GB"/>
        </w:rPr>
        <w:t>.</w:t>
      </w:r>
    </w:p>
    <w:p w14:paraId="046DDA59" w14:textId="77777777" w:rsidR="00385FC8" w:rsidRPr="00385FC8" w:rsidRDefault="00385FC8" w:rsidP="00385FC8">
      <w:pPr>
        <w:pStyle w:val="Default"/>
        <w:ind w:left="851"/>
        <w:rPr>
          <w:lang w:val="en-GB"/>
        </w:rPr>
      </w:pPr>
    </w:p>
    <w:p w14:paraId="055E2BA1" w14:textId="77777777" w:rsidR="00385FC8" w:rsidRPr="00385FC8" w:rsidRDefault="00385FC8" w:rsidP="00385FC8">
      <w:pPr>
        <w:pStyle w:val="Default"/>
        <w:ind w:left="851"/>
        <w:rPr>
          <w:lang w:val="en-GB"/>
        </w:rPr>
      </w:pPr>
      <w:r w:rsidRPr="00385FC8">
        <w:rPr>
          <w:lang w:val="en-GB"/>
        </w:rPr>
        <w:t xml:space="preserve">Other approved lisdexamfetamine-containing medicinal products contain lisdexamfetamine as dimesylate salt. Dexhility contains lisdexamfetamine as diadipate salt. Lisdexamfetamine diadipate is an alternative salt for lisdexamfetamine dimesylate. </w:t>
      </w:r>
    </w:p>
    <w:p w14:paraId="08BC61CF" w14:textId="35636D35" w:rsidR="00385FC8" w:rsidRDefault="00385FC8">
      <w:pPr>
        <w:rPr>
          <w:color w:val="000000"/>
          <w:sz w:val="24"/>
          <w:szCs w:val="24"/>
          <w:lang w:val="en-GB" w:eastAsia="en-US"/>
        </w:rPr>
      </w:pPr>
      <w:r>
        <w:rPr>
          <w:lang w:val="en-GB"/>
        </w:rPr>
        <w:br w:type="page"/>
      </w:r>
    </w:p>
    <w:p w14:paraId="42614D2A" w14:textId="77777777" w:rsidR="00385FC8" w:rsidRPr="00385FC8" w:rsidRDefault="00385FC8" w:rsidP="00385FC8">
      <w:pPr>
        <w:pStyle w:val="Default"/>
        <w:ind w:left="851"/>
        <w:rPr>
          <w:lang w:val="en-GB"/>
        </w:rPr>
      </w:pPr>
    </w:p>
    <w:p w14:paraId="3E00FD05" w14:textId="77777777" w:rsidR="00385FC8" w:rsidRPr="00385FC8" w:rsidRDefault="00385FC8" w:rsidP="00385FC8">
      <w:pPr>
        <w:pStyle w:val="Default"/>
        <w:ind w:left="851"/>
        <w:rPr>
          <w:u w:val="single"/>
          <w:lang w:val="en-GB"/>
        </w:rPr>
      </w:pPr>
      <w:r w:rsidRPr="00385FC8">
        <w:rPr>
          <w:u w:val="single"/>
          <w:lang w:val="en-GB"/>
        </w:rPr>
        <w:t>Clinical efficacy and safety</w:t>
      </w:r>
    </w:p>
    <w:p w14:paraId="1DFDB3FE" w14:textId="77777777" w:rsidR="00385FC8" w:rsidRPr="00385FC8" w:rsidRDefault="00385FC8" w:rsidP="00385FC8">
      <w:pPr>
        <w:pStyle w:val="Default"/>
        <w:ind w:left="851"/>
        <w:rPr>
          <w:lang w:val="en-GB"/>
        </w:rPr>
      </w:pPr>
      <w:r w:rsidRPr="00385FC8">
        <w:rPr>
          <w:lang w:val="en-GB"/>
        </w:rPr>
        <w:t xml:space="preserve">The effects of lisdexamfetamine </w:t>
      </w:r>
      <w:r w:rsidRPr="00385FC8">
        <w:rPr>
          <w:color w:val="auto"/>
          <w:lang w:val="en-GB"/>
        </w:rPr>
        <w:t>dimesylate</w:t>
      </w:r>
      <w:r w:rsidRPr="00385FC8">
        <w:rPr>
          <w:lang w:val="en-GB"/>
        </w:rPr>
        <w:t xml:space="preserve"> in the treatment of ADHD has been demonstrated in three controlled trials in children aged 6 to 12 years, three controlled studies in adolescents aged 13 to 17 years, three controlled studies in children and adolescents (6 to 17 years), and four controlled trials in adults who met the DSM-IV-TR criteria for ADHD.</w:t>
      </w:r>
    </w:p>
    <w:p w14:paraId="28EEE3DA" w14:textId="77777777" w:rsidR="00385FC8" w:rsidRPr="00385FC8" w:rsidRDefault="00385FC8" w:rsidP="00385FC8">
      <w:pPr>
        <w:pStyle w:val="Default"/>
        <w:ind w:left="851"/>
        <w:rPr>
          <w:lang w:val="en-GB"/>
        </w:rPr>
      </w:pPr>
    </w:p>
    <w:p w14:paraId="6FA7EE18" w14:textId="77777777" w:rsidR="00385FC8" w:rsidRPr="00385FC8" w:rsidRDefault="00385FC8" w:rsidP="00385FC8">
      <w:pPr>
        <w:pStyle w:val="Default"/>
        <w:ind w:left="851"/>
        <w:rPr>
          <w:lang w:val="en-GB"/>
        </w:rPr>
      </w:pPr>
      <w:r w:rsidRPr="00385FC8">
        <w:rPr>
          <w:lang w:val="en-GB"/>
        </w:rPr>
        <w:t>In clinical studies conducted in children and adults, the effects of lisdexamfetamine were ongoing at 13 hours after dosing in children and at 14 hours in adults when the product was taken once daily in the morning.</w:t>
      </w:r>
    </w:p>
    <w:p w14:paraId="18660F00" w14:textId="77777777" w:rsidR="00385FC8" w:rsidRPr="00385FC8" w:rsidRDefault="00385FC8" w:rsidP="00385FC8">
      <w:pPr>
        <w:pStyle w:val="Default"/>
        <w:ind w:left="851"/>
        <w:rPr>
          <w:lang w:val="en-GB"/>
        </w:rPr>
      </w:pPr>
    </w:p>
    <w:p w14:paraId="1E5A2547" w14:textId="77777777" w:rsidR="00385FC8" w:rsidRPr="00385FC8" w:rsidRDefault="00385FC8" w:rsidP="00385FC8">
      <w:pPr>
        <w:pStyle w:val="Default"/>
        <w:ind w:left="851"/>
        <w:rPr>
          <w:i/>
          <w:lang w:val="en-GB"/>
        </w:rPr>
      </w:pPr>
      <w:r w:rsidRPr="00385FC8">
        <w:rPr>
          <w:i/>
          <w:lang w:val="en-GB"/>
        </w:rPr>
        <w:t>Paediatric population</w:t>
      </w:r>
    </w:p>
    <w:p w14:paraId="6BA43669" w14:textId="77777777" w:rsidR="00385FC8" w:rsidRPr="00385FC8" w:rsidRDefault="00385FC8" w:rsidP="00385FC8">
      <w:pPr>
        <w:pStyle w:val="Default"/>
        <w:ind w:left="851"/>
        <w:rPr>
          <w:lang w:val="en-GB"/>
        </w:rPr>
      </w:pPr>
      <w:r w:rsidRPr="00385FC8">
        <w:rPr>
          <w:lang w:val="en-GB"/>
        </w:rPr>
        <w:t>Three hundred and thirty-six patients aged 6-17 years were evaluated in the pivotal Phase 3 European Study SPD489-325. In this seven-week randomised double-blind, dose-optimised, placebo- and active-controlled study, lisdexamfetamine showed significantly greater efficacy than placebo.</w:t>
      </w:r>
    </w:p>
    <w:p w14:paraId="15C848BE" w14:textId="77777777" w:rsidR="00385FC8" w:rsidRPr="00385FC8" w:rsidRDefault="00385FC8" w:rsidP="00385FC8">
      <w:pPr>
        <w:pStyle w:val="Default"/>
        <w:ind w:left="851"/>
        <w:rPr>
          <w:lang w:val="en-GB"/>
        </w:rPr>
      </w:pPr>
    </w:p>
    <w:p w14:paraId="3F9B6F79" w14:textId="77777777" w:rsidR="00385FC8" w:rsidRPr="00385FC8" w:rsidRDefault="00385FC8" w:rsidP="00385FC8">
      <w:pPr>
        <w:pStyle w:val="Default"/>
        <w:ind w:left="851"/>
        <w:rPr>
          <w:lang w:val="en-GB"/>
        </w:rPr>
      </w:pPr>
      <w:r w:rsidRPr="00385FC8">
        <w:rPr>
          <w:lang w:val="en-GB"/>
        </w:rPr>
        <w:t>The ADHD Rating Scale is a measure of the core symptoms of ADHD. The placebo-adjusted mean reduction from baseline in patients treated with lisdexamfetamine on the ADHD-RS-IV Total Score was 18.6 (p&lt;0.001). At every on-treatment visit and at Endpoint the percentages of subjects who met pre-defined response criteria (a ≥30% reduction from Baseline in ADHD-RS-IV Total Score and a CGI-I value of 1 or 2) was significantly higher (p&lt;0.001) for lisdexamfetamine when compared to placebo. The endpoint of this study is defined in Table 1. The results were also significantly higher for lisdexamfetamine when compared to placebo when the individual components of the response criteria were evaluated. In addition, mean scores for ADHD symptoms following treatment discontinuation did not exceed baseline scores prior to treatment, indicating there was no rebound effect.</w:t>
      </w:r>
    </w:p>
    <w:p w14:paraId="4910559D" w14:textId="77777777" w:rsidR="00385FC8" w:rsidRPr="00385FC8" w:rsidRDefault="00385FC8" w:rsidP="00385FC8">
      <w:pPr>
        <w:pStyle w:val="Default"/>
        <w:ind w:left="851"/>
        <w:rPr>
          <w:lang w:val="en-GB"/>
        </w:rPr>
      </w:pPr>
    </w:p>
    <w:p w14:paraId="12B14E04" w14:textId="77777777" w:rsidR="00385FC8" w:rsidRPr="00385FC8" w:rsidRDefault="00385FC8" w:rsidP="00385FC8">
      <w:pPr>
        <w:pStyle w:val="Default"/>
        <w:ind w:left="851"/>
        <w:rPr>
          <w:lang w:val="en-GB"/>
        </w:rPr>
      </w:pPr>
      <w:r w:rsidRPr="00385FC8">
        <w:rPr>
          <w:lang w:val="en-GB"/>
        </w:rPr>
        <w:t xml:space="preserve">In addition to a reduction in symptoms, clinical studies have demonstrated that lisdexamfetamine significantly improves functional outcomes. Specifically, in Study SPD489-325, 75.0% of subjects on lisdexamfetamine showed Improvement (defined as “very much improved” or “much improved”) on the Clinical Global Impression-Improvement (CGI-I) rating scale compared to 14.2% on placebo (p&lt;0.001). </w:t>
      </w:r>
    </w:p>
    <w:p w14:paraId="370AAB19" w14:textId="77777777" w:rsidR="00385FC8" w:rsidRPr="00385FC8" w:rsidRDefault="00385FC8" w:rsidP="00385FC8">
      <w:pPr>
        <w:pStyle w:val="Default"/>
        <w:ind w:left="851"/>
        <w:rPr>
          <w:lang w:val="en-GB"/>
        </w:rPr>
      </w:pPr>
    </w:p>
    <w:p w14:paraId="2F52A80A" w14:textId="77777777" w:rsidR="00385FC8" w:rsidRPr="00385FC8" w:rsidRDefault="00385FC8" w:rsidP="00385FC8">
      <w:pPr>
        <w:pStyle w:val="Default"/>
        <w:ind w:left="851"/>
        <w:rPr>
          <w:lang w:val="en-GB"/>
        </w:rPr>
      </w:pPr>
      <w:r w:rsidRPr="00385FC8">
        <w:rPr>
          <w:lang w:val="en-GB"/>
        </w:rPr>
        <w:t>lisdexamfetamine showed significant improvement in child achievement in academic performance, as measured by the Health Related Quality of life instrument, Parent Report Form of the Child Health and Illness Profile-Child Edition (CHIP-CE:PRF) Achievement Domain. Lisdexamfetamine demonstrated a significant improvement from baseline compared to placebo (lisdexamfetamine: 9.4 versus Placebo -1.1) with a mean difference between the two treatment groups of 10.5 (p&lt;0.001).</w:t>
      </w:r>
    </w:p>
    <w:p w14:paraId="110545D4" w14:textId="77777777" w:rsidR="00385FC8" w:rsidRPr="00385FC8" w:rsidRDefault="00385FC8" w:rsidP="00385FC8">
      <w:pPr>
        <w:pStyle w:val="Default"/>
        <w:ind w:left="851"/>
        <w:rPr>
          <w:lang w:val="en-GB"/>
        </w:rPr>
      </w:pPr>
    </w:p>
    <w:p w14:paraId="1254805A" w14:textId="77777777" w:rsidR="00385FC8" w:rsidRDefault="00385FC8" w:rsidP="00385FC8">
      <w:pPr>
        <w:pStyle w:val="Default"/>
        <w:rPr>
          <w:b/>
          <w:sz w:val="22"/>
          <w:szCs w:val="22"/>
          <w:lang w:val="en-GB"/>
        </w:rPr>
      </w:pPr>
      <w:r>
        <w:rPr>
          <w:b/>
          <w:sz w:val="22"/>
          <w:szCs w:val="22"/>
          <w:lang w:val="en-GB"/>
        </w:rPr>
        <w:t>Table 1: Outcome Results for Study SPD489-325 at Endpoint1 (Full Analysis Set)</w:t>
      </w:r>
    </w:p>
    <w:p w14:paraId="4ECCC839" w14:textId="77777777" w:rsidR="00385FC8" w:rsidRDefault="00385FC8" w:rsidP="00385FC8">
      <w:pPr>
        <w:pStyle w:val="Default"/>
        <w:rPr>
          <w:b/>
          <w:sz w:val="22"/>
          <w:szCs w:val="22"/>
          <w:lang w:val="en-GB"/>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0"/>
        <w:gridCol w:w="1985"/>
        <w:gridCol w:w="1753"/>
        <w:gridCol w:w="1897"/>
      </w:tblGrid>
      <w:tr w:rsidR="00385FC8" w14:paraId="3BC00955" w14:textId="77777777" w:rsidTr="00385FC8">
        <w:trPr>
          <w:trHeight w:val="446"/>
        </w:trPr>
        <w:tc>
          <w:tcPr>
            <w:tcW w:w="3652" w:type="dxa"/>
            <w:tcBorders>
              <w:top w:val="single" w:sz="4" w:space="0" w:color="000000"/>
              <w:left w:val="single" w:sz="4" w:space="0" w:color="000000"/>
              <w:bottom w:val="single" w:sz="4" w:space="0" w:color="000000"/>
              <w:right w:val="single" w:sz="4" w:space="0" w:color="000000"/>
            </w:tcBorders>
          </w:tcPr>
          <w:p w14:paraId="212A1025" w14:textId="77777777" w:rsidR="00385FC8" w:rsidRDefault="00385FC8">
            <w:pPr>
              <w:pStyle w:val="TableParagraph"/>
              <w:spacing w:line="240" w:lineRule="auto"/>
              <w:ind w:left="0"/>
              <w:rPr>
                <w:sz w:val="20"/>
                <w:lang w:val="en-GB"/>
              </w:rPr>
            </w:pPr>
          </w:p>
        </w:tc>
        <w:tc>
          <w:tcPr>
            <w:tcW w:w="1985" w:type="dxa"/>
            <w:tcBorders>
              <w:top w:val="single" w:sz="4" w:space="0" w:color="000000"/>
              <w:left w:val="single" w:sz="4" w:space="0" w:color="000000"/>
              <w:bottom w:val="single" w:sz="4" w:space="0" w:color="000000"/>
              <w:right w:val="single" w:sz="4" w:space="0" w:color="000000"/>
            </w:tcBorders>
          </w:tcPr>
          <w:p w14:paraId="65BA2252" w14:textId="77777777" w:rsidR="00385FC8" w:rsidRDefault="00385FC8">
            <w:pPr>
              <w:pStyle w:val="TableParagraph"/>
              <w:spacing w:line="240" w:lineRule="auto"/>
              <w:ind w:left="108"/>
              <w:rPr>
                <w:sz w:val="19"/>
              </w:rPr>
            </w:pPr>
            <w:r>
              <w:rPr>
                <w:sz w:val="19"/>
              </w:rPr>
              <w:t>Lisdexamfetamine</w:t>
            </w:r>
          </w:p>
          <w:p w14:paraId="30C39D8C" w14:textId="77777777" w:rsidR="00385FC8" w:rsidRDefault="00385FC8">
            <w:pPr>
              <w:pStyle w:val="TableParagraph"/>
              <w:spacing w:before="5"/>
              <w:ind w:left="108"/>
              <w:rPr>
                <w:sz w:val="19"/>
              </w:rPr>
            </w:pPr>
          </w:p>
        </w:tc>
        <w:tc>
          <w:tcPr>
            <w:tcW w:w="1753" w:type="dxa"/>
            <w:tcBorders>
              <w:top w:val="single" w:sz="4" w:space="0" w:color="000000"/>
              <w:left w:val="single" w:sz="4" w:space="0" w:color="000000"/>
              <w:bottom w:val="single" w:sz="4" w:space="0" w:color="000000"/>
              <w:right w:val="single" w:sz="4" w:space="0" w:color="000000"/>
            </w:tcBorders>
            <w:hideMark/>
          </w:tcPr>
          <w:p w14:paraId="5B7FE411" w14:textId="77777777" w:rsidR="00385FC8" w:rsidRDefault="00385FC8">
            <w:pPr>
              <w:pStyle w:val="TableParagraph"/>
              <w:spacing w:line="240" w:lineRule="auto"/>
              <w:ind w:left="108"/>
              <w:rPr>
                <w:sz w:val="19"/>
              </w:rPr>
            </w:pPr>
            <w:r>
              <w:rPr>
                <w:sz w:val="19"/>
              </w:rPr>
              <w:t>Placebo</w:t>
            </w:r>
          </w:p>
        </w:tc>
        <w:tc>
          <w:tcPr>
            <w:tcW w:w="1897" w:type="dxa"/>
            <w:tcBorders>
              <w:top w:val="single" w:sz="4" w:space="0" w:color="000000"/>
              <w:left w:val="single" w:sz="4" w:space="0" w:color="000000"/>
              <w:bottom w:val="single" w:sz="4" w:space="0" w:color="000000"/>
              <w:right w:val="single" w:sz="4" w:space="0" w:color="000000"/>
            </w:tcBorders>
            <w:hideMark/>
          </w:tcPr>
          <w:p w14:paraId="545D42B5" w14:textId="77777777" w:rsidR="00385FC8" w:rsidRDefault="00385FC8">
            <w:pPr>
              <w:pStyle w:val="TableParagraph"/>
              <w:spacing w:line="240" w:lineRule="auto"/>
              <w:ind w:left="108"/>
              <w:rPr>
                <w:sz w:val="19"/>
              </w:rPr>
            </w:pPr>
            <w:r>
              <w:rPr>
                <w:sz w:val="19"/>
              </w:rPr>
              <w:t>Methylphenidate</w:t>
            </w:r>
          </w:p>
          <w:p w14:paraId="18D4EE20" w14:textId="77777777" w:rsidR="00385FC8" w:rsidRDefault="00385FC8">
            <w:pPr>
              <w:pStyle w:val="TableParagraph"/>
              <w:spacing w:before="5"/>
              <w:ind w:left="108"/>
              <w:rPr>
                <w:sz w:val="19"/>
              </w:rPr>
            </w:pPr>
            <w:r>
              <w:rPr>
                <w:sz w:val="19"/>
              </w:rPr>
              <w:t>hydrochloride</w:t>
            </w:r>
          </w:p>
        </w:tc>
      </w:tr>
      <w:tr w:rsidR="00385FC8" w:rsidRPr="00C35E91" w14:paraId="339786D1"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5132D533" w14:textId="77777777" w:rsidR="00385FC8" w:rsidRDefault="00385FC8">
            <w:pPr>
              <w:pStyle w:val="TableParagraph"/>
              <w:spacing w:before="14" w:line="205" w:lineRule="exact"/>
              <w:ind w:left="108"/>
              <w:rPr>
                <w:b/>
                <w:sz w:val="19"/>
                <w:lang w:val="en-GB"/>
              </w:rPr>
            </w:pPr>
            <w:r>
              <w:rPr>
                <w:b/>
                <w:sz w:val="19"/>
                <w:lang w:val="en-GB"/>
              </w:rPr>
              <w:t>Change</w:t>
            </w:r>
            <w:r>
              <w:rPr>
                <w:b/>
                <w:spacing w:val="-2"/>
                <w:sz w:val="19"/>
                <w:lang w:val="en-GB"/>
              </w:rPr>
              <w:t xml:space="preserve"> </w:t>
            </w:r>
            <w:r>
              <w:rPr>
                <w:b/>
                <w:sz w:val="19"/>
                <w:lang w:val="en-GB"/>
              </w:rPr>
              <w:t>in</w:t>
            </w:r>
            <w:r>
              <w:rPr>
                <w:b/>
                <w:spacing w:val="-2"/>
                <w:sz w:val="19"/>
                <w:lang w:val="en-GB"/>
              </w:rPr>
              <w:t xml:space="preserve"> </w:t>
            </w:r>
            <w:r>
              <w:rPr>
                <w:b/>
                <w:sz w:val="19"/>
                <w:lang w:val="en-GB"/>
              </w:rPr>
              <w:t>ADHD-RS</w:t>
            </w:r>
            <w:r>
              <w:rPr>
                <w:b/>
                <w:spacing w:val="-2"/>
                <w:sz w:val="19"/>
                <w:lang w:val="en-GB"/>
              </w:rPr>
              <w:t xml:space="preserve"> </w:t>
            </w:r>
            <w:r>
              <w:rPr>
                <w:b/>
                <w:sz w:val="19"/>
                <w:lang w:val="en-GB"/>
              </w:rPr>
              <w:t>IV Total</w:t>
            </w:r>
            <w:r>
              <w:rPr>
                <w:b/>
                <w:spacing w:val="-2"/>
                <w:sz w:val="19"/>
                <w:lang w:val="en-GB"/>
              </w:rPr>
              <w:t xml:space="preserve"> </w:t>
            </w:r>
            <w:r>
              <w:rPr>
                <w:b/>
                <w:sz w:val="19"/>
                <w:lang w:val="en-GB"/>
              </w:rPr>
              <w:t>Score</w:t>
            </w:r>
          </w:p>
        </w:tc>
        <w:tc>
          <w:tcPr>
            <w:tcW w:w="1985" w:type="dxa"/>
            <w:tcBorders>
              <w:top w:val="single" w:sz="4" w:space="0" w:color="000000"/>
              <w:left w:val="single" w:sz="4" w:space="0" w:color="000000"/>
              <w:bottom w:val="single" w:sz="4" w:space="0" w:color="000000"/>
              <w:right w:val="single" w:sz="4" w:space="0" w:color="000000"/>
            </w:tcBorders>
          </w:tcPr>
          <w:p w14:paraId="2629DEC5" w14:textId="77777777" w:rsidR="00385FC8" w:rsidRDefault="00385FC8">
            <w:pPr>
              <w:pStyle w:val="TableParagraph"/>
              <w:spacing w:line="240" w:lineRule="auto"/>
              <w:ind w:left="0"/>
              <w:rPr>
                <w:sz w:val="16"/>
                <w:lang w:val="en-GB"/>
              </w:rPr>
            </w:pPr>
          </w:p>
        </w:tc>
        <w:tc>
          <w:tcPr>
            <w:tcW w:w="1753" w:type="dxa"/>
            <w:tcBorders>
              <w:top w:val="single" w:sz="4" w:space="0" w:color="000000"/>
              <w:left w:val="single" w:sz="4" w:space="0" w:color="000000"/>
              <w:bottom w:val="single" w:sz="4" w:space="0" w:color="000000"/>
              <w:right w:val="single" w:sz="4" w:space="0" w:color="000000"/>
            </w:tcBorders>
          </w:tcPr>
          <w:p w14:paraId="2F53EBDB" w14:textId="77777777" w:rsidR="00385FC8" w:rsidRDefault="00385FC8">
            <w:pPr>
              <w:pStyle w:val="TableParagraph"/>
              <w:spacing w:line="240" w:lineRule="auto"/>
              <w:ind w:left="0"/>
              <w:rPr>
                <w:sz w:val="16"/>
                <w:lang w:val="en-GB"/>
              </w:rPr>
            </w:pPr>
          </w:p>
        </w:tc>
        <w:tc>
          <w:tcPr>
            <w:tcW w:w="1897" w:type="dxa"/>
            <w:tcBorders>
              <w:top w:val="single" w:sz="4" w:space="0" w:color="000000"/>
              <w:left w:val="single" w:sz="4" w:space="0" w:color="000000"/>
              <w:bottom w:val="single" w:sz="4" w:space="0" w:color="000000"/>
              <w:right w:val="single" w:sz="4" w:space="0" w:color="000000"/>
            </w:tcBorders>
          </w:tcPr>
          <w:p w14:paraId="418C048E" w14:textId="77777777" w:rsidR="00385FC8" w:rsidRDefault="00385FC8">
            <w:pPr>
              <w:pStyle w:val="TableParagraph"/>
              <w:spacing w:line="240" w:lineRule="auto"/>
              <w:ind w:left="0"/>
              <w:rPr>
                <w:sz w:val="16"/>
                <w:lang w:val="en-GB"/>
              </w:rPr>
            </w:pPr>
          </w:p>
        </w:tc>
      </w:tr>
      <w:tr w:rsidR="00385FC8" w14:paraId="099E602A"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571BC17D" w14:textId="77777777" w:rsidR="00385FC8" w:rsidRDefault="00385FC8">
            <w:pPr>
              <w:pStyle w:val="TableParagraph"/>
              <w:spacing w:before="14" w:line="205" w:lineRule="exact"/>
              <w:ind w:left="108"/>
              <w:rPr>
                <w:b/>
                <w:sz w:val="19"/>
              </w:rPr>
            </w:pPr>
            <w:r>
              <w:rPr>
                <w:b/>
                <w:sz w:val="19"/>
              </w:rPr>
              <w:t>Least Square Mean</w:t>
            </w:r>
          </w:p>
        </w:tc>
        <w:tc>
          <w:tcPr>
            <w:tcW w:w="1985" w:type="dxa"/>
            <w:tcBorders>
              <w:top w:val="single" w:sz="4" w:space="0" w:color="000000"/>
              <w:left w:val="single" w:sz="4" w:space="0" w:color="000000"/>
              <w:bottom w:val="single" w:sz="4" w:space="0" w:color="000000"/>
              <w:right w:val="single" w:sz="4" w:space="0" w:color="000000"/>
            </w:tcBorders>
            <w:hideMark/>
          </w:tcPr>
          <w:p w14:paraId="5EDAAFC6" w14:textId="77777777" w:rsidR="00385FC8" w:rsidRDefault="00385FC8">
            <w:pPr>
              <w:pStyle w:val="TableParagraph"/>
              <w:spacing w:line="240" w:lineRule="auto"/>
              <w:ind w:left="0"/>
              <w:rPr>
                <w:sz w:val="16"/>
              </w:rPr>
            </w:pPr>
            <w:r>
              <w:rPr>
                <w:sz w:val="16"/>
              </w:rPr>
              <w:t>-24.3</w:t>
            </w:r>
          </w:p>
        </w:tc>
        <w:tc>
          <w:tcPr>
            <w:tcW w:w="1753" w:type="dxa"/>
            <w:tcBorders>
              <w:top w:val="single" w:sz="4" w:space="0" w:color="000000"/>
              <w:left w:val="single" w:sz="4" w:space="0" w:color="000000"/>
              <w:bottom w:val="single" w:sz="4" w:space="0" w:color="000000"/>
              <w:right w:val="single" w:sz="4" w:space="0" w:color="000000"/>
            </w:tcBorders>
            <w:hideMark/>
          </w:tcPr>
          <w:p w14:paraId="06963732" w14:textId="77777777" w:rsidR="00385FC8" w:rsidRDefault="00385FC8">
            <w:pPr>
              <w:pStyle w:val="TableParagraph"/>
              <w:spacing w:line="240" w:lineRule="auto"/>
              <w:ind w:left="0"/>
              <w:rPr>
                <w:sz w:val="16"/>
              </w:rPr>
            </w:pPr>
            <w:r>
              <w:rPr>
                <w:sz w:val="16"/>
              </w:rPr>
              <w:t>-5.7</w:t>
            </w:r>
          </w:p>
        </w:tc>
        <w:tc>
          <w:tcPr>
            <w:tcW w:w="1897" w:type="dxa"/>
            <w:tcBorders>
              <w:top w:val="single" w:sz="4" w:space="0" w:color="000000"/>
              <w:left w:val="single" w:sz="4" w:space="0" w:color="000000"/>
              <w:bottom w:val="single" w:sz="4" w:space="0" w:color="000000"/>
              <w:right w:val="single" w:sz="4" w:space="0" w:color="000000"/>
            </w:tcBorders>
            <w:hideMark/>
          </w:tcPr>
          <w:p w14:paraId="4BD01ABB" w14:textId="77777777" w:rsidR="00385FC8" w:rsidRDefault="00385FC8">
            <w:pPr>
              <w:pStyle w:val="TableParagraph"/>
              <w:spacing w:line="240" w:lineRule="auto"/>
              <w:ind w:left="0"/>
              <w:rPr>
                <w:sz w:val="16"/>
              </w:rPr>
            </w:pPr>
            <w:r>
              <w:rPr>
                <w:sz w:val="16"/>
              </w:rPr>
              <w:t>-18.7</w:t>
            </w:r>
          </w:p>
        </w:tc>
      </w:tr>
      <w:tr w:rsidR="00385FC8" w14:paraId="30413F59"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1BDBD1C6" w14:textId="77777777" w:rsidR="00385FC8" w:rsidRDefault="00385FC8">
            <w:pPr>
              <w:pStyle w:val="TableParagraph"/>
              <w:spacing w:before="14" w:line="205" w:lineRule="exact"/>
              <w:ind w:left="108"/>
              <w:rPr>
                <w:b/>
                <w:sz w:val="19"/>
              </w:rPr>
            </w:pPr>
            <w:r>
              <w:rPr>
                <w:b/>
                <w:sz w:val="19"/>
              </w:rPr>
              <w:t>Effect size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5B0B5A57" w14:textId="77777777" w:rsidR="00385FC8" w:rsidRDefault="00385FC8">
            <w:pPr>
              <w:pStyle w:val="TableParagraph"/>
              <w:spacing w:line="240" w:lineRule="auto"/>
              <w:ind w:left="0"/>
              <w:rPr>
                <w:sz w:val="16"/>
              </w:rPr>
            </w:pPr>
            <w:r>
              <w:rPr>
                <w:sz w:val="16"/>
              </w:rPr>
              <w:t>1.804</w:t>
            </w:r>
          </w:p>
        </w:tc>
        <w:tc>
          <w:tcPr>
            <w:tcW w:w="1753" w:type="dxa"/>
            <w:tcBorders>
              <w:top w:val="single" w:sz="4" w:space="0" w:color="000000"/>
              <w:left w:val="single" w:sz="4" w:space="0" w:color="000000"/>
              <w:bottom w:val="single" w:sz="4" w:space="0" w:color="000000"/>
              <w:right w:val="single" w:sz="4" w:space="0" w:color="000000"/>
            </w:tcBorders>
            <w:hideMark/>
          </w:tcPr>
          <w:p w14:paraId="5D95AB66"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51DD4231" w14:textId="77777777" w:rsidR="00385FC8" w:rsidRDefault="00385FC8">
            <w:pPr>
              <w:pStyle w:val="TableParagraph"/>
              <w:spacing w:line="240" w:lineRule="auto"/>
              <w:ind w:left="0"/>
              <w:rPr>
                <w:sz w:val="16"/>
              </w:rPr>
            </w:pPr>
            <w:r>
              <w:rPr>
                <w:sz w:val="16"/>
              </w:rPr>
              <w:t>1.263</w:t>
            </w:r>
          </w:p>
        </w:tc>
      </w:tr>
      <w:tr w:rsidR="00385FC8" w14:paraId="1444883B"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5228023D" w14:textId="77777777" w:rsidR="00385FC8" w:rsidRDefault="00385FC8">
            <w:pPr>
              <w:pStyle w:val="TableParagraph"/>
              <w:spacing w:before="14" w:line="205" w:lineRule="exact"/>
              <w:ind w:left="108"/>
              <w:rPr>
                <w:b/>
                <w:sz w:val="19"/>
              </w:rPr>
            </w:pPr>
            <w:r>
              <w:rPr>
                <w:b/>
                <w:sz w:val="19"/>
              </w:rPr>
              <w:t>P-value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63EAADE2" w14:textId="77777777" w:rsidR="00385FC8" w:rsidRDefault="00385FC8">
            <w:pPr>
              <w:pStyle w:val="TableParagraph"/>
              <w:spacing w:line="240" w:lineRule="auto"/>
              <w:ind w:left="0"/>
              <w:rPr>
                <w:sz w:val="16"/>
              </w:rPr>
            </w:pPr>
            <w:r>
              <w:rPr>
                <w:sz w:val="16"/>
              </w:rPr>
              <w:t>&lt;0.001</w:t>
            </w:r>
          </w:p>
        </w:tc>
        <w:tc>
          <w:tcPr>
            <w:tcW w:w="1753" w:type="dxa"/>
            <w:tcBorders>
              <w:top w:val="single" w:sz="4" w:space="0" w:color="000000"/>
              <w:left w:val="single" w:sz="4" w:space="0" w:color="000000"/>
              <w:bottom w:val="single" w:sz="4" w:space="0" w:color="000000"/>
              <w:right w:val="single" w:sz="4" w:space="0" w:color="000000"/>
            </w:tcBorders>
            <w:hideMark/>
          </w:tcPr>
          <w:p w14:paraId="3D1D9B22"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33D52DA3" w14:textId="77777777" w:rsidR="00385FC8" w:rsidRDefault="00385FC8">
            <w:pPr>
              <w:pStyle w:val="TableParagraph"/>
              <w:spacing w:line="240" w:lineRule="auto"/>
              <w:ind w:left="0"/>
              <w:rPr>
                <w:sz w:val="16"/>
              </w:rPr>
            </w:pPr>
            <w:r>
              <w:rPr>
                <w:sz w:val="16"/>
              </w:rPr>
              <w:t>&lt;0.001</w:t>
            </w:r>
          </w:p>
        </w:tc>
      </w:tr>
      <w:tr w:rsidR="00385FC8" w14:paraId="6EEB4DB7"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242AF3E3" w14:textId="77777777" w:rsidR="00385FC8" w:rsidRDefault="00385FC8">
            <w:pPr>
              <w:pStyle w:val="TableParagraph"/>
              <w:spacing w:before="14" w:line="205" w:lineRule="exact"/>
              <w:ind w:left="108"/>
              <w:rPr>
                <w:b/>
                <w:sz w:val="19"/>
              </w:rPr>
            </w:pPr>
            <w:r>
              <w:rPr>
                <w:b/>
                <w:sz w:val="19"/>
              </w:rPr>
              <w:t>ADHD-RS-IV Responders</w:t>
            </w:r>
          </w:p>
        </w:tc>
        <w:tc>
          <w:tcPr>
            <w:tcW w:w="1985" w:type="dxa"/>
            <w:tcBorders>
              <w:top w:val="single" w:sz="4" w:space="0" w:color="000000"/>
              <w:left w:val="single" w:sz="4" w:space="0" w:color="000000"/>
              <w:bottom w:val="single" w:sz="4" w:space="0" w:color="000000"/>
              <w:right w:val="single" w:sz="4" w:space="0" w:color="000000"/>
            </w:tcBorders>
          </w:tcPr>
          <w:p w14:paraId="1EDB04A3" w14:textId="77777777" w:rsidR="00385FC8" w:rsidRDefault="00385FC8">
            <w:pPr>
              <w:pStyle w:val="TableParagraph"/>
              <w:spacing w:line="240" w:lineRule="auto"/>
              <w:ind w:left="0"/>
              <w:rPr>
                <w:sz w:val="16"/>
              </w:rPr>
            </w:pPr>
          </w:p>
        </w:tc>
        <w:tc>
          <w:tcPr>
            <w:tcW w:w="1753" w:type="dxa"/>
            <w:tcBorders>
              <w:top w:val="single" w:sz="4" w:space="0" w:color="000000"/>
              <w:left w:val="single" w:sz="4" w:space="0" w:color="000000"/>
              <w:bottom w:val="single" w:sz="4" w:space="0" w:color="000000"/>
              <w:right w:val="single" w:sz="4" w:space="0" w:color="000000"/>
            </w:tcBorders>
          </w:tcPr>
          <w:p w14:paraId="534DAB65" w14:textId="77777777" w:rsidR="00385FC8" w:rsidRDefault="00385FC8">
            <w:pPr>
              <w:pStyle w:val="TableParagraph"/>
              <w:spacing w:line="240" w:lineRule="auto"/>
              <w:ind w:left="0"/>
              <w:rPr>
                <w:sz w:val="16"/>
              </w:rPr>
            </w:pPr>
          </w:p>
        </w:tc>
        <w:tc>
          <w:tcPr>
            <w:tcW w:w="1897" w:type="dxa"/>
            <w:tcBorders>
              <w:top w:val="single" w:sz="4" w:space="0" w:color="000000"/>
              <w:left w:val="single" w:sz="4" w:space="0" w:color="000000"/>
              <w:bottom w:val="single" w:sz="4" w:space="0" w:color="000000"/>
              <w:right w:val="single" w:sz="4" w:space="0" w:color="000000"/>
            </w:tcBorders>
          </w:tcPr>
          <w:p w14:paraId="65B514C9" w14:textId="77777777" w:rsidR="00385FC8" w:rsidRDefault="00385FC8">
            <w:pPr>
              <w:pStyle w:val="TableParagraph"/>
              <w:spacing w:line="240" w:lineRule="auto"/>
              <w:ind w:left="0"/>
              <w:rPr>
                <w:sz w:val="16"/>
              </w:rPr>
            </w:pPr>
          </w:p>
        </w:tc>
      </w:tr>
      <w:tr w:rsidR="00385FC8" w14:paraId="2C89FAD4"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5411587F" w14:textId="77777777" w:rsidR="00385FC8" w:rsidRDefault="00385FC8">
            <w:pPr>
              <w:pStyle w:val="TableParagraph"/>
              <w:spacing w:before="14" w:line="205" w:lineRule="exact"/>
              <w:ind w:left="108"/>
              <w:rPr>
                <w:b/>
                <w:sz w:val="19"/>
              </w:rPr>
            </w:pPr>
            <w:r>
              <w:rPr>
                <w:b/>
                <w:sz w:val="19"/>
              </w:rPr>
              <w:t>Patients Showing a response2</w:t>
            </w:r>
          </w:p>
        </w:tc>
        <w:tc>
          <w:tcPr>
            <w:tcW w:w="1985" w:type="dxa"/>
            <w:tcBorders>
              <w:top w:val="single" w:sz="4" w:space="0" w:color="000000"/>
              <w:left w:val="single" w:sz="4" w:space="0" w:color="000000"/>
              <w:bottom w:val="single" w:sz="4" w:space="0" w:color="000000"/>
              <w:right w:val="single" w:sz="4" w:space="0" w:color="000000"/>
            </w:tcBorders>
            <w:hideMark/>
          </w:tcPr>
          <w:p w14:paraId="387CD315" w14:textId="77777777" w:rsidR="00385FC8" w:rsidRDefault="00385FC8">
            <w:pPr>
              <w:pStyle w:val="TableParagraph"/>
              <w:spacing w:line="240" w:lineRule="auto"/>
              <w:ind w:left="0"/>
              <w:rPr>
                <w:sz w:val="16"/>
              </w:rPr>
            </w:pPr>
            <w:r>
              <w:rPr>
                <w:sz w:val="16"/>
              </w:rPr>
              <w:t>83.7% (87/104)</w:t>
            </w:r>
          </w:p>
        </w:tc>
        <w:tc>
          <w:tcPr>
            <w:tcW w:w="1753" w:type="dxa"/>
            <w:tcBorders>
              <w:top w:val="single" w:sz="4" w:space="0" w:color="000000"/>
              <w:left w:val="single" w:sz="4" w:space="0" w:color="000000"/>
              <w:bottom w:val="single" w:sz="4" w:space="0" w:color="000000"/>
              <w:right w:val="single" w:sz="4" w:space="0" w:color="000000"/>
            </w:tcBorders>
            <w:hideMark/>
          </w:tcPr>
          <w:p w14:paraId="27BAA964" w14:textId="77777777" w:rsidR="00385FC8" w:rsidRDefault="00385FC8">
            <w:pPr>
              <w:pStyle w:val="TableParagraph"/>
              <w:spacing w:line="240" w:lineRule="auto"/>
              <w:ind w:left="0"/>
              <w:rPr>
                <w:sz w:val="16"/>
              </w:rPr>
            </w:pPr>
            <w:r>
              <w:rPr>
                <w:sz w:val="16"/>
              </w:rPr>
              <w:t>22.6% (24/106)</w:t>
            </w:r>
          </w:p>
        </w:tc>
        <w:tc>
          <w:tcPr>
            <w:tcW w:w="1897" w:type="dxa"/>
            <w:tcBorders>
              <w:top w:val="single" w:sz="4" w:space="0" w:color="000000"/>
              <w:left w:val="single" w:sz="4" w:space="0" w:color="000000"/>
              <w:bottom w:val="single" w:sz="4" w:space="0" w:color="000000"/>
              <w:right w:val="single" w:sz="4" w:space="0" w:color="000000"/>
            </w:tcBorders>
            <w:hideMark/>
          </w:tcPr>
          <w:p w14:paraId="3F013639" w14:textId="77777777" w:rsidR="00385FC8" w:rsidRDefault="00385FC8">
            <w:pPr>
              <w:pStyle w:val="TableParagraph"/>
              <w:spacing w:line="240" w:lineRule="auto"/>
              <w:ind w:left="0"/>
              <w:rPr>
                <w:sz w:val="16"/>
              </w:rPr>
            </w:pPr>
            <w:r>
              <w:rPr>
                <w:sz w:val="16"/>
              </w:rPr>
              <w:t>68.2% (73/107)</w:t>
            </w:r>
          </w:p>
        </w:tc>
      </w:tr>
      <w:tr w:rsidR="00385FC8" w14:paraId="19051520"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446873DA" w14:textId="77777777" w:rsidR="00385FC8" w:rsidRDefault="00385FC8">
            <w:pPr>
              <w:pStyle w:val="TableParagraph"/>
              <w:spacing w:before="14" w:line="205" w:lineRule="exact"/>
              <w:ind w:left="108"/>
              <w:rPr>
                <w:b/>
                <w:sz w:val="19"/>
                <w:lang w:val="en-GB"/>
              </w:rPr>
            </w:pPr>
            <w:r>
              <w:rPr>
                <w:b/>
                <w:sz w:val="19"/>
                <w:lang w:val="en-GB"/>
              </w:rPr>
              <w:t>Difference in response from placebo</w:t>
            </w:r>
          </w:p>
        </w:tc>
        <w:tc>
          <w:tcPr>
            <w:tcW w:w="1985" w:type="dxa"/>
            <w:tcBorders>
              <w:top w:val="single" w:sz="4" w:space="0" w:color="000000"/>
              <w:left w:val="single" w:sz="4" w:space="0" w:color="000000"/>
              <w:bottom w:val="single" w:sz="4" w:space="0" w:color="000000"/>
              <w:right w:val="single" w:sz="4" w:space="0" w:color="000000"/>
            </w:tcBorders>
            <w:hideMark/>
          </w:tcPr>
          <w:p w14:paraId="76314E0E" w14:textId="77777777" w:rsidR="00385FC8" w:rsidRDefault="00385FC8">
            <w:pPr>
              <w:pStyle w:val="TableParagraph"/>
              <w:spacing w:line="240" w:lineRule="auto"/>
              <w:ind w:left="0"/>
              <w:rPr>
                <w:sz w:val="16"/>
              </w:rPr>
            </w:pPr>
            <w:r>
              <w:rPr>
                <w:sz w:val="16"/>
              </w:rPr>
              <w:t>61.0</w:t>
            </w:r>
          </w:p>
        </w:tc>
        <w:tc>
          <w:tcPr>
            <w:tcW w:w="1753" w:type="dxa"/>
            <w:tcBorders>
              <w:top w:val="single" w:sz="4" w:space="0" w:color="000000"/>
              <w:left w:val="single" w:sz="4" w:space="0" w:color="000000"/>
              <w:bottom w:val="single" w:sz="4" w:space="0" w:color="000000"/>
              <w:right w:val="single" w:sz="4" w:space="0" w:color="000000"/>
            </w:tcBorders>
            <w:hideMark/>
          </w:tcPr>
          <w:p w14:paraId="5C8C6373"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10D01011" w14:textId="77777777" w:rsidR="00385FC8" w:rsidRDefault="00385FC8">
            <w:pPr>
              <w:pStyle w:val="TableParagraph"/>
              <w:spacing w:line="240" w:lineRule="auto"/>
              <w:ind w:left="0"/>
              <w:rPr>
                <w:sz w:val="16"/>
              </w:rPr>
            </w:pPr>
            <w:r>
              <w:rPr>
                <w:sz w:val="16"/>
              </w:rPr>
              <w:t>45.6</w:t>
            </w:r>
          </w:p>
        </w:tc>
      </w:tr>
      <w:tr w:rsidR="00385FC8" w14:paraId="4AC1FEB6"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730821E5" w14:textId="77777777" w:rsidR="00385FC8" w:rsidRDefault="00385FC8">
            <w:pPr>
              <w:pStyle w:val="TableParagraph"/>
              <w:spacing w:before="14" w:line="205" w:lineRule="exact"/>
              <w:ind w:left="108"/>
              <w:rPr>
                <w:b/>
                <w:sz w:val="19"/>
              </w:rPr>
            </w:pPr>
            <w:r>
              <w:rPr>
                <w:b/>
                <w:sz w:val="19"/>
              </w:rPr>
              <w:t>P-value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1A095404" w14:textId="77777777" w:rsidR="00385FC8" w:rsidRDefault="00385FC8">
            <w:pPr>
              <w:pStyle w:val="TableParagraph"/>
              <w:spacing w:line="240" w:lineRule="auto"/>
              <w:ind w:left="0"/>
              <w:rPr>
                <w:sz w:val="16"/>
              </w:rPr>
            </w:pPr>
            <w:r>
              <w:rPr>
                <w:sz w:val="16"/>
              </w:rPr>
              <w:t>&lt;0.001</w:t>
            </w:r>
          </w:p>
        </w:tc>
        <w:tc>
          <w:tcPr>
            <w:tcW w:w="1753" w:type="dxa"/>
            <w:tcBorders>
              <w:top w:val="single" w:sz="4" w:space="0" w:color="000000"/>
              <w:left w:val="single" w:sz="4" w:space="0" w:color="000000"/>
              <w:bottom w:val="single" w:sz="4" w:space="0" w:color="000000"/>
              <w:right w:val="single" w:sz="4" w:space="0" w:color="000000"/>
            </w:tcBorders>
            <w:hideMark/>
          </w:tcPr>
          <w:p w14:paraId="72E8E0D0"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6B0570B7" w14:textId="77777777" w:rsidR="00385FC8" w:rsidRDefault="00385FC8">
            <w:pPr>
              <w:pStyle w:val="TableParagraph"/>
              <w:spacing w:line="240" w:lineRule="auto"/>
              <w:ind w:left="0"/>
              <w:rPr>
                <w:sz w:val="16"/>
              </w:rPr>
            </w:pPr>
            <w:r>
              <w:rPr>
                <w:sz w:val="16"/>
              </w:rPr>
              <w:t>&lt;0.001</w:t>
            </w:r>
          </w:p>
        </w:tc>
      </w:tr>
      <w:tr w:rsidR="00385FC8" w14:paraId="74EB53CE"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0F556B0E" w14:textId="77777777" w:rsidR="00385FC8" w:rsidRDefault="00385FC8">
            <w:pPr>
              <w:pStyle w:val="TableParagraph"/>
              <w:spacing w:before="14" w:line="205" w:lineRule="exact"/>
              <w:ind w:left="108"/>
              <w:rPr>
                <w:b/>
                <w:sz w:val="19"/>
              </w:rPr>
            </w:pPr>
            <w:r>
              <w:rPr>
                <w:b/>
                <w:sz w:val="19"/>
              </w:rPr>
              <w:t>CGI-I Responders</w:t>
            </w:r>
          </w:p>
        </w:tc>
        <w:tc>
          <w:tcPr>
            <w:tcW w:w="1985" w:type="dxa"/>
            <w:tcBorders>
              <w:top w:val="single" w:sz="4" w:space="0" w:color="000000"/>
              <w:left w:val="single" w:sz="4" w:space="0" w:color="000000"/>
              <w:bottom w:val="single" w:sz="4" w:space="0" w:color="000000"/>
              <w:right w:val="single" w:sz="4" w:space="0" w:color="000000"/>
            </w:tcBorders>
          </w:tcPr>
          <w:p w14:paraId="5AF8B0E1" w14:textId="77777777" w:rsidR="00385FC8" w:rsidRDefault="00385FC8">
            <w:pPr>
              <w:pStyle w:val="TableParagraph"/>
              <w:spacing w:line="240" w:lineRule="auto"/>
              <w:ind w:left="0"/>
              <w:rPr>
                <w:sz w:val="16"/>
              </w:rPr>
            </w:pPr>
          </w:p>
        </w:tc>
        <w:tc>
          <w:tcPr>
            <w:tcW w:w="1753" w:type="dxa"/>
            <w:tcBorders>
              <w:top w:val="single" w:sz="4" w:space="0" w:color="000000"/>
              <w:left w:val="single" w:sz="4" w:space="0" w:color="000000"/>
              <w:bottom w:val="single" w:sz="4" w:space="0" w:color="000000"/>
              <w:right w:val="single" w:sz="4" w:space="0" w:color="000000"/>
            </w:tcBorders>
          </w:tcPr>
          <w:p w14:paraId="11A69BCE" w14:textId="77777777" w:rsidR="00385FC8" w:rsidRDefault="00385FC8">
            <w:pPr>
              <w:pStyle w:val="TableParagraph"/>
              <w:spacing w:line="240" w:lineRule="auto"/>
              <w:ind w:left="0"/>
              <w:rPr>
                <w:sz w:val="16"/>
              </w:rPr>
            </w:pPr>
          </w:p>
        </w:tc>
        <w:tc>
          <w:tcPr>
            <w:tcW w:w="1897" w:type="dxa"/>
            <w:tcBorders>
              <w:top w:val="single" w:sz="4" w:space="0" w:color="000000"/>
              <w:left w:val="single" w:sz="4" w:space="0" w:color="000000"/>
              <w:bottom w:val="single" w:sz="4" w:space="0" w:color="000000"/>
              <w:right w:val="single" w:sz="4" w:space="0" w:color="000000"/>
            </w:tcBorders>
          </w:tcPr>
          <w:p w14:paraId="3FB3EF2C" w14:textId="77777777" w:rsidR="00385FC8" w:rsidRDefault="00385FC8">
            <w:pPr>
              <w:pStyle w:val="TableParagraph"/>
              <w:spacing w:line="240" w:lineRule="auto"/>
              <w:ind w:left="0"/>
              <w:rPr>
                <w:sz w:val="16"/>
              </w:rPr>
            </w:pPr>
          </w:p>
        </w:tc>
      </w:tr>
      <w:tr w:rsidR="00385FC8" w14:paraId="5611DE34"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02FB0A77" w14:textId="77777777" w:rsidR="00385FC8" w:rsidRDefault="00385FC8">
            <w:pPr>
              <w:pStyle w:val="TableParagraph"/>
              <w:spacing w:before="14" w:line="205" w:lineRule="exact"/>
              <w:ind w:left="108"/>
              <w:rPr>
                <w:b/>
                <w:sz w:val="19"/>
              </w:rPr>
            </w:pPr>
            <w:r>
              <w:rPr>
                <w:b/>
                <w:sz w:val="19"/>
              </w:rPr>
              <w:t>Patients Showing Improvement3</w:t>
            </w:r>
          </w:p>
        </w:tc>
        <w:tc>
          <w:tcPr>
            <w:tcW w:w="1985" w:type="dxa"/>
            <w:tcBorders>
              <w:top w:val="single" w:sz="4" w:space="0" w:color="000000"/>
              <w:left w:val="single" w:sz="4" w:space="0" w:color="000000"/>
              <w:bottom w:val="single" w:sz="4" w:space="0" w:color="000000"/>
              <w:right w:val="single" w:sz="4" w:space="0" w:color="000000"/>
            </w:tcBorders>
            <w:hideMark/>
          </w:tcPr>
          <w:p w14:paraId="73CD17D2" w14:textId="77777777" w:rsidR="00385FC8" w:rsidRDefault="00385FC8">
            <w:pPr>
              <w:pStyle w:val="TableParagraph"/>
              <w:spacing w:line="240" w:lineRule="auto"/>
              <w:ind w:left="0"/>
              <w:rPr>
                <w:sz w:val="16"/>
              </w:rPr>
            </w:pPr>
            <w:r>
              <w:rPr>
                <w:sz w:val="16"/>
              </w:rPr>
              <w:t>75.0% (78/104)</w:t>
            </w:r>
          </w:p>
        </w:tc>
        <w:tc>
          <w:tcPr>
            <w:tcW w:w="1753" w:type="dxa"/>
            <w:tcBorders>
              <w:top w:val="single" w:sz="4" w:space="0" w:color="000000"/>
              <w:left w:val="single" w:sz="4" w:space="0" w:color="000000"/>
              <w:bottom w:val="single" w:sz="4" w:space="0" w:color="000000"/>
              <w:right w:val="single" w:sz="4" w:space="0" w:color="000000"/>
            </w:tcBorders>
            <w:hideMark/>
          </w:tcPr>
          <w:p w14:paraId="1E17D405" w14:textId="77777777" w:rsidR="00385FC8" w:rsidRDefault="00385FC8">
            <w:pPr>
              <w:pStyle w:val="TableParagraph"/>
              <w:spacing w:line="240" w:lineRule="auto"/>
              <w:ind w:left="0"/>
              <w:rPr>
                <w:sz w:val="16"/>
              </w:rPr>
            </w:pPr>
            <w:r>
              <w:rPr>
                <w:sz w:val="16"/>
              </w:rPr>
              <w:t>14.2% (15/106)</w:t>
            </w:r>
          </w:p>
        </w:tc>
        <w:tc>
          <w:tcPr>
            <w:tcW w:w="1897" w:type="dxa"/>
            <w:tcBorders>
              <w:top w:val="single" w:sz="4" w:space="0" w:color="000000"/>
              <w:left w:val="single" w:sz="4" w:space="0" w:color="000000"/>
              <w:bottom w:val="single" w:sz="4" w:space="0" w:color="000000"/>
              <w:right w:val="single" w:sz="4" w:space="0" w:color="000000"/>
            </w:tcBorders>
            <w:hideMark/>
          </w:tcPr>
          <w:p w14:paraId="132D909F" w14:textId="77777777" w:rsidR="00385FC8" w:rsidRDefault="00385FC8">
            <w:pPr>
              <w:pStyle w:val="TableParagraph"/>
              <w:spacing w:line="240" w:lineRule="auto"/>
              <w:ind w:left="0"/>
              <w:rPr>
                <w:sz w:val="16"/>
              </w:rPr>
            </w:pPr>
            <w:r>
              <w:rPr>
                <w:sz w:val="16"/>
              </w:rPr>
              <w:t>58.9 % (63/107)</w:t>
            </w:r>
          </w:p>
        </w:tc>
      </w:tr>
      <w:tr w:rsidR="00385FC8" w14:paraId="3B9032A6"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068664CF" w14:textId="77777777" w:rsidR="00385FC8" w:rsidRDefault="00385FC8">
            <w:pPr>
              <w:pStyle w:val="TableParagraph"/>
              <w:spacing w:before="14" w:line="205" w:lineRule="exact"/>
              <w:ind w:left="108"/>
              <w:rPr>
                <w:b/>
                <w:sz w:val="19"/>
                <w:lang w:val="en-GB"/>
              </w:rPr>
            </w:pPr>
            <w:r>
              <w:rPr>
                <w:b/>
                <w:sz w:val="19"/>
                <w:lang w:val="en-GB"/>
              </w:rPr>
              <w:t>Difference in improvement from placebo</w:t>
            </w:r>
          </w:p>
        </w:tc>
        <w:tc>
          <w:tcPr>
            <w:tcW w:w="1985" w:type="dxa"/>
            <w:tcBorders>
              <w:top w:val="single" w:sz="4" w:space="0" w:color="000000"/>
              <w:left w:val="single" w:sz="4" w:space="0" w:color="000000"/>
              <w:bottom w:val="single" w:sz="4" w:space="0" w:color="000000"/>
              <w:right w:val="single" w:sz="4" w:space="0" w:color="000000"/>
            </w:tcBorders>
            <w:hideMark/>
          </w:tcPr>
          <w:p w14:paraId="6CD60C99" w14:textId="77777777" w:rsidR="00385FC8" w:rsidRDefault="00385FC8">
            <w:pPr>
              <w:pStyle w:val="TableParagraph"/>
              <w:spacing w:line="240" w:lineRule="auto"/>
              <w:ind w:left="0"/>
              <w:rPr>
                <w:sz w:val="16"/>
              </w:rPr>
            </w:pPr>
            <w:r>
              <w:rPr>
                <w:sz w:val="16"/>
              </w:rPr>
              <w:t>60.8</w:t>
            </w:r>
          </w:p>
        </w:tc>
        <w:tc>
          <w:tcPr>
            <w:tcW w:w="1753" w:type="dxa"/>
            <w:tcBorders>
              <w:top w:val="single" w:sz="4" w:space="0" w:color="000000"/>
              <w:left w:val="single" w:sz="4" w:space="0" w:color="000000"/>
              <w:bottom w:val="single" w:sz="4" w:space="0" w:color="000000"/>
              <w:right w:val="single" w:sz="4" w:space="0" w:color="000000"/>
            </w:tcBorders>
            <w:hideMark/>
          </w:tcPr>
          <w:p w14:paraId="6AAE3AA6"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390CCFE4" w14:textId="77777777" w:rsidR="00385FC8" w:rsidRDefault="00385FC8">
            <w:pPr>
              <w:pStyle w:val="TableParagraph"/>
              <w:spacing w:line="240" w:lineRule="auto"/>
              <w:ind w:left="0"/>
              <w:rPr>
                <w:sz w:val="16"/>
              </w:rPr>
            </w:pPr>
            <w:r>
              <w:rPr>
                <w:sz w:val="16"/>
              </w:rPr>
              <w:t>44.7</w:t>
            </w:r>
          </w:p>
        </w:tc>
      </w:tr>
      <w:tr w:rsidR="00385FC8" w14:paraId="39378F95"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25F3D576" w14:textId="77777777" w:rsidR="00385FC8" w:rsidRDefault="00385FC8">
            <w:pPr>
              <w:pStyle w:val="TableParagraph"/>
              <w:spacing w:before="14" w:line="205" w:lineRule="exact"/>
              <w:ind w:left="108"/>
              <w:rPr>
                <w:b/>
                <w:sz w:val="19"/>
              </w:rPr>
            </w:pPr>
            <w:r>
              <w:rPr>
                <w:b/>
                <w:sz w:val="19"/>
              </w:rPr>
              <w:t>P-value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1650CA77" w14:textId="77777777" w:rsidR="00385FC8" w:rsidRDefault="00385FC8">
            <w:pPr>
              <w:pStyle w:val="TableParagraph"/>
              <w:spacing w:line="240" w:lineRule="auto"/>
              <w:ind w:left="0"/>
              <w:rPr>
                <w:sz w:val="16"/>
              </w:rPr>
            </w:pPr>
            <w:r>
              <w:rPr>
                <w:sz w:val="16"/>
              </w:rPr>
              <w:t>&lt;0.001</w:t>
            </w:r>
          </w:p>
        </w:tc>
        <w:tc>
          <w:tcPr>
            <w:tcW w:w="1753" w:type="dxa"/>
            <w:tcBorders>
              <w:top w:val="single" w:sz="4" w:space="0" w:color="000000"/>
              <w:left w:val="single" w:sz="4" w:space="0" w:color="000000"/>
              <w:bottom w:val="single" w:sz="4" w:space="0" w:color="000000"/>
              <w:right w:val="single" w:sz="4" w:space="0" w:color="000000"/>
            </w:tcBorders>
            <w:hideMark/>
          </w:tcPr>
          <w:p w14:paraId="3473EC5B"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5E3F3094" w14:textId="77777777" w:rsidR="00385FC8" w:rsidRDefault="00385FC8">
            <w:pPr>
              <w:pStyle w:val="TableParagraph"/>
              <w:spacing w:line="240" w:lineRule="auto"/>
              <w:ind w:left="0"/>
              <w:rPr>
                <w:sz w:val="16"/>
              </w:rPr>
            </w:pPr>
            <w:r>
              <w:rPr>
                <w:sz w:val="16"/>
              </w:rPr>
              <w:t>&lt;0.001</w:t>
            </w:r>
          </w:p>
        </w:tc>
      </w:tr>
      <w:tr w:rsidR="00385FC8" w14:paraId="54E2D7CF"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238C1D99" w14:textId="77777777" w:rsidR="00385FC8" w:rsidRDefault="00385FC8">
            <w:pPr>
              <w:pStyle w:val="TableParagraph"/>
              <w:spacing w:before="14" w:line="205" w:lineRule="exact"/>
              <w:ind w:left="108"/>
              <w:rPr>
                <w:b/>
                <w:sz w:val="19"/>
                <w:lang w:val="en-GB"/>
              </w:rPr>
            </w:pPr>
            <w:r>
              <w:rPr>
                <w:b/>
                <w:sz w:val="19"/>
                <w:lang w:val="en-GB"/>
              </w:rPr>
              <w:t>Change in CHIP-CE: PRF Achievement</w:t>
            </w:r>
          </w:p>
          <w:p w14:paraId="51584196" w14:textId="77777777" w:rsidR="00385FC8" w:rsidRDefault="00385FC8">
            <w:pPr>
              <w:pStyle w:val="TableParagraph"/>
              <w:spacing w:before="14" w:line="205" w:lineRule="exact"/>
              <w:ind w:left="108"/>
              <w:rPr>
                <w:b/>
                <w:sz w:val="19"/>
              </w:rPr>
            </w:pPr>
            <w:r>
              <w:rPr>
                <w:b/>
                <w:sz w:val="19"/>
              </w:rPr>
              <w:t>Domain</w:t>
            </w:r>
          </w:p>
        </w:tc>
        <w:tc>
          <w:tcPr>
            <w:tcW w:w="1985" w:type="dxa"/>
            <w:tcBorders>
              <w:top w:val="single" w:sz="4" w:space="0" w:color="000000"/>
              <w:left w:val="single" w:sz="4" w:space="0" w:color="000000"/>
              <w:bottom w:val="single" w:sz="4" w:space="0" w:color="000000"/>
              <w:right w:val="single" w:sz="4" w:space="0" w:color="000000"/>
            </w:tcBorders>
          </w:tcPr>
          <w:p w14:paraId="41D8EA83" w14:textId="77777777" w:rsidR="00385FC8" w:rsidRDefault="00385FC8">
            <w:pPr>
              <w:pStyle w:val="TableParagraph"/>
              <w:spacing w:line="240" w:lineRule="auto"/>
              <w:ind w:left="0"/>
              <w:rPr>
                <w:sz w:val="16"/>
              </w:rPr>
            </w:pPr>
          </w:p>
        </w:tc>
        <w:tc>
          <w:tcPr>
            <w:tcW w:w="1753" w:type="dxa"/>
            <w:tcBorders>
              <w:top w:val="single" w:sz="4" w:space="0" w:color="000000"/>
              <w:left w:val="single" w:sz="4" w:space="0" w:color="000000"/>
              <w:bottom w:val="single" w:sz="4" w:space="0" w:color="000000"/>
              <w:right w:val="single" w:sz="4" w:space="0" w:color="000000"/>
            </w:tcBorders>
          </w:tcPr>
          <w:p w14:paraId="39A98752" w14:textId="77777777" w:rsidR="00385FC8" w:rsidRDefault="00385FC8">
            <w:pPr>
              <w:pStyle w:val="TableParagraph"/>
              <w:spacing w:line="240" w:lineRule="auto"/>
              <w:ind w:left="0"/>
              <w:rPr>
                <w:sz w:val="16"/>
              </w:rPr>
            </w:pPr>
          </w:p>
        </w:tc>
        <w:tc>
          <w:tcPr>
            <w:tcW w:w="1897" w:type="dxa"/>
            <w:tcBorders>
              <w:top w:val="single" w:sz="4" w:space="0" w:color="000000"/>
              <w:left w:val="single" w:sz="4" w:space="0" w:color="000000"/>
              <w:bottom w:val="single" w:sz="4" w:space="0" w:color="000000"/>
              <w:right w:val="single" w:sz="4" w:space="0" w:color="000000"/>
            </w:tcBorders>
          </w:tcPr>
          <w:p w14:paraId="37B92590" w14:textId="77777777" w:rsidR="00385FC8" w:rsidRDefault="00385FC8">
            <w:pPr>
              <w:pStyle w:val="TableParagraph"/>
              <w:spacing w:line="240" w:lineRule="auto"/>
              <w:ind w:left="0"/>
              <w:rPr>
                <w:sz w:val="16"/>
              </w:rPr>
            </w:pPr>
          </w:p>
        </w:tc>
      </w:tr>
      <w:tr w:rsidR="00385FC8" w14:paraId="6BA19347"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1D7DF984" w14:textId="77777777" w:rsidR="00385FC8" w:rsidRDefault="00385FC8">
            <w:pPr>
              <w:pStyle w:val="TableParagraph"/>
              <w:spacing w:before="14" w:line="205" w:lineRule="exact"/>
              <w:ind w:left="108"/>
              <w:rPr>
                <w:b/>
                <w:sz w:val="19"/>
              </w:rPr>
            </w:pPr>
            <w:r>
              <w:rPr>
                <w:b/>
                <w:sz w:val="19"/>
              </w:rPr>
              <w:t>Least Square Mean</w:t>
            </w:r>
          </w:p>
        </w:tc>
        <w:tc>
          <w:tcPr>
            <w:tcW w:w="1985" w:type="dxa"/>
            <w:tcBorders>
              <w:top w:val="single" w:sz="4" w:space="0" w:color="000000"/>
              <w:left w:val="single" w:sz="4" w:space="0" w:color="000000"/>
              <w:bottom w:val="single" w:sz="4" w:space="0" w:color="000000"/>
              <w:right w:val="single" w:sz="4" w:space="0" w:color="000000"/>
            </w:tcBorders>
            <w:hideMark/>
          </w:tcPr>
          <w:p w14:paraId="04DA0437" w14:textId="77777777" w:rsidR="00385FC8" w:rsidRDefault="00385FC8">
            <w:pPr>
              <w:pStyle w:val="TableParagraph"/>
              <w:spacing w:line="240" w:lineRule="auto"/>
              <w:ind w:left="0"/>
              <w:rPr>
                <w:sz w:val="16"/>
              </w:rPr>
            </w:pPr>
            <w:r>
              <w:rPr>
                <w:sz w:val="16"/>
              </w:rPr>
              <w:t>9.4</w:t>
            </w:r>
          </w:p>
        </w:tc>
        <w:tc>
          <w:tcPr>
            <w:tcW w:w="1753" w:type="dxa"/>
            <w:tcBorders>
              <w:top w:val="single" w:sz="4" w:space="0" w:color="000000"/>
              <w:left w:val="single" w:sz="4" w:space="0" w:color="000000"/>
              <w:bottom w:val="single" w:sz="4" w:space="0" w:color="000000"/>
              <w:right w:val="single" w:sz="4" w:space="0" w:color="000000"/>
            </w:tcBorders>
            <w:hideMark/>
          </w:tcPr>
          <w:p w14:paraId="3AE05B7E" w14:textId="77777777" w:rsidR="00385FC8" w:rsidRDefault="00385FC8">
            <w:pPr>
              <w:pStyle w:val="TableParagraph"/>
              <w:spacing w:line="240" w:lineRule="auto"/>
              <w:ind w:left="0"/>
              <w:rPr>
                <w:sz w:val="16"/>
              </w:rPr>
            </w:pPr>
            <w:r>
              <w:rPr>
                <w:sz w:val="16"/>
              </w:rPr>
              <w:t>-1.1</w:t>
            </w:r>
          </w:p>
        </w:tc>
        <w:tc>
          <w:tcPr>
            <w:tcW w:w="1897" w:type="dxa"/>
            <w:tcBorders>
              <w:top w:val="single" w:sz="4" w:space="0" w:color="000000"/>
              <w:left w:val="single" w:sz="4" w:space="0" w:color="000000"/>
              <w:bottom w:val="single" w:sz="4" w:space="0" w:color="000000"/>
              <w:right w:val="single" w:sz="4" w:space="0" w:color="000000"/>
            </w:tcBorders>
            <w:hideMark/>
          </w:tcPr>
          <w:p w14:paraId="4C22BC60" w14:textId="77777777" w:rsidR="00385FC8" w:rsidRDefault="00385FC8">
            <w:pPr>
              <w:pStyle w:val="TableParagraph"/>
              <w:spacing w:line="240" w:lineRule="auto"/>
              <w:ind w:left="0"/>
              <w:rPr>
                <w:sz w:val="16"/>
              </w:rPr>
            </w:pPr>
            <w:r>
              <w:rPr>
                <w:sz w:val="16"/>
              </w:rPr>
              <w:t>6.4</w:t>
            </w:r>
          </w:p>
        </w:tc>
      </w:tr>
      <w:tr w:rsidR="00385FC8" w14:paraId="694F146E"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309BF3EB" w14:textId="77777777" w:rsidR="00385FC8" w:rsidRDefault="00385FC8">
            <w:pPr>
              <w:pStyle w:val="TableParagraph"/>
              <w:spacing w:before="14" w:line="205" w:lineRule="exact"/>
              <w:ind w:left="108"/>
              <w:rPr>
                <w:b/>
                <w:sz w:val="19"/>
              </w:rPr>
            </w:pPr>
            <w:r>
              <w:rPr>
                <w:b/>
                <w:sz w:val="19"/>
              </w:rPr>
              <w:t>Effect size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69E95237" w14:textId="77777777" w:rsidR="00385FC8" w:rsidRDefault="00385FC8">
            <w:pPr>
              <w:pStyle w:val="TableParagraph"/>
              <w:spacing w:line="240" w:lineRule="auto"/>
              <w:ind w:left="0"/>
              <w:rPr>
                <w:sz w:val="16"/>
              </w:rPr>
            </w:pPr>
            <w:r>
              <w:rPr>
                <w:sz w:val="16"/>
              </w:rPr>
              <w:t>1.280</w:t>
            </w:r>
          </w:p>
        </w:tc>
        <w:tc>
          <w:tcPr>
            <w:tcW w:w="1753" w:type="dxa"/>
            <w:tcBorders>
              <w:top w:val="single" w:sz="4" w:space="0" w:color="000000"/>
              <w:left w:val="single" w:sz="4" w:space="0" w:color="000000"/>
              <w:bottom w:val="single" w:sz="4" w:space="0" w:color="000000"/>
              <w:right w:val="single" w:sz="4" w:space="0" w:color="000000"/>
            </w:tcBorders>
            <w:hideMark/>
          </w:tcPr>
          <w:p w14:paraId="3703EBA3"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2C739605" w14:textId="77777777" w:rsidR="00385FC8" w:rsidRDefault="00385FC8">
            <w:pPr>
              <w:pStyle w:val="TableParagraph"/>
              <w:spacing w:line="240" w:lineRule="auto"/>
              <w:ind w:left="0"/>
              <w:rPr>
                <w:sz w:val="16"/>
              </w:rPr>
            </w:pPr>
            <w:r>
              <w:rPr>
                <w:sz w:val="16"/>
              </w:rPr>
              <w:t>0.912</w:t>
            </w:r>
          </w:p>
        </w:tc>
      </w:tr>
      <w:tr w:rsidR="00385FC8" w14:paraId="03F6FE90" w14:textId="77777777" w:rsidTr="00385FC8">
        <w:trPr>
          <w:trHeight w:val="240"/>
        </w:trPr>
        <w:tc>
          <w:tcPr>
            <w:tcW w:w="3652" w:type="dxa"/>
            <w:tcBorders>
              <w:top w:val="single" w:sz="4" w:space="0" w:color="000000"/>
              <w:left w:val="single" w:sz="4" w:space="0" w:color="000000"/>
              <w:bottom w:val="single" w:sz="4" w:space="0" w:color="000000"/>
              <w:right w:val="single" w:sz="4" w:space="0" w:color="000000"/>
            </w:tcBorders>
            <w:hideMark/>
          </w:tcPr>
          <w:p w14:paraId="19CFBF44" w14:textId="77777777" w:rsidR="00385FC8" w:rsidRDefault="00385FC8">
            <w:pPr>
              <w:pStyle w:val="TableParagraph"/>
              <w:spacing w:before="14" w:line="205" w:lineRule="exact"/>
              <w:ind w:left="108"/>
              <w:rPr>
                <w:b/>
                <w:sz w:val="19"/>
              </w:rPr>
            </w:pPr>
            <w:r>
              <w:rPr>
                <w:b/>
                <w:sz w:val="19"/>
              </w:rPr>
              <w:t>P-value (versus Placebo)</w:t>
            </w:r>
          </w:p>
        </w:tc>
        <w:tc>
          <w:tcPr>
            <w:tcW w:w="1985" w:type="dxa"/>
            <w:tcBorders>
              <w:top w:val="single" w:sz="4" w:space="0" w:color="000000"/>
              <w:left w:val="single" w:sz="4" w:space="0" w:color="000000"/>
              <w:bottom w:val="single" w:sz="4" w:space="0" w:color="000000"/>
              <w:right w:val="single" w:sz="4" w:space="0" w:color="000000"/>
            </w:tcBorders>
            <w:hideMark/>
          </w:tcPr>
          <w:p w14:paraId="51E95E7B" w14:textId="77777777" w:rsidR="00385FC8" w:rsidRDefault="00385FC8">
            <w:pPr>
              <w:pStyle w:val="TableParagraph"/>
              <w:spacing w:line="240" w:lineRule="auto"/>
              <w:ind w:left="0"/>
              <w:rPr>
                <w:sz w:val="16"/>
              </w:rPr>
            </w:pPr>
            <w:r>
              <w:rPr>
                <w:sz w:val="16"/>
              </w:rPr>
              <w:t>&lt;0.001</w:t>
            </w:r>
          </w:p>
        </w:tc>
        <w:tc>
          <w:tcPr>
            <w:tcW w:w="1753" w:type="dxa"/>
            <w:tcBorders>
              <w:top w:val="single" w:sz="4" w:space="0" w:color="000000"/>
              <w:left w:val="single" w:sz="4" w:space="0" w:color="000000"/>
              <w:bottom w:val="single" w:sz="4" w:space="0" w:color="000000"/>
              <w:right w:val="single" w:sz="4" w:space="0" w:color="000000"/>
            </w:tcBorders>
            <w:hideMark/>
          </w:tcPr>
          <w:p w14:paraId="00DA792B" w14:textId="77777777" w:rsidR="00385FC8" w:rsidRDefault="00385FC8">
            <w:pPr>
              <w:pStyle w:val="TableParagraph"/>
              <w:spacing w:line="240" w:lineRule="auto"/>
              <w:ind w:left="0"/>
              <w:rPr>
                <w:sz w:val="16"/>
              </w:rPr>
            </w:pPr>
            <w:r>
              <w:rPr>
                <w:sz w:val="16"/>
              </w:rPr>
              <w:t>N/A</w:t>
            </w:r>
          </w:p>
        </w:tc>
        <w:tc>
          <w:tcPr>
            <w:tcW w:w="1897" w:type="dxa"/>
            <w:tcBorders>
              <w:top w:val="single" w:sz="4" w:space="0" w:color="000000"/>
              <w:left w:val="single" w:sz="4" w:space="0" w:color="000000"/>
              <w:bottom w:val="single" w:sz="4" w:space="0" w:color="000000"/>
              <w:right w:val="single" w:sz="4" w:space="0" w:color="000000"/>
            </w:tcBorders>
            <w:hideMark/>
          </w:tcPr>
          <w:p w14:paraId="586709FC" w14:textId="77777777" w:rsidR="00385FC8" w:rsidRDefault="00385FC8">
            <w:pPr>
              <w:pStyle w:val="TableParagraph"/>
              <w:spacing w:line="240" w:lineRule="auto"/>
              <w:ind w:left="0"/>
              <w:rPr>
                <w:sz w:val="16"/>
              </w:rPr>
            </w:pPr>
            <w:r>
              <w:rPr>
                <w:sz w:val="16"/>
              </w:rPr>
              <w:t>&lt;0.001</w:t>
            </w:r>
          </w:p>
        </w:tc>
      </w:tr>
    </w:tbl>
    <w:p w14:paraId="35909C7A" w14:textId="77777777" w:rsidR="00385FC8" w:rsidRDefault="00385FC8" w:rsidP="00385FC8">
      <w:pPr>
        <w:spacing w:line="242" w:lineRule="auto"/>
        <w:ind w:left="218" w:right="285"/>
        <w:rPr>
          <w:sz w:val="19"/>
          <w:lang w:val="en-US" w:eastAsia="en-US"/>
        </w:rPr>
      </w:pPr>
      <w:r w:rsidRPr="00385FC8">
        <w:rPr>
          <w:position w:val="6"/>
          <w:sz w:val="12"/>
          <w:lang w:val="en-US"/>
        </w:rPr>
        <w:t xml:space="preserve">1 </w:t>
      </w:r>
      <w:r w:rsidRPr="00385FC8">
        <w:rPr>
          <w:sz w:val="19"/>
          <w:lang w:val="en-US"/>
        </w:rPr>
        <w:t>Endpoint = the last on-treatment post-Baseline visit of the dose optimisation or dose maintenance Period (Visits 1-7)</w:t>
      </w:r>
      <w:r w:rsidRPr="00385FC8">
        <w:rPr>
          <w:spacing w:val="-45"/>
          <w:sz w:val="19"/>
          <w:lang w:val="en-US"/>
        </w:rPr>
        <w:t xml:space="preserve"> </w:t>
      </w:r>
      <w:r w:rsidRPr="00385FC8">
        <w:rPr>
          <w:sz w:val="19"/>
          <w:lang w:val="en-US"/>
        </w:rPr>
        <w:t>with a valid</w:t>
      </w:r>
      <w:r w:rsidRPr="00385FC8">
        <w:rPr>
          <w:spacing w:val="1"/>
          <w:sz w:val="19"/>
          <w:lang w:val="en-US"/>
        </w:rPr>
        <w:t xml:space="preserve"> </w:t>
      </w:r>
      <w:r w:rsidRPr="00385FC8">
        <w:rPr>
          <w:sz w:val="19"/>
          <w:lang w:val="en-US"/>
        </w:rPr>
        <w:t>value</w:t>
      </w:r>
    </w:p>
    <w:p w14:paraId="07CFB6B6" w14:textId="77777777" w:rsidR="00385FC8" w:rsidRPr="00385FC8" w:rsidRDefault="00385FC8" w:rsidP="00385FC8">
      <w:pPr>
        <w:ind w:left="218"/>
        <w:rPr>
          <w:sz w:val="19"/>
          <w:lang w:val="en-US"/>
        </w:rPr>
      </w:pPr>
      <w:r w:rsidRPr="00385FC8">
        <w:rPr>
          <w:position w:val="6"/>
          <w:sz w:val="12"/>
          <w:lang w:val="en-US"/>
        </w:rPr>
        <w:t>2</w:t>
      </w:r>
      <w:r w:rsidRPr="00385FC8">
        <w:rPr>
          <w:spacing w:val="-1"/>
          <w:position w:val="6"/>
          <w:sz w:val="12"/>
          <w:lang w:val="en-US"/>
        </w:rPr>
        <w:t xml:space="preserve"> </w:t>
      </w:r>
      <w:r w:rsidRPr="00385FC8">
        <w:rPr>
          <w:sz w:val="19"/>
          <w:lang w:val="en-US"/>
        </w:rPr>
        <w:t>Response</w:t>
      </w:r>
      <w:r w:rsidRPr="00385FC8">
        <w:rPr>
          <w:spacing w:val="-2"/>
          <w:sz w:val="19"/>
          <w:lang w:val="en-US"/>
        </w:rPr>
        <w:t xml:space="preserve"> </w:t>
      </w:r>
      <w:r w:rsidRPr="00385FC8">
        <w:rPr>
          <w:sz w:val="19"/>
          <w:lang w:val="en-US"/>
        </w:rPr>
        <w:t>is</w:t>
      </w:r>
      <w:r w:rsidRPr="00385FC8">
        <w:rPr>
          <w:spacing w:val="-1"/>
          <w:sz w:val="19"/>
          <w:lang w:val="en-US"/>
        </w:rPr>
        <w:t xml:space="preserve"> </w:t>
      </w:r>
      <w:r w:rsidRPr="00385FC8">
        <w:rPr>
          <w:sz w:val="19"/>
          <w:lang w:val="en-US"/>
        </w:rPr>
        <w:t>defined</w:t>
      </w:r>
      <w:r w:rsidRPr="00385FC8">
        <w:rPr>
          <w:spacing w:val="-1"/>
          <w:sz w:val="19"/>
          <w:lang w:val="en-US"/>
        </w:rPr>
        <w:t xml:space="preserve"> </w:t>
      </w:r>
      <w:r w:rsidRPr="00385FC8">
        <w:rPr>
          <w:sz w:val="19"/>
          <w:lang w:val="en-US"/>
        </w:rPr>
        <w:t>as</w:t>
      </w:r>
      <w:r w:rsidRPr="00385FC8">
        <w:rPr>
          <w:spacing w:val="-2"/>
          <w:sz w:val="19"/>
          <w:lang w:val="en-US"/>
        </w:rPr>
        <w:t xml:space="preserve"> </w:t>
      </w:r>
      <w:r w:rsidRPr="00385FC8">
        <w:rPr>
          <w:sz w:val="19"/>
          <w:lang w:val="en-US"/>
        </w:rPr>
        <w:t>percentage</w:t>
      </w:r>
      <w:r w:rsidRPr="00385FC8">
        <w:rPr>
          <w:spacing w:val="-2"/>
          <w:sz w:val="19"/>
          <w:lang w:val="en-US"/>
        </w:rPr>
        <w:t xml:space="preserve"> </w:t>
      </w:r>
      <w:r w:rsidRPr="00385FC8">
        <w:rPr>
          <w:sz w:val="19"/>
          <w:lang w:val="en-US"/>
        </w:rPr>
        <w:t>reduction</w:t>
      </w:r>
      <w:r w:rsidRPr="00385FC8">
        <w:rPr>
          <w:spacing w:val="-1"/>
          <w:sz w:val="19"/>
          <w:lang w:val="en-US"/>
        </w:rPr>
        <w:t xml:space="preserve"> </w:t>
      </w:r>
      <w:r w:rsidRPr="00385FC8">
        <w:rPr>
          <w:sz w:val="19"/>
          <w:lang w:val="en-US"/>
        </w:rPr>
        <w:t>from</w:t>
      </w:r>
      <w:r w:rsidRPr="00385FC8">
        <w:rPr>
          <w:spacing w:val="-2"/>
          <w:sz w:val="19"/>
          <w:lang w:val="en-US"/>
        </w:rPr>
        <w:t xml:space="preserve"> </w:t>
      </w:r>
      <w:r w:rsidRPr="00385FC8">
        <w:rPr>
          <w:sz w:val="19"/>
          <w:lang w:val="en-US"/>
        </w:rPr>
        <w:t>Baseline</w:t>
      </w:r>
      <w:r w:rsidRPr="00385FC8">
        <w:rPr>
          <w:spacing w:val="-2"/>
          <w:sz w:val="19"/>
          <w:lang w:val="en-US"/>
        </w:rPr>
        <w:t xml:space="preserve"> </w:t>
      </w:r>
      <w:r w:rsidRPr="00385FC8">
        <w:rPr>
          <w:sz w:val="19"/>
          <w:lang w:val="en-US"/>
        </w:rPr>
        <w:t>in</w:t>
      </w:r>
      <w:r w:rsidRPr="00385FC8">
        <w:rPr>
          <w:spacing w:val="-1"/>
          <w:sz w:val="19"/>
          <w:lang w:val="en-US"/>
        </w:rPr>
        <w:t xml:space="preserve"> </w:t>
      </w:r>
      <w:r w:rsidRPr="00385FC8">
        <w:rPr>
          <w:sz w:val="19"/>
          <w:lang w:val="en-US"/>
        </w:rPr>
        <w:t>the</w:t>
      </w:r>
      <w:r w:rsidRPr="00385FC8">
        <w:rPr>
          <w:spacing w:val="-2"/>
          <w:sz w:val="19"/>
          <w:lang w:val="en-US"/>
        </w:rPr>
        <w:t xml:space="preserve"> </w:t>
      </w:r>
      <w:r w:rsidRPr="00385FC8">
        <w:rPr>
          <w:sz w:val="19"/>
          <w:lang w:val="en-US"/>
        </w:rPr>
        <w:t>ADHD-RS-IV</w:t>
      </w:r>
      <w:r w:rsidRPr="00385FC8">
        <w:rPr>
          <w:spacing w:val="-3"/>
          <w:sz w:val="19"/>
          <w:lang w:val="en-US"/>
        </w:rPr>
        <w:t xml:space="preserve"> </w:t>
      </w:r>
      <w:r w:rsidRPr="00385FC8">
        <w:rPr>
          <w:sz w:val="19"/>
          <w:lang w:val="en-US"/>
        </w:rPr>
        <w:t>Total</w:t>
      </w:r>
      <w:r w:rsidRPr="00385FC8">
        <w:rPr>
          <w:spacing w:val="-2"/>
          <w:sz w:val="19"/>
          <w:lang w:val="en-US"/>
        </w:rPr>
        <w:t xml:space="preserve"> </w:t>
      </w:r>
      <w:r w:rsidRPr="00385FC8">
        <w:rPr>
          <w:sz w:val="19"/>
          <w:lang w:val="en-US"/>
        </w:rPr>
        <w:t>Score</w:t>
      </w:r>
      <w:r w:rsidRPr="00385FC8">
        <w:rPr>
          <w:spacing w:val="-1"/>
          <w:sz w:val="19"/>
          <w:lang w:val="en-US"/>
        </w:rPr>
        <w:t xml:space="preserve"> </w:t>
      </w:r>
      <w:r w:rsidRPr="00385FC8">
        <w:rPr>
          <w:sz w:val="19"/>
          <w:lang w:val="en-US"/>
        </w:rPr>
        <w:t>of ≥30%</w:t>
      </w:r>
    </w:p>
    <w:p w14:paraId="46A1150C" w14:textId="77777777" w:rsidR="00385FC8" w:rsidRPr="00385FC8" w:rsidRDefault="00385FC8" w:rsidP="00385FC8">
      <w:pPr>
        <w:ind w:left="218"/>
        <w:rPr>
          <w:sz w:val="19"/>
          <w:lang w:val="en-US"/>
        </w:rPr>
      </w:pPr>
      <w:r w:rsidRPr="00385FC8">
        <w:rPr>
          <w:position w:val="6"/>
          <w:sz w:val="12"/>
          <w:lang w:val="en-US"/>
        </w:rPr>
        <w:t>3</w:t>
      </w:r>
      <w:r w:rsidRPr="00385FC8">
        <w:rPr>
          <w:sz w:val="19"/>
          <w:lang w:val="en-US"/>
        </w:rPr>
        <w:t>Improvement</w:t>
      </w:r>
      <w:r w:rsidRPr="00385FC8">
        <w:rPr>
          <w:spacing w:val="-5"/>
          <w:sz w:val="19"/>
          <w:lang w:val="en-US"/>
        </w:rPr>
        <w:t xml:space="preserve"> </w:t>
      </w:r>
      <w:r w:rsidRPr="00385FC8">
        <w:rPr>
          <w:sz w:val="19"/>
          <w:lang w:val="en-US"/>
        </w:rPr>
        <w:t>(“very</w:t>
      </w:r>
      <w:r w:rsidRPr="00385FC8">
        <w:rPr>
          <w:spacing w:val="-11"/>
          <w:sz w:val="19"/>
          <w:lang w:val="en-US"/>
        </w:rPr>
        <w:t xml:space="preserve"> </w:t>
      </w:r>
      <w:r w:rsidRPr="00385FC8">
        <w:rPr>
          <w:sz w:val="19"/>
          <w:lang w:val="en-US"/>
        </w:rPr>
        <w:t>much</w:t>
      </w:r>
      <w:r w:rsidRPr="00385FC8">
        <w:rPr>
          <w:spacing w:val="-4"/>
          <w:sz w:val="19"/>
          <w:lang w:val="en-US"/>
        </w:rPr>
        <w:t xml:space="preserve"> </w:t>
      </w:r>
      <w:r w:rsidRPr="00385FC8">
        <w:rPr>
          <w:sz w:val="19"/>
          <w:lang w:val="en-US"/>
        </w:rPr>
        <w:t>improved”</w:t>
      </w:r>
      <w:r w:rsidRPr="00385FC8">
        <w:rPr>
          <w:spacing w:val="-5"/>
          <w:sz w:val="19"/>
          <w:lang w:val="en-US"/>
        </w:rPr>
        <w:t xml:space="preserve"> </w:t>
      </w:r>
      <w:r w:rsidRPr="00385FC8">
        <w:rPr>
          <w:sz w:val="19"/>
          <w:lang w:val="en-US"/>
        </w:rPr>
        <w:t>or</w:t>
      </w:r>
      <w:r w:rsidRPr="00385FC8">
        <w:rPr>
          <w:spacing w:val="-5"/>
          <w:sz w:val="19"/>
          <w:lang w:val="en-US"/>
        </w:rPr>
        <w:t xml:space="preserve"> </w:t>
      </w:r>
      <w:r w:rsidRPr="00385FC8">
        <w:rPr>
          <w:sz w:val="19"/>
          <w:lang w:val="en-US"/>
        </w:rPr>
        <w:t>“much</w:t>
      </w:r>
      <w:r w:rsidRPr="00385FC8">
        <w:rPr>
          <w:spacing w:val="-4"/>
          <w:sz w:val="19"/>
          <w:lang w:val="en-US"/>
        </w:rPr>
        <w:t xml:space="preserve"> </w:t>
      </w:r>
      <w:r w:rsidRPr="00385FC8">
        <w:rPr>
          <w:sz w:val="19"/>
          <w:lang w:val="en-US"/>
        </w:rPr>
        <w:t>improved”)</w:t>
      </w:r>
    </w:p>
    <w:p w14:paraId="2CB1384A" w14:textId="77777777" w:rsidR="00385FC8" w:rsidRDefault="00385FC8" w:rsidP="00385FC8">
      <w:pPr>
        <w:pStyle w:val="Default"/>
        <w:rPr>
          <w:color w:val="008000"/>
          <w:sz w:val="22"/>
          <w:szCs w:val="22"/>
          <w:lang w:val="en-GB"/>
        </w:rPr>
      </w:pPr>
    </w:p>
    <w:p w14:paraId="25C93AF0" w14:textId="77777777" w:rsidR="00385FC8" w:rsidRPr="00385FC8" w:rsidRDefault="00385FC8" w:rsidP="00385FC8">
      <w:pPr>
        <w:pStyle w:val="Default"/>
        <w:ind w:left="851"/>
        <w:rPr>
          <w:color w:val="auto"/>
          <w:lang w:val="en-GB"/>
        </w:rPr>
      </w:pPr>
      <w:r w:rsidRPr="00385FC8">
        <w:rPr>
          <w:color w:val="auto"/>
          <w:lang w:val="en-GB"/>
        </w:rPr>
        <w:t>Similar results for ADHD-RS and CGI-I have been shown in two placebo controlled studies, one in children (n=297) and the other in adolescents (n=314), both conducted in the United States.</w:t>
      </w:r>
    </w:p>
    <w:p w14:paraId="33E6CAAD" w14:textId="77777777" w:rsidR="00385FC8" w:rsidRPr="00385FC8" w:rsidRDefault="00385FC8" w:rsidP="00385FC8">
      <w:pPr>
        <w:pStyle w:val="Default"/>
        <w:ind w:left="851"/>
        <w:rPr>
          <w:color w:val="auto"/>
          <w:lang w:val="en-GB"/>
        </w:rPr>
      </w:pPr>
    </w:p>
    <w:p w14:paraId="37FA1F3F" w14:textId="77777777" w:rsidR="00385FC8" w:rsidRPr="00385FC8" w:rsidRDefault="00385FC8" w:rsidP="00385FC8">
      <w:pPr>
        <w:pStyle w:val="Default"/>
        <w:ind w:left="851"/>
        <w:rPr>
          <w:color w:val="auto"/>
          <w:lang w:val="en-GB"/>
        </w:rPr>
      </w:pPr>
      <w:r w:rsidRPr="00385FC8">
        <w:rPr>
          <w:color w:val="auto"/>
          <w:lang w:val="en-GB"/>
        </w:rPr>
        <w:t>A double-blind, randomised, active-controlled, dose-optimisation study was conducted in children and adolescents aged 6 to 17 years (n=267) who met DSM-IV criteria for ADHD. In this nine-week study, patients were randomised (1:1) to a daily morning dose of lisdexamfetamine (30, 50 or 70 mg/day), or atomoxetine (dosed as appropriate for the subject’s weight up to 100 mg). During a 4-week Dose Optimisation Period, patients were titrated until an optimal dose, based on treatment emergent adverse events (TEAEs) and clinical judgement, was reached. Patients treated with lisdexamfetamine had a shorter time to first response compared to patients treated with atomoxetine (median 13.0 vs 21.0 days, respectively; p=0.003), where response was defined as having a CGI-I score of 1 (very much improved) or 2 (much improved) at any of the double-blind treatment visits. Across all of the double blind treatment visits, the proportion of responders in the lisdexamfetamine group was consistently higher than the proportion of responders in the atomoxetine group. The difference ranged from 16-24 percentage points. At the study endpoint the least square mean changes from baseline in ADHD-RS-IV Total Score for lisdexamfetamine and atomoxetine were -26.1 and -19.7, respectively, with a between-group difference of -6.4.</w:t>
      </w:r>
    </w:p>
    <w:p w14:paraId="118D89E8" w14:textId="77777777" w:rsidR="00385FC8" w:rsidRPr="00385FC8" w:rsidRDefault="00385FC8" w:rsidP="00385FC8">
      <w:pPr>
        <w:pStyle w:val="Default"/>
        <w:ind w:left="851"/>
        <w:rPr>
          <w:color w:val="auto"/>
          <w:lang w:val="en-GB"/>
        </w:rPr>
      </w:pPr>
    </w:p>
    <w:p w14:paraId="7DF050D6" w14:textId="77777777" w:rsidR="00385FC8" w:rsidRPr="00385FC8" w:rsidRDefault="00385FC8" w:rsidP="00385FC8">
      <w:pPr>
        <w:pStyle w:val="Default"/>
        <w:ind w:left="851"/>
        <w:rPr>
          <w:color w:val="auto"/>
          <w:lang w:val="en-GB"/>
        </w:rPr>
      </w:pPr>
      <w:r w:rsidRPr="00385FC8">
        <w:rPr>
          <w:color w:val="auto"/>
          <w:lang w:val="en-GB"/>
        </w:rPr>
        <w:t>Two double-blind, parallel-group, active-controlled (OROS-MPH [Concerta]) studies have been conducted in adolescents aged 13-17 years with ADHD. Both studies also included a placebo reference arm. The 8-week dose-optimization study (SPD489-405) had a 5-week dose-optimization period and a 3-week dose-maintenance period. During the dose-optimization period, subjects were titrated once weekly based on TEAEs and clinical response to an optimal dose of 30, 50, or 70 mg/day (for SPD489 subjects) or 18, 36, 54, or 72 mg/day (for OROS-MPH subjects), which was maintained throughout a 3-week dose-maintenance period. The mean doses at endpoint were 57.9 mg and 55.8 mg for SPD489 and OROS-MPH, respectively. In this study, neither SPD489 nor OROS-MPH was found to be statistically superior to the other product at Week 8. The 6-week fixed-dose study (SPD489-406) had a 4-week forced-dose titration period and a 2-week dose-maintenance period. At the highest doses of SPD489 (70 mg) and OROS-MPH (72 mg), SPD489 treatment was found to be superior to OROS-MPH as measured by both the primary efficacy analysis (change from baseline at Week 6 on the ADHD-RS Total score) and the key secondary efficacy analysis (at last study visit on the CGI-I) (see Table 2).</w:t>
      </w:r>
    </w:p>
    <w:p w14:paraId="075A0D7E" w14:textId="77777777" w:rsidR="00385FC8" w:rsidRDefault="00385FC8" w:rsidP="00385FC8">
      <w:pPr>
        <w:pStyle w:val="Default"/>
        <w:rPr>
          <w:color w:val="auto"/>
          <w:sz w:val="22"/>
          <w:szCs w:val="22"/>
          <w:lang w:val="en-GB"/>
        </w:rPr>
      </w:pPr>
    </w:p>
    <w:p w14:paraId="24C4560B" w14:textId="77777777" w:rsidR="00385FC8" w:rsidRDefault="00385FC8" w:rsidP="00385FC8">
      <w:pPr>
        <w:pStyle w:val="Default"/>
        <w:rPr>
          <w:b/>
          <w:color w:val="auto"/>
          <w:sz w:val="22"/>
          <w:szCs w:val="22"/>
          <w:lang w:val="en-GB"/>
        </w:rPr>
      </w:pPr>
      <w:r>
        <w:rPr>
          <w:b/>
          <w:color w:val="auto"/>
          <w:sz w:val="22"/>
          <w:szCs w:val="22"/>
          <w:lang w:val="en-GB"/>
        </w:rPr>
        <w:t xml:space="preserve">Table 2: Change from Baseline on ADHD-RS-IV Total Score and Endpoint on CGI-I (Full </w:t>
      </w:r>
    </w:p>
    <w:p w14:paraId="1B25B179" w14:textId="77777777" w:rsidR="00385FC8" w:rsidRDefault="00385FC8" w:rsidP="00385FC8">
      <w:pPr>
        <w:pStyle w:val="Default"/>
        <w:rPr>
          <w:b/>
          <w:color w:val="auto"/>
          <w:sz w:val="22"/>
          <w:szCs w:val="22"/>
          <w:lang w:val="en-GB"/>
        </w:rPr>
      </w:pPr>
      <w:r>
        <w:rPr>
          <w:b/>
          <w:color w:val="auto"/>
          <w:sz w:val="22"/>
          <w:szCs w:val="22"/>
          <w:lang w:val="en-GB"/>
        </w:rPr>
        <w:t>Analysis Set)</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250"/>
        <w:gridCol w:w="1651"/>
        <w:gridCol w:w="1158"/>
        <w:gridCol w:w="1162"/>
        <w:gridCol w:w="1158"/>
      </w:tblGrid>
      <w:tr w:rsidR="00385FC8" w14:paraId="508E98A8" w14:textId="77777777" w:rsidTr="00385FC8">
        <w:trPr>
          <w:trHeight w:val="247"/>
        </w:trPr>
        <w:tc>
          <w:tcPr>
            <w:tcW w:w="1260" w:type="dxa"/>
            <w:tcBorders>
              <w:top w:val="single" w:sz="4" w:space="0" w:color="000000"/>
              <w:left w:val="single" w:sz="4" w:space="0" w:color="000000"/>
              <w:bottom w:val="nil"/>
              <w:right w:val="single" w:sz="4" w:space="0" w:color="000000"/>
            </w:tcBorders>
            <w:hideMark/>
          </w:tcPr>
          <w:p w14:paraId="101641C2" w14:textId="77777777" w:rsidR="00385FC8" w:rsidRDefault="00385FC8">
            <w:pPr>
              <w:pStyle w:val="TableParagraph"/>
              <w:spacing w:before="8" w:line="240" w:lineRule="auto"/>
              <w:ind w:left="90" w:right="126"/>
              <w:rPr>
                <w:b/>
                <w:sz w:val="19"/>
              </w:rPr>
            </w:pPr>
            <w:r>
              <w:rPr>
                <w:b/>
                <w:sz w:val="19"/>
              </w:rPr>
              <w:t>SPD489-405</w:t>
            </w:r>
          </w:p>
        </w:tc>
        <w:tc>
          <w:tcPr>
            <w:tcW w:w="3901" w:type="dxa"/>
            <w:gridSpan w:val="2"/>
            <w:tcBorders>
              <w:top w:val="single" w:sz="4" w:space="0" w:color="000000"/>
              <w:left w:val="single" w:sz="4" w:space="0" w:color="000000"/>
              <w:bottom w:val="nil"/>
              <w:right w:val="single" w:sz="4" w:space="0" w:color="000000"/>
            </w:tcBorders>
            <w:hideMark/>
          </w:tcPr>
          <w:p w14:paraId="40E557F0" w14:textId="77777777" w:rsidR="00385FC8" w:rsidRDefault="00385FC8">
            <w:pPr>
              <w:pStyle w:val="TableParagraph"/>
              <w:spacing w:before="8" w:line="240" w:lineRule="auto"/>
              <w:ind w:left="108"/>
              <w:rPr>
                <w:b/>
                <w:sz w:val="19"/>
                <w:lang w:val="en-GB"/>
              </w:rPr>
            </w:pPr>
            <w:r>
              <w:rPr>
                <w:b/>
                <w:sz w:val="19"/>
                <w:lang w:val="en-GB"/>
              </w:rPr>
              <w:t>Primary</w:t>
            </w:r>
            <w:r>
              <w:rPr>
                <w:b/>
                <w:spacing w:val="-3"/>
                <w:sz w:val="19"/>
                <w:lang w:val="en-GB"/>
              </w:rPr>
              <w:t xml:space="preserve"> </w:t>
            </w:r>
            <w:r>
              <w:rPr>
                <w:b/>
                <w:sz w:val="19"/>
                <w:lang w:val="en-GB"/>
              </w:rPr>
              <w:t>at</w:t>
            </w:r>
            <w:r>
              <w:rPr>
                <w:b/>
                <w:spacing w:val="-4"/>
                <w:sz w:val="19"/>
                <w:lang w:val="en-GB"/>
              </w:rPr>
              <w:t xml:space="preserve"> </w:t>
            </w:r>
            <w:r>
              <w:rPr>
                <w:b/>
                <w:sz w:val="19"/>
                <w:lang w:val="en-GB"/>
              </w:rPr>
              <w:t>Week</w:t>
            </w:r>
            <w:r>
              <w:rPr>
                <w:b/>
                <w:spacing w:val="-5"/>
                <w:sz w:val="19"/>
                <w:lang w:val="en-GB"/>
              </w:rPr>
              <w:t xml:space="preserve"> </w:t>
            </w:r>
            <w:r>
              <w:rPr>
                <w:b/>
                <w:sz w:val="19"/>
                <w:lang w:val="en-GB"/>
              </w:rPr>
              <w:t>8</w:t>
            </w:r>
            <w:r>
              <w:rPr>
                <w:b/>
                <w:spacing w:val="-2"/>
                <w:sz w:val="19"/>
                <w:lang w:val="en-GB"/>
              </w:rPr>
              <w:t xml:space="preserve"> </w:t>
            </w:r>
            <w:r>
              <w:rPr>
                <w:b/>
                <w:sz w:val="19"/>
                <w:lang w:val="en-GB"/>
              </w:rPr>
              <w:t>ADHD-RS-IV</w:t>
            </w:r>
          </w:p>
        </w:tc>
        <w:tc>
          <w:tcPr>
            <w:tcW w:w="1158" w:type="dxa"/>
            <w:tcBorders>
              <w:top w:val="single" w:sz="4" w:space="0" w:color="000000"/>
              <w:left w:val="single" w:sz="4" w:space="0" w:color="000000"/>
              <w:bottom w:val="nil"/>
              <w:right w:val="single" w:sz="4" w:space="0" w:color="000000"/>
            </w:tcBorders>
            <w:hideMark/>
          </w:tcPr>
          <w:p w14:paraId="396B6F53" w14:textId="77777777" w:rsidR="00385FC8" w:rsidRDefault="00385FC8">
            <w:pPr>
              <w:pStyle w:val="TableParagraph"/>
              <w:spacing w:before="8" w:line="240" w:lineRule="auto"/>
              <w:ind w:left="107"/>
              <w:rPr>
                <w:b/>
                <w:sz w:val="19"/>
              </w:rPr>
            </w:pPr>
            <w:r>
              <w:rPr>
                <w:b/>
                <w:sz w:val="19"/>
              </w:rPr>
              <w:t>Placebo</w:t>
            </w:r>
          </w:p>
        </w:tc>
        <w:tc>
          <w:tcPr>
            <w:tcW w:w="1162" w:type="dxa"/>
            <w:tcBorders>
              <w:top w:val="single" w:sz="4" w:space="0" w:color="000000"/>
              <w:left w:val="single" w:sz="4" w:space="0" w:color="000000"/>
              <w:bottom w:val="nil"/>
              <w:right w:val="single" w:sz="4" w:space="0" w:color="000000"/>
            </w:tcBorders>
            <w:hideMark/>
          </w:tcPr>
          <w:p w14:paraId="699A9486" w14:textId="77777777" w:rsidR="00385FC8" w:rsidRDefault="00385FC8">
            <w:pPr>
              <w:pStyle w:val="TableParagraph"/>
              <w:spacing w:before="8" w:line="240" w:lineRule="auto"/>
              <w:ind w:left="108"/>
              <w:rPr>
                <w:b/>
                <w:sz w:val="19"/>
              </w:rPr>
            </w:pPr>
            <w:r>
              <w:rPr>
                <w:b/>
                <w:sz w:val="19"/>
              </w:rPr>
              <w:t>SPD489</w:t>
            </w:r>
          </w:p>
        </w:tc>
        <w:tc>
          <w:tcPr>
            <w:tcW w:w="1158" w:type="dxa"/>
            <w:tcBorders>
              <w:top w:val="single" w:sz="4" w:space="0" w:color="000000"/>
              <w:left w:val="single" w:sz="4" w:space="0" w:color="000000"/>
              <w:bottom w:val="nil"/>
              <w:right w:val="single" w:sz="4" w:space="0" w:color="000000"/>
            </w:tcBorders>
            <w:hideMark/>
          </w:tcPr>
          <w:p w14:paraId="6A40BC8F" w14:textId="77777777" w:rsidR="00385FC8" w:rsidRDefault="00385FC8">
            <w:pPr>
              <w:pStyle w:val="TableParagraph"/>
              <w:spacing w:before="8" w:line="240" w:lineRule="auto"/>
              <w:ind w:left="107"/>
              <w:rPr>
                <w:b/>
                <w:sz w:val="19"/>
              </w:rPr>
            </w:pPr>
            <w:r>
              <w:rPr>
                <w:b/>
                <w:sz w:val="19"/>
              </w:rPr>
              <w:t>OROS-</w:t>
            </w:r>
          </w:p>
        </w:tc>
      </w:tr>
      <w:tr w:rsidR="00385FC8" w14:paraId="620A6103" w14:textId="77777777" w:rsidTr="00385FC8">
        <w:trPr>
          <w:trHeight w:val="232"/>
        </w:trPr>
        <w:tc>
          <w:tcPr>
            <w:tcW w:w="1260" w:type="dxa"/>
            <w:tcBorders>
              <w:top w:val="nil"/>
              <w:left w:val="single" w:sz="4" w:space="0" w:color="000000"/>
              <w:bottom w:val="nil"/>
              <w:right w:val="single" w:sz="4" w:space="0" w:color="000000"/>
            </w:tcBorders>
          </w:tcPr>
          <w:p w14:paraId="098355A7" w14:textId="77777777" w:rsidR="00385FC8" w:rsidRDefault="00385FC8">
            <w:pPr>
              <w:pStyle w:val="TableParagraph"/>
              <w:spacing w:line="240" w:lineRule="auto"/>
              <w:ind w:left="0"/>
              <w:rPr>
                <w:sz w:val="16"/>
              </w:rPr>
            </w:pPr>
          </w:p>
        </w:tc>
        <w:tc>
          <w:tcPr>
            <w:tcW w:w="3901" w:type="dxa"/>
            <w:gridSpan w:val="2"/>
            <w:tcBorders>
              <w:top w:val="nil"/>
              <w:left w:val="single" w:sz="4" w:space="0" w:color="000000"/>
              <w:bottom w:val="single" w:sz="4" w:space="0" w:color="000000"/>
              <w:right w:val="single" w:sz="4" w:space="0" w:color="000000"/>
            </w:tcBorders>
          </w:tcPr>
          <w:p w14:paraId="0E799B5F" w14:textId="77777777" w:rsidR="00385FC8" w:rsidRDefault="00385FC8">
            <w:pPr>
              <w:pStyle w:val="TableParagraph"/>
              <w:spacing w:line="240" w:lineRule="auto"/>
              <w:ind w:left="0"/>
              <w:rPr>
                <w:sz w:val="16"/>
              </w:rPr>
            </w:pPr>
          </w:p>
        </w:tc>
        <w:tc>
          <w:tcPr>
            <w:tcW w:w="1158" w:type="dxa"/>
            <w:tcBorders>
              <w:top w:val="nil"/>
              <w:left w:val="single" w:sz="4" w:space="0" w:color="000000"/>
              <w:bottom w:val="single" w:sz="4" w:space="0" w:color="000000"/>
              <w:right w:val="single" w:sz="4" w:space="0" w:color="000000"/>
            </w:tcBorders>
          </w:tcPr>
          <w:p w14:paraId="6A4A4BB9"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tcPr>
          <w:p w14:paraId="3F47EB99" w14:textId="77777777" w:rsidR="00385FC8" w:rsidRDefault="00385FC8">
            <w:pPr>
              <w:pStyle w:val="TableParagraph"/>
              <w:spacing w:line="240" w:lineRule="auto"/>
              <w:ind w:left="0"/>
              <w:rPr>
                <w:sz w:val="16"/>
              </w:rPr>
            </w:pPr>
          </w:p>
        </w:tc>
        <w:tc>
          <w:tcPr>
            <w:tcW w:w="1158" w:type="dxa"/>
            <w:tcBorders>
              <w:top w:val="nil"/>
              <w:left w:val="single" w:sz="4" w:space="0" w:color="000000"/>
              <w:bottom w:val="single" w:sz="4" w:space="0" w:color="000000"/>
              <w:right w:val="single" w:sz="4" w:space="0" w:color="000000"/>
            </w:tcBorders>
            <w:hideMark/>
          </w:tcPr>
          <w:p w14:paraId="45261BEE" w14:textId="77777777" w:rsidR="00385FC8" w:rsidRDefault="00385FC8">
            <w:pPr>
              <w:pStyle w:val="TableParagraph"/>
              <w:spacing w:line="211" w:lineRule="exact"/>
              <w:ind w:left="107"/>
              <w:rPr>
                <w:b/>
                <w:sz w:val="19"/>
              </w:rPr>
            </w:pPr>
            <w:r>
              <w:rPr>
                <w:b/>
                <w:sz w:val="19"/>
              </w:rPr>
              <w:t>MPH</w:t>
            </w:r>
          </w:p>
        </w:tc>
      </w:tr>
      <w:tr w:rsidR="00385FC8" w14:paraId="29C51CBF" w14:textId="77777777" w:rsidTr="00385FC8">
        <w:trPr>
          <w:trHeight w:val="247"/>
        </w:trPr>
        <w:tc>
          <w:tcPr>
            <w:tcW w:w="1260" w:type="dxa"/>
            <w:tcBorders>
              <w:top w:val="nil"/>
              <w:left w:val="single" w:sz="4" w:space="0" w:color="000000"/>
              <w:bottom w:val="nil"/>
              <w:right w:val="single" w:sz="4" w:space="0" w:color="000000"/>
            </w:tcBorders>
          </w:tcPr>
          <w:p w14:paraId="43388AFA"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6B387F52" w14:textId="77777777" w:rsidR="00385FC8" w:rsidRDefault="00385FC8">
            <w:pPr>
              <w:pStyle w:val="TableParagraph"/>
              <w:spacing w:before="8" w:line="240" w:lineRule="auto"/>
              <w:ind w:left="108"/>
              <w:rPr>
                <w:sz w:val="19"/>
              </w:rPr>
            </w:pPr>
            <w:r>
              <w:rPr>
                <w:sz w:val="19"/>
              </w:rPr>
              <w:t>Baseline</w:t>
            </w:r>
            <w:r>
              <w:rPr>
                <w:spacing w:val="-4"/>
                <w:sz w:val="19"/>
              </w:rPr>
              <w:t xml:space="preserve"> </w:t>
            </w:r>
            <w:r>
              <w:rPr>
                <w:sz w:val="19"/>
              </w:rPr>
              <w:t>Total</w:t>
            </w:r>
            <w:r>
              <w:rPr>
                <w:spacing w:val="-3"/>
                <w:sz w:val="19"/>
              </w:rPr>
              <w:t xml:space="preserve"> </w:t>
            </w:r>
            <w:r>
              <w:rPr>
                <w:sz w:val="19"/>
              </w:rPr>
              <w:t>Score</w:t>
            </w:r>
          </w:p>
        </w:tc>
        <w:tc>
          <w:tcPr>
            <w:tcW w:w="1651" w:type="dxa"/>
            <w:tcBorders>
              <w:top w:val="single" w:sz="4" w:space="0" w:color="000000"/>
              <w:left w:val="single" w:sz="4" w:space="0" w:color="000000"/>
              <w:bottom w:val="nil"/>
              <w:right w:val="single" w:sz="4" w:space="0" w:color="000000"/>
            </w:tcBorders>
            <w:hideMark/>
          </w:tcPr>
          <w:p w14:paraId="71795935" w14:textId="77777777" w:rsidR="00385FC8" w:rsidRDefault="00385FC8">
            <w:pPr>
              <w:pStyle w:val="TableParagraph"/>
              <w:spacing w:before="8" w:line="240" w:lineRule="auto"/>
              <w:ind w:left="108"/>
              <w:rPr>
                <w:sz w:val="19"/>
              </w:rPr>
            </w:pPr>
            <w:r>
              <w:rPr>
                <w:w w:val="99"/>
                <w:sz w:val="19"/>
              </w:rPr>
              <w:t>N</w:t>
            </w:r>
          </w:p>
        </w:tc>
        <w:tc>
          <w:tcPr>
            <w:tcW w:w="1158" w:type="dxa"/>
            <w:tcBorders>
              <w:top w:val="single" w:sz="4" w:space="0" w:color="000000"/>
              <w:left w:val="single" w:sz="4" w:space="0" w:color="000000"/>
              <w:bottom w:val="nil"/>
              <w:right w:val="single" w:sz="4" w:space="0" w:color="000000"/>
            </w:tcBorders>
            <w:hideMark/>
          </w:tcPr>
          <w:p w14:paraId="57604029" w14:textId="77777777" w:rsidR="00385FC8" w:rsidRDefault="00385FC8">
            <w:pPr>
              <w:pStyle w:val="TableParagraph"/>
              <w:spacing w:before="8" w:line="240" w:lineRule="auto"/>
              <w:ind w:left="107"/>
              <w:rPr>
                <w:sz w:val="19"/>
              </w:rPr>
            </w:pPr>
            <w:r>
              <w:rPr>
                <w:sz w:val="19"/>
              </w:rPr>
              <w:t>89</w:t>
            </w:r>
          </w:p>
        </w:tc>
        <w:tc>
          <w:tcPr>
            <w:tcW w:w="1162" w:type="dxa"/>
            <w:tcBorders>
              <w:top w:val="single" w:sz="4" w:space="0" w:color="000000"/>
              <w:left w:val="single" w:sz="4" w:space="0" w:color="000000"/>
              <w:bottom w:val="nil"/>
              <w:right w:val="single" w:sz="4" w:space="0" w:color="000000"/>
            </w:tcBorders>
            <w:hideMark/>
          </w:tcPr>
          <w:p w14:paraId="228A531E" w14:textId="77777777" w:rsidR="00385FC8" w:rsidRDefault="00385FC8">
            <w:pPr>
              <w:pStyle w:val="TableParagraph"/>
              <w:spacing w:before="8" w:line="240" w:lineRule="auto"/>
              <w:ind w:left="108"/>
              <w:rPr>
                <w:sz w:val="19"/>
              </w:rPr>
            </w:pPr>
            <w:r>
              <w:rPr>
                <w:sz w:val="19"/>
              </w:rPr>
              <w:t>179</w:t>
            </w:r>
          </w:p>
        </w:tc>
        <w:tc>
          <w:tcPr>
            <w:tcW w:w="1158" w:type="dxa"/>
            <w:tcBorders>
              <w:top w:val="single" w:sz="4" w:space="0" w:color="000000"/>
              <w:left w:val="single" w:sz="4" w:space="0" w:color="000000"/>
              <w:bottom w:val="nil"/>
              <w:right w:val="single" w:sz="4" w:space="0" w:color="000000"/>
            </w:tcBorders>
            <w:hideMark/>
          </w:tcPr>
          <w:p w14:paraId="2FA360CB" w14:textId="77777777" w:rsidR="00385FC8" w:rsidRDefault="00385FC8">
            <w:pPr>
              <w:pStyle w:val="TableParagraph"/>
              <w:spacing w:before="8" w:line="240" w:lineRule="auto"/>
              <w:ind w:left="107"/>
              <w:rPr>
                <w:sz w:val="19"/>
              </w:rPr>
            </w:pPr>
            <w:r>
              <w:rPr>
                <w:sz w:val="19"/>
              </w:rPr>
              <w:t>184</w:t>
            </w:r>
          </w:p>
        </w:tc>
      </w:tr>
      <w:tr w:rsidR="00385FC8" w14:paraId="557BD7C9" w14:textId="77777777" w:rsidTr="00385FC8">
        <w:trPr>
          <w:trHeight w:val="232"/>
        </w:trPr>
        <w:tc>
          <w:tcPr>
            <w:tcW w:w="1260" w:type="dxa"/>
            <w:tcBorders>
              <w:top w:val="nil"/>
              <w:left w:val="single" w:sz="4" w:space="0" w:color="000000"/>
              <w:bottom w:val="nil"/>
              <w:right w:val="single" w:sz="4" w:space="0" w:color="000000"/>
            </w:tcBorders>
          </w:tcPr>
          <w:p w14:paraId="09EC8C6E"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52D3FE8C"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29D92F9B" w14:textId="77777777" w:rsidR="00385FC8" w:rsidRDefault="00385FC8">
            <w:pPr>
              <w:pStyle w:val="TableParagraph"/>
              <w:spacing w:line="211" w:lineRule="exact"/>
              <w:ind w:left="108"/>
              <w:rPr>
                <w:sz w:val="19"/>
              </w:rPr>
            </w:pPr>
            <w:r>
              <w:rPr>
                <w:sz w:val="19"/>
              </w:rPr>
              <w:t>Mean</w:t>
            </w:r>
            <w:r>
              <w:rPr>
                <w:spacing w:val="-2"/>
                <w:sz w:val="19"/>
              </w:rPr>
              <w:t xml:space="preserve"> </w:t>
            </w:r>
            <w:r>
              <w:rPr>
                <w:sz w:val="19"/>
              </w:rPr>
              <w:t>(SE)</w:t>
            </w:r>
          </w:p>
        </w:tc>
        <w:tc>
          <w:tcPr>
            <w:tcW w:w="1158" w:type="dxa"/>
            <w:tcBorders>
              <w:top w:val="nil"/>
              <w:left w:val="single" w:sz="4" w:space="0" w:color="000000"/>
              <w:bottom w:val="single" w:sz="4" w:space="0" w:color="000000"/>
              <w:right w:val="single" w:sz="4" w:space="0" w:color="000000"/>
            </w:tcBorders>
            <w:hideMark/>
          </w:tcPr>
          <w:p w14:paraId="0C04129F" w14:textId="77777777" w:rsidR="00385FC8" w:rsidRDefault="00385FC8">
            <w:pPr>
              <w:pStyle w:val="TableParagraph"/>
              <w:spacing w:line="211" w:lineRule="exact"/>
              <w:ind w:left="107"/>
              <w:rPr>
                <w:sz w:val="19"/>
              </w:rPr>
            </w:pPr>
            <w:r>
              <w:rPr>
                <w:sz w:val="19"/>
              </w:rPr>
              <w:t>38.2</w:t>
            </w:r>
            <w:r>
              <w:rPr>
                <w:spacing w:val="1"/>
                <w:sz w:val="19"/>
              </w:rPr>
              <w:t xml:space="preserve"> </w:t>
            </w:r>
            <w:r>
              <w:rPr>
                <w:sz w:val="19"/>
              </w:rPr>
              <w:t>(0.73)</w:t>
            </w:r>
          </w:p>
        </w:tc>
        <w:tc>
          <w:tcPr>
            <w:tcW w:w="1162" w:type="dxa"/>
            <w:tcBorders>
              <w:top w:val="nil"/>
              <w:left w:val="single" w:sz="4" w:space="0" w:color="000000"/>
              <w:bottom w:val="single" w:sz="4" w:space="0" w:color="000000"/>
              <w:right w:val="single" w:sz="4" w:space="0" w:color="000000"/>
            </w:tcBorders>
            <w:hideMark/>
          </w:tcPr>
          <w:p w14:paraId="134B11EA" w14:textId="77777777" w:rsidR="00385FC8" w:rsidRDefault="00385FC8">
            <w:pPr>
              <w:pStyle w:val="TableParagraph"/>
              <w:spacing w:line="211" w:lineRule="exact"/>
              <w:ind w:left="108"/>
              <w:rPr>
                <w:sz w:val="19"/>
              </w:rPr>
            </w:pPr>
            <w:r>
              <w:rPr>
                <w:sz w:val="19"/>
              </w:rPr>
              <w:t>36.6</w:t>
            </w:r>
            <w:r>
              <w:rPr>
                <w:spacing w:val="1"/>
                <w:sz w:val="19"/>
              </w:rPr>
              <w:t xml:space="preserve"> </w:t>
            </w:r>
            <w:r>
              <w:rPr>
                <w:sz w:val="19"/>
              </w:rPr>
              <w:t>(0.48)</w:t>
            </w:r>
          </w:p>
        </w:tc>
        <w:tc>
          <w:tcPr>
            <w:tcW w:w="1158" w:type="dxa"/>
            <w:tcBorders>
              <w:top w:val="nil"/>
              <w:left w:val="single" w:sz="4" w:space="0" w:color="000000"/>
              <w:bottom w:val="single" w:sz="4" w:space="0" w:color="000000"/>
              <w:right w:val="single" w:sz="4" w:space="0" w:color="000000"/>
            </w:tcBorders>
            <w:hideMark/>
          </w:tcPr>
          <w:p w14:paraId="41FB01AB" w14:textId="77777777" w:rsidR="00385FC8" w:rsidRDefault="00385FC8">
            <w:pPr>
              <w:pStyle w:val="TableParagraph"/>
              <w:spacing w:line="211" w:lineRule="exact"/>
              <w:ind w:left="107"/>
              <w:rPr>
                <w:sz w:val="19"/>
              </w:rPr>
            </w:pPr>
            <w:r>
              <w:rPr>
                <w:sz w:val="19"/>
              </w:rPr>
              <w:t>37.8</w:t>
            </w:r>
            <w:r>
              <w:rPr>
                <w:spacing w:val="1"/>
                <w:sz w:val="19"/>
              </w:rPr>
              <w:t xml:space="preserve"> </w:t>
            </w:r>
            <w:r>
              <w:rPr>
                <w:sz w:val="19"/>
              </w:rPr>
              <w:t>(0.45)</w:t>
            </w:r>
          </w:p>
        </w:tc>
      </w:tr>
      <w:tr w:rsidR="00385FC8" w14:paraId="2F1E079D" w14:textId="77777777" w:rsidTr="00385FC8">
        <w:trPr>
          <w:trHeight w:val="247"/>
        </w:trPr>
        <w:tc>
          <w:tcPr>
            <w:tcW w:w="1260" w:type="dxa"/>
            <w:tcBorders>
              <w:top w:val="nil"/>
              <w:left w:val="single" w:sz="4" w:space="0" w:color="000000"/>
              <w:bottom w:val="nil"/>
              <w:right w:val="single" w:sz="4" w:space="0" w:color="000000"/>
            </w:tcBorders>
          </w:tcPr>
          <w:p w14:paraId="0B120B9F"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4E547ED2" w14:textId="77777777" w:rsidR="00385FC8" w:rsidRDefault="00385FC8">
            <w:pPr>
              <w:pStyle w:val="TableParagraph"/>
              <w:spacing w:before="8" w:line="240" w:lineRule="auto"/>
              <w:ind w:left="108"/>
              <w:rPr>
                <w:sz w:val="19"/>
              </w:rPr>
            </w:pPr>
            <w:r>
              <w:rPr>
                <w:sz w:val="19"/>
              </w:rPr>
              <w:t>Change</w:t>
            </w:r>
            <w:r>
              <w:rPr>
                <w:spacing w:val="-1"/>
                <w:sz w:val="19"/>
              </w:rPr>
              <w:t xml:space="preserve"> </w:t>
            </w:r>
            <w:r>
              <w:rPr>
                <w:sz w:val="19"/>
              </w:rPr>
              <w:t>from</w:t>
            </w:r>
            <w:r>
              <w:rPr>
                <w:spacing w:val="-2"/>
                <w:sz w:val="19"/>
              </w:rPr>
              <w:t xml:space="preserve"> </w:t>
            </w:r>
            <w:r>
              <w:rPr>
                <w:sz w:val="19"/>
              </w:rPr>
              <w:t>baseline</w:t>
            </w:r>
            <w:r>
              <w:rPr>
                <w:spacing w:val="-1"/>
                <w:sz w:val="19"/>
              </w:rPr>
              <w:t xml:space="preserve"> </w:t>
            </w:r>
            <w:r>
              <w:rPr>
                <w:sz w:val="19"/>
              </w:rPr>
              <w:t>at</w:t>
            </w:r>
          </w:p>
        </w:tc>
        <w:tc>
          <w:tcPr>
            <w:tcW w:w="1651" w:type="dxa"/>
            <w:tcBorders>
              <w:top w:val="single" w:sz="4" w:space="0" w:color="000000"/>
              <w:left w:val="single" w:sz="4" w:space="0" w:color="000000"/>
              <w:bottom w:val="nil"/>
              <w:right w:val="single" w:sz="4" w:space="0" w:color="000000"/>
            </w:tcBorders>
            <w:hideMark/>
          </w:tcPr>
          <w:p w14:paraId="1A9210A3" w14:textId="77777777" w:rsidR="00385FC8" w:rsidRDefault="00385FC8">
            <w:pPr>
              <w:pStyle w:val="TableParagraph"/>
              <w:spacing w:before="8" w:line="240" w:lineRule="auto"/>
              <w:ind w:left="108"/>
              <w:rPr>
                <w:sz w:val="19"/>
              </w:rPr>
            </w:pPr>
            <w:r>
              <w:rPr>
                <w:w w:val="99"/>
                <w:sz w:val="19"/>
              </w:rPr>
              <w:t>N</w:t>
            </w:r>
          </w:p>
        </w:tc>
        <w:tc>
          <w:tcPr>
            <w:tcW w:w="1158" w:type="dxa"/>
            <w:tcBorders>
              <w:top w:val="single" w:sz="4" w:space="0" w:color="000000"/>
              <w:left w:val="single" w:sz="4" w:space="0" w:color="000000"/>
              <w:bottom w:val="nil"/>
              <w:right w:val="single" w:sz="4" w:space="0" w:color="000000"/>
            </w:tcBorders>
            <w:hideMark/>
          </w:tcPr>
          <w:p w14:paraId="70950897" w14:textId="77777777" w:rsidR="00385FC8" w:rsidRDefault="00385FC8">
            <w:pPr>
              <w:pStyle w:val="TableParagraph"/>
              <w:spacing w:before="8" w:line="240" w:lineRule="auto"/>
              <w:ind w:left="107"/>
              <w:rPr>
                <w:sz w:val="19"/>
              </w:rPr>
            </w:pPr>
            <w:r>
              <w:rPr>
                <w:sz w:val="19"/>
              </w:rPr>
              <w:t>67</w:t>
            </w:r>
          </w:p>
        </w:tc>
        <w:tc>
          <w:tcPr>
            <w:tcW w:w="1162" w:type="dxa"/>
            <w:tcBorders>
              <w:top w:val="single" w:sz="4" w:space="0" w:color="000000"/>
              <w:left w:val="single" w:sz="4" w:space="0" w:color="000000"/>
              <w:bottom w:val="nil"/>
              <w:right w:val="single" w:sz="4" w:space="0" w:color="000000"/>
            </w:tcBorders>
            <w:hideMark/>
          </w:tcPr>
          <w:p w14:paraId="20777EB8" w14:textId="77777777" w:rsidR="00385FC8" w:rsidRDefault="00385FC8">
            <w:pPr>
              <w:pStyle w:val="TableParagraph"/>
              <w:spacing w:before="8" w:line="240" w:lineRule="auto"/>
              <w:ind w:left="108"/>
              <w:rPr>
                <w:sz w:val="19"/>
              </w:rPr>
            </w:pPr>
            <w:r>
              <w:rPr>
                <w:sz w:val="19"/>
              </w:rPr>
              <w:t>139</w:t>
            </w:r>
          </w:p>
        </w:tc>
        <w:tc>
          <w:tcPr>
            <w:tcW w:w="1158" w:type="dxa"/>
            <w:tcBorders>
              <w:top w:val="single" w:sz="4" w:space="0" w:color="000000"/>
              <w:left w:val="single" w:sz="4" w:space="0" w:color="000000"/>
              <w:bottom w:val="nil"/>
              <w:right w:val="single" w:sz="4" w:space="0" w:color="000000"/>
            </w:tcBorders>
            <w:hideMark/>
          </w:tcPr>
          <w:p w14:paraId="2345280C" w14:textId="77777777" w:rsidR="00385FC8" w:rsidRDefault="00385FC8">
            <w:pPr>
              <w:pStyle w:val="TableParagraph"/>
              <w:spacing w:before="8" w:line="240" w:lineRule="auto"/>
              <w:ind w:left="107"/>
              <w:rPr>
                <w:sz w:val="19"/>
              </w:rPr>
            </w:pPr>
            <w:r>
              <w:rPr>
                <w:sz w:val="19"/>
              </w:rPr>
              <w:t>152</w:t>
            </w:r>
          </w:p>
        </w:tc>
      </w:tr>
      <w:tr w:rsidR="00385FC8" w14:paraId="4BA2D531" w14:textId="77777777" w:rsidTr="00385FC8">
        <w:trPr>
          <w:trHeight w:val="232"/>
        </w:trPr>
        <w:tc>
          <w:tcPr>
            <w:tcW w:w="1260" w:type="dxa"/>
            <w:tcBorders>
              <w:top w:val="nil"/>
              <w:left w:val="single" w:sz="4" w:space="0" w:color="000000"/>
              <w:bottom w:val="nil"/>
              <w:right w:val="single" w:sz="4" w:space="0" w:color="000000"/>
            </w:tcBorders>
          </w:tcPr>
          <w:p w14:paraId="2E16CECE"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hideMark/>
          </w:tcPr>
          <w:p w14:paraId="3C08743A" w14:textId="77777777" w:rsidR="00385FC8" w:rsidRDefault="00385FC8">
            <w:pPr>
              <w:pStyle w:val="TableParagraph"/>
              <w:spacing w:line="211" w:lineRule="exact"/>
              <w:ind w:left="108"/>
              <w:rPr>
                <w:sz w:val="19"/>
              </w:rPr>
            </w:pPr>
            <w:r>
              <w:rPr>
                <w:sz w:val="19"/>
              </w:rPr>
              <w:t>Week</w:t>
            </w:r>
            <w:r>
              <w:rPr>
                <w:spacing w:val="-3"/>
                <w:sz w:val="19"/>
              </w:rPr>
              <w:t xml:space="preserve"> </w:t>
            </w:r>
            <w:r>
              <w:rPr>
                <w:sz w:val="19"/>
              </w:rPr>
              <w:t>8</w:t>
            </w:r>
          </w:p>
        </w:tc>
        <w:tc>
          <w:tcPr>
            <w:tcW w:w="1651" w:type="dxa"/>
            <w:tcBorders>
              <w:top w:val="nil"/>
              <w:left w:val="single" w:sz="4" w:space="0" w:color="000000"/>
              <w:bottom w:val="single" w:sz="4" w:space="0" w:color="000000"/>
              <w:right w:val="single" w:sz="4" w:space="0" w:color="000000"/>
            </w:tcBorders>
            <w:hideMark/>
          </w:tcPr>
          <w:p w14:paraId="2B5FA22C" w14:textId="77777777" w:rsidR="00385FC8" w:rsidRDefault="00385FC8">
            <w:pPr>
              <w:pStyle w:val="TableParagraph"/>
              <w:spacing w:line="211" w:lineRule="exact"/>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nil"/>
              <w:left w:val="single" w:sz="4" w:space="0" w:color="000000"/>
              <w:bottom w:val="single" w:sz="4" w:space="0" w:color="000000"/>
              <w:right w:val="single" w:sz="4" w:space="0" w:color="000000"/>
            </w:tcBorders>
            <w:hideMark/>
          </w:tcPr>
          <w:p w14:paraId="0EDD484E" w14:textId="77777777" w:rsidR="00385FC8" w:rsidRDefault="00385FC8">
            <w:pPr>
              <w:pStyle w:val="TableParagraph"/>
              <w:spacing w:line="211" w:lineRule="exact"/>
              <w:ind w:left="107"/>
              <w:rPr>
                <w:sz w:val="19"/>
              </w:rPr>
            </w:pPr>
            <w:r>
              <w:rPr>
                <w:sz w:val="19"/>
              </w:rPr>
              <w:t>-13.4 (1.19)</w:t>
            </w:r>
          </w:p>
        </w:tc>
        <w:tc>
          <w:tcPr>
            <w:tcW w:w="1162" w:type="dxa"/>
            <w:tcBorders>
              <w:top w:val="nil"/>
              <w:left w:val="single" w:sz="4" w:space="0" w:color="000000"/>
              <w:bottom w:val="single" w:sz="4" w:space="0" w:color="000000"/>
              <w:right w:val="single" w:sz="4" w:space="0" w:color="000000"/>
            </w:tcBorders>
            <w:hideMark/>
          </w:tcPr>
          <w:p w14:paraId="5A2B9567" w14:textId="77777777" w:rsidR="00385FC8" w:rsidRDefault="00385FC8">
            <w:pPr>
              <w:pStyle w:val="TableParagraph"/>
              <w:spacing w:line="211" w:lineRule="exact"/>
              <w:ind w:left="108"/>
              <w:rPr>
                <w:sz w:val="19"/>
              </w:rPr>
            </w:pPr>
            <w:r>
              <w:rPr>
                <w:sz w:val="19"/>
              </w:rPr>
              <w:t>-25.6 (0.82)</w:t>
            </w:r>
          </w:p>
        </w:tc>
        <w:tc>
          <w:tcPr>
            <w:tcW w:w="1158" w:type="dxa"/>
            <w:tcBorders>
              <w:top w:val="nil"/>
              <w:left w:val="single" w:sz="4" w:space="0" w:color="000000"/>
              <w:bottom w:val="single" w:sz="4" w:space="0" w:color="000000"/>
              <w:right w:val="single" w:sz="4" w:space="0" w:color="000000"/>
            </w:tcBorders>
            <w:hideMark/>
          </w:tcPr>
          <w:p w14:paraId="550F6BAE" w14:textId="77777777" w:rsidR="00385FC8" w:rsidRDefault="00385FC8">
            <w:pPr>
              <w:pStyle w:val="TableParagraph"/>
              <w:spacing w:line="211" w:lineRule="exact"/>
              <w:ind w:left="107"/>
              <w:rPr>
                <w:sz w:val="19"/>
              </w:rPr>
            </w:pPr>
            <w:r>
              <w:rPr>
                <w:sz w:val="19"/>
              </w:rPr>
              <w:t>-23.5 (0.80)</w:t>
            </w:r>
          </w:p>
        </w:tc>
      </w:tr>
      <w:tr w:rsidR="00385FC8" w14:paraId="32D3F693" w14:textId="77777777" w:rsidTr="00385FC8">
        <w:trPr>
          <w:trHeight w:val="251"/>
        </w:trPr>
        <w:tc>
          <w:tcPr>
            <w:tcW w:w="1260" w:type="dxa"/>
            <w:tcBorders>
              <w:top w:val="nil"/>
              <w:left w:val="single" w:sz="4" w:space="0" w:color="000000"/>
              <w:bottom w:val="nil"/>
              <w:right w:val="single" w:sz="4" w:space="0" w:color="000000"/>
            </w:tcBorders>
          </w:tcPr>
          <w:p w14:paraId="40D9909E"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758DD2BD" w14:textId="77777777" w:rsidR="00385FC8" w:rsidRDefault="00385FC8">
            <w:pPr>
              <w:pStyle w:val="TableParagraph"/>
              <w:spacing w:line="231" w:lineRule="exact"/>
              <w:ind w:left="108"/>
              <w:rPr>
                <w:sz w:val="19"/>
              </w:rPr>
            </w:pPr>
            <w:r>
              <w:t>Lisdexamfetamine</w:t>
            </w:r>
            <w:r>
              <w:rPr>
                <w:spacing w:val="-10"/>
              </w:rPr>
              <w:t xml:space="preserve"> </w:t>
            </w:r>
            <w:r>
              <w:rPr>
                <w:sz w:val="19"/>
              </w:rPr>
              <w:t>vs</w:t>
            </w:r>
          </w:p>
        </w:tc>
        <w:tc>
          <w:tcPr>
            <w:tcW w:w="1651" w:type="dxa"/>
            <w:tcBorders>
              <w:top w:val="single" w:sz="4" w:space="0" w:color="000000"/>
              <w:left w:val="single" w:sz="4" w:space="0" w:color="000000"/>
              <w:bottom w:val="nil"/>
              <w:right w:val="single" w:sz="4" w:space="0" w:color="000000"/>
            </w:tcBorders>
            <w:hideMark/>
          </w:tcPr>
          <w:p w14:paraId="5CDA9897" w14:textId="77777777" w:rsidR="00385FC8" w:rsidRDefault="00385FC8">
            <w:pPr>
              <w:pStyle w:val="TableParagraph"/>
              <w:spacing w:before="8" w:line="240" w:lineRule="auto"/>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single" w:sz="4" w:space="0" w:color="000000"/>
              <w:left w:val="single" w:sz="4" w:space="0" w:color="000000"/>
              <w:bottom w:val="nil"/>
              <w:right w:val="single" w:sz="4" w:space="0" w:color="000000"/>
            </w:tcBorders>
            <w:hideMark/>
          </w:tcPr>
          <w:p w14:paraId="491CC37A" w14:textId="77777777" w:rsidR="00385FC8" w:rsidRDefault="00385FC8">
            <w:pPr>
              <w:pStyle w:val="TableParagraph"/>
              <w:spacing w:before="8" w:line="240" w:lineRule="auto"/>
              <w:ind w:left="107"/>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6F840B5D" w14:textId="77777777" w:rsidR="00385FC8" w:rsidRDefault="00385FC8">
            <w:pPr>
              <w:pStyle w:val="TableParagraph"/>
              <w:spacing w:before="8" w:line="240" w:lineRule="auto"/>
              <w:ind w:left="108"/>
              <w:rPr>
                <w:sz w:val="19"/>
              </w:rPr>
            </w:pPr>
            <w:r>
              <w:rPr>
                <w:sz w:val="19"/>
              </w:rPr>
              <w:t>-2.1 (1.15)</w:t>
            </w:r>
          </w:p>
        </w:tc>
        <w:tc>
          <w:tcPr>
            <w:tcW w:w="1158" w:type="dxa"/>
            <w:tcBorders>
              <w:top w:val="single" w:sz="4" w:space="0" w:color="000000"/>
              <w:left w:val="single" w:sz="4" w:space="0" w:color="000000"/>
              <w:bottom w:val="nil"/>
              <w:right w:val="single" w:sz="4" w:space="0" w:color="000000"/>
            </w:tcBorders>
            <w:hideMark/>
          </w:tcPr>
          <w:p w14:paraId="37B4EC24" w14:textId="77777777" w:rsidR="00385FC8" w:rsidRDefault="00385FC8">
            <w:pPr>
              <w:pStyle w:val="TableParagraph"/>
              <w:spacing w:before="8" w:line="240" w:lineRule="auto"/>
              <w:ind w:left="107"/>
              <w:rPr>
                <w:sz w:val="19"/>
              </w:rPr>
            </w:pPr>
            <w:r>
              <w:rPr>
                <w:sz w:val="19"/>
              </w:rPr>
              <w:t>NA</w:t>
            </w:r>
          </w:p>
        </w:tc>
      </w:tr>
      <w:tr w:rsidR="00385FC8" w14:paraId="06B51A26" w14:textId="77777777" w:rsidTr="00385FC8">
        <w:trPr>
          <w:trHeight w:val="236"/>
        </w:trPr>
        <w:tc>
          <w:tcPr>
            <w:tcW w:w="1260" w:type="dxa"/>
            <w:tcBorders>
              <w:top w:val="nil"/>
              <w:left w:val="single" w:sz="4" w:space="0" w:color="000000"/>
              <w:bottom w:val="nil"/>
              <w:right w:val="single" w:sz="4" w:space="0" w:color="000000"/>
            </w:tcBorders>
          </w:tcPr>
          <w:p w14:paraId="08A7228C"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hideMark/>
          </w:tcPr>
          <w:p w14:paraId="0EE510BB" w14:textId="77777777" w:rsidR="00385FC8" w:rsidRDefault="00385FC8">
            <w:pPr>
              <w:pStyle w:val="TableParagraph"/>
              <w:spacing w:line="216" w:lineRule="exact"/>
              <w:ind w:left="108"/>
              <w:rPr>
                <w:sz w:val="19"/>
              </w:rPr>
            </w:pPr>
            <w:r>
              <w:rPr>
                <w:sz w:val="19"/>
              </w:rPr>
              <w:t>OROS-MPH</w:t>
            </w:r>
            <w:r>
              <w:rPr>
                <w:spacing w:val="-3"/>
                <w:sz w:val="19"/>
              </w:rPr>
              <w:t xml:space="preserve"> </w:t>
            </w:r>
            <w:r>
              <w:rPr>
                <w:sz w:val="19"/>
              </w:rPr>
              <w:t>difference</w:t>
            </w:r>
          </w:p>
        </w:tc>
        <w:tc>
          <w:tcPr>
            <w:tcW w:w="1651" w:type="dxa"/>
            <w:tcBorders>
              <w:top w:val="nil"/>
              <w:left w:val="single" w:sz="4" w:space="0" w:color="000000"/>
              <w:bottom w:val="nil"/>
              <w:right w:val="single" w:sz="4" w:space="0" w:color="000000"/>
            </w:tcBorders>
            <w:hideMark/>
          </w:tcPr>
          <w:p w14:paraId="04BF8E6F" w14:textId="77777777" w:rsidR="00385FC8" w:rsidRDefault="00385FC8">
            <w:pPr>
              <w:pStyle w:val="TableParagraph"/>
              <w:spacing w:line="216" w:lineRule="exact"/>
              <w:ind w:left="108"/>
              <w:rPr>
                <w:sz w:val="19"/>
              </w:rPr>
            </w:pPr>
            <w:r>
              <w:rPr>
                <w:sz w:val="19"/>
              </w:rPr>
              <w:t>(95%</w:t>
            </w:r>
            <w:r>
              <w:rPr>
                <w:spacing w:val="-2"/>
                <w:sz w:val="19"/>
              </w:rPr>
              <w:t xml:space="preserve"> </w:t>
            </w:r>
            <w:r>
              <w:rPr>
                <w:sz w:val="19"/>
              </w:rPr>
              <w:t>CI)</w:t>
            </w:r>
            <w:r>
              <w:rPr>
                <w:spacing w:val="-2"/>
                <w:sz w:val="19"/>
              </w:rPr>
              <w:t xml:space="preserve"> </w:t>
            </w:r>
            <w:r>
              <w:rPr>
                <w:sz w:val="19"/>
              </w:rPr>
              <w:t>[a]</w:t>
            </w:r>
          </w:p>
        </w:tc>
        <w:tc>
          <w:tcPr>
            <w:tcW w:w="1158" w:type="dxa"/>
            <w:tcBorders>
              <w:top w:val="nil"/>
              <w:left w:val="single" w:sz="4" w:space="0" w:color="000000"/>
              <w:bottom w:val="nil"/>
              <w:right w:val="single" w:sz="4" w:space="0" w:color="000000"/>
            </w:tcBorders>
          </w:tcPr>
          <w:p w14:paraId="43C7EA27"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676EABFD" w14:textId="77777777" w:rsidR="00385FC8" w:rsidRDefault="00385FC8">
            <w:pPr>
              <w:pStyle w:val="TableParagraph"/>
              <w:spacing w:line="216" w:lineRule="exact"/>
              <w:ind w:left="108"/>
              <w:rPr>
                <w:sz w:val="19"/>
              </w:rPr>
            </w:pPr>
            <w:r>
              <w:rPr>
                <w:sz w:val="19"/>
              </w:rPr>
              <w:t>-4.3, 0.2</w:t>
            </w:r>
          </w:p>
        </w:tc>
        <w:tc>
          <w:tcPr>
            <w:tcW w:w="1158" w:type="dxa"/>
            <w:tcBorders>
              <w:top w:val="nil"/>
              <w:left w:val="single" w:sz="4" w:space="0" w:color="000000"/>
              <w:bottom w:val="nil"/>
              <w:right w:val="single" w:sz="4" w:space="0" w:color="000000"/>
            </w:tcBorders>
          </w:tcPr>
          <w:p w14:paraId="1BC8F03D" w14:textId="77777777" w:rsidR="00385FC8" w:rsidRDefault="00385FC8">
            <w:pPr>
              <w:pStyle w:val="TableParagraph"/>
              <w:spacing w:line="240" w:lineRule="auto"/>
              <w:ind w:left="0"/>
              <w:rPr>
                <w:sz w:val="16"/>
              </w:rPr>
            </w:pPr>
          </w:p>
        </w:tc>
      </w:tr>
      <w:tr w:rsidR="00385FC8" w14:paraId="1CC4F2C9" w14:textId="77777777" w:rsidTr="00385FC8">
        <w:trPr>
          <w:trHeight w:val="240"/>
        </w:trPr>
        <w:tc>
          <w:tcPr>
            <w:tcW w:w="1260" w:type="dxa"/>
            <w:tcBorders>
              <w:top w:val="nil"/>
              <w:left w:val="single" w:sz="4" w:space="0" w:color="000000"/>
              <w:bottom w:val="nil"/>
              <w:right w:val="single" w:sz="4" w:space="0" w:color="000000"/>
            </w:tcBorders>
          </w:tcPr>
          <w:p w14:paraId="6CB8C9F1"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tcPr>
          <w:p w14:paraId="08280DDA" w14:textId="77777777" w:rsidR="00385FC8" w:rsidRDefault="00385FC8">
            <w:pPr>
              <w:pStyle w:val="TableParagraph"/>
              <w:spacing w:line="240" w:lineRule="auto"/>
              <w:ind w:left="0"/>
              <w:rPr>
                <w:sz w:val="16"/>
              </w:rPr>
            </w:pPr>
          </w:p>
        </w:tc>
        <w:tc>
          <w:tcPr>
            <w:tcW w:w="1651" w:type="dxa"/>
            <w:tcBorders>
              <w:top w:val="nil"/>
              <w:left w:val="single" w:sz="4" w:space="0" w:color="000000"/>
              <w:bottom w:val="nil"/>
              <w:right w:val="single" w:sz="4" w:space="0" w:color="000000"/>
            </w:tcBorders>
            <w:hideMark/>
          </w:tcPr>
          <w:p w14:paraId="03A81BDF" w14:textId="77777777" w:rsidR="00385FC8" w:rsidRDefault="00385FC8">
            <w:pPr>
              <w:pStyle w:val="TableParagraph"/>
              <w:spacing w:line="240" w:lineRule="auto"/>
              <w:ind w:left="108"/>
              <w:rPr>
                <w:sz w:val="19"/>
              </w:rPr>
            </w:pPr>
            <w:r>
              <w:rPr>
                <w:sz w:val="19"/>
              </w:rPr>
              <w:t>Effect size</w:t>
            </w:r>
            <w:r>
              <w:rPr>
                <w:spacing w:val="-1"/>
                <w:sz w:val="19"/>
              </w:rPr>
              <w:t xml:space="preserve"> </w:t>
            </w:r>
            <w:r>
              <w:rPr>
                <w:sz w:val="19"/>
              </w:rPr>
              <w:t>[b]</w:t>
            </w:r>
          </w:p>
        </w:tc>
        <w:tc>
          <w:tcPr>
            <w:tcW w:w="1158" w:type="dxa"/>
            <w:tcBorders>
              <w:top w:val="nil"/>
              <w:left w:val="single" w:sz="4" w:space="0" w:color="000000"/>
              <w:bottom w:val="nil"/>
              <w:right w:val="single" w:sz="4" w:space="0" w:color="000000"/>
            </w:tcBorders>
          </w:tcPr>
          <w:p w14:paraId="6341EBEA"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730448CC" w14:textId="77777777" w:rsidR="00385FC8" w:rsidRDefault="00385FC8">
            <w:pPr>
              <w:pStyle w:val="TableParagraph"/>
              <w:spacing w:line="240" w:lineRule="auto"/>
              <w:ind w:left="108"/>
              <w:rPr>
                <w:sz w:val="19"/>
              </w:rPr>
            </w:pPr>
            <w:r>
              <w:rPr>
                <w:sz w:val="19"/>
              </w:rPr>
              <w:t>0.2</w:t>
            </w:r>
          </w:p>
        </w:tc>
        <w:tc>
          <w:tcPr>
            <w:tcW w:w="1158" w:type="dxa"/>
            <w:tcBorders>
              <w:top w:val="nil"/>
              <w:left w:val="single" w:sz="4" w:space="0" w:color="000000"/>
              <w:bottom w:val="nil"/>
              <w:right w:val="single" w:sz="4" w:space="0" w:color="000000"/>
            </w:tcBorders>
          </w:tcPr>
          <w:p w14:paraId="06699D51" w14:textId="77777777" w:rsidR="00385FC8" w:rsidRDefault="00385FC8">
            <w:pPr>
              <w:pStyle w:val="TableParagraph"/>
              <w:spacing w:line="240" w:lineRule="auto"/>
              <w:ind w:left="0"/>
              <w:rPr>
                <w:sz w:val="16"/>
              </w:rPr>
            </w:pPr>
          </w:p>
        </w:tc>
      </w:tr>
      <w:tr w:rsidR="00385FC8" w14:paraId="4D22CCB8" w14:textId="77777777" w:rsidTr="00385FC8">
        <w:trPr>
          <w:trHeight w:val="232"/>
        </w:trPr>
        <w:tc>
          <w:tcPr>
            <w:tcW w:w="1260" w:type="dxa"/>
            <w:tcBorders>
              <w:top w:val="nil"/>
              <w:left w:val="single" w:sz="4" w:space="0" w:color="000000"/>
              <w:bottom w:val="nil"/>
              <w:right w:val="single" w:sz="4" w:space="0" w:color="000000"/>
            </w:tcBorders>
          </w:tcPr>
          <w:p w14:paraId="4AA2D200"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635F20B1"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53760635" w14:textId="77777777" w:rsidR="00385FC8" w:rsidRDefault="00385FC8">
            <w:pPr>
              <w:pStyle w:val="TableParagraph"/>
              <w:spacing w:line="211" w:lineRule="exact"/>
              <w:ind w:left="108"/>
              <w:rPr>
                <w:sz w:val="19"/>
              </w:rPr>
            </w:pPr>
            <w:r>
              <w:rPr>
                <w:sz w:val="19"/>
              </w:rPr>
              <w:t>p-value</w:t>
            </w:r>
          </w:p>
        </w:tc>
        <w:tc>
          <w:tcPr>
            <w:tcW w:w="1158" w:type="dxa"/>
            <w:tcBorders>
              <w:top w:val="nil"/>
              <w:left w:val="single" w:sz="4" w:space="0" w:color="000000"/>
              <w:bottom w:val="single" w:sz="4" w:space="0" w:color="000000"/>
              <w:right w:val="single" w:sz="4" w:space="0" w:color="000000"/>
            </w:tcBorders>
          </w:tcPr>
          <w:p w14:paraId="71D90C46"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hideMark/>
          </w:tcPr>
          <w:p w14:paraId="2EB8BE49" w14:textId="77777777" w:rsidR="00385FC8" w:rsidRDefault="00385FC8">
            <w:pPr>
              <w:pStyle w:val="TableParagraph"/>
              <w:spacing w:line="211" w:lineRule="exact"/>
              <w:ind w:left="108"/>
              <w:rPr>
                <w:sz w:val="19"/>
              </w:rPr>
            </w:pPr>
            <w:r>
              <w:rPr>
                <w:sz w:val="19"/>
              </w:rPr>
              <w:t>0.0717</w:t>
            </w:r>
          </w:p>
        </w:tc>
        <w:tc>
          <w:tcPr>
            <w:tcW w:w="1158" w:type="dxa"/>
            <w:tcBorders>
              <w:top w:val="nil"/>
              <w:left w:val="single" w:sz="4" w:space="0" w:color="000000"/>
              <w:bottom w:val="single" w:sz="4" w:space="0" w:color="000000"/>
              <w:right w:val="single" w:sz="4" w:space="0" w:color="000000"/>
            </w:tcBorders>
          </w:tcPr>
          <w:p w14:paraId="0068BCE2" w14:textId="77777777" w:rsidR="00385FC8" w:rsidRDefault="00385FC8">
            <w:pPr>
              <w:pStyle w:val="TableParagraph"/>
              <w:spacing w:line="240" w:lineRule="auto"/>
              <w:ind w:left="0"/>
              <w:rPr>
                <w:sz w:val="16"/>
              </w:rPr>
            </w:pPr>
          </w:p>
        </w:tc>
      </w:tr>
      <w:tr w:rsidR="00385FC8" w14:paraId="45648916" w14:textId="77777777" w:rsidTr="00385FC8">
        <w:trPr>
          <w:trHeight w:val="247"/>
        </w:trPr>
        <w:tc>
          <w:tcPr>
            <w:tcW w:w="1260" w:type="dxa"/>
            <w:tcBorders>
              <w:top w:val="nil"/>
              <w:left w:val="single" w:sz="4" w:space="0" w:color="000000"/>
              <w:bottom w:val="nil"/>
              <w:right w:val="single" w:sz="4" w:space="0" w:color="000000"/>
            </w:tcBorders>
          </w:tcPr>
          <w:p w14:paraId="4B148589"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6D53C710" w14:textId="77777777" w:rsidR="00385FC8" w:rsidRDefault="00385FC8">
            <w:pPr>
              <w:pStyle w:val="TableParagraph"/>
              <w:spacing w:before="8" w:line="240" w:lineRule="auto"/>
              <w:ind w:left="108"/>
              <w:rPr>
                <w:sz w:val="19"/>
              </w:rPr>
            </w:pPr>
            <w:r>
              <w:rPr>
                <w:sz w:val="19"/>
              </w:rPr>
              <w:t>Active</w:t>
            </w:r>
            <w:r>
              <w:rPr>
                <w:spacing w:val="-3"/>
                <w:sz w:val="19"/>
              </w:rPr>
              <w:t xml:space="preserve"> </w:t>
            </w:r>
            <w:r>
              <w:rPr>
                <w:sz w:val="19"/>
              </w:rPr>
              <w:t>vs</w:t>
            </w:r>
            <w:r>
              <w:rPr>
                <w:spacing w:val="-2"/>
                <w:sz w:val="19"/>
              </w:rPr>
              <w:t xml:space="preserve"> </w:t>
            </w:r>
            <w:r>
              <w:rPr>
                <w:sz w:val="19"/>
              </w:rPr>
              <w:t>Placebo</w:t>
            </w:r>
          </w:p>
        </w:tc>
        <w:tc>
          <w:tcPr>
            <w:tcW w:w="1651" w:type="dxa"/>
            <w:tcBorders>
              <w:top w:val="single" w:sz="4" w:space="0" w:color="000000"/>
              <w:left w:val="single" w:sz="4" w:space="0" w:color="000000"/>
              <w:bottom w:val="nil"/>
              <w:right w:val="single" w:sz="4" w:space="0" w:color="000000"/>
            </w:tcBorders>
            <w:hideMark/>
          </w:tcPr>
          <w:p w14:paraId="4208990A" w14:textId="77777777" w:rsidR="00385FC8" w:rsidRDefault="00385FC8">
            <w:pPr>
              <w:pStyle w:val="TableParagraph"/>
              <w:spacing w:before="8" w:line="240" w:lineRule="auto"/>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single" w:sz="4" w:space="0" w:color="000000"/>
              <w:left w:val="single" w:sz="4" w:space="0" w:color="000000"/>
              <w:bottom w:val="nil"/>
              <w:right w:val="single" w:sz="4" w:space="0" w:color="000000"/>
            </w:tcBorders>
            <w:hideMark/>
          </w:tcPr>
          <w:p w14:paraId="5EE3E195" w14:textId="77777777" w:rsidR="00385FC8" w:rsidRDefault="00385FC8">
            <w:pPr>
              <w:pStyle w:val="TableParagraph"/>
              <w:spacing w:before="8" w:line="240" w:lineRule="auto"/>
              <w:ind w:left="107"/>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6751FFDF" w14:textId="77777777" w:rsidR="00385FC8" w:rsidRDefault="00385FC8">
            <w:pPr>
              <w:pStyle w:val="TableParagraph"/>
              <w:spacing w:before="8" w:line="240" w:lineRule="auto"/>
              <w:ind w:left="108"/>
              <w:rPr>
                <w:sz w:val="19"/>
              </w:rPr>
            </w:pPr>
            <w:r>
              <w:rPr>
                <w:sz w:val="19"/>
              </w:rPr>
              <w:t>-12.2 (1.45)</w:t>
            </w:r>
          </w:p>
        </w:tc>
        <w:tc>
          <w:tcPr>
            <w:tcW w:w="1158" w:type="dxa"/>
            <w:tcBorders>
              <w:top w:val="single" w:sz="4" w:space="0" w:color="000000"/>
              <w:left w:val="single" w:sz="4" w:space="0" w:color="000000"/>
              <w:bottom w:val="nil"/>
              <w:right w:val="single" w:sz="4" w:space="0" w:color="000000"/>
            </w:tcBorders>
            <w:hideMark/>
          </w:tcPr>
          <w:p w14:paraId="4FD1F9AF" w14:textId="77777777" w:rsidR="00385FC8" w:rsidRDefault="00385FC8">
            <w:pPr>
              <w:pStyle w:val="TableParagraph"/>
              <w:spacing w:before="8" w:line="240" w:lineRule="auto"/>
              <w:ind w:left="107"/>
              <w:rPr>
                <w:sz w:val="19"/>
              </w:rPr>
            </w:pPr>
            <w:r>
              <w:rPr>
                <w:sz w:val="19"/>
              </w:rPr>
              <w:t>-10.1 (1.43)</w:t>
            </w:r>
          </w:p>
        </w:tc>
      </w:tr>
      <w:tr w:rsidR="00385FC8" w14:paraId="63D52868" w14:textId="77777777" w:rsidTr="00385FC8">
        <w:trPr>
          <w:trHeight w:val="240"/>
        </w:trPr>
        <w:tc>
          <w:tcPr>
            <w:tcW w:w="1260" w:type="dxa"/>
            <w:tcBorders>
              <w:top w:val="nil"/>
              <w:left w:val="single" w:sz="4" w:space="0" w:color="000000"/>
              <w:bottom w:val="nil"/>
              <w:right w:val="single" w:sz="4" w:space="0" w:color="000000"/>
            </w:tcBorders>
          </w:tcPr>
          <w:p w14:paraId="3CEBFB04"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hideMark/>
          </w:tcPr>
          <w:p w14:paraId="4409A31E" w14:textId="77777777" w:rsidR="00385FC8" w:rsidRDefault="00385FC8">
            <w:pPr>
              <w:pStyle w:val="TableParagraph"/>
              <w:spacing w:line="240" w:lineRule="auto"/>
              <w:ind w:left="108"/>
              <w:rPr>
                <w:sz w:val="19"/>
              </w:rPr>
            </w:pPr>
            <w:r>
              <w:rPr>
                <w:sz w:val="19"/>
              </w:rPr>
              <w:t>difference</w:t>
            </w:r>
          </w:p>
        </w:tc>
        <w:tc>
          <w:tcPr>
            <w:tcW w:w="1651" w:type="dxa"/>
            <w:tcBorders>
              <w:top w:val="nil"/>
              <w:left w:val="single" w:sz="4" w:space="0" w:color="000000"/>
              <w:bottom w:val="nil"/>
              <w:right w:val="single" w:sz="4" w:space="0" w:color="000000"/>
            </w:tcBorders>
            <w:hideMark/>
          </w:tcPr>
          <w:p w14:paraId="40C3877F" w14:textId="77777777" w:rsidR="00385FC8" w:rsidRDefault="00385FC8">
            <w:pPr>
              <w:pStyle w:val="TableParagraph"/>
              <w:spacing w:line="240" w:lineRule="auto"/>
              <w:ind w:left="108"/>
              <w:rPr>
                <w:sz w:val="19"/>
              </w:rPr>
            </w:pPr>
            <w:r>
              <w:rPr>
                <w:sz w:val="19"/>
              </w:rPr>
              <w:t>(95%</w:t>
            </w:r>
            <w:r>
              <w:rPr>
                <w:spacing w:val="-2"/>
                <w:sz w:val="19"/>
              </w:rPr>
              <w:t xml:space="preserve"> </w:t>
            </w:r>
            <w:r>
              <w:rPr>
                <w:sz w:val="19"/>
              </w:rPr>
              <w:t>CI)</w:t>
            </w:r>
            <w:r>
              <w:rPr>
                <w:spacing w:val="-2"/>
                <w:sz w:val="19"/>
              </w:rPr>
              <w:t xml:space="preserve"> </w:t>
            </w:r>
            <w:r>
              <w:rPr>
                <w:sz w:val="19"/>
              </w:rPr>
              <w:t>[a]</w:t>
            </w:r>
          </w:p>
        </w:tc>
        <w:tc>
          <w:tcPr>
            <w:tcW w:w="1158" w:type="dxa"/>
            <w:tcBorders>
              <w:top w:val="nil"/>
              <w:left w:val="single" w:sz="4" w:space="0" w:color="000000"/>
              <w:bottom w:val="nil"/>
              <w:right w:val="single" w:sz="4" w:space="0" w:color="000000"/>
            </w:tcBorders>
          </w:tcPr>
          <w:p w14:paraId="2831E58F"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1D40714C" w14:textId="77777777" w:rsidR="00385FC8" w:rsidRDefault="00385FC8">
            <w:pPr>
              <w:pStyle w:val="TableParagraph"/>
              <w:spacing w:line="240" w:lineRule="auto"/>
              <w:ind w:left="108"/>
              <w:rPr>
                <w:sz w:val="19"/>
              </w:rPr>
            </w:pPr>
            <w:r>
              <w:rPr>
                <w:sz w:val="19"/>
              </w:rPr>
              <w:t>-15.1,</w:t>
            </w:r>
            <w:r>
              <w:rPr>
                <w:spacing w:val="-1"/>
                <w:sz w:val="19"/>
              </w:rPr>
              <w:t xml:space="preserve"> </w:t>
            </w:r>
            <w:r>
              <w:rPr>
                <w:sz w:val="19"/>
              </w:rPr>
              <w:t>-9.4</w:t>
            </w:r>
          </w:p>
        </w:tc>
        <w:tc>
          <w:tcPr>
            <w:tcW w:w="1158" w:type="dxa"/>
            <w:tcBorders>
              <w:top w:val="nil"/>
              <w:left w:val="single" w:sz="4" w:space="0" w:color="000000"/>
              <w:bottom w:val="nil"/>
              <w:right w:val="single" w:sz="4" w:space="0" w:color="000000"/>
            </w:tcBorders>
            <w:hideMark/>
          </w:tcPr>
          <w:p w14:paraId="4C473BFD" w14:textId="77777777" w:rsidR="00385FC8" w:rsidRDefault="00385FC8">
            <w:pPr>
              <w:pStyle w:val="TableParagraph"/>
              <w:spacing w:line="240" w:lineRule="auto"/>
              <w:ind w:left="107"/>
              <w:rPr>
                <w:sz w:val="19"/>
              </w:rPr>
            </w:pPr>
            <w:r>
              <w:rPr>
                <w:sz w:val="19"/>
              </w:rPr>
              <w:t>-13.0,</w:t>
            </w:r>
            <w:r>
              <w:rPr>
                <w:spacing w:val="-1"/>
                <w:sz w:val="19"/>
              </w:rPr>
              <w:t xml:space="preserve"> </w:t>
            </w:r>
            <w:r>
              <w:rPr>
                <w:sz w:val="19"/>
              </w:rPr>
              <w:t>-7.3</w:t>
            </w:r>
          </w:p>
        </w:tc>
      </w:tr>
      <w:tr w:rsidR="00385FC8" w14:paraId="7EA35FC4" w14:textId="77777777" w:rsidTr="00385FC8">
        <w:trPr>
          <w:trHeight w:val="240"/>
        </w:trPr>
        <w:tc>
          <w:tcPr>
            <w:tcW w:w="1260" w:type="dxa"/>
            <w:tcBorders>
              <w:top w:val="nil"/>
              <w:left w:val="single" w:sz="4" w:space="0" w:color="000000"/>
              <w:bottom w:val="nil"/>
              <w:right w:val="single" w:sz="4" w:space="0" w:color="000000"/>
            </w:tcBorders>
          </w:tcPr>
          <w:p w14:paraId="037C1346"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tcPr>
          <w:p w14:paraId="49FC10B6" w14:textId="77777777" w:rsidR="00385FC8" w:rsidRDefault="00385FC8">
            <w:pPr>
              <w:pStyle w:val="TableParagraph"/>
              <w:spacing w:line="240" w:lineRule="auto"/>
              <w:ind w:left="0"/>
              <w:rPr>
                <w:sz w:val="16"/>
              </w:rPr>
            </w:pPr>
          </w:p>
        </w:tc>
        <w:tc>
          <w:tcPr>
            <w:tcW w:w="1651" w:type="dxa"/>
            <w:tcBorders>
              <w:top w:val="nil"/>
              <w:left w:val="single" w:sz="4" w:space="0" w:color="000000"/>
              <w:bottom w:val="nil"/>
              <w:right w:val="single" w:sz="4" w:space="0" w:color="000000"/>
            </w:tcBorders>
            <w:hideMark/>
          </w:tcPr>
          <w:p w14:paraId="6619FD5E" w14:textId="77777777" w:rsidR="00385FC8" w:rsidRDefault="00385FC8">
            <w:pPr>
              <w:pStyle w:val="TableParagraph"/>
              <w:spacing w:line="240" w:lineRule="auto"/>
              <w:ind w:left="108"/>
              <w:rPr>
                <w:sz w:val="19"/>
              </w:rPr>
            </w:pPr>
            <w:r>
              <w:rPr>
                <w:sz w:val="19"/>
              </w:rPr>
              <w:t>Effect size</w:t>
            </w:r>
            <w:r>
              <w:rPr>
                <w:spacing w:val="-1"/>
                <w:sz w:val="19"/>
              </w:rPr>
              <w:t xml:space="preserve"> </w:t>
            </w:r>
            <w:r>
              <w:rPr>
                <w:sz w:val="19"/>
              </w:rPr>
              <w:t>[b]</w:t>
            </w:r>
          </w:p>
        </w:tc>
        <w:tc>
          <w:tcPr>
            <w:tcW w:w="1158" w:type="dxa"/>
            <w:tcBorders>
              <w:top w:val="nil"/>
              <w:left w:val="single" w:sz="4" w:space="0" w:color="000000"/>
              <w:bottom w:val="nil"/>
              <w:right w:val="single" w:sz="4" w:space="0" w:color="000000"/>
            </w:tcBorders>
          </w:tcPr>
          <w:p w14:paraId="0E19E488"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1260DFAB" w14:textId="77777777" w:rsidR="00385FC8" w:rsidRDefault="00385FC8">
            <w:pPr>
              <w:pStyle w:val="TableParagraph"/>
              <w:spacing w:line="240" w:lineRule="auto"/>
              <w:ind w:left="108"/>
              <w:rPr>
                <w:sz w:val="19"/>
              </w:rPr>
            </w:pPr>
            <w:r>
              <w:rPr>
                <w:sz w:val="19"/>
              </w:rPr>
              <w:t>1.16</w:t>
            </w:r>
          </w:p>
        </w:tc>
        <w:tc>
          <w:tcPr>
            <w:tcW w:w="1158" w:type="dxa"/>
            <w:tcBorders>
              <w:top w:val="nil"/>
              <w:left w:val="single" w:sz="4" w:space="0" w:color="000000"/>
              <w:bottom w:val="nil"/>
              <w:right w:val="single" w:sz="4" w:space="0" w:color="000000"/>
            </w:tcBorders>
            <w:hideMark/>
          </w:tcPr>
          <w:p w14:paraId="297167AF" w14:textId="77777777" w:rsidR="00385FC8" w:rsidRDefault="00385FC8">
            <w:pPr>
              <w:pStyle w:val="TableParagraph"/>
              <w:spacing w:line="240" w:lineRule="auto"/>
              <w:ind w:left="107"/>
              <w:rPr>
                <w:sz w:val="19"/>
              </w:rPr>
            </w:pPr>
            <w:r>
              <w:rPr>
                <w:sz w:val="19"/>
              </w:rPr>
              <w:t>0.97</w:t>
            </w:r>
          </w:p>
        </w:tc>
      </w:tr>
      <w:tr w:rsidR="00385FC8" w14:paraId="2AFDA95A" w14:textId="77777777" w:rsidTr="00385FC8">
        <w:trPr>
          <w:trHeight w:val="232"/>
        </w:trPr>
        <w:tc>
          <w:tcPr>
            <w:tcW w:w="1260" w:type="dxa"/>
            <w:tcBorders>
              <w:top w:val="nil"/>
              <w:left w:val="single" w:sz="4" w:space="0" w:color="000000"/>
              <w:bottom w:val="nil"/>
              <w:right w:val="single" w:sz="4" w:space="0" w:color="000000"/>
            </w:tcBorders>
          </w:tcPr>
          <w:p w14:paraId="5C9DCF13"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2D1DE2E5"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6E96409B" w14:textId="77777777" w:rsidR="00385FC8" w:rsidRDefault="00385FC8">
            <w:pPr>
              <w:pStyle w:val="TableParagraph"/>
              <w:spacing w:line="211" w:lineRule="exact"/>
              <w:ind w:left="108"/>
              <w:rPr>
                <w:sz w:val="19"/>
              </w:rPr>
            </w:pPr>
            <w:r>
              <w:rPr>
                <w:sz w:val="19"/>
              </w:rPr>
              <w:t>p-value</w:t>
            </w:r>
          </w:p>
        </w:tc>
        <w:tc>
          <w:tcPr>
            <w:tcW w:w="1158" w:type="dxa"/>
            <w:tcBorders>
              <w:top w:val="nil"/>
              <w:left w:val="single" w:sz="4" w:space="0" w:color="000000"/>
              <w:bottom w:val="single" w:sz="4" w:space="0" w:color="000000"/>
              <w:right w:val="single" w:sz="4" w:space="0" w:color="000000"/>
            </w:tcBorders>
          </w:tcPr>
          <w:p w14:paraId="15397D36"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hideMark/>
          </w:tcPr>
          <w:p w14:paraId="598540AE" w14:textId="77777777" w:rsidR="00385FC8" w:rsidRDefault="00385FC8">
            <w:pPr>
              <w:pStyle w:val="TableParagraph"/>
              <w:spacing w:line="211" w:lineRule="exact"/>
              <w:ind w:left="108"/>
              <w:rPr>
                <w:sz w:val="19"/>
              </w:rPr>
            </w:pPr>
            <w:r>
              <w:rPr>
                <w:sz w:val="19"/>
              </w:rPr>
              <w:t>&lt;0.0001</w:t>
            </w:r>
          </w:p>
        </w:tc>
        <w:tc>
          <w:tcPr>
            <w:tcW w:w="1158" w:type="dxa"/>
            <w:tcBorders>
              <w:top w:val="nil"/>
              <w:left w:val="single" w:sz="4" w:space="0" w:color="000000"/>
              <w:bottom w:val="single" w:sz="4" w:space="0" w:color="000000"/>
              <w:right w:val="single" w:sz="4" w:space="0" w:color="000000"/>
            </w:tcBorders>
            <w:hideMark/>
          </w:tcPr>
          <w:p w14:paraId="680F38A9" w14:textId="77777777" w:rsidR="00385FC8" w:rsidRDefault="00385FC8">
            <w:pPr>
              <w:pStyle w:val="TableParagraph"/>
              <w:spacing w:line="211" w:lineRule="exact"/>
              <w:ind w:left="107"/>
              <w:rPr>
                <w:sz w:val="19"/>
              </w:rPr>
            </w:pPr>
            <w:r>
              <w:rPr>
                <w:sz w:val="19"/>
              </w:rPr>
              <w:t>&lt;0.0001</w:t>
            </w:r>
          </w:p>
        </w:tc>
      </w:tr>
      <w:tr w:rsidR="00385FC8" w:rsidRPr="00C35E91" w14:paraId="135AB782" w14:textId="77777777" w:rsidTr="00385FC8">
        <w:trPr>
          <w:trHeight w:val="240"/>
        </w:trPr>
        <w:tc>
          <w:tcPr>
            <w:tcW w:w="1260" w:type="dxa"/>
            <w:tcBorders>
              <w:top w:val="nil"/>
              <w:left w:val="single" w:sz="4" w:space="0" w:color="000000"/>
              <w:bottom w:val="nil"/>
              <w:right w:val="single" w:sz="4" w:space="0" w:color="000000"/>
            </w:tcBorders>
          </w:tcPr>
          <w:p w14:paraId="6056A222" w14:textId="77777777" w:rsidR="00385FC8" w:rsidRDefault="00385FC8">
            <w:pPr>
              <w:pStyle w:val="TableParagraph"/>
              <w:spacing w:line="240" w:lineRule="auto"/>
              <w:ind w:left="0"/>
              <w:rPr>
                <w:sz w:val="16"/>
              </w:rPr>
            </w:pPr>
          </w:p>
        </w:tc>
        <w:tc>
          <w:tcPr>
            <w:tcW w:w="7379" w:type="dxa"/>
            <w:gridSpan w:val="5"/>
            <w:tcBorders>
              <w:top w:val="single" w:sz="4" w:space="0" w:color="000000"/>
              <w:left w:val="single" w:sz="4" w:space="0" w:color="000000"/>
              <w:bottom w:val="single" w:sz="4" w:space="0" w:color="000000"/>
              <w:right w:val="single" w:sz="4" w:space="0" w:color="000000"/>
            </w:tcBorders>
            <w:hideMark/>
          </w:tcPr>
          <w:p w14:paraId="7696D448" w14:textId="77777777" w:rsidR="00385FC8" w:rsidRDefault="00385FC8">
            <w:pPr>
              <w:pStyle w:val="TableParagraph"/>
              <w:spacing w:before="8" w:line="211" w:lineRule="exact"/>
              <w:ind w:left="108"/>
              <w:rPr>
                <w:b/>
                <w:sz w:val="19"/>
                <w:lang w:val="en-GB"/>
              </w:rPr>
            </w:pPr>
            <w:r>
              <w:rPr>
                <w:b/>
                <w:sz w:val="19"/>
                <w:lang w:val="en-GB"/>
              </w:rPr>
              <w:t>Key</w:t>
            </w:r>
            <w:r>
              <w:rPr>
                <w:b/>
                <w:spacing w:val="-2"/>
                <w:sz w:val="19"/>
                <w:lang w:val="en-GB"/>
              </w:rPr>
              <w:t xml:space="preserve"> </w:t>
            </w:r>
            <w:r>
              <w:rPr>
                <w:b/>
                <w:sz w:val="19"/>
                <w:lang w:val="en-GB"/>
              </w:rPr>
              <w:t>Secondary</w:t>
            </w:r>
            <w:r>
              <w:rPr>
                <w:b/>
                <w:spacing w:val="-2"/>
                <w:sz w:val="19"/>
                <w:lang w:val="en-GB"/>
              </w:rPr>
              <w:t xml:space="preserve"> </w:t>
            </w:r>
            <w:r>
              <w:rPr>
                <w:b/>
                <w:sz w:val="19"/>
                <w:lang w:val="en-GB"/>
              </w:rPr>
              <w:t>Endpoint</w:t>
            </w:r>
            <w:r>
              <w:rPr>
                <w:b/>
                <w:spacing w:val="-4"/>
                <w:sz w:val="19"/>
                <w:lang w:val="en-GB"/>
              </w:rPr>
              <w:t xml:space="preserve"> </w:t>
            </w:r>
            <w:r>
              <w:rPr>
                <w:b/>
                <w:sz w:val="19"/>
                <w:lang w:val="en-GB"/>
              </w:rPr>
              <w:t>CGI-I</w:t>
            </w:r>
          </w:p>
        </w:tc>
      </w:tr>
      <w:tr w:rsidR="00385FC8" w14:paraId="3884CFB2" w14:textId="77777777" w:rsidTr="00385FC8">
        <w:trPr>
          <w:trHeight w:val="240"/>
        </w:trPr>
        <w:tc>
          <w:tcPr>
            <w:tcW w:w="1260" w:type="dxa"/>
            <w:tcBorders>
              <w:top w:val="nil"/>
              <w:left w:val="single" w:sz="4" w:space="0" w:color="000000"/>
              <w:bottom w:val="nil"/>
              <w:right w:val="single" w:sz="4" w:space="0" w:color="000000"/>
            </w:tcBorders>
          </w:tcPr>
          <w:p w14:paraId="1A3EB8B1" w14:textId="77777777" w:rsidR="00385FC8" w:rsidRDefault="00385FC8">
            <w:pPr>
              <w:pStyle w:val="TableParagraph"/>
              <w:spacing w:line="240" w:lineRule="auto"/>
              <w:ind w:left="0"/>
              <w:rPr>
                <w:sz w:val="16"/>
                <w:lang w:val="en-GB"/>
              </w:rPr>
            </w:pPr>
          </w:p>
        </w:tc>
        <w:tc>
          <w:tcPr>
            <w:tcW w:w="3901" w:type="dxa"/>
            <w:gridSpan w:val="2"/>
            <w:tcBorders>
              <w:top w:val="single" w:sz="4" w:space="0" w:color="000000"/>
              <w:left w:val="single" w:sz="4" w:space="0" w:color="000000"/>
              <w:bottom w:val="single" w:sz="4" w:space="0" w:color="000000"/>
              <w:right w:val="single" w:sz="4" w:space="0" w:color="000000"/>
            </w:tcBorders>
            <w:hideMark/>
          </w:tcPr>
          <w:p w14:paraId="73401632" w14:textId="77777777" w:rsidR="00385FC8" w:rsidRDefault="00385FC8">
            <w:pPr>
              <w:pStyle w:val="TableParagraph"/>
              <w:spacing w:before="8" w:line="211" w:lineRule="exact"/>
              <w:ind w:left="108"/>
              <w:rPr>
                <w:sz w:val="19"/>
              </w:rPr>
            </w:pPr>
            <w:r>
              <w:rPr>
                <w:sz w:val="19"/>
              </w:rPr>
              <w:t>Subjects</w:t>
            </w:r>
            <w:r>
              <w:rPr>
                <w:spacing w:val="-4"/>
                <w:sz w:val="19"/>
              </w:rPr>
              <w:t xml:space="preserve"> </w:t>
            </w:r>
            <w:r>
              <w:rPr>
                <w:sz w:val="19"/>
              </w:rPr>
              <w:t>analysed</w:t>
            </w:r>
            <w:r>
              <w:rPr>
                <w:spacing w:val="-2"/>
                <w:sz w:val="19"/>
              </w:rPr>
              <w:t xml:space="preserve"> </w:t>
            </w:r>
            <w:r>
              <w:rPr>
                <w:sz w:val="19"/>
              </w:rPr>
              <w:t>(n)</w:t>
            </w:r>
          </w:p>
        </w:tc>
        <w:tc>
          <w:tcPr>
            <w:tcW w:w="1158" w:type="dxa"/>
            <w:tcBorders>
              <w:top w:val="single" w:sz="4" w:space="0" w:color="000000"/>
              <w:left w:val="single" w:sz="4" w:space="0" w:color="000000"/>
              <w:bottom w:val="single" w:sz="4" w:space="0" w:color="000000"/>
              <w:right w:val="single" w:sz="4" w:space="0" w:color="000000"/>
            </w:tcBorders>
            <w:hideMark/>
          </w:tcPr>
          <w:p w14:paraId="7CA06955" w14:textId="77777777" w:rsidR="00385FC8" w:rsidRDefault="00385FC8">
            <w:pPr>
              <w:pStyle w:val="TableParagraph"/>
              <w:spacing w:before="8" w:line="211" w:lineRule="exact"/>
              <w:ind w:left="415" w:right="407"/>
              <w:rPr>
                <w:sz w:val="19"/>
              </w:rPr>
            </w:pPr>
            <w:r>
              <w:rPr>
                <w:sz w:val="19"/>
              </w:rPr>
              <w:t>89</w:t>
            </w:r>
          </w:p>
        </w:tc>
        <w:tc>
          <w:tcPr>
            <w:tcW w:w="1162" w:type="dxa"/>
            <w:tcBorders>
              <w:top w:val="single" w:sz="4" w:space="0" w:color="000000"/>
              <w:left w:val="single" w:sz="4" w:space="0" w:color="000000"/>
              <w:bottom w:val="single" w:sz="4" w:space="0" w:color="000000"/>
              <w:right w:val="single" w:sz="4" w:space="0" w:color="000000"/>
            </w:tcBorders>
            <w:hideMark/>
          </w:tcPr>
          <w:p w14:paraId="30F5D4BF" w14:textId="77777777" w:rsidR="00385FC8" w:rsidRDefault="00385FC8">
            <w:pPr>
              <w:pStyle w:val="TableParagraph"/>
              <w:spacing w:before="8" w:line="211" w:lineRule="exact"/>
              <w:ind w:left="418" w:right="409"/>
              <w:rPr>
                <w:sz w:val="19"/>
              </w:rPr>
            </w:pPr>
            <w:r>
              <w:rPr>
                <w:sz w:val="19"/>
              </w:rPr>
              <w:t>178</w:t>
            </w:r>
          </w:p>
        </w:tc>
        <w:tc>
          <w:tcPr>
            <w:tcW w:w="1158" w:type="dxa"/>
            <w:tcBorders>
              <w:top w:val="single" w:sz="4" w:space="0" w:color="000000"/>
              <w:left w:val="single" w:sz="4" w:space="0" w:color="000000"/>
              <w:bottom w:val="single" w:sz="4" w:space="0" w:color="000000"/>
              <w:right w:val="single" w:sz="4" w:space="0" w:color="000000"/>
            </w:tcBorders>
            <w:hideMark/>
          </w:tcPr>
          <w:p w14:paraId="61EF6865" w14:textId="77777777" w:rsidR="00385FC8" w:rsidRDefault="00385FC8">
            <w:pPr>
              <w:pStyle w:val="TableParagraph"/>
              <w:spacing w:before="8" w:line="211" w:lineRule="exact"/>
              <w:ind w:left="416" w:right="407"/>
              <w:rPr>
                <w:sz w:val="19"/>
              </w:rPr>
            </w:pPr>
            <w:r>
              <w:rPr>
                <w:sz w:val="19"/>
              </w:rPr>
              <w:t>184</w:t>
            </w:r>
          </w:p>
        </w:tc>
      </w:tr>
      <w:tr w:rsidR="00385FC8" w14:paraId="2E34908B" w14:textId="77777777" w:rsidTr="00385FC8">
        <w:trPr>
          <w:trHeight w:val="225"/>
        </w:trPr>
        <w:tc>
          <w:tcPr>
            <w:tcW w:w="1260" w:type="dxa"/>
            <w:tcBorders>
              <w:top w:val="nil"/>
              <w:left w:val="single" w:sz="4" w:space="0" w:color="000000"/>
              <w:bottom w:val="nil"/>
              <w:right w:val="single" w:sz="4" w:space="0" w:color="000000"/>
            </w:tcBorders>
          </w:tcPr>
          <w:p w14:paraId="5A20B3CF" w14:textId="77777777" w:rsidR="00385FC8" w:rsidRDefault="00385FC8">
            <w:pPr>
              <w:pStyle w:val="TableParagraph"/>
              <w:spacing w:line="240" w:lineRule="auto"/>
              <w:ind w:left="0"/>
              <w:rPr>
                <w:sz w:val="16"/>
              </w:rPr>
            </w:pPr>
          </w:p>
        </w:tc>
        <w:tc>
          <w:tcPr>
            <w:tcW w:w="3901" w:type="dxa"/>
            <w:gridSpan w:val="2"/>
            <w:tcBorders>
              <w:top w:val="single" w:sz="4" w:space="0" w:color="000000"/>
              <w:left w:val="single" w:sz="4" w:space="0" w:color="000000"/>
              <w:bottom w:val="nil"/>
              <w:right w:val="single" w:sz="4" w:space="0" w:color="000000"/>
            </w:tcBorders>
            <w:hideMark/>
          </w:tcPr>
          <w:p w14:paraId="339EE55D" w14:textId="77777777" w:rsidR="00385FC8" w:rsidRDefault="00385FC8">
            <w:pPr>
              <w:pStyle w:val="TableParagraph"/>
              <w:spacing w:line="205" w:lineRule="exact"/>
              <w:ind w:left="108"/>
              <w:rPr>
                <w:sz w:val="19"/>
              </w:rPr>
            </w:pPr>
            <w:r>
              <w:rPr>
                <w:sz w:val="19"/>
              </w:rPr>
              <w:t>Improved</w:t>
            </w:r>
            <w:r>
              <w:rPr>
                <w:spacing w:val="-2"/>
                <w:sz w:val="19"/>
              </w:rPr>
              <w:t xml:space="preserve"> </w:t>
            </w:r>
            <w:r>
              <w:rPr>
                <w:sz w:val="19"/>
              </w:rPr>
              <w:t>(%)</w:t>
            </w:r>
            <w:r>
              <w:rPr>
                <w:spacing w:val="-4"/>
                <w:sz w:val="19"/>
              </w:rPr>
              <w:t xml:space="preserve"> </w:t>
            </w:r>
            <w:r>
              <w:rPr>
                <w:sz w:val="19"/>
              </w:rPr>
              <w:t>[c]</w:t>
            </w:r>
          </w:p>
        </w:tc>
        <w:tc>
          <w:tcPr>
            <w:tcW w:w="1158" w:type="dxa"/>
            <w:tcBorders>
              <w:top w:val="single" w:sz="4" w:space="0" w:color="000000"/>
              <w:left w:val="single" w:sz="4" w:space="0" w:color="000000"/>
              <w:bottom w:val="nil"/>
              <w:right w:val="single" w:sz="4" w:space="0" w:color="000000"/>
            </w:tcBorders>
            <w:hideMark/>
          </w:tcPr>
          <w:p w14:paraId="71D20077" w14:textId="77777777" w:rsidR="00385FC8" w:rsidRDefault="00385FC8">
            <w:pPr>
              <w:pStyle w:val="TableParagraph"/>
              <w:spacing w:line="205" w:lineRule="exact"/>
              <w:ind w:left="0" w:right="215"/>
              <w:rPr>
                <w:sz w:val="19"/>
              </w:rPr>
            </w:pPr>
            <w:r>
              <w:rPr>
                <w:sz w:val="19"/>
              </w:rPr>
              <w:t>31</w:t>
            </w:r>
            <w:r>
              <w:rPr>
                <w:spacing w:val="1"/>
                <w:sz w:val="19"/>
              </w:rPr>
              <w:t xml:space="preserve"> </w:t>
            </w:r>
            <w:r>
              <w:rPr>
                <w:sz w:val="19"/>
              </w:rPr>
              <w:t>(34.8)</w:t>
            </w:r>
          </w:p>
        </w:tc>
        <w:tc>
          <w:tcPr>
            <w:tcW w:w="1162" w:type="dxa"/>
            <w:tcBorders>
              <w:top w:val="single" w:sz="4" w:space="0" w:color="000000"/>
              <w:left w:val="single" w:sz="4" w:space="0" w:color="000000"/>
              <w:bottom w:val="nil"/>
              <w:right w:val="single" w:sz="4" w:space="0" w:color="000000"/>
            </w:tcBorders>
            <w:hideMark/>
          </w:tcPr>
          <w:p w14:paraId="2068D3B6" w14:textId="77777777" w:rsidR="00385FC8" w:rsidRDefault="00385FC8">
            <w:pPr>
              <w:pStyle w:val="TableParagraph"/>
              <w:spacing w:line="205" w:lineRule="exact"/>
              <w:ind w:left="182"/>
              <w:rPr>
                <w:sz w:val="19"/>
              </w:rPr>
            </w:pPr>
            <w:r>
              <w:rPr>
                <w:sz w:val="19"/>
              </w:rPr>
              <w:t>148</w:t>
            </w:r>
            <w:r>
              <w:rPr>
                <w:spacing w:val="1"/>
                <w:sz w:val="19"/>
              </w:rPr>
              <w:t xml:space="preserve"> </w:t>
            </w:r>
            <w:r>
              <w:rPr>
                <w:sz w:val="19"/>
              </w:rPr>
              <w:t>(83.1)</w:t>
            </w:r>
          </w:p>
        </w:tc>
        <w:tc>
          <w:tcPr>
            <w:tcW w:w="1158" w:type="dxa"/>
            <w:tcBorders>
              <w:top w:val="single" w:sz="4" w:space="0" w:color="000000"/>
              <w:left w:val="single" w:sz="4" w:space="0" w:color="000000"/>
              <w:bottom w:val="nil"/>
              <w:right w:val="single" w:sz="4" w:space="0" w:color="000000"/>
            </w:tcBorders>
            <w:hideMark/>
          </w:tcPr>
          <w:p w14:paraId="708EB7F8" w14:textId="77777777" w:rsidR="00385FC8" w:rsidRDefault="00385FC8">
            <w:pPr>
              <w:pStyle w:val="TableParagraph"/>
              <w:spacing w:line="205" w:lineRule="exact"/>
              <w:ind w:left="180"/>
              <w:rPr>
                <w:sz w:val="19"/>
              </w:rPr>
            </w:pPr>
            <w:r>
              <w:rPr>
                <w:sz w:val="19"/>
              </w:rPr>
              <w:t>149</w:t>
            </w:r>
            <w:r>
              <w:rPr>
                <w:spacing w:val="1"/>
                <w:sz w:val="19"/>
              </w:rPr>
              <w:t xml:space="preserve"> </w:t>
            </w:r>
            <w:r>
              <w:rPr>
                <w:sz w:val="19"/>
              </w:rPr>
              <w:t>(81.0)</w:t>
            </w:r>
          </w:p>
        </w:tc>
      </w:tr>
      <w:tr w:rsidR="00385FC8" w14:paraId="3762D175" w14:textId="77777777" w:rsidTr="00385FC8">
        <w:trPr>
          <w:trHeight w:val="221"/>
        </w:trPr>
        <w:tc>
          <w:tcPr>
            <w:tcW w:w="1260" w:type="dxa"/>
            <w:tcBorders>
              <w:top w:val="nil"/>
              <w:left w:val="single" w:sz="4" w:space="0" w:color="000000"/>
              <w:bottom w:val="nil"/>
              <w:right w:val="single" w:sz="4" w:space="0" w:color="000000"/>
            </w:tcBorders>
          </w:tcPr>
          <w:p w14:paraId="3199EA41" w14:textId="77777777" w:rsidR="00385FC8" w:rsidRDefault="00385FC8">
            <w:pPr>
              <w:pStyle w:val="TableParagraph"/>
              <w:spacing w:line="240" w:lineRule="auto"/>
              <w:ind w:left="0"/>
              <w:rPr>
                <w:sz w:val="14"/>
              </w:rPr>
            </w:pPr>
          </w:p>
        </w:tc>
        <w:tc>
          <w:tcPr>
            <w:tcW w:w="3901" w:type="dxa"/>
            <w:gridSpan w:val="2"/>
            <w:tcBorders>
              <w:top w:val="nil"/>
              <w:left w:val="single" w:sz="4" w:space="0" w:color="000000"/>
              <w:bottom w:val="single" w:sz="4" w:space="0" w:color="000000"/>
              <w:right w:val="single" w:sz="4" w:space="0" w:color="000000"/>
            </w:tcBorders>
            <w:hideMark/>
          </w:tcPr>
          <w:p w14:paraId="78BC9D92" w14:textId="77777777" w:rsidR="00385FC8" w:rsidRDefault="00385FC8">
            <w:pPr>
              <w:pStyle w:val="TableParagraph"/>
              <w:spacing w:line="201" w:lineRule="exact"/>
              <w:ind w:left="108"/>
              <w:rPr>
                <w:sz w:val="19"/>
              </w:rPr>
            </w:pPr>
            <w:r>
              <w:rPr>
                <w:sz w:val="19"/>
              </w:rPr>
              <w:t>Not</w:t>
            </w:r>
            <w:r>
              <w:rPr>
                <w:spacing w:val="-2"/>
                <w:sz w:val="19"/>
              </w:rPr>
              <w:t xml:space="preserve"> </w:t>
            </w:r>
            <w:r>
              <w:rPr>
                <w:sz w:val="19"/>
              </w:rPr>
              <w:t>improved (%)</w:t>
            </w:r>
            <w:r>
              <w:rPr>
                <w:spacing w:val="-2"/>
                <w:sz w:val="19"/>
              </w:rPr>
              <w:t xml:space="preserve"> </w:t>
            </w:r>
            <w:r>
              <w:rPr>
                <w:sz w:val="19"/>
              </w:rPr>
              <w:t>[d]</w:t>
            </w:r>
          </w:p>
        </w:tc>
        <w:tc>
          <w:tcPr>
            <w:tcW w:w="1158" w:type="dxa"/>
            <w:tcBorders>
              <w:top w:val="nil"/>
              <w:left w:val="single" w:sz="4" w:space="0" w:color="000000"/>
              <w:bottom w:val="single" w:sz="4" w:space="0" w:color="000000"/>
              <w:right w:val="single" w:sz="4" w:space="0" w:color="000000"/>
            </w:tcBorders>
            <w:hideMark/>
          </w:tcPr>
          <w:p w14:paraId="76F5E1B2" w14:textId="77777777" w:rsidR="00385FC8" w:rsidRDefault="00385FC8">
            <w:pPr>
              <w:pStyle w:val="TableParagraph"/>
              <w:spacing w:line="201" w:lineRule="exact"/>
              <w:ind w:left="0" w:right="215"/>
              <w:rPr>
                <w:sz w:val="19"/>
              </w:rPr>
            </w:pPr>
            <w:r>
              <w:rPr>
                <w:sz w:val="19"/>
              </w:rPr>
              <w:t>58</w:t>
            </w:r>
            <w:r>
              <w:rPr>
                <w:spacing w:val="1"/>
                <w:sz w:val="19"/>
              </w:rPr>
              <w:t xml:space="preserve"> </w:t>
            </w:r>
            <w:r>
              <w:rPr>
                <w:sz w:val="19"/>
              </w:rPr>
              <w:t>(65.2)</w:t>
            </w:r>
          </w:p>
        </w:tc>
        <w:tc>
          <w:tcPr>
            <w:tcW w:w="1162" w:type="dxa"/>
            <w:tcBorders>
              <w:top w:val="nil"/>
              <w:left w:val="single" w:sz="4" w:space="0" w:color="000000"/>
              <w:bottom w:val="single" w:sz="4" w:space="0" w:color="000000"/>
              <w:right w:val="single" w:sz="4" w:space="0" w:color="000000"/>
            </w:tcBorders>
            <w:hideMark/>
          </w:tcPr>
          <w:p w14:paraId="51E06D03" w14:textId="77777777" w:rsidR="00385FC8" w:rsidRDefault="00385FC8">
            <w:pPr>
              <w:pStyle w:val="TableParagraph"/>
              <w:spacing w:line="201" w:lineRule="exact"/>
              <w:ind w:left="230"/>
              <w:rPr>
                <w:sz w:val="19"/>
              </w:rPr>
            </w:pPr>
            <w:r>
              <w:rPr>
                <w:sz w:val="19"/>
              </w:rPr>
              <w:t>30</w:t>
            </w:r>
            <w:r>
              <w:rPr>
                <w:spacing w:val="1"/>
                <w:sz w:val="19"/>
              </w:rPr>
              <w:t xml:space="preserve"> </w:t>
            </w:r>
            <w:r>
              <w:rPr>
                <w:sz w:val="19"/>
              </w:rPr>
              <w:t>(16.9)</w:t>
            </w:r>
          </w:p>
        </w:tc>
        <w:tc>
          <w:tcPr>
            <w:tcW w:w="1158" w:type="dxa"/>
            <w:tcBorders>
              <w:top w:val="nil"/>
              <w:left w:val="single" w:sz="4" w:space="0" w:color="000000"/>
              <w:bottom w:val="single" w:sz="4" w:space="0" w:color="000000"/>
              <w:right w:val="single" w:sz="4" w:space="0" w:color="000000"/>
            </w:tcBorders>
            <w:hideMark/>
          </w:tcPr>
          <w:p w14:paraId="29C2F5F7" w14:textId="77777777" w:rsidR="00385FC8" w:rsidRDefault="00385FC8">
            <w:pPr>
              <w:pStyle w:val="TableParagraph"/>
              <w:spacing w:line="201" w:lineRule="exact"/>
              <w:ind w:left="0" w:right="215"/>
              <w:rPr>
                <w:sz w:val="19"/>
              </w:rPr>
            </w:pPr>
            <w:r>
              <w:rPr>
                <w:sz w:val="19"/>
              </w:rPr>
              <w:t>35</w:t>
            </w:r>
            <w:r>
              <w:rPr>
                <w:spacing w:val="1"/>
                <w:sz w:val="19"/>
              </w:rPr>
              <w:t xml:space="preserve"> </w:t>
            </w:r>
            <w:r>
              <w:rPr>
                <w:sz w:val="19"/>
              </w:rPr>
              <w:t>(19.0)</w:t>
            </w:r>
          </w:p>
        </w:tc>
      </w:tr>
      <w:tr w:rsidR="00385FC8" w14:paraId="3FFC0979" w14:textId="77777777" w:rsidTr="00385FC8">
        <w:trPr>
          <w:trHeight w:val="251"/>
        </w:trPr>
        <w:tc>
          <w:tcPr>
            <w:tcW w:w="1260" w:type="dxa"/>
            <w:tcBorders>
              <w:top w:val="nil"/>
              <w:left w:val="single" w:sz="4" w:space="0" w:color="000000"/>
              <w:bottom w:val="nil"/>
              <w:right w:val="single" w:sz="4" w:space="0" w:color="000000"/>
            </w:tcBorders>
          </w:tcPr>
          <w:p w14:paraId="650A4F57" w14:textId="77777777" w:rsidR="00385FC8" w:rsidRDefault="00385FC8">
            <w:pPr>
              <w:pStyle w:val="TableParagraph"/>
              <w:spacing w:line="240" w:lineRule="auto"/>
              <w:ind w:left="0"/>
              <w:rPr>
                <w:sz w:val="18"/>
              </w:rPr>
            </w:pPr>
          </w:p>
        </w:tc>
        <w:tc>
          <w:tcPr>
            <w:tcW w:w="3901" w:type="dxa"/>
            <w:gridSpan w:val="2"/>
            <w:tcBorders>
              <w:top w:val="single" w:sz="4" w:space="0" w:color="000000"/>
              <w:left w:val="single" w:sz="4" w:space="0" w:color="000000"/>
              <w:bottom w:val="nil"/>
              <w:right w:val="single" w:sz="4" w:space="0" w:color="000000"/>
            </w:tcBorders>
            <w:hideMark/>
          </w:tcPr>
          <w:p w14:paraId="5792B4A4" w14:textId="77777777" w:rsidR="00385FC8" w:rsidRDefault="00385FC8">
            <w:pPr>
              <w:pStyle w:val="TableParagraph"/>
              <w:spacing w:line="231" w:lineRule="exact"/>
              <w:ind w:left="108"/>
              <w:rPr>
                <w:sz w:val="19"/>
              </w:rPr>
            </w:pPr>
            <w:r>
              <w:t>Lisdexamfetamine</w:t>
            </w:r>
            <w:r>
              <w:rPr>
                <w:spacing w:val="-10"/>
              </w:rPr>
              <w:t xml:space="preserve"> </w:t>
            </w:r>
            <w:r>
              <w:rPr>
                <w:sz w:val="19"/>
              </w:rPr>
              <w:t>vs</w:t>
            </w:r>
            <w:r>
              <w:rPr>
                <w:spacing w:val="-2"/>
                <w:sz w:val="19"/>
              </w:rPr>
              <w:t xml:space="preserve"> </w:t>
            </w:r>
            <w:r>
              <w:rPr>
                <w:sz w:val="19"/>
              </w:rPr>
              <w:t>OROS-MPH</w:t>
            </w:r>
            <w:r>
              <w:rPr>
                <w:spacing w:val="-3"/>
                <w:sz w:val="19"/>
              </w:rPr>
              <w:t xml:space="preserve"> </w:t>
            </w:r>
            <w:r>
              <w:rPr>
                <w:sz w:val="19"/>
              </w:rPr>
              <w:t>[e]</w:t>
            </w:r>
          </w:p>
        </w:tc>
        <w:tc>
          <w:tcPr>
            <w:tcW w:w="1158" w:type="dxa"/>
            <w:tcBorders>
              <w:top w:val="single" w:sz="4" w:space="0" w:color="000000"/>
              <w:left w:val="single" w:sz="4" w:space="0" w:color="000000"/>
              <w:bottom w:val="nil"/>
              <w:right w:val="single" w:sz="4" w:space="0" w:color="000000"/>
            </w:tcBorders>
            <w:hideMark/>
          </w:tcPr>
          <w:p w14:paraId="3228D0F8" w14:textId="77777777" w:rsidR="00385FC8" w:rsidRDefault="00385FC8">
            <w:pPr>
              <w:pStyle w:val="TableParagraph"/>
              <w:spacing w:before="8" w:line="240" w:lineRule="auto"/>
              <w:ind w:left="416" w:right="406"/>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62E58851" w14:textId="77777777" w:rsidR="00385FC8" w:rsidRDefault="00385FC8">
            <w:pPr>
              <w:pStyle w:val="TableParagraph"/>
              <w:spacing w:before="8" w:line="240" w:lineRule="auto"/>
              <w:ind w:left="317"/>
              <w:rPr>
                <w:sz w:val="19"/>
              </w:rPr>
            </w:pPr>
            <w:r>
              <w:rPr>
                <w:sz w:val="19"/>
              </w:rPr>
              <w:t>0.6165</w:t>
            </w:r>
          </w:p>
        </w:tc>
        <w:tc>
          <w:tcPr>
            <w:tcW w:w="1158" w:type="dxa"/>
            <w:tcBorders>
              <w:top w:val="single" w:sz="4" w:space="0" w:color="000000"/>
              <w:left w:val="single" w:sz="4" w:space="0" w:color="000000"/>
              <w:bottom w:val="nil"/>
              <w:right w:val="single" w:sz="4" w:space="0" w:color="000000"/>
            </w:tcBorders>
            <w:hideMark/>
          </w:tcPr>
          <w:p w14:paraId="1AAB7D8B" w14:textId="77777777" w:rsidR="00385FC8" w:rsidRDefault="00385FC8">
            <w:pPr>
              <w:pStyle w:val="TableParagraph"/>
              <w:spacing w:before="8" w:line="240" w:lineRule="auto"/>
              <w:ind w:left="416" w:right="406"/>
              <w:rPr>
                <w:sz w:val="19"/>
              </w:rPr>
            </w:pPr>
            <w:r>
              <w:rPr>
                <w:sz w:val="19"/>
              </w:rPr>
              <w:t>NA</w:t>
            </w:r>
          </w:p>
        </w:tc>
      </w:tr>
      <w:tr w:rsidR="00385FC8" w14:paraId="74165311" w14:textId="77777777" w:rsidTr="00385FC8">
        <w:trPr>
          <w:trHeight w:val="228"/>
        </w:trPr>
        <w:tc>
          <w:tcPr>
            <w:tcW w:w="1260" w:type="dxa"/>
            <w:tcBorders>
              <w:top w:val="nil"/>
              <w:left w:val="single" w:sz="4" w:space="0" w:color="000000"/>
              <w:bottom w:val="single" w:sz="4" w:space="0" w:color="000000"/>
              <w:right w:val="single" w:sz="4" w:space="0" w:color="000000"/>
            </w:tcBorders>
          </w:tcPr>
          <w:p w14:paraId="430447D7" w14:textId="77777777" w:rsidR="00385FC8" w:rsidRDefault="00385FC8">
            <w:pPr>
              <w:pStyle w:val="TableParagraph"/>
              <w:spacing w:line="240" w:lineRule="auto"/>
              <w:ind w:left="0"/>
              <w:rPr>
                <w:sz w:val="16"/>
              </w:rPr>
            </w:pPr>
          </w:p>
        </w:tc>
        <w:tc>
          <w:tcPr>
            <w:tcW w:w="3901" w:type="dxa"/>
            <w:gridSpan w:val="2"/>
            <w:tcBorders>
              <w:top w:val="nil"/>
              <w:left w:val="single" w:sz="4" w:space="0" w:color="000000"/>
              <w:bottom w:val="single" w:sz="4" w:space="0" w:color="000000"/>
              <w:right w:val="single" w:sz="4" w:space="0" w:color="000000"/>
            </w:tcBorders>
            <w:hideMark/>
          </w:tcPr>
          <w:p w14:paraId="1644D7A1" w14:textId="77777777" w:rsidR="00385FC8" w:rsidRDefault="00385FC8">
            <w:pPr>
              <w:pStyle w:val="TableParagraph"/>
              <w:spacing w:line="209" w:lineRule="exact"/>
              <w:ind w:left="108"/>
              <w:rPr>
                <w:sz w:val="19"/>
                <w:lang w:val="en-GB"/>
              </w:rPr>
            </w:pPr>
            <w:r>
              <w:rPr>
                <w:sz w:val="19"/>
                <w:lang w:val="en-GB"/>
              </w:rPr>
              <w:t>Active</w:t>
            </w:r>
            <w:r>
              <w:rPr>
                <w:spacing w:val="-3"/>
                <w:sz w:val="19"/>
                <w:lang w:val="en-GB"/>
              </w:rPr>
              <w:t xml:space="preserve"> </w:t>
            </w:r>
            <w:r>
              <w:rPr>
                <w:sz w:val="19"/>
                <w:lang w:val="en-GB"/>
              </w:rPr>
              <w:t>treatment</w:t>
            </w:r>
            <w:r>
              <w:rPr>
                <w:spacing w:val="-4"/>
                <w:sz w:val="19"/>
                <w:lang w:val="en-GB"/>
              </w:rPr>
              <w:t xml:space="preserve"> </w:t>
            </w:r>
            <w:r>
              <w:rPr>
                <w:sz w:val="19"/>
                <w:lang w:val="en-GB"/>
              </w:rPr>
              <w:t>vs</w:t>
            </w:r>
            <w:r>
              <w:rPr>
                <w:spacing w:val="-3"/>
                <w:sz w:val="19"/>
                <w:lang w:val="en-GB"/>
              </w:rPr>
              <w:t xml:space="preserve"> </w:t>
            </w:r>
            <w:r>
              <w:rPr>
                <w:sz w:val="19"/>
                <w:lang w:val="en-GB"/>
              </w:rPr>
              <w:t>Placebo</w:t>
            </w:r>
            <w:r>
              <w:rPr>
                <w:spacing w:val="-2"/>
                <w:sz w:val="19"/>
                <w:lang w:val="en-GB"/>
              </w:rPr>
              <w:t xml:space="preserve"> </w:t>
            </w:r>
            <w:r>
              <w:rPr>
                <w:sz w:val="19"/>
                <w:lang w:val="en-GB"/>
              </w:rPr>
              <w:t>[e]</w:t>
            </w:r>
          </w:p>
        </w:tc>
        <w:tc>
          <w:tcPr>
            <w:tcW w:w="1158" w:type="dxa"/>
            <w:tcBorders>
              <w:top w:val="nil"/>
              <w:left w:val="single" w:sz="4" w:space="0" w:color="000000"/>
              <w:bottom w:val="single" w:sz="4" w:space="0" w:color="000000"/>
              <w:right w:val="single" w:sz="4" w:space="0" w:color="000000"/>
            </w:tcBorders>
            <w:hideMark/>
          </w:tcPr>
          <w:p w14:paraId="6A10EAC4" w14:textId="77777777" w:rsidR="00385FC8" w:rsidRDefault="00385FC8">
            <w:pPr>
              <w:pStyle w:val="TableParagraph"/>
              <w:spacing w:line="209" w:lineRule="exact"/>
              <w:ind w:left="416" w:right="406"/>
              <w:rPr>
                <w:sz w:val="19"/>
              </w:rPr>
            </w:pPr>
            <w:r>
              <w:rPr>
                <w:sz w:val="19"/>
              </w:rPr>
              <w:t>NA</w:t>
            </w:r>
          </w:p>
        </w:tc>
        <w:tc>
          <w:tcPr>
            <w:tcW w:w="1162" w:type="dxa"/>
            <w:tcBorders>
              <w:top w:val="nil"/>
              <w:left w:val="single" w:sz="4" w:space="0" w:color="000000"/>
              <w:bottom w:val="single" w:sz="4" w:space="0" w:color="000000"/>
              <w:right w:val="single" w:sz="4" w:space="0" w:color="000000"/>
            </w:tcBorders>
            <w:hideMark/>
          </w:tcPr>
          <w:p w14:paraId="260B52A5" w14:textId="77777777" w:rsidR="00385FC8" w:rsidRDefault="00385FC8">
            <w:pPr>
              <w:pStyle w:val="TableParagraph"/>
              <w:spacing w:line="209" w:lineRule="exact"/>
              <w:ind w:left="263"/>
              <w:rPr>
                <w:sz w:val="19"/>
              </w:rPr>
            </w:pPr>
            <w:r>
              <w:rPr>
                <w:sz w:val="19"/>
              </w:rPr>
              <w:t>&lt;0.0001</w:t>
            </w:r>
          </w:p>
        </w:tc>
        <w:tc>
          <w:tcPr>
            <w:tcW w:w="1158" w:type="dxa"/>
            <w:tcBorders>
              <w:top w:val="nil"/>
              <w:left w:val="single" w:sz="4" w:space="0" w:color="000000"/>
              <w:bottom w:val="single" w:sz="4" w:space="0" w:color="000000"/>
              <w:right w:val="single" w:sz="4" w:space="0" w:color="000000"/>
            </w:tcBorders>
            <w:hideMark/>
          </w:tcPr>
          <w:p w14:paraId="1B6E5DEF" w14:textId="77777777" w:rsidR="00385FC8" w:rsidRDefault="00385FC8">
            <w:pPr>
              <w:pStyle w:val="TableParagraph"/>
              <w:spacing w:line="209" w:lineRule="exact"/>
              <w:ind w:left="260"/>
              <w:rPr>
                <w:sz w:val="19"/>
              </w:rPr>
            </w:pPr>
            <w:r>
              <w:rPr>
                <w:sz w:val="19"/>
              </w:rPr>
              <w:t>&lt;0.0001</w:t>
            </w:r>
          </w:p>
        </w:tc>
      </w:tr>
      <w:tr w:rsidR="00385FC8" w14:paraId="31AEC807" w14:textId="77777777" w:rsidTr="00385FC8">
        <w:trPr>
          <w:trHeight w:val="247"/>
        </w:trPr>
        <w:tc>
          <w:tcPr>
            <w:tcW w:w="1260" w:type="dxa"/>
            <w:tcBorders>
              <w:top w:val="single" w:sz="4" w:space="0" w:color="000000"/>
              <w:left w:val="single" w:sz="4" w:space="0" w:color="000000"/>
              <w:bottom w:val="nil"/>
              <w:right w:val="single" w:sz="4" w:space="0" w:color="000000"/>
            </w:tcBorders>
            <w:hideMark/>
          </w:tcPr>
          <w:p w14:paraId="177DAAB0" w14:textId="77777777" w:rsidR="00385FC8" w:rsidRDefault="00385FC8">
            <w:pPr>
              <w:pStyle w:val="TableParagraph"/>
              <w:spacing w:before="8" w:line="240" w:lineRule="auto"/>
              <w:ind w:left="90" w:right="126"/>
              <w:rPr>
                <w:b/>
                <w:sz w:val="19"/>
              </w:rPr>
            </w:pPr>
            <w:r>
              <w:rPr>
                <w:b/>
                <w:sz w:val="19"/>
              </w:rPr>
              <w:t>SPD489-406</w:t>
            </w:r>
          </w:p>
        </w:tc>
        <w:tc>
          <w:tcPr>
            <w:tcW w:w="3901" w:type="dxa"/>
            <w:gridSpan w:val="2"/>
            <w:tcBorders>
              <w:top w:val="single" w:sz="4" w:space="0" w:color="000000"/>
              <w:left w:val="single" w:sz="4" w:space="0" w:color="000000"/>
              <w:bottom w:val="nil"/>
              <w:right w:val="single" w:sz="4" w:space="0" w:color="000000"/>
            </w:tcBorders>
            <w:hideMark/>
          </w:tcPr>
          <w:p w14:paraId="4B09F0FD" w14:textId="77777777" w:rsidR="00385FC8" w:rsidRDefault="00385FC8">
            <w:pPr>
              <w:pStyle w:val="TableParagraph"/>
              <w:spacing w:before="8" w:line="240" w:lineRule="auto"/>
              <w:ind w:left="108"/>
              <w:rPr>
                <w:b/>
                <w:sz w:val="19"/>
                <w:lang w:val="en-GB"/>
              </w:rPr>
            </w:pPr>
            <w:r>
              <w:rPr>
                <w:b/>
                <w:sz w:val="19"/>
                <w:lang w:val="en-GB"/>
              </w:rPr>
              <w:t>Primary</w:t>
            </w:r>
            <w:r>
              <w:rPr>
                <w:b/>
                <w:spacing w:val="-3"/>
                <w:sz w:val="19"/>
                <w:lang w:val="en-GB"/>
              </w:rPr>
              <w:t xml:space="preserve"> </w:t>
            </w:r>
            <w:r>
              <w:rPr>
                <w:b/>
                <w:sz w:val="19"/>
                <w:lang w:val="en-GB"/>
              </w:rPr>
              <w:t>at</w:t>
            </w:r>
            <w:r>
              <w:rPr>
                <w:b/>
                <w:spacing w:val="-4"/>
                <w:sz w:val="19"/>
                <w:lang w:val="en-GB"/>
              </w:rPr>
              <w:t xml:space="preserve"> </w:t>
            </w:r>
            <w:r>
              <w:rPr>
                <w:b/>
                <w:sz w:val="19"/>
                <w:lang w:val="en-GB"/>
              </w:rPr>
              <w:t>Week</w:t>
            </w:r>
            <w:r>
              <w:rPr>
                <w:b/>
                <w:spacing w:val="-5"/>
                <w:sz w:val="19"/>
                <w:lang w:val="en-GB"/>
              </w:rPr>
              <w:t xml:space="preserve"> </w:t>
            </w:r>
            <w:r>
              <w:rPr>
                <w:b/>
                <w:sz w:val="19"/>
                <w:lang w:val="en-GB"/>
              </w:rPr>
              <w:t>6</w:t>
            </w:r>
            <w:r>
              <w:rPr>
                <w:b/>
                <w:spacing w:val="-2"/>
                <w:sz w:val="19"/>
                <w:lang w:val="en-GB"/>
              </w:rPr>
              <w:t xml:space="preserve"> </w:t>
            </w:r>
            <w:r>
              <w:rPr>
                <w:b/>
                <w:sz w:val="19"/>
                <w:lang w:val="en-GB"/>
              </w:rPr>
              <w:t>ADHD-RS-IV</w:t>
            </w:r>
          </w:p>
        </w:tc>
        <w:tc>
          <w:tcPr>
            <w:tcW w:w="1158" w:type="dxa"/>
            <w:tcBorders>
              <w:top w:val="single" w:sz="4" w:space="0" w:color="000000"/>
              <w:left w:val="single" w:sz="4" w:space="0" w:color="000000"/>
              <w:bottom w:val="nil"/>
              <w:right w:val="single" w:sz="4" w:space="0" w:color="000000"/>
            </w:tcBorders>
            <w:hideMark/>
          </w:tcPr>
          <w:p w14:paraId="576EE596" w14:textId="77777777" w:rsidR="00385FC8" w:rsidRDefault="00385FC8">
            <w:pPr>
              <w:pStyle w:val="TableParagraph"/>
              <w:spacing w:before="8" w:line="240" w:lineRule="auto"/>
              <w:ind w:left="107"/>
              <w:rPr>
                <w:b/>
                <w:sz w:val="19"/>
              </w:rPr>
            </w:pPr>
            <w:r>
              <w:rPr>
                <w:b/>
                <w:sz w:val="19"/>
              </w:rPr>
              <w:t>Placebo</w:t>
            </w:r>
          </w:p>
        </w:tc>
        <w:tc>
          <w:tcPr>
            <w:tcW w:w="1162" w:type="dxa"/>
            <w:tcBorders>
              <w:top w:val="single" w:sz="4" w:space="0" w:color="000000"/>
              <w:left w:val="single" w:sz="4" w:space="0" w:color="000000"/>
              <w:bottom w:val="nil"/>
              <w:right w:val="single" w:sz="4" w:space="0" w:color="000000"/>
            </w:tcBorders>
            <w:hideMark/>
          </w:tcPr>
          <w:p w14:paraId="546A96DD" w14:textId="77777777" w:rsidR="00385FC8" w:rsidRDefault="00385FC8">
            <w:pPr>
              <w:pStyle w:val="TableParagraph"/>
              <w:spacing w:before="8" w:line="240" w:lineRule="auto"/>
              <w:ind w:left="108"/>
              <w:rPr>
                <w:b/>
                <w:sz w:val="19"/>
              </w:rPr>
            </w:pPr>
            <w:r>
              <w:rPr>
                <w:b/>
                <w:sz w:val="19"/>
              </w:rPr>
              <w:t>SPD489</w:t>
            </w:r>
          </w:p>
        </w:tc>
        <w:tc>
          <w:tcPr>
            <w:tcW w:w="1158" w:type="dxa"/>
            <w:tcBorders>
              <w:top w:val="single" w:sz="4" w:space="0" w:color="000000"/>
              <w:left w:val="single" w:sz="4" w:space="0" w:color="000000"/>
              <w:bottom w:val="nil"/>
              <w:right w:val="single" w:sz="4" w:space="0" w:color="000000"/>
            </w:tcBorders>
            <w:hideMark/>
          </w:tcPr>
          <w:p w14:paraId="182A814B" w14:textId="77777777" w:rsidR="00385FC8" w:rsidRDefault="00385FC8">
            <w:pPr>
              <w:pStyle w:val="TableParagraph"/>
              <w:spacing w:before="8" w:line="240" w:lineRule="auto"/>
              <w:ind w:left="107"/>
              <w:rPr>
                <w:b/>
                <w:sz w:val="19"/>
              </w:rPr>
            </w:pPr>
            <w:r>
              <w:rPr>
                <w:b/>
                <w:sz w:val="19"/>
              </w:rPr>
              <w:t>OROS-</w:t>
            </w:r>
          </w:p>
        </w:tc>
      </w:tr>
      <w:tr w:rsidR="00385FC8" w14:paraId="4FFF63B9" w14:textId="77777777" w:rsidTr="00385FC8">
        <w:trPr>
          <w:trHeight w:val="232"/>
        </w:trPr>
        <w:tc>
          <w:tcPr>
            <w:tcW w:w="1260" w:type="dxa"/>
            <w:tcBorders>
              <w:top w:val="nil"/>
              <w:left w:val="single" w:sz="4" w:space="0" w:color="000000"/>
              <w:bottom w:val="nil"/>
              <w:right w:val="single" w:sz="4" w:space="0" w:color="000000"/>
            </w:tcBorders>
          </w:tcPr>
          <w:p w14:paraId="193C8DB6" w14:textId="77777777" w:rsidR="00385FC8" w:rsidRDefault="00385FC8">
            <w:pPr>
              <w:pStyle w:val="TableParagraph"/>
              <w:spacing w:line="240" w:lineRule="auto"/>
              <w:ind w:left="0"/>
              <w:rPr>
                <w:sz w:val="16"/>
              </w:rPr>
            </w:pPr>
          </w:p>
        </w:tc>
        <w:tc>
          <w:tcPr>
            <w:tcW w:w="3901" w:type="dxa"/>
            <w:gridSpan w:val="2"/>
            <w:tcBorders>
              <w:top w:val="nil"/>
              <w:left w:val="single" w:sz="4" w:space="0" w:color="000000"/>
              <w:bottom w:val="single" w:sz="4" w:space="0" w:color="000000"/>
              <w:right w:val="single" w:sz="4" w:space="0" w:color="000000"/>
            </w:tcBorders>
          </w:tcPr>
          <w:p w14:paraId="43153870" w14:textId="77777777" w:rsidR="00385FC8" w:rsidRDefault="00385FC8">
            <w:pPr>
              <w:pStyle w:val="TableParagraph"/>
              <w:spacing w:line="240" w:lineRule="auto"/>
              <w:ind w:left="0"/>
              <w:rPr>
                <w:sz w:val="16"/>
              </w:rPr>
            </w:pPr>
          </w:p>
        </w:tc>
        <w:tc>
          <w:tcPr>
            <w:tcW w:w="1158" w:type="dxa"/>
            <w:tcBorders>
              <w:top w:val="nil"/>
              <w:left w:val="single" w:sz="4" w:space="0" w:color="000000"/>
              <w:bottom w:val="single" w:sz="4" w:space="0" w:color="000000"/>
              <w:right w:val="single" w:sz="4" w:space="0" w:color="000000"/>
            </w:tcBorders>
          </w:tcPr>
          <w:p w14:paraId="2022F8CE"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tcPr>
          <w:p w14:paraId="78AFC1B0" w14:textId="77777777" w:rsidR="00385FC8" w:rsidRDefault="00385FC8">
            <w:pPr>
              <w:pStyle w:val="TableParagraph"/>
              <w:spacing w:line="240" w:lineRule="auto"/>
              <w:ind w:left="0"/>
              <w:rPr>
                <w:sz w:val="16"/>
              </w:rPr>
            </w:pPr>
          </w:p>
        </w:tc>
        <w:tc>
          <w:tcPr>
            <w:tcW w:w="1158" w:type="dxa"/>
            <w:tcBorders>
              <w:top w:val="nil"/>
              <w:left w:val="single" w:sz="4" w:space="0" w:color="000000"/>
              <w:bottom w:val="single" w:sz="4" w:space="0" w:color="000000"/>
              <w:right w:val="single" w:sz="4" w:space="0" w:color="000000"/>
            </w:tcBorders>
            <w:hideMark/>
          </w:tcPr>
          <w:p w14:paraId="09A66863" w14:textId="77777777" w:rsidR="00385FC8" w:rsidRDefault="00385FC8">
            <w:pPr>
              <w:pStyle w:val="TableParagraph"/>
              <w:spacing w:line="211" w:lineRule="exact"/>
              <w:ind w:left="107"/>
              <w:rPr>
                <w:b/>
                <w:sz w:val="19"/>
              </w:rPr>
            </w:pPr>
            <w:r>
              <w:rPr>
                <w:b/>
                <w:sz w:val="19"/>
              </w:rPr>
              <w:t>MPH</w:t>
            </w:r>
          </w:p>
        </w:tc>
      </w:tr>
      <w:tr w:rsidR="00385FC8" w14:paraId="7EBDD5BF" w14:textId="77777777" w:rsidTr="00385FC8">
        <w:trPr>
          <w:trHeight w:val="247"/>
        </w:trPr>
        <w:tc>
          <w:tcPr>
            <w:tcW w:w="1260" w:type="dxa"/>
            <w:tcBorders>
              <w:top w:val="nil"/>
              <w:left w:val="single" w:sz="4" w:space="0" w:color="000000"/>
              <w:bottom w:val="nil"/>
              <w:right w:val="single" w:sz="4" w:space="0" w:color="000000"/>
            </w:tcBorders>
          </w:tcPr>
          <w:p w14:paraId="13A18E2C"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37D7D8EB" w14:textId="77777777" w:rsidR="00385FC8" w:rsidRDefault="00385FC8">
            <w:pPr>
              <w:pStyle w:val="TableParagraph"/>
              <w:spacing w:before="8" w:line="240" w:lineRule="auto"/>
              <w:ind w:left="108"/>
              <w:rPr>
                <w:sz w:val="19"/>
              </w:rPr>
            </w:pPr>
            <w:r>
              <w:rPr>
                <w:sz w:val="19"/>
              </w:rPr>
              <w:t>Baseline</w:t>
            </w:r>
            <w:r>
              <w:rPr>
                <w:spacing w:val="-4"/>
                <w:sz w:val="19"/>
              </w:rPr>
              <w:t xml:space="preserve"> </w:t>
            </w:r>
            <w:r>
              <w:rPr>
                <w:sz w:val="19"/>
              </w:rPr>
              <w:t>Total</w:t>
            </w:r>
            <w:r>
              <w:rPr>
                <w:spacing w:val="-3"/>
                <w:sz w:val="19"/>
              </w:rPr>
              <w:t xml:space="preserve"> </w:t>
            </w:r>
            <w:r>
              <w:rPr>
                <w:sz w:val="19"/>
              </w:rPr>
              <w:t>Score</w:t>
            </w:r>
          </w:p>
        </w:tc>
        <w:tc>
          <w:tcPr>
            <w:tcW w:w="1651" w:type="dxa"/>
            <w:tcBorders>
              <w:top w:val="single" w:sz="4" w:space="0" w:color="000000"/>
              <w:left w:val="single" w:sz="4" w:space="0" w:color="000000"/>
              <w:bottom w:val="nil"/>
              <w:right w:val="single" w:sz="4" w:space="0" w:color="000000"/>
            </w:tcBorders>
            <w:hideMark/>
          </w:tcPr>
          <w:p w14:paraId="6EA98C48" w14:textId="77777777" w:rsidR="00385FC8" w:rsidRDefault="00385FC8">
            <w:pPr>
              <w:pStyle w:val="TableParagraph"/>
              <w:spacing w:before="8" w:line="240" w:lineRule="auto"/>
              <w:ind w:left="108"/>
              <w:rPr>
                <w:sz w:val="19"/>
              </w:rPr>
            </w:pPr>
            <w:r>
              <w:rPr>
                <w:w w:val="99"/>
                <w:sz w:val="19"/>
              </w:rPr>
              <w:t>N</w:t>
            </w:r>
          </w:p>
        </w:tc>
        <w:tc>
          <w:tcPr>
            <w:tcW w:w="1158" w:type="dxa"/>
            <w:tcBorders>
              <w:top w:val="single" w:sz="4" w:space="0" w:color="000000"/>
              <w:left w:val="single" w:sz="4" w:space="0" w:color="000000"/>
              <w:bottom w:val="nil"/>
              <w:right w:val="single" w:sz="4" w:space="0" w:color="000000"/>
            </w:tcBorders>
            <w:hideMark/>
          </w:tcPr>
          <w:p w14:paraId="797788FC" w14:textId="77777777" w:rsidR="00385FC8" w:rsidRDefault="00385FC8">
            <w:pPr>
              <w:pStyle w:val="TableParagraph"/>
              <w:spacing w:before="8" w:line="240" w:lineRule="auto"/>
              <w:ind w:left="107"/>
              <w:rPr>
                <w:sz w:val="19"/>
              </w:rPr>
            </w:pPr>
            <w:r>
              <w:rPr>
                <w:sz w:val="19"/>
              </w:rPr>
              <w:t>106</w:t>
            </w:r>
          </w:p>
        </w:tc>
        <w:tc>
          <w:tcPr>
            <w:tcW w:w="1162" w:type="dxa"/>
            <w:tcBorders>
              <w:top w:val="single" w:sz="4" w:space="0" w:color="000000"/>
              <w:left w:val="single" w:sz="4" w:space="0" w:color="000000"/>
              <w:bottom w:val="nil"/>
              <w:right w:val="single" w:sz="4" w:space="0" w:color="000000"/>
            </w:tcBorders>
            <w:hideMark/>
          </w:tcPr>
          <w:p w14:paraId="79CF1BDC" w14:textId="77777777" w:rsidR="00385FC8" w:rsidRDefault="00385FC8">
            <w:pPr>
              <w:pStyle w:val="TableParagraph"/>
              <w:spacing w:before="8" w:line="240" w:lineRule="auto"/>
              <w:ind w:left="108"/>
              <w:rPr>
                <w:sz w:val="19"/>
              </w:rPr>
            </w:pPr>
            <w:r>
              <w:rPr>
                <w:sz w:val="19"/>
              </w:rPr>
              <w:t>210</w:t>
            </w:r>
          </w:p>
        </w:tc>
        <w:tc>
          <w:tcPr>
            <w:tcW w:w="1158" w:type="dxa"/>
            <w:tcBorders>
              <w:top w:val="single" w:sz="4" w:space="0" w:color="000000"/>
              <w:left w:val="single" w:sz="4" w:space="0" w:color="000000"/>
              <w:bottom w:val="nil"/>
              <w:right w:val="single" w:sz="4" w:space="0" w:color="000000"/>
            </w:tcBorders>
            <w:hideMark/>
          </w:tcPr>
          <w:p w14:paraId="196CD1EB" w14:textId="77777777" w:rsidR="00385FC8" w:rsidRDefault="00385FC8">
            <w:pPr>
              <w:pStyle w:val="TableParagraph"/>
              <w:spacing w:before="8" w:line="240" w:lineRule="auto"/>
              <w:ind w:left="107"/>
              <w:rPr>
                <w:sz w:val="19"/>
              </w:rPr>
            </w:pPr>
            <w:r>
              <w:rPr>
                <w:sz w:val="19"/>
              </w:rPr>
              <w:t>216</w:t>
            </w:r>
          </w:p>
        </w:tc>
      </w:tr>
      <w:tr w:rsidR="00385FC8" w14:paraId="5DB4752C" w14:textId="77777777" w:rsidTr="00385FC8">
        <w:trPr>
          <w:trHeight w:val="232"/>
        </w:trPr>
        <w:tc>
          <w:tcPr>
            <w:tcW w:w="1260" w:type="dxa"/>
            <w:tcBorders>
              <w:top w:val="nil"/>
              <w:left w:val="single" w:sz="4" w:space="0" w:color="000000"/>
              <w:bottom w:val="nil"/>
              <w:right w:val="single" w:sz="4" w:space="0" w:color="000000"/>
            </w:tcBorders>
          </w:tcPr>
          <w:p w14:paraId="53BDF520"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3971A677"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580BF4E7" w14:textId="77777777" w:rsidR="00385FC8" w:rsidRDefault="00385FC8">
            <w:pPr>
              <w:pStyle w:val="TableParagraph"/>
              <w:spacing w:line="211" w:lineRule="exact"/>
              <w:ind w:left="108"/>
              <w:rPr>
                <w:sz w:val="19"/>
              </w:rPr>
            </w:pPr>
            <w:r>
              <w:rPr>
                <w:sz w:val="19"/>
              </w:rPr>
              <w:t>Mean</w:t>
            </w:r>
            <w:r>
              <w:rPr>
                <w:spacing w:val="-2"/>
                <w:sz w:val="19"/>
              </w:rPr>
              <w:t xml:space="preserve"> </w:t>
            </w:r>
            <w:r>
              <w:rPr>
                <w:sz w:val="19"/>
              </w:rPr>
              <w:t>(SE)</w:t>
            </w:r>
          </w:p>
        </w:tc>
        <w:tc>
          <w:tcPr>
            <w:tcW w:w="1158" w:type="dxa"/>
            <w:tcBorders>
              <w:top w:val="nil"/>
              <w:left w:val="single" w:sz="4" w:space="0" w:color="000000"/>
              <w:bottom w:val="single" w:sz="4" w:space="0" w:color="000000"/>
              <w:right w:val="single" w:sz="4" w:space="0" w:color="000000"/>
            </w:tcBorders>
            <w:hideMark/>
          </w:tcPr>
          <w:p w14:paraId="5DBF1B4E" w14:textId="77777777" w:rsidR="00385FC8" w:rsidRDefault="00385FC8">
            <w:pPr>
              <w:pStyle w:val="TableParagraph"/>
              <w:spacing w:line="211" w:lineRule="exact"/>
              <w:ind w:left="107"/>
              <w:rPr>
                <w:sz w:val="19"/>
              </w:rPr>
            </w:pPr>
            <w:r>
              <w:rPr>
                <w:sz w:val="19"/>
              </w:rPr>
              <w:t>36.1</w:t>
            </w:r>
            <w:r>
              <w:rPr>
                <w:spacing w:val="1"/>
                <w:sz w:val="19"/>
              </w:rPr>
              <w:t xml:space="preserve"> </w:t>
            </w:r>
            <w:r>
              <w:rPr>
                <w:sz w:val="19"/>
              </w:rPr>
              <w:t>(0.58)</w:t>
            </w:r>
          </w:p>
        </w:tc>
        <w:tc>
          <w:tcPr>
            <w:tcW w:w="1162" w:type="dxa"/>
            <w:tcBorders>
              <w:top w:val="nil"/>
              <w:left w:val="single" w:sz="4" w:space="0" w:color="000000"/>
              <w:bottom w:val="single" w:sz="4" w:space="0" w:color="000000"/>
              <w:right w:val="single" w:sz="4" w:space="0" w:color="000000"/>
            </w:tcBorders>
            <w:hideMark/>
          </w:tcPr>
          <w:p w14:paraId="078773EE" w14:textId="77777777" w:rsidR="00385FC8" w:rsidRDefault="00385FC8">
            <w:pPr>
              <w:pStyle w:val="TableParagraph"/>
              <w:spacing w:line="211" w:lineRule="exact"/>
              <w:ind w:left="108"/>
              <w:rPr>
                <w:sz w:val="19"/>
              </w:rPr>
            </w:pPr>
            <w:r>
              <w:rPr>
                <w:sz w:val="19"/>
              </w:rPr>
              <w:t>37.3</w:t>
            </w:r>
            <w:r>
              <w:rPr>
                <w:spacing w:val="1"/>
                <w:sz w:val="19"/>
              </w:rPr>
              <w:t xml:space="preserve"> </w:t>
            </w:r>
            <w:r>
              <w:rPr>
                <w:sz w:val="19"/>
              </w:rPr>
              <w:t>(0.44)</w:t>
            </w:r>
          </w:p>
        </w:tc>
        <w:tc>
          <w:tcPr>
            <w:tcW w:w="1158" w:type="dxa"/>
            <w:tcBorders>
              <w:top w:val="nil"/>
              <w:left w:val="single" w:sz="4" w:space="0" w:color="000000"/>
              <w:bottom w:val="single" w:sz="4" w:space="0" w:color="000000"/>
              <w:right w:val="single" w:sz="4" w:space="0" w:color="000000"/>
            </w:tcBorders>
            <w:hideMark/>
          </w:tcPr>
          <w:p w14:paraId="727716D9" w14:textId="77777777" w:rsidR="00385FC8" w:rsidRDefault="00385FC8">
            <w:pPr>
              <w:pStyle w:val="TableParagraph"/>
              <w:spacing w:line="211" w:lineRule="exact"/>
              <w:ind w:left="107"/>
              <w:rPr>
                <w:sz w:val="19"/>
              </w:rPr>
            </w:pPr>
            <w:r>
              <w:rPr>
                <w:sz w:val="19"/>
              </w:rPr>
              <w:t>37.0</w:t>
            </w:r>
            <w:r>
              <w:rPr>
                <w:spacing w:val="1"/>
                <w:sz w:val="19"/>
              </w:rPr>
              <w:t xml:space="preserve"> </w:t>
            </w:r>
            <w:r>
              <w:rPr>
                <w:sz w:val="19"/>
              </w:rPr>
              <w:t>(0.44)</w:t>
            </w:r>
          </w:p>
        </w:tc>
      </w:tr>
      <w:tr w:rsidR="00385FC8" w14:paraId="7C123C9E" w14:textId="77777777" w:rsidTr="00385FC8">
        <w:trPr>
          <w:trHeight w:val="247"/>
        </w:trPr>
        <w:tc>
          <w:tcPr>
            <w:tcW w:w="1260" w:type="dxa"/>
            <w:tcBorders>
              <w:top w:val="nil"/>
              <w:left w:val="single" w:sz="4" w:space="0" w:color="000000"/>
              <w:bottom w:val="nil"/>
              <w:right w:val="single" w:sz="4" w:space="0" w:color="000000"/>
            </w:tcBorders>
          </w:tcPr>
          <w:p w14:paraId="6EFFFA04"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6D274DE8" w14:textId="77777777" w:rsidR="00385FC8" w:rsidRDefault="00385FC8">
            <w:pPr>
              <w:pStyle w:val="TableParagraph"/>
              <w:spacing w:before="8" w:line="240" w:lineRule="auto"/>
              <w:ind w:left="108"/>
              <w:rPr>
                <w:sz w:val="19"/>
              </w:rPr>
            </w:pPr>
            <w:r>
              <w:rPr>
                <w:sz w:val="19"/>
              </w:rPr>
              <w:t>Change</w:t>
            </w:r>
            <w:r>
              <w:rPr>
                <w:spacing w:val="-1"/>
                <w:sz w:val="19"/>
              </w:rPr>
              <w:t xml:space="preserve"> </w:t>
            </w:r>
            <w:r>
              <w:rPr>
                <w:sz w:val="19"/>
              </w:rPr>
              <w:t>from</w:t>
            </w:r>
            <w:r>
              <w:rPr>
                <w:spacing w:val="-2"/>
                <w:sz w:val="19"/>
              </w:rPr>
              <w:t xml:space="preserve"> </w:t>
            </w:r>
            <w:r>
              <w:rPr>
                <w:sz w:val="19"/>
              </w:rPr>
              <w:t>baseline</w:t>
            </w:r>
            <w:r>
              <w:rPr>
                <w:spacing w:val="-1"/>
                <w:sz w:val="19"/>
              </w:rPr>
              <w:t xml:space="preserve"> </w:t>
            </w:r>
            <w:r>
              <w:rPr>
                <w:sz w:val="19"/>
              </w:rPr>
              <w:t>at</w:t>
            </w:r>
          </w:p>
        </w:tc>
        <w:tc>
          <w:tcPr>
            <w:tcW w:w="1651" w:type="dxa"/>
            <w:tcBorders>
              <w:top w:val="single" w:sz="4" w:space="0" w:color="000000"/>
              <w:left w:val="single" w:sz="4" w:space="0" w:color="000000"/>
              <w:bottom w:val="nil"/>
              <w:right w:val="single" w:sz="4" w:space="0" w:color="000000"/>
            </w:tcBorders>
            <w:hideMark/>
          </w:tcPr>
          <w:p w14:paraId="17E4B133" w14:textId="77777777" w:rsidR="00385FC8" w:rsidRDefault="00385FC8">
            <w:pPr>
              <w:pStyle w:val="TableParagraph"/>
              <w:spacing w:before="8" w:line="240" w:lineRule="auto"/>
              <w:ind w:left="108"/>
              <w:rPr>
                <w:sz w:val="19"/>
              </w:rPr>
            </w:pPr>
            <w:r>
              <w:rPr>
                <w:w w:val="99"/>
                <w:sz w:val="19"/>
              </w:rPr>
              <w:t>N</w:t>
            </w:r>
          </w:p>
        </w:tc>
        <w:tc>
          <w:tcPr>
            <w:tcW w:w="1158" w:type="dxa"/>
            <w:tcBorders>
              <w:top w:val="single" w:sz="4" w:space="0" w:color="000000"/>
              <w:left w:val="single" w:sz="4" w:space="0" w:color="000000"/>
              <w:bottom w:val="nil"/>
              <w:right w:val="single" w:sz="4" w:space="0" w:color="000000"/>
            </w:tcBorders>
            <w:hideMark/>
          </w:tcPr>
          <w:p w14:paraId="3B6EA501" w14:textId="77777777" w:rsidR="00385FC8" w:rsidRDefault="00385FC8">
            <w:pPr>
              <w:pStyle w:val="TableParagraph"/>
              <w:spacing w:before="8" w:line="240" w:lineRule="auto"/>
              <w:ind w:left="107"/>
              <w:rPr>
                <w:sz w:val="19"/>
              </w:rPr>
            </w:pPr>
            <w:r>
              <w:rPr>
                <w:sz w:val="19"/>
              </w:rPr>
              <w:t>93</w:t>
            </w:r>
          </w:p>
        </w:tc>
        <w:tc>
          <w:tcPr>
            <w:tcW w:w="1162" w:type="dxa"/>
            <w:tcBorders>
              <w:top w:val="single" w:sz="4" w:space="0" w:color="000000"/>
              <w:left w:val="single" w:sz="4" w:space="0" w:color="000000"/>
              <w:bottom w:val="nil"/>
              <w:right w:val="single" w:sz="4" w:space="0" w:color="000000"/>
            </w:tcBorders>
            <w:hideMark/>
          </w:tcPr>
          <w:p w14:paraId="1EBCE90A" w14:textId="77777777" w:rsidR="00385FC8" w:rsidRDefault="00385FC8">
            <w:pPr>
              <w:pStyle w:val="TableParagraph"/>
              <w:spacing w:before="8" w:line="240" w:lineRule="auto"/>
              <w:ind w:left="108"/>
              <w:rPr>
                <w:sz w:val="19"/>
              </w:rPr>
            </w:pPr>
            <w:r>
              <w:rPr>
                <w:sz w:val="19"/>
              </w:rPr>
              <w:t>175</w:t>
            </w:r>
          </w:p>
        </w:tc>
        <w:tc>
          <w:tcPr>
            <w:tcW w:w="1158" w:type="dxa"/>
            <w:tcBorders>
              <w:top w:val="single" w:sz="4" w:space="0" w:color="000000"/>
              <w:left w:val="single" w:sz="4" w:space="0" w:color="000000"/>
              <w:bottom w:val="nil"/>
              <w:right w:val="single" w:sz="4" w:space="0" w:color="000000"/>
            </w:tcBorders>
            <w:hideMark/>
          </w:tcPr>
          <w:p w14:paraId="5044D7A9" w14:textId="77777777" w:rsidR="00385FC8" w:rsidRDefault="00385FC8">
            <w:pPr>
              <w:pStyle w:val="TableParagraph"/>
              <w:spacing w:before="8" w:line="240" w:lineRule="auto"/>
              <w:ind w:left="107"/>
              <w:rPr>
                <w:sz w:val="19"/>
              </w:rPr>
            </w:pPr>
            <w:r>
              <w:rPr>
                <w:sz w:val="19"/>
              </w:rPr>
              <w:t>181</w:t>
            </w:r>
          </w:p>
        </w:tc>
      </w:tr>
      <w:tr w:rsidR="00385FC8" w14:paraId="3BA32E27" w14:textId="77777777" w:rsidTr="00385FC8">
        <w:trPr>
          <w:trHeight w:val="232"/>
        </w:trPr>
        <w:tc>
          <w:tcPr>
            <w:tcW w:w="1260" w:type="dxa"/>
            <w:tcBorders>
              <w:top w:val="nil"/>
              <w:left w:val="single" w:sz="4" w:space="0" w:color="000000"/>
              <w:bottom w:val="nil"/>
              <w:right w:val="single" w:sz="4" w:space="0" w:color="000000"/>
            </w:tcBorders>
          </w:tcPr>
          <w:p w14:paraId="62AC6B83"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hideMark/>
          </w:tcPr>
          <w:p w14:paraId="0BA57302" w14:textId="77777777" w:rsidR="00385FC8" w:rsidRDefault="00385FC8">
            <w:pPr>
              <w:pStyle w:val="TableParagraph"/>
              <w:spacing w:line="211" w:lineRule="exact"/>
              <w:ind w:left="108"/>
              <w:rPr>
                <w:sz w:val="19"/>
              </w:rPr>
            </w:pPr>
            <w:r>
              <w:rPr>
                <w:sz w:val="19"/>
              </w:rPr>
              <w:t>Week</w:t>
            </w:r>
            <w:r>
              <w:rPr>
                <w:spacing w:val="-3"/>
                <w:sz w:val="19"/>
              </w:rPr>
              <w:t xml:space="preserve"> </w:t>
            </w:r>
            <w:r>
              <w:rPr>
                <w:sz w:val="19"/>
              </w:rPr>
              <w:t>6</w:t>
            </w:r>
          </w:p>
        </w:tc>
        <w:tc>
          <w:tcPr>
            <w:tcW w:w="1651" w:type="dxa"/>
            <w:tcBorders>
              <w:top w:val="nil"/>
              <w:left w:val="single" w:sz="4" w:space="0" w:color="000000"/>
              <w:bottom w:val="single" w:sz="4" w:space="0" w:color="000000"/>
              <w:right w:val="single" w:sz="4" w:space="0" w:color="000000"/>
            </w:tcBorders>
            <w:hideMark/>
          </w:tcPr>
          <w:p w14:paraId="6539D536" w14:textId="77777777" w:rsidR="00385FC8" w:rsidRDefault="00385FC8">
            <w:pPr>
              <w:pStyle w:val="TableParagraph"/>
              <w:spacing w:line="211" w:lineRule="exact"/>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nil"/>
              <w:left w:val="single" w:sz="4" w:space="0" w:color="000000"/>
              <w:bottom w:val="single" w:sz="4" w:space="0" w:color="000000"/>
              <w:right w:val="single" w:sz="4" w:space="0" w:color="000000"/>
            </w:tcBorders>
            <w:hideMark/>
          </w:tcPr>
          <w:p w14:paraId="76B56F60" w14:textId="77777777" w:rsidR="00385FC8" w:rsidRDefault="00385FC8">
            <w:pPr>
              <w:pStyle w:val="TableParagraph"/>
              <w:spacing w:line="211" w:lineRule="exact"/>
              <w:ind w:left="107"/>
              <w:rPr>
                <w:sz w:val="19"/>
              </w:rPr>
            </w:pPr>
            <w:r>
              <w:rPr>
                <w:sz w:val="19"/>
              </w:rPr>
              <w:t>-17.0 (1.03)</w:t>
            </w:r>
          </w:p>
        </w:tc>
        <w:tc>
          <w:tcPr>
            <w:tcW w:w="1162" w:type="dxa"/>
            <w:tcBorders>
              <w:top w:val="nil"/>
              <w:left w:val="single" w:sz="4" w:space="0" w:color="000000"/>
              <w:bottom w:val="single" w:sz="4" w:space="0" w:color="000000"/>
              <w:right w:val="single" w:sz="4" w:space="0" w:color="000000"/>
            </w:tcBorders>
            <w:hideMark/>
          </w:tcPr>
          <w:p w14:paraId="297EB242" w14:textId="77777777" w:rsidR="00385FC8" w:rsidRDefault="00385FC8">
            <w:pPr>
              <w:pStyle w:val="TableParagraph"/>
              <w:spacing w:line="211" w:lineRule="exact"/>
              <w:ind w:left="108"/>
              <w:rPr>
                <w:sz w:val="19"/>
              </w:rPr>
            </w:pPr>
            <w:r>
              <w:rPr>
                <w:sz w:val="19"/>
              </w:rPr>
              <w:t>-25.4 (0.74)</w:t>
            </w:r>
          </w:p>
        </w:tc>
        <w:tc>
          <w:tcPr>
            <w:tcW w:w="1158" w:type="dxa"/>
            <w:tcBorders>
              <w:top w:val="nil"/>
              <w:left w:val="single" w:sz="4" w:space="0" w:color="000000"/>
              <w:bottom w:val="single" w:sz="4" w:space="0" w:color="000000"/>
              <w:right w:val="single" w:sz="4" w:space="0" w:color="000000"/>
            </w:tcBorders>
            <w:hideMark/>
          </w:tcPr>
          <w:p w14:paraId="7C895588" w14:textId="77777777" w:rsidR="00385FC8" w:rsidRDefault="00385FC8">
            <w:pPr>
              <w:pStyle w:val="TableParagraph"/>
              <w:spacing w:line="211" w:lineRule="exact"/>
              <w:ind w:left="107"/>
              <w:rPr>
                <w:sz w:val="19"/>
              </w:rPr>
            </w:pPr>
            <w:r>
              <w:rPr>
                <w:sz w:val="19"/>
              </w:rPr>
              <w:t>-22.1 (0.73)</w:t>
            </w:r>
          </w:p>
        </w:tc>
      </w:tr>
      <w:tr w:rsidR="00385FC8" w14:paraId="61968F3E" w14:textId="77777777" w:rsidTr="00385FC8">
        <w:trPr>
          <w:trHeight w:val="251"/>
        </w:trPr>
        <w:tc>
          <w:tcPr>
            <w:tcW w:w="1260" w:type="dxa"/>
            <w:tcBorders>
              <w:top w:val="nil"/>
              <w:left w:val="single" w:sz="4" w:space="0" w:color="000000"/>
              <w:bottom w:val="nil"/>
              <w:right w:val="single" w:sz="4" w:space="0" w:color="000000"/>
            </w:tcBorders>
          </w:tcPr>
          <w:p w14:paraId="7E2E6FCC"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5683D8F3" w14:textId="77777777" w:rsidR="00385FC8" w:rsidRDefault="00385FC8">
            <w:pPr>
              <w:pStyle w:val="TableParagraph"/>
              <w:spacing w:line="231" w:lineRule="exact"/>
              <w:ind w:left="108"/>
              <w:rPr>
                <w:sz w:val="19"/>
              </w:rPr>
            </w:pPr>
            <w:r>
              <w:t>Lisdexamfetamine</w:t>
            </w:r>
            <w:r>
              <w:rPr>
                <w:spacing w:val="-10"/>
              </w:rPr>
              <w:t xml:space="preserve"> </w:t>
            </w:r>
            <w:r>
              <w:rPr>
                <w:sz w:val="19"/>
              </w:rPr>
              <w:t>vs</w:t>
            </w:r>
          </w:p>
        </w:tc>
        <w:tc>
          <w:tcPr>
            <w:tcW w:w="1651" w:type="dxa"/>
            <w:tcBorders>
              <w:top w:val="single" w:sz="4" w:space="0" w:color="000000"/>
              <w:left w:val="single" w:sz="4" w:space="0" w:color="000000"/>
              <w:bottom w:val="nil"/>
              <w:right w:val="single" w:sz="4" w:space="0" w:color="000000"/>
            </w:tcBorders>
            <w:hideMark/>
          </w:tcPr>
          <w:p w14:paraId="1B26B53A" w14:textId="77777777" w:rsidR="00385FC8" w:rsidRDefault="00385FC8">
            <w:pPr>
              <w:pStyle w:val="TableParagraph"/>
              <w:spacing w:before="8" w:line="240" w:lineRule="auto"/>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single" w:sz="4" w:space="0" w:color="000000"/>
              <w:left w:val="single" w:sz="4" w:space="0" w:color="000000"/>
              <w:bottom w:val="nil"/>
              <w:right w:val="single" w:sz="4" w:space="0" w:color="000000"/>
            </w:tcBorders>
            <w:hideMark/>
          </w:tcPr>
          <w:p w14:paraId="37032878" w14:textId="77777777" w:rsidR="00385FC8" w:rsidRDefault="00385FC8">
            <w:pPr>
              <w:pStyle w:val="TableParagraph"/>
              <w:spacing w:before="8" w:line="240" w:lineRule="auto"/>
              <w:ind w:left="107"/>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0F34587E" w14:textId="77777777" w:rsidR="00385FC8" w:rsidRDefault="00385FC8">
            <w:pPr>
              <w:pStyle w:val="TableParagraph"/>
              <w:spacing w:before="8" w:line="240" w:lineRule="auto"/>
              <w:ind w:left="108"/>
              <w:rPr>
                <w:sz w:val="19"/>
              </w:rPr>
            </w:pPr>
            <w:r>
              <w:rPr>
                <w:sz w:val="19"/>
              </w:rPr>
              <w:t>-3.4 (1.04)</w:t>
            </w:r>
          </w:p>
        </w:tc>
        <w:tc>
          <w:tcPr>
            <w:tcW w:w="1158" w:type="dxa"/>
            <w:tcBorders>
              <w:top w:val="single" w:sz="4" w:space="0" w:color="000000"/>
              <w:left w:val="single" w:sz="4" w:space="0" w:color="000000"/>
              <w:bottom w:val="nil"/>
              <w:right w:val="single" w:sz="4" w:space="0" w:color="000000"/>
            </w:tcBorders>
            <w:hideMark/>
          </w:tcPr>
          <w:p w14:paraId="66338588" w14:textId="77777777" w:rsidR="00385FC8" w:rsidRDefault="00385FC8">
            <w:pPr>
              <w:pStyle w:val="TableParagraph"/>
              <w:spacing w:before="8" w:line="240" w:lineRule="auto"/>
              <w:ind w:left="107"/>
              <w:rPr>
                <w:sz w:val="19"/>
              </w:rPr>
            </w:pPr>
            <w:r>
              <w:rPr>
                <w:sz w:val="19"/>
              </w:rPr>
              <w:t>NA</w:t>
            </w:r>
          </w:p>
        </w:tc>
      </w:tr>
      <w:tr w:rsidR="00385FC8" w14:paraId="2FCD6E43" w14:textId="77777777" w:rsidTr="00385FC8">
        <w:trPr>
          <w:trHeight w:val="236"/>
        </w:trPr>
        <w:tc>
          <w:tcPr>
            <w:tcW w:w="1260" w:type="dxa"/>
            <w:tcBorders>
              <w:top w:val="nil"/>
              <w:left w:val="single" w:sz="4" w:space="0" w:color="000000"/>
              <w:bottom w:val="nil"/>
              <w:right w:val="single" w:sz="4" w:space="0" w:color="000000"/>
            </w:tcBorders>
          </w:tcPr>
          <w:p w14:paraId="68021962"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hideMark/>
          </w:tcPr>
          <w:p w14:paraId="3394B8F7" w14:textId="77777777" w:rsidR="00385FC8" w:rsidRDefault="00385FC8">
            <w:pPr>
              <w:pStyle w:val="TableParagraph"/>
              <w:spacing w:line="216" w:lineRule="exact"/>
              <w:ind w:left="108"/>
              <w:rPr>
                <w:sz w:val="19"/>
              </w:rPr>
            </w:pPr>
            <w:r>
              <w:rPr>
                <w:sz w:val="19"/>
              </w:rPr>
              <w:t>OROS-MPH</w:t>
            </w:r>
            <w:r>
              <w:rPr>
                <w:spacing w:val="-3"/>
                <w:sz w:val="19"/>
              </w:rPr>
              <w:t xml:space="preserve"> </w:t>
            </w:r>
            <w:r>
              <w:rPr>
                <w:sz w:val="19"/>
              </w:rPr>
              <w:t>difference</w:t>
            </w:r>
          </w:p>
        </w:tc>
        <w:tc>
          <w:tcPr>
            <w:tcW w:w="1651" w:type="dxa"/>
            <w:tcBorders>
              <w:top w:val="nil"/>
              <w:left w:val="single" w:sz="4" w:space="0" w:color="000000"/>
              <w:bottom w:val="nil"/>
              <w:right w:val="single" w:sz="4" w:space="0" w:color="000000"/>
            </w:tcBorders>
            <w:hideMark/>
          </w:tcPr>
          <w:p w14:paraId="6B88B8F0" w14:textId="77777777" w:rsidR="00385FC8" w:rsidRDefault="00385FC8">
            <w:pPr>
              <w:pStyle w:val="TableParagraph"/>
              <w:spacing w:line="216" w:lineRule="exact"/>
              <w:ind w:left="108"/>
              <w:rPr>
                <w:sz w:val="19"/>
              </w:rPr>
            </w:pPr>
            <w:r>
              <w:rPr>
                <w:sz w:val="19"/>
              </w:rPr>
              <w:t>(95%</w:t>
            </w:r>
            <w:r>
              <w:rPr>
                <w:spacing w:val="-2"/>
                <w:sz w:val="19"/>
              </w:rPr>
              <w:t xml:space="preserve"> </w:t>
            </w:r>
            <w:r>
              <w:rPr>
                <w:sz w:val="19"/>
              </w:rPr>
              <w:t>CI)</w:t>
            </w:r>
            <w:r>
              <w:rPr>
                <w:spacing w:val="-2"/>
                <w:sz w:val="19"/>
              </w:rPr>
              <w:t xml:space="preserve"> </w:t>
            </w:r>
            <w:r>
              <w:rPr>
                <w:sz w:val="19"/>
              </w:rPr>
              <w:t>[a]</w:t>
            </w:r>
          </w:p>
        </w:tc>
        <w:tc>
          <w:tcPr>
            <w:tcW w:w="1158" w:type="dxa"/>
            <w:tcBorders>
              <w:top w:val="nil"/>
              <w:left w:val="single" w:sz="4" w:space="0" w:color="000000"/>
              <w:bottom w:val="nil"/>
              <w:right w:val="single" w:sz="4" w:space="0" w:color="000000"/>
            </w:tcBorders>
          </w:tcPr>
          <w:p w14:paraId="772BCDE3"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668683A9" w14:textId="77777777" w:rsidR="00385FC8" w:rsidRDefault="00385FC8">
            <w:pPr>
              <w:pStyle w:val="TableParagraph"/>
              <w:spacing w:line="216" w:lineRule="exact"/>
              <w:ind w:left="108"/>
              <w:rPr>
                <w:sz w:val="19"/>
              </w:rPr>
            </w:pPr>
            <w:r>
              <w:rPr>
                <w:sz w:val="19"/>
              </w:rPr>
              <w:t>-5.4, -1.3</w:t>
            </w:r>
          </w:p>
        </w:tc>
        <w:tc>
          <w:tcPr>
            <w:tcW w:w="1158" w:type="dxa"/>
            <w:tcBorders>
              <w:top w:val="nil"/>
              <w:left w:val="single" w:sz="4" w:space="0" w:color="000000"/>
              <w:bottom w:val="nil"/>
              <w:right w:val="single" w:sz="4" w:space="0" w:color="000000"/>
            </w:tcBorders>
          </w:tcPr>
          <w:p w14:paraId="5175D085" w14:textId="77777777" w:rsidR="00385FC8" w:rsidRDefault="00385FC8">
            <w:pPr>
              <w:pStyle w:val="TableParagraph"/>
              <w:spacing w:line="240" w:lineRule="auto"/>
              <w:ind w:left="0"/>
              <w:rPr>
                <w:sz w:val="16"/>
              </w:rPr>
            </w:pPr>
          </w:p>
        </w:tc>
      </w:tr>
      <w:tr w:rsidR="00385FC8" w14:paraId="1F0D0501" w14:textId="77777777" w:rsidTr="00385FC8">
        <w:trPr>
          <w:trHeight w:val="240"/>
        </w:trPr>
        <w:tc>
          <w:tcPr>
            <w:tcW w:w="1260" w:type="dxa"/>
            <w:tcBorders>
              <w:top w:val="nil"/>
              <w:left w:val="single" w:sz="4" w:space="0" w:color="000000"/>
              <w:bottom w:val="nil"/>
              <w:right w:val="single" w:sz="4" w:space="0" w:color="000000"/>
            </w:tcBorders>
          </w:tcPr>
          <w:p w14:paraId="770BC20D"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tcPr>
          <w:p w14:paraId="19205207" w14:textId="77777777" w:rsidR="00385FC8" w:rsidRDefault="00385FC8">
            <w:pPr>
              <w:pStyle w:val="TableParagraph"/>
              <w:spacing w:line="240" w:lineRule="auto"/>
              <w:ind w:left="0"/>
              <w:rPr>
                <w:sz w:val="16"/>
              </w:rPr>
            </w:pPr>
          </w:p>
        </w:tc>
        <w:tc>
          <w:tcPr>
            <w:tcW w:w="1651" w:type="dxa"/>
            <w:tcBorders>
              <w:top w:val="nil"/>
              <w:left w:val="single" w:sz="4" w:space="0" w:color="000000"/>
              <w:bottom w:val="nil"/>
              <w:right w:val="single" w:sz="4" w:space="0" w:color="000000"/>
            </w:tcBorders>
            <w:hideMark/>
          </w:tcPr>
          <w:p w14:paraId="07F7A034" w14:textId="77777777" w:rsidR="00385FC8" w:rsidRDefault="00385FC8">
            <w:pPr>
              <w:pStyle w:val="TableParagraph"/>
              <w:spacing w:line="240" w:lineRule="auto"/>
              <w:ind w:left="108"/>
              <w:rPr>
                <w:sz w:val="19"/>
              </w:rPr>
            </w:pPr>
            <w:r>
              <w:rPr>
                <w:sz w:val="19"/>
              </w:rPr>
              <w:t>Effect size</w:t>
            </w:r>
            <w:r>
              <w:rPr>
                <w:spacing w:val="-1"/>
                <w:sz w:val="19"/>
              </w:rPr>
              <w:t xml:space="preserve"> </w:t>
            </w:r>
            <w:r>
              <w:rPr>
                <w:sz w:val="19"/>
              </w:rPr>
              <w:t>[b]</w:t>
            </w:r>
          </w:p>
        </w:tc>
        <w:tc>
          <w:tcPr>
            <w:tcW w:w="1158" w:type="dxa"/>
            <w:tcBorders>
              <w:top w:val="nil"/>
              <w:left w:val="single" w:sz="4" w:space="0" w:color="000000"/>
              <w:bottom w:val="nil"/>
              <w:right w:val="single" w:sz="4" w:space="0" w:color="000000"/>
            </w:tcBorders>
          </w:tcPr>
          <w:p w14:paraId="41C98D35"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6C3B0B6F" w14:textId="77777777" w:rsidR="00385FC8" w:rsidRDefault="00385FC8">
            <w:pPr>
              <w:pStyle w:val="TableParagraph"/>
              <w:spacing w:line="240" w:lineRule="auto"/>
              <w:ind w:left="108"/>
              <w:rPr>
                <w:sz w:val="19"/>
              </w:rPr>
            </w:pPr>
            <w:r>
              <w:rPr>
                <w:sz w:val="19"/>
              </w:rPr>
              <w:t>0.33</w:t>
            </w:r>
          </w:p>
        </w:tc>
        <w:tc>
          <w:tcPr>
            <w:tcW w:w="1158" w:type="dxa"/>
            <w:tcBorders>
              <w:top w:val="nil"/>
              <w:left w:val="single" w:sz="4" w:space="0" w:color="000000"/>
              <w:bottom w:val="nil"/>
              <w:right w:val="single" w:sz="4" w:space="0" w:color="000000"/>
            </w:tcBorders>
          </w:tcPr>
          <w:p w14:paraId="303291B8" w14:textId="77777777" w:rsidR="00385FC8" w:rsidRDefault="00385FC8">
            <w:pPr>
              <w:pStyle w:val="TableParagraph"/>
              <w:spacing w:line="240" w:lineRule="auto"/>
              <w:ind w:left="0"/>
              <w:rPr>
                <w:sz w:val="16"/>
              </w:rPr>
            </w:pPr>
          </w:p>
        </w:tc>
      </w:tr>
      <w:tr w:rsidR="00385FC8" w14:paraId="50D044E0" w14:textId="77777777" w:rsidTr="00385FC8">
        <w:trPr>
          <w:trHeight w:val="232"/>
        </w:trPr>
        <w:tc>
          <w:tcPr>
            <w:tcW w:w="1260" w:type="dxa"/>
            <w:tcBorders>
              <w:top w:val="nil"/>
              <w:left w:val="single" w:sz="4" w:space="0" w:color="000000"/>
              <w:bottom w:val="nil"/>
              <w:right w:val="single" w:sz="4" w:space="0" w:color="000000"/>
            </w:tcBorders>
          </w:tcPr>
          <w:p w14:paraId="5185C3F0"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13BAC075"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7E75FC0D" w14:textId="77777777" w:rsidR="00385FC8" w:rsidRDefault="00385FC8">
            <w:pPr>
              <w:pStyle w:val="TableParagraph"/>
              <w:spacing w:line="211" w:lineRule="exact"/>
              <w:ind w:left="108"/>
              <w:rPr>
                <w:sz w:val="19"/>
              </w:rPr>
            </w:pPr>
            <w:r>
              <w:rPr>
                <w:sz w:val="19"/>
              </w:rPr>
              <w:t>p-value</w:t>
            </w:r>
          </w:p>
        </w:tc>
        <w:tc>
          <w:tcPr>
            <w:tcW w:w="1158" w:type="dxa"/>
            <w:tcBorders>
              <w:top w:val="nil"/>
              <w:left w:val="single" w:sz="4" w:space="0" w:color="000000"/>
              <w:bottom w:val="single" w:sz="4" w:space="0" w:color="000000"/>
              <w:right w:val="single" w:sz="4" w:space="0" w:color="000000"/>
            </w:tcBorders>
          </w:tcPr>
          <w:p w14:paraId="0F537DBB"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hideMark/>
          </w:tcPr>
          <w:p w14:paraId="110B1DEB" w14:textId="77777777" w:rsidR="00385FC8" w:rsidRDefault="00385FC8">
            <w:pPr>
              <w:pStyle w:val="TableParagraph"/>
              <w:spacing w:line="211" w:lineRule="exact"/>
              <w:ind w:left="108"/>
              <w:rPr>
                <w:sz w:val="19"/>
              </w:rPr>
            </w:pPr>
            <w:r>
              <w:rPr>
                <w:sz w:val="19"/>
              </w:rPr>
              <w:t>0.0013</w:t>
            </w:r>
          </w:p>
        </w:tc>
        <w:tc>
          <w:tcPr>
            <w:tcW w:w="1158" w:type="dxa"/>
            <w:tcBorders>
              <w:top w:val="nil"/>
              <w:left w:val="single" w:sz="4" w:space="0" w:color="000000"/>
              <w:bottom w:val="single" w:sz="4" w:space="0" w:color="000000"/>
              <w:right w:val="single" w:sz="4" w:space="0" w:color="000000"/>
            </w:tcBorders>
          </w:tcPr>
          <w:p w14:paraId="72876F93" w14:textId="77777777" w:rsidR="00385FC8" w:rsidRDefault="00385FC8">
            <w:pPr>
              <w:pStyle w:val="TableParagraph"/>
              <w:spacing w:line="240" w:lineRule="auto"/>
              <w:ind w:left="0"/>
              <w:rPr>
                <w:sz w:val="16"/>
              </w:rPr>
            </w:pPr>
          </w:p>
        </w:tc>
      </w:tr>
      <w:tr w:rsidR="00385FC8" w14:paraId="5AD04D93" w14:textId="77777777" w:rsidTr="00385FC8">
        <w:trPr>
          <w:trHeight w:val="247"/>
        </w:trPr>
        <w:tc>
          <w:tcPr>
            <w:tcW w:w="1260" w:type="dxa"/>
            <w:tcBorders>
              <w:top w:val="nil"/>
              <w:left w:val="single" w:sz="4" w:space="0" w:color="000000"/>
              <w:bottom w:val="nil"/>
              <w:right w:val="single" w:sz="4" w:space="0" w:color="000000"/>
            </w:tcBorders>
          </w:tcPr>
          <w:p w14:paraId="60EF238F" w14:textId="77777777" w:rsidR="00385FC8" w:rsidRDefault="00385FC8">
            <w:pPr>
              <w:pStyle w:val="TableParagraph"/>
              <w:spacing w:line="240" w:lineRule="auto"/>
              <w:ind w:left="0"/>
              <w:rPr>
                <w:sz w:val="18"/>
              </w:rPr>
            </w:pPr>
          </w:p>
        </w:tc>
        <w:tc>
          <w:tcPr>
            <w:tcW w:w="2250" w:type="dxa"/>
            <w:tcBorders>
              <w:top w:val="single" w:sz="4" w:space="0" w:color="000000"/>
              <w:left w:val="single" w:sz="4" w:space="0" w:color="000000"/>
              <w:bottom w:val="nil"/>
              <w:right w:val="single" w:sz="4" w:space="0" w:color="000000"/>
            </w:tcBorders>
            <w:hideMark/>
          </w:tcPr>
          <w:p w14:paraId="51340B27" w14:textId="77777777" w:rsidR="00385FC8" w:rsidRDefault="00385FC8">
            <w:pPr>
              <w:pStyle w:val="TableParagraph"/>
              <w:spacing w:before="8" w:line="240" w:lineRule="auto"/>
              <w:ind w:left="108"/>
              <w:rPr>
                <w:sz w:val="19"/>
              </w:rPr>
            </w:pPr>
            <w:r>
              <w:rPr>
                <w:sz w:val="19"/>
              </w:rPr>
              <w:t>Active</w:t>
            </w:r>
            <w:r>
              <w:rPr>
                <w:spacing w:val="-3"/>
                <w:sz w:val="19"/>
              </w:rPr>
              <w:t xml:space="preserve"> </w:t>
            </w:r>
            <w:r>
              <w:rPr>
                <w:sz w:val="19"/>
              </w:rPr>
              <w:t>vs</w:t>
            </w:r>
            <w:r>
              <w:rPr>
                <w:spacing w:val="-2"/>
                <w:sz w:val="19"/>
              </w:rPr>
              <w:t xml:space="preserve"> </w:t>
            </w:r>
            <w:r>
              <w:rPr>
                <w:sz w:val="19"/>
              </w:rPr>
              <w:t>Placebo</w:t>
            </w:r>
          </w:p>
        </w:tc>
        <w:tc>
          <w:tcPr>
            <w:tcW w:w="1651" w:type="dxa"/>
            <w:tcBorders>
              <w:top w:val="single" w:sz="4" w:space="0" w:color="000000"/>
              <w:left w:val="single" w:sz="4" w:space="0" w:color="000000"/>
              <w:bottom w:val="nil"/>
              <w:right w:val="single" w:sz="4" w:space="0" w:color="000000"/>
            </w:tcBorders>
            <w:hideMark/>
          </w:tcPr>
          <w:p w14:paraId="549CA7B7" w14:textId="77777777" w:rsidR="00385FC8" w:rsidRDefault="00385FC8">
            <w:pPr>
              <w:pStyle w:val="TableParagraph"/>
              <w:spacing w:before="8" w:line="240" w:lineRule="auto"/>
              <w:ind w:left="108"/>
              <w:rPr>
                <w:sz w:val="19"/>
              </w:rPr>
            </w:pPr>
            <w:r>
              <w:rPr>
                <w:sz w:val="19"/>
              </w:rPr>
              <w:t>LS</w:t>
            </w:r>
            <w:r>
              <w:rPr>
                <w:spacing w:val="-3"/>
                <w:sz w:val="19"/>
              </w:rPr>
              <w:t xml:space="preserve"> </w:t>
            </w:r>
            <w:r>
              <w:rPr>
                <w:sz w:val="19"/>
              </w:rPr>
              <w:t>Mean</w:t>
            </w:r>
            <w:r>
              <w:rPr>
                <w:spacing w:val="-1"/>
                <w:sz w:val="19"/>
              </w:rPr>
              <w:t xml:space="preserve"> </w:t>
            </w:r>
            <w:r>
              <w:rPr>
                <w:sz w:val="19"/>
              </w:rPr>
              <w:t>(SE)</w:t>
            </w:r>
            <w:r>
              <w:rPr>
                <w:spacing w:val="-3"/>
                <w:sz w:val="19"/>
              </w:rPr>
              <w:t xml:space="preserve"> </w:t>
            </w:r>
            <w:r>
              <w:rPr>
                <w:sz w:val="19"/>
              </w:rPr>
              <w:t>[a]</w:t>
            </w:r>
          </w:p>
        </w:tc>
        <w:tc>
          <w:tcPr>
            <w:tcW w:w="1158" w:type="dxa"/>
            <w:tcBorders>
              <w:top w:val="single" w:sz="4" w:space="0" w:color="000000"/>
              <w:left w:val="single" w:sz="4" w:space="0" w:color="000000"/>
              <w:bottom w:val="nil"/>
              <w:right w:val="single" w:sz="4" w:space="0" w:color="000000"/>
            </w:tcBorders>
            <w:hideMark/>
          </w:tcPr>
          <w:p w14:paraId="18DAFB70" w14:textId="77777777" w:rsidR="00385FC8" w:rsidRDefault="00385FC8">
            <w:pPr>
              <w:pStyle w:val="TableParagraph"/>
              <w:spacing w:before="8" w:line="240" w:lineRule="auto"/>
              <w:ind w:left="107"/>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23ECB701" w14:textId="77777777" w:rsidR="00385FC8" w:rsidRDefault="00385FC8">
            <w:pPr>
              <w:pStyle w:val="TableParagraph"/>
              <w:spacing w:before="8" w:line="240" w:lineRule="auto"/>
              <w:ind w:left="108"/>
              <w:rPr>
                <w:sz w:val="19"/>
              </w:rPr>
            </w:pPr>
            <w:r>
              <w:rPr>
                <w:sz w:val="19"/>
              </w:rPr>
              <w:t>-8.5 (1.27)</w:t>
            </w:r>
          </w:p>
        </w:tc>
        <w:tc>
          <w:tcPr>
            <w:tcW w:w="1158" w:type="dxa"/>
            <w:tcBorders>
              <w:top w:val="single" w:sz="4" w:space="0" w:color="000000"/>
              <w:left w:val="single" w:sz="4" w:space="0" w:color="000000"/>
              <w:bottom w:val="nil"/>
              <w:right w:val="single" w:sz="4" w:space="0" w:color="000000"/>
            </w:tcBorders>
            <w:hideMark/>
          </w:tcPr>
          <w:p w14:paraId="4B35677F" w14:textId="77777777" w:rsidR="00385FC8" w:rsidRDefault="00385FC8">
            <w:pPr>
              <w:pStyle w:val="TableParagraph"/>
              <w:spacing w:before="8" w:line="240" w:lineRule="auto"/>
              <w:ind w:left="107"/>
              <w:rPr>
                <w:sz w:val="19"/>
              </w:rPr>
            </w:pPr>
            <w:r>
              <w:rPr>
                <w:sz w:val="19"/>
              </w:rPr>
              <w:t>-5.1 (1.27)</w:t>
            </w:r>
          </w:p>
        </w:tc>
      </w:tr>
      <w:tr w:rsidR="00385FC8" w14:paraId="74450B5F" w14:textId="77777777" w:rsidTr="00385FC8">
        <w:trPr>
          <w:trHeight w:val="240"/>
        </w:trPr>
        <w:tc>
          <w:tcPr>
            <w:tcW w:w="1260" w:type="dxa"/>
            <w:tcBorders>
              <w:top w:val="nil"/>
              <w:left w:val="single" w:sz="4" w:space="0" w:color="000000"/>
              <w:bottom w:val="nil"/>
              <w:right w:val="single" w:sz="4" w:space="0" w:color="000000"/>
            </w:tcBorders>
          </w:tcPr>
          <w:p w14:paraId="043CE376"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hideMark/>
          </w:tcPr>
          <w:p w14:paraId="2EEEDE4A" w14:textId="77777777" w:rsidR="00385FC8" w:rsidRDefault="00385FC8">
            <w:pPr>
              <w:pStyle w:val="TableParagraph"/>
              <w:spacing w:line="240" w:lineRule="auto"/>
              <w:ind w:left="108"/>
              <w:rPr>
                <w:sz w:val="19"/>
              </w:rPr>
            </w:pPr>
            <w:r>
              <w:rPr>
                <w:sz w:val="19"/>
              </w:rPr>
              <w:t>difference</w:t>
            </w:r>
          </w:p>
        </w:tc>
        <w:tc>
          <w:tcPr>
            <w:tcW w:w="1651" w:type="dxa"/>
            <w:tcBorders>
              <w:top w:val="nil"/>
              <w:left w:val="single" w:sz="4" w:space="0" w:color="000000"/>
              <w:bottom w:val="nil"/>
              <w:right w:val="single" w:sz="4" w:space="0" w:color="000000"/>
            </w:tcBorders>
            <w:hideMark/>
          </w:tcPr>
          <w:p w14:paraId="1CD28E1C" w14:textId="77777777" w:rsidR="00385FC8" w:rsidRDefault="00385FC8">
            <w:pPr>
              <w:pStyle w:val="TableParagraph"/>
              <w:spacing w:line="240" w:lineRule="auto"/>
              <w:ind w:left="108"/>
              <w:rPr>
                <w:sz w:val="19"/>
              </w:rPr>
            </w:pPr>
            <w:r>
              <w:rPr>
                <w:sz w:val="19"/>
              </w:rPr>
              <w:t>(95%</w:t>
            </w:r>
            <w:r>
              <w:rPr>
                <w:spacing w:val="-2"/>
                <w:sz w:val="19"/>
              </w:rPr>
              <w:t xml:space="preserve"> </w:t>
            </w:r>
            <w:r>
              <w:rPr>
                <w:sz w:val="19"/>
              </w:rPr>
              <w:t>CI)</w:t>
            </w:r>
            <w:r>
              <w:rPr>
                <w:spacing w:val="-2"/>
                <w:sz w:val="19"/>
              </w:rPr>
              <w:t xml:space="preserve"> </w:t>
            </w:r>
            <w:r>
              <w:rPr>
                <w:sz w:val="19"/>
              </w:rPr>
              <w:t>[a]</w:t>
            </w:r>
          </w:p>
        </w:tc>
        <w:tc>
          <w:tcPr>
            <w:tcW w:w="1158" w:type="dxa"/>
            <w:tcBorders>
              <w:top w:val="nil"/>
              <w:left w:val="single" w:sz="4" w:space="0" w:color="000000"/>
              <w:bottom w:val="nil"/>
              <w:right w:val="single" w:sz="4" w:space="0" w:color="000000"/>
            </w:tcBorders>
          </w:tcPr>
          <w:p w14:paraId="54A277C0"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77D8E7B3" w14:textId="77777777" w:rsidR="00385FC8" w:rsidRDefault="00385FC8">
            <w:pPr>
              <w:pStyle w:val="TableParagraph"/>
              <w:spacing w:line="240" w:lineRule="auto"/>
              <w:ind w:left="108"/>
              <w:rPr>
                <w:sz w:val="19"/>
              </w:rPr>
            </w:pPr>
            <w:r>
              <w:rPr>
                <w:sz w:val="19"/>
              </w:rPr>
              <w:t>-11.0,</w:t>
            </w:r>
            <w:r>
              <w:rPr>
                <w:spacing w:val="-1"/>
                <w:sz w:val="19"/>
              </w:rPr>
              <w:t xml:space="preserve"> </w:t>
            </w:r>
            <w:r>
              <w:rPr>
                <w:sz w:val="19"/>
              </w:rPr>
              <w:t>-6.0</w:t>
            </w:r>
          </w:p>
        </w:tc>
        <w:tc>
          <w:tcPr>
            <w:tcW w:w="1158" w:type="dxa"/>
            <w:tcBorders>
              <w:top w:val="nil"/>
              <w:left w:val="single" w:sz="4" w:space="0" w:color="000000"/>
              <w:bottom w:val="nil"/>
              <w:right w:val="single" w:sz="4" w:space="0" w:color="000000"/>
            </w:tcBorders>
            <w:hideMark/>
          </w:tcPr>
          <w:p w14:paraId="573DADE5" w14:textId="77777777" w:rsidR="00385FC8" w:rsidRDefault="00385FC8">
            <w:pPr>
              <w:pStyle w:val="TableParagraph"/>
              <w:spacing w:line="240" w:lineRule="auto"/>
              <w:ind w:left="107"/>
              <w:rPr>
                <w:sz w:val="19"/>
              </w:rPr>
            </w:pPr>
            <w:r>
              <w:rPr>
                <w:sz w:val="19"/>
              </w:rPr>
              <w:t>-7.6, -2.6</w:t>
            </w:r>
          </w:p>
        </w:tc>
      </w:tr>
      <w:tr w:rsidR="00385FC8" w14:paraId="2CB736D3" w14:textId="77777777" w:rsidTr="00385FC8">
        <w:trPr>
          <w:trHeight w:val="240"/>
        </w:trPr>
        <w:tc>
          <w:tcPr>
            <w:tcW w:w="1260" w:type="dxa"/>
            <w:tcBorders>
              <w:top w:val="nil"/>
              <w:left w:val="single" w:sz="4" w:space="0" w:color="000000"/>
              <w:bottom w:val="nil"/>
              <w:right w:val="single" w:sz="4" w:space="0" w:color="000000"/>
            </w:tcBorders>
          </w:tcPr>
          <w:p w14:paraId="17D22BE8" w14:textId="77777777" w:rsidR="00385FC8" w:rsidRDefault="00385FC8">
            <w:pPr>
              <w:pStyle w:val="TableParagraph"/>
              <w:spacing w:line="240" w:lineRule="auto"/>
              <w:ind w:left="0"/>
              <w:rPr>
                <w:sz w:val="16"/>
              </w:rPr>
            </w:pPr>
          </w:p>
        </w:tc>
        <w:tc>
          <w:tcPr>
            <w:tcW w:w="2250" w:type="dxa"/>
            <w:tcBorders>
              <w:top w:val="nil"/>
              <w:left w:val="single" w:sz="4" w:space="0" w:color="000000"/>
              <w:bottom w:val="nil"/>
              <w:right w:val="single" w:sz="4" w:space="0" w:color="000000"/>
            </w:tcBorders>
          </w:tcPr>
          <w:p w14:paraId="74EB2870" w14:textId="77777777" w:rsidR="00385FC8" w:rsidRDefault="00385FC8">
            <w:pPr>
              <w:pStyle w:val="TableParagraph"/>
              <w:spacing w:line="240" w:lineRule="auto"/>
              <w:ind w:left="0"/>
              <w:rPr>
                <w:sz w:val="16"/>
              </w:rPr>
            </w:pPr>
          </w:p>
        </w:tc>
        <w:tc>
          <w:tcPr>
            <w:tcW w:w="1651" w:type="dxa"/>
            <w:tcBorders>
              <w:top w:val="nil"/>
              <w:left w:val="single" w:sz="4" w:space="0" w:color="000000"/>
              <w:bottom w:val="nil"/>
              <w:right w:val="single" w:sz="4" w:space="0" w:color="000000"/>
            </w:tcBorders>
            <w:hideMark/>
          </w:tcPr>
          <w:p w14:paraId="7C7B43A0" w14:textId="77777777" w:rsidR="00385FC8" w:rsidRDefault="00385FC8">
            <w:pPr>
              <w:pStyle w:val="TableParagraph"/>
              <w:spacing w:line="240" w:lineRule="auto"/>
              <w:ind w:left="108"/>
              <w:rPr>
                <w:sz w:val="19"/>
              </w:rPr>
            </w:pPr>
            <w:r>
              <w:rPr>
                <w:sz w:val="19"/>
              </w:rPr>
              <w:t>Effect size</w:t>
            </w:r>
            <w:r>
              <w:rPr>
                <w:spacing w:val="-1"/>
                <w:sz w:val="19"/>
              </w:rPr>
              <w:t xml:space="preserve"> </w:t>
            </w:r>
            <w:r>
              <w:rPr>
                <w:sz w:val="19"/>
              </w:rPr>
              <w:t>[b]</w:t>
            </w:r>
          </w:p>
        </w:tc>
        <w:tc>
          <w:tcPr>
            <w:tcW w:w="1158" w:type="dxa"/>
            <w:tcBorders>
              <w:top w:val="nil"/>
              <w:left w:val="single" w:sz="4" w:space="0" w:color="000000"/>
              <w:bottom w:val="nil"/>
              <w:right w:val="single" w:sz="4" w:space="0" w:color="000000"/>
            </w:tcBorders>
          </w:tcPr>
          <w:p w14:paraId="1FDE438B" w14:textId="77777777" w:rsidR="00385FC8" w:rsidRDefault="00385FC8">
            <w:pPr>
              <w:pStyle w:val="TableParagraph"/>
              <w:spacing w:line="240" w:lineRule="auto"/>
              <w:ind w:left="0"/>
              <w:rPr>
                <w:sz w:val="16"/>
              </w:rPr>
            </w:pPr>
          </w:p>
        </w:tc>
        <w:tc>
          <w:tcPr>
            <w:tcW w:w="1162" w:type="dxa"/>
            <w:tcBorders>
              <w:top w:val="nil"/>
              <w:left w:val="single" w:sz="4" w:space="0" w:color="000000"/>
              <w:bottom w:val="nil"/>
              <w:right w:val="single" w:sz="4" w:space="0" w:color="000000"/>
            </w:tcBorders>
            <w:hideMark/>
          </w:tcPr>
          <w:p w14:paraId="2CD1ED0F" w14:textId="77777777" w:rsidR="00385FC8" w:rsidRDefault="00385FC8">
            <w:pPr>
              <w:pStyle w:val="TableParagraph"/>
              <w:spacing w:line="240" w:lineRule="auto"/>
              <w:ind w:left="108"/>
              <w:rPr>
                <w:sz w:val="19"/>
              </w:rPr>
            </w:pPr>
            <w:r>
              <w:rPr>
                <w:sz w:val="19"/>
              </w:rPr>
              <w:t>0.82</w:t>
            </w:r>
          </w:p>
        </w:tc>
        <w:tc>
          <w:tcPr>
            <w:tcW w:w="1158" w:type="dxa"/>
            <w:tcBorders>
              <w:top w:val="nil"/>
              <w:left w:val="single" w:sz="4" w:space="0" w:color="000000"/>
              <w:bottom w:val="nil"/>
              <w:right w:val="single" w:sz="4" w:space="0" w:color="000000"/>
            </w:tcBorders>
            <w:hideMark/>
          </w:tcPr>
          <w:p w14:paraId="0C802FD2" w14:textId="77777777" w:rsidR="00385FC8" w:rsidRDefault="00385FC8">
            <w:pPr>
              <w:pStyle w:val="TableParagraph"/>
              <w:spacing w:line="240" w:lineRule="auto"/>
              <w:ind w:left="107"/>
              <w:rPr>
                <w:sz w:val="19"/>
              </w:rPr>
            </w:pPr>
            <w:r>
              <w:rPr>
                <w:sz w:val="19"/>
              </w:rPr>
              <w:t>0.50</w:t>
            </w:r>
          </w:p>
        </w:tc>
      </w:tr>
      <w:tr w:rsidR="00385FC8" w14:paraId="311F9F87" w14:textId="77777777" w:rsidTr="00385FC8">
        <w:trPr>
          <w:trHeight w:val="232"/>
        </w:trPr>
        <w:tc>
          <w:tcPr>
            <w:tcW w:w="1260" w:type="dxa"/>
            <w:tcBorders>
              <w:top w:val="nil"/>
              <w:left w:val="single" w:sz="4" w:space="0" w:color="000000"/>
              <w:bottom w:val="nil"/>
              <w:right w:val="single" w:sz="4" w:space="0" w:color="000000"/>
            </w:tcBorders>
          </w:tcPr>
          <w:p w14:paraId="0BBF0496" w14:textId="77777777" w:rsidR="00385FC8" w:rsidRDefault="00385FC8">
            <w:pPr>
              <w:pStyle w:val="TableParagraph"/>
              <w:spacing w:line="240" w:lineRule="auto"/>
              <w:ind w:left="0"/>
              <w:rPr>
                <w:sz w:val="16"/>
              </w:rPr>
            </w:pPr>
          </w:p>
        </w:tc>
        <w:tc>
          <w:tcPr>
            <w:tcW w:w="2250" w:type="dxa"/>
            <w:tcBorders>
              <w:top w:val="nil"/>
              <w:left w:val="single" w:sz="4" w:space="0" w:color="000000"/>
              <w:bottom w:val="single" w:sz="4" w:space="0" w:color="000000"/>
              <w:right w:val="single" w:sz="4" w:space="0" w:color="000000"/>
            </w:tcBorders>
          </w:tcPr>
          <w:p w14:paraId="3A1FB05B" w14:textId="77777777" w:rsidR="00385FC8" w:rsidRDefault="00385FC8">
            <w:pPr>
              <w:pStyle w:val="TableParagraph"/>
              <w:spacing w:line="240" w:lineRule="auto"/>
              <w:ind w:left="0"/>
              <w:rPr>
                <w:sz w:val="16"/>
              </w:rPr>
            </w:pPr>
          </w:p>
        </w:tc>
        <w:tc>
          <w:tcPr>
            <w:tcW w:w="1651" w:type="dxa"/>
            <w:tcBorders>
              <w:top w:val="nil"/>
              <w:left w:val="single" w:sz="4" w:space="0" w:color="000000"/>
              <w:bottom w:val="single" w:sz="4" w:space="0" w:color="000000"/>
              <w:right w:val="single" w:sz="4" w:space="0" w:color="000000"/>
            </w:tcBorders>
            <w:hideMark/>
          </w:tcPr>
          <w:p w14:paraId="6CBD5FEF" w14:textId="77777777" w:rsidR="00385FC8" w:rsidRDefault="00385FC8">
            <w:pPr>
              <w:pStyle w:val="TableParagraph"/>
              <w:spacing w:line="211" w:lineRule="exact"/>
              <w:ind w:left="108"/>
              <w:rPr>
                <w:sz w:val="19"/>
              </w:rPr>
            </w:pPr>
            <w:r>
              <w:rPr>
                <w:sz w:val="19"/>
              </w:rPr>
              <w:t>p-value</w:t>
            </w:r>
          </w:p>
        </w:tc>
        <w:tc>
          <w:tcPr>
            <w:tcW w:w="1158" w:type="dxa"/>
            <w:tcBorders>
              <w:top w:val="nil"/>
              <w:left w:val="single" w:sz="4" w:space="0" w:color="000000"/>
              <w:bottom w:val="single" w:sz="4" w:space="0" w:color="000000"/>
              <w:right w:val="single" w:sz="4" w:space="0" w:color="000000"/>
            </w:tcBorders>
          </w:tcPr>
          <w:p w14:paraId="38163B9A" w14:textId="77777777" w:rsidR="00385FC8" w:rsidRDefault="00385FC8">
            <w:pPr>
              <w:pStyle w:val="TableParagraph"/>
              <w:spacing w:line="240" w:lineRule="auto"/>
              <w:ind w:left="0"/>
              <w:rPr>
                <w:sz w:val="16"/>
              </w:rPr>
            </w:pPr>
          </w:p>
        </w:tc>
        <w:tc>
          <w:tcPr>
            <w:tcW w:w="1162" w:type="dxa"/>
            <w:tcBorders>
              <w:top w:val="nil"/>
              <w:left w:val="single" w:sz="4" w:space="0" w:color="000000"/>
              <w:bottom w:val="single" w:sz="4" w:space="0" w:color="000000"/>
              <w:right w:val="single" w:sz="4" w:space="0" w:color="000000"/>
            </w:tcBorders>
            <w:hideMark/>
          </w:tcPr>
          <w:p w14:paraId="47F94C73" w14:textId="77777777" w:rsidR="00385FC8" w:rsidRDefault="00385FC8">
            <w:pPr>
              <w:pStyle w:val="TableParagraph"/>
              <w:spacing w:line="211" w:lineRule="exact"/>
              <w:ind w:left="108"/>
              <w:rPr>
                <w:sz w:val="19"/>
              </w:rPr>
            </w:pPr>
            <w:r>
              <w:rPr>
                <w:sz w:val="19"/>
              </w:rPr>
              <w:t>&lt;0.0001</w:t>
            </w:r>
          </w:p>
        </w:tc>
        <w:tc>
          <w:tcPr>
            <w:tcW w:w="1158" w:type="dxa"/>
            <w:tcBorders>
              <w:top w:val="nil"/>
              <w:left w:val="single" w:sz="4" w:space="0" w:color="000000"/>
              <w:bottom w:val="single" w:sz="4" w:space="0" w:color="000000"/>
              <w:right w:val="single" w:sz="4" w:space="0" w:color="000000"/>
            </w:tcBorders>
            <w:hideMark/>
          </w:tcPr>
          <w:p w14:paraId="41F6B8E2" w14:textId="77777777" w:rsidR="00385FC8" w:rsidRDefault="00385FC8">
            <w:pPr>
              <w:pStyle w:val="TableParagraph"/>
              <w:spacing w:line="211" w:lineRule="exact"/>
              <w:ind w:left="107"/>
              <w:rPr>
                <w:sz w:val="19"/>
              </w:rPr>
            </w:pPr>
            <w:r>
              <w:rPr>
                <w:sz w:val="19"/>
              </w:rPr>
              <w:t>&lt;0.0001</w:t>
            </w:r>
          </w:p>
        </w:tc>
      </w:tr>
      <w:tr w:rsidR="00385FC8" w:rsidRPr="00C35E91" w14:paraId="11E37D7C" w14:textId="77777777" w:rsidTr="00385FC8">
        <w:trPr>
          <w:trHeight w:val="240"/>
        </w:trPr>
        <w:tc>
          <w:tcPr>
            <w:tcW w:w="1260" w:type="dxa"/>
            <w:tcBorders>
              <w:top w:val="nil"/>
              <w:left w:val="single" w:sz="4" w:space="0" w:color="000000"/>
              <w:bottom w:val="nil"/>
              <w:right w:val="single" w:sz="4" w:space="0" w:color="000000"/>
            </w:tcBorders>
          </w:tcPr>
          <w:p w14:paraId="2537C753" w14:textId="77777777" w:rsidR="00385FC8" w:rsidRDefault="00385FC8">
            <w:pPr>
              <w:pStyle w:val="TableParagraph"/>
              <w:spacing w:line="240" w:lineRule="auto"/>
              <w:ind w:left="0"/>
              <w:rPr>
                <w:sz w:val="16"/>
              </w:rPr>
            </w:pPr>
          </w:p>
        </w:tc>
        <w:tc>
          <w:tcPr>
            <w:tcW w:w="7379" w:type="dxa"/>
            <w:gridSpan w:val="5"/>
            <w:tcBorders>
              <w:top w:val="single" w:sz="4" w:space="0" w:color="000000"/>
              <w:left w:val="single" w:sz="4" w:space="0" w:color="000000"/>
              <w:bottom w:val="single" w:sz="4" w:space="0" w:color="000000"/>
              <w:right w:val="single" w:sz="4" w:space="0" w:color="000000"/>
            </w:tcBorders>
            <w:hideMark/>
          </w:tcPr>
          <w:p w14:paraId="67E6875A" w14:textId="77777777" w:rsidR="00385FC8" w:rsidRDefault="00385FC8">
            <w:pPr>
              <w:pStyle w:val="TableParagraph"/>
              <w:spacing w:before="8" w:line="211" w:lineRule="exact"/>
              <w:ind w:left="108"/>
              <w:rPr>
                <w:b/>
                <w:sz w:val="19"/>
                <w:lang w:val="en-GB"/>
              </w:rPr>
            </w:pPr>
            <w:r>
              <w:rPr>
                <w:b/>
                <w:sz w:val="19"/>
                <w:lang w:val="en-GB"/>
              </w:rPr>
              <w:t>Key</w:t>
            </w:r>
            <w:r>
              <w:rPr>
                <w:b/>
                <w:spacing w:val="-2"/>
                <w:sz w:val="19"/>
                <w:lang w:val="en-GB"/>
              </w:rPr>
              <w:t xml:space="preserve"> </w:t>
            </w:r>
            <w:r>
              <w:rPr>
                <w:b/>
                <w:sz w:val="19"/>
                <w:lang w:val="en-GB"/>
              </w:rPr>
              <w:t>Secondary</w:t>
            </w:r>
            <w:r>
              <w:rPr>
                <w:b/>
                <w:spacing w:val="-2"/>
                <w:sz w:val="19"/>
                <w:lang w:val="en-GB"/>
              </w:rPr>
              <w:t xml:space="preserve"> </w:t>
            </w:r>
            <w:r>
              <w:rPr>
                <w:b/>
                <w:sz w:val="19"/>
                <w:lang w:val="en-GB"/>
              </w:rPr>
              <w:t>Endpoint</w:t>
            </w:r>
            <w:r>
              <w:rPr>
                <w:b/>
                <w:spacing w:val="-4"/>
                <w:sz w:val="19"/>
                <w:lang w:val="en-GB"/>
              </w:rPr>
              <w:t xml:space="preserve"> </w:t>
            </w:r>
            <w:r>
              <w:rPr>
                <w:b/>
                <w:sz w:val="19"/>
                <w:lang w:val="en-GB"/>
              </w:rPr>
              <w:t>CGI-I</w:t>
            </w:r>
          </w:p>
        </w:tc>
      </w:tr>
      <w:tr w:rsidR="00385FC8" w14:paraId="57AFD83C" w14:textId="77777777" w:rsidTr="00385FC8">
        <w:trPr>
          <w:trHeight w:val="240"/>
        </w:trPr>
        <w:tc>
          <w:tcPr>
            <w:tcW w:w="1260" w:type="dxa"/>
            <w:tcBorders>
              <w:top w:val="nil"/>
              <w:left w:val="single" w:sz="4" w:space="0" w:color="000000"/>
              <w:bottom w:val="nil"/>
              <w:right w:val="single" w:sz="4" w:space="0" w:color="000000"/>
            </w:tcBorders>
          </w:tcPr>
          <w:p w14:paraId="5F51C634" w14:textId="77777777" w:rsidR="00385FC8" w:rsidRDefault="00385FC8">
            <w:pPr>
              <w:pStyle w:val="TableParagraph"/>
              <w:spacing w:line="240" w:lineRule="auto"/>
              <w:ind w:left="0"/>
              <w:rPr>
                <w:sz w:val="16"/>
                <w:lang w:val="en-GB"/>
              </w:rPr>
            </w:pPr>
          </w:p>
        </w:tc>
        <w:tc>
          <w:tcPr>
            <w:tcW w:w="3901" w:type="dxa"/>
            <w:gridSpan w:val="2"/>
            <w:tcBorders>
              <w:top w:val="single" w:sz="4" w:space="0" w:color="000000"/>
              <w:left w:val="single" w:sz="4" w:space="0" w:color="000000"/>
              <w:bottom w:val="single" w:sz="4" w:space="0" w:color="000000"/>
              <w:right w:val="single" w:sz="4" w:space="0" w:color="000000"/>
            </w:tcBorders>
            <w:hideMark/>
          </w:tcPr>
          <w:p w14:paraId="5F2D8FA8" w14:textId="77777777" w:rsidR="00385FC8" w:rsidRDefault="00385FC8">
            <w:pPr>
              <w:pStyle w:val="TableParagraph"/>
              <w:spacing w:before="8" w:line="211" w:lineRule="exact"/>
              <w:ind w:left="108"/>
              <w:rPr>
                <w:sz w:val="19"/>
              </w:rPr>
            </w:pPr>
            <w:r>
              <w:rPr>
                <w:sz w:val="19"/>
              </w:rPr>
              <w:t>Subjects</w:t>
            </w:r>
            <w:r>
              <w:rPr>
                <w:spacing w:val="-4"/>
                <w:sz w:val="19"/>
              </w:rPr>
              <w:t xml:space="preserve"> </w:t>
            </w:r>
            <w:r>
              <w:rPr>
                <w:sz w:val="19"/>
              </w:rPr>
              <w:t>analysed</w:t>
            </w:r>
            <w:r>
              <w:rPr>
                <w:spacing w:val="-2"/>
                <w:sz w:val="19"/>
              </w:rPr>
              <w:t xml:space="preserve"> </w:t>
            </w:r>
            <w:r>
              <w:rPr>
                <w:sz w:val="19"/>
              </w:rPr>
              <w:t>(n)</w:t>
            </w:r>
          </w:p>
        </w:tc>
        <w:tc>
          <w:tcPr>
            <w:tcW w:w="1158" w:type="dxa"/>
            <w:tcBorders>
              <w:top w:val="single" w:sz="4" w:space="0" w:color="000000"/>
              <w:left w:val="single" w:sz="4" w:space="0" w:color="000000"/>
              <w:bottom w:val="single" w:sz="4" w:space="0" w:color="000000"/>
              <w:right w:val="single" w:sz="4" w:space="0" w:color="000000"/>
            </w:tcBorders>
            <w:hideMark/>
          </w:tcPr>
          <w:p w14:paraId="71ED06E8" w14:textId="77777777" w:rsidR="00385FC8" w:rsidRDefault="00385FC8">
            <w:pPr>
              <w:pStyle w:val="TableParagraph"/>
              <w:spacing w:before="8" w:line="211" w:lineRule="exact"/>
              <w:ind w:left="416" w:right="407"/>
              <w:rPr>
                <w:sz w:val="19"/>
              </w:rPr>
            </w:pPr>
            <w:r>
              <w:rPr>
                <w:sz w:val="19"/>
              </w:rPr>
              <w:t>106</w:t>
            </w:r>
          </w:p>
        </w:tc>
        <w:tc>
          <w:tcPr>
            <w:tcW w:w="1162" w:type="dxa"/>
            <w:tcBorders>
              <w:top w:val="single" w:sz="4" w:space="0" w:color="000000"/>
              <w:left w:val="single" w:sz="4" w:space="0" w:color="000000"/>
              <w:bottom w:val="single" w:sz="4" w:space="0" w:color="000000"/>
              <w:right w:val="single" w:sz="4" w:space="0" w:color="000000"/>
            </w:tcBorders>
            <w:hideMark/>
          </w:tcPr>
          <w:p w14:paraId="2D2EDB2F" w14:textId="77777777" w:rsidR="00385FC8" w:rsidRDefault="00385FC8">
            <w:pPr>
              <w:pStyle w:val="TableParagraph"/>
              <w:spacing w:before="8" w:line="211" w:lineRule="exact"/>
              <w:ind w:left="418" w:right="409"/>
              <w:rPr>
                <w:sz w:val="19"/>
              </w:rPr>
            </w:pPr>
            <w:r>
              <w:rPr>
                <w:sz w:val="19"/>
              </w:rPr>
              <w:t>210</w:t>
            </w:r>
          </w:p>
        </w:tc>
        <w:tc>
          <w:tcPr>
            <w:tcW w:w="1158" w:type="dxa"/>
            <w:tcBorders>
              <w:top w:val="single" w:sz="4" w:space="0" w:color="000000"/>
              <w:left w:val="single" w:sz="4" w:space="0" w:color="000000"/>
              <w:bottom w:val="single" w:sz="4" w:space="0" w:color="000000"/>
              <w:right w:val="single" w:sz="4" w:space="0" w:color="000000"/>
            </w:tcBorders>
            <w:hideMark/>
          </w:tcPr>
          <w:p w14:paraId="799B58F0" w14:textId="77777777" w:rsidR="00385FC8" w:rsidRDefault="00385FC8">
            <w:pPr>
              <w:pStyle w:val="TableParagraph"/>
              <w:spacing w:before="8" w:line="211" w:lineRule="exact"/>
              <w:ind w:left="416" w:right="407"/>
              <w:rPr>
                <w:sz w:val="19"/>
              </w:rPr>
            </w:pPr>
            <w:r>
              <w:rPr>
                <w:sz w:val="19"/>
              </w:rPr>
              <w:t>216</w:t>
            </w:r>
          </w:p>
        </w:tc>
      </w:tr>
      <w:tr w:rsidR="00385FC8" w14:paraId="3E373F19" w14:textId="77777777" w:rsidTr="00385FC8">
        <w:trPr>
          <w:trHeight w:val="247"/>
        </w:trPr>
        <w:tc>
          <w:tcPr>
            <w:tcW w:w="1260" w:type="dxa"/>
            <w:tcBorders>
              <w:top w:val="nil"/>
              <w:left w:val="single" w:sz="4" w:space="0" w:color="000000"/>
              <w:bottom w:val="nil"/>
              <w:right w:val="single" w:sz="4" w:space="0" w:color="000000"/>
            </w:tcBorders>
          </w:tcPr>
          <w:p w14:paraId="1007691D" w14:textId="77777777" w:rsidR="00385FC8" w:rsidRDefault="00385FC8">
            <w:pPr>
              <w:pStyle w:val="TableParagraph"/>
              <w:spacing w:line="240" w:lineRule="auto"/>
              <w:ind w:left="0"/>
              <w:rPr>
                <w:sz w:val="18"/>
              </w:rPr>
            </w:pPr>
          </w:p>
        </w:tc>
        <w:tc>
          <w:tcPr>
            <w:tcW w:w="3901" w:type="dxa"/>
            <w:gridSpan w:val="2"/>
            <w:tcBorders>
              <w:top w:val="single" w:sz="4" w:space="0" w:color="000000"/>
              <w:left w:val="single" w:sz="4" w:space="0" w:color="000000"/>
              <w:bottom w:val="nil"/>
              <w:right w:val="single" w:sz="4" w:space="0" w:color="000000"/>
            </w:tcBorders>
            <w:hideMark/>
          </w:tcPr>
          <w:p w14:paraId="075845EB" w14:textId="77777777" w:rsidR="00385FC8" w:rsidRDefault="00385FC8">
            <w:pPr>
              <w:pStyle w:val="TableParagraph"/>
              <w:spacing w:before="8" w:line="240" w:lineRule="auto"/>
              <w:ind w:left="108"/>
              <w:rPr>
                <w:sz w:val="19"/>
              </w:rPr>
            </w:pPr>
            <w:r>
              <w:rPr>
                <w:sz w:val="19"/>
              </w:rPr>
              <w:t>Improved</w:t>
            </w:r>
            <w:r>
              <w:rPr>
                <w:spacing w:val="-2"/>
                <w:sz w:val="19"/>
              </w:rPr>
              <w:t xml:space="preserve"> </w:t>
            </w:r>
            <w:r>
              <w:rPr>
                <w:sz w:val="19"/>
              </w:rPr>
              <w:t>(%)</w:t>
            </w:r>
            <w:r>
              <w:rPr>
                <w:spacing w:val="-4"/>
                <w:sz w:val="19"/>
              </w:rPr>
              <w:t xml:space="preserve"> </w:t>
            </w:r>
            <w:r>
              <w:rPr>
                <w:sz w:val="19"/>
              </w:rPr>
              <w:t>[c]</w:t>
            </w:r>
          </w:p>
        </w:tc>
        <w:tc>
          <w:tcPr>
            <w:tcW w:w="1158" w:type="dxa"/>
            <w:tcBorders>
              <w:top w:val="single" w:sz="4" w:space="0" w:color="000000"/>
              <w:left w:val="single" w:sz="4" w:space="0" w:color="000000"/>
              <w:bottom w:val="nil"/>
              <w:right w:val="single" w:sz="4" w:space="0" w:color="000000"/>
            </w:tcBorders>
            <w:hideMark/>
          </w:tcPr>
          <w:p w14:paraId="607F0DAE" w14:textId="77777777" w:rsidR="00385FC8" w:rsidRDefault="00385FC8">
            <w:pPr>
              <w:pStyle w:val="TableParagraph"/>
              <w:spacing w:before="8" w:line="240" w:lineRule="auto"/>
              <w:ind w:left="0" w:right="215"/>
              <w:rPr>
                <w:sz w:val="19"/>
              </w:rPr>
            </w:pPr>
            <w:r>
              <w:rPr>
                <w:sz w:val="19"/>
              </w:rPr>
              <w:t>53</w:t>
            </w:r>
            <w:r>
              <w:rPr>
                <w:spacing w:val="1"/>
                <w:sz w:val="19"/>
              </w:rPr>
              <w:t xml:space="preserve"> </w:t>
            </w:r>
            <w:r>
              <w:rPr>
                <w:sz w:val="19"/>
              </w:rPr>
              <w:t>(50.0)</w:t>
            </w:r>
          </w:p>
        </w:tc>
        <w:tc>
          <w:tcPr>
            <w:tcW w:w="1162" w:type="dxa"/>
            <w:tcBorders>
              <w:top w:val="single" w:sz="4" w:space="0" w:color="000000"/>
              <w:left w:val="single" w:sz="4" w:space="0" w:color="000000"/>
              <w:bottom w:val="nil"/>
              <w:right w:val="single" w:sz="4" w:space="0" w:color="000000"/>
            </w:tcBorders>
            <w:hideMark/>
          </w:tcPr>
          <w:p w14:paraId="053CA6BA" w14:textId="77777777" w:rsidR="00385FC8" w:rsidRDefault="00385FC8">
            <w:pPr>
              <w:pStyle w:val="TableParagraph"/>
              <w:spacing w:before="8" w:line="240" w:lineRule="auto"/>
              <w:ind w:left="182"/>
              <w:rPr>
                <w:sz w:val="19"/>
              </w:rPr>
            </w:pPr>
            <w:r>
              <w:rPr>
                <w:sz w:val="19"/>
              </w:rPr>
              <w:t>171</w:t>
            </w:r>
            <w:r>
              <w:rPr>
                <w:spacing w:val="1"/>
                <w:sz w:val="19"/>
              </w:rPr>
              <w:t xml:space="preserve"> </w:t>
            </w:r>
            <w:r>
              <w:rPr>
                <w:sz w:val="19"/>
              </w:rPr>
              <w:t>(81.4)</w:t>
            </w:r>
          </w:p>
        </w:tc>
        <w:tc>
          <w:tcPr>
            <w:tcW w:w="1158" w:type="dxa"/>
            <w:tcBorders>
              <w:top w:val="single" w:sz="4" w:space="0" w:color="000000"/>
              <w:left w:val="single" w:sz="4" w:space="0" w:color="000000"/>
              <w:bottom w:val="nil"/>
              <w:right w:val="single" w:sz="4" w:space="0" w:color="000000"/>
            </w:tcBorders>
            <w:hideMark/>
          </w:tcPr>
          <w:p w14:paraId="02D4F13C" w14:textId="77777777" w:rsidR="00385FC8" w:rsidRDefault="00385FC8">
            <w:pPr>
              <w:pStyle w:val="TableParagraph"/>
              <w:spacing w:before="8" w:line="240" w:lineRule="auto"/>
              <w:ind w:left="180"/>
              <w:rPr>
                <w:sz w:val="19"/>
              </w:rPr>
            </w:pPr>
            <w:r>
              <w:rPr>
                <w:sz w:val="19"/>
              </w:rPr>
              <w:t>154</w:t>
            </w:r>
            <w:r>
              <w:rPr>
                <w:spacing w:val="1"/>
                <w:sz w:val="19"/>
              </w:rPr>
              <w:t xml:space="preserve"> </w:t>
            </w:r>
            <w:r>
              <w:rPr>
                <w:sz w:val="19"/>
              </w:rPr>
              <w:t>(71.3)</w:t>
            </w:r>
          </w:p>
        </w:tc>
      </w:tr>
      <w:tr w:rsidR="00385FC8" w14:paraId="00F864F0" w14:textId="77777777" w:rsidTr="00385FC8">
        <w:trPr>
          <w:trHeight w:val="232"/>
        </w:trPr>
        <w:tc>
          <w:tcPr>
            <w:tcW w:w="1260" w:type="dxa"/>
            <w:tcBorders>
              <w:top w:val="nil"/>
              <w:left w:val="single" w:sz="4" w:space="0" w:color="000000"/>
              <w:bottom w:val="nil"/>
              <w:right w:val="single" w:sz="4" w:space="0" w:color="000000"/>
            </w:tcBorders>
          </w:tcPr>
          <w:p w14:paraId="687C73AE" w14:textId="77777777" w:rsidR="00385FC8" w:rsidRDefault="00385FC8">
            <w:pPr>
              <w:pStyle w:val="TableParagraph"/>
              <w:spacing w:line="240" w:lineRule="auto"/>
              <w:ind w:left="0"/>
              <w:rPr>
                <w:sz w:val="16"/>
              </w:rPr>
            </w:pPr>
          </w:p>
        </w:tc>
        <w:tc>
          <w:tcPr>
            <w:tcW w:w="3901" w:type="dxa"/>
            <w:gridSpan w:val="2"/>
            <w:tcBorders>
              <w:top w:val="nil"/>
              <w:left w:val="single" w:sz="4" w:space="0" w:color="000000"/>
              <w:bottom w:val="single" w:sz="4" w:space="0" w:color="000000"/>
              <w:right w:val="single" w:sz="4" w:space="0" w:color="000000"/>
            </w:tcBorders>
            <w:hideMark/>
          </w:tcPr>
          <w:p w14:paraId="096EC3A4" w14:textId="77777777" w:rsidR="00385FC8" w:rsidRDefault="00385FC8">
            <w:pPr>
              <w:pStyle w:val="TableParagraph"/>
              <w:spacing w:line="211" w:lineRule="exact"/>
              <w:ind w:left="108"/>
              <w:rPr>
                <w:sz w:val="19"/>
              </w:rPr>
            </w:pPr>
            <w:r>
              <w:rPr>
                <w:sz w:val="19"/>
              </w:rPr>
              <w:t>Not</w:t>
            </w:r>
            <w:r>
              <w:rPr>
                <w:spacing w:val="-2"/>
                <w:sz w:val="19"/>
              </w:rPr>
              <w:t xml:space="preserve"> </w:t>
            </w:r>
            <w:r>
              <w:rPr>
                <w:sz w:val="19"/>
              </w:rPr>
              <w:t>improved (%)</w:t>
            </w:r>
            <w:r>
              <w:rPr>
                <w:spacing w:val="-2"/>
                <w:sz w:val="19"/>
              </w:rPr>
              <w:t xml:space="preserve"> </w:t>
            </w:r>
            <w:r>
              <w:rPr>
                <w:sz w:val="19"/>
              </w:rPr>
              <w:t>[d]</w:t>
            </w:r>
          </w:p>
        </w:tc>
        <w:tc>
          <w:tcPr>
            <w:tcW w:w="1158" w:type="dxa"/>
            <w:tcBorders>
              <w:top w:val="nil"/>
              <w:left w:val="single" w:sz="4" w:space="0" w:color="000000"/>
              <w:bottom w:val="single" w:sz="4" w:space="0" w:color="000000"/>
              <w:right w:val="single" w:sz="4" w:space="0" w:color="000000"/>
            </w:tcBorders>
            <w:hideMark/>
          </w:tcPr>
          <w:p w14:paraId="79540D7E" w14:textId="77777777" w:rsidR="00385FC8" w:rsidRDefault="00385FC8">
            <w:pPr>
              <w:pStyle w:val="TableParagraph"/>
              <w:spacing w:line="211" w:lineRule="exact"/>
              <w:ind w:left="0" w:right="215"/>
              <w:rPr>
                <w:sz w:val="19"/>
              </w:rPr>
            </w:pPr>
            <w:r>
              <w:rPr>
                <w:sz w:val="19"/>
              </w:rPr>
              <w:t>53</w:t>
            </w:r>
            <w:r>
              <w:rPr>
                <w:spacing w:val="1"/>
                <w:sz w:val="19"/>
              </w:rPr>
              <w:t xml:space="preserve"> </w:t>
            </w:r>
            <w:r>
              <w:rPr>
                <w:sz w:val="19"/>
              </w:rPr>
              <w:t>(50.0)</w:t>
            </w:r>
          </w:p>
        </w:tc>
        <w:tc>
          <w:tcPr>
            <w:tcW w:w="1162" w:type="dxa"/>
            <w:tcBorders>
              <w:top w:val="nil"/>
              <w:left w:val="single" w:sz="4" w:space="0" w:color="000000"/>
              <w:bottom w:val="single" w:sz="4" w:space="0" w:color="000000"/>
              <w:right w:val="single" w:sz="4" w:space="0" w:color="000000"/>
            </w:tcBorders>
            <w:hideMark/>
          </w:tcPr>
          <w:p w14:paraId="28968D57" w14:textId="77777777" w:rsidR="00385FC8" w:rsidRDefault="00385FC8">
            <w:pPr>
              <w:pStyle w:val="TableParagraph"/>
              <w:spacing w:line="211" w:lineRule="exact"/>
              <w:ind w:left="230"/>
              <w:rPr>
                <w:sz w:val="19"/>
              </w:rPr>
            </w:pPr>
            <w:r>
              <w:rPr>
                <w:sz w:val="19"/>
              </w:rPr>
              <w:t>39</w:t>
            </w:r>
            <w:r>
              <w:rPr>
                <w:spacing w:val="1"/>
                <w:sz w:val="19"/>
              </w:rPr>
              <w:t xml:space="preserve"> </w:t>
            </w:r>
            <w:r>
              <w:rPr>
                <w:sz w:val="19"/>
              </w:rPr>
              <w:t>(18.6)</w:t>
            </w:r>
          </w:p>
        </w:tc>
        <w:tc>
          <w:tcPr>
            <w:tcW w:w="1158" w:type="dxa"/>
            <w:tcBorders>
              <w:top w:val="nil"/>
              <w:left w:val="single" w:sz="4" w:space="0" w:color="000000"/>
              <w:bottom w:val="single" w:sz="4" w:space="0" w:color="000000"/>
              <w:right w:val="single" w:sz="4" w:space="0" w:color="000000"/>
            </w:tcBorders>
            <w:hideMark/>
          </w:tcPr>
          <w:p w14:paraId="32B9121B" w14:textId="77777777" w:rsidR="00385FC8" w:rsidRDefault="00385FC8">
            <w:pPr>
              <w:pStyle w:val="TableParagraph"/>
              <w:spacing w:line="211" w:lineRule="exact"/>
              <w:ind w:left="0" w:right="215"/>
              <w:rPr>
                <w:sz w:val="19"/>
              </w:rPr>
            </w:pPr>
            <w:r>
              <w:rPr>
                <w:sz w:val="19"/>
              </w:rPr>
              <w:t>62</w:t>
            </w:r>
            <w:r>
              <w:rPr>
                <w:spacing w:val="1"/>
                <w:sz w:val="19"/>
              </w:rPr>
              <w:t xml:space="preserve"> </w:t>
            </w:r>
            <w:r>
              <w:rPr>
                <w:sz w:val="19"/>
              </w:rPr>
              <w:t>(28.7)</w:t>
            </w:r>
          </w:p>
        </w:tc>
      </w:tr>
      <w:tr w:rsidR="00385FC8" w14:paraId="7C9C3C2C" w14:textId="77777777" w:rsidTr="00385FC8">
        <w:trPr>
          <w:trHeight w:val="251"/>
        </w:trPr>
        <w:tc>
          <w:tcPr>
            <w:tcW w:w="1260" w:type="dxa"/>
            <w:tcBorders>
              <w:top w:val="nil"/>
              <w:left w:val="single" w:sz="4" w:space="0" w:color="000000"/>
              <w:bottom w:val="nil"/>
              <w:right w:val="single" w:sz="4" w:space="0" w:color="000000"/>
            </w:tcBorders>
          </w:tcPr>
          <w:p w14:paraId="5444F778" w14:textId="77777777" w:rsidR="00385FC8" w:rsidRDefault="00385FC8">
            <w:pPr>
              <w:pStyle w:val="TableParagraph"/>
              <w:spacing w:line="240" w:lineRule="auto"/>
              <w:ind w:left="0"/>
              <w:rPr>
                <w:sz w:val="18"/>
              </w:rPr>
            </w:pPr>
          </w:p>
        </w:tc>
        <w:tc>
          <w:tcPr>
            <w:tcW w:w="3901" w:type="dxa"/>
            <w:gridSpan w:val="2"/>
            <w:tcBorders>
              <w:top w:val="single" w:sz="4" w:space="0" w:color="000000"/>
              <w:left w:val="single" w:sz="4" w:space="0" w:color="000000"/>
              <w:bottom w:val="nil"/>
              <w:right w:val="single" w:sz="4" w:space="0" w:color="000000"/>
            </w:tcBorders>
            <w:hideMark/>
          </w:tcPr>
          <w:p w14:paraId="74D69DD8" w14:textId="77777777" w:rsidR="00385FC8" w:rsidRDefault="00385FC8">
            <w:pPr>
              <w:pStyle w:val="TableParagraph"/>
              <w:spacing w:line="231" w:lineRule="exact"/>
              <w:ind w:left="108"/>
              <w:rPr>
                <w:sz w:val="19"/>
              </w:rPr>
            </w:pPr>
            <w:r>
              <w:t>Lisdexamfetamine</w:t>
            </w:r>
            <w:r>
              <w:rPr>
                <w:spacing w:val="-10"/>
              </w:rPr>
              <w:t xml:space="preserve"> </w:t>
            </w:r>
            <w:r>
              <w:rPr>
                <w:sz w:val="19"/>
              </w:rPr>
              <w:t>vs</w:t>
            </w:r>
            <w:r>
              <w:rPr>
                <w:spacing w:val="-2"/>
                <w:sz w:val="19"/>
              </w:rPr>
              <w:t xml:space="preserve"> </w:t>
            </w:r>
            <w:r>
              <w:rPr>
                <w:sz w:val="19"/>
              </w:rPr>
              <w:t>OROS-MPH</w:t>
            </w:r>
            <w:r>
              <w:rPr>
                <w:spacing w:val="-3"/>
                <w:sz w:val="19"/>
              </w:rPr>
              <w:t xml:space="preserve"> </w:t>
            </w:r>
            <w:r>
              <w:rPr>
                <w:sz w:val="19"/>
              </w:rPr>
              <w:t>[e]</w:t>
            </w:r>
          </w:p>
        </w:tc>
        <w:tc>
          <w:tcPr>
            <w:tcW w:w="1158" w:type="dxa"/>
            <w:tcBorders>
              <w:top w:val="single" w:sz="4" w:space="0" w:color="000000"/>
              <w:left w:val="single" w:sz="4" w:space="0" w:color="000000"/>
              <w:bottom w:val="nil"/>
              <w:right w:val="single" w:sz="4" w:space="0" w:color="000000"/>
            </w:tcBorders>
            <w:hideMark/>
          </w:tcPr>
          <w:p w14:paraId="6872584F" w14:textId="77777777" w:rsidR="00385FC8" w:rsidRDefault="00385FC8">
            <w:pPr>
              <w:pStyle w:val="TableParagraph"/>
              <w:spacing w:before="8" w:line="240" w:lineRule="auto"/>
              <w:ind w:left="416" w:right="406"/>
              <w:rPr>
                <w:sz w:val="19"/>
              </w:rPr>
            </w:pPr>
            <w:r>
              <w:rPr>
                <w:sz w:val="19"/>
              </w:rPr>
              <w:t>NA</w:t>
            </w:r>
          </w:p>
        </w:tc>
        <w:tc>
          <w:tcPr>
            <w:tcW w:w="1162" w:type="dxa"/>
            <w:tcBorders>
              <w:top w:val="single" w:sz="4" w:space="0" w:color="000000"/>
              <w:left w:val="single" w:sz="4" w:space="0" w:color="000000"/>
              <w:bottom w:val="nil"/>
              <w:right w:val="single" w:sz="4" w:space="0" w:color="000000"/>
            </w:tcBorders>
            <w:hideMark/>
          </w:tcPr>
          <w:p w14:paraId="05B2BDD2" w14:textId="77777777" w:rsidR="00385FC8" w:rsidRDefault="00385FC8">
            <w:pPr>
              <w:pStyle w:val="TableParagraph"/>
              <w:spacing w:before="8" w:line="240" w:lineRule="auto"/>
              <w:ind w:left="317"/>
              <w:rPr>
                <w:sz w:val="19"/>
              </w:rPr>
            </w:pPr>
            <w:r>
              <w:rPr>
                <w:sz w:val="19"/>
              </w:rPr>
              <w:t>0.0188</w:t>
            </w:r>
          </w:p>
        </w:tc>
        <w:tc>
          <w:tcPr>
            <w:tcW w:w="1158" w:type="dxa"/>
            <w:tcBorders>
              <w:top w:val="single" w:sz="4" w:space="0" w:color="000000"/>
              <w:left w:val="single" w:sz="4" w:space="0" w:color="000000"/>
              <w:bottom w:val="nil"/>
              <w:right w:val="single" w:sz="4" w:space="0" w:color="000000"/>
            </w:tcBorders>
            <w:hideMark/>
          </w:tcPr>
          <w:p w14:paraId="3528E314" w14:textId="77777777" w:rsidR="00385FC8" w:rsidRDefault="00385FC8">
            <w:pPr>
              <w:pStyle w:val="TableParagraph"/>
              <w:spacing w:before="8" w:line="240" w:lineRule="auto"/>
              <w:ind w:left="416" w:right="406"/>
              <w:rPr>
                <w:sz w:val="19"/>
              </w:rPr>
            </w:pPr>
            <w:r>
              <w:rPr>
                <w:sz w:val="19"/>
              </w:rPr>
              <w:t>NA</w:t>
            </w:r>
          </w:p>
        </w:tc>
      </w:tr>
      <w:tr w:rsidR="00385FC8" w14:paraId="16A421CD" w14:textId="77777777" w:rsidTr="00385FC8">
        <w:trPr>
          <w:trHeight w:val="228"/>
        </w:trPr>
        <w:tc>
          <w:tcPr>
            <w:tcW w:w="1260" w:type="dxa"/>
            <w:tcBorders>
              <w:top w:val="nil"/>
              <w:left w:val="single" w:sz="4" w:space="0" w:color="000000"/>
              <w:bottom w:val="single" w:sz="4" w:space="0" w:color="000000"/>
              <w:right w:val="single" w:sz="4" w:space="0" w:color="000000"/>
            </w:tcBorders>
          </w:tcPr>
          <w:p w14:paraId="10BD4FE2" w14:textId="77777777" w:rsidR="00385FC8" w:rsidRDefault="00385FC8">
            <w:pPr>
              <w:pStyle w:val="TableParagraph"/>
              <w:spacing w:line="240" w:lineRule="auto"/>
              <w:ind w:left="0"/>
              <w:rPr>
                <w:sz w:val="16"/>
              </w:rPr>
            </w:pPr>
          </w:p>
        </w:tc>
        <w:tc>
          <w:tcPr>
            <w:tcW w:w="3901" w:type="dxa"/>
            <w:gridSpan w:val="2"/>
            <w:tcBorders>
              <w:top w:val="nil"/>
              <w:left w:val="single" w:sz="4" w:space="0" w:color="000000"/>
              <w:bottom w:val="single" w:sz="4" w:space="0" w:color="000000"/>
              <w:right w:val="single" w:sz="4" w:space="0" w:color="000000"/>
            </w:tcBorders>
            <w:hideMark/>
          </w:tcPr>
          <w:p w14:paraId="49AE5A28" w14:textId="77777777" w:rsidR="00385FC8" w:rsidRDefault="00385FC8">
            <w:pPr>
              <w:pStyle w:val="TableParagraph"/>
              <w:spacing w:line="209" w:lineRule="exact"/>
              <w:ind w:left="108"/>
              <w:rPr>
                <w:sz w:val="19"/>
                <w:lang w:val="en-GB"/>
              </w:rPr>
            </w:pPr>
            <w:r>
              <w:rPr>
                <w:sz w:val="19"/>
                <w:lang w:val="en-GB"/>
              </w:rPr>
              <w:t>Active</w:t>
            </w:r>
            <w:r>
              <w:rPr>
                <w:spacing w:val="-3"/>
                <w:sz w:val="19"/>
                <w:lang w:val="en-GB"/>
              </w:rPr>
              <w:t xml:space="preserve"> </w:t>
            </w:r>
            <w:r>
              <w:rPr>
                <w:sz w:val="19"/>
                <w:lang w:val="en-GB"/>
              </w:rPr>
              <w:t>treatment</w:t>
            </w:r>
            <w:r>
              <w:rPr>
                <w:spacing w:val="-4"/>
                <w:sz w:val="19"/>
                <w:lang w:val="en-GB"/>
              </w:rPr>
              <w:t xml:space="preserve"> </w:t>
            </w:r>
            <w:r>
              <w:rPr>
                <w:sz w:val="19"/>
                <w:lang w:val="en-GB"/>
              </w:rPr>
              <w:t>vs</w:t>
            </w:r>
            <w:r>
              <w:rPr>
                <w:spacing w:val="-3"/>
                <w:sz w:val="19"/>
                <w:lang w:val="en-GB"/>
              </w:rPr>
              <w:t xml:space="preserve"> </w:t>
            </w:r>
            <w:r>
              <w:rPr>
                <w:sz w:val="19"/>
                <w:lang w:val="en-GB"/>
              </w:rPr>
              <w:t>Placebo</w:t>
            </w:r>
            <w:r>
              <w:rPr>
                <w:spacing w:val="-2"/>
                <w:sz w:val="19"/>
                <w:lang w:val="en-GB"/>
              </w:rPr>
              <w:t xml:space="preserve"> </w:t>
            </w:r>
            <w:r>
              <w:rPr>
                <w:sz w:val="19"/>
                <w:lang w:val="en-GB"/>
              </w:rPr>
              <w:t>[e]</w:t>
            </w:r>
          </w:p>
        </w:tc>
        <w:tc>
          <w:tcPr>
            <w:tcW w:w="1158" w:type="dxa"/>
            <w:tcBorders>
              <w:top w:val="nil"/>
              <w:left w:val="single" w:sz="4" w:space="0" w:color="000000"/>
              <w:bottom w:val="single" w:sz="4" w:space="0" w:color="000000"/>
              <w:right w:val="single" w:sz="4" w:space="0" w:color="000000"/>
            </w:tcBorders>
            <w:hideMark/>
          </w:tcPr>
          <w:p w14:paraId="40C58E31" w14:textId="77777777" w:rsidR="00385FC8" w:rsidRDefault="00385FC8">
            <w:pPr>
              <w:pStyle w:val="TableParagraph"/>
              <w:spacing w:line="209" w:lineRule="exact"/>
              <w:ind w:left="416" w:right="406"/>
              <w:rPr>
                <w:sz w:val="19"/>
              </w:rPr>
            </w:pPr>
            <w:r>
              <w:rPr>
                <w:sz w:val="19"/>
              </w:rPr>
              <w:t>NA</w:t>
            </w:r>
          </w:p>
        </w:tc>
        <w:tc>
          <w:tcPr>
            <w:tcW w:w="1162" w:type="dxa"/>
            <w:tcBorders>
              <w:top w:val="nil"/>
              <w:left w:val="single" w:sz="4" w:space="0" w:color="000000"/>
              <w:bottom w:val="single" w:sz="4" w:space="0" w:color="000000"/>
              <w:right w:val="single" w:sz="4" w:space="0" w:color="000000"/>
            </w:tcBorders>
            <w:hideMark/>
          </w:tcPr>
          <w:p w14:paraId="75ECC996" w14:textId="77777777" w:rsidR="00385FC8" w:rsidRDefault="00385FC8">
            <w:pPr>
              <w:pStyle w:val="TableParagraph"/>
              <w:spacing w:line="209" w:lineRule="exact"/>
              <w:ind w:left="263"/>
              <w:rPr>
                <w:sz w:val="19"/>
              </w:rPr>
            </w:pPr>
            <w:r>
              <w:rPr>
                <w:sz w:val="19"/>
              </w:rPr>
              <w:t>&lt;0.0001</w:t>
            </w:r>
          </w:p>
        </w:tc>
        <w:tc>
          <w:tcPr>
            <w:tcW w:w="1158" w:type="dxa"/>
            <w:tcBorders>
              <w:top w:val="nil"/>
              <w:left w:val="single" w:sz="4" w:space="0" w:color="000000"/>
              <w:bottom w:val="single" w:sz="4" w:space="0" w:color="000000"/>
              <w:right w:val="single" w:sz="4" w:space="0" w:color="000000"/>
            </w:tcBorders>
            <w:hideMark/>
          </w:tcPr>
          <w:p w14:paraId="17FE6CE4" w14:textId="77777777" w:rsidR="00385FC8" w:rsidRDefault="00385FC8">
            <w:pPr>
              <w:pStyle w:val="TableParagraph"/>
              <w:spacing w:line="209" w:lineRule="exact"/>
              <w:ind w:left="314"/>
              <w:rPr>
                <w:sz w:val="19"/>
              </w:rPr>
            </w:pPr>
            <w:r>
              <w:rPr>
                <w:sz w:val="19"/>
              </w:rPr>
              <w:t>0.0002</w:t>
            </w:r>
          </w:p>
        </w:tc>
      </w:tr>
    </w:tbl>
    <w:p w14:paraId="31B16714" w14:textId="77777777" w:rsidR="00385FC8" w:rsidRDefault="00385FC8" w:rsidP="00385FC8">
      <w:pPr>
        <w:pStyle w:val="Listeafsnit"/>
        <w:numPr>
          <w:ilvl w:val="0"/>
          <w:numId w:val="6"/>
        </w:numPr>
        <w:tabs>
          <w:tab w:val="left" w:pos="442"/>
        </w:tabs>
        <w:spacing w:before="50" w:line="312" w:lineRule="auto"/>
        <w:ind w:right="389" w:firstLine="0"/>
        <w:rPr>
          <w:sz w:val="16"/>
          <w:lang w:val="en-GB"/>
        </w:rPr>
      </w:pPr>
      <w:r>
        <w:rPr>
          <w:sz w:val="16"/>
          <w:lang w:val="en-GB"/>
        </w:rPr>
        <w:t>From a mixed effects model for repeated measures (MMRM) that includes treatment group, nominal visit, interaction of the treatment</w:t>
      </w:r>
      <w:r>
        <w:rPr>
          <w:spacing w:val="1"/>
          <w:sz w:val="16"/>
          <w:lang w:val="en-GB"/>
        </w:rPr>
        <w:t xml:space="preserve"> </w:t>
      </w:r>
      <w:r>
        <w:rPr>
          <w:sz w:val="16"/>
          <w:lang w:val="en-GB"/>
        </w:rPr>
        <w:t>group</w:t>
      </w:r>
      <w:r>
        <w:rPr>
          <w:spacing w:val="1"/>
          <w:sz w:val="16"/>
          <w:lang w:val="en-GB"/>
        </w:rPr>
        <w:t xml:space="preserve"> </w:t>
      </w:r>
      <w:r>
        <w:rPr>
          <w:sz w:val="16"/>
          <w:lang w:val="en-GB"/>
        </w:rPr>
        <w:t>with</w:t>
      </w:r>
      <w:r>
        <w:rPr>
          <w:spacing w:val="2"/>
          <w:sz w:val="16"/>
          <w:lang w:val="en-GB"/>
        </w:rPr>
        <w:t xml:space="preserve"> </w:t>
      </w:r>
      <w:r>
        <w:rPr>
          <w:sz w:val="16"/>
          <w:lang w:val="en-GB"/>
        </w:rPr>
        <w:t>the</w:t>
      </w:r>
      <w:r>
        <w:rPr>
          <w:spacing w:val="-2"/>
          <w:sz w:val="16"/>
          <w:lang w:val="en-GB"/>
        </w:rPr>
        <w:t xml:space="preserve"> </w:t>
      </w:r>
      <w:r>
        <w:rPr>
          <w:sz w:val="16"/>
          <w:lang w:val="en-GB"/>
        </w:rPr>
        <w:t>visit</w:t>
      </w:r>
      <w:r>
        <w:rPr>
          <w:spacing w:val="1"/>
          <w:sz w:val="16"/>
          <w:lang w:val="en-GB"/>
        </w:rPr>
        <w:t xml:space="preserve"> </w:t>
      </w:r>
      <w:r>
        <w:rPr>
          <w:sz w:val="16"/>
          <w:lang w:val="en-GB"/>
        </w:rPr>
        <w:t>as</w:t>
      </w:r>
      <w:r>
        <w:rPr>
          <w:spacing w:val="-1"/>
          <w:sz w:val="16"/>
          <w:lang w:val="en-GB"/>
        </w:rPr>
        <w:t xml:space="preserve"> </w:t>
      </w:r>
      <w:r>
        <w:rPr>
          <w:sz w:val="16"/>
          <w:lang w:val="en-GB"/>
        </w:rPr>
        <w:t>factors,</w:t>
      </w:r>
      <w:r>
        <w:rPr>
          <w:spacing w:val="1"/>
          <w:sz w:val="16"/>
          <w:lang w:val="en-GB"/>
        </w:rPr>
        <w:t xml:space="preserve"> </w:t>
      </w:r>
      <w:r>
        <w:rPr>
          <w:sz w:val="16"/>
          <w:lang w:val="en-GB"/>
        </w:rPr>
        <w:t>baseline</w:t>
      </w:r>
      <w:r>
        <w:rPr>
          <w:spacing w:val="-1"/>
          <w:sz w:val="16"/>
          <w:lang w:val="en-GB"/>
        </w:rPr>
        <w:t xml:space="preserve"> </w:t>
      </w:r>
      <w:r>
        <w:rPr>
          <w:sz w:val="16"/>
          <w:lang w:val="en-GB"/>
        </w:rPr>
        <w:t>ADHD-RS-IV</w:t>
      </w:r>
      <w:r>
        <w:rPr>
          <w:spacing w:val="-1"/>
          <w:sz w:val="16"/>
          <w:lang w:val="en-GB"/>
        </w:rPr>
        <w:t xml:space="preserve"> </w:t>
      </w:r>
      <w:r>
        <w:rPr>
          <w:sz w:val="16"/>
          <w:lang w:val="en-GB"/>
        </w:rPr>
        <w:t>total</w:t>
      </w:r>
      <w:r>
        <w:rPr>
          <w:spacing w:val="-1"/>
          <w:sz w:val="16"/>
          <w:lang w:val="en-GB"/>
        </w:rPr>
        <w:t xml:space="preserve"> </w:t>
      </w:r>
      <w:r>
        <w:rPr>
          <w:sz w:val="16"/>
          <w:lang w:val="en-GB"/>
        </w:rPr>
        <w:t>score</w:t>
      </w:r>
      <w:r>
        <w:rPr>
          <w:spacing w:val="-2"/>
          <w:sz w:val="16"/>
          <w:lang w:val="en-GB"/>
        </w:rPr>
        <w:t xml:space="preserve"> </w:t>
      </w:r>
      <w:r>
        <w:rPr>
          <w:sz w:val="16"/>
          <w:lang w:val="en-GB"/>
        </w:rPr>
        <w:t>as a</w:t>
      </w:r>
      <w:r>
        <w:rPr>
          <w:spacing w:val="1"/>
          <w:sz w:val="16"/>
          <w:lang w:val="en-GB"/>
        </w:rPr>
        <w:t xml:space="preserve"> </w:t>
      </w:r>
      <w:r>
        <w:rPr>
          <w:sz w:val="16"/>
          <w:lang w:val="en-GB"/>
        </w:rPr>
        <w:t>covariate, and</w:t>
      </w:r>
      <w:r>
        <w:rPr>
          <w:spacing w:val="2"/>
          <w:sz w:val="16"/>
          <w:lang w:val="en-GB"/>
        </w:rPr>
        <w:t xml:space="preserve"> </w:t>
      </w:r>
      <w:r>
        <w:rPr>
          <w:sz w:val="16"/>
          <w:lang w:val="en-GB"/>
        </w:rPr>
        <w:t>an</w:t>
      </w:r>
      <w:r>
        <w:rPr>
          <w:spacing w:val="1"/>
          <w:sz w:val="16"/>
          <w:lang w:val="en-GB"/>
        </w:rPr>
        <w:t xml:space="preserve"> </w:t>
      </w:r>
      <w:r>
        <w:rPr>
          <w:sz w:val="16"/>
          <w:lang w:val="en-GB"/>
        </w:rPr>
        <w:t>adjustment</w:t>
      </w:r>
      <w:r>
        <w:rPr>
          <w:spacing w:val="1"/>
          <w:sz w:val="16"/>
          <w:lang w:val="en-GB"/>
        </w:rPr>
        <w:t xml:space="preserve"> </w:t>
      </w:r>
      <w:r>
        <w:rPr>
          <w:sz w:val="16"/>
          <w:lang w:val="en-GB"/>
        </w:rPr>
        <w:t>for the</w:t>
      </w:r>
      <w:r>
        <w:rPr>
          <w:spacing w:val="-2"/>
          <w:sz w:val="16"/>
          <w:lang w:val="en-GB"/>
        </w:rPr>
        <w:t xml:space="preserve"> </w:t>
      </w:r>
      <w:r>
        <w:rPr>
          <w:sz w:val="16"/>
          <w:lang w:val="en-GB"/>
        </w:rPr>
        <w:t>interaction</w:t>
      </w:r>
      <w:r>
        <w:rPr>
          <w:spacing w:val="2"/>
          <w:sz w:val="16"/>
          <w:lang w:val="en-GB"/>
        </w:rPr>
        <w:t xml:space="preserve"> </w:t>
      </w:r>
      <w:r>
        <w:rPr>
          <w:sz w:val="16"/>
          <w:lang w:val="en-GB"/>
        </w:rPr>
        <w:t>of</w:t>
      </w:r>
      <w:r>
        <w:rPr>
          <w:spacing w:val="-1"/>
          <w:sz w:val="16"/>
          <w:lang w:val="en-GB"/>
        </w:rPr>
        <w:t xml:space="preserve"> </w:t>
      </w:r>
      <w:r>
        <w:rPr>
          <w:sz w:val="16"/>
          <w:lang w:val="en-GB"/>
        </w:rPr>
        <w:t>the</w:t>
      </w:r>
      <w:r>
        <w:rPr>
          <w:spacing w:val="-1"/>
          <w:sz w:val="16"/>
          <w:lang w:val="en-GB"/>
        </w:rPr>
        <w:t xml:space="preserve"> </w:t>
      </w:r>
      <w:r>
        <w:rPr>
          <w:sz w:val="16"/>
          <w:lang w:val="en-GB"/>
        </w:rPr>
        <w:t>baseline</w:t>
      </w:r>
      <w:r>
        <w:rPr>
          <w:spacing w:val="1"/>
          <w:sz w:val="16"/>
          <w:lang w:val="en-GB"/>
        </w:rPr>
        <w:t xml:space="preserve"> </w:t>
      </w:r>
      <w:r>
        <w:rPr>
          <w:sz w:val="16"/>
          <w:lang w:val="en-GB"/>
        </w:rPr>
        <w:t>ADHD-RS-IV</w:t>
      </w:r>
      <w:r>
        <w:rPr>
          <w:spacing w:val="-1"/>
          <w:sz w:val="16"/>
          <w:lang w:val="en-GB"/>
        </w:rPr>
        <w:t xml:space="preserve"> </w:t>
      </w:r>
      <w:r>
        <w:rPr>
          <w:sz w:val="16"/>
          <w:lang w:val="en-GB"/>
        </w:rPr>
        <w:t>total</w:t>
      </w:r>
      <w:r>
        <w:rPr>
          <w:spacing w:val="-2"/>
          <w:sz w:val="16"/>
          <w:lang w:val="en-GB"/>
        </w:rPr>
        <w:t xml:space="preserve"> </w:t>
      </w:r>
      <w:r>
        <w:rPr>
          <w:sz w:val="16"/>
          <w:lang w:val="en-GB"/>
        </w:rPr>
        <w:t>score</w:t>
      </w:r>
      <w:r>
        <w:rPr>
          <w:spacing w:val="-2"/>
          <w:sz w:val="16"/>
          <w:lang w:val="en-GB"/>
        </w:rPr>
        <w:t xml:space="preserve"> </w:t>
      </w:r>
      <w:r>
        <w:rPr>
          <w:sz w:val="16"/>
          <w:lang w:val="en-GB"/>
        </w:rPr>
        <w:t>with</w:t>
      </w:r>
      <w:r>
        <w:rPr>
          <w:spacing w:val="1"/>
          <w:sz w:val="16"/>
          <w:lang w:val="en-GB"/>
        </w:rPr>
        <w:t xml:space="preserve"> </w:t>
      </w:r>
      <w:r>
        <w:rPr>
          <w:sz w:val="16"/>
          <w:lang w:val="en-GB"/>
        </w:rPr>
        <w:t>the</w:t>
      </w:r>
      <w:r>
        <w:rPr>
          <w:spacing w:val="-1"/>
          <w:sz w:val="16"/>
          <w:lang w:val="en-GB"/>
        </w:rPr>
        <w:t xml:space="preserve"> </w:t>
      </w:r>
      <w:r>
        <w:rPr>
          <w:sz w:val="16"/>
          <w:lang w:val="en-GB"/>
        </w:rPr>
        <w:t>visit. The</w:t>
      </w:r>
      <w:r>
        <w:rPr>
          <w:spacing w:val="-2"/>
          <w:sz w:val="16"/>
          <w:lang w:val="en-GB"/>
        </w:rPr>
        <w:t xml:space="preserve"> </w:t>
      </w:r>
      <w:r>
        <w:rPr>
          <w:sz w:val="16"/>
          <w:lang w:val="en-GB"/>
        </w:rPr>
        <w:t>model</w:t>
      </w:r>
      <w:r>
        <w:rPr>
          <w:spacing w:val="-2"/>
          <w:sz w:val="16"/>
          <w:lang w:val="en-GB"/>
        </w:rPr>
        <w:t xml:space="preserve"> </w:t>
      </w:r>
      <w:r>
        <w:rPr>
          <w:sz w:val="16"/>
          <w:lang w:val="en-GB"/>
        </w:rPr>
        <w:t>is based</w:t>
      </w:r>
      <w:r>
        <w:rPr>
          <w:spacing w:val="1"/>
          <w:sz w:val="16"/>
          <w:lang w:val="en-GB"/>
        </w:rPr>
        <w:t xml:space="preserve"> </w:t>
      </w:r>
      <w:r>
        <w:rPr>
          <w:sz w:val="16"/>
          <w:lang w:val="en-GB"/>
        </w:rPr>
        <w:t>on</w:t>
      </w:r>
      <w:r>
        <w:rPr>
          <w:spacing w:val="1"/>
          <w:sz w:val="16"/>
          <w:lang w:val="en-GB"/>
        </w:rPr>
        <w:t xml:space="preserve"> </w:t>
      </w:r>
      <w:r>
        <w:rPr>
          <w:sz w:val="16"/>
          <w:lang w:val="en-GB"/>
        </w:rPr>
        <w:t>a REML</w:t>
      </w:r>
      <w:r>
        <w:rPr>
          <w:spacing w:val="-4"/>
          <w:sz w:val="16"/>
          <w:lang w:val="en-GB"/>
        </w:rPr>
        <w:t xml:space="preserve"> </w:t>
      </w:r>
      <w:r>
        <w:rPr>
          <w:sz w:val="16"/>
          <w:lang w:val="en-GB"/>
        </w:rPr>
        <w:t>method</w:t>
      </w:r>
      <w:r>
        <w:rPr>
          <w:spacing w:val="1"/>
          <w:sz w:val="16"/>
          <w:lang w:val="en-GB"/>
        </w:rPr>
        <w:t xml:space="preserve"> </w:t>
      </w:r>
      <w:r>
        <w:rPr>
          <w:sz w:val="16"/>
          <w:lang w:val="en-GB"/>
        </w:rPr>
        <w:t>of</w:t>
      </w:r>
      <w:r>
        <w:rPr>
          <w:spacing w:val="-1"/>
          <w:sz w:val="16"/>
          <w:lang w:val="en-GB"/>
        </w:rPr>
        <w:t xml:space="preserve"> </w:t>
      </w:r>
      <w:r>
        <w:rPr>
          <w:sz w:val="16"/>
          <w:lang w:val="en-GB"/>
        </w:rPr>
        <w:t>estimation</w:t>
      </w:r>
      <w:r>
        <w:rPr>
          <w:spacing w:val="1"/>
          <w:sz w:val="16"/>
          <w:lang w:val="en-GB"/>
        </w:rPr>
        <w:t xml:space="preserve"> </w:t>
      </w:r>
      <w:r>
        <w:rPr>
          <w:sz w:val="16"/>
          <w:lang w:val="en-GB"/>
        </w:rPr>
        <w:t>and</w:t>
      </w:r>
      <w:r>
        <w:rPr>
          <w:spacing w:val="1"/>
          <w:sz w:val="16"/>
          <w:lang w:val="en-GB"/>
        </w:rPr>
        <w:t xml:space="preserve"> </w:t>
      </w:r>
      <w:r>
        <w:rPr>
          <w:sz w:val="16"/>
          <w:lang w:val="en-GB"/>
        </w:rPr>
        <w:t>utilizes an</w:t>
      </w:r>
      <w:r>
        <w:rPr>
          <w:spacing w:val="1"/>
          <w:sz w:val="16"/>
          <w:lang w:val="en-GB"/>
        </w:rPr>
        <w:t xml:space="preserve"> </w:t>
      </w:r>
      <w:r>
        <w:rPr>
          <w:sz w:val="16"/>
          <w:lang w:val="en-GB"/>
        </w:rPr>
        <w:t>unstructured</w:t>
      </w:r>
      <w:r>
        <w:rPr>
          <w:spacing w:val="1"/>
          <w:sz w:val="16"/>
          <w:lang w:val="en-GB"/>
        </w:rPr>
        <w:t xml:space="preserve"> </w:t>
      </w:r>
      <w:r>
        <w:rPr>
          <w:sz w:val="16"/>
          <w:lang w:val="en-GB"/>
        </w:rPr>
        <w:t>covariance</w:t>
      </w:r>
      <w:r>
        <w:rPr>
          <w:spacing w:val="-2"/>
          <w:sz w:val="16"/>
          <w:lang w:val="en-GB"/>
        </w:rPr>
        <w:t xml:space="preserve"> </w:t>
      </w:r>
      <w:r>
        <w:rPr>
          <w:sz w:val="16"/>
          <w:lang w:val="en-GB"/>
        </w:rPr>
        <w:t>type.</w:t>
      </w:r>
    </w:p>
    <w:p w14:paraId="7DCC272E" w14:textId="77777777" w:rsidR="00385FC8" w:rsidRDefault="00385FC8" w:rsidP="00385FC8">
      <w:pPr>
        <w:pStyle w:val="Listeafsnit"/>
        <w:numPr>
          <w:ilvl w:val="0"/>
          <w:numId w:val="6"/>
        </w:numPr>
        <w:tabs>
          <w:tab w:val="left" w:pos="451"/>
        </w:tabs>
        <w:spacing w:before="2"/>
        <w:ind w:left="450" w:hanging="233"/>
        <w:rPr>
          <w:sz w:val="16"/>
          <w:lang w:val="en-GB"/>
        </w:rPr>
      </w:pPr>
      <w:r>
        <w:rPr>
          <w:sz w:val="16"/>
          <w:lang w:val="en-GB"/>
        </w:rPr>
        <w:t>The</w:t>
      </w:r>
      <w:r>
        <w:rPr>
          <w:spacing w:val="-2"/>
          <w:sz w:val="16"/>
          <w:lang w:val="en-GB"/>
        </w:rPr>
        <w:t xml:space="preserve"> </w:t>
      </w:r>
      <w:r>
        <w:rPr>
          <w:sz w:val="16"/>
          <w:lang w:val="en-GB"/>
        </w:rPr>
        <w:t>effect</w:t>
      </w:r>
      <w:r>
        <w:rPr>
          <w:spacing w:val="1"/>
          <w:sz w:val="16"/>
          <w:lang w:val="en-GB"/>
        </w:rPr>
        <w:t xml:space="preserve"> </w:t>
      </w:r>
      <w:r>
        <w:rPr>
          <w:sz w:val="16"/>
          <w:lang w:val="en-GB"/>
        </w:rPr>
        <w:t>size</w:t>
      </w:r>
      <w:r>
        <w:rPr>
          <w:spacing w:val="-2"/>
          <w:sz w:val="16"/>
          <w:lang w:val="en-GB"/>
        </w:rPr>
        <w:t xml:space="preserve"> </w:t>
      </w:r>
      <w:r>
        <w:rPr>
          <w:sz w:val="16"/>
          <w:lang w:val="en-GB"/>
        </w:rPr>
        <w:t>is the</w:t>
      </w:r>
      <w:r>
        <w:rPr>
          <w:spacing w:val="-2"/>
          <w:sz w:val="16"/>
          <w:lang w:val="en-GB"/>
        </w:rPr>
        <w:t xml:space="preserve"> </w:t>
      </w:r>
      <w:r>
        <w:rPr>
          <w:sz w:val="16"/>
          <w:lang w:val="en-GB"/>
        </w:rPr>
        <w:t>difference</w:t>
      </w:r>
      <w:r>
        <w:rPr>
          <w:spacing w:val="-1"/>
          <w:sz w:val="16"/>
          <w:lang w:val="en-GB"/>
        </w:rPr>
        <w:t xml:space="preserve"> </w:t>
      </w:r>
      <w:r>
        <w:rPr>
          <w:sz w:val="16"/>
          <w:lang w:val="en-GB"/>
        </w:rPr>
        <w:t>in</w:t>
      </w:r>
      <w:r>
        <w:rPr>
          <w:spacing w:val="1"/>
          <w:sz w:val="16"/>
          <w:lang w:val="en-GB"/>
        </w:rPr>
        <w:t xml:space="preserve"> </w:t>
      </w:r>
      <w:r>
        <w:rPr>
          <w:sz w:val="16"/>
          <w:lang w:val="en-GB"/>
        </w:rPr>
        <w:t>LS mean</w:t>
      </w:r>
      <w:r>
        <w:rPr>
          <w:spacing w:val="1"/>
          <w:sz w:val="16"/>
          <w:lang w:val="en-GB"/>
        </w:rPr>
        <w:t xml:space="preserve"> </w:t>
      </w:r>
      <w:r>
        <w:rPr>
          <w:sz w:val="16"/>
          <w:lang w:val="en-GB"/>
        </w:rPr>
        <w:t>divided</w:t>
      </w:r>
      <w:r>
        <w:rPr>
          <w:spacing w:val="2"/>
          <w:sz w:val="16"/>
          <w:lang w:val="en-GB"/>
        </w:rPr>
        <w:t xml:space="preserve"> </w:t>
      </w:r>
      <w:r>
        <w:rPr>
          <w:sz w:val="16"/>
          <w:lang w:val="en-GB"/>
        </w:rPr>
        <w:t>by</w:t>
      </w:r>
      <w:r>
        <w:rPr>
          <w:spacing w:val="-3"/>
          <w:sz w:val="16"/>
          <w:lang w:val="en-GB"/>
        </w:rPr>
        <w:t xml:space="preserve"> </w:t>
      </w:r>
      <w:r>
        <w:rPr>
          <w:sz w:val="16"/>
          <w:lang w:val="en-GB"/>
        </w:rPr>
        <w:t>the</w:t>
      </w:r>
      <w:r>
        <w:rPr>
          <w:spacing w:val="-2"/>
          <w:sz w:val="16"/>
          <w:lang w:val="en-GB"/>
        </w:rPr>
        <w:t xml:space="preserve"> </w:t>
      </w:r>
      <w:r>
        <w:rPr>
          <w:sz w:val="16"/>
          <w:lang w:val="en-GB"/>
        </w:rPr>
        <w:t>estimated</w:t>
      </w:r>
      <w:r>
        <w:rPr>
          <w:spacing w:val="2"/>
          <w:sz w:val="16"/>
          <w:lang w:val="en-GB"/>
        </w:rPr>
        <w:t xml:space="preserve"> </w:t>
      </w:r>
      <w:r>
        <w:rPr>
          <w:sz w:val="16"/>
          <w:lang w:val="en-GB"/>
        </w:rPr>
        <w:t>standard</w:t>
      </w:r>
      <w:r>
        <w:rPr>
          <w:spacing w:val="1"/>
          <w:sz w:val="16"/>
          <w:lang w:val="en-GB"/>
        </w:rPr>
        <w:t xml:space="preserve"> </w:t>
      </w:r>
      <w:r>
        <w:rPr>
          <w:sz w:val="16"/>
          <w:lang w:val="en-GB"/>
        </w:rPr>
        <w:t>deviation</w:t>
      </w:r>
      <w:r>
        <w:rPr>
          <w:spacing w:val="2"/>
          <w:sz w:val="16"/>
          <w:lang w:val="en-GB"/>
        </w:rPr>
        <w:t xml:space="preserve"> </w:t>
      </w:r>
      <w:r>
        <w:rPr>
          <w:sz w:val="16"/>
          <w:lang w:val="en-GB"/>
        </w:rPr>
        <w:t>from the</w:t>
      </w:r>
      <w:r>
        <w:rPr>
          <w:spacing w:val="-1"/>
          <w:sz w:val="16"/>
          <w:lang w:val="en-GB"/>
        </w:rPr>
        <w:t xml:space="preserve"> </w:t>
      </w:r>
      <w:r>
        <w:rPr>
          <w:sz w:val="16"/>
          <w:lang w:val="en-GB"/>
        </w:rPr>
        <w:t>unstructured</w:t>
      </w:r>
      <w:r>
        <w:rPr>
          <w:spacing w:val="1"/>
          <w:sz w:val="16"/>
          <w:lang w:val="en-GB"/>
        </w:rPr>
        <w:t xml:space="preserve"> </w:t>
      </w:r>
      <w:r>
        <w:rPr>
          <w:sz w:val="16"/>
          <w:lang w:val="en-GB"/>
        </w:rPr>
        <w:t>covariance</w:t>
      </w:r>
      <w:r>
        <w:rPr>
          <w:spacing w:val="-1"/>
          <w:sz w:val="16"/>
          <w:lang w:val="en-GB"/>
        </w:rPr>
        <w:t xml:space="preserve"> </w:t>
      </w:r>
      <w:r>
        <w:rPr>
          <w:sz w:val="16"/>
          <w:lang w:val="en-GB"/>
        </w:rPr>
        <w:t>matrix.</w:t>
      </w:r>
    </w:p>
    <w:p w14:paraId="1C080367" w14:textId="77777777" w:rsidR="00385FC8" w:rsidRDefault="00385FC8" w:rsidP="00385FC8">
      <w:pPr>
        <w:pStyle w:val="Listeafsnit"/>
        <w:numPr>
          <w:ilvl w:val="0"/>
          <w:numId w:val="6"/>
        </w:numPr>
        <w:tabs>
          <w:tab w:val="left" w:pos="442"/>
        </w:tabs>
        <w:spacing w:before="15"/>
        <w:ind w:left="441"/>
        <w:rPr>
          <w:sz w:val="16"/>
          <w:lang w:val="en-GB"/>
        </w:rPr>
      </w:pPr>
      <w:r>
        <w:rPr>
          <w:sz w:val="16"/>
          <w:lang w:val="en-GB"/>
        </w:rPr>
        <w:t>The</w:t>
      </w:r>
      <w:r>
        <w:rPr>
          <w:spacing w:val="-3"/>
          <w:sz w:val="16"/>
          <w:lang w:val="en-GB"/>
        </w:rPr>
        <w:t xml:space="preserve"> </w:t>
      </w:r>
      <w:r>
        <w:rPr>
          <w:sz w:val="16"/>
          <w:lang w:val="en-GB"/>
        </w:rPr>
        <w:t>'Improved'</w:t>
      </w:r>
      <w:r>
        <w:rPr>
          <w:spacing w:val="-2"/>
          <w:sz w:val="16"/>
          <w:lang w:val="en-GB"/>
        </w:rPr>
        <w:t xml:space="preserve"> </w:t>
      </w:r>
      <w:r>
        <w:rPr>
          <w:sz w:val="16"/>
          <w:lang w:val="en-GB"/>
        </w:rPr>
        <w:t>category</w:t>
      </w:r>
      <w:r>
        <w:rPr>
          <w:spacing w:val="-5"/>
          <w:sz w:val="16"/>
          <w:lang w:val="en-GB"/>
        </w:rPr>
        <w:t xml:space="preserve"> </w:t>
      </w:r>
      <w:r>
        <w:rPr>
          <w:sz w:val="16"/>
          <w:lang w:val="en-GB"/>
        </w:rPr>
        <w:t>includes</w:t>
      </w:r>
      <w:r>
        <w:rPr>
          <w:spacing w:val="-2"/>
          <w:sz w:val="16"/>
          <w:lang w:val="en-GB"/>
        </w:rPr>
        <w:t xml:space="preserve"> </w:t>
      </w:r>
      <w:r>
        <w:rPr>
          <w:sz w:val="16"/>
          <w:lang w:val="en-GB"/>
        </w:rPr>
        <w:t>responses</w:t>
      </w:r>
      <w:r>
        <w:rPr>
          <w:spacing w:val="-2"/>
          <w:sz w:val="16"/>
          <w:lang w:val="en-GB"/>
        </w:rPr>
        <w:t xml:space="preserve"> </w:t>
      </w:r>
      <w:r>
        <w:rPr>
          <w:sz w:val="16"/>
          <w:lang w:val="en-GB"/>
        </w:rPr>
        <w:t>of</w:t>
      </w:r>
      <w:r>
        <w:rPr>
          <w:spacing w:val="-2"/>
          <w:sz w:val="16"/>
          <w:lang w:val="en-GB"/>
        </w:rPr>
        <w:t xml:space="preserve"> </w:t>
      </w:r>
      <w:r>
        <w:rPr>
          <w:sz w:val="16"/>
          <w:lang w:val="en-GB"/>
        </w:rPr>
        <w:t>'Very</w:t>
      </w:r>
      <w:r>
        <w:rPr>
          <w:spacing w:val="-4"/>
          <w:sz w:val="16"/>
          <w:lang w:val="en-GB"/>
        </w:rPr>
        <w:t xml:space="preserve"> </w:t>
      </w:r>
      <w:r>
        <w:rPr>
          <w:sz w:val="16"/>
          <w:lang w:val="en-GB"/>
        </w:rPr>
        <w:t>much improved'</w:t>
      </w:r>
      <w:r>
        <w:rPr>
          <w:spacing w:val="-2"/>
          <w:sz w:val="16"/>
          <w:lang w:val="en-GB"/>
        </w:rPr>
        <w:t xml:space="preserve"> </w:t>
      </w:r>
      <w:r>
        <w:rPr>
          <w:sz w:val="16"/>
          <w:lang w:val="en-GB"/>
        </w:rPr>
        <w:t>and 'Much improved'.</w:t>
      </w:r>
    </w:p>
    <w:p w14:paraId="7A774B46" w14:textId="77777777" w:rsidR="00385FC8" w:rsidRDefault="00385FC8" w:rsidP="00385FC8">
      <w:pPr>
        <w:pStyle w:val="Listeafsnit"/>
        <w:numPr>
          <w:ilvl w:val="0"/>
          <w:numId w:val="6"/>
        </w:numPr>
        <w:tabs>
          <w:tab w:val="left" w:pos="451"/>
        </w:tabs>
        <w:spacing w:before="6" w:line="244" w:lineRule="auto"/>
        <w:ind w:right="382" w:firstLine="0"/>
        <w:rPr>
          <w:sz w:val="16"/>
          <w:lang w:val="en-GB"/>
        </w:rPr>
      </w:pPr>
      <w:r>
        <w:rPr>
          <w:sz w:val="16"/>
          <w:lang w:val="en-GB"/>
        </w:rPr>
        <w:t>The 'Not improved' category includes responses of 'Minimally improved', 'No change', 'Minimally worse', 'Much worse' and 'Very much</w:t>
      </w:r>
      <w:r>
        <w:rPr>
          <w:spacing w:val="-37"/>
          <w:sz w:val="16"/>
          <w:lang w:val="en-GB"/>
        </w:rPr>
        <w:t xml:space="preserve"> </w:t>
      </w:r>
      <w:r>
        <w:rPr>
          <w:sz w:val="16"/>
          <w:lang w:val="en-GB"/>
        </w:rPr>
        <w:t>worse'.</w:t>
      </w:r>
    </w:p>
    <w:p w14:paraId="4D8FB9DC" w14:textId="77777777" w:rsidR="00385FC8" w:rsidRDefault="00385FC8" w:rsidP="00385FC8">
      <w:pPr>
        <w:pStyle w:val="Listeafsnit"/>
        <w:numPr>
          <w:ilvl w:val="0"/>
          <w:numId w:val="6"/>
        </w:numPr>
        <w:tabs>
          <w:tab w:val="left" w:pos="439"/>
        </w:tabs>
        <w:ind w:left="438" w:hanging="221"/>
        <w:rPr>
          <w:sz w:val="16"/>
          <w:lang w:val="en-GB"/>
        </w:rPr>
      </w:pPr>
      <w:r>
        <w:rPr>
          <w:sz w:val="16"/>
          <w:lang w:val="en-GB"/>
        </w:rPr>
        <w:t>From</w:t>
      </w:r>
      <w:r>
        <w:rPr>
          <w:spacing w:val="-1"/>
          <w:sz w:val="16"/>
          <w:lang w:val="en-GB"/>
        </w:rPr>
        <w:t xml:space="preserve"> </w:t>
      </w:r>
      <w:r>
        <w:rPr>
          <w:sz w:val="16"/>
          <w:lang w:val="en-GB"/>
        </w:rPr>
        <w:t>a</w:t>
      </w:r>
      <w:r>
        <w:rPr>
          <w:spacing w:val="-1"/>
          <w:sz w:val="16"/>
          <w:lang w:val="en-GB"/>
        </w:rPr>
        <w:t xml:space="preserve"> </w:t>
      </w:r>
      <w:r>
        <w:rPr>
          <w:sz w:val="16"/>
          <w:lang w:val="en-GB"/>
        </w:rPr>
        <w:t>CMH</w:t>
      </w:r>
      <w:r>
        <w:rPr>
          <w:spacing w:val="-1"/>
          <w:sz w:val="16"/>
          <w:lang w:val="en-GB"/>
        </w:rPr>
        <w:t xml:space="preserve"> </w:t>
      </w:r>
      <w:r>
        <w:rPr>
          <w:sz w:val="16"/>
          <w:lang w:val="en-GB"/>
        </w:rPr>
        <w:t>test</w:t>
      </w:r>
      <w:r>
        <w:rPr>
          <w:spacing w:val="-1"/>
          <w:sz w:val="16"/>
          <w:lang w:val="en-GB"/>
        </w:rPr>
        <w:t xml:space="preserve"> </w:t>
      </w:r>
      <w:r>
        <w:rPr>
          <w:sz w:val="16"/>
          <w:lang w:val="en-GB"/>
        </w:rPr>
        <w:t>stratified by</w:t>
      </w:r>
      <w:r>
        <w:rPr>
          <w:spacing w:val="-4"/>
          <w:sz w:val="16"/>
          <w:lang w:val="en-GB"/>
        </w:rPr>
        <w:t xml:space="preserve"> </w:t>
      </w:r>
      <w:r>
        <w:rPr>
          <w:sz w:val="16"/>
          <w:lang w:val="en-GB"/>
        </w:rPr>
        <w:t>baseline</w:t>
      </w:r>
      <w:r>
        <w:rPr>
          <w:spacing w:val="-3"/>
          <w:sz w:val="16"/>
          <w:lang w:val="en-GB"/>
        </w:rPr>
        <w:t xml:space="preserve"> </w:t>
      </w:r>
      <w:r>
        <w:rPr>
          <w:sz w:val="16"/>
          <w:lang w:val="en-GB"/>
        </w:rPr>
        <w:t>CGI-S.</w:t>
      </w:r>
    </w:p>
    <w:p w14:paraId="1DDA0976" w14:textId="77777777" w:rsidR="00385FC8" w:rsidRDefault="00385FC8" w:rsidP="00385FC8">
      <w:pPr>
        <w:spacing w:before="6"/>
        <w:ind w:left="218"/>
        <w:rPr>
          <w:sz w:val="16"/>
          <w:lang w:val="en-US"/>
        </w:rPr>
      </w:pPr>
      <w:r w:rsidRPr="00385FC8">
        <w:rPr>
          <w:sz w:val="16"/>
          <w:lang w:val="en-US"/>
        </w:rPr>
        <w:t>Note:</w:t>
      </w:r>
      <w:r w:rsidRPr="00385FC8">
        <w:rPr>
          <w:spacing w:val="-2"/>
          <w:sz w:val="16"/>
          <w:lang w:val="en-US"/>
        </w:rPr>
        <w:t xml:space="preserve"> </w:t>
      </w:r>
      <w:r w:rsidRPr="00385FC8">
        <w:rPr>
          <w:sz w:val="16"/>
          <w:lang w:val="en-US"/>
        </w:rPr>
        <w:t>N</w:t>
      </w:r>
      <w:r w:rsidRPr="00385FC8">
        <w:rPr>
          <w:spacing w:val="-1"/>
          <w:sz w:val="16"/>
          <w:lang w:val="en-US"/>
        </w:rPr>
        <w:t xml:space="preserve"> </w:t>
      </w:r>
      <w:r w:rsidRPr="00385FC8">
        <w:rPr>
          <w:sz w:val="16"/>
          <w:lang w:val="en-US"/>
        </w:rPr>
        <w:t>=</w:t>
      </w:r>
      <w:r w:rsidRPr="00385FC8">
        <w:rPr>
          <w:spacing w:val="1"/>
          <w:sz w:val="16"/>
          <w:lang w:val="en-US"/>
        </w:rPr>
        <w:t xml:space="preserve"> </w:t>
      </w:r>
      <w:r w:rsidRPr="00385FC8">
        <w:rPr>
          <w:sz w:val="16"/>
          <w:lang w:val="en-US"/>
        </w:rPr>
        <w:t>number</w:t>
      </w:r>
      <w:r w:rsidRPr="00385FC8">
        <w:rPr>
          <w:spacing w:val="-1"/>
          <w:sz w:val="16"/>
          <w:lang w:val="en-US"/>
        </w:rPr>
        <w:t xml:space="preserve"> </w:t>
      </w:r>
      <w:r w:rsidRPr="00385FC8">
        <w:rPr>
          <w:sz w:val="16"/>
          <w:lang w:val="en-US"/>
        </w:rPr>
        <w:t>of subjects</w:t>
      </w:r>
      <w:r w:rsidRPr="00385FC8">
        <w:rPr>
          <w:spacing w:val="-1"/>
          <w:sz w:val="16"/>
          <w:lang w:val="en-US"/>
        </w:rPr>
        <w:t xml:space="preserve"> </w:t>
      </w:r>
      <w:r w:rsidRPr="00385FC8">
        <w:rPr>
          <w:sz w:val="16"/>
          <w:lang w:val="en-US"/>
        </w:rPr>
        <w:t>in</w:t>
      </w:r>
      <w:r w:rsidRPr="00385FC8">
        <w:rPr>
          <w:spacing w:val="2"/>
          <w:sz w:val="16"/>
          <w:lang w:val="en-US"/>
        </w:rPr>
        <w:t xml:space="preserve"> </w:t>
      </w:r>
      <w:r w:rsidRPr="00385FC8">
        <w:rPr>
          <w:sz w:val="16"/>
          <w:lang w:val="en-US"/>
        </w:rPr>
        <w:t>each</w:t>
      </w:r>
      <w:r w:rsidRPr="00385FC8">
        <w:rPr>
          <w:spacing w:val="1"/>
          <w:sz w:val="16"/>
          <w:lang w:val="en-US"/>
        </w:rPr>
        <w:t xml:space="preserve"> </w:t>
      </w:r>
      <w:r w:rsidRPr="00385FC8">
        <w:rPr>
          <w:sz w:val="16"/>
          <w:lang w:val="en-US"/>
        </w:rPr>
        <w:t>treatment group,</w:t>
      </w:r>
      <w:r w:rsidRPr="00385FC8">
        <w:rPr>
          <w:spacing w:val="1"/>
          <w:sz w:val="16"/>
          <w:lang w:val="en-US"/>
        </w:rPr>
        <w:t xml:space="preserve"> </w:t>
      </w:r>
      <w:r w:rsidRPr="00385FC8">
        <w:rPr>
          <w:sz w:val="16"/>
          <w:lang w:val="en-US"/>
        </w:rPr>
        <w:t>n</w:t>
      </w:r>
      <w:r w:rsidRPr="00385FC8">
        <w:rPr>
          <w:spacing w:val="1"/>
          <w:sz w:val="16"/>
          <w:lang w:val="en-US"/>
        </w:rPr>
        <w:t xml:space="preserve"> </w:t>
      </w:r>
      <w:r w:rsidRPr="00385FC8">
        <w:rPr>
          <w:sz w:val="16"/>
          <w:lang w:val="en-US"/>
        </w:rPr>
        <w:t>=</w:t>
      </w:r>
      <w:r w:rsidRPr="00385FC8">
        <w:rPr>
          <w:spacing w:val="1"/>
          <w:sz w:val="16"/>
          <w:lang w:val="en-US"/>
        </w:rPr>
        <w:t xml:space="preserve"> </w:t>
      </w:r>
      <w:r w:rsidRPr="00385FC8">
        <w:rPr>
          <w:sz w:val="16"/>
          <w:lang w:val="en-US"/>
        </w:rPr>
        <w:t>number</w:t>
      </w:r>
      <w:r w:rsidRPr="00385FC8">
        <w:rPr>
          <w:spacing w:val="-1"/>
          <w:sz w:val="16"/>
          <w:lang w:val="en-US"/>
        </w:rPr>
        <w:t xml:space="preserve"> </w:t>
      </w:r>
      <w:r w:rsidRPr="00385FC8">
        <w:rPr>
          <w:sz w:val="16"/>
          <w:lang w:val="en-US"/>
        </w:rPr>
        <w:t>of subjects</w:t>
      </w:r>
      <w:r w:rsidRPr="00385FC8">
        <w:rPr>
          <w:spacing w:val="-1"/>
          <w:sz w:val="16"/>
          <w:lang w:val="en-US"/>
        </w:rPr>
        <w:t xml:space="preserve"> </w:t>
      </w:r>
      <w:r w:rsidRPr="00385FC8">
        <w:rPr>
          <w:sz w:val="16"/>
          <w:lang w:val="en-US"/>
        </w:rPr>
        <w:t>analysed.</w:t>
      </w:r>
    </w:p>
    <w:p w14:paraId="50A9B3DB" w14:textId="77777777" w:rsidR="00385FC8" w:rsidRPr="00385FC8" w:rsidRDefault="00385FC8" w:rsidP="00385FC8">
      <w:pPr>
        <w:pStyle w:val="Default"/>
        <w:ind w:left="851"/>
        <w:rPr>
          <w:b/>
          <w:color w:val="auto"/>
          <w:lang w:val="en-GB"/>
        </w:rPr>
      </w:pPr>
    </w:p>
    <w:p w14:paraId="1965B70C" w14:textId="77777777" w:rsidR="00385FC8" w:rsidRPr="00385FC8" w:rsidRDefault="00385FC8" w:rsidP="00385FC8">
      <w:pPr>
        <w:pStyle w:val="Default"/>
        <w:ind w:left="851"/>
        <w:rPr>
          <w:color w:val="auto"/>
          <w:lang w:val="en-GB"/>
        </w:rPr>
      </w:pPr>
      <w:r w:rsidRPr="00385FC8">
        <w:rPr>
          <w:color w:val="auto"/>
          <w:lang w:val="en-GB"/>
        </w:rPr>
        <w:t>A 2-year open label safety study conducted in children and adolescents (ages 6-17) with ADHD enrolled 314 patients. Of these, 191 patients completed the study.</w:t>
      </w:r>
    </w:p>
    <w:p w14:paraId="6E2BFCB5" w14:textId="77777777" w:rsidR="00385FC8" w:rsidRPr="00385FC8" w:rsidRDefault="00385FC8" w:rsidP="00385FC8">
      <w:pPr>
        <w:pStyle w:val="Default"/>
        <w:ind w:left="851"/>
        <w:rPr>
          <w:color w:val="auto"/>
          <w:lang w:val="en-GB"/>
        </w:rPr>
      </w:pPr>
    </w:p>
    <w:p w14:paraId="288A922F" w14:textId="77777777" w:rsidR="00385FC8" w:rsidRPr="00385FC8" w:rsidRDefault="00385FC8" w:rsidP="00385FC8">
      <w:pPr>
        <w:pStyle w:val="Default"/>
        <w:ind w:left="851"/>
        <w:rPr>
          <w:color w:val="auto"/>
          <w:lang w:val="en-GB"/>
        </w:rPr>
      </w:pPr>
      <w:r w:rsidRPr="00385FC8">
        <w:rPr>
          <w:color w:val="auto"/>
          <w:lang w:val="en-GB"/>
        </w:rPr>
        <w:t xml:space="preserve">In addition, maintenance of effect was demonstrated in a double-blind, placebo-controlled, randomised withdrawal study conducted in children and adolescents ages 6 to 17 (n=157) who met the </w:t>
      </w:r>
      <w:r w:rsidRPr="00385FC8">
        <w:rPr>
          <w:color w:val="auto"/>
        </w:rPr>
        <w:t xml:space="preserve">diagnosis of ADHD (DSM-IV criteria). </w:t>
      </w:r>
      <w:r w:rsidRPr="00385FC8">
        <w:rPr>
          <w:color w:val="auto"/>
          <w:lang w:val="en-GB"/>
        </w:rPr>
        <w:t>Patients were optimised to open-label lisdexamfetamine for an extended period (at least 26 weeks) prior to entry into the 6-week randomised withdrawal period. Eligible patients were randomised to continue receiving their optimised dose of lisdexamfetamine or to switch to placebo. Patients were observed for relapse (treatment failure) during the 6-week double-blind phase. Treatment failure was defined as a ≥50% increase (worsening) in the ADHD-RS Total Score and a ≥2-point increase in the CGI-S score compared to scores at entry into the double-blind randomised withdrawal phase. Treatment failure was significantly lower (p&lt;0.001) for the lisdexamfetamine subjects (15.8%) compared to placebo (67.5%). For the majority of subjects (70.3%) who were treatment failures regardless of treatment, ADHD symptoms worsened at or before the week 2 visit following randomisation.</w:t>
      </w:r>
    </w:p>
    <w:p w14:paraId="6716D43D" w14:textId="77777777" w:rsidR="00385FC8" w:rsidRPr="00385FC8" w:rsidRDefault="00385FC8" w:rsidP="00385FC8">
      <w:pPr>
        <w:pStyle w:val="Default"/>
        <w:ind w:left="851"/>
        <w:rPr>
          <w:color w:val="auto"/>
          <w:lang w:val="en-GB"/>
        </w:rPr>
      </w:pPr>
    </w:p>
    <w:p w14:paraId="71D906B8" w14:textId="77777777" w:rsidR="00385FC8" w:rsidRPr="00385FC8" w:rsidRDefault="00385FC8" w:rsidP="00385FC8">
      <w:pPr>
        <w:pStyle w:val="Default"/>
        <w:ind w:left="851"/>
        <w:rPr>
          <w:color w:val="auto"/>
          <w:lang w:val="en-GB"/>
        </w:rPr>
      </w:pPr>
      <w:r w:rsidRPr="00385FC8">
        <w:rPr>
          <w:color w:val="auto"/>
          <w:lang w:val="en-GB"/>
        </w:rPr>
        <w:t>A fixed-dose safety and efficacy study was conducted in preschool children aged 4 to 5 years with ADHD. Subjects were randomized in a 5:5:5:5:6 ratio to lisdexamfetamine dimesylate (5, 10, 20, 30 mg dose strength) or placebo (see also section 5.2). The duration of the double-blind evaluation period was 6 weeks. In this study, the most commonly reported TEAEs for subjects receiving lisdexamfetamine dimesylate  were decreased appetite (13.7% of subjects), irritability (9.6% of subjects), and affect lability and cough (4.8% subjects each). In a 52-week open-label study, the most common TEAE was decreased appetite (15.9%) (see section 4.8).</w:t>
      </w:r>
    </w:p>
    <w:p w14:paraId="2DE3A387" w14:textId="77777777" w:rsidR="00385FC8" w:rsidRPr="00385FC8" w:rsidRDefault="00385FC8" w:rsidP="00385FC8">
      <w:pPr>
        <w:pStyle w:val="Default"/>
        <w:ind w:left="851"/>
        <w:rPr>
          <w:color w:val="auto"/>
          <w:lang w:val="en-GB"/>
        </w:rPr>
      </w:pPr>
    </w:p>
    <w:p w14:paraId="11052E10" w14:textId="77777777" w:rsidR="00385FC8" w:rsidRPr="00385FC8" w:rsidRDefault="00385FC8" w:rsidP="00385FC8">
      <w:pPr>
        <w:pStyle w:val="Default"/>
        <w:ind w:left="851"/>
        <w:rPr>
          <w:i/>
          <w:color w:val="auto"/>
          <w:lang w:val="en-GB"/>
        </w:rPr>
      </w:pPr>
      <w:r w:rsidRPr="00385FC8">
        <w:rPr>
          <w:i/>
          <w:color w:val="auto"/>
          <w:lang w:val="en-GB"/>
        </w:rPr>
        <w:t>Adult population</w:t>
      </w:r>
    </w:p>
    <w:p w14:paraId="32285AD6" w14:textId="77777777" w:rsidR="00385FC8" w:rsidRPr="00385FC8" w:rsidRDefault="00385FC8" w:rsidP="00385FC8">
      <w:pPr>
        <w:pStyle w:val="Default"/>
        <w:ind w:left="851"/>
        <w:rPr>
          <w:color w:val="auto"/>
          <w:lang w:val="en-GB"/>
        </w:rPr>
      </w:pPr>
      <w:r w:rsidRPr="00385FC8">
        <w:rPr>
          <w:color w:val="auto"/>
          <w:lang w:val="en-GB"/>
        </w:rPr>
        <w:t xml:space="preserve">The effectiveness of lisdexamfetamine in the treatment of ADHD was established in a double-blind, randomised, placebo-controlled, parallel-group study conducted in 420 adult patients aged 18 to 55 years who met DSM-IV criteria for ADHD. Significant improvements in ADHD symptoms, based upon investigator ratings on the ADHD-RS with adult prompts total score, were observed for all lisdexamfetamine doses compared to placebo. Treatment with lisdexamfetamine significantly reduced the degree of functional impairment as measured by improvement on the CGI-I rating scale compared to placebo. </w:t>
      </w:r>
    </w:p>
    <w:p w14:paraId="51319650" w14:textId="77777777" w:rsidR="00385FC8" w:rsidRPr="00385FC8" w:rsidRDefault="00385FC8" w:rsidP="00385FC8">
      <w:pPr>
        <w:pStyle w:val="Default"/>
        <w:ind w:left="851"/>
        <w:rPr>
          <w:color w:val="auto"/>
          <w:lang w:val="en-GB"/>
        </w:rPr>
      </w:pPr>
    </w:p>
    <w:p w14:paraId="76605B58" w14:textId="77777777" w:rsidR="00385FC8" w:rsidRPr="00385FC8" w:rsidRDefault="00385FC8" w:rsidP="00385FC8">
      <w:pPr>
        <w:pStyle w:val="Default"/>
        <w:ind w:left="851"/>
        <w:rPr>
          <w:color w:val="auto"/>
          <w:lang w:val="en-GB"/>
        </w:rPr>
      </w:pPr>
      <w:r w:rsidRPr="00385FC8">
        <w:rPr>
          <w:color w:val="auto"/>
          <w:lang w:val="en-GB"/>
        </w:rPr>
        <w:t>In addition, maintenance of effect was demonstrated in a double-blind, placebo-controlled, randomised withdrawal design study that enrolled adults (n=123) who met DSM-IV criteria for ADHD and who, at study entry, had been treated with lisdexamfetamine for a minimum of 6 months. A significantly lower proportion of patients treated with lisdexamfetamine met relapse criteria (8.9%) compared to patients receiving placebo (75.0%) in the double-blind randomised withdrawal phase. Relapse was defined as a ≥50% increase from randomisation in ADHD-RS-IV Total Score and a ≥ 2 point increase in CGI-S score relative to the CGI-S score at randomisation.</w:t>
      </w:r>
    </w:p>
    <w:p w14:paraId="699D2877" w14:textId="77777777" w:rsidR="00385FC8" w:rsidRPr="00385FC8" w:rsidRDefault="00385FC8" w:rsidP="00385FC8">
      <w:pPr>
        <w:pStyle w:val="Default"/>
        <w:ind w:left="851"/>
        <w:rPr>
          <w:color w:val="auto"/>
          <w:lang w:val="en-GB"/>
        </w:rPr>
      </w:pPr>
    </w:p>
    <w:p w14:paraId="4D2653D7" w14:textId="77777777" w:rsidR="00385FC8" w:rsidRPr="00385FC8" w:rsidRDefault="00385FC8" w:rsidP="00385FC8">
      <w:pPr>
        <w:pStyle w:val="Default"/>
        <w:ind w:left="851"/>
        <w:rPr>
          <w:i/>
          <w:color w:val="auto"/>
          <w:lang w:val="en-GB"/>
        </w:rPr>
      </w:pPr>
      <w:r w:rsidRPr="00385FC8">
        <w:rPr>
          <w:i/>
          <w:color w:val="auto"/>
          <w:lang w:val="en-GB"/>
        </w:rPr>
        <w:t>Abuse liability studies</w:t>
      </w:r>
    </w:p>
    <w:p w14:paraId="798AEA05" w14:textId="77777777" w:rsidR="00385FC8" w:rsidRPr="00385FC8" w:rsidRDefault="00385FC8" w:rsidP="00385FC8">
      <w:pPr>
        <w:pStyle w:val="Default"/>
        <w:ind w:left="851"/>
        <w:rPr>
          <w:color w:val="auto"/>
          <w:lang w:val="en-GB"/>
        </w:rPr>
      </w:pPr>
      <w:r w:rsidRPr="00385FC8">
        <w:rPr>
          <w:color w:val="auto"/>
          <w:lang w:val="en-GB"/>
        </w:rPr>
        <w:t>In a human abuse liability study, when equivalent oral doses of 100 mg lisdexamfetamine dimesylate and 40 mg immediate-release dexamfetamine sulphate were administered to individuals with a history of drug abuse, lisdexamfetamine dimesylate 100 mg produced subjective responses on a scale of “Drug Liking Effects” (primary endpoint) that were significantly less than dexamfetamine immediate-release 40 mg. However, oral administration of 150 mg lisdexamfetamine dimesylate produced increases in positive subjective responses on this scale that were comparable to the positive subjective responses produced by 40 mg of oral immediate-release dexamfetamine and 200 mg of diethylpropion.</w:t>
      </w:r>
    </w:p>
    <w:p w14:paraId="6140ACD0" w14:textId="77777777" w:rsidR="00385FC8" w:rsidRPr="00385FC8" w:rsidRDefault="00385FC8" w:rsidP="00385FC8">
      <w:pPr>
        <w:pStyle w:val="Default"/>
        <w:ind w:left="851"/>
        <w:rPr>
          <w:color w:val="auto"/>
          <w:lang w:val="en-GB"/>
        </w:rPr>
      </w:pPr>
    </w:p>
    <w:p w14:paraId="09329017" w14:textId="77777777" w:rsidR="00385FC8" w:rsidRPr="00385FC8" w:rsidRDefault="00385FC8" w:rsidP="00385FC8">
      <w:pPr>
        <w:pStyle w:val="Default"/>
        <w:ind w:left="851"/>
        <w:rPr>
          <w:color w:val="auto"/>
          <w:lang w:val="en-GB"/>
        </w:rPr>
      </w:pPr>
      <w:r w:rsidRPr="00385FC8">
        <w:rPr>
          <w:color w:val="auto"/>
          <w:lang w:val="en-GB"/>
        </w:rPr>
        <w:t xml:space="preserve">Intravenous administration of 50 mg </w:t>
      </w:r>
      <w:bookmarkStart w:id="12" w:name="_Hlk96530047"/>
      <w:r w:rsidRPr="00385FC8">
        <w:rPr>
          <w:color w:val="auto"/>
          <w:lang w:val="en-GB"/>
        </w:rPr>
        <w:t xml:space="preserve">lisdexamfetamine dimesylate </w:t>
      </w:r>
      <w:bookmarkEnd w:id="12"/>
      <w:r w:rsidRPr="00385FC8">
        <w:rPr>
          <w:color w:val="auto"/>
          <w:lang w:val="en-GB"/>
        </w:rPr>
        <w:t>to individuals with a history of drug abuse produced positive subjective responses on scales measuring “Drug Liking”, “Euphoria”, “Amfetamine Effects”, and "Benzedrine Effects" that were greater than placebo but less than those produced by an equivalent dose (20 mg) of intravenous dexamfetamine.</w:t>
      </w:r>
    </w:p>
    <w:p w14:paraId="66CCE553" w14:textId="77777777" w:rsidR="007C5D2A" w:rsidRPr="00385FC8" w:rsidRDefault="007C5D2A" w:rsidP="00385FC8">
      <w:pPr>
        <w:tabs>
          <w:tab w:val="left" w:pos="851"/>
        </w:tabs>
        <w:ind w:left="851"/>
        <w:rPr>
          <w:sz w:val="24"/>
          <w:szCs w:val="24"/>
          <w:lang w:val="en-GB"/>
        </w:rPr>
      </w:pPr>
    </w:p>
    <w:p w14:paraId="5D8686F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0E2CD36B" w14:textId="77777777" w:rsidR="00D663DA" w:rsidRPr="00D663DA" w:rsidRDefault="00D663DA" w:rsidP="00D663DA">
      <w:pPr>
        <w:tabs>
          <w:tab w:val="left" w:pos="851"/>
        </w:tabs>
        <w:ind w:left="851"/>
        <w:rPr>
          <w:sz w:val="24"/>
          <w:szCs w:val="24"/>
          <w:u w:val="single"/>
          <w:lang w:val="en-GB"/>
        </w:rPr>
      </w:pPr>
    </w:p>
    <w:p w14:paraId="5C8554DC" w14:textId="086382C6" w:rsidR="00D663DA" w:rsidRPr="00D663DA" w:rsidRDefault="00D663DA" w:rsidP="00D663DA">
      <w:pPr>
        <w:tabs>
          <w:tab w:val="left" w:pos="851"/>
        </w:tabs>
        <w:ind w:left="851"/>
        <w:rPr>
          <w:sz w:val="24"/>
          <w:szCs w:val="24"/>
          <w:lang w:val="en-GB"/>
        </w:rPr>
      </w:pPr>
      <w:r w:rsidRPr="00D663DA">
        <w:rPr>
          <w:sz w:val="24"/>
          <w:szCs w:val="24"/>
          <w:u w:val="single"/>
          <w:lang w:val="en-GB"/>
        </w:rPr>
        <w:t>Absorption</w:t>
      </w:r>
    </w:p>
    <w:p w14:paraId="02155B3C" w14:textId="77777777" w:rsidR="00D663DA" w:rsidRPr="00D663DA" w:rsidRDefault="00D663DA" w:rsidP="00D663DA">
      <w:pPr>
        <w:tabs>
          <w:tab w:val="left" w:pos="851"/>
        </w:tabs>
        <w:ind w:left="851"/>
        <w:rPr>
          <w:sz w:val="24"/>
          <w:szCs w:val="24"/>
          <w:lang w:val="en-GB"/>
        </w:rPr>
      </w:pPr>
      <w:r w:rsidRPr="00D663DA">
        <w:rPr>
          <w:sz w:val="24"/>
          <w:szCs w:val="24"/>
          <w:lang w:val="en-GB"/>
        </w:rPr>
        <w:t>After oral administration, lisdexamfetamine is rapidly absorbed from the gastrointestinal tract of healthy adults and children (6 to 12 years) with ADHD, thought to be mediated by the high capacity PEPT1 transporter.</w:t>
      </w:r>
    </w:p>
    <w:p w14:paraId="0859C213" w14:textId="77777777" w:rsidR="00D663DA" w:rsidRPr="00D663DA" w:rsidRDefault="00D663DA" w:rsidP="00D663DA">
      <w:pPr>
        <w:tabs>
          <w:tab w:val="left" w:pos="851"/>
        </w:tabs>
        <w:ind w:left="851"/>
        <w:rPr>
          <w:sz w:val="24"/>
          <w:szCs w:val="24"/>
          <w:lang w:val="en-GB"/>
        </w:rPr>
      </w:pPr>
    </w:p>
    <w:p w14:paraId="76770BFF" w14:textId="77777777" w:rsidR="00D663DA" w:rsidRPr="00D663DA" w:rsidRDefault="00D663DA" w:rsidP="00D663DA">
      <w:pPr>
        <w:tabs>
          <w:tab w:val="left" w:pos="851"/>
        </w:tabs>
        <w:ind w:left="851"/>
        <w:rPr>
          <w:sz w:val="24"/>
          <w:szCs w:val="24"/>
          <w:lang w:val="en-GB"/>
        </w:rPr>
      </w:pPr>
      <w:r w:rsidRPr="00D663DA">
        <w:rPr>
          <w:sz w:val="24"/>
          <w:szCs w:val="24"/>
          <w:lang w:val="en-GB"/>
        </w:rPr>
        <w:t>Food does not affect the observed AUC and C</w:t>
      </w:r>
      <w:r w:rsidRPr="00D663DA">
        <w:rPr>
          <w:sz w:val="24"/>
          <w:szCs w:val="24"/>
          <w:vertAlign w:val="subscript"/>
          <w:lang w:val="en-GB"/>
        </w:rPr>
        <w:t>max</w:t>
      </w:r>
      <w:r w:rsidRPr="00D663DA">
        <w:rPr>
          <w:sz w:val="24"/>
          <w:szCs w:val="24"/>
          <w:lang w:val="en-GB"/>
        </w:rPr>
        <w:t xml:space="preserve"> of dexamfetamine in healthy adults after single-dose oral administration of 70 mg lisdexamfetamine dimesylate but prolongs T</w:t>
      </w:r>
      <w:r w:rsidRPr="00D663DA">
        <w:rPr>
          <w:sz w:val="24"/>
          <w:szCs w:val="24"/>
          <w:vertAlign w:val="subscript"/>
          <w:lang w:val="en-GB"/>
        </w:rPr>
        <w:t>max</w:t>
      </w:r>
      <w:r w:rsidRPr="00D663DA">
        <w:rPr>
          <w:sz w:val="24"/>
          <w:szCs w:val="24"/>
          <w:lang w:val="en-GB"/>
        </w:rPr>
        <w:t xml:space="preserve"> by approximately 1 hour (from 3.8 hours at fasted state to 4.7 hours after a high fat meal). After an 8-hour fast, the AUCs for dexamfetamine following oral administration of lisdexamfetamine dimesylate in solution and as intact capsules were equivalent.</w:t>
      </w:r>
    </w:p>
    <w:p w14:paraId="50143634" w14:textId="77777777" w:rsidR="00D663DA" w:rsidRPr="00D663DA" w:rsidRDefault="00D663DA" w:rsidP="00D663DA">
      <w:pPr>
        <w:tabs>
          <w:tab w:val="left" w:pos="851"/>
        </w:tabs>
        <w:ind w:left="851"/>
        <w:rPr>
          <w:sz w:val="24"/>
          <w:szCs w:val="24"/>
          <w:lang w:val="en-GB"/>
        </w:rPr>
      </w:pPr>
    </w:p>
    <w:p w14:paraId="32704E45" w14:textId="77777777" w:rsidR="00D663DA" w:rsidRPr="00D663DA" w:rsidRDefault="00D663DA" w:rsidP="00D663DA">
      <w:pPr>
        <w:tabs>
          <w:tab w:val="left" w:pos="851"/>
        </w:tabs>
        <w:ind w:left="851"/>
        <w:rPr>
          <w:sz w:val="24"/>
          <w:szCs w:val="24"/>
          <w:u w:val="single"/>
          <w:lang w:val="en-GB"/>
        </w:rPr>
      </w:pPr>
      <w:r w:rsidRPr="00D663DA">
        <w:rPr>
          <w:sz w:val="24"/>
          <w:szCs w:val="24"/>
          <w:u w:val="single"/>
          <w:lang w:val="en-GB"/>
        </w:rPr>
        <w:t>Distribution</w:t>
      </w:r>
    </w:p>
    <w:p w14:paraId="19777DB1" w14:textId="77777777" w:rsidR="00D663DA" w:rsidRPr="00D663DA" w:rsidRDefault="00D663DA" w:rsidP="00D663DA">
      <w:pPr>
        <w:tabs>
          <w:tab w:val="left" w:pos="851"/>
        </w:tabs>
        <w:ind w:left="851"/>
        <w:rPr>
          <w:sz w:val="24"/>
          <w:szCs w:val="24"/>
          <w:lang w:val="en-GB"/>
        </w:rPr>
      </w:pPr>
      <w:r w:rsidRPr="00D663DA">
        <w:rPr>
          <w:sz w:val="24"/>
          <w:szCs w:val="24"/>
          <w:lang w:val="en-GB"/>
        </w:rPr>
        <w:t>In 18 children (6 to 12 years) with ADHD, the T</w:t>
      </w:r>
      <w:r w:rsidRPr="00D663DA">
        <w:rPr>
          <w:sz w:val="24"/>
          <w:szCs w:val="24"/>
          <w:vertAlign w:val="subscript"/>
          <w:lang w:val="en-GB"/>
        </w:rPr>
        <w:t>max</w:t>
      </w:r>
      <w:r w:rsidRPr="00D663DA">
        <w:rPr>
          <w:sz w:val="24"/>
          <w:szCs w:val="24"/>
          <w:lang w:val="en-GB"/>
        </w:rPr>
        <w:t xml:space="preserve"> of dexamfetamine was approximately 3.5 hours following single-dose oral administration of lisdexamfetamine dimesylate either 30 mg, 50 mg, or 70 mg administered after an 8-hour overnight fast. The T</w:t>
      </w:r>
      <w:r w:rsidRPr="00D663DA">
        <w:rPr>
          <w:sz w:val="24"/>
          <w:szCs w:val="24"/>
          <w:vertAlign w:val="subscript"/>
          <w:lang w:val="en-GB"/>
        </w:rPr>
        <w:t>max</w:t>
      </w:r>
      <w:r w:rsidRPr="00D663DA">
        <w:rPr>
          <w:sz w:val="24"/>
          <w:szCs w:val="24"/>
          <w:lang w:val="en-GB"/>
        </w:rPr>
        <w:t xml:space="preserve"> of lisdexamfetamine was approximately 1 hour. Linear pharmacokinetics of dexamfetamine after single-dose oral administration of lisdexamfetamine dimesylate was established over the dose range of 30 mg to 70 mg in children aged 6 to 12 years. </w:t>
      </w:r>
    </w:p>
    <w:p w14:paraId="181DB3DD" w14:textId="77777777" w:rsidR="00D663DA" w:rsidRPr="00D663DA" w:rsidRDefault="00D663DA" w:rsidP="00D663DA">
      <w:pPr>
        <w:tabs>
          <w:tab w:val="left" w:pos="851"/>
        </w:tabs>
        <w:ind w:left="851"/>
        <w:rPr>
          <w:sz w:val="24"/>
          <w:szCs w:val="24"/>
          <w:lang w:val="en-GB"/>
        </w:rPr>
      </w:pPr>
    </w:p>
    <w:p w14:paraId="4689E07A" w14:textId="77777777" w:rsidR="00D663DA" w:rsidRPr="00D663DA" w:rsidRDefault="00D663DA" w:rsidP="00D663DA">
      <w:pPr>
        <w:tabs>
          <w:tab w:val="left" w:pos="851"/>
        </w:tabs>
        <w:ind w:left="851"/>
        <w:rPr>
          <w:sz w:val="24"/>
          <w:szCs w:val="24"/>
          <w:lang w:val="en-GB"/>
        </w:rPr>
      </w:pPr>
      <w:r w:rsidRPr="00D663DA">
        <w:rPr>
          <w:sz w:val="24"/>
          <w:szCs w:val="24"/>
          <w:lang w:val="en-GB"/>
        </w:rPr>
        <w:t>Weight/dose normalised AUC and C</w:t>
      </w:r>
      <w:r w:rsidRPr="00D663DA">
        <w:rPr>
          <w:sz w:val="24"/>
          <w:szCs w:val="24"/>
          <w:vertAlign w:val="subscript"/>
          <w:lang w:val="en-GB"/>
        </w:rPr>
        <w:t>max</w:t>
      </w:r>
      <w:r w:rsidRPr="00D663DA">
        <w:rPr>
          <w:sz w:val="24"/>
          <w:szCs w:val="24"/>
          <w:lang w:val="en-GB"/>
        </w:rPr>
        <w:t xml:space="preserve"> of dexamfetamine were 22% and 12% lower, respectively, in adult females than in males on day 7 following a 70 mg/day dose of lisdexamfetamine dimesylate for 7 days. Weight/dose normalised AUC and C</w:t>
      </w:r>
      <w:r w:rsidRPr="00D663DA">
        <w:rPr>
          <w:sz w:val="24"/>
          <w:szCs w:val="24"/>
          <w:vertAlign w:val="subscript"/>
          <w:lang w:val="en-GB"/>
        </w:rPr>
        <w:t>max</w:t>
      </w:r>
      <w:r w:rsidRPr="00D663DA">
        <w:rPr>
          <w:sz w:val="24"/>
          <w:szCs w:val="24"/>
          <w:lang w:val="en-GB"/>
        </w:rPr>
        <w:t xml:space="preserve"> values were the same in girls and boys following single doses of 30-70 mg.</w:t>
      </w:r>
    </w:p>
    <w:p w14:paraId="32759531" w14:textId="77777777" w:rsidR="00D663DA" w:rsidRPr="00D663DA" w:rsidRDefault="00D663DA" w:rsidP="00D663DA">
      <w:pPr>
        <w:tabs>
          <w:tab w:val="left" w:pos="851"/>
        </w:tabs>
        <w:ind w:left="851"/>
        <w:rPr>
          <w:sz w:val="24"/>
          <w:szCs w:val="24"/>
          <w:lang w:val="en-GB"/>
        </w:rPr>
      </w:pPr>
    </w:p>
    <w:p w14:paraId="63E94FB7" w14:textId="77777777" w:rsidR="00D663DA" w:rsidRPr="00D663DA" w:rsidRDefault="00D663DA" w:rsidP="00D663DA">
      <w:pPr>
        <w:tabs>
          <w:tab w:val="left" w:pos="851"/>
        </w:tabs>
        <w:ind w:left="851"/>
        <w:rPr>
          <w:sz w:val="24"/>
          <w:szCs w:val="24"/>
          <w:lang w:val="en-GB"/>
        </w:rPr>
      </w:pPr>
      <w:r w:rsidRPr="00D663DA">
        <w:rPr>
          <w:sz w:val="24"/>
          <w:szCs w:val="24"/>
          <w:lang w:val="en-GB"/>
        </w:rPr>
        <w:t>There is no accumulation of dexamfetamine at steady state in healthy adults and no accumulation of lisdexamfetamine after once-daily dosing for 7 consecutive days.</w:t>
      </w:r>
    </w:p>
    <w:p w14:paraId="08A4144C" w14:textId="77777777" w:rsidR="00D663DA" w:rsidRPr="00D663DA" w:rsidRDefault="00D663DA" w:rsidP="00D663DA">
      <w:pPr>
        <w:tabs>
          <w:tab w:val="left" w:pos="851"/>
        </w:tabs>
        <w:ind w:left="851"/>
        <w:rPr>
          <w:sz w:val="24"/>
          <w:szCs w:val="24"/>
          <w:lang w:val="en-GB"/>
        </w:rPr>
      </w:pPr>
    </w:p>
    <w:p w14:paraId="19AB61E8" w14:textId="77777777" w:rsidR="00D663DA" w:rsidRPr="00D663DA" w:rsidRDefault="00D663DA" w:rsidP="00D663DA">
      <w:pPr>
        <w:tabs>
          <w:tab w:val="left" w:pos="851"/>
        </w:tabs>
        <w:ind w:left="851"/>
        <w:rPr>
          <w:sz w:val="24"/>
          <w:szCs w:val="24"/>
          <w:u w:val="single"/>
          <w:lang w:val="en-GB"/>
        </w:rPr>
      </w:pPr>
      <w:r w:rsidRPr="00D663DA">
        <w:rPr>
          <w:sz w:val="24"/>
          <w:szCs w:val="24"/>
          <w:u w:val="single"/>
          <w:lang w:val="en-GB"/>
        </w:rPr>
        <w:t>Biotransformation</w:t>
      </w:r>
    </w:p>
    <w:p w14:paraId="160FF333" w14:textId="77777777" w:rsidR="00D663DA" w:rsidRPr="00D663DA" w:rsidRDefault="00D663DA" w:rsidP="00D663DA">
      <w:pPr>
        <w:tabs>
          <w:tab w:val="left" w:pos="851"/>
        </w:tabs>
        <w:ind w:left="851"/>
        <w:rPr>
          <w:sz w:val="24"/>
          <w:szCs w:val="24"/>
          <w:lang w:val="en-GB"/>
        </w:rPr>
      </w:pPr>
      <w:r w:rsidRPr="00D663DA">
        <w:rPr>
          <w:sz w:val="24"/>
          <w:szCs w:val="24"/>
          <w:lang w:val="en-GB"/>
        </w:rPr>
        <w:t>Lisdexamfetamine is converted to dexamfetamine and l-lysine, which occurs by metabolism in blood primarily due to the hydrolytic activity of red blood cells. Red blood cells have a high capacity for metabolism of lisdexamfetamine as in vitro data demonstrated substantial hydrolysis occurs even at low hematocrit levels. Lisdexamfetamine is not metabolised by cytochrome P450 enzymes.</w:t>
      </w:r>
    </w:p>
    <w:p w14:paraId="7CF1B57A" w14:textId="77777777" w:rsidR="00D663DA" w:rsidRPr="00D663DA" w:rsidRDefault="00D663DA" w:rsidP="00D663DA">
      <w:pPr>
        <w:tabs>
          <w:tab w:val="left" w:pos="851"/>
        </w:tabs>
        <w:ind w:left="851"/>
        <w:rPr>
          <w:sz w:val="24"/>
          <w:szCs w:val="24"/>
          <w:lang w:val="en-GB"/>
        </w:rPr>
      </w:pPr>
    </w:p>
    <w:p w14:paraId="5FCC143C" w14:textId="77777777" w:rsidR="00D663DA" w:rsidRPr="00D663DA" w:rsidRDefault="00D663DA" w:rsidP="00D663DA">
      <w:pPr>
        <w:tabs>
          <w:tab w:val="left" w:pos="851"/>
        </w:tabs>
        <w:ind w:left="851"/>
        <w:rPr>
          <w:sz w:val="24"/>
          <w:szCs w:val="24"/>
          <w:lang w:val="en-GB"/>
        </w:rPr>
      </w:pPr>
      <w:r w:rsidRPr="00D663DA">
        <w:rPr>
          <w:sz w:val="24"/>
          <w:szCs w:val="24"/>
          <w:lang w:val="en-GB"/>
        </w:rPr>
        <w:t>Amfetamine is oxidised at the 4 position of the benzene ring to form 4-hydroxyamfetamine, or on the side chain α or β carbons to form alpha-hydroxy-amfetamine or norephedrine, respectively. Norephedrine and 4-hydroxy-amfetamine are both active and each is subsequently oxidised to form 4-hydroxy-norephedrine. Alpha-hydroxy-amfetamine undergoes deamination to form phenylacetone, which ultimately forms benzoic acid and its glucuronide and the glycine conjugate hippuric acid. Although the enzymes involved in amfetamine metabolism have not been clearly defined, CYP2D6 is known to be involved with formation of 4-hydroxy-amfetamine.</w:t>
      </w:r>
    </w:p>
    <w:p w14:paraId="33313902" w14:textId="77777777" w:rsidR="00D663DA" w:rsidRPr="00D663DA" w:rsidRDefault="00D663DA" w:rsidP="00D663DA">
      <w:pPr>
        <w:tabs>
          <w:tab w:val="left" w:pos="851"/>
        </w:tabs>
        <w:ind w:left="851"/>
        <w:rPr>
          <w:sz w:val="24"/>
          <w:szCs w:val="24"/>
          <w:lang w:val="en-GB"/>
        </w:rPr>
      </w:pPr>
    </w:p>
    <w:p w14:paraId="0264DB32" w14:textId="77777777" w:rsidR="00D663DA" w:rsidRPr="00D663DA" w:rsidRDefault="00D663DA" w:rsidP="00D663DA">
      <w:pPr>
        <w:tabs>
          <w:tab w:val="left" w:pos="851"/>
        </w:tabs>
        <w:ind w:left="851"/>
        <w:rPr>
          <w:sz w:val="24"/>
          <w:szCs w:val="24"/>
          <w:u w:val="single"/>
          <w:lang w:val="en-GB"/>
        </w:rPr>
      </w:pPr>
      <w:r w:rsidRPr="00D663DA">
        <w:rPr>
          <w:sz w:val="24"/>
          <w:szCs w:val="24"/>
          <w:u w:val="single"/>
          <w:lang w:val="en-GB"/>
        </w:rPr>
        <w:t>Elimination</w:t>
      </w:r>
    </w:p>
    <w:p w14:paraId="2BEDED46" w14:textId="77777777" w:rsidR="00D663DA" w:rsidRPr="00D663DA" w:rsidRDefault="00D663DA" w:rsidP="00D663DA">
      <w:pPr>
        <w:tabs>
          <w:tab w:val="left" w:pos="851"/>
        </w:tabs>
        <w:ind w:left="851"/>
        <w:rPr>
          <w:sz w:val="24"/>
          <w:szCs w:val="24"/>
          <w:lang w:val="en-GB"/>
        </w:rPr>
      </w:pPr>
      <w:r w:rsidRPr="00D663DA">
        <w:rPr>
          <w:sz w:val="24"/>
          <w:szCs w:val="24"/>
          <w:lang w:val="en-GB"/>
        </w:rPr>
        <w:t>Following the oral administration of a 70 mg dose of radiolabelled lisdexamfetamine dimesylate to 6 healthy subjects, approximately 96% of the oral dose radioactivity was recovered in the urine and only 0.3% recovered in the faeces over a period of 120 hours. Of the radioactivity recovered in the urine 42% of the dose was related to amfetamine, 25% to hippuric acid, and 2% intact lisdexamfetamine. Plasma concentrations of unconverted lisdexamfetamine are low and transient, generally becoming non-quantifiable by 8 hours after administration. The plasma elimination half-life of lisdexamfetamine typically averaged less than one hour in studies of lisdexamfetamine dimesylate in volunteers. The half-life of dexamfetamine is 11 hours.</w:t>
      </w:r>
    </w:p>
    <w:p w14:paraId="61B4537F" w14:textId="77777777" w:rsidR="00D663DA" w:rsidRPr="00D663DA" w:rsidRDefault="00D663DA" w:rsidP="00D663DA">
      <w:pPr>
        <w:tabs>
          <w:tab w:val="left" w:pos="851"/>
        </w:tabs>
        <w:ind w:left="851"/>
        <w:rPr>
          <w:sz w:val="24"/>
          <w:szCs w:val="24"/>
          <w:lang w:val="en-GB"/>
        </w:rPr>
      </w:pPr>
    </w:p>
    <w:p w14:paraId="5DF40A66" w14:textId="77777777" w:rsidR="00D663DA" w:rsidRPr="00D663DA" w:rsidRDefault="00D663DA" w:rsidP="00D663DA">
      <w:pPr>
        <w:tabs>
          <w:tab w:val="left" w:pos="851"/>
        </w:tabs>
        <w:ind w:left="851"/>
        <w:rPr>
          <w:sz w:val="24"/>
          <w:szCs w:val="24"/>
          <w:u w:val="single"/>
          <w:lang w:val="en-GB"/>
        </w:rPr>
      </w:pPr>
      <w:r w:rsidRPr="00D663DA">
        <w:rPr>
          <w:sz w:val="24"/>
          <w:szCs w:val="24"/>
          <w:u w:val="single"/>
          <w:lang w:val="en-GB"/>
        </w:rPr>
        <w:t>Special populations</w:t>
      </w:r>
    </w:p>
    <w:p w14:paraId="08D00717" w14:textId="77777777" w:rsidR="00D663DA" w:rsidRPr="00D663DA" w:rsidRDefault="00D663DA" w:rsidP="00D663DA">
      <w:pPr>
        <w:tabs>
          <w:tab w:val="left" w:pos="851"/>
        </w:tabs>
        <w:ind w:left="851"/>
        <w:rPr>
          <w:sz w:val="24"/>
          <w:szCs w:val="24"/>
          <w:lang w:val="en-GB"/>
        </w:rPr>
      </w:pPr>
      <w:r w:rsidRPr="00D663DA">
        <w:rPr>
          <w:sz w:val="24"/>
          <w:szCs w:val="24"/>
          <w:lang w:val="en-GB"/>
        </w:rPr>
        <w:t>The pharmacokinetics of dexamfetamine, as evaluated by clearance, is similar in children (aged 6 to 12) and adolescents (aged 13 to 17) ADHD patients, and healthy adult volunteers after correcting for body weight.</w:t>
      </w:r>
    </w:p>
    <w:p w14:paraId="2FACAC56" w14:textId="77777777" w:rsidR="00D663DA" w:rsidRPr="00D663DA" w:rsidRDefault="00D663DA" w:rsidP="00D663DA">
      <w:pPr>
        <w:tabs>
          <w:tab w:val="left" w:pos="851"/>
        </w:tabs>
        <w:ind w:left="851"/>
        <w:rPr>
          <w:sz w:val="24"/>
          <w:szCs w:val="24"/>
          <w:lang w:val="en-GB"/>
        </w:rPr>
      </w:pPr>
    </w:p>
    <w:p w14:paraId="0E5C34D0" w14:textId="77777777" w:rsidR="00D663DA" w:rsidRPr="00D663DA" w:rsidRDefault="00D663DA" w:rsidP="00D663DA">
      <w:pPr>
        <w:tabs>
          <w:tab w:val="left" w:pos="851"/>
        </w:tabs>
        <w:ind w:left="851"/>
        <w:rPr>
          <w:sz w:val="24"/>
          <w:szCs w:val="24"/>
          <w:lang w:val="en-GB"/>
        </w:rPr>
      </w:pPr>
      <w:r w:rsidRPr="00D663DA">
        <w:rPr>
          <w:sz w:val="24"/>
          <w:szCs w:val="24"/>
          <w:lang w:val="en-GB"/>
        </w:rPr>
        <w:t>Systemic exposure to dexamfetamine is similar for men and women given the same mg/kg dose. Formal pharmacokinetic studies for race have not been conducted. There is no evidence of any impact of ethnicity on the pharmacokinetics of lisdexamfetamine-containing medicinal products.</w:t>
      </w:r>
    </w:p>
    <w:p w14:paraId="0262D3AD" w14:textId="77777777" w:rsidR="00D663DA" w:rsidRPr="00D663DA" w:rsidRDefault="00D663DA" w:rsidP="00D663DA">
      <w:pPr>
        <w:tabs>
          <w:tab w:val="left" w:pos="851"/>
        </w:tabs>
        <w:ind w:left="851"/>
        <w:rPr>
          <w:sz w:val="24"/>
          <w:szCs w:val="24"/>
          <w:lang w:val="en-GB"/>
        </w:rPr>
      </w:pPr>
    </w:p>
    <w:p w14:paraId="245F4B99" w14:textId="77777777" w:rsidR="00D663DA" w:rsidRPr="00D663DA" w:rsidRDefault="00D663DA" w:rsidP="00D663DA">
      <w:pPr>
        <w:tabs>
          <w:tab w:val="left" w:pos="851"/>
        </w:tabs>
        <w:ind w:left="851"/>
        <w:rPr>
          <w:sz w:val="24"/>
          <w:szCs w:val="24"/>
          <w:lang w:val="en-GB"/>
        </w:rPr>
      </w:pPr>
      <w:r w:rsidRPr="00D663DA">
        <w:rPr>
          <w:sz w:val="24"/>
          <w:szCs w:val="24"/>
          <w:lang w:val="en-GB"/>
        </w:rPr>
        <w:t>In a pharmacokinetic study of 40 subjects (8 subjects in each of five renal functional groups: normal, mild impairment, moderate impairment, severe impairment, and end stage renal disease) dexamfetamine clearance was reduced from 0.7 L/hr/kg in normal subjects to 0.4 L/hr/kg in subjects with severe renal impairment (GFR 15 to &lt; 30 mL/min1.73m</w:t>
      </w:r>
      <w:r w:rsidRPr="00D663DA">
        <w:rPr>
          <w:sz w:val="24"/>
          <w:szCs w:val="24"/>
          <w:vertAlign w:val="superscript"/>
          <w:lang w:val="en-GB"/>
        </w:rPr>
        <w:t>2</w:t>
      </w:r>
      <w:r w:rsidRPr="00D663DA">
        <w:rPr>
          <w:sz w:val="24"/>
          <w:szCs w:val="24"/>
          <w:lang w:val="en-GB"/>
        </w:rPr>
        <w:t xml:space="preserve"> or CrCl &lt; 30 mL/min).</w:t>
      </w:r>
    </w:p>
    <w:p w14:paraId="76E3E574" w14:textId="77777777" w:rsidR="00D663DA" w:rsidRPr="00D663DA" w:rsidRDefault="00D663DA" w:rsidP="00D663DA">
      <w:pPr>
        <w:tabs>
          <w:tab w:val="left" w:pos="851"/>
        </w:tabs>
        <w:ind w:left="851"/>
        <w:rPr>
          <w:sz w:val="24"/>
          <w:szCs w:val="24"/>
          <w:lang w:val="en-GB"/>
        </w:rPr>
      </w:pPr>
    </w:p>
    <w:p w14:paraId="1FE67ED1" w14:textId="77777777" w:rsidR="00D663DA" w:rsidRPr="00D663DA" w:rsidRDefault="00D663DA" w:rsidP="00D663DA">
      <w:pPr>
        <w:tabs>
          <w:tab w:val="left" w:pos="851"/>
        </w:tabs>
        <w:ind w:left="851"/>
        <w:rPr>
          <w:sz w:val="24"/>
          <w:szCs w:val="24"/>
          <w:lang w:val="en-GB"/>
        </w:rPr>
      </w:pPr>
      <w:r w:rsidRPr="00D663DA">
        <w:rPr>
          <w:sz w:val="24"/>
          <w:szCs w:val="24"/>
          <w:lang w:val="en-GB"/>
        </w:rPr>
        <w:t>Mean steady state exposure of dexamfetamine was approximately 44% higher in paediatric patients ages 4 to 5 years compared to the paediatric population patients ages 6 to 11 years receiving the same dose (30 mg/day), based on a population pharmacokinetic analysis.</w:t>
      </w:r>
    </w:p>
    <w:p w14:paraId="689BCC26" w14:textId="77777777" w:rsidR="00D663DA" w:rsidRPr="00D663DA" w:rsidRDefault="00D663DA" w:rsidP="00D663DA">
      <w:pPr>
        <w:tabs>
          <w:tab w:val="left" w:pos="851"/>
        </w:tabs>
        <w:ind w:left="851"/>
        <w:rPr>
          <w:sz w:val="24"/>
          <w:szCs w:val="24"/>
          <w:lang w:val="en-GB"/>
        </w:rPr>
      </w:pPr>
    </w:p>
    <w:p w14:paraId="3BF3BECC" w14:textId="77777777" w:rsidR="00D663DA" w:rsidRPr="00D663DA" w:rsidRDefault="00D663DA" w:rsidP="00D663DA">
      <w:pPr>
        <w:tabs>
          <w:tab w:val="left" w:pos="851"/>
        </w:tabs>
        <w:ind w:left="851"/>
        <w:rPr>
          <w:sz w:val="24"/>
          <w:szCs w:val="24"/>
          <w:lang w:val="en-US"/>
        </w:rPr>
      </w:pPr>
      <w:r w:rsidRPr="00D663DA">
        <w:rPr>
          <w:sz w:val="24"/>
          <w:szCs w:val="24"/>
          <w:lang w:val="en-GB"/>
        </w:rPr>
        <w:t>In a study of 47 subjects aged 55 years of age or older amfetamine clearance was approximately 0.7 L/hr/kg for subjects 55 to 74 years of age and 0.55 L/hr/kg for subjects ≥ 75 years of age. This is slightly reduced compared to younger adults (approximately 1 L/hr/kg for subjects 18 to 45 years of age).</w:t>
      </w:r>
      <w:r w:rsidRPr="00D663DA">
        <w:rPr>
          <w:sz w:val="24"/>
          <w:szCs w:val="24"/>
          <w:lang w:val="en-US"/>
        </w:rPr>
        <w:t xml:space="preserve"> </w:t>
      </w:r>
    </w:p>
    <w:p w14:paraId="32BCD2D0" w14:textId="77777777" w:rsidR="007C5D2A" w:rsidRPr="00303008" w:rsidRDefault="007C5D2A" w:rsidP="00D663DA">
      <w:pPr>
        <w:tabs>
          <w:tab w:val="left" w:pos="851"/>
        </w:tabs>
        <w:rPr>
          <w:sz w:val="24"/>
          <w:szCs w:val="24"/>
          <w:lang w:val="en-GB"/>
        </w:rPr>
      </w:pPr>
    </w:p>
    <w:p w14:paraId="10F0330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834B683" w14:textId="77777777" w:rsidR="00F1512B" w:rsidRPr="00F1512B" w:rsidRDefault="00F1512B" w:rsidP="00F1512B">
      <w:pPr>
        <w:tabs>
          <w:tab w:val="left" w:pos="851"/>
        </w:tabs>
        <w:ind w:left="851"/>
        <w:rPr>
          <w:sz w:val="24"/>
          <w:szCs w:val="24"/>
          <w:lang w:val="en-GB"/>
        </w:rPr>
      </w:pPr>
      <w:r w:rsidRPr="00F1512B">
        <w:rPr>
          <w:sz w:val="24"/>
          <w:szCs w:val="24"/>
          <w:lang w:val="en-GB"/>
        </w:rPr>
        <w:t>Non-clinical abuse liability studies indicate that lisdexamfetamine dimesylate can produce subjective effects in rats and monkeys that are similar to those of the CNS stimulant dexamfetamine, but that are delayed in onset and transient while the rewarding effects as determined in self-administration studies are lower than those of methylphenidate or cocaine.</w:t>
      </w:r>
    </w:p>
    <w:p w14:paraId="794AA903" w14:textId="77777777" w:rsidR="00F1512B" w:rsidRPr="00F1512B" w:rsidRDefault="00F1512B" w:rsidP="00F1512B">
      <w:pPr>
        <w:tabs>
          <w:tab w:val="left" w:pos="851"/>
        </w:tabs>
        <w:ind w:left="851"/>
        <w:rPr>
          <w:sz w:val="24"/>
          <w:szCs w:val="24"/>
          <w:lang w:val="en-GB"/>
        </w:rPr>
      </w:pPr>
      <w:r w:rsidRPr="00F1512B">
        <w:rPr>
          <w:sz w:val="24"/>
          <w:szCs w:val="24"/>
          <w:lang w:val="en-GB"/>
        </w:rPr>
        <w:t>In repeat dose toxicity studies, the major findings were changes in behaviour, such as increased activity typical of stimulant administration, with associated reductions in body weight gain, growth measurements and food intake, considered to be a consequence of an exaggerated pharmacological response.</w:t>
      </w:r>
    </w:p>
    <w:p w14:paraId="4042C7BC" w14:textId="77777777" w:rsidR="00F1512B" w:rsidRPr="00F1512B" w:rsidRDefault="00F1512B" w:rsidP="00F1512B">
      <w:pPr>
        <w:tabs>
          <w:tab w:val="left" w:pos="851"/>
        </w:tabs>
        <w:ind w:left="851"/>
        <w:rPr>
          <w:sz w:val="24"/>
          <w:szCs w:val="24"/>
          <w:lang w:val="en-GB"/>
        </w:rPr>
      </w:pPr>
    </w:p>
    <w:p w14:paraId="5CF543A6" w14:textId="77777777" w:rsidR="00F1512B" w:rsidRPr="00F1512B" w:rsidRDefault="00F1512B" w:rsidP="00F1512B">
      <w:pPr>
        <w:tabs>
          <w:tab w:val="left" w:pos="851"/>
        </w:tabs>
        <w:ind w:left="851"/>
        <w:rPr>
          <w:sz w:val="24"/>
          <w:szCs w:val="24"/>
          <w:lang w:val="en-GB"/>
        </w:rPr>
      </w:pPr>
      <w:r w:rsidRPr="00F1512B">
        <w:rPr>
          <w:sz w:val="24"/>
          <w:szCs w:val="24"/>
          <w:lang w:val="en-GB"/>
        </w:rPr>
        <w:t xml:space="preserve">Lisdexamfetamine was not genotoxic when tested </w:t>
      </w:r>
      <w:r w:rsidRPr="00F1512B">
        <w:rPr>
          <w:i/>
          <w:sz w:val="24"/>
          <w:szCs w:val="24"/>
          <w:lang w:val="en-GB"/>
        </w:rPr>
        <w:t>in vitro</w:t>
      </w:r>
      <w:r w:rsidRPr="00F1512B">
        <w:rPr>
          <w:sz w:val="24"/>
          <w:szCs w:val="24"/>
          <w:lang w:val="en-GB"/>
        </w:rPr>
        <w:t xml:space="preserve"> in the Ames test and the mouse lymphoma assay or </w:t>
      </w:r>
      <w:r w:rsidRPr="00F1512B">
        <w:rPr>
          <w:i/>
          <w:sz w:val="24"/>
          <w:szCs w:val="24"/>
          <w:lang w:val="en-GB"/>
        </w:rPr>
        <w:t>in vivo</w:t>
      </w:r>
      <w:r w:rsidRPr="00F1512B">
        <w:rPr>
          <w:sz w:val="24"/>
          <w:szCs w:val="24"/>
          <w:lang w:val="en-GB"/>
        </w:rPr>
        <w:t xml:space="preserve"> in the mouse bone marrow micronucleus test. Carcinogenicity studies of lisdexamfetamine have not been performed. No evidence of carcinogenicity was found in studies in which </w:t>
      </w:r>
      <w:r w:rsidRPr="00F1512B">
        <w:rPr>
          <w:i/>
          <w:sz w:val="24"/>
          <w:szCs w:val="24"/>
          <w:lang w:val="en-GB"/>
        </w:rPr>
        <w:t>d-, l-</w:t>
      </w:r>
      <w:r w:rsidRPr="00F1512B">
        <w:rPr>
          <w:sz w:val="24"/>
          <w:szCs w:val="24"/>
          <w:lang w:val="en-GB"/>
        </w:rPr>
        <w:t>amfetamine (enantiomer ratio of 1:1) was administered to mice and rats in the diet for 2 years at doses of up to 30 mg/kg/day in male mice, 19 mg/kg/day in female mice, and 5 mg/kg/day in male and female rats.</w:t>
      </w:r>
    </w:p>
    <w:p w14:paraId="483114AA" w14:textId="77777777" w:rsidR="00F1512B" w:rsidRPr="00F1512B" w:rsidRDefault="00F1512B" w:rsidP="00F1512B">
      <w:pPr>
        <w:tabs>
          <w:tab w:val="left" w:pos="851"/>
        </w:tabs>
        <w:ind w:left="851"/>
        <w:rPr>
          <w:sz w:val="24"/>
          <w:szCs w:val="24"/>
          <w:lang w:val="en-GB"/>
        </w:rPr>
      </w:pPr>
    </w:p>
    <w:p w14:paraId="1DF2A40A" w14:textId="77777777" w:rsidR="00F1512B" w:rsidRPr="00F1512B" w:rsidRDefault="00F1512B" w:rsidP="00F1512B">
      <w:pPr>
        <w:tabs>
          <w:tab w:val="left" w:pos="851"/>
        </w:tabs>
        <w:ind w:left="851"/>
        <w:rPr>
          <w:sz w:val="24"/>
          <w:szCs w:val="24"/>
          <w:lang w:val="en-GB"/>
        </w:rPr>
      </w:pPr>
      <w:r w:rsidRPr="00F1512B">
        <w:rPr>
          <w:sz w:val="24"/>
          <w:szCs w:val="24"/>
          <w:lang w:val="en-GB"/>
        </w:rPr>
        <w:t>Lisdexamfetamine dimesylate had no effect on embryofoetal development or survival when administered orally to pregnant rats at doses up to 40 mg/kg/day, and rabbits at doses up to 120 mg/kg/day.</w:t>
      </w:r>
    </w:p>
    <w:p w14:paraId="008BC4CA" w14:textId="77777777" w:rsidR="00F1512B" w:rsidRPr="00F1512B" w:rsidRDefault="00F1512B" w:rsidP="00F1512B">
      <w:pPr>
        <w:tabs>
          <w:tab w:val="left" w:pos="851"/>
        </w:tabs>
        <w:ind w:left="851"/>
        <w:rPr>
          <w:sz w:val="24"/>
          <w:szCs w:val="24"/>
          <w:lang w:val="en-GB"/>
        </w:rPr>
      </w:pPr>
    </w:p>
    <w:p w14:paraId="0D0932DB" w14:textId="77777777" w:rsidR="00F1512B" w:rsidRPr="00F1512B" w:rsidRDefault="00F1512B" w:rsidP="00F1512B">
      <w:pPr>
        <w:tabs>
          <w:tab w:val="left" w:pos="851"/>
        </w:tabs>
        <w:ind w:left="851"/>
        <w:rPr>
          <w:sz w:val="24"/>
          <w:szCs w:val="24"/>
          <w:lang w:val="en-GB"/>
        </w:rPr>
      </w:pPr>
      <w:r w:rsidRPr="00F1512B">
        <w:rPr>
          <w:sz w:val="24"/>
          <w:szCs w:val="24"/>
          <w:lang w:val="en-GB"/>
        </w:rPr>
        <w:t>Acute administration of high doses of amfetamine (d- or d,l-) has been shown to produce long lasting neurotoxic effects in rodents, including irreversible nerve fibre damage.  However, in definitive juvenile toxicity studies with lisdexamfetamine dimesylate in rats and dogs, adverse central nervous system changes were not apparent. The significance of these findings to humans is unknown.</w:t>
      </w:r>
    </w:p>
    <w:p w14:paraId="124C545E" w14:textId="77777777" w:rsidR="00F1512B" w:rsidRPr="00F1512B" w:rsidRDefault="00F1512B" w:rsidP="00F1512B">
      <w:pPr>
        <w:tabs>
          <w:tab w:val="left" w:pos="851"/>
        </w:tabs>
        <w:ind w:left="851"/>
        <w:rPr>
          <w:sz w:val="24"/>
          <w:szCs w:val="24"/>
          <w:lang w:val="en-GB"/>
        </w:rPr>
      </w:pPr>
    </w:p>
    <w:p w14:paraId="154D4845" w14:textId="77777777" w:rsidR="00F1512B" w:rsidRPr="00F1512B" w:rsidRDefault="00F1512B" w:rsidP="00F1512B">
      <w:pPr>
        <w:tabs>
          <w:tab w:val="left" w:pos="851"/>
        </w:tabs>
        <w:ind w:left="851"/>
        <w:rPr>
          <w:sz w:val="24"/>
          <w:szCs w:val="24"/>
          <w:lang w:val="en-GB"/>
        </w:rPr>
      </w:pPr>
      <w:r w:rsidRPr="00F1512B">
        <w:rPr>
          <w:sz w:val="24"/>
          <w:szCs w:val="24"/>
          <w:lang w:val="en-GB"/>
        </w:rPr>
        <w:t>Amfetamine (</w:t>
      </w:r>
      <w:r w:rsidRPr="00F1512B">
        <w:rPr>
          <w:i/>
          <w:sz w:val="24"/>
          <w:szCs w:val="24"/>
          <w:lang w:val="en-GB"/>
        </w:rPr>
        <w:t>d- to l-</w:t>
      </w:r>
      <w:r w:rsidRPr="00F1512B">
        <w:rPr>
          <w:sz w:val="24"/>
          <w:szCs w:val="24"/>
          <w:lang w:val="en-GB"/>
        </w:rPr>
        <w:t>enantiomer ratio of 3:1) did not adversely affect fertility or early embryonic development in the rat at doses of up to 20 mg/kg/day.</w:t>
      </w:r>
    </w:p>
    <w:p w14:paraId="50DA3E0B" w14:textId="77777777" w:rsidR="00F1512B" w:rsidRPr="00F1512B" w:rsidRDefault="00F1512B" w:rsidP="00F1512B">
      <w:pPr>
        <w:tabs>
          <w:tab w:val="left" w:pos="851"/>
        </w:tabs>
        <w:ind w:left="851"/>
        <w:rPr>
          <w:sz w:val="24"/>
          <w:szCs w:val="24"/>
          <w:lang w:val="en-GB"/>
        </w:rPr>
      </w:pPr>
    </w:p>
    <w:p w14:paraId="5F8B0C51" w14:textId="77777777" w:rsidR="00F1512B" w:rsidRPr="00F1512B" w:rsidRDefault="00F1512B" w:rsidP="00F1512B">
      <w:pPr>
        <w:tabs>
          <w:tab w:val="left" w:pos="851"/>
        </w:tabs>
        <w:ind w:left="851"/>
        <w:rPr>
          <w:sz w:val="24"/>
          <w:szCs w:val="24"/>
          <w:lang w:val="en-GB"/>
        </w:rPr>
      </w:pPr>
      <w:r w:rsidRPr="00F1512B">
        <w:rPr>
          <w:sz w:val="24"/>
          <w:szCs w:val="24"/>
          <w:lang w:val="en-GB"/>
        </w:rPr>
        <w:t>A number of studies in rodents indicate that prenatal or early postnatal exposure to amfetamine (</w:t>
      </w:r>
      <w:r w:rsidRPr="00F1512B">
        <w:rPr>
          <w:i/>
          <w:sz w:val="24"/>
          <w:szCs w:val="24"/>
          <w:lang w:val="en-GB"/>
        </w:rPr>
        <w:t>d-</w:t>
      </w:r>
      <w:r w:rsidRPr="00F1512B">
        <w:rPr>
          <w:sz w:val="24"/>
          <w:szCs w:val="24"/>
          <w:lang w:val="en-GB"/>
        </w:rPr>
        <w:t xml:space="preserve"> or </w:t>
      </w:r>
      <w:r w:rsidRPr="00F1512B">
        <w:rPr>
          <w:i/>
          <w:sz w:val="24"/>
          <w:szCs w:val="24"/>
          <w:lang w:val="en-GB"/>
        </w:rPr>
        <w:t>d,l-</w:t>
      </w:r>
      <w:r w:rsidRPr="00F1512B">
        <w:rPr>
          <w:sz w:val="24"/>
          <w:szCs w:val="24"/>
          <w:lang w:val="en-GB"/>
        </w:rPr>
        <w:t>) at doses similar to those used clinically can result in long-term neurochemical and behavioural alterations. Reported behavioural effects include learning and memory deficits, altered locomotor activity, and changes in sexual function. Similar studies have not been conducted for lisdexamfetamine-containing medicinal products. However, an assessment of fertility following cessation of treatment with lisdexamfetamine dimesylate was included in a juvenile rat toxicity study, with no adverse effects on fertility observed.</w:t>
      </w:r>
    </w:p>
    <w:p w14:paraId="0BBC2B30" w14:textId="77777777" w:rsidR="007C5D2A" w:rsidRPr="00303008" w:rsidRDefault="007C5D2A" w:rsidP="003E0341">
      <w:pPr>
        <w:tabs>
          <w:tab w:val="left" w:pos="851"/>
        </w:tabs>
        <w:ind w:left="851"/>
        <w:rPr>
          <w:sz w:val="24"/>
          <w:szCs w:val="24"/>
          <w:lang w:val="en-GB"/>
        </w:rPr>
      </w:pPr>
    </w:p>
    <w:p w14:paraId="4CD183C3" w14:textId="77777777" w:rsidR="007C5D2A" w:rsidRPr="00303008" w:rsidRDefault="007C5D2A" w:rsidP="003E0341">
      <w:pPr>
        <w:tabs>
          <w:tab w:val="left" w:pos="851"/>
        </w:tabs>
        <w:ind w:left="851"/>
        <w:rPr>
          <w:sz w:val="24"/>
          <w:szCs w:val="24"/>
          <w:lang w:val="en-GB"/>
        </w:rPr>
      </w:pPr>
    </w:p>
    <w:p w14:paraId="1CB8B9F1"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75C20DD1" w14:textId="77777777" w:rsidR="007C5D2A" w:rsidRPr="00303008" w:rsidRDefault="007C5D2A" w:rsidP="003E0341">
      <w:pPr>
        <w:tabs>
          <w:tab w:val="left" w:pos="851"/>
        </w:tabs>
        <w:ind w:left="851"/>
        <w:rPr>
          <w:sz w:val="24"/>
          <w:szCs w:val="24"/>
          <w:lang w:val="en-GB"/>
        </w:rPr>
      </w:pPr>
    </w:p>
    <w:p w14:paraId="3098FEC4"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54A9A46" w14:textId="77777777" w:rsidR="00BB034A" w:rsidRPr="00BB034A" w:rsidRDefault="00BB034A" w:rsidP="00BB034A">
      <w:pPr>
        <w:tabs>
          <w:tab w:val="left" w:pos="851"/>
        </w:tabs>
        <w:ind w:left="851"/>
        <w:rPr>
          <w:i/>
          <w:iCs/>
          <w:sz w:val="24"/>
          <w:szCs w:val="24"/>
          <w:lang w:val="en-GB"/>
        </w:rPr>
      </w:pPr>
    </w:p>
    <w:p w14:paraId="5A0D3723" w14:textId="77777777" w:rsidR="00BB034A" w:rsidRPr="00BB034A" w:rsidRDefault="00BB034A" w:rsidP="00BB034A">
      <w:pPr>
        <w:tabs>
          <w:tab w:val="left" w:pos="851"/>
        </w:tabs>
        <w:ind w:left="851"/>
        <w:rPr>
          <w:sz w:val="24"/>
          <w:szCs w:val="24"/>
          <w:u w:val="single"/>
          <w:lang w:val="en-GB"/>
        </w:rPr>
      </w:pPr>
      <w:r w:rsidRPr="00BB034A">
        <w:rPr>
          <w:sz w:val="24"/>
          <w:szCs w:val="24"/>
          <w:u w:val="single"/>
          <w:lang w:val="en-GB"/>
        </w:rPr>
        <w:t xml:space="preserve">Capsule content </w:t>
      </w:r>
    </w:p>
    <w:p w14:paraId="48090D09" w14:textId="77777777" w:rsidR="00BB034A" w:rsidRPr="00BB034A" w:rsidRDefault="00BB034A" w:rsidP="00BB034A">
      <w:pPr>
        <w:tabs>
          <w:tab w:val="left" w:pos="851"/>
        </w:tabs>
        <w:ind w:left="851"/>
        <w:rPr>
          <w:sz w:val="24"/>
          <w:szCs w:val="24"/>
          <w:lang w:val="en-GB"/>
        </w:rPr>
      </w:pPr>
      <w:r w:rsidRPr="00BB034A">
        <w:rPr>
          <w:sz w:val="24"/>
          <w:szCs w:val="24"/>
          <w:lang w:val="en-GB"/>
        </w:rPr>
        <w:t>Cellulose, microcrystalline (E460)</w:t>
      </w:r>
    </w:p>
    <w:p w14:paraId="1E45EB83" w14:textId="77777777" w:rsidR="00BB034A" w:rsidRPr="00BB034A" w:rsidRDefault="00BB034A" w:rsidP="00BB034A">
      <w:pPr>
        <w:tabs>
          <w:tab w:val="left" w:pos="851"/>
        </w:tabs>
        <w:ind w:left="851"/>
        <w:rPr>
          <w:sz w:val="24"/>
          <w:szCs w:val="24"/>
          <w:lang w:val="en-GB"/>
        </w:rPr>
      </w:pPr>
      <w:r w:rsidRPr="00BB034A">
        <w:rPr>
          <w:sz w:val="24"/>
          <w:szCs w:val="24"/>
          <w:lang w:val="en-GB"/>
        </w:rPr>
        <w:t>Croscarmellose sodium</w:t>
      </w:r>
    </w:p>
    <w:p w14:paraId="7B68C0E0" w14:textId="77777777" w:rsidR="00BB034A" w:rsidRPr="00BB034A" w:rsidRDefault="00BB034A" w:rsidP="00BB034A">
      <w:pPr>
        <w:tabs>
          <w:tab w:val="left" w:pos="851"/>
        </w:tabs>
        <w:ind w:left="851"/>
        <w:rPr>
          <w:sz w:val="24"/>
          <w:szCs w:val="24"/>
          <w:lang w:val="en-GB"/>
        </w:rPr>
      </w:pPr>
      <w:r w:rsidRPr="00BB034A">
        <w:rPr>
          <w:sz w:val="24"/>
          <w:szCs w:val="24"/>
          <w:lang w:val="en-GB"/>
        </w:rPr>
        <w:t>Magnesium stearate (E572)</w:t>
      </w:r>
    </w:p>
    <w:p w14:paraId="7CBC4BBB" w14:textId="77777777" w:rsidR="00BB034A" w:rsidRPr="00BB034A" w:rsidRDefault="00BB034A" w:rsidP="00BB034A">
      <w:pPr>
        <w:tabs>
          <w:tab w:val="left" w:pos="851"/>
        </w:tabs>
        <w:ind w:left="851"/>
        <w:rPr>
          <w:sz w:val="24"/>
          <w:szCs w:val="24"/>
          <w:lang w:val="en-GB"/>
        </w:rPr>
      </w:pPr>
    </w:p>
    <w:p w14:paraId="5EB23699" w14:textId="77777777" w:rsidR="00BB034A" w:rsidRPr="00BB034A" w:rsidRDefault="00BB034A" w:rsidP="00BB034A">
      <w:pPr>
        <w:tabs>
          <w:tab w:val="left" w:pos="851"/>
        </w:tabs>
        <w:ind w:left="851"/>
        <w:rPr>
          <w:sz w:val="24"/>
          <w:szCs w:val="24"/>
          <w:u w:val="single"/>
          <w:lang w:val="en-GB"/>
        </w:rPr>
      </w:pPr>
      <w:r w:rsidRPr="00BB034A">
        <w:rPr>
          <w:sz w:val="24"/>
          <w:szCs w:val="24"/>
          <w:u w:val="single"/>
          <w:lang w:val="en-GB"/>
        </w:rPr>
        <w:t>Capsule shell</w:t>
      </w:r>
    </w:p>
    <w:p w14:paraId="75E57A8C" w14:textId="77777777" w:rsidR="00BB034A" w:rsidRPr="00C35E91" w:rsidRDefault="00BB034A" w:rsidP="00BB034A">
      <w:pPr>
        <w:tabs>
          <w:tab w:val="left" w:pos="851"/>
        </w:tabs>
        <w:ind w:left="851"/>
        <w:rPr>
          <w:sz w:val="24"/>
          <w:szCs w:val="24"/>
          <w:lang w:val="en-US"/>
        </w:rPr>
      </w:pPr>
      <w:r w:rsidRPr="00C35E91">
        <w:rPr>
          <w:sz w:val="24"/>
          <w:szCs w:val="24"/>
          <w:lang w:val="en-US"/>
        </w:rPr>
        <w:t>Gelatin</w:t>
      </w:r>
    </w:p>
    <w:p w14:paraId="7F9B4D6F" w14:textId="77777777" w:rsidR="00BB034A" w:rsidRPr="00C35E91" w:rsidRDefault="00BB034A" w:rsidP="00BB034A">
      <w:pPr>
        <w:tabs>
          <w:tab w:val="left" w:pos="851"/>
        </w:tabs>
        <w:ind w:left="851"/>
        <w:rPr>
          <w:sz w:val="24"/>
          <w:szCs w:val="24"/>
          <w:lang w:val="en-US"/>
        </w:rPr>
      </w:pPr>
    </w:p>
    <w:p w14:paraId="03F68FD7" w14:textId="12885BFF" w:rsidR="00BB034A" w:rsidRPr="00C35E91" w:rsidRDefault="00BB034A" w:rsidP="00BB034A">
      <w:pPr>
        <w:tabs>
          <w:tab w:val="left" w:pos="851"/>
        </w:tabs>
        <w:ind w:left="851"/>
        <w:rPr>
          <w:i/>
          <w:sz w:val="24"/>
          <w:szCs w:val="24"/>
          <w:lang w:val="en-US"/>
        </w:rPr>
      </w:pPr>
      <w:r w:rsidRPr="00C35E91">
        <w:rPr>
          <w:i/>
          <w:sz w:val="24"/>
          <w:szCs w:val="24"/>
          <w:lang w:val="en-US"/>
        </w:rPr>
        <w:t>20 mg</w:t>
      </w:r>
    </w:p>
    <w:p w14:paraId="24F8EFF7" w14:textId="77777777" w:rsidR="00BB034A" w:rsidRPr="00C35E91" w:rsidRDefault="00BB034A" w:rsidP="00BB034A">
      <w:pPr>
        <w:tabs>
          <w:tab w:val="left" w:pos="851"/>
        </w:tabs>
        <w:ind w:left="851"/>
        <w:rPr>
          <w:sz w:val="24"/>
          <w:szCs w:val="24"/>
          <w:lang w:val="en-US"/>
        </w:rPr>
      </w:pPr>
      <w:r w:rsidRPr="00C35E91">
        <w:rPr>
          <w:sz w:val="24"/>
          <w:szCs w:val="24"/>
          <w:lang w:val="en-US"/>
        </w:rPr>
        <w:t>Titanium dioxide (E171)</w:t>
      </w:r>
    </w:p>
    <w:p w14:paraId="7D1AADCB" w14:textId="77777777" w:rsidR="00BB034A" w:rsidRPr="00BB034A" w:rsidRDefault="00BB034A" w:rsidP="00BB034A">
      <w:pPr>
        <w:tabs>
          <w:tab w:val="left" w:pos="851"/>
        </w:tabs>
        <w:ind w:left="851"/>
        <w:rPr>
          <w:sz w:val="24"/>
          <w:szCs w:val="24"/>
          <w:lang w:val="en-US"/>
        </w:rPr>
      </w:pPr>
      <w:r w:rsidRPr="00BB034A">
        <w:rPr>
          <w:sz w:val="24"/>
          <w:szCs w:val="24"/>
          <w:lang w:val="en-US"/>
        </w:rPr>
        <w:t>Iron oxide yellow (E172)</w:t>
      </w:r>
    </w:p>
    <w:p w14:paraId="038A4780" w14:textId="77777777" w:rsidR="00BB034A" w:rsidRPr="00BB034A" w:rsidRDefault="00BB034A" w:rsidP="00BB034A">
      <w:pPr>
        <w:tabs>
          <w:tab w:val="left" w:pos="851"/>
        </w:tabs>
        <w:ind w:left="851"/>
        <w:rPr>
          <w:sz w:val="24"/>
          <w:szCs w:val="24"/>
          <w:lang w:val="en-US"/>
        </w:rPr>
      </w:pPr>
      <w:r w:rsidRPr="00BB034A">
        <w:rPr>
          <w:sz w:val="24"/>
          <w:szCs w:val="24"/>
          <w:lang w:val="en-US"/>
        </w:rPr>
        <w:t>Iron oxide black (E172)</w:t>
      </w:r>
    </w:p>
    <w:p w14:paraId="6AE5ABA0" w14:textId="77777777" w:rsidR="00BB034A" w:rsidRPr="00BB034A" w:rsidRDefault="00BB034A" w:rsidP="00BB034A">
      <w:pPr>
        <w:tabs>
          <w:tab w:val="left" w:pos="851"/>
        </w:tabs>
        <w:ind w:left="851"/>
        <w:rPr>
          <w:sz w:val="24"/>
          <w:szCs w:val="24"/>
          <w:lang w:val="en-GB"/>
        </w:rPr>
      </w:pPr>
    </w:p>
    <w:p w14:paraId="07F606D3" w14:textId="66E56F5D" w:rsidR="00BB034A" w:rsidRPr="00C35E91" w:rsidRDefault="00BB034A" w:rsidP="00BB034A">
      <w:pPr>
        <w:tabs>
          <w:tab w:val="left" w:pos="851"/>
        </w:tabs>
        <w:ind w:left="851"/>
        <w:rPr>
          <w:i/>
          <w:sz w:val="24"/>
          <w:szCs w:val="24"/>
          <w:lang w:val="en-US"/>
        </w:rPr>
      </w:pPr>
      <w:bookmarkStart w:id="13" w:name="_Hlk94614681"/>
      <w:r w:rsidRPr="00C35E91">
        <w:rPr>
          <w:i/>
          <w:sz w:val="24"/>
          <w:szCs w:val="24"/>
          <w:lang w:val="en-US"/>
        </w:rPr>
        <w:t>30 mg</w:t>
      </w:r>
    </w:p>
    <w:bookmarkEnd w:id="13"/>
    <w:p w14:paraId="04707D23" w14:textId="77777777" w:rsidR="00BB034A" w:rsidRPr="00BB034A" w:rsidRDefault="00BB034A" w:rsidP="00BB034A">
      <w:pPr>
        <w:tabs>
          <w:tab w:val="left" w:pos="851"/>
        </w:tabs>
        <w:ind w:left="851"/>
        <w:rPr>
          <w:sz w:val="24"/>
          <w:szCs w:val="24"/>
          <w:lang w:val="nl-NL"/>
        </w:rPr>
      </w:pPr>
      <w:r w:rsidRPr="00BB034A">
        <w:rPr>
          <w:sz w:val="24"/>
          <w:szCs w:val="24"/>
          <w:lang w:val="nl-NL"/>
        </w:rPr>
        <w:t>Titanium dioxide (E171)</w:t>
      </w:r>
    </w:p>
    <w:p w14:paraId="6A7D48D5" w14:textId="77777777" w:rsidR="00BB034A" w:rsidRPr="00BB034A" w:rsidRDefault="00BB034A" w:rsidP="00BB034A">
      <w:pPr>
        <w:tabs>
          <w:tab w:val="left" w:pos="851"/>
        </w:tabs>
        <w:ind w:left="851"/>
        <w:rPr>
          <w:sz w:val="24"/>
          <w:szCs w:val="24"/>
          <w:lang w:val="nl-NL"/>
        </w:rPr>
      </w:pPr>
      <w:r w:rsidRPr="00BB034A">
        <w:rPr>
          <w:sz w:val="24"/>
          <w:szCs w:val="24"/>
          <w:lang w:val="nl-NL"/>
        </w:rPr>
        <w:t>Iron oxide red (E172)</w:t>
      </w:r>
    </w:p>
    <w:p w14:paraId="635FF828" w14:textId="77777777" w:rsidR="00BB034A" w:rsidRPr="00BB034A" w:rsidRDefault="00BB034A" w:rsidP="00BB034A">
      <w:pPr>
        <w:tabs>
          <w:tab w:val="left" w:pos="851"/>
        </w:tabs>
        <w:ind w:left="851"/>
        <w:rPr>
          <w:sz w:val="24"/>
          <w:szCs w:val="24"/>
          <w:lang w:val="nl-NL"/>
        </w:rPr>
      </w:pPr>
    </w:p>
    <w:p w14:paraId="73BFFC22" w14:textId="6F566F0E" w:rsidR="00BB034A" w:rsidRPr="00BB034A" w:rsidRDefault="00BB034A" w:rsidP="00BB034A">
      <w:pPr>
        <w:tabs>
          <w:tab w:val="left" w:pos="851"/>
        </w:tabs>
        <w:ind w:left="851"/>
        <w:rPr>
          <w:i/>
          <w:sz w:val="24"/>
          <w:szCs w:val="24"/>
          <w:lang w:val="sv-SE"/>
        </w:rPr>
      </w:pPr>
      <w:r w:rsidRPr="00BB034A">
        <w:rPr>
          <w:i/>
          <w:sz w:val="24"/>
          <w:szCs w:val="24"/>
          <w:lang w:val="sv-SE"/>
        </w:rPr>
        <w:t>40 mg</w:t>
      </w:r>
    </w:p>
    <w:p w14:paraId="273889E2" w14:textId="77777777" w:rsidR="00BB034A" w:rsidRPr="00BB034A" w:rsidRDefault="00BB034A" w:rsidP="00BB034A">
      <w:pPr>
        <w:tabs>
          <w:tab w:val="left" w:pos="851"/>
        </w:tabs>
        <w:ind w:left="851"/>
        <w:rPr>
          <w:sz w:val="24"/>
          <w:szCs w:val="24"/>
          <w:lang w:val="nl-NL"/>
        </w:rPr>
      </w:pPr>
      <w:r w:rsidRPr="00BB034A">
        <w:rPr>
          <w:sz w:val="24"/>
          <w:szCs w:val="24"/>
          <w:lang w:val="nl-NL"/>
        </w:rPr>
        <w:t>Titanium dioxide (E171)</w:t>
      </w:r>
    </w:p>
    <w:p w14:paraId="3F0E5B60" w14:textId="77777777" w:rsidR="00BB034A" w:rsidRPr="00BB034A" w:rsidRDefault="00BB034A" w:rsidP="00BB034A">
      <w:pPr>
        <w:tabs>
          <w:tab w:val="left" w:pos="851"/>
        </w:tabs>
        <w:ind w:left="851"/>
        <w:rPr>
          <w:sz w:val="24"/>
          <w:szCs w:val="24"/>
          <w:lang w:val="nl-NL"/>
        </w:rPr>
      </w:pPr>
      <w:r w:rsidRPr="00BB034A">
        <w:rPr>
          <w:sz w:val="24"/>
          <w:szCs w:val="24"/>
          <w:lang w:val="nl-NL"/>
        </w:rPr>
        <w:t>Iron oxide yellow (E172)</w:t>
      </w:r>
    </w:p>
    <w:p w14:paraId="24D4352A" w14:textId="77777777" w:rsidR="00BB034A" w:rsidRPr="00BB034A" w:rsidRDefault="00BB034A" w:rsidP="00BB034A">
      <w:pPr>
        <w:tabs>
          <w:tab w:val="left" w:pos="851"/>
        </w:tabs>
        <w:ind w:left="851"/>
        <w:rPr>
          <w:sz w:val="24"/>
          <w:szCs w:val="24"/>
          <w:lang w:val="en-US"/>
        </w:rPr>
      </w:pPr>
      <w:r w:rsidRPr="00BB034A">
        <w:rPr>
          <w:sz w:val="24"/>
          <w:szCs w:val="24"/>
          <w:lang w:val="en-US"/>
        </w:rPr>
        <w:t>Brilliant blue FCF (E133)</w:t>
      </w:r>
    </w:p>
    <w:p w14:paraId="7C084413" w14:textId="77777777" w:rsidR="00BB034A" w:rsidRPr="00BB034A" w:rsidRDefault="00BB034A" w:rsidP="00BB034A">
      <w:pPr>
        <w:tabs>
          <w:tab w:val="left" w:pos="851"/>
        </w:tabs>
        <w:ind w:left="851"/>
        <w:rPr>
          <w:sz w:val="24"/>
          <w:szCs w:val="24"/>
          <w:lang w:val="en-GB"/>
        </w:rPr>
      </w:pPr>
    </w:p>
    <w:p w14:paraId="64289977" w14:textId="39F77A99" w:rsidR="00BB034A" w:rsidRPr="00C35E91" w:rsidRDefault="00BB034A" w:rsidP="00BB034A">
      <w:pPr>
        <w:tabs>
          <w:tab w:val="left" w:pos="851"/>
        </w:tabs>
        <w:ind w:left="851"/>
        <w:rPr>
          <w:i/>
          <w:sz w:val="24"/>
          <w:szCs w:val="24"/>
        </w:rPr>
      </w:pPr>
      <w:bookmarkStart w:id="14" w:name="_Hlk94614688"/>
      <w:r w:rsidRPr="00C35E91">
        <w:rPr>
          <w:i/>
          <w:sz w:val="24"/>
          <w:szCs w:val="24"/>
        </w:rPr>
        <w:t>50 mg</w:t>
      </w:r>
    </w:p>
    <w:bookmarkEnd w:id="14"/>
    <w:p w14:paraId="04946125" w14:textId="77777777" w:rsidR="00BB034A" w:rsidRPr="00BB034A" w:rsidRDefault="00BB034A" w:rsidP="00BB034A">
      <w:pPr>
        <w:tabs>
          <w:tab w:val="left" w:pos="851"/>
        </w:tabs>
        <w:ind w:left="851"/>
        <w:rPr>
          <w:sz w:val="24"/>
          <w:szCs w:val="24"/>
          <w:lang w:val="sv-SE"/>
        </w:rPr>
      </w:pPr>
      <w:r w:rsidRPr="00BB034A">
        <w:rPr>
          <w:sz w:val="24"/>
          <w:szCs w:val="24"/>
          <w:lang w:val="nl-NL"/>
        </w:rPr>
        <w:t>Titanium dioxide (E171)</w:t>
      </w:r>
    </w:p>
    <w:p w14:paraId="4B5F8608" w14:textId="77777777" w:rsidR="00BB034A" w:rsidRPr="00BB034A" w:rsidRDefault="00BB034A" w:rsidP="00BB034A">
      <w:pPr>
        <w:tabs>
          <w:tab w:val="left" w:pos="851"/>
        </w:tabs>
        <w:ind w:left="851"/>
        <w:rPr>
          <w:sz w:val="24"/>
          <w:szCs w:val="24"/>
          <w:lang w:val="nl-NL"/>
        </w:rPr>
      </w:pPr>
      <w:r w:rsidRPr="00BB034A">
        <w:rPr>
          <w:sz w:val="24"/>
          <w:szCs w:val="24"/>
          <w:lang w:val="nl-NL"/>
        </w:rPr>
        <w:t>Indigotine (E132)</w:t>
      </w:r>
    </w:p>
    <w:p w14:paraId="2AA5C696" w14:textId="77777777" w:rsidR="00BB034A" w:rsidRPr="00BB034A" w:rsidRDefault="00BB034A" w:rsidP="00BB034A">
      <w:pPr>
        <w:tabs>
          <w:tab w:val="left" w:pos="851"/>
        </w:tabs>
        <w:ind w:left="851"/>
        <w:rPr>
          <w:sz w:val="24"/>
          <w:szCs w:val="24"/>
          <w:lang w:val="nl-NL"/>
        </w:rPr>
      </w:pPr>
    </w:p>
    <w:p w14:paraId="34C02EA0" w14:textId="429CB86D" w:rsidR="00BB034A" w:rsidRPr="007C1475" w:rsidRDefault="00BB034A" w:rsidP="00BB034A">
      <w:pPr>
        <w:tabs>
          <w:tab w:val="left" w:pos="851"/>
        </w:tabs>
        <w:ind w:left="851"/>
        <w:rPr>
          <w:i/>
          <w:sz w:val="24"/>
          <w:szCs w:val="24"/>
          <w:lang w:val="nl-NL"/>
        </w:rPr>
      </w:pPr>
      <w:r w:rsidRPr="007C1475">
        <w:rPr>
          <w:i/>
          <w:sz w:val="24"/>
          <w:szCs w:val="24"/>
          <w:lang w:val="sv-SE"/>
        </w:rPr>
        <w:t>60 m</w:t>
      </w:r>
      <w:r w:rsidR="007C1475">
        <w:rPr>
          <w:i/>
          <w:sz w:val="24"/>
          <w:szCs w:val="24"/>
          <w:lang w:val="sv-SE"/>
        </w:rPr>
        <w:t>g</w:t>
      </w:r>
    </w:p>
    <w:p w14:paraId="4BC98A90" w14:textId="77777777" w:rsidR="00BB034A" w:rsidRPr="00BB034A" w:rsidRDefault="00BB034A" w:rsidP="00BB034A">
      <w:pPr>
        <w:tabs>
          <w:tab w:val="left" w:pos="851"/>
        </w:tabs>
        <w:ind w:left="851"/>
        <w:rPr>
          <w:sz w:val="24"/>
          <w:szCs w:val="24"/>
          <w:lang w:val="nl-NL"/>
        </w:rPr>
      </w:pPr>
      <w:r w:rsidRPr="00BB034A">
        <w:rPr>
          <w:sz w:val="24"/>
          <w:szCs w:val="24"/>
          <w:lang w:val="nl-NL"/>
        </w:rPr>
        <w:t>Titanium dioxide (E171)</w:t>
      </w:r>
    </w:p>
    <w:p w14:paraId="0DD5995F" w14:textId="77777777" w:rsidR="00BB034A" w:rsidRPr="00BB034A" w:rsidRDefault="00BB034A" w:rsidP="00BB034A">
      <w:pPr>
        <w:tabs>
          <w:tab w:val="left" w:pos="851"/>
        </w:tabs>
        <w:ind w:left="851"/>
        <w:rPr>
          <w:sz w:val="24"/>
          <w:szCs w:val="24"/>
          <w:lang w:val="nl-NL"/>
        </w:rPr>
      </w:pPr>
      <w:r w:rsidRPr="00BB034A">
        <w:rPr>
          <w:sz w:val="24"/>
          <w:szCs w:val="24"/>
          <w:lang w:val="nl-NL"/>
        </w:rPr>
        <w:t>Patent blue V (E131)</w:t>
      </w:r>
    </w:p>
    <w:p w14:paraId="566989EF" w14:textId="77777777" w:rsidR="00BB034A" w:rsidRPr="00BB034A" w:rsidRDefault="00BB034A" w:rsidP="00BB034A">
      <w:pPr>
        <w:tabs>
          <w:tab w:val="left" w:pos="851"/>
        </w:tabs>
        <w:ind w:left="851"/>
        <w:rPr>
          <w:sz w:val="24"/>
          <w:szCs w:val="24"/>
          <w:lang w:val="nl-NL"/>
        </w:rPr>
      </w:pPr>
    </w:p>
    <w:p w14:paraId="29DD670C" w14:textId="0FB64678" w:rsidR="00BB034A" w:rsidRPr="007C1475" w:rsidRDefault="00BB034A" w:rsidP="00BB034A">
      <w:pPr>
        <w:tabs>
          <w:tab w:val="left" w:pos="851"/>
        </w:tabs>
        <w:ind w:left="851"/>
        <w:rPr>
          <w:i/>
          <w:sz w:val="24"/>
          <w:szCs w:val="24"/>
          <w:lang w:val="nl-NL"/>
        </w:rPr>
      </w:pPr>
      <w:r w:rsidRPr="007C1475">
        <w:rPr>
          <w:i/>
          <w:sz w:val="24"/>
          <w:szCs w:val="24"/>
          <w:lang w:val="nl-NL"/>
        </w:rPr>
        <w:t>70 mg</w:t>
      </w:r>
    </w:p>
    <w:p w14:paraId="2DC70D4E" w14:textId="77777777" w:rsidR="00BB034A" w:rsidRPr="00BB034A" w:rsidRDefault="00BB034A" w:rsidP="00BB034A">
      <w:pPr>
        <w:tabs>
          <w:tab w:val="left" w:pos="851"/>
        </w:tabs>
        <w:ind w:left="851"/>
        <w:rPr>
          <w:sz w:val="24"/>
          <w:szCs w:val="24"/>
          <w:lang w:val="nl-NL"/>
        </w:rPr>
      </w:pPr>
      <w:r w:rsidRPr="00BB034A">
        <w:rPr>
          <w:sz w:val="24"/>
          <w:szCs w:val="24"/>
          <w:lang w:val="nl-NL"/>
        </w:rPr>
        <w:t>Titanium dioxide (E171)</w:t>
      </w:r>
    </w:p>
    <w:p w14:paraId="485629ED" w14:textId="77777777" w:rsidR="00BB034A" w:rsidRPr="00BB034A" w:rsidRDefault="00BB034A" w:rsidP="00BB034A">
      <w:pPr>
        <w:tabs>
          <w:tab w:val="left" w:pos="851"/>
        </w:tabs>
        <w:ind w:left="851"/>
        <w:rPr>
          <w:sz w:val="24"/>
          <w:szCs w:val="24"/>
          <w:lang w:val="nl-NL"/>
        </w:rPr>
      </w:pPr>
      <w:r w:rsidRPr="00BB034A">
        <w:rPr>
          <w:sz w:val="24"/>
          <w:szCs w:val="24"/>
          <w:lang w:val="nl-NL"/>
        </w:rPr>
        <w:t>Iron oxide yellow (E172)</w:t>
      </w:r>
    </w:p>
    <w:p w14:paraId="2C93329B" w14:textId="77777777" w:rsidR="00BB034A" w:rsidRPr="00BB034A" w:rsidRDefault="00BB034A" w:rsidP="00BB034A">
      <w:pPr>
        <w:tabs>
          <w:tab w:val="left" w:pos="851"/>
        </w:tabs>
        <w:ind w:left="851"/>
        <w:rPr>
          <w:sz w:val="24"/>
          <w:szCs w:val="24"/>
          <w:lang w:val="en-GB"/>
        </w:rPr>
      </w:pPr>
      <w:r w:rsidRPr="00BB034A">
        <w:rPr>
          <w:sz w:val="24"/>
          <w:szCs w:val="24"/>
          <w:lang w:val="en-US"/>
        </w:rPr>
        <w:t>Iron oxide black (E172)</w:t>
      </w:r>
    </w:p>
    <w:p w14:paraId="26091F0E" w14:textId="77777777" w:rsidR="00BB034A" w:rsidRPr="00BB034A" w:rsidRDefault="00BB034A" w:rsidP="00BB034A">
      <w:pPr>
        <w:tabs>
          <w:tab w:val="left" w:pos="851"/>
        </w:tabs>
        <w:ind w:left="851"/>
        <w:rPr>
          <w:sz w:val="24"/>
          <w:szCs w:val="24"/>
          <w:lang w:val="en-GB"/>
        </w:rPr>
      </w:pPr>
      <w:r w:rsidRPr="00BB034A">
        <w:rPr>
          <w:sz w:val="24"/>
          <w:szCs w:val="24"/>
          <w:lang w:val="en-US"/>
        </w:rPr>
        <w:t>Iron oxide red (E172)</w:t>
      </w:r>
    </w:p>
    <w:p w14:paraId="46F91F26" w14:textId="77777777" w:rsidR="00BB034A" w:rsidRPr="00BB034A" w:rsidRDefault="00BB034A" w:rsidP="00BB034A">
      <w:pPr>
        <w:tabs>
          <w:tab w:val="left" w:pos="851"/>
        </w:tabs>
        <w:ind w:left="851"/>
        <w:rPr>
          <w:sz w:val="24"/>
          <w:szCs w:val="24"/>
          <w:lang w:val="en-GB"/>
        </w:rPr>
      </w:pPr>
    </w:p>
    <w:p w14:paraId="5E2CBE15" w14:textId="77777777" w:rsidR="00BB034A" w:rsidRPr="00BB034A" w:rsidRDefault="00BB034A" w:rsidP="00BB034A">
      <w:pPr>
        <w:tabs>
          <w:tab w:val="left" w:pos="851"/>
        </w:tabs>
        <w:ind w:left="851"/>
        <w:rPr>
          <w:sz w:val="24"/>
          <w:szCs w:val="24"/>
          <w:lang w:val="en-GB"/>
        </w:rPr>
      </w:pPr>
      <w:r w:rsidRPr="00BB034A">
        <w:rPr>
          <w:sz w:val="24"/>
          <w:szCs w:val="24"/>
          <w:u w:val="single"/>
          <w:lang w:val="en-GB"/>
        </w:rPr>
        <w:t>Printing ink</w:t>
      </w:r>
    </w:p>
    <w:p w14:paraId="75851E31" w14:textId="77777777" w:rsidR="00BB034A" w:rsidRPr="00BB034A" w:rsidRDefault="00BB034A" w:rsidP="00BB034A">
      <w:pPr>
        <w:tabs>
          <w:tab w:val="left" w:pos="851"/>
        </w:tabs>
        <w:ind w:left="851"/>
        <w:rPr>
          <w:sz w:val="24"/>
          <w:szCs w:val="24"/>
          <w:lang w:val="en-GB"/>
        </w:rPr>
      </w:pPr>
      <w:r w:rsidRPr="00BB034A">
        <w:rPr>
          <w:sz w:val="24"/>
          <w:szCs w:val="24"/>
          <w:lang w:val="en-GB"/>
        </w:rPr>
        <w:t>Shellac (E904)</w:t>
      </w:r>
    </w:p>
    <w:p w14:paraId="0EE43397" w14:textId="77777777" w:rsidR="00BB034A" w:rsidRPr="00BB034A" w:rsidRDefault="00BB034A" w:rsidP="00BB034A">
      <w:pPr>
        <w:tabs>
          <w:tab w:val="left" w:pos="851"/>
        </w:tabs>
        <w:ind w:left="851"/>
        <w:rPr>
          <w:sz w:val="24"/>
          <w:szCs w:val="24"/>
          <w:lang w:val="en-GB"/>
        </w:rPr>
      </w:pPr>
      <w:r w:rsidRPr="00BB034A">
        <w:rPr>
          <w:sz w:val="24"/>
          <w:szCs w:val="24"/>
          <w:lang w:val="en-US"/>
        </w:rPr>
        <w:t>Iron oxide black (E172)</w:t>
      </w:r>
    </w:p>
    <w:p w14:paraId="639BF002" w14:textId="77777777" w:rsidR="00BB034A" w:rsidRPr="00BB034A" w:rsidRDefault="00BB034A" w:rsidP="00BB034A">
      <w:pPr>
        <w:tabs>
          <w:tab w:val="left" w:pos="851"/>
        </w:tabs>
        <w:ind w:left="851"/>
        <w:rPr>
          <w:sz w:val="24"/>
          <w:szCs w:val="24"/>
          <w:lang w:val="en-GB"/>
        </w:rPr>
      </w:pPr>
      <w:r w:rsidRPr="00BB034A">
        <w:rPr>
          <w:sz w:val="24"/>
          <w:szCs w:val="24"/>
          <w:lang w:val="en-GB"/>
        </w:rPr>
        <w:t>Propylene glycol (E1520)</w:t>
      </w:r>
    </w:p>
    <w:p w14:paraId="705379DB" w14:textId="77777777" w:rsidR="00BB034A" w:rsidRPr="00BB034A" w:rsidRDefault="00BB034A" w:rsidP="00BB034A">
      <w:pPr>
        <w:tabs>
          <w:tab w:val="left" w:pos="851"/>
        </w:tabs>
        <w:ind w:left="851"/>
        <w:rPr>
          <w:sz w:val="24"/>
          <w:szCs w:val="24"/>
          <w:lang w:val="en-GB"/>
        </w:rPr>
      </w:pPr>
      <w:r w:rsidRPr="00BB034A">
        <w:rPr>
          <w:sz w:val="24"/>
          <w:szCs w:val="24"/>
          <w:lang w:val="en-GB"/>
        </w:rPr>
        <w:t>Strong ammonia solution (E527)</w:t>
      </w:r>
    </w:p>
    <w:p w14:paraId="4D76AD6F" w14:textId="77777777" w:rsidR="00BB034A" w:rsidRPr="00BB034A" w:rsidRDefault="00BB034A" w:rsidP="00BB034A">
      <w:pPr>
        <w:tabs>
          <w:tab w:val="left" w:pos="851"/>
        </w:tabs>
        <w:ind w:left="851"/>
        <w:rPr>
          <w:sz w:val="24"/>
          <w:szCs w:val="24"/>
          <w:lang w:val="en-GB"/>
        </w:rPr>
      </w:pPr>
      <w:r w:rsidRPr="00BB034A">
        <w:rPr>
          <w:sz w:val="24"/>
          <w:szCs w:val="24"/>
          <w:lang w:val="en-GB"/>
        </w:rPr>
        <w:t>Potassium hydroxide (E525)</w:t>
      </w:r>
    </w:p>
    <w:p w14:paraId="5A782691" w14:textId="77777777" w:rsidR="007C5D2A" w:rsidRPr="00303008" w:rsidRDefault="007C5D2A" w:rsidP="003D727E">
      <w:pPr>
        <w:tabs>
          <w:tab w:val="left" w:pos="851"/>
        </w:tabs>
        <w:ind w:left="851"/>
        <w:rPr>
          <w:sz w:val="24"/>
          <w:szCs w:val="24"/>
          <w:lang w:val="en-GB"/>
        </w:rPr>
      </w:pPr>
    </w:p>
    <w:p w14:paraId="4E6C5DB8"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53903AF6" w14:textId="77777777" w:rsidR="009C1CE1" w:rsidRPr="009C1CE1" w:rsidRDefault="009C1CE1" w:rsidP="009C1CE1">
      <w:pPr>
        <w:tabs>
          <w:tab w:val="left" w:pos="851"/>
        </w:tabs>
        <w:ind w:left="851"/>
        <w:rPr>
          <w:sz w:val="24"/>
          <w:szCs w:val="24"/>
          <w:lang w:val="en-GB"/>
        </w:rPr>
      </w:pPr>
      <w:r w:rsidRPr="009C1CE1">
        <w:rPr>
          <w:sz w:val="24"/>
          <w:szCs w:val="24"/>
          <w:lang w:val="en-GB"/>
        </w:rPr>
        <w:t xml:space="preserve">Not applicable. </w:t>
      </w:r>
    </w:p>
    <w:p w14:paraId="708AE182" w14:textId="77777777" w:rsidR="007C5D2A" w:rsidRPr="00303008" w:rsidRDefault="007C5D2A" w:rsidP="003E0341">
      <w:pPr>
        <w:tabs>
          <w:tab w:val="left" w:pos="851"/>
        </w:tabs>
        <w:ind w:left="851"/>
        <w:rPr>
          <w:sz w:val="24"/>
          <w:szCs w:val="24"/>
          <w:lang w:val="en-GB"/>
        </w:rPr>
      </w:pPr>
    </w:p>
    <w:p w14:paraId="1AFA3B34"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CBE00DA" w14:textId="05012D21" w:rsidR="007C5D2A" w:rsidRPr="00303008" w:rsidRDefault="009C1CE1" w:rsidP="00A85D26">
      <w:pPr>
        <w:tabs>
          <w:tab w:val="left" w:pos="851"/>
        </w:tabs>
        <w:ind w:left="851"/>
        <w:rPr>
          <w:sz w:val="24"/>
          <w:szCs w:val="24"/>
          <w:lang w:val="en-GB"/>
        </w:rPr>
      </w:pPr>
      <w:r>
        <w:rPr>
          <w:sz w:val="24"/>
          <w:szCs w:val="24"/>
          <w:lang w:val="en-GB"/>
        </w:rPr>
        <w:t>2 years.</w:t>
      </w:r>
    </w:p>
    <w:p w14:paraId="70335F31" w14:textId="77777777" w:rsidR="007C5D2A" w:rsidRPr="00303008" w:rsidRDefault="007C5D2A" w:rsidP="003E0341">
      <w:pPr>
        <w:tabs>
          <w:tab w:val="left" w:pos="851"/>
        </w:tabs>
        <w:ind w:left="851"/>
        <w:rPr>
          <w:sz w:val="24"/>
          <w:szCs w:val="24"/>
          <w:lang w:val="en-GB"/>
        </w:rPr>
      </w:pPr>
    </w:p>
    <w:p w14:paraId="7DD7DD3F"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21FCB239" w14:textId="2B20C794" w:rsidR="009C1CE1" w:rsidRPr="009C1CE1" w:rsidRDefault="009C1CE1" w:rsidP="009C1CE1">
      <w:pPr>
        <w:tabs>
          <w:tab w:val="left" w:pos="851"/>
        </w:tabs>
        <w:ind w:left="851"/>
        <w:rPr>
          <w:sz w:val="24"/>
          <w:szCs w:val="24"/>
          <w:lang w:val="en-GB"/>
        </w:rPr>
      </w:pPr>
      <w:r w:rsidRPr="009C1CE1">
        <w:rPr>
          <w:sz w:val="24"/>
          <w:szCs w:val="24"/>
          <w:lang w:val="en-GB"/>
        </w:rPr>
        <w:t>Do not store above 25</w:t>
      </w:r>
      <w:r>
        <w:rPr>
          <w:sz w:val="24"/>
          <w:szCs w:val="24"/>
          <w:lang w:val="en-GB"/>
        </w:rPr>
        <w:t xml:space="preserve"> </w:t>
      </w:r>
      <w:r w:rsidRPr="009C1CE1">
        <w:rPr>
          <w:sz w:val="24"/>
          <w:szCs w:val="24"/>
          <w:lang w:val="en-GB"/>
        </w:rPr>
        <w:sym w:font="Symbol" w:char="F0B0"/>
      </w:r>
      <w:r w:rsidRPr="009C1CE1">
        <w:rPr>
          <w:sz w:val="24"/>
          <w:szCs w:val="24"/>
          <w:lang w:val="en-GB"/>
        </w:rPr>
        <w:t>C.</w:t>
      </w:r>
    </w:p>
    <w:p w14:paraId="58018653" w14:textId="77777777" w:rsidR="007C5D2A" w:rsidRPr="00303008" w:rsidRDefault="007C5D2A" w:rsidP="003E0341">
      <w:pPr>
        <w:tabs>
          <w:tab w:val="left" w:pos="851"/>
        </w:tabs>
        <w:ind w:left="851"/>
        <w:rPr>
          <w:sz w:val="24"/>
          <w:szCs w:val="24"/>
          <w:lang w:val="en-GB"/>
        </w:rPr>
      </w:pPr>
    </w:p>
    <w:p w14:paraId="4D8AFA77"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8BC7272" w14:textId="77777777" w:rsidR="009C1CE1" w:rsidRDefault="009C1CE1" w:rsidP="009C1CE1">
      <w:pPr>
        <w:tabs>
          <w:tab w:val="left" w:pos="851"/>
        </w:tabs>
        <w:ind w:left="851"/>
        <w:rPr>
          <w:sz w:val="24"/>
          <w:szCs w:val="24"/>
          <w:lang w:val="en-GB"/>
        </w:rPr>
      </w:pPr>
      <w:bookmarkStart w:id="15" w:name="_Hlk94620434"/>
      <w:r w:rsidRPr="009C1CE1">
        <w:rPr>
          <w:sz w:val="24"/>
          <w:szCs w:val="24"/>
          <w:lang w:val="en-GB"/>
        </w:rPr>
        <w:t>H</w:t>
      </w:r>
      <w:bookmarkStart w:id="16" w:name="_Hlk94615957"/>
      <w:r w:rsidRPr="009C1CE1">
        <w:rPr>
          <w:sz w:val="24"/>
          <w:szCs w:val="24"/>
          <w:lang w:val="en-GB"/>
        </w:rPr>
        <w:t>DPE bottle with a child-resistant PP cap</w:t>
      </w:r>
      <w:bookmarkEnd w:id="15"/>
      <w:bookmarkEnd w:id="16"/>
      <w:r>
        <w:rPr>
          <w:sz w:val="24"/>
          <w:szCs w:val="24"/>
          <w:lang w:val="en-GB"/>
        </w:rPr>
        <w:t>.</w:t>
      </w:r>
    </w:p>
    <w:p w14:paraId="7E599DC2" w14:textId="77777777" w:rsidR="009C1CE1" w:rsidRDefault="009C1CE1" w:rsidP="009C1CE1">
      <w:pPr>
        <w:tabs>
          <w:tab w:val="left" w:pos="851"/>
        </w:tabs>
        <w:ind w:left="851"/>
        <w:rPr>
          <w:sz w:val="24"/>
          <w:szCs w:val="24"/>
          <w:lang w:val="en-GB"/>
        </w:rPr>
      </w:pPr>
    </w:p>
    <w:p w14:paraId="654DC0DB" w14:textId="673240EF" w:rsidR="009C1CE1" w:rsidRPr="009C1CE1" w:rsidRDefault="009C1CE1" w:rsidP="009C1CE1">
      <w:pPr>
        <w:tabs>
          <w:tab w:val="left" w:pos="851"/>
        </w:tabs>
        <w:ind w:left="851"/>
        <w:rPr>
          <w:sz w:val="24"/>
          <w:szCs w:val="24"/>
          <w:lang w:val="en-GB"/>
        </w:rPr>
      </w:pPr>
      <w:r>
        <w:rPr>
          <w:sz w:val="24"/>
          <w:szCs w:val="24"/>
          <w:lang w:val="en-GB"/>
        </w:rPr>
        <w:t>Pack sizes</w:t>
      </w:r>
      <w:r w:rsidRPr="009C1CE1">
        <w:rPr>
          <w:sz w:val="24"/>
          <w:szCs w:val="24"/>
          <w:lang w:val="en-GB"/>
        </w:rPr>
        <w:t xml:space="preserve">: 28 </w:t>
      </w:r>
      <w:r w:rsidR="00F93C8D">
        <w:rPr>
          <w:sz w:val="24"/>
          <w:szCs w:val="24"/>
          <w:lang w:val="en-GB"/>
        </w:rPr>
        <w:t>and</w:t>
      </w:r>
      <w:r w:rsidRPr="009C1CE1">
        <w:rPr>
          <w:sz w:val="24"/>
          <w:szCs w:val="24"/>
          <w:lang w:val="en-GB"/>
        </w:rPr>
        <w:t xml:space="preserve"> 30 hard capsules</w:t>
      </w:r>
      <w:r w:rsidR="00F93C8D">
        <w:rPr>
          <w:sz w:val="24"/>
          <w:szCs w:val="24"/>
          <w:lang w:val="en-GB"/>
        </w:rPr>
        <w:t>.</w:t>
      </w:r>
    </w:p>
    <w:p w14:paraId="72EC8864" w14:textId="77777777" w:rsidR="009C1CE1" w:rsidRPr="009C1CE1" w:rsidRDefault="009C1CE1" w:rsidP="009C1CE1">
      <w:pPr>
        <w:tabs>
          <w:tab w:val="left" w:pos="851"/>
        </w:tabs>
        <w:ind w:left="851"/>
        <w:rPr>
          <w:sz w:val="24"/>
          <w:szCs w:val="24"/>
          <w:lang w:val="en-GB"/>
        </w:rPr>
      </w:pPr>
      <w:r w:rsidRPr="009C1CE1">
        <w:rPr>
          <w:sz w:val="24"/>
          <w:szCs w:val="24"/>
          <w:lang w:val="en-GB"/>
        </w:rPr>
        <w:t>Not all pack sizes may be marketed.</w:t>
      </w:r>
    </w:p>
    <w:p w14:paraId="049D6FB3" w14:textId="77777777" w:rsidR="007C5D2A" w:rsidRPr="00303008" w:rsidRDefault="007C5D2A" w:rsidP="003E0341">
      <w:pPr>
        <w:tabs>
          <w:tab w:val="left" w:pos="851"/>
        </w:tabs>
        <w:ind w:left="851"/>
        <w:rPr>
          <w:sz w:val="24"/>
          <w:szCs w:val="24"/>
          <w:lang w:val="en-GB"/>
        </w:rPr>
      </w:pPr>
    </w:p>
    <w:p w14:paraId="26D2DA41"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CC3F5BE" w14:textId="77777777" w:rsidR="00F93C8D" w:rsidRPr="00F93C8D" w:rsidRDefault="00F93C8D" w:rsidP="00F93C8D">
      <w:pPr>
        <w:tabs>
          <w:tab w:val="left" w:pos="851"/>
        </w:tabs>
        <w:ind w:left="851"/>
        <w:rPr>
          <w:sz w:val="24"/>
          <w:szCs w:val="24"/>
          <w:lang w:val="en-GB"/>
        </w:rPr>
      </w:pPr>
      <w:r w:rsidRPr="00F93C8D">
        <w:rPr>
          <w:sz w:val="24"/>
          <w:szCs w:val="24"/>
          <w:lang w:val="en-GB"/>
        </w:rPr>
        <w:t>Any unused medicinal product or waste material should be disposed of in accordance with local requirements.</w:t>
      </w:r>
    </w:p>
    <w:p w14:paraId="16F4B312" w14:textId="77777777" w:rsidR="007C5D2A" w:rsidRPr="00303008" w:rsidRDefault="007C5D2A" w:rsidP="00AB4376">
      <w:pPr>
        <w:tabs>
          <w:tab w:val="left" w:pos="851"/>
        </w:tabs>
        <w:ind w:left="851"/>
        <w:rPr>
          <w:sz w:val="24"/>
          <w:szCs w:val="24"/>
          <w:lang w:val="en-GB"/>
        </w:rPr>
      </w:pPr>
    </w:p>
    <w:p w14:paraId="44866526"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9827EBB" w14:textId="77777777" w:rsidR="00F93C8D" w:rsidRPr="00F93C8D" w:rsidRDefault="00F93C8D" w:rsidP="00F93C8D">
      <w:pPr>
        <w:tabs>
          <w:tab w:val="left" w:pos="851"/>
        </w:tabs>
        <w:ind w:left="851"/>
        <w:jc w:val="both"/>
        <w:rPr>
          <w:sz w:val="24"/>
          <w:szCs w:val="24"/>
          <w:lang w:val="en-US"/>
        </w:rPr>
      </w:pPr>
      <w:bookmarkStart w:id="17" w:name="Modtager"/>
      <w:bookmarkEnd w:id="17"/>
      <w:r w:rsidRPr="00F93C8D">
        <w:rPr>
          <w:sz w:val="24"/>
          <w:szCs w:val="24"/>
          <w:lang w:val="en-US"/>
        </w:rPr>
        <w:t>Sandoz A/S</w:t>
      </w:r>
    </w:p>
    <w:p w14:paraId="3E44937E" w14:textId="77777777" w:rsidR="00F93C8D" w:rsidRPr="00F93C8D" w:rsidRDefault="00F93C8D" w:rsidP="00F93C8D">
      <w:pPr>
        <w:tabs>
          <w:tab w:val="left" w:pos="851"/>
        </w:tabs>
        <w:ind w:left="851"/>
        <w:jc w:val="both"/>
        <w:rPr>
          <w:sz w:val="24"/>
          <w:szCs w:val="24"/>
          <w:lang w:val="en-US"/>
        </w:rPr>
      </w:pPr>
      <w:r w:rsidRPr="00F93C8D">
        <w:rPr>
          <w:sz w:val="24"/>
          <w:szCs w:val="24"/>
          <w:lang w:val="en-US"/>
        </w:rPr>
        <w:t>Edvard Thomsens Vej 14</w:t>
      </w:r>
    </w:p>
    <w:p w14:paraId="67DB0E28" w14:textId="77777777" w:rsidR="00F93C8D" w:rsidRPr="00F93C8D" w:rsidRDefault="00F93C8D" w:rsidP="00F93C8D">
      <w:pPr>
        <w:tabs>
          <w:tab w:val="left" w:pos="851"/>
        </w:tabs>
        <w:ind w:left="851"/>
        <w:jc w:val="both"/>
        <w:rPr>
          <w:sz w:val="24"/>
          <w:szCs w:val="24"/>
          <w:lang w:val="en-US"/>
        </w:rPr>
      </w:pPr>
      <w:r w:rsidRPr="00F93C8D">
        <w:rPr>
          <w:sz w:val="24"/>
          <w:szCs w:val="24"/>
          <w:lang w:val="en-US"/>
        </w:rPr>
        <w:t>2300 København S</w:t>
      </w:r>
    </w:p>
    <w:p w14:paraId="146922CB" w14:textId="1A671D12" w:rsidR="00F93C8D" w:rsidRDefault="00F93C8D">
      <w:pPr>
        <w:rPr>
          <w:sz w:val="24"/>
          <w:szCs w:val="24"/>
          <w:lang w:val="en-GB"/>
        </w:rPr>
      </w:pPr>
      <w:r>
        <w:rPr>
          <w:sz w:val="24"/>
          <w:szCs w:val="24"/>
          <w:lang w:val="en-GB"/>
        </w:rPr>
        <w:br w:type="page"/>
      </w:r>
    </w:p>
    <w:p w14:paraId="00D2EB0C" w14:textId="77777777" w:rsidR="007C5D2A" w:rsidRDefault="007C5D2A" w:rsidP="003E0341">
      <w:pPr>
        <w:tabs>
          <w:tab w:val="left" w:pos="851"/>
        </w:tabs>
        <w:ind w:left="851"/>
        <w:jc w:val="both"/>
        <w:rPr>
          <w:sz w:val="24"/>
          <w:szCs w:val="24"/>
          <w:lang w:val="en-GB"/>
        </w:rPr>
      </w:pPr>
    </w:p>
    <w:p w14:paraId="4306A9E6"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1B0B498" w14:textId="49E89E43" w:rsidR="007C5D2A" w:rsidRPr="00C35E91" w:rsidRDefault="00F93C8D" w:rsidP="00860F9F">
      <w:pPr>
        <w:tabs>
          <w:tab w:val="left" w:pos="851"/>
          <w:tab w:val="left" w:pos="1560"/>
        </w:tabs>
        <w:ind w:left="851"/>
        <w:jc w:val="both"/>
        <w:rPr>
          <w:sz w:val="24"/>
          <w:szCs w:val="24"/>
          <w:lang w:val="en-US"/>
        </w:rPr>
      </w:pPr>
      <w:r w:rsidRPr="00C35E91">
        <w:rPr>
          <w:sz w:val="24"/>
          <w:szCs w:val="24"/>
          <w:lang w:val="en-US"/>
        </w:rPr>
        <w:t>20 mg:</w:t>
      </w:r>
      <w:r w:rsidR="00860F9F" w:rsidRPr="00C35E91">
        <w:rPr>
          <w:sz w:val="24"/>
          <w:szCs w:val="24"/>
          <w:lang w:val="en-US"/>
        </w:rPr>
        <w:tab/>
        <w:t>67516</w:t>
      </w:r>
    </w:p>
    <w:p w14:paraId="1C5E5FAF" w14:textId="6B898A0C" w:rsidR="00860F9F" w:rsidRPr="00C35E91" w:rsidRDefault="00F93C8D" w:rsidP="00860F9F">
      <w:pPr>
        <w:tabs>
          <w:tab w:val="left" w:pos="851"/>
          <w:tab w:val="left" w:pos="1560"/>
        </w:tabs>
        <w:ind w:left="851"/>
        <w:jc w:val="both"/>
        <w:rPr>
          <w:sz w:val="24"/>
          <w:szCs w:val="24"/>
          <w:lang w:val="en-US"/>
        </w:rPr>
      </w:pPr>
      <w:r w:rsidRPr="00C35E91">
        <w:rPr>
          <w:sz w:val="24"/>
          <w:szCs w:val="24"/>
          <w:lang w:val="en-US"/>
        </w:rPr>
        <w:t>30 mg:</w:t>
      </w:r>
      <w:r w:rsidR="00860F9F" w:rsidRPr="00C35E91">
        <w:rPr>
          <w:sz w:val="24"/>
          <w:szCs w:val="24"/>
          <w:lang w:val="en-US"/>
        </w:rPr>
        <w:tab/>
        <w:t>67517</w:t>
      </w:r>
    </w:p>
    <w:p w14:paraId="5555DE6F" w14:textId="45CBD67B" w:rsidR="00F93C8D" w:rsidRPr="00C35E91" w:rsidRDefault="00F93C8D" w:rsidP="00860F9F">
      <w:pPr>
        <w:tabs>
          <w:tab w:val="left" w:pos="851"/>
          <w:tab w:val="left" w:pos="1560"/>
        </w:tabs>
        <w:ind w:left="851"/>
        <w:jc w:val="both"/>
        <w:rPr>
          <w:sz w:val="24"/>
          <w:szCs w:val="24"/>
          <w:lang w:val="en-US"/>
        </w:rPr>
      </w:pPr>
      <w:r w:rsidRPr="00C35E91">
        <w:rPr>
          <w:sz w:val="24"/>
          <w:szCs w:val="24"/>
          <w:lang w:val="en-US"/>
        </w:rPr>
        <w:t>40 mg:</w:t>
      </w:r>
      <w:r w:rsidR="00860F9F" w:rsidRPr="00C35E91">
        <w:rPr>
          <w:sz w:val="24"/>
          <w:szCs w:val="24"/>
          <w:lang w:val="en-US"/>
        </w:rPr>
        <w:tab/>
        <w:t>67518</w:t>
      </w:r>
    </w:p>
    <w:p w14:paraId="3A66117A" w14:textId="5C6C3E53" w:rsidR="00F93C8D" w:rsidRPr="00C35E91" w:rsidRDefault="00F93C8D" w:rsidP="00860F9F">
      <w:pPr>
        <w:tabs>
          <w:tab w:val="left" w:pos="851"/>
          <w:tab w:val="left" w:pos="1560"/>
        </w:tabs>
        <w:ind w:left="851"/>
        <w:jc w:val="both"/>
        <w:rPr>
          <w:sz w:val="24"/>
          <w:szCs w:val="24"/>
          <w:lang w:val="en-US"/>
        </w:rPr>
      </w:pPr>
      <w:r w:rsidRPr="00C35E91">
        <w:rPr>
          <w:sz w:val="24"/>
          <w:szCs w:val="24"/>
          <w:lang w:val="en-US"/>
        </w:rPr>
        <w:t>50 mg:</w:t>
      </w:r>
      <w:r w:rsidR="00860F9F" w:rsidRPr="00C35E91">
        <w:rPr>
          <w:sz w:val="24"/>
          <w:szCs w:val="24"/>
          <w:lang w:val="en-US"/>
        </w:rPr>
        <w:tab/>
        <w:t>67521</w:t>
      </w:r>
    </w:p>
    <w:p w14:paraId="31FBCF2A" w14:textId="0C06D20C" w:rsidR="00F93C8D" w:rsidRPr="00C35E91" w:rsidRDefault="00F93C8D" w:rsidP="00860F9F">
      <w:pPr>
        <w:tabs>
          <w:tab w:val="left" w:pos="851"/>
          <w:tab w:val="left" w:pos="1560"/>
        </w:tabs>
        <w:ind w:left="851"/>
        <w:jc w:val="both"/>
        <w:rPr>
          <w:sz w:val="24"/>
          <w:szCs w:val="24"/>
          <w:lang w:val="en-US"/>
        </w:rPr>
      </w:pPr>
      <w:r w:rsidRPr="00C35E91">
        <w:rPr>
          <w:sz w:val="24"/>
          <w:szCs w:val="24"/>
          <w:lang w:val="en-US"/>
        </w:rPr>
        <w:t>60 mg:</w:t>
      </w:r>
      <w:r w:rsidR="00860F9F" w:rsidRPr="00C35E91">
        <w:rPr>
          <w:sz w:val="24"/>
          <w:szCs w:val="24"/>
          <w:lang w:val="en-US"/>
        </w:rPr>
        <w:tab/>
        <w:t>67523</w:t>
      </w:r>
    </w:p>
    <w:p w14:paraId="2FD7C711" w14:textId="0B3F956C" w:rsidR="00F93C8D" w:rsidRPr="00303008" w:rsidRDefault="00F93C8D" w:rsidP="00860F9F">
      <w:pPr>
        <w:tabs>
          <w:tab w:val="left" w:pos="851"/>
          <w:tab w:val="left" w:pos="1560"/>
        </w:tabs>
        <w:ind w:left="851"/>
        <w:jc w:val="both"/>
        <w:rPr>
          <w:sz w:val="24"/>
          <w:szCs w:val="24"/>
          <w:lang w:val="en-GB"/>
        </w:rPr>
      </w:pPr>
      <w:r>
        <w:rPr>
          <w:sz w:val="24"/>
          <w:szCs w:val="24"/>
          <w:lang w:val="en-GB"/>
        </w:rPr>
        <w:t>70 mg:</w:t>
      </w:r>
      <w:r w:rsidR="00860F9F">
        <w:rPr>
          <w:sz w:val="24"/>
          <w:szCs w:val="24"/>
          <w:lang w:val="en-GB"/>
        </w:rPr>
        <w:tab/>
        <w:t>67525</w:t>
      </w:r>
    </w:p>
    <w:p w14:paraId="230D1578" w14:textId="77777777" w:rsidR="007C5D2A" w:rsidRPr="00303008" w:rsidRDefault="007C5D2A" w:rsidP="00180A12">
      <w:pPr>
        <w:tabs>
          <w:tab w:val="left" w:pos="851"/>
        </w:tabs>
        <w:ind w:left="851"/>
        <w:jc w:val="both"/>
        <w:rPr>
          <w:sz w:val="24"/>
          <w:szCs w:val="24"/>
          <w:lang w:val="en-GB"/>
        </w:rPr>
      </w:pPr>
    </w:p>
    <w:p w14:paraId="47FD65F3"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5F3CEE72" w14:textId="30273FF6" w:rsidR="007C5D2A" w:rsidRPr="00303008" w:rsidRDefault="00C35E91" w:rsidP="00A85D26">
      <w:pPr>
        <w:ind w:left="851"/>
        <w:jc w:val="both"/>
        <w:rPr>
          <w:sz w:val="24"/>
          <w:szCs w:val="24"/>
          <w:lang w:val="en-GB"/>
        </w:rPr>
      </w:pPr>
      <w:r>
        <w:rPr>
          <w:sz w:val="24"/>
          <w:szCs w:val="24"/>
          <w:lang w:val="en-GB"/>
        </w:rPr>
        <w:t>28. maj 2024</w:t>
      </w:r>
    </w:p>
    <w:p w14:paraId="3F947D15" w14:textId="77777777" w:rsidR="007C5D2A" w:rsidRPr="00303008" w:rsidRDefault="007C5D2A" w:rsidP="003E0341">
      <w:pPr>
        <w:tabs>
          <w:tab w:val="left" w:pos="851"/>
        </w:tabs>
        <w:ind w:left="851"/>
        <w:jc w:val="both"/>
        <w:rPr>
          <w:sz w:val="24"/>
          <w:szCs w:val="24"/>
          <w:lang w:val="en-GB"/>
        </w:rPr>
      </w:pPr>
    </w:p>
    <w:p w14:paraId="3E8F5729"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1C0F9324" w14:textId="2FF5A516" w:rsidR="007C5D2A" w:rsidRPr="00303008" w:rsidRDefault="00860F9F"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77E1E" w14:textId="77777777" w:rsidR="003B55EE" w:rsidRDefault="003B55EE">
      <w:r>
        <w:separator/>
      </w:r>
    </w:p>
  </w:endnote>
  <w:endnote w:type="continuationSeparator" w:id="0">
    <w:p w14:paraId="1B6D8DF5" w14:textId="77777777" w:rsidR="003B55EE" w:rsidRDefault="003B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65D3" w14:textId="77777777" w:rsidR="003B55EE" w:rsidRDefault="003B55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18F6" w14:textId="77777777" w:rsidR="003B55EE" w:rsidRDefault="003B55EE">
    <w:pPr>
      <w:pStyle w:val="Sidefod"/>
      <w:pBdr>
        <w:bottom w:val="single" w:sz="6" w:space="1" w:color="auto"/>
      </w:pBdr>
    </w:pPr>
  </w:p>
  <w:p w14:paraId="5DC97F3D" w14:textId="77777777" w:rsidR="003B55EE" w:rsidRDefault="003B55EE">
    <w:pPr>
      <w:pStyle w:val="Sidefod"/>
      <w:tabs>
        <w:tab w:val="clear" w:pos="4819"/>
        <w:tab w:val="left" w:pos="8647"/>
      </w:tabs>
      <w:rPr>
        <w:i/>
        <w:snapToGrid w:val="0"/>
        <w:sz w:val="18"/>
      </w:rPr>
    </w:pPr>
  </w:p>
  <w:p w14:paraId="16233A54" w14:textId="005D0BE3" w:rsidR="003B55EE" w:rsidRDefault="003B55E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Dexhility, hårde kapsler 20 mg, 30 mg, 40 mg, 50 mg, 60 mg og 70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9A6B" w14:textId="77777777" w:rsidR="003B55EE" w:rsidRDefault="003B55EE">
    <w:pPr>
      <w:pStyle w:val="Sidefod"/>
      <w:pBdr>
        <w:bottom w:val="single" w:sz="6" w:space="1" w:color="auto"/>
      </w:pBdr>
      <w:tabs>
        <w:tab w:val="clear" w:pos="4819"/>
        <w:tab w:val="left" w:pos="8789"/>
      </w:tabs>
      <w:rPr>
        <w:i/>
        <w:snapToGrid w:val="0"/>
        <w:sz w:val="18"/>
      </w:rPr>
    </w:pPr>
  </w:p>
  <w:p w14:paraId="2D21D862" w14:textId="77777777" w:rsidR="003B55EE" w:rsidRDefault="003B55EE">
    <w:pPr>
      <w:pStyle w:val="Sidefod"/>
      <w:tabs>
        <w:tab w:val="clear" w:pos="4819"/>
        <w:tab w:val="left" w:pos="8789"/>
      </w:tabs>
      <w:rPr>
        <w:i/>
        <w:snapToGrid w:val="0"/>
        <w:sz w:val="18"/>
      </w:rPr>
    </w:pPr>
  </w:p>
  <w:p w14:paraId="0676F575" w14:textId="17C84104" w:rsidR="003B55EE" w:rsidRDefault="003B55E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Dexhility, hårde kapsler 20 mg, 30 mg, 40 mg, 50 mg, 60 mg og 70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D72E1" w14:textId="77777777" w:rsidR="003B55EE" w:rsidRDefault="003B55EE">
      <w:r>
        <w:separator/>
      </w:r>
    </w:p>
  </w:footnote>
  <w:footnote w:type="continuationSeparator" w:id="0">
    <w:p w14:paraId="1B785BF6" w14:textId="77777777" w:rsidR="003B55EE" w:rsidRDefault="003B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B79D" w14:textId="77777777" w:rsidR="003B55EE" w:rsidRDefault="003B55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E4AD" w14:textId="77777777" w:rsidR="003B55EE" w:rsidRDefault="003B55E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44EB" w14:textId="77777777" w:rsidR="003B55EE" w:rsidRDefault="003B55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531E21"/>
    <w:multiLevelType w:val="hybridMultilevel"/>
    <w:tmpl w:val="FAEE0CDA"/>
    <w:lvl w:ilvl="0" w:tplc="65F84122">
      <w:start w:val="1"/>
      <w:numFmt w:val="bullet"/>
      <w:lvlText w:val=""/>
      <w:lvlJc w:val="left"/>
      <w:pPr>
        <w:ind w:left="360" w:hanging="360"/>
      </w:pPr>
      <w:rPr>
        <w:rFonts w:ascii="Symbol" w:hAnsi="Symbol" w:hint="default"/>
      </w:rPr>
    </w:lvl>
    <w:lvl w:ilvl="1" w:tplc="29FE3E74">
      <w:start w:val="1"/>
      <w:numFmt w:val="bullet"/>
      <w:lvlText w:val="o"/>
      <w:lvlJc w:val="left"/>
      <w:pPr>
        <w:ind w:left="1080" w:hanging="360"/>
      </w:pPr>
      <w:rPr>
        <w:rFonts w:ascii="Courier New" w:hAnsi="Courier New" w:cs="Courier New" w:hint="default"/>
      </w:rPr>
    </w:lvl>
    <w:lvl w:ilvl="2" w:tplc="685CF2DC">
      <w:start w:val="1"/>
      <w:numFmt w:val="bullet"/>
      <w:lvlText w:val=""/>
      <w:lvlJc w:val="left"/>
      <w:pPr>
        <w:ind w:left="1800" w:hanging="360"/>
      </w:pPr>
      <w:rPr>
        <w:rFonts w:ascii="Wingdings" w:hAnsi="Wingdings" w:hint="default"/>
      </w:rPr>
    </w:lvl>
    <w:lvl w:ilvl="3" w:tplc="779034CC">
      <w:start w:val="1"/>
      <w:numFmt w:val="bullet"/>
      <w:lvlText w:val=""/>
      <w:lvlJc w:val="left"/>
      <w:pPr>
        <w:ind w:left="2520" w:hanging="360"/>
      </w:pPr>
      <w:rPr>
        <w:rFonts w:ascii="Symbol" w:hAnsi="Symbol" w:hint="default"/>
      </w:rPr>
    </w:lvl>
    <w:lvl w:ilvl="4" w:tplc="BD7CC5AA">
      <w:start w:val="1"/>
      <w:numFmt w:val="bullet"/>
      <w:lvlText w:val="o"/>
      <w:lvlJc w:val="left"/>
      <w:pPr>
        <w:ind w:left="3240" w:hanging="360"/>
      </w:pPr>
      <w:rPr>
        <w:rFonts w:ascii="Courier New" w:hAnsi="Courier New" w:cs="Courier New" w:hint="default"/>
      </w:rPr>
    </w:lvl>
    <w:lvl w:ilvl="5" w:tplc="9F18EE7A">
      <w:start w:val="1"/>
      <w:numFmt w:val="bullet"/>
      <w:lvlText w:val=""/>
      <w:lvlJc w:val="left"/>
      <w:pPr>
        <w:ind w:left="3960" w:hanging="360"/>
      </w:pPr>
      <w:rPr>
        <w:rFonts w:ascii="Wingdings" w:hAnsi="Wingdings" w:hint="default"/>
      </w:rPr>
    </w:lvl>
    <w:lvl w:ilvl="6" w:tplc="3D241E22">
      <w:start w:val="1"/>
      <w:numFmt w:val="bullet"/>
      <w:lvlText w:val=""/>
      <w:lvlJc w:val="left"/>
      <w:pPr>
        <w:ind w:left="4680" w:hanging="360"/>
      </w:pPr>
      <w:rPr>
        <w:rFonts w:ascii="Symbol" w:hAnsi="Symbol" w:hint="default"/>
      </w:rPr>
    </w:lvl>
    <w:lvl w:ilvl="7" w:tplc="3FFE88BE">
      <w:start w:val="1"/>
      <w:numFmt w:val="bullet"/>
      <w:lvlText w:val="o"/>
      <w:lvlJc w:val="left"/>
      <w:pPr>
        <w:ind w:left="5400" w:hanging="360"/>
      </w:pPr>
      <w:rPr>
        <w:rFonts w:ascii="Courier New" w:hAnsi="Courier New" w:cs="Courier New" w:hint="default"/>
      </w:rPr>
    </w:lvl>
    <w:lvl w:ilvl="8" w:tplc="544C5828">
      <w:start w:val="1"/>
      <w:numFmt w:val="bullet"/>
      <w:lvlText w:val=""/>
      <w:lvlJc w:val="left"/>
      <w:pPr>
        <w:ind w:left="612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41759DE"/>
    <w:multiLevelType w:val="hybridMultilevel"/>
    <w:tmpl w:val="CB54F8F4"/>
    <w:lvl w:ilvl="0" w:tplc="2528C470">
      <w:start w:val="1"/>
      <w:numFmt w:val="lowerLetter"/>
      <w:lvlText w:val="[%1]"/>
      <w:lvlJc w:val="left"/>
      <w:pPr>
        <w:ind w:left="218" w:hanging="224"/>
      </w:pPr>
      <w:rPr>
        <w:rFonts w:ascii="Times New Roman" w:eastAsia="Times New Roman" w:hAnsi="Times New Roman" w:cs="Times New Roman" w:hint="default"/>
        <w:b w:val="0"/>
        <w:bCs w:val="0"/>
        <w:i w:val="0"/>
        <w:iCs w:val="0"/>
        <w:spacing w:val="0"/>
        <w:w w:val="99"/>
        <w:sz w:val="16"/>
        <w:szCs w:val="16"/>
        <w:lang w:val="sv-SE" w:eastAsia="en-US" w:bidi="ar-SA"/>
      </w:rPr>
    </w:lvl>
    <w:lvl w:ilvl="1" w:tplc="BA004C2C">
      <w:numFmt w:val="bullet"/>
      <w:lvlText w:val="•"/>
      <w:lvlJc w:val="left"/>
      <w:pPr>
        <w:ind w:left="1154" w:hanging="224"/>
      </w:pPr>
      <w:rPr>
        <w:lang w:val="sv-SE" w:eastAsia="en-US" w:bidi="ar-SA"/>
      </w:rPr>
    </w:lvl>
    <w:lvl w:ilvl="2" w:tplc="C75C9C20">
      <w:numFmt w:val="bullet"/>
      <w:lvlText w:val="•"/>
      <w:lvlJc w:val="left"/>
      <w:pPr>
        <w:ind w:left="2089" w:hanging="224"/>
      </w:pPr>
      <w:rPr>
        <w:lang w:val="sv-SE" w:eastAsia="en-US" w:bidi="ar-SA"/>
      </w:rPr>
    </w:lvl>
    <w:lvl w:ilvl="3" w:tplc="0D2A6FAA">
      <w:numFmt w:val="bullet"/>
      <w:lvlText w:val="•"/>
      <w:lvlJc w:val="left"/>
      <w:pPr>
        <w:ind w:left="3024" w:hanging="224"/>
      </w:pPr>
      <w:rPr>
        <w:lang w:val="sv-SE" w:eastAsia="en-US" w:bidi="ar-SA"/>
      </w:rPr>
    </w:lvl>
    <w:lvl w:ilvl="4" w:tplc="2B84AEDE">
      <w:numFmt w:val="bullet"/>
      <w:lvlText w:val="•"/>
      <w:lvlJc w:val="left"/>
      <w:pPr>
        <w:ind w:left="3958" w:hanging="224"/>
      </w:pPr>
      <w:rPr>
        <w:lang w:val="sv-SE" w:eastAsia="en-US" w:bidi="ar-SA"/>
      </w:rPr>
    </w:lvl>
    <w:lvl w:ilvl="5" w:tplc="EADA6C58">
      <w:numFmt w:val="bullet"/>
      <w:lvlText w:val="•"/>
      <w:lvlJc w:val="left"/>
      <w:pPr>
        <w:ind w:left="4893" w:hanging="224"/>
      </w:pPr>
      <w:rPr>
        <w:lang w:val="sv-SE" w:eastAsia="en-US" w:bidi="ar-SA"/>
      </w:rPr>
    </w:lvl>
    <w:lvl w:ilvl="6" w:tplc="D60E82DA">
      <w:numFmt w:val="bullet"/>
      <w:lvlText w:val="•"/>
      <w:lvlJc w:val="left"/>
      <w:pPr>
        <w:ind w:left="5828" w:hanging="224"/>
      </w:pPr>
      <w:rPr>
        <w:lang w:val="sv-SE" w:eastAsia="en-US" w:bidi="ar-SA"/>
      </w:rPr>
    </w:lvl>
    <w:lvl w:ilvl="7" w:tplc="76D2D658">
      <w:numFmt w:val="bullet"/>
      <w:lvlText w:val="•"/>
      <w:lvlJc w:val="left"/>
      <w:pPr>
        <w:ind w:left="6762" w:hanging="224"/>
      </w:pPr>
      <w:rPr>
        <w:lang w:val="sv-SE" w:eastAsia="en-US" w:bidi="ar-SA"/>
      </w:rPr>
    </w:lvl>
    <w:lvl w:ilvl="8" w:tplc="908CCFA8">
      <w:numFmt w:val="bullet"/>
      <w:lvlText w:val="•"/>
      <w:lvlJc w:val="left"/>
      <w:pPr>
        <w:ind w:left="7697" w:hanging="224"/>
      </w:pPr>
      <w:rPr>
        <w:lang w:val="sv-SE" w:eastAsia="en-US" w:bidi="ar-SA"/>
      </w:rPr>
    </w:lvl>
  </w:abstractNum>
  <w:num w:numId="1">
    <w:abstractNumId w:val="2"/>
  </w:num>
  <w:num w:numId="2">
    <w:abstractNumId w:val="0"/>
  </w:num>
  <w:num w:numId="3">
    <w:abstractNumId w:val="4"/>
  </w:num>
  <w:num w:numId="4">
    <w:abstractNumId w:val="1"/>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BB"/>
    <w:rsid w:val="00056601"/>
    <w:rsid w:val="000C2850"/>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85FC8"/>
    <w:rsid w:val="003B4007"/>
    <w:rsid w:val="003B55EE"/>
    <w:rsid w:val="003D727E"/>
    <w:rsid w:val="003E0341"/>
    <w:rsid w:val="003E3402"/>
    <w:rsid w:val="003F4736"/>
    <w:rsid w:val="00401B49"/>
    <w:rsid w:val="0042292D"/>
    <w:rsid w:val="00437D5B"/>
    <w:rsid w:val="00440254"/>
    <w:rsid w:val="00440FC0"/>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6C550F"/>
    <w:rsid w:val="0075453D"/>
    <w:rsid w:val="007A4CC6"/>
    <w:rsid w:val="007C1475"/>
    <w:rsid w:val="007C3623"/>
    <w:rsid w:val="007C5D2A"/>
    <w:rsid w:val="007F1E00"/>
    <w:rsid w:val="00827444"/>
    <w:rsid w:val="008400E3"/>
    <w:rsid w:val="00860F9F"/>
    <w:rsid w:val="00864538"/>
    <w:rsid w:val="00873B4F"/>
    <w:rsid w:val="008A24F6"/>
    <w:rsid w:val="008E51AE"/>
    <w:rsid w:val="008E65A3"/>
    <w:rsid w:val="008F2F8C"/>
    <w:rsid w:val="00961494"/>
    <w:rsid w:val="009925C9"/>
    <w:rsid w:val="009C1CE1"/>
    <w:rsid w:val="00A179D0"/>
    <w:rsid w:val="00A358A3"/>
    <w:rsid w:val="00A46747"/>
    <w:rsid w:val="00A80446"/>
    <w:rsid w:val="00A85D26"/>
    <w:rsid w:val="00A9153A"/>
    <w:rsid w:val="00AB4376"/>
    <w:rsid w:val="00AC033C"/>
    <w:rsid w:val="00AD2E36"/>
    <w:rsid w:val="00B3239A"/>
    <w:rsid w:val="00B45DC5"/>
    <w:rsid w:val="00B74276"/>
    <w:rsid w:val="00BB034A"/>
    <w:rsid w:val="00BD3490"/>
    <w:rsid w:val="00C25DBB"/>
    <w:rsid w:val="00C26226"/>
    <w:rsid w:val="00C3571D"/>
    <w:rsid w:val="00C35E91"/>
    <w:rsid w:val="00C54F0B"/>
    <w:rsid w:val="00C82621"/>
    <w:rsid w:val="00CB1423"/>
    <w:rsid w:val="00CB19AD"/>
    <w:rsid w:val="00D02508"/>
    <w:rsid w:val="00D44C81"/>
    <w:rsid w:val="00D663DA"/>
    <w:rsid w:val="00D778CC"/>
    <w:rsid w:val="00D82FE9"/>
    <w:rsid w:val="00D97B77"/>
    <w:rsid w:val="00DB6A85"/>
    <w:rsid w:val="00E06B32"/>
    <w:rsid w:val="00E1290F"/>
    <w:rsid w:val="00E27159"/>
    <w:rsid w:val="00E36A80"/>
    <w:rsid w:val="00E57032"/>
    <w:rsid w:val="00E6625B"/>
    <w:rsid w:val="00EB21D7"/>
    <w:rsid w:val="00EE3EB7"/>
    <w:rsid w:val="00F068F8"/>
    <w:rsid w:val="00F1512B"/>
    <w:rsid w:val="00F33EBE"/>
    <w:rsid w:val="00F57E16"/>
    <w:rsid w:val="00F60336"/>
    <w:rsid w:val="00F93C8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364D6"/>
  <w15:chartTrackingRefBased/>
  <w15:docId w15:val="{04F2C435-B776-4683-BBE4-1DCEADF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E65A3"/>
    <w:pPr>
      <w:autoSpaceDE w:val="0"/>
      <w:autoSpaceDN w:val="0"/>
      <w:adjustRightInd w:val="0"/>
    </w:pPr>
    <w:rPr>
      <w:color w:val="000000"/>
      <w:sz w:val="24"/>
      <w:szCs w:val="24"/>
      <w:lang w:val="en-US" w:eastAsia="en-US"/>
    </w:rPr>
  </w:style>
  <w:style w:type="paragraph" w:customStyle="1" w:styleId="TableParagraph">
    <w:name w:val="Table Paragraph"/>
    <w:basedOn w:val="Normal"/>
    <w:uiPriority w:val="1"/>
    <w:qFormat/>
    <w:rsid w:val="008E65A3"/>
    <w:pPr>
      <w:widowControl w:val="0"/>
      <w:autoSpaceDE w:val="0"/>
      <w:autoSpaceDN w:val="0"/>
      <w:spacing w:line="203" w:lineRule="exact"/>
      <w:ind w:left="56"/>
    </w:pPr>
    <w:rPr>
      <w:sz w:val="22"/>
      <w:szCs w:val="22"/>
      <w:lang w:val="sv-SE" w:eastAsia="en-US"/>
    </w:rPr>
  </w:style>
  <w:style w:type="paragraph" w:styleId="Listeafsnit">
    <w:name w:val="List Paragraph"/>
    <w:basedOn w:val="Normal"/>
    <w:uiPriority w:val="1"/>
    <w:qFormat/>
    <w:rsid w:val="00385FC8"/>
    <w:pPr>
      <w:widowControl w:val="0"/>
      <w:autoSpaceDE w:val="0"/>
      <w:autoSpaceDN w:val="0"/>
      <w:ind w:left="784" w:hanging="567"/>
    </w:pPr>
    <w:rPr>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228">
      <w:bodyDiv w:val="1"/>
      <w:marLeft w:val="0"/>
      <w:marRight w:val="0"/>
      <w:marTop w:val="0"/>
      <w:marBottom w:val="0"/>
      <w:divBdr>
        <w:top w:val="none" w:sz="0" w:space="0" w:color="auto"/>
        <w:left w:val="none" w:sz="0" w:space="0" w:color="auto"/>
        <w:bottom w:val="none" w:sz="0" w:space="0" w:color="auto"/>
        <w:right w:val="none" w:sz="0" w:space="0" w:color="auto"/>
      </w:divBdr>
    </w:div>
    <w:div w:id="26034150">
      <w:bodyDiv w:val="1"/>
      <w:marLeft w:val="0"/>
      <w:marRight w:val="0"/>
      <w:marTop w:val="0"/>
      <w:marBottom w:val="0"/>
      <w:divBdr>
        <w:top w:val="none" w:sz="0" w:space="0" w:color="auto"/>
        <w:left w:val="none" w:sz="0" w:space="0" w:color="auto"/>
        <w:bottom w:val="none" w:sz="0" w:space="0" w:color="auto"/>
        <w:right w:val="none" w:sz="0" w:space="0" w:color="auto"/>
      </w:divBdr>
    </w:div>
    <w:div w:id="30738172">
      <w:bodyDiv w:val="1"/>
      <w:marLeft w:val="0"/>
      <w:marRight w:val="0"/>
      <w:marTop w:val="0"/>
      <w:marBottom w:val="0"/>
      <w:divBdr>
        <w:top w:val="none" w:sz="0" w:space="0" w:color="auto"/>
        <w:left w:val="none" w:sz="0" w:space="0" w:color="auto"/>
        <w:bottom w:val="none" w:sz="0" w:space="0" w:color="auto"/>
        <w:right w:val="none" w:sz="0" w:space="0" w:color="auto"/>
      </w:divBdr>
    </w:div>
    <w:div w:id="85225231">
      <w:bodyDiv w:val="1"/>
      <w:marLeft w:val="0"/>
      <w:marRight w:val="0"/>
      <w:marTop w:val="0"/>
      <w:marBottom w:val="0"/>
      <w:divBdr>
        <w:top w:val="none" w:sz="0" w:space="0" w:color="auto"/>
        <w:left w:val="none" w:sz="0" w:space="0" w:color="auto"/>
        <w:bottom w:val="none" w:sz="0" w:space="0" w:color="auto"/>
        <w:right w:val="none" w:sz="0" w:space="0" w:color="auto"/>
      </w:divBdr>
    </w:div>
    <w:div w:id="120225693">
      <w:bodyDiv w:val="1"/>
      <w:marLeft w:val="0"/>
      <w:marRight w:val="0"/>
      <w:marTop w:val="0"/>
      <w:marBottom w:val="0"/>
      <w:divBdr>
        <w:top w:val="none" w:sz="0" w:space="0" w:color="auto"/>
        <w:left w:val="none" w:sz="0" w:space="0" w:color="auto"/>
        <w:bottom w:val="none" w:sz="0" w:space="0" w:color="auto"/>
        <w:right w:val="none" w:sz="0" w:space="0" w:color="auto"/>
      </w:divBdr>
    </w:div>
    <w:div w:id="270087606">
      <w:bodyDiv w:val="1"/>
      <w:marLeft w:val="0"/>
      <w:marRight w:val="0"/>
      <w:marTop w:val="0"/>
      <w:marBottom w:val="0"/>
      <w:divBdr>
        <w:top w:val="none" w:sz="0" w:space="0" w:color="auto"/>
        <w:left w:val="none" w:sz="0" w:space="0" w:color="auto"/>
        <w:bottom w:val="none" w:sz="0" w:space="0" w:color="auto"/>
        <w:right w:val="none" w:sz="0" w:space="0" w:color="auto"/>
      </w:divBdr>
    </w:div>
    <w:div w:id="329063590">
      <w:bodyDiv w:val="1"/>
      <w:marLeft w:val="0"/>
      <w:marRight w:val="0"/>
      <w:marTop w:val="0"/>
      <w:marBottom w:val="0"/>
      <w:divBdr>
        <w:top w:val="none" w:sz="0" w:space="0" w:color="auto"/>
        <w:left w:val="none" w:sz="0" w:space="0" w:color="auto"/>
        <w:bottom w:val="none" w:sz="0" w:space="0" w:color="auto"/>
        <w:right w:val="none" w:sz="0" w:space="0" w:color="auto"/>
      </w:divBdr>
    </w:div>
    <w:div w:id="448739074">
      <w:bodyDiv w:val="1"/>
      <w:marLeft w:val="0"/>
      <w:marRight w:val="0"/>
      <w:marTop w:val="0"/>
      <w:marBottom w:val="0"/>
      <w:divBdr>
        <w:top w:val="none" w:sz="0" w:space="0" w:color="auto"/>
        <w:left w:val="none" w:sz="0" w:space="0" w:color="auto"/>
        <w:bottom w:val="none" w:sz="0" w:space="0" w:color="auto"/>
        <w:right w:val="none" w:sz="0" w:space="0" w:color="auto"/>
      </w:divBdr>
    </w:div>
    <w:div w:id="465507181">
      <w:bodyDiv w:val="1"/>
      <w:marLeft w:val="0"/>
      <w:marRight w:val="0"/>
      <w:marTop w:val="0"/>
      <w:marBottom w:val="0"/>
      <w:divBdr>
        <w:top w:val="none" w:sz="0" w:space="0" w:color="auto"/>
        <w:left w:val="none" w:sz="0" w:space="0" w:color="auto"/>
        <w:bottom w:val="none" w:sz="0" w:space="0" w:color="auto"/>
        <w:right w:val="none" w:sz="0" w:space="0" w:color="auto"/>
      </w:divBdr>
    </w:div>
    <w:div w:id="494494876">
      <w:bodyDiv w:val="1"/>
      <w:marLeft w:val="0"/>
      <w:marRight w:val="0"/>
      <w:marTop w:val="0"/>
      <w:marBottom w:val="0"/>
      <w:divBdr>
        <w:top w:val="none" w:sz="0" w:space="0" w:color="auto"/>
        <w:left w:val="none" w:sz="0" w:space="0" w:color="auto"/>
        <w:bottom w:val="none" w:sz="0" w:space="0" w:color="auto"/>
        <w:right w:val="none" w:sz="0" w:space="0" w:color="auto"/>
      </w:divBdr>
    </w:div>
    <w:div w:id="535653507">
      <w:bodyDiv w:val="1"/>
      <w:marLeft w:val="0"/>
      <w:marRight w:val="0"/>
      <w:marTop w:val="0"/>
      <w:marBottom w:val="0"/>
      <w:divBdr>
        <w:top w:val="none" w:sz="0" w:space="0" w:color="auto"/>
        <w:left w:val="none" w:sz="0" w:space="0" w:color="auto"/>
        <w:bottom w:val="none" w:sz="0" w:space="0" w:color="auto"/>
        <w:right w:val="none" w:sz="0" w:space="0" w:color="auto"/>
      </w:divBdr>
    </w:div>
    <w:div w:id="541215175">
      <w:bodyDiv w:val="1"/>
      <w:marLeft w:val="0"/>
      <w:marRight w:val="0"/>
      <w:marTop w:val="0"/>
      <w:marBottom w:val="0"/>
      <w:divBdr>
        <w:top w:val="none" w:sz="0" w:space="0" w:color="auto"/>
        <w:left w:val="none" w:sz="0" w:space="0" w:color="auto"/>
        <w:bottom w:val="none" w:sz="0" w:space="0" w:color="auto"/>
        <w:right w:val="none" w:sz="0" w:space="0" w:color="auto"/>
      </w:divBdr>
    </w:div>
    <w:div w:id="560867600">
      <w:bodyDiv w:val="1"/>
      <w:marLeft w:val="0"/>
      <w:marRight w:val="0"/>
      <w:marTop w:val="0"/>
      <w:marBottom w:val="0"/>
      <w:divBdr>
        <w:top w:val="none" w:sz="0" w:space="0" w:color="auto"/>
        <w:left w:val="none" w:sz="0" w:space="0" w:color="auto"/>
        <w:bottom w:val="none" w:sz="0" w:space="0" w:color="auto"/>
        <w:right w:val="none" w:sz="0" w:space="0" w:color="auto"/>
      </w:divBdr>
    </w:div>
    <w:div w:id="594706028">
      <w:bodyDiv w:val="1"/>
      <w:marLeft w:val="0"/>
      <w:marRight w:val="0"/>
      <w:marTop w:val="0"/>
      <w:marBottom w:val="0"/>
      <w:divBdr>
        <w:top w:val="none" w:sz="0" w:space="0" w:color="auto"/>
        <w:left w:val="none" w:sz="0" w:space="0" w:color="auto"/>
        <w:bottom w:val="none" w:sz="0" w:space="0" w:color="auto"/>
        <w:right w:val="none" w:sz="0" w:space="0" w:color="auto"/>
      </w:divBdr>
    </w:div>
    <w:div w:id="595213723">
      <w:bodyDiv w:val="1"/>
      <w:marLeft w:val="0"/>
      <w:marRight w:val="0"/>
      <w:marTop w:val="0"/>
      <w:marBottom w:val="0"/>
      <w:divBdr>
        <w:top w:val="none" w:sz="0" w:space="0" w:color="auto"/>
        <w:left w:val="none" w:sz="0" w:space="0" w:color="auto"/>
        <w:bottom w:val="none" w:sz="0" w:space="0" w:color="auto"/>
        <w:right w:val="none" w:sz="0" w:space="0" w:color="auto"/>
      </w:divBdr>
    </w:div>
    <w:div w:id="714349036">
      <w:bodyDiv w:val="1"/>
      <w:marLeft w:val="0"/>
      <w:marRight w:val="0"/>
      <w:marTop w:val="0"/>
      <w:marBottom w:val="0"/>
      <w:divBdr>
        <w:top w:val="none" w:sz="0" w:space="0" w:color="auto"/>
        <w:left w:val="none" w:sz="0" w:space="0" w:color="auto"/>
        <w:bottom w:val="none" w:sz="0" w:space="0" w:color="auto"/>
        <w:right w:val="none" w:sz="0" w:space="0" w:color="auto"/>
      </w:divBdr>
    </w:div>
    <w:div w:id="770007882">
      <w:bodyDiv w:val="1"/>
      <w:marLeft w:val="0"/>
      <w:marRight w:val="0"/>
      <w:marTop w:val="0"/>
      <w:marBottom w:val="0"/>
      <w:divBdr>
        <w:top w:val="none" w:sz="0" w:space="0" w:color="auto"/>
        <w:left w:val="none" w:sz="0" w:space="0" w:color="auto"/>
        <w:bottom w:val="none" w:sz="0" w:space="0" w:color="auto"/>
        <w:right w:val="none" w:sz="0" w:space="0" w:color="auto"/>
      </w:divBdr>
    </w:div>
    <w:div w:id="794954487">
      <w:bodyDiv w:val="1"/>
      <w:marLeft w:val="0"/>
      <w:marRight w:val="0"/>
      <w:marTop w:val="0"/>
      <w:marBottom w:val="0"/>
      <w:divBdr>
        <w:top w:val="none" w:sz="0" w:space="0" w:color="auto"/>
        <w:left w:val="none" w:sz="0" w:space="0" w:color="auto"/>
        <w:bottom w:val="none" w:sz="0" w:space="0" w:color="auto"/>
        <w:right w:val="none" w:sz="0" w:space="0" w:color="auto"/>
      </w:divBdr>
    </w:div>
    <w:div w:id="813564367">
      <w:bodyDiv w:val="1"/>
      <w:marLeft w:val="0"/>
      <w:marRight w:val="0"/>
      <w:marTop w:val="0"/>
      <w:marBottom w:val="0"/>
      <w:divBdr>
        <w:top w:val="none" w:sz="0" w:space="0" w:color="auto"/>
        <w:left w:val="none" w:sz="0" w:space="0" w:color="auto"/>
        <w:bottom w:val="none" w:sz="0" w:space="0" w:color="auto"/>
        <w:right w:val="none" w:sz="0" w:space="0" w:color="auto"/>
      </w:divBdr>
    </w:div>
    <w:div w:id="883756271">
      <w:bodyDiv w:val="1"/>
      <w:marLeft w:val="0"/>
      <w:marRight w:val="0"/>
      <w:marTop w:val="0"/>
      <w:marBottom w:val="0"/>
      <w:divBdr>
        <w:top w:val="none" w:sz="0" w:space="0" w:color="auto"/>
        <w:left w:val="none" w:sz="0" w:space="0" w:color="auto"/>
        <w:bottom w:val="none" w:sz="0" w:space="0" w:color="auto"/>
        <w:right w:val="none" w:sz="0" w:space="0" w:color="auto"/>
      </w:divBdr>
    </w:div>
    <w:div w:id="907423857">
      <w:bodyDiv w:val="1"/>
      <w:marLeft w:val="0"/>
      <w:marRight w:val="0"/>
      <w:marTop w:val="0"/>
      <w:marBottom w:val="0"/>
      <w:divBdr>
        <w:top w:val="none" w:sz="0" w:space="0" w:color="auto"/>
        <w:left w:val="none" w:sz="0" w:space="0" w:color="auto"/>
        <w:bottom w:val="none" w:sz="0" w:space="0" w:color="auto"/>
        <w:right w:val="none" w:sz="0" w:space="0" w:color="auto"/>
      </w:divBdr>
    </w:div>
    <w:div w:id="915433637">
      <w:bodyDiv w:val="1"/>
      <w:marLeft w:val="0"/>
      <w:marRight w:val="0"/>
      <w:marTop w:val="0"/>
      <w:marBottom w:val="0"/>
      <w:divBdr>
        <w:top w:val="none" w:sz="0" w:space="0" w:color="auto"/>
        <w:left w:val="none" w:sz="0" w:space="0" w:color="auto"/>
        <w:bottom w:val="none" w:sz="0" w:space="0" w:color="auto"/>
        <w:right w:val="none" w:sz="0" w:space="0" w:color="auto"/>
      </w:divBdr>
    </w:div>
    <w:div w:id="926963415">
      <w:bodyDiv w:val="1"/>
      <w:marLeft w:val="0"/>
      <w:marRight w:val="0"/>
      <w:marTop w:val="0"/>
      <w:marBottom w:val="0"/>
      <w:divBdr>
        <w:top w:val="none" w:sz="0" w:space="0" w:color="auto"/>
        <w:left w:val="none" w:sz="0" w:space="0" w:color="auto"/>
        <w:bottom w:val="none" w:sz="0" w:space="0" w:color="auto"/>
        <w:right w:val="none" w:sz="0" w:space="0" w:color="auto"/>
      </w:divBdr>
    </w:div>
    <w:div w:id="965625679">
      <w:bodyDiv w:val="1"/>
      <w:marLeft w:val="0"/>
      <w:marRight w:val="0"/>
      <w:marTop w:val="0"/>
      <w:marBottom w:val="0"/>
      <w:divBdr>
        <w:top w:val="none" w:sz="0" w:space="0" w:color="auto"/>
        <w:left w:val="none" w:sz="0" w:space="0" w:color="auto"/>
        <w:bottom w:val="none" w:sz="0" w:space="0" w:color="auto"/>
        <w:right w:val="none" w:sz="0" w:space="0" w:color="auto"/>
      </w:divBdr>
    </w:div>
    <w:div w:id="1057826869">
      <w:bodyDiv w:val="1"/>
      <w:marLeft w:val="0"/>
      <w:marRight w:val="0"/>
      <w:marTop w:val="0"/>
      <w:marBottom w:val="0"/>
      <w:divBdr>
        <w:top w:val="none" w:sz="0" w:space="0" w:color="auto"/>
        <w:left w:val="none" w:sz="0" w:space="0" w:color="auto"/>
        <w:bottom w:val="none" w:sz="0" w:space="0" w:color="auto"/>
        <w:right w:val="none" w:sz="0" w:space="0" w:color="auto"/>
      </w:divBdr>
    </w:div>
    <w:div w:id="1093476655">
      <w:bodyDiv w:val="1"/>
      <w:marLeft w:val="0"/>
      <w:marRight w:val="0"/>
      <w:marTop w:val="0"/>
      <w:marBottom w:val="0"/>
      <w:divBdr>
        <w:top w:val="none" w:sz="0" w:space="0" w:color="auto"/>
        <w:left w:val="none" w:sz="0" w:space="0" w:color="auto"/>
        <w:bottom w:val="none" w:sz="0" w:space="0" w:color="auto"/>
        <w:right w:val="none" w:sz="0" w:space="0" w:color="auto"/>
      </w:divBdr>
    </w:div>
    <w:div w:id="1118403849">
      <w:bodyDiv w:val="1"/>
      <w:marLeft w:val="0"/>
      <w:marRight w:val="0"/>
      <w:marTop w:val="0"/>
      <w:marBottom w:val="0"/>
      <w:divBdr>
        <w:top w:val="none" w:sz="0" w:space="0" w:color="auto"/>
        <w:left w:val="none" w:sz="0" w:space="0" w:color="auto"/>
        <w:bottom w:val="none" w:sz="0" w:space="0" w:color="auto"/>
        <w:right w:val="none" w:sz="0" w:space="0" w:color="auto"/>
      </w:divBdr>
    </w:div>
    <w:div w:id="1211844220">
      <w:bodyDiv w:val="1"/>
      <w:marLeft w:val="0"/>
      <w:marRight w:val="0"/>
      <w:marTop w:val="0"/>
      <w:marBottom w:val="0"/>
      <w:divBdr>
        <w:top w:val="none" w:sz="0" w:space="0" w:color="auto"/>
        <w:left w:val="none" w:sz="0" w:space="0" w:color="auto"/>
        <w:bottom w:val="none" w:sz="0" w:space="0" w:color="auto"/>
        <w:right w:val="none" w:sz="0" w:space="0" w:color="auto"/>
      </w:divBdr>
    </w:div>
    <w:div w:id="1357584185">
      <w:bodyDiv w:val="1"/>
      <w:marLeft w:val="0"/>
      <w:marRight w:val="0"/>
      <w:marTop w:val="0"/>
      <w:marBottom w:val="0"/>
      <w:divBdr>
        <w:top w:val="none" w:sz="0" w:space="0" w:color="auto"/>
        <w:left w:val="none" w:sz="0" w:space="0" w:color="auto"/>
        <w:bottom w:val="none" w:sz="0" w:space="0" w:color="auto"/>
        <w:right w:val="none" w:sz="0" w:space="0" w:color="auto"/>
      </w:divBdr>
    </w:div>
    <w:div w:id="1384938889">
      <w:bodyDiv w:val="1"/>
      <w:marLeft w:val="0"/>
      <w:marRight w:val="0"/>
      <w:marTop w:val="0"/>
      <w:marBottom w:val="0"/>
      <w:divBdr>
        <w:top w:val="none" w:sz="0" w:space="0" w:color="auto"/>
        <w:left w:val="none" w:sz="0" w:space="0" w:color="auto"/>
        <w:bottom w:val="none" w:sz="0" w:space="0" w:color="auto"/>
        <w:right w:val="none" w:sz="0" w:space="0" w:color="auto"/>
      </w:divBdr>
    </w:div>
    <w:div w:id="1529417095">
      <w:bodyDiv w:val="1"/>
      <w:marLeft w:val="0"/>
      <w:marRight w:val="0"/>
      <w:marTop w:val="0"/>
      <w:marBottom w:val="0"/>
      <w:divBdr>
        <w:top w:val="none" w:sz="0" w:space="0" w:color="auto"/>
        <w:left w:val="none" w:sz="0" w:space="0" w:color="auto"/>
        <w:bottom w:val="none" w:sz="0" w:space="0" w:color="auto"/>
        <w:right w:val="none" w:sz="0" w:space="0" w:color="auto"/>
      </w:divBdr>
    </w:div>
    <w:div w:id="1559323969">
      <w:bodyDiv w:val="1"/>
      <w:marLeft w:val="0"/>
      <w:marRight w:val="0"/>
      <w:marTop w:val="0"/>
      <w:marBottom w:val="0"/>
      <w:divBdr>
        <w:top w:val="none" w:sz="0" w:space="0" w:color="auto"/>
        <w:left w:val="none" w:sz="0" w:space="0" w:color="auto"/>
        <w:bottom w:val="none" w:sz="0" w:space="0" w:color="auto"/>
        <w:right w:val="none" w:sz="0" w:space="0" w:color="auto"/>
      </w:divBdr>
    </w:div>
    <w:div w:id="1767925968">
      <w:bodyDiv w:val="1"/>
      <w:marLeft w:val="0"/>
      <w:marRight w:val="0"/>
      <w:marTop w:val="0"/>
      <w:marBottom w:val="0"/>
      <w:divBdr>
        <w:top w:val="none" w:sz="0" w:space="0" w:color="auto"/>
        <w:left w:val="none" w:sz="0" w:space="0" w:color="auto"/>
        <w:bottom w:val="none" w:sz="0" w:space="0" w:color="auto"/>
        <w:right w:val="none" w:sz="0" w:space="0" w:color="auto"/>
      </w:divBdr>
    </w:div>
    <w:div w:id="1849753775">
      <w:bodyDiv w:val="1"/>
      <w:marLeft w:val="0"/>
      <w:marRight w:val="0"/>
      <w:marTop w:val="0"/>
      <w:marBottom w:val="0"/>
      <w:divBdr>
        <w:top w:val="none" w:sz="0" w:space="0" w:color="auto"/>
        <w:left w:val="none" w:sz="0" w:space="0" w:color="auto"/>
        <w:bottom w:val="none" w:sz="0" w:space="0" w:color="auto"/>
        <w:right w:val="none" w:sz="0" w:space="0" w:color="auto"/>
      </w:divBdr>
    </w:div>
    <w:div w:id="1898006781">
      <w:bodyDiv w:val="1"/>
      <w:marLeft w:val="0"/>
      <w:marRight w:val="0"/>
      <w:marTop w:val="0"/>
      <w:marBottom w:val="0"/>
      <w:divBdr>
        <w:top w:val="none" w:sz="0" w:space="0" w:color="auto"/>
        <w:left w:val="none" w:sz="0" w:space="0" w:color="auto"/>
        <w:bottom w:val="none" w:sz="0" w:space="0" w:color="auto"/>
        <w:right w:val="none" w:sz="0" w:space="0" w:color="auto"/>
      </w:divBdr>
    </w:div>
    <w:div w:id="2013795154">
      <w:bodyDiv w:val="1"/>
      <w:marLeft w:val="0"/>
      <w:marRight w:val="0"/>
      <w:marTop w:val="0"/>
      <w:marBottom w:val="0"/>
      <w:divBdr>
        <w:top w:val="none" w:sz="0" w:space="0" w:color="auto"/>
        <w:left w:val="none" w:sz="0" w:space="0" w:color="auto"/>
        <w:bottom w:val="none" w:sz="0" w:space="0" w:color="auto"/>
        <w:right w:val="none" w:sz="0" w:space="0" w:color="auto"/>
      </w:divBdr>
    </w:div>
    <w:div w:id="2074233869">
      <w:bodyDiv w:val="1"/>
      <w:marLeft w:val="0"/>
      <w:marRight w:val="0"/>
      <w:marTop w:val="0"/>
      <w:marBottom w:val="0"/>
      <w:divBdr>
        <w:top w:val="none" w:sz="0" w:space="0" w:color="auto"/>
        <w:left w:val="none" w:sz="0" w:space="0" w:color="auto"/>
        <w:bottom w:val="none" w:sz="0" w:space="0" w:color="auto"/>
        <w:right w:val="none" w:sz="0" w:space="0" w:color="auto"/>
      </w:divBdr>
    </w:div>
    <w:div w:id="2114856568">
      <w:bodyDiv w:val="1"/>
      <w:marLeft w:val="0"/>
      <w:marRight w:val="0"/>
      <w:marTop w:val="0"/>
      <w:marBottom w:val="0"/>
      <w:divBdr>
        <w:top w:val="none" w:sz="0" w:space="0" w:color="auto"/>
        <w:left w:val="none" w:sz="0" w:space="0" w:color="auto"/>
        <w:bottom w:val="none" w:sz="0" w:space="0" w:color="auto"/>
        <w:right w:val="none" w:sz="0" w:space="0" w:color="auto"/>
      </w:divBdr>
    </w:div>
    <w:div w:id="21193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23</TotalTime>
  <Pages>22</Pages>
  <Words>8041</Words>
  <Characters>47738</Characters>
  <Application>Microsoft Office Word</Application>
  <DocSecurity>0</DocSecurity>
  <Lines>397</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2022031174 mt</dc:description>
  <cp:lastModifiedBy>Hanne Thy Iversen</cp:lastModifiedBy>
  <cp:revision>15</cp:revision>
  <cp:lastPrinted>2006-02-24T09:31:00Z</cp:lastPrinted>
  <dcterms:created xsi:type="dcterms:W3CDTF">2024-05-27T10:55:00Z</dcterms:created>
  <dcterms:modified xsi:type="dcterms:W3CDTF">2024-05-28T08:24:00Z</dcterms:modified>
</cp:coreProperties>
</file>