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BF" w:rsidRPr="00C84483" w:rsidRDefault="00F06984" w:rsidP="00B003BF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a-DK"/>
        </w:rPr>
        <w:drawing>
          <wp:inline distT="0" distB="0" distL="0" distR="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3BF" w:rsidRDefault="00B003BF" w:rsidP="00B003BF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B003BF" w:rsidRPr="00F06984" w:rsidRDefault="00B003BF" w:rsidP="00B003BF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A354AC">
        <w:rPr>
          <w:b w:val="0"/>
          <w:szCs w:val="24"/>
          <w:lang w:eastAsia="en-US"/>
        </w:rPr>
        <w:tab/>
      </w:r>
      <w:r w:rsidR="005B034E">
        <w:rPr>
          <w:szCs w:val="24"/>
          <w:lang w:eastAsia="en-US"/>
        </w:rPr>
        <w:t>28. marts 2019</w:t>
      </w:r>
    </w:p>
    <w:p w:rsidR="00B003BF" w:rsidRDefault="00B003BF" w:rsidP="00B003BF">
      <w:pPr>
        <w:pStyle w:val="Titel"/>
        <w:jc w:val="left"/>
        <w:rPr>
          <w:b w:val="0"/>
          <w:szCs w:val="24"/>
        </w:rPr>
      </w:pPr>
    </w:p>
    <w:p w:rsidR="005B034E" w:rsidRDefault="005B034E" w:rsidP="00B003BF">
      <w:pPr>
        <w:pStyle w:val="Titel"/>
        <w:jc w:val="left"/>
        <w:rPr>
          <w:b w:val="0"/>
          <w:szCs w:val="24"/>
        </w:rPr>
      </w:pPr>
    </w:p>
    <w:p w:rsidR="005B034E" w:rsidRPr="00C84483" w:rsidRDefault="005B034E" w:rsidP="00B003BF">
      <w:pPr>
        <w:pStyle w:val="Titel"/>
        <w:jc w:val="left"/>
        <w:rPr>
          <w:b w:val="0"/>
          <w:szCs w:val="24"/>
        </w:rPr>
      </w:pPr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:rsidR="00B003BF" w:rsidRPr="00C84483" w:rsidRDefault="00B003BF" w:rsidP="00B003BF">
      <w:pPr>
        <w:jc w:val="center"/>
        <w:rPr>
          <w:b/>
          <w:sz w:val="24"/>
          <w:szCs w:val="24"/>
        </w:rPr>
      </w:pPr>
    </w:p>
    <w:p w:rsidR="00B003BF" w:rsidRPr="00C84483" w:rsidRDefault="0017481C" w:rsidP="00B003B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Dicloxacillin</w:t>
      </w:r>
      <w:proofErr w:type="spellEnd"/>
      <w:r>
        <w:rPr>
          <w:b/>
          <w:sz w:val="24"/>
          <w:szCs w:val="24"/>
        </w:rPr>
        <w:t xml:space="preserve"> </w:t>
      </w:r>
      <w:r w:rsidR="005B034E">
        <w:rPr>
          <w:b/>
          <w:sz w:val="24"/>
          <w:szCs w:val="24"/>
        </w:rPr>
        <w:t>"</w:t>
      </w:r>
      <w:proofErr w:type="spellStart"/>
      <w:r>
        <w:rPr>
          <w:b/>
          <w:sz w:val="24"/>
          <w:szCs w:val="24"/>
        </w:rPr>
        <w:t>Bluefish</w:t>
      </w:r>
      <w:proofErr w:type="spellEnd"/>
      <w:r w:rsidR="005B034E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, hårde kapsler</w:t>
      </w:r>
    </w:p>
    <w:p w:rsidR="00B003BF" w:rsidRPr="00C84483" w:rsidRDefault="00B003BF" w:rsidP="00B003BF">
      <w:pPr>
        <w:jc w:val="both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jc w:val="both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0.</w:t>
      </w:r>
      <w:r w:rsidRPr="00F426EB">
        <w:rPr>
          <w:b/>
          <w:sz w:val="24"/>
          <w:szCs w:val="24"/>
        </w:rPr>
        <w:tab/>
        <w:t>D.SP.NR.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>28830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1.</w:t>
      </w:r>
      <w:r w:rsidRPr="00F426EB">
        <w:rPr>
          <w:b/>
          <w:sz w:val="24"/>
          <w:szCs w:val="24"/>
        </w:rPr>
        <w:tab/>
        <w:t>LÆGEMIDLETS NAVN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proofErr w:type="spellStart"/>
      <w:r w:rsidR="0017481C" w:rsidRPr="00F426EB">
        <w:rPr>
          <w:sz w:val="24"/>
          <w:szCs w:val="24"/>
        </w:rPr>
        <w:t>Dicloxacillin</w:t>
      </w:r>
      <w:proofErr w:type="spellEnd"/>
      <w:r w:rsidR="0017481C" w:rsidRPr="00F426EB">
        <w:rPr>
          <w:sz w:val="24"/>
          <w:szCs w:val="24"/>
        </w:rPr>
        <w:t xml:space="preserve"> </w:t>
      </w:r>
      <w:r w:rsidR="005B034E">
        <w:rPr>
          <w:sz w:val="24"/>
          <w:szCs w:val="24"/>
        </w:rPr>
        <w:t>"</w:t>
      </w:r>
      <w:proofErr w:type="spellStart"/>
      <w:r w:rsidR="0017481C" w:rsidRPr="00F426EB">
        <w:rPr>
          <w:sz w:val="24"/>
          <w:szCs w:val="24"/>
        </w:rPr>
        <w:t>Bluefish</w:t>
      </w:r>
      <w:proofErr w:type="spellEnd"/>
      <w:r w:rsidR="005B034E">
        <w:rPr>
          <w:sz w:val="24"/>
          <w:szCs w:val="24"/>
        </w:rPr>
        <w:t>"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2.</w:t>
      </w:r>
      <w:r w:rsidRPr="00F426EB">
        <w:rPr>
          <w:b/>
          <w:sz w:val="24"/>
          <w:szCs w:val="24"/>
        </w:rPr>
        <w:tab/>
        <w:t>KVALITATIV OG KVANTITATIV SAMMENSÆTNING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Dicloxacillinnatrium</w:t>
      </w:r>
      <w:proofErr w:type="spellEnd"/>
      <w:r w:rsidRPr="00F426EB">
        <w:rPr>
          <w:sz w:val="24"/>
          <w:szCs w:val="24"/>
        </w:rPr>
        <w:t xml:space="preserve"> svarende til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250 mg og 500 mg.</w:t>
      </w:r>
    </w:p>
    <w:p w:rsidR="00F426EB" w:rsidRDefault="00F426EB" w:rsidP="00F426EB">
      <w:pPr>
        <w:ind w:left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Hjælpestof, som behandleren skal være opmærksom på: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En 250 mg kapsel indeholder 12,2 mg natrium (se pkt. 4.4).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En 500 mg kapsel indeholder 24,4 mg natrium (se pkt. 4.4).</w:t>
      </w:r>
    </w:p>
    <w:p w:rsidR="00F426EB" w:rsidRDefault="00F426EB" w:rsidP="00F426EB">
      <w:pPr>
        <w:ind w:left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Alle hjælpestoffer er anført under pkt. 6.1.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3.</w:t>
      </w:r>
      <w:r w:rsidRPr="00F426EB">
        <w:rPr>
          <w:b/>
          <w:sz w:val="24"/>
          <w:szCs w:val="24"/>
        </w:rPr>
        <w:tab/>
        <w:t>LÆGEMIDDELFORM</w:t>
      </w:r>
    </w:p>
    <w:p w:rsidR="0017481C" w:rsidRPr="00F426EB" w:rsidRDefault="00B003BF" w:rsidP="00F426EB">
      <w:pPr>
        <w:pStyle w:val="Sidehoved"/>
        <w:tabs>
          <w:tab w:val="clear" w:pos="4819"/>
          <w:tab w:val="clear" w:pos="9638"/>
        </w:tabs>
        <w:suppressAutoHyphens/>
        <w:ind w:left="851" w:hanging="851"/>
        <w:rPr>
          <w:szCs w:val="24"/>
        </w:rPr>
      </w:pPr>
      <w:r w:rsidRPr="00F426EB">
        <w:rPr>
          <w:szCs w:val="24"/>
        </w:rPr>
        <w:tab/>
      </w:r>
      <w:r w:rsidR="00F426EB">
        <w:rPr>
          <w:szCs w:val="24"/>
        </w:rPr>
        <w:t>Hårde k</w:t>
      </w:r>
      <w:r w:rsidR="0017481C" w:rsidRPr="00F426EB">
        <w:rPr>
          <w:spacing w:val="-3"/>
          <w:szCs w:val="24"/>
        </w:rPr>
        <w:t>apsler</w:t>
      </w:r>
    </w:p>
    <w:p w:rsidR="0017481C" w:rsidRPr="00F426EB" w:rsidRDefault="0017481C" w:rsidP="00F426EB">
      <w:pPr>
        <w:suppressAutoHyphens/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250 mg kapsler: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Råhvid/råhvid størrelse ‘2’ hård, gelatinekapsel fyldt med hvidt til råhvidt pulver og påtrykt</w:t>
      </w:r>
    </w:p>
    <w:p w:rsidR="0017481C" w:rsidRPr="00F426EB" w:rsidRDefault="005B034E" w:rsidP="00F426EB">
      <w:pPr>
        <w:ind w:left="851"/>
        <w:rPr>
          <w:sz w:val="24"/>
          <w:szCs w:val="24"/>
        </w:rPr>
      </w:pPr>
      <w:r>
        <w:rPr>
          <w:sz w:val="24"/>
          <w:szCs w:val="24"/>
        </w:rPr>
        <w:t>"</w:t>
      </w:r>
      <w:r w:rsidR="0017481C" w:rsidRPr="00F426EB">
        <w:rPr>
          <w:sz w:val="24"/>
          <w:szCs w:val="24"/>
        </w:rPr>
        <w:t>Y</w:t>
      </w:r>
      <w:r>
        <w:rPr>
          <w:sz w:val="24"/>
          <w:szCs w:val="24"/>
        </w:rPr>
        <w:t>"</w:t>
      </w:r>
      <w:r w:rsidR="0017481C" w:rsidRPr="00F426EB">
        <w:rPr>
          <w:sz w:val="24"/>
          <w:szCs w:val="24"/>
        </w:rPr>
        <w:t xml:space="preserve"> på den råhvide overdel og </w:t>
      </w:r>
      <w:r>
        <w:rPr>
          <w:sz w:val="24"/>
          <w:szCs w:val="24"/>
        </w:rPr>
        <w:t>"</w:t>
      </w:r>
      <w:r w:rsidR="0017481C" w:rsidRPr="00F426EB">
        <w:rPr>
          <w:sz w:val="24"/>
          <w:szCs w:val="24"/>
        </w:rPr>
        <w:t>14</w:t>
      </w:r>
      <w:r>
        <w:rPr>
          <w:sz w:val="24"/>
          <w:szCs w:val="24"/>
        </w:rPr>
        <w:t>"</w:t>
      </w:r>
      <w:r w:rsidR="0017481C" w:rsidRPr="00F426EB">
        <w:rPr>
          <w:sz w:val="24"/>
          <w:szCs w:val="24"/>
        </w:rPr>
        <w:t xml:space="preserve"> på den råhvide underdel med sort blæk.</w:t>
      </w:r>
    </w:p>
    <w:p w:rsidR="0017481C" w:rsidRPr="00F426EB" w:rsidRDefault="0017481C" w:rsidP="00F426EB">
      <w:pPr>
        <w:ind w:left="851"/>
        <w:rPr>
          <w:b/>
          <w:sz w:val="24"/>
          <w:szCs w:val="24"/>
        </w:rPr>
      </w:pPr>
    </w:p>
    <w:p w:rsidR="0017481C" w:rsidRPr="00F426EB" w:rsidRDefault="0017481C" w:rsidP="00F426EB">
      <w:pPr>
        <w:suppressAutoHyphens/>
        <w:ind w:left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500 mg kapsler: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Råhvid/råhvid størrelse ‘0’ hård, gelatinekapsel fyldt med hvidt til råhvidt pulver og påtrykt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‘Y’ på den råhvide overdel og ‘15’ på den råhvide underdel med sort blæk.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</w:t>
      </w:r>
      <w:r w:rsidRPr="00F426EB">
        <w:rPr>
          <w:b/>
          <w:sz w:val="24"/>
          <w:szCs w:val="24"/>
        </w:rPr>
        <w:tab/>
        <w:t>KLINISKE OPLYSNINGER</w:t>
      </w: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  <w:u w:val="single"/>
        </w:rPr>
      </w:pPr>
      <w:r w:rsidRPr="00F426EB">
        <w:rPr>
          <w:b/>
          <w:sz w:val="24"/>
          <w:szCs w:val="24"/>
        </w:rPr>
        <w:t>4.1</w:t>
      </w:r>
      <w:r w:rsidRPr="00F426EB">
        <w:rPr>
          <w:b/>
          <w:sz w:val="24"/>
          <w:szCs w:val="24"/>
        </w:rPr>
        <w:tab/>
        <w:t>Terapeutiske indikationer</w:t>
      </w:r>
    </w:p>
    <w:p w:rsidR="0017481C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>Infektioner forårsaget af penicillinase</w:t>
      </w:r>
      <w:r w:rsidR="0017481C" w:rsidRPr="00F426EB">
        <w:rPr>
          <w:sz w:val="24"/>
          <w:szCs w:val="24"/>
        </w:rPr>
        <w:softHyphen/>
        <w:t>-produceren</w:t>
      </w:r>
      <w:r w:rsidR="0017481C" w:rsidRPr="00F426EB">
        <w:rPr>
          <w:sz w:val="24"/>
          <w:szCs w:val="24"/>
        </w:rPr>
        <w:softHyphen/>
        <w:t xml:space="preserve">de, </w:t>
      </w:r>
      <w:proofErr w:type="spellStart"/>
      <w:r w:rsidR="0017481C" w:rsidRPr="00F426EB">
        <w:rPr>
          <w:sz w:val="24"/>
          <w:szCs w:val="24"/>
        </w:rPr>
        <w:t>meticillinfølsomme</w:t>
      </w:r>
      <w:proofErr w:type="spellEnd"/>
      <w:r w:rsidR="0017481C" w:rsidRPr="00F426EB">
        <w:rPr>
          <w:sz w:val="24"/>
          <w:szCs w:val="24"/>
        </w:rPr>
        <w:t xml:space="preserve"> stafylokok</w:t>
      </w:r>
      <w:r w:rsidR="0017481C" w:rsidRPr="00F426EB">
        <w:rPr>
          <w:sz w:val="24"/>
          <w:szCs w:val="24"/>
        </w:rPr>
        <w:softHyphen/>
        <w:t>ker, f.eks.</w:t>
      </w:r>
      <w:r w:rsidR="00F426EB">
        <w:rPr>
          <w:sz w:val="24"/>
          <w:szCs w:val="24"/>
        </w:rPr>
        <w:t xml:space="preserve"> </w:t>
      </w:r>
      <w:r w:rsidR="0017481C" w:rsidRPr="00F426EB">
        <w:rPr>
          <w:sz w:val="24"/>
          <w:szCs w:val="24"/>
        </w:rPr>
        <w:t xml:space="preserve">sårinfektioner, abscesser, </w:t>
      </w:r>
      <w:proofErr w:type="spellStart"/>
      <w:r w:rsidR="0017481C" w:rsidRPr="00F426EB">
        <w:rPr>
          <w:sz w:val="24"/>
          <w:szCs w:val="24"/>
        </w:rPr>
        <w:t>osteomyelitis</w:t>
      </w:r>
      <w:proofErr w:type="spellEnd"/>
      <w:r w:rsidR="0017481C" w:rsidRPr="00F426EB">
        <w:rPr>
          <w:sz w:val="24"/>
          <w:szCs w:val="24"/>
        </w:rPr>
        <w:t>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lastRenderedPageBreak/>
        <w:t>Officielle retningslinjer vedrørende hensigtsmæssig brug af antibakterielle midler bør tages i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betragtning.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4.2</w:t>
      </w:r>
      <w:r w:rsidRPr="00F426EB">
        <w:rPr>
          <w:b/>
          <w:sz w:val="24"/>
          <w:szCs w:val="24"/>
        </w:rPr>
        <w:tab/>
        <w:t>Dosering og indgivelsesmåde</w:t>
      </w:r>
    </w:p>
    <w:p w:rsidR="0017481C" w:rsidRPr="00F426EB" w:rsidRDefault="00B003BF" w:rsidP="00F426EB">
      <w:pPr>
        <w:ind w:left="851" w:hanging="851"/>
        <w:rPr>
          <w:noProof/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17481C" w:rsidRPr="00F426EB" w:rsidRDefault="0017481C" w:rsidP="00F426EB">
      <w:pPr>
        <w:ind w:left="851"/>
        <w:rPr>
          <w:noProof/>
          <w:sz w:val="24"/>
          <w:szCs w:val="24"/>
          <w:u w:val="single"/>
        </w:rPr>
      </w:pPr>
      <w:r w:rsidRPr="00F426EB">
        <w:rPr>
          <w:noProof/>
          <w:sz w:val="24"/>
          <w:szCs w:val="24"/>
          <w:u w:val="single"/>
        </w:rPr>
        <w:t>Dosering</w:t>
      </w:r>
    </w:p>
    <w:p w:rsidR="0017481C" w:rsidRPr="00F426EB" w:rsidRDefault="0017481C" w:rsidP="00F426EB">
      <w:pPr>
        <w:ind w:left="851" w:hanging="851"/>
        <w:rPr>
          <w:noProof/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Voksne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500 mg til 1 g 3-4 gange dagligt. Ved svære og alvorlige infektioner kan den daglige dosis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øges til maksimalt 6 g.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Pædiatrisk population</w:t>
      </w: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Til børn på 20-40 kg: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250 mg 3-4 gange dagligt. Ved svære og alvorlige infektioner kan den daglige dosis fordobles.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 xml:space="preserve">Til børn </w:t>
      </w:r>
      <w:proofErr w:type="gramStart"/>
      <w:r w:rsidR="0032335E">
        <w:rPr>
          <w:i/>
          <w:sz w:val="24"/>
          <w:szCs w:val="24"/>
        </w:rPr>
        <w:t xml:space="preserve">på </w:t>
      </w:r>
      <w:r w:rsidRPr="00F426EB">
        <w:rPr>
          <w:i/>
          <w:sz w:val="24"/>
          <w:szCs w:val="24"/>
        </w:rPr>
        <w:t>&gt;</w:t>
      </w:r>
      <w:proofErr w:type="gramEnd"/>
      <w:r w:rsidRPr="00F426EB">
        <w:rPr>
          <w:i/>
          <w:sz w:val="24"/>
          <w:szCs w:val="24"/>
        </w:rPr>
        <w:t xml:space="preserve"> 40 kg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500 mg 3-4 gange dagligt. Ved svære og alvorlige infektioner kan den daglige dosis øges til maksimalt 6 g.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Da der er begrænset erfaring med brug til præmature og nyfødte, kan der ikke gives doseringsanbefalinger til denne aldersgruppe. Det frarådes at anvende kapsler til børn under 20 kg.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Patienter med nedsat nyrefunktion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Dosisreduktion kan være nødvendig. 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  <w:u w:val="single"/>
        </w:rPr>
      </w:pPr>
      <w:r w:rsidRPr="00F426EB">
        <w:rPr>
          <w:sz w:val="24"/>
          <w:szCs w:val="24"/>
          <w:u w:val="single"/>
        </w:rPr>
        <w:t>Administration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Kapslerne skal sluges hele med mindst et halvt glas vand og ikke i liggende stilling eller umiddelbart før sengetid. Dosis skal tages mindst 1 time før eller 2 timer efter et måltid for at opnå maksimal absorption.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4.3</w:t>
      </w:r>
      <w:r w:rsidRPr="00F426EB">
        <w:rPr>
          <w:b/>
          <w:sz w:val="24"/>
          <w:szCs w:val="24"/>
        </w:rPr>
        <w:tab/>
        <w:t>Kontraindikationer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Overfølsomhed over for det aktive stof eller over for et eller flere af hjælpestofferne anført i pkt. 6.1. Derudover allergi over for penicillin og type I-reaktioner over for </w:t>
      </w:r>
      <w:proofErr w:type="spellStart"/>
      <w:r w:rsidRPr="00F426EB">
        <w:rPr>
          <w:sz w:val="24"/>
          <w:szCs w:val="24"/>
        </w:rPr>
        <w:t>cephalosporiner</w:t>
      </w:r>
      <w:proofErr w:type="spellEnd"/>
      <w:r w:rsidRPr="00F426EB">
        <w:rPr>
          <w:sz w:val="24"/>
          <w:szCs w:val="24"/>
        </w:rPr>
        <w:t>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4.4</w:t>
      </w:r>
      <w:r w:rsidRPr="00F426EB">
        <w:rPr>
          <w:b/>
          <w:sz w:val="24"/>
          <w:szCs w:val="24"/>
        </w:rPr>
        <w:tab/>
        <w:t>Særlige advarsler og forsigtighedsregler vedrørende brugen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Lokale retningslinjer vedrørende hensigtsmæssig brug af antibiotika bør følges. Der bør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udføres initial bestemmelse af de forårsagende organismer og deres følsomhed.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Der bør udvises forsigtighed på grund risikoen for krydsoverfølsomhed mellem penicilliner, </w:t>
      </w:r>
      <w:proofErr w:type="spellStart"/>
      <w:r w:rsidRPr="00F426EB">
        <w:rPr>
          <w:sz w:val="24"/>
          <w:szCs w:val="24"/>
        </w:rPr>
        <w:t>cefalosporiner</w:t>
      </w:r>
      <w:proofErr w:type="spellEnd"/>
      <w:r w:rsidRPr="00F426EB">
        <w:rPr>
          <w:sz w:val="24"/>
          <w:szCs w:val="24"/>
        </w:rPr>
        <w:t xml:space="preserve">, </w:t>
      </w:r>
      <w:proofErr w:type="spellStart"/>
      <w:r w:rsidRPr="00F426EB">
        <w:rPr>
          <w:sz w:val="24"/>
          <w:szCs w:val="24"/>
        </w:rPr>
        <w:t>cephamyciner</w:t>
      </w:r>
      <w:proofErr w:type="spellEnd"/>
      <w:r w:rsidRPr="00F426EB">
        <w:rPr>
          <w:sz w:val="24"/>
          <w:szCs w:val="24"/>
        </w:rPr>
        <w:t xml:space="preserve">, 1-oxa-ß-lactamer og </w:t>
      </w:r>
      <w:proofErr w:type="spellStart"/>
      <w:r w:rsidRPr="00F426EB">
        <w:rPr>
          <w:sz w:val="24"/>
          <w:szCs w:val="24"/>
        </w:rPr>
        <w:t>carbapenemer</w:t>
      </w:r>
      <w:proofErr w:type="spellEnd"/>
      <w:r w:rsidRPr="00F426EB">
        <w:rPr>
          <w:sz w:val="24"/>
          <w:szCs w:val="24"/>
        </w:rPr>
        <w:t xml:space="preserve">. 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Der har været tilfælde af alvorlige overfølsomhedsreaktioner, som krævede akut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symptomatisk behandling hos patienter, der fik penicillin. Hvis der opstår en allergisk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 xml:space="preserve">reaktion, bør lægemidlet seponeres og patienten skal modtage passende behandling. 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fldChar w:fldCharType="begin"/>
      </w:r>
      <w:r w:rsidRPr="00F426EB">
        <w:rPr>
          <w:sz w:val="24"/>
          <w:szCs w:val="24"/>
        </w:rPr>
        <w:instrText xml:space="preserve">  </w:instrText>
      </w:r>
      <w:r w:rsidRPr="00F426EB">
        <w:rPr>
          <w:sz w:val="24"/>
          <w:szCs w:val="24"/>
        </w:rPr>
        <w:fldChar w:fldCharType="end"/>
      </w:r>
      <w:r w:rsidRPr="00F426EB">
        <w:rPr>
          <w:sz w:val="24"/>
          <w:szCs w:val="24"/>
        </w:rPr>
        <w:t>Brug af antibiotika kan føre til overvækst af ikke-følsomme organismer. Hvis der opstår nye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infektioner på grund af bakterier eller svampe, bør passende behandling iværksættes og</w:t>
      </w:r>
      <w:r w:rsidR="00F426EB">
        <w:rPr>
          <w:sz w:val="24"/>
          <w:szCs w:val="24"/>
        </w:rPr>
        <w:t xml:space="preserve"> </w:t>
      </w:r>
      <w:proofErr w:type="spellStart"/>
      <w:r w:rsidRPr="00F426EB">
        <w:rPr>
          <w:sz w:val="24"/>
          <w:szCs w:val="24"/>
        </w:rPr>
        <w:t>seponering</w:t>
      </w:r>
      <w:proofErr w:type="spellEnd"/>
      <w:r w:rsidRPr="00F426EB">
        <w:rPr>
          <w:sz w:val="24"/>
          <w:szCs w:val="24"/>
        </w:rPr>
        <w:t xml:space="preserve"> af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behandlingen overvejes.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Pseudomembranøs</w:t>
      </w:r>
      <w:proofErr w:type="spellEnd"/>
      <w:r w:rsidRPr="00F426EB">
        <w:rPr>
          <w:sz w:val="24"/>
          <w:szCs w:val="24"/>
        </w:rPr>
        <w:t xml:space="preserve"> </w:t>
      </w:r>
      <w:proofErr w:type="spellStart"/>
      <w:r w:rsidRPr="00F426EB">
        <w:rPr>
          <w:sz w:val="24"/>
          <w:szCs w:val="24"/>
        </w:rPr>
        <w:t>colitis</w:t>
      </w:r>
      <w:proofErr w:type="spellEnd"/>
      <w:r w:rsidRPr="00F426EB">
        <w:rPr>
          <w:sz w:val="24"/>
          <w:szCs w:val="24"/>
        </w:rPr>
        <w:t xml:space="preserve"> er rapporteret for næsten alle antibakterielle lægemidler. Det er derfor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vigtigt at overveje denne diagnose hos patienter, der frem</w:t>
      </w:r>
      <w:r w:rsidRPr="00F426EB">
        <w:rPr>
          <w:sz w:val="24"/>
          <w:szCs w:val="24"/>
        </w:rPr>
        <w:softHyphen/>
        <w:t>byder diarré og iværksætte passende behandling.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Pædiatrisk population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Hos nyfødte kan ufuldstændigt udviklet nyrefunktion føre til man</w:t>
      </w:r>
      <w:r w:rsidRPr="00F426EB">
        <w:rPr>
          <w:sz w:val="24"/>
          <w:szCs w:val="24"/>
        </w:rPr>
        <w:softHyphen/>
        <w:t xml:space="preserve">gelfuld udskillelse af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og høje serumniveauer. Hyppig kontrol af plasmakoncentrationen og nøje bivirknings</w:t>
      </w:r>
      <w:r w:rsidRPr="00F426EB">
        <w:rPr>
          <w:sz w:val="24"/>
          <w:szCs w:val="24"/>
        </w:rPr>
        <w:softHyphen/>
        <w:t>overvågning bør udføres (se pkt. 4.2).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Ældre patienter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Der er observeret stigning i </w:t>
      </w:r>
      <w:proofErr w:type="spellStart"/>
      <w:r w:rsidRPr="00F426EB">
        <w:rPr>
          <w:sz w:val="24"/>
          <w:szCs w:val="24"/>
        </w:rPr>
        <w:t>serumkreatinin</w:t>
      </w:r>
      <w:proofErr w:type="spellEnd"/>
      <w:r w:rsidRPr="00F426EB">
        <w:rPr>
          <w:sz w:val="24"/>
          <w:szCs w:val="24"/>
        </w:rPr>
        <w:t xml:space="preserve">-niveauet i forbindelse med profylaktisk brug af høje doser til ældre patienter, der havde fået en total </w:t>
      </w:r>
      <w:proofErr w:type="spellStart"/>
      <w:r w:rsidRPr="00F426EB">
        <w:rPr>
          <w:sz w:val="24"/>
          <w:szCs w:val="24"/>
        </w:rPr>
        <w:t>hoftealloplastik</w:t>
      </w:r>
      <w:proofErr w:type="spellEnd"/>
      <w:r w:rsidRPr="00F426EB">
        <w:rPr>
          <w:sz w:val="24"/>
          <w:szCs w:val="24"/>
        </w:rPr>
        <w:t xml:space="preserve">. Nyrefunktionen skal derfor monitoreres før og under behandling med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>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Monitorering af behandlingen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Organfunktioner, herunder nyrer, lever og det </w:t>
      </w:r>
      <w:proofErr w:type="spellStart"/>
      <w:r w:rsidRPr="00F426EB">
        <w:rPr>
          <w:sz w:val="24"/>
          <w:szCs w:val="24"/>
        </w:rPr>
        <w:t>hæma</w:t>
      </w:r>
      <w:r w:rsidRPr="00F426EB">
        <w:rPr>
          <w:sz w:val="24"/>
          <w:szCs w:val="24"/>
        </w:rPr>
        <w:softHyphen/>
        <w:t>topoietiske</w:t>
      </w:r>
      <w:proofErr w:type="spellEnd"/>
      <w:r w:rsidRPr="00F426EB">
        <w:rPr>
          <w:sz w:val="24"/>
          <w:szCs w:val="24"/>
        </w:rPr>
        <w:t xml:space="preserve"> system, bør følges regelmæssigt under længerevarende behandling.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Det anbefales at udføre leukocyt- og </w:t>
      </w:r>
      <w:proofErr w:type="spellStart"/>
      <w:r w:rsidRPr="00F426EB">
        <w:rPr>
          <w:sz w:val="24"/>
          <w:szCs w:val="24"/>
        </w:rPr>
        <w:t>differential</w:t>
      </w:r>
      <w:proofErr w:type="spellEnd"/>
      <w:r w:rsidRPr="00F426EB">
        <w:rPr>
          <w:sz w:val="24"/>
          <w:szCs w:val="24"/>
        </w:rPr>
        <w:t xml:space="preserve"> celletælling før behandlingsstart og derefter mindst ugentligt under behandling med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</w:t>
      </w:r>
      <w:r w:rsidR="005B034E">
        <w:rPr>
          <w:sz w:val="24"/>
          <w:szCs w:val="24"/>
        </w:rPr>
        <w:t>"</w:t>
      </w:r>
      <w:proofErr w:type="spellStart"/>
      <w:r w:rsidR="0032335E">
        <w:rPr>
          <w:sz w:val="24"/>
          <w:szCs w:val="24"/>
        </w:rPr>
        <w:t>Bluefish</w:t>
      </w:r>
      <w:proofErr w:type="spellEnd"/>
      <w:r w:rsidR="005B034E">
        <w:rPr>
          <w:sz w:val="24"/>
          <w:szCs w:val="24"/>
        </w:rPr>
        <w:t>"</w:t>
      </w:r>
      <w:r w:rsidRPr="00F426EB">
        <w:rPr>
          <w:sz w:val="24"/>
          <w:szCs w:val="24"/>
        </w:rPr>
        <w:t>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31F33" w:rsidRPr="00F426EB" w:rsidRDefault="00131F33" w:rsidP="00131F33">
      <w:pPr>
        <w:ind w:left="851"/>
        <w:rPr>
          <w:i/>
          <w:sz w:val="24"/>
          <w:szCs w:val="24"/>
        </w:rPr>
      </w:pPr>
      <w:r w:rsidRPr="00F426EB">
        <w:rPr>
          <w:i/>
          <w:sz w:val="24"/>
          <w:szCs w:val="24"/>
        </w:rPr>
        <w:t>Natrium</w:t>
      </w:r>
    </w:p>
    <w:p w:rsidR="00131F33" w:rsidRDefault="00131F33" w:rsidP="00131F3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Dicloxacillin</w:t>
      </w:r>
      <w:proofErr w:type="spellEnd"/>
      <w:r>
        <w:rPr>
          <w:sz w:val="24"/>
          <w:szCs w:val="24"/>
        </w:rPr>
        <w:t xml:space="preserve"> </w:t>
      </w:r>
      <w:r w:rsidR="009B3708"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Bluefish</w:t>
      </w:r>
      <w:proofErr w:type="spellEnd"/>
      <w:r w:rsidR="009B3708">
        <w:rPr>
          <w:sz w:val="24"/>
          <w:szCs w:val="24"/>
        </w:rPr>
        <w:t>"</w:t>
      </w:r>
      <w:r>
        <w:rPr>
          <w:sz w:val="24"/>
          <w:szCs w:val="24"/>
        </w:rPr>
        <w:t xml:space="preserve"> 250 mg: </w:t>
      </w:r>
      <w:r>
        <w:rPr>
          <w:szCs w:val="24"/>
        </w:rPr>
        <w:t>D</w:t>
      </w:r>
      <w:r w:rsidRPr="00D265F7">
        <w:rPr>
          <w:szCs w:val="24"/>
        </w:rPr>
        <w:t>ette lægemiddel</w:t>
      </w:r>
      <w:r>
        <w:rPr>
          <w:szCs w:val="24"/>
        </w:rPr>
        <w:t xml:space="preserve"> indeholder mindre end 1 mmol (23 mg) natrium pr. 250 mg kapsel, dvs. den er i det v</w:t>
      </w:r>
      <w:r w:rsidRPr="00D265F7">
        <w:rPr>
          <w:szCs w:val="24"/>
        </w:rPr>
        <w:t>æ</w:t>
      </w:r>
      <w:r>
        <w:rPr>
          <w:szCs w:val="24"/>
        </w:rPr>
        <w:t>sentlige natrium-fri.</w:t>
      </w:r>
    </w:p>
    <w:p w:rsidR="00131F33" w:rsidRDefault="00131F33" w:rsidP="00131F33">
      <w:pPr>
        <w:ind w:left="851"/>
        <w:rPr>
          <w:sz w:val="24"/>
          <w:szCs w:val="24"/>
        </w:rPr>
      </w:pPr>
    </w:p>
    <w:p w:rsidR="00131F33" w:rsidRPr="00F426EB" w:rsidRDefault="00131F33" w:rsidP="00131F33">
      <w:pPr>
        <w:ind w:left="851"/>
        <w:rPr>
          <w:sz w:val="24"/>
          <w:szCs w:val="24"/>
        </w:rPr>
      </w:pPr>
      <w:proofErr w:type="spellStart"/>
      <w:r>
        <w:rPr>
          <w:szCs w:val="24"/>
        </w:rPr>
        <w:t>Dicloxacillin</w:t>
      </w:r>
      <w:proofErr w:type="spellEnd"/>
      <w:r>
        <w:rPr>
          <w:szCs w:val="24"/>
        </w:rPr>
        <w:t xml:space="preserve"> </w:t>
      </w:r>
      <w:r w:rsidR="009B3708">
        <w:rPr>
          <w:szCs w:val="24"/>
        </w:rPr>
        <w:t>"</w:t>
      </w:r>
      <w:proofErr w:type="spellStart"/>
      <w:r>
        <w:rPr>
          <w:szCs w:val="24"/>
        </w:rPr>
        <w:t>Bluefish</w:t>
      </w:r>
      <w:proofErr w:type="spellEnd"/>
      <w:r w:rsidR="009B3708">
        <w:rPr>
          <w:szCs w:val="24"/>
        </w:rPr>
        <w:t>"</w:t>
      </w:r>
      <w:r>
        <w:rPr>
          <w:szCs w:val="24"/>
        </w:rPr>
        <w:t xml:space="preserve"> 500 mg: D</w:t>
      </w:r>
      <w:r w:rsidRPr="00D265F7">
        <w:rPr>
          <w:szCs w:val="24"/>
        </w:rPr>
        <w:t>ette lægemiddel</w:t>
      </w:r>
      <w:r>
        <w:rPr>
          <w:szCs w:val="24"/>
        </w:rPr>
        <w:t xml:space="preserve"> indeholder 24,4 mg natrium pr. 500 mg kapsel, svarende til 1,2 % af den WHO anbefalede maximale daglige indtagelse af 2 g natrium for en voksen.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4.5</w:t>
      </w:r>
      <w:r w:rsidRPr="00F426EB">
        <w:rPr>
          <w:b/>
          <w:sz w:val="24"/>
          <w:szCs w:val="24"/>
        </w:rPr>
        <w:tab/>
        <w:t>Interaktion med andre lægemidler og andre former for interaktion</w:t>
      </w:r>
    </w:p>
    <w:p w:rsidR="0017481C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Probenecid</w:t>
      </w:r>
      <w:proofErr w:type="spellEnd"/>
      <w:r w:rsidRPr="00F426EB">
        <w:rPr>
          <w:sz w:val="24"/>
          <w:szCs w:val="24"/>
        </w:rPr>
        <w:t xml:space="preserve"> 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Samtidig administration af </w:t>
      </w:r>
      <w:proofErr w:type="spellStart"/>
      <w:r w:rsidRPr="00F426EB">
        <w:rPr>
          <w:sz w:val="24"/>
          <w:szCs w:val="24"/>
        </w:rPr>
        <w:t>probenecid</w:t>
      </w:r>
      <w:proofErr w:type="spellEnd"/>
      <w:r w:rsidRPr="00F426EB">
        <w:rPr>
          <w:sz w:val="24"/>
          <w:szCs w:val="24"/>
        </w:rPr>
        <w:t xml:space="preserve"> hæmmer den </w:t>
      </w:r>
      <w:proofErr w:type="spellStart"/>
      <w:r w:rsidRPr="00F426EB">
        <w:rPr>
          <w:sz w:val="24"/>
          <w:szCs w:val="24"/>
        </w:rPr>
        <w:t>renale</w:t>
      </w:r>
      <w:proofErr w:type="spellEnd"/>
      <w:r w:rsidRPr="00F426EB">
        <w:rPr>
          <w:sz w:val="24"/>
          <w:szCs w:val="24"/>
        </w:rPr>
        <w:t xml:space="preserve"> </w:t>
      </w:r>
      <w:proofErr w:type="spellStart"/>
      <w:r w:rsidRPr="00F426EB">
        <w:rPr>
          <w:sz w:val="24"/>
          <w:szCs w:val="24"/>
        </w:rPr>
        <w:t>tubulære</w:t>
      </w:r>
      <w:proofErr w:type="spellEnd"/>
      <w:r w:rsidRPr="00F426EB">
        <w:rPr>
          <w:sz w:val="24"/>
          <w:szCs w:val="24"/>
        </w:rPr>
        <w:t xml:space="preserve"> udskillelse af </w:t>
      </w:r>
      <w:proofErr w:type="spellStart"/>
      <w:r w:rsidRPr="00F426EB">
        <w:rPr>
          <w:sz w:val="24"/>
          <w:szCs w:val="24"/>
        </w:rPr>
        <w:t>penincillin</w:t>
      </w:r>
      <w:proofErr w:type="spellEnd"/>
      <w:r w:rsidRPr="00F426EB">
        <w:rPr>
          <w:sz w:val="24"/>
          <w:szCs w:val="24"/>
        </w:rPr>
        <w:t>, som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forårsager en stigning i samt forlænget plasmakoncentration af penicillin.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P-piller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I sjældne tilfælde kan systemisk antibiotika nedsætte virkningen af p-piller ved at påvirke</w:t>
      </w:r>
      <w:r w:rsidR="00F426EB">
        <w:rPr>
          <w:sz w:val="24"/>
          <w:szCs w:val="24"/>
        </w:rPr>
        <w:t xml:space="preserve"> </w:t>
      </w:r>
      <w:proofErr w:type="spellStart"/>
      <w:r w:rsidRPr="00F426EB">
        <w:rPr>
          <w:sz w:val="24"/>
          <w:szCs w:val="24"/>
        </w:rPr>
        <w:t>reabsorptionen</w:t>
      </w:r>
      <w:proofErr w:type="spellEnd"/>
      <w:r w:rsidRPr="00F426EB">
        <w:rPr>
          <w:sz w:val="24"/>
          <w:szCs w:val="24"/>
        </w:rPr>
        <w:t xml:space="preserve"> i tarmen.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Methotrexat</w:t>
      </w:r>
      <w:proofErr w:type="spellEnd"/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Samtidig behandling med </w:t>
      </w:r>
      <w:proofErr w:type="spellStart"/>
      <w:r w:rsidRPr="00F426EB">
        <w:rPr>
          <w:sz w:val="24"/>
          <w:szCs w:val="24"/>
        </w:rPr>
        <w:t>methotrexat</w:t>
      </w:r>
      <w:proofErr w:type="spellEnd"/>
      <w:r w:rsidRPr="00F426EB">
        <w:rPr>
          <w:sz w:val="24"/>
          <w:szCs w:val="24"/>
        </w:rPr>
        <w:t xml:space="preserve"> kan medføre øget virkning/toksicitet af </w:t>
      </w:r>
      <w:proofErr w:type="spellStart"/>
      <w:r w:rsidRPr="00F426EB">
        <w:rPr>
          <w:sz w:val="24"/>
          <w:szCs w:val="24"/>
        </w:rPr>
        <w:t>methotrexat</w:t>
      </w:r>
      <w:proofErr w:type="spellEnd"/>
      <w:r w:rsidRPr="00F426EB">
        <w:rPr>
          <w:sz w:val="24"/>
          <w:szCs w:val="24"/>
        </w:rPr>
        <w:t xml:space="preserve"> på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grund af reduceret udskillelse.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Dicumarol</w:t>
      </w:r>
      <w:proofErr w:type="spellEnd"/>
    </w:p>
    <w:p w:rsidR="0017481C" w:rsidRPr="00F426EB" w:rsidRDefault="0017481C" w:rsidP="00F426EB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Warfarin</w:t>
      </w:r>
      <w:proofErr w:type="spellEnd"/>
      <w:r w:rsidRPr="00F426EB">
        <w:rPr>
          <w:sz w:val="24"/>
          <w:szCs w:val="24"/>
        </w:rPr>
        <w:t>/</w:t>
      </w:r>
      <w:proofErr w:type="spellStart"/>
      <w:r w:rsidRPr="00F426EB">
        <w:rPr>
          <w:sz w:val="24"/>
          <w:szCs w:val="24"/>
        </w:rPr>
        <w:t>dicumarols</w:t>
      </w:r>
      <w:proofErr w:type="spellEnd"/>
      <w:r w:rsidRPr="00F426EB">
        <w:rPr>
          <w:sz w:val="24"/>
          <w:szCs w:val="24"/>
        </w:rPr>
        <w:t xml:space="preserve"> virkning kan nedsættes ved samtidig behandling med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>. Kombinationen kan kræve dosisjustering.</w:t>
      </w:r>
    </w:p>
    <w:p w:rsidR="009B3708" w:rsidRDefault="009B37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4.6</w:t>
      </w:r>
      <w:r w:rsidRPr="00F426EB">
        <w:rPr>
          <w:b/>
          <w:sz w:val="24"/>
          <w:szCs w:val="24"/>
        </w:rPr>
        <w:tab/>
        <w:t>Graviditet og amning</w:t>
      </w:r>
    </w:p>
    <w:p w:rsidR="00F426EB" w:rsidRDefault="00F426EB" w:rsidP="00F426EB">
      <w:pPr>
        <w:ind w:left="851" w:hanging="851"/>
        <w:rPr>
          <w:noProof/>
          <w:sz w:val="24"/>
          <w:szCs w:val="24"/>
        </w:rPr>
      </w:pPr>
    </w:p>
    <w:p w:rsidR="0017481C" w:rsidRPr="0032335E" w:rsidRDefault="0017481C" w:rsidP="00F426EB">
      <w:pPr>
        <w:ind w:left="851"/>
        <w:rPr>
          <w:noProof/>
          <w:sz w:val="24"/>
          <w:szCs w:val="24"/>
          <w:u w:val="single"/>
        </w:rPr>
      </w:pPr>
      <w:r w:rsidRPr="0032335E">
        <w:rPr>
          <w:noProof/>
          <w:sz w:val="24"/>
          <w:szCs w:val="24"/>
          <w:u w:val="single"/>
        </w:rPr>
        <w:t>Graviditet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Lang, klinisk erfaring indikerer en lav risiko for skadelige virkninger under graviditet eller for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fostret eller det nyfødte barn.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32335E" w:rsidRDefault="0017481C" w:rsidP="00F426EB">
      <w:pPr>
        <w:ind w:left="851"/>
        <w:rPr>
          <w:noProof/>
          <w:sz w:val="24"/>
          <w:szCs w:val="24"/>
          <w:u w:val="single"/>
        </w:rPr>
      </w:pPr>
      <w:r w:rsidRPr="0032335E">
        <w:rPr>
          <w:noProof/>
          <w:sz w:val="24"/>
          <w:szCs w:val="24"/>
          <w:u w:val="single"/>
        </w:rPr>
        <w:t>Amning</w:t>
      </w:r>
    </w:p>
    <w:p w:rsidR="0017481C" w:rsidRPr="00F426EB" w:rsidRDefault="0017481C" w:rsidP="00F426EB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Penicillin udskilles i modermælk i lave koncentrationer. Skadelige virkninger for fostret er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ikke sandsynlige, selvom der kan være en risiko for virkning på den orale flora eller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tarmfloraen. Små mængder af det aktive stof i modermælk, kan forårsage en forhøjet risiko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 xml:space="preserve">for sensibilisering. Der skal derfor udvises forsigtighed, når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udskrives til</w:t>
      </w:r>
      <w:r w:rsid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ammende kvinder.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4.7</w:t>
      </w:r>
      <w:r w:rsidRPr="00F426EB">
        <w:rPr>
          <w:b/>
          <w:sz w:val="24"/>
          <w:szCs w:val="24"/>
        </w:rPr>
        <w:tab/>
        <w:t>Virkninger på evnen til at føre motorkøretøj eller betjene maskiner</w:t>
      </w:r>
    </w:p>
    <w:p w:rsidR="00F426EB" w:rsidRDefault="00F426EB" w:rsidP="00F426EB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</w:t>
      </w:r>
      <w:r w:rsidR="005B034E">
        <w:rPr>
          <w:sz w:val="24"/>
          <w:szCs w:val="24"/>
        </w:rPr>
        <w:t>"</w:t>
      </w:r>
      <w:proofErr w:type="spellStart"/>
      <w:r w:rsidR="0032335E">
        <w:rPr>
          <w:sz w:val="24"/>
          <w:szCs w:val="24"/>
        </w:rPr>
        <w:t>Bluefish</w:t>
      </w:r>
      <w:proofErr w:type="spellEnd"/>
      <w:r w:rsidR="005B034E">
        <w:rPr>
          <w:sz w:val="24"/>
          <w:szCs w:val="24"/>
        </w:rPr>
        <w:t>"</w:t>
      </w:r>
      <w:r w:rsidRPr="00F426EB">
        <w:rPr>
          <w:sz w:val="24"/>
          <w:szCs w:val="24"/>
        </w:rPr>
        <w:t xml:space="preserve"> påvirker ikke eller kun i ubetydelig grad evnen til at føre motorkøretøj</w:t>
      </w:r>
      <w:r w:rsidR="00E955AC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og betjene maskiner.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4.8</w:t>
      </w:r>
      <w:r w:rsidRPr="00F426EB">
        <w:rPr>
          <w:b/>
          <w:sz w:val="24"/>
          <w:szCs w:val="24"/>
        </w:rPr>
        <w:tab/>
        <w:t>Bivirkninger</w:t>
      </w:r>
    </w:p>
    <w:p w:rsidR="0017481C" w:rsidRPr="00F426EB" w:rsidRDefault="0017481C" w:rsidP="00E955AC">
      <w:pPr>
        <w:ind w:left="851"/>
        <w:rPr>
          <w:i/>
          <w:sz w:val="24"/>
          <w:szCs w:val="24"/>
        </w:rPr>
      </w:pPr>
      <w:r w:rsidRPr="00F426EB">
        <w:rPr>
          <w:sz w:val="24"/>
          <w:szCs w:val="24"/>
        </w:rPr>
        <w:t>Cirka 5% af de behandlede patienter kan forvente at få bivirkninger. De mest almindelige</w:t>
      </w:r>
      <w:r w:rsidR="00E955AC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bivirkninger er kvalme, opkast og diarré.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Som ved andre penicilliner forekommer der allergiske reaktioner (øjeblikkelig og forsinket).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Disse er for det meste lette, men der er rapporteret alvorlige allergiske reaktioner, herunder</w:t>
      </w:r>
      <w:r w:rsidR="00E955AC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>dødsfald.</w:t>
      </w:r>
    </w:p>
    <w:p w:rsidR="0017481C" w:rsidRPr="00F426EB" w:rsidRDefault="0017481C" w:rsidP="00F426EB">
      <w:pPr>
        <w:ind w:left="851" w:hanging="851"/>
        <w:rPr>
          <w:sz w:val="24"/>
          <w:szCs w:val="24"/>
        </w:rPr>
      </w:pP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Nedenstående liste over bivirkninger er anført i henhold til systemorganklasse, </w:t>
      </w:r>
      <w:proofErr w:type="spellStart"/>
      <w:r w:rsidRPr="00F426EB">
        <w:rPr>
          <w:sz w:val="24"/>
          <w:szCs w:val="24"/>
        </w:rPr>
        <w:t>MedDRA</w:t>
      </w:r>
      <w:proofErr w:type="spellEnd"/>
      <w:r w:rsidRPr="00F426EB">
        <w:rPr>
          <w:sz w:val="24"/>
          <w:szCs w:val="24"/>
        </w:rPr>
        <w:t xml:space="preserve"> terminologi og hyppighed ved hjælp af følgende kategorier: Meget almindelig (≥1/10), Almindelig (≥1/100 til &lt;1/10), Ikke almindelig (≥1/1.000 til &lt;1/100), Sjælden (≥1/10.000 til &lt;1/1.000), Meget sjælden (&lt;1/10.000), Ikke kendt (kan ikke estimeres ud fra forhåndenværende data).</w:t>
      </w:r>
    </w:p>
    <w:p w:rsidR="0017481C" w:rsidRPr="00F426EB" w:rsidRDefault="0017481C" w:rsidP="00F426EB">
      <w:pPr>
        <w:ind w:left="851" w:hanging="851"/>
        <w:rPr>
          <w:noProof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Infektioner og parasitære sygdomme</w:t>
            </w: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  <w:r w:rsidRPr="00F426EB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Svampeinfektion i mundhule og abdomen.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Blod og lymfesystem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Knoglemarvssvigt, </w:t>
            </w:r>
            <w:proofErr w:type="spellStart"/>
            <w:r w:rsidRPr="00F426EB">
              <w:rPr>
                <w:sz w:val="24"/>
                <w:szCs w:val="24"/>
              </w:rPr>
              <w:t>agranulocytose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neutropeni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leukopeni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granulocytopeni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eosinofili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trombocytopeni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hæmolytisk</w:t>
            </w:r>
            <w:proofErr w:type="spellEnd"/>
            <w:r w:rsidRPr="00F426EB">
              <w:rPr>
                <w:sz w:val="24"/>
                <w:szCs w:val="24"/>
              </w:rPr>
              <w:t xml:space="preserve"> anæmi.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  <w:lang w:val="nb-NO"/>
              </w:rPr>
            </w:pPr>
            <w:r w:rsidRPr="00F426EB">
              <w:rPr>
                <w:b/>
                <w:sz w:val="24"/>
                <w:szCs w:val="24"/>
                <w:lang w:val="nb-NO"/>
              </w:rPr>
              <w:t>Immunsystemet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  <w:p w:rsidR="0017481C" w:rsidRPr="00F426EB" w:rsidRDefault="0017481C" w:rsidP="00E955AC">
            <w:pPr>
              <w:rPr>
                <w:sz w:val="24"/>
                <w:szCs w:val="24"/>
                <w:lang w:val="nb-NO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  <w:lang w:val="nb-NO"/>
              </w:rPr>
            </w:pPr>
            <w:r w:rsidRPr="00F426EB">
              <w:rPr>
                <w:sz w:val="24"/>
                <w:szCs w:val="24"/>
                <w:lang w:val="nb-NO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A</w:t>
            </w:r>
            <w:r w:rsidRPr="00F426EB">
              <w:rPr>
                <w:bCs/>
                <w:iCs/>
                <w:sz w:val="24"/>
                <w:szCs w:val="24"/>
              </w:rPr>
              <w:t>nafylaktiske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 reaktioner.</w:t>
            </w:r>
          </w:p>
          <w:p w:rsidR="0017481C" w:rsidRPr="00F426EB" w:rsidRDefault="0017481C" w:rsidP="00E955AC">
            <w:pPr>
              <w:rPr>
                <w:bCs/>
                <w:iCs/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bCs/>
                <w:iCs/>
                <w:sz w:val="24"/>
                <w:szCs w:val="24"/>
              </w:rPr>
            </w:pPr>
            <w:r w:rsidRPr="00F426EB">
              <w:rPr>
                <w:bCs/>
                <w:iCs/>
                <w:sz w:val="24"/>
                <w:szCs w:val="24"/>
              </w:rPr>
              <w:t>Overfølsomhed, serumsyge.</w:t>
            </w: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  <w:proofErr w:type="spellStart"/>
            <w:r w:rsidRPr="00F426EB">
              <w:rPr>
                <w:b/>
                <w:sz w:val="24"/>
                <w:szCs w:val="24"/>
              </w:rPr>
              <w:t>Vaskulære</w:t>
            </w:r>
            <w:proofErr w:type="spellEnd"/>
            <w:r w:rsidRPr="00F426EB">
              <w:rPr>
                <w:b/>
                <w:sz w:val="24"/>
                <w:szCs w:val="24"/>
              </w:rPr>
              <w:t xml:space="preserve"> sygdomme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  <w:lang w:val="nb-NO"/>
              </w:rPr>
            </w:pPr>
          </w:p>
          <w:p w:rsidR="0017481C" w:rsidRPr="00F426EB" w:rsidRDefault="00C20B4A" w:rsidP="00E955AC">
            <w:pPr>
              <w:rPr>
                <w:sz w:val="24"/>
                <w:szCs w:val="24"/>
                <w:lang w:val="nb-NO"/>
              </w:rPr>
            </w:pPr>
            <w:r>
              <w:rPr>
                <w:sz w:val="24"/>
                <w:szCs w:val="24"/>
                <w:lang w:val="nb-NO"/>
              </w:rPr>
              <w:t>V</w:t>
            </w:r>
            <w:r w:rsidR="0017481C" w:rsidRPr="00F426EB">
              <w:rPr>
                <w:sz w:val="24"/>
                <w:szCs w:val="24"/>
                <w:lang w:val="nb-NO"/>
              </w:rPr>
              <w:t>askulær kollaps og død, hypotension.</w:t>
            </w:r>
          </w:p>
          <w:p w:rsidR="0017481C" w:rsidRPr="00F426EB" w:rsidRDefault="0017481C" w:rsidP="00E955AC">
            <w:pPr>
              <w:rPr>
                <w:i/>
                <w:sz w:val="24"/>
                <w:szCs w:val="24"/>
                <w:lang w:val="nb-NO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F426EB">
              <w:rPr>
                <w:b/>
                <w:sz w:val="24"/>
                <w:szCs w:val="24"/>
              </w:rPr>
              <w:t>mediastinum</w:t>
            </w:r>
            <w:proofErr w:type="spellEnd"/>
          </w:p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lastRenderedPageBreak/>
              <w:t xml:space="preserve">Sjælden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lastRenderedPageBreak/>
              <w:t>Bronkospasme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laryngo</w:t>
            </w:r>
            <w:r w:rsidRPr="00F426EB">
              <w:rPr>
                <w:sz w:val="24"/>
                <w:szCs w:val="24"/>
              </w:rPr>
              <w:softHyphen/>
              <w:t>spasme</w:t>
            </w:r>
            <w:proofErr w:type="spellEnd"/>
            <w:r w:rsidRPr="00F426EB">
              <w:rPr>
                <w:sz w:val="24"/>
                <w:szCs w:val="24"/>
              </w:rPr>
              <w:t xml:space="preserve">, hæshed, </w:t>
            </w:r>
            <w:proofErr w:type="spellStart"/>
            <w:r w:rsidRPr="00F426EB">
              <w:rPr>
                <w:sz w:val="24"/>
                <w:szCs w:val="24"/>
              </w:rPr>
              <w:t>nysen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lanrynksødem</w:t>
            </w:r>
            <w:proofErr w:type="spellEnd"/>
            <w:r w:rsidRPr="00F426EB">
              <w:rPr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lastRenderedPageBreak/>
              <w:t>Mave-tarm-kanalen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Almindelig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Dyspepsi, </w:t>
            </w:r>
            <w:proofErr w:type="spellStart"/>
            <w:r w:rsidRPr="00F426EB">
              <w:rPr>
                <w:sz w:val="24"/>
                <w:szCs w:val="24"/>
              </w:rPr>
              <w:t>flatulens</w:t>
            </w:r>
            <w:proofErr w:type="spellEnd"/>
            <w:r w:rsidRPr="00F426EB">
              <w:rPr>
                <w:sz w:val="24"/>
                <w:szCs w:val="24"/>
              </w:rPr>
              <w:t>, diarré, kvalme, opkastning.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Pseudomembranøs</w:t>
            </w:r>
            <w:proofErr w:type="spellEnd"/>
            <w:r w:rsidRPr="00F426EB">
              <w:rPr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sz w:val="24"/>
                <w:szCs w:val="24"/>
              </w:rPr>
              <w:t>colitis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oesophagal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ulceration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>, s</w:t>
            </w:r>
            <w:r w:rsidRPr="00F426EB">
              <w:rPr>
                <w:sz w:val="24"/>
                <w:szCs w:val="24"/>
              </w:rPr>
              <w:t xml:space="preserve">merter i </w:t>
            </w:r>
            <w:proofErr w:type="spellStart"/>
            <w:r w:rsidRPr="00F426EB">
              <w:rPr>
                <w:sz w:val="24"/>
                <w:szCs w:val="24"/>
              </w:rPr>
              <w:t>oesophagus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oesophagitis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>,</w:t>
            </w:r>
            <w:r w:rsidRPr="00F426EB">
              <w:rPr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sz w:val="24"/>
                <w:szCs w:val="24"/>
              </w:rPr>
              <w:t>abdominalsmerter</w:t>
            </w:r>
            <w:proofErr w:type="spellEnd"/>
            <w:r w:rsidRPr="00F426EB">
              <w:rPr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Lever- og galdeveje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Sjælden </w:t>
            </w:r>
          </w:p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Cholestatisk</w:t>
            </w:r>
            <w:proofErr w:type="spellEnd"/>
            <w:r w:rsidRPr="00F426EB">
              <w:rPr>
                <w:sz w:val="24"/>
                <w:szCs w:val="24"/>
              </w:rPr>
              <w:t xml:space="preserve"> h</w:t>
            </w:r>
            <w:r w:rsidRPr="00F426EB">
              <w:rPr>
                <w:bCs/>
                <w:iCs/>
                <w:sz w:val="24"/>
                <w:szCs w:val="24"/>
              </w:rPr>
              <w:t>epatitis.</w:t>
            </w: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bCs/>
                <w:iCs/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Hepatotoksicitet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Hud og subkutane væv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Almindelig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Ikke almindelig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Hududslæt.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i/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Urticaria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pruritus</w:t>
            </w:r>
            <w:proofErr w:type="spellEnd"/>
            <w:r w:rsidRPr="00F426EB">
              <w:rPr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proofErr w:type="spellStart"/>
            <w:r w:rsidRPr="00F426EB">
              <w:rPr>
                <w:sz w:val="24"/>
                <w:szCs w:val="24"/>
              </w:rPr>
              <w:t>Angioneurotisk</w:t>
            </w:r>
            <w:proofErr w:type="spellEnd"/>
            <w:r w:rsidRPr="00F426EB">
              <w:rPr>
                <w:sz w:val="24"/>
                <w:szCs w:val="24"/>
              </w:rPr>
              <w:t xml:space="preserve"> ødem (</w:t>
            </w:r>
            <w:proofErr w:type="spellStart"/>
            <w:r w:rsidRPr="00F426EB">
              <w:rPr>
                <w:sz w:val="24"/>
                <w:szCs w:val="24"/>
              </w:rPr>
              <w:t>Quincke’s</w:t>
            </w:r>
            <w:proofErr w:type="spellEnd"/>
            <w:r w:rsidRPr="00F426EB">
              <w:rPr>
                <w:sz w:val="24"/>
                <w:szCs w:val="24"/>
              </w:rPr>
              <w:t xml:space="preserve"> ødem).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Knogler, led, muskler og bindevæv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Sjælden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Myalgi, </w:t>
            </w:r>
            <w:proofErr w:type="spellStart"/>
            <w:r w:rsidRPr="00F426EB">
              <w:rPr>
                <w:sz w:val="24"/>
                <w:szCs w:val="24"/>
              </w:rPr>
              <w:t>artralgi</w:t>
            </w:r>
            <w:proofErr w:type="spellEnd"/>
            <w:r w:rsidRPr="00F426EB">
              <w:rPr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Muskeltrækninger.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Nyrer og urinveje</w:t>
            </w: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  <w:r w:rsidRPr="00F426EB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Nyreinsufficiens,</w:t>
            </w:r>
            <w:r w:rsidRPr="00F426E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tubulær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 forstyrrelse,</w:t>
            </w:r>
            <w:r w:rsidRPr="00F426EB">
              <w:rPr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interstitiel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nefritis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, toksisk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nefropati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>,</w:t>
            </w:r>
            <w:r w:rsidRPr="00F426EB">
              <w:rPr>
                <w:sz w:val="24"/>
                <w:szCs w:val="24"/>
              </w:rPr>
              <w:t xml:space="preserve"> </w:t>
            </w:r>
            <w:proofErr w:type="spellStart"/>
            <w:r w:rsidRPr="00F426EB">
              <w:rPr>
                <w:sz w:val="24"/>
                <w:szCs w:val="24"/>
              </w:rPr>
              <w:t>hæmaturi</w:t>
            </w:r>
            <w:proofErr w:type="spellEnd"/>
            <w:r w:rsidRPr="00F426EB">
              <w:rPr>
                <w:sz w:val="24"/>
                <w:szCs w:val="24"/>
              </w:rPr>
              <w:t xml:space="preserve">, </w:t>
            </w:r>
            <w:proofErr w:type="spellStart"/>
            <w:r w:rsidRPr="00F426EB">
              <w:rPr>
                <w:sz w:val="24"/>
                <w:szCs w:val="24"/>
              </w:rPr>
              <w:t>proteinuri</w:t>
            </w:r>
            <w:proofErr w:type="spellEnd"/>
            <w:r w:rsidRPr="00F426EB">
              <w:rPr>
                <w:sz w:val="24"/>
                <w:szCs w:val="24"/>
              </w:rPr>
              <w:t>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b/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Almene symptomer og reaktioner på administrationsstedet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Sjælden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  <w:r w:rsidRPr="00F426EB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Feber.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Utilpashed.</w:t>
            </w:r>
          </w:p>
          <w:p w:rsidR="0017481C" w:rsidRPr="00F426EB" w:rsidRDefault="0017481C" w:rsidP="00E955AC">
            <w:pPr>
              <w:rPr>
                <w:sz w:val="24"/>
                <w:szCs w:val="24"/>
                <w:u w:val="single"/>
              </w:rPr>
            </w:pPr>
          </w:p>
        </w:tc>
      </w:tr>
      <w:tr w:rsidR="0017481C" w:rsidRPr="00F426EB" w:rsidTr="00E955AC">
        <w:trPr>
          <w:trHeight w:val="340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b/>
                <w:sz w:val="24"/>
                <w:szCs w:val="24"/>
              </w:rPr>
              <w:t>Undersøgelser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81C" w:rsidRPr="00F426EB" w:rsidRDefault="0017481C" w:rsidP="00E955AC">
            <w:pPr>
              <w:rPr>
                <w:sz w:val="24"/>
                <w:szCs w:val="24"/>
              </w:rPr>
            </w:pPr>
          </w:p>
          <w:p w:rsidR="0017481C" w:rsidRPr="00F426EB" w:rsidRDefault="0017481C" w:rsidP="00E955AC">
            <w:pPr>
              <w:rPr>
                <w:bCs/>
                <w:iCs/>
                <w:sz w:val="24"/>
                <w:szCs w:val="24"/>
              </w:rPr>
            </w:pPr>
            <w:r w:rsidRPr="00F426EB">
              <w:rPr>
                <w:bCs/>
                <w:iCs/>
                <w:sz w:val="24"/>
                <w:szCs w:val="24"/>
              </w:rPr>
              <w:t xml:space="preserve">Forhøjet </w:t>
            </w:r>
            <w:proofErr w:type="spellStart"/>
            <w:r w:rsidRPr="00F426EB">
              <w:rPr>
                <w:bCs/>
                <w:iCs/>
                <w:sz w:val="24"/>
                <w:szCs w:val="24"/>
              </w:rPr>
              <w:t>serumkreatinin</w:t>
            </w:r>
            <w:proofErr w:type="spellEnd"/>
            <w:r w:rsidRPr="00F426EB">
              <w:rPr>
                <w:bCs/>
                <w:iCs/>
                <w:sz w:val="24"/>
                <w:szCs w:val="24"/>
              </w:rPr>
              <w:t xml:space="preserve">. </w:t>
            </w:r>
          </w:p>
          <w:p w:rsidR="0017481C" w:rsidRPr="00F426EB" w:rsidRDefault="0017481C" w:rsidP="00E955AC">
            <w:pPr>
              <w:rPr>
                <w:sz w:val="24"/>
                <w:szCs w:val="24"/>
              </w:rPr>
            </w:pPr>
            <w:r w:rsidRPr="00F426EB">
              <w:rPr>
                <w:sz w:val="24"/>
                <w:szCs w:val="24"/>
              </w:rPr>
              <w:t xml:space="preserve">Forbigående, </w:t>
            </w:r>
            <w:proofErr w:type="spellStart"/>
            <w:r w:rsidRPr="00F426EB">
              <w:rPr>
                <w:sz w:val="24"/>
                <w:szCs w:val="24"/>
              </w:rPr>
              <w:t>asymptomatisk</w:t>
            </w:r>
            <w:proofErr w:type="spellEnd"/>
            <w:r w:rsidRPr="00F426EB">
              <w:rPr>
                <w:sz w:val="24"/>
                <w:szCs w:val="24"/>
              </w:rPr>
              <w:t xml:space="preserve"> øgning af alkaliske fosfataser, ASAT og ALAT.</w:t>
            </w:r>
          </w:p>
        </w:tc>
      </w:tr>
    </w:tbl>
    <w:p w:rsidR="0017481C" w:rsidRPr="00F426EB" w:rsidRDefault="0017481C" w:rsidP="00F426EB">
      <w:pPr>
        <w:ind w:left="851" w:hanging="851"/>
        <w:rPr>
          <w:noProof/>
          <w:sz w:val="24"/>
          <w:szCs w:val="24"/>
        </w:rPr>
      </w:pPr>
    </w:p>
    <w:p w:rsidR="0017481C" w:rsidRPr="00F426EB" w:rsidRDefault="0017481C" w:rsidP="00E955AC">
      <w:pPr>
        <w:ind w:left="851"/>
        <w:rPr>
          <w:bCs/>
          <w:noProof/>
          <w:sz w:val="24"/>
          <w:szCs w:val="24"/>
          <w:u w:val="single"/>
        </w:rPr>
      </w:pPr>
      <w:r w:rsidRPr="00F426EB">
        <w:rPr>
          <w:bCs/>
          <w:noProof/>
          <w:sz w:val="24"/>
          <w:szCs w:val="24"/>
          <w:u w:val="single"/>
        </w:rPr>
        <w:t xml:space="preserve">Indberetning af </w:t>
      </w:r>
      <w:r w:rsidR="00F06984">
        <w:rPr>
          <w:bCs/>
          <w:noProof/>
          <w:sz w:val="24"/>
          <w:szCs w:val="24"/>
          <w:u w:val="single"/>
        </w:rPr>
        <w:t>formodede</w:t>
      </w:r>
      <w:r w:rsidRPr="00F426EB">
        <w:rPr>
          <w:bCs/>
          <w:noProof/>
          <w:sz w:val="24"/>
          <w:szCs w:val="24"/>
          <w:u w:val="single"/>
        </w:rPr>
        <w:t xml:space="preserve"> bivirkninger</w:t>
      </w:r>
    </w:p>
    <w:p w:rsidR="0017481C" w:rsidRPr="00F426EB" w:rsidRDefault="0017481C" w:rsidP="00E955AC">
      <w:pPr>
        <w:ind w:left="851"/>
        <w:rPr>
          <w:bCs/>
          <w:noProof/>
          <w:sz w:val="24"/>
          <w:szCs w:val="24"/>
        </w:rPr>
      </w:pPr>
      <w:r w:rsidRPr="00F426EB">
        <w:rPr>
          <w:bCs/>
          <w:noProof/>
          <w:sz w:val="24"/>
          <w:szCs w:val="24"/>
        </w:rPr>
        <w:t xml:space="preserve">Når lægemidlet er godkendt, er indberetning af </w:t>
      </w:r>
      <w:r w:rsidR="00F06984">
        <w:rPr>
          <w:bCs/>
          <w:noProof/>
          <w:sz w:val="24"/>
          <w:szCs w:val="24"/>
        </w:rPr>
        <w:t>formodede</w:t>
      </w:r>
      <w:r w:rsidRPr="00F426EB">
        <w:rPr>
          <w:bCs/>
          <w:noProof/>
          <w:sz w:val="24"/>
          <w:szCs w:val="24"/>
        </w:rPr>
        <w:t xml:space="preserve"> bivirkninger vigtig. Det muliggør løbende overvågning af benefit/risk-forholdet for lægemidlet. Læger og sundhedspersonale anmodes om at indberette alle </w:t>
      </w:r>
      <w:r w:rsidR="00F06984">
        <w:rPr>
          <w:bCs/>
          <w:noProof/>
          <w:sz w:val="24"/>
          <w:szCs w:val="24"/>
        </w:rPr>
        <w:t>formodede</w:t>
      </w:r>
      <w:r w:rsidRPr="00F426EB">
        <w:rPr>
          <w:bCs/>
          <w:noProof/>
          <w:sz w:val="24"/>
          <w:szCs w:val="24"/>
        </w:rPr>
        <w:t xml:space="preserve"> bivirkninger via</w:t>
      </w:r>
    </w:p>
    <w:p w:rsidR="0017481C" w:rsidRPr="00F426EB" w:rsidRDefault="00F06984" w:rsidP="00E955AC">
      <w:pPr>
        <w:ind w:left="851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Lægemiddel</w:t>
      </w:r>
      <w:r w:rsidR="0017481C" w:rsidRPr="00F426EB">
        <w:rPr>
          <w:bCs/>
          <w:noProof/>
          <w:sz w:val="24"/>
          <w:szCs w:val="24"/>
        </w:rPr>
        <w:t>styrelsen</w:t>
      </w:r>
    </w:p>
    <w:p w:rsidR="0017481C" w:rsidRPr="00F426EB" w:rsidRDefault="0017481C" w:rsidP="00E955AC">
      <w:pPr>
        <w:ind w:left="851"/>
        <w:rPr>
          <w:bCs/>
          <w:noProof/>
          <w:sz w:val="24"/>
          <w:szCs w:val="24"/>
        </w:rPr>
      </w:pPr>
      <w:r w:rsidRPr="00F426EB">
        <w:rPr>
          <w:bCs/>
          <w:noProof/>
          <w:sz w:val="24"/>
          <w:szCs w:val="24"/>
        </w:rPr>
        <w:t>Axel Heides Gade 1</w:t>
      </w:r>
    </w:p>
    <w:p w:rsidR="0017481C" w:rsidRPr="00F426EB" w:rsidRDefault="0017481C" w:rsidP="00E955AC">
      <w:pPr>
        <w:ind w:left="851"/>
        <w:rPr>
          <w:bCs/>
          <w:noProof/>
          <w:sz w:val="24"/>
          <w:szCs w:val="24"/>
        </w:rPr>
      </w:pPr>
      <w:r w:rsidRPr="00F426EB">
        <w:rPr>
          <w:bCs/>
          <w:noProof/>
          <w:sz w:val="24"/>
          <w:szCs w:val="24"/>
        </w:rPr>
        <w:t>DK-2300 København S</w:t>
      </w:r>
    </w:p>
    <w:p w:rsidR="0017481C" w:rsidRPr="00F426EB" w:rsidRDefault="0017481C" w:rsidP="00E955AC">
      <w:pPr>
        <w:pStyle w:val="Sidehoved"/>
        <w:tabs>
          <w:tab w:val="clear" w:pos="4819"/>
          <w:tab w:val="clear" w:pos="9638"/>
        </w:tabs>
        <w:ind w:left="851"/>
        <w:rPr>
          <w:szCs w:val="24"/>
          <w:lang w:val="en-GB"/>
        </w:rPr>
      </w:pPr>
      <w:proofErr w:type="spellStart"/>
      <w:r w:rsidRPr="00F426EB">
        <w:rPr>
          <w:szCs w:val="24"/>
          <w:lang w:val="en-GB"/>
        </w:rPr>
        <w:t>Websted</w:t>
      </w:r>
      <w:proofErr w:type="spellEnd"/>
      <w:r w:rsidRPr="00F426EB">
        <w:rPr>
          <w:szCs w:val="24"/>
          <w:lang w:val="en-GB"/>
        </w:rPr>
        <w:t xml:space="preserve">: </w:t>
      </w:r>
      <w:hyperlink r:id="rId8" w:tooltip="http://www.meldenbivirkning.dk/" w:history="1">
        <w:r w:rsidRPr="00F426EB">
          <w:rPr>
            <w:rStyle w:val="Hyperlink"/>
            <w:szCs w:val="24"/>
            <w:lang w:val="en-GB"/>
          </w:rPr>
          <w:t>www.meldenbivirkning.dk</w:t>
        </w:r>
      </w:hyperlink>
    </w:p>
    <w:p w:rsidR="0017481C" w:rsidRPr="00F426EB" w:rsidRDefault="0017481C" w:rsidP="00E955AC">
      <w:pPr>
        <w:pStyle w:val="Sidehoved"/>
        <w:tabs>
          <w:tab w:val="clear" w:pos="4819"/>
          <w:tab w:val="clear" w:pos="9638"/>
        </w:tabs>
        <w:ind w:left="851"/>
        <w:rPr>
          <w:szCs w:val="24"/>
          <w:lang w:val="en-GB"/>
        </w:rPr>
      </w:pPr>
      <w:r w:rsidRPr="00F426EB">
        <w:rPr>
          <w:szCs w:val="24"/>
          <w:lang w:val="en-GB"/>
        </w:rPr>
        <w:lastRenderedPageBreak/>
        <w:t xml:space="preserve">E-mail: </w:t>
      </w:r>
      <w:hyperlink r:id="rId9" w:history="1">
        <w:r w:rsidR="00F06984" w:rsidRPr="00D020E8">
          <w:rPr>
            <w:rStyle w:val="Hyperlink"/>
            <w:szCs w:val="24"/>
            <w:lang w:val="en-GB"/>
          </w:rPr>
          <w:t>dkma@dkma.dk</w:t>
        </w:r>
      </w:hyperlink>
    </w:p>
    <w:p w:rsidR="00B003BF" w:rsidRPr="00F426EB" w:rsidRDefault="00B003BF" w:rsidP="00F426E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4.9</w:t>
      </w:r>
      <w:r w:rsidRPr="00F426EB">
        <w:rPr>
          <w:b/>
          <w:sz w:val="24"/>
          <w:szCs w:val="24"/>
        </w:rPr>
        <w:tab/>
        <w:t>Overdosering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Høje doser af penicillin er generelt veltolereret.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Toksiske reaktioner: </w:t>
      </w:r>
      <w:proofErr w:type="spellStart"/>
      <w:r w:rsidRPr="00F426EB">
        <w:rPr>
          <w:sz w:val="24"/>
          <w:szCs w:val="24"/>
        </w:rPr>
        <w:t>Gastrointestinale</w:t>
      </w:r>
      <w:proofErr w:type="spellEnd"/>
      <w:r w:rsidRPr="00F426EB">
        <w:rPr>
          <w:sz w:val="24"/>
          <w:szCs w:val="24"/>
        </w:rPr>
        <w:t xml:space="preserve"> symptomer, elektrolytforstyrrelser,</w:t>
      </w:r>
      <w:r w:rsidR="00E955AC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t xml:space="preserve">kramper, nedsat bevidsthed. </w:t>
      </w:r>
      <w:proofErr w:type="spellStart"/>
      <w:r w:rsidRPr="00F426EB">
        <w:rPr>
          <w:sz w:val="24"/>
          <w:szCs w:val="24"/>
        </w:rPr>
        <w:t>Hæmolytiske</w:t>
      </w:r>
      <w:proofErr w:type="spellEnd"/>
      <w:r w:rsidRPr="00F426EB">
        <w:rPr>
          <w:sz w:val="24"/>
          <w:szCs w:val="24"/>
        </w:rPr>
        <w:t xml:space="preserve"> reaktioner, nyresvigt, </w:t>
      </w:r>
      <w:proofErr w:type="spellStart"/>
      <w:r w:rsidRPr="00F426EB">
        <w:rPr>
          <w:sz w:val="24"/>
          <w:szCs w:val="24"/>
        </w:rPr>
        <w:t>acidose</w:t>
      </w:r>
      <w:proofErr w:type="spellEnd"/>
      <w:r w:rsidRPr="00F426EB">
        <w:rPr>
          <w:sz w:val="24"/>
          <w:szCs w:val="24"/>
        </w:rPr>
        <w:t>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Behandling: Ventrikelskylning kan overvejes. Ellers symptomatisk behandling: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kan ikke fjernes ved dialyse.</w:t>
      </w:r>
    </w:p>
    <w:p w:rsidR="00B003BF" w:rsidRPr="00F426EB" w:rsidRDefault="00B003BF" w:rsidP="009B3708">
      <w:pPr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4.10</w:t>
      </w:r>
      <w:r w:rsidRPr="00F426EB">
        <w:rPr>
          <w:b/>
          <w:sz w:val="24"/>
          <w:szCs w:val="24"/>
        </w:rPr>
        <w:tab/>
        <w:t>Udlevering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32335E">
        <w:rPr>
          <w:sz w:val="24"/>
          <w:szCs w:val="24"/>
        </w:rPr>
        <w:t>B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5.</w:t>
      </w:r>
      <w:r w:rsidRPr="00F426EB">
        <w:rPr>
          <w:b/>
          <w:sz w:val="24"/>
          <w:szCs w:val="24"/>
        </w:rPr>
        <w:tab/>
        <w:t>FARMAKOLOGISKE EGENSKABER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5.0</w:t>
      </w:r>
      <w:r w:rsidRPr="00F426EB">
        <w:rPr>
          <w:b/>
          <w:sz w:val="24"/>
          <w:szCs w:val="24"/>
        </w:rPr>
        <w:tab/>
        <w:t>Terapeutisk klassifikation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E955AC" w:rsidRPr="00F426EB">
        <w:rPr>
          <w:sz w:val="24"/>
          <w:szCs w:val="24"/>
        </w:rPr>
        <w:t>ATC-kode: J01CF01.</w:t>
      </w:r>
      <w:r w:rsidR="0017481C" w:rsidRPr="00F426EB">
        <w:rPr>
          <w:sz w:val="24"/>
          <w:szCs w:val="24"/>
        </w:rPr>
        <w:t xml:space="preserve"> Antibakterielle midler til systemisk brug, beta-</w:t>
      </w:r>
      <w:proofErr w:type="spellStart"/>
      <w:r w:rsidR="0017481C" w:rsidRPr="00F426EB">
        <w:rPr>
          <w:sz w:val="24"/>
          <w:szCs w:val="24"/>
        </w:rPr>
        <w:t>lactamase</w:t>
      </w:r>
      <w:proofErr w:type="spellEnd"/>
      <w:r w:rsidR="00E955AC">
        <w:rPr>
          <w:sz w:val="24"/>
          <w:szCs w:val="24"/>
        </w:rPr>
        <w:t xml:space="preserve"> </w:t>
      </w:r>
      <w:r w:rsidR="0017481C" w:rsidRPr="00F426EB">
        <w:rPr>
          <w:sz w:val="24"/>
          <w:szCs w:val="24"/>
        </w:rPr>
        <w:t xml:space="preserve">resistente penicilliner. 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5.1</w:t>
      </w:r>
      <w:r w:rsidRPr="00F426EB">
        <w:rPr>
          <w:b/>
          <w:sz w:val="24"/>
          <w:szCs w:val="24"/>
        </w:rPr>
        <w:tab/>
      </w:r>
      <w:proofErr w:type="spellStart"/>
      <w:r w:rsidRPr="00F426EB">
        <w:rPr>
          <w:b/>
          <w:sz w:val="24"/>
          <w:szCs w:val="24"/>
        </w:rPr>
        <w:t>Farmakodynamiske</w:t>
      </w:r>
      <w:proofErr w:type="spellEnd"/>
      <w:r w:rsidRPr="00F426EB">
        <w:rPr>
          <w:b/>
          <w:sz w:val="24"/>
          <w:szCs w:val="24"/>
        </w:rPr>
        <w:t xml:space="preserve"> egenskaber</w:t>
      </w:r>
    </w:p>
    <w:p w:rsidR="0017481C" w:rsidRPr="00F426EB" w:rsidRDefault="00B003BF" w:rsidP="00F426EB">
      <w:pPr>
        <w:suppressAutoHyphens/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  <w:r w:rsidRPr="00F426EB">
        <w:rPr>
          <w:sz w:val="24"/>
          <w:szCs w:val="24"/>
          <w:u w:val="single"/>
        </w:rPr>
        <w:t>Virkningsmekanisme</w:t>
      </w:r>
    </w:p>
    <w:p w:rsidR="0017481C" w:rsidRPr="00F426EB" w:rsidRDefault="0017481C" w:rsidP="00E955AC">
      <w:pPr>
        <w:ind w:left="851"/>
        <w:rPr>
          <w:sz w:val="24"/>
          <w:szCs w:val="24"/>
          <w:lang w:val="nb-NO"/>
        </w:rPr>
      </w:pPr>
      <w:r w:rsidRPr="00F426EB">
        <w:rPr>
          <w:sz w:val="24"/>
          <w:szCs w:val="24"/>
          <w:lang w:val="nb-NO"/>
        </w:rPr>
        <w:t>Dicloxacillin er et penicillinasestabilt, syresta</w:t>
      </w:r>
      <w:r w:rsidRPr="00F426EB">
        <w:rPr>
          <w:sz w:val="24"/>
          <w:szCs w:val="24"/>
          <w:lang w:val="nb-NO"/>
        </w:rPr>
        <w:softHyphen/>
        <w:t>bilt semisyntetisk penicillin. Det hæmmer syntesen af bakteriecellevæggen og har en baktericid virk</w:t>
      </w:r>
      <w:r w:rsidRPr="00F426EB">
        <w:rPr>
          <w:sz w:val="24"/>
          <w:szCs w:val="24"/>
          <w:lang w:val="nb-NO"/>
        </w:rPr>
        <w:softHyphen/>
        <w:t xml:space="preserve">ning på penicillinfølsomme bakterier i vækstfasen. </w:t>
      </w:r>
    </w:p>
    <w:p w:rsidR="0017481C" w:rsidRPr="00F426EB" w:rsidRDefault="0017481C" w:rsidP="00E955AC">
      <w:pPr>
        <w:suppressAutoHyphens/>
        <w:ind w:left="851"/>
        <w:rPr>
          <w:bCs/>
          <w:noProof/>
          <w:sz w:val="24"/>
          <w:szCs w:val="24"/>
          <w:lang w:val="nb-NO"/>
        </w:rPr>
      </w:pPr>
    </w:p>
    <w:p w:rsidR="0017481C" w:rsidRPr="00F426EB" w:rsidRDefault="0017481C" w:rsidP="00E955AC">
      <w:pPr>
        <w:ind w:left="851"/>
        <w:rPr>
          <w:sz w:val="24"/>
          <w:szCs w:val="24"/>
          <w:u w:val="single"/>
          <w:lang w:val="nb-NO"/>
        </w:rPr>
      </w:pPr>
      <w:r w:rsidRPr="00F426EB">
        <w:rPr>
          <w:sz w:val="24"/>
          <w:szCs w:val="24"/>
          <w:u w:val="single"/>
          <w:lang w:val="nb-NO"/>
        </w:rPr>
        <w:t>Farmakodynamisk virkning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  <w:lang w:val="nb-NO"/>
        </w:rPr>
        <w:t>Dicloxacillin virker mod de fleste grampositive kokker, herunder ß-hæmolytiske streptokokker, pneu</w:t>
      </w:r>
      <w:r w:rsidRPr="00F426EB">
        <w:rPr>
          <w:sz w:val="24"/>
          <w:szCs w:val="24"/>
          <w:lang w:val="nb-NO"/>
        </w:rPr>
        <w:softHyphen/>
        <w:t>mokokker og stafylokokker også penicillinaseprodu</w:t>
      </w:r>
      <w:r w:rsidRPr="00F426EB">
        <w:rPr>
          <w:sz w:val="24"/>
          <w:szCs w:val="24"/>
          <w:lang w:val="nb-NO"/>
        </w:rPr>
        <w:softHyphen/>
        <w:t>cerende stammer.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Der kan forekomme resistente stafylokokstammer, men de er sjældne.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5.2</w:t>
      </w:r>
      <w:r w:rsidRPr="00F426EB">
        <w:rPr>
          <w:b/>
          <w:sz w:val="24"/>
          <w:szCs w:val="24"/>
        </w:rPr>
        <w:tab/>
      </w:r>
      <w:proofErr w:type="spellStart"/>
      <w:r w:rsidRPr="00F426EB">
        <w:rPr>
          <w:b/>
          <w:sz w:val="24"/>
          <w:szCs w:val="24"/>
        </w:rPr>
        <w:t>Farmakokinetiske</w:t>
      </w:r>
      <w:proofErr w:type="spellEnd"/>
      <w:r w:rsidRPr="00F426EB">
        <w:rPr>
          <w:b/>
          <w:sz w:val="24"/>
          <w:szCs w:val="24"/>
        </w:rPr>
        <w:t xml:space="preserve"> egenskaber</w:t>
      </w:r>
    </w:p>
    <w:p w:rsidR="0017481C" w:rsidRPr="00F426EB" w:rsidRDefault="00B003BF" w:rsidP="00F426EB">
      <w:pPr>
        <w:suppressAutoHyphens/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  <w:r w:rsidRPr="00F426EB">
        <w:rPr>
          <w:sz w:val="24"/>
          <w:szCs w:val="24"/>
          <w:u w:val="single"/>
        </w:rPr>
        <w:t>Absorption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Absorption fra mave-tarm-kanalen sker hurtigt, men ufuldstændigt. Hos fastende voksne opnås maksimal serumkoncentration i løbet af 30 minutter-2 timer og 35-76% af den orale dosis absorberes. Føde i mave-tarm-kanalen nedsætter absorptio</w:t>
      </w:r>
      <w:r w:rsidRPr="00F426EB">
        <w:rPr>
          <w:sz w:val="24"/>
          <w:szCs w:val="24"/>
        </w:rPr>
        <w:softHyphen/>
        <w:t xml:space="preserve">nen af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. </w:t>
      </w: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</w:p>
    <w:p w:rsidR="0017481C" w:rsidRPr="00F426EB" w:rsidRDefault="0017481C" w:rsidP="00E955AC">
      <w:pPr>
        <w:ind w:left="851"/>
        <w:rPr>
          <w:noProof/>
          <w:sz w:val="24"/>
          <w:szCs w:val="24"/>
          <w:u w:val="single"/>
        </w:rPr>
      </w:pPr>
      <w:r w:rsidRPr="00F426EB">
        <w:rPr>
          <w:noProof/>
          <w:sz w:val="24"/>
          <w:szCs w:val="24"/>
          <w:u w:val="single"/>
        </w:rPr>
        <w:t>Fordeling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Serumkoncentrationen efter oral indgift er direkte pro</w:t>
      </w:r>
      <w:r w:rsidRPr="00F426EB">
        <w:rPr>
          <w:sz w:val="24"/>
          <w:szCs w:val="24"/>
        </w:rPr>
        <w:softHyphen/>
        <w:t>portional med dosis. Enkelt</w:t>
      </w:r>
      <w:r w:rsidRPr="00F426EB">
        <w:rPr>
          <w:sz w:val="24"/>
          <w:szCs w:val="24"/>
        </w:rPr>
        <w:softHyphen/>
        <w:t xml:space="preserve">doser på 500 mg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oralt medfører maksimale serumkoncentrationer på omkring 15 mikrogram pr. ml.</w:t>
      </w:r>
    </w:p>
    <w:p w:rsidR="0017481C" w:rsidRPr="00F426EB" w:rsidRDefault="0017481C" w:rsidP="00E955AC">
      <w:pPr>
        <w:ind w:left="851"/>
        <w:rPr>
          <w:noProof/>
          <w:sz w:val="24"/>
          <w:szCs w:val="24"/>
          <w:u w:val="single"/>
        </w:rPr>
      </w:pP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  <w:r w:rsidRPr="00F426EB">
        <w:rPr>
          <w:sz w:val="24"/>
          <w:szCs w:val="24"/>
          <w:u w:val="single"/>
        </w:rPr>
        <w:t>Biotransformation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har en </w:t>
      </w:r>
      <w:proofErr w:type="spellStart"/>
      <w:r w:rsidRPr="00F426EB">
        <w:rPr>
          <w:sz w:val="24"/>
          <w:szCs w:val="24"/>
        </w:rPr>
        <w:t>protein</w:t>
      </w:r>
      <w:r w:rsidRPr="00F426EB">
        <w:rPr>
          <w:sz w:val="24"/>
          <w:szCs w:val="24"/>
        </w:rPr>
        <w:softHyphen/>
        <w:t>bindinsgrad</w:t>
      </w:r>
      <w:proofErr w:type="spellEnd"/>
      <w:r w:rsidRPr="00F426EB">
        <w:rPr>
          <w:sz w:val="24"/>
          <w:szCs w:val="24"/>
        </w:rPr>
        <w:t xml:space="preserve"> på 95-98%. </w:t>
      </w:r>
      <w:proofErr w:type="spellStart"/>
      <w:r w:rsidRPr="00F426EB">
        <w:rPr>
          <w:sz w:val="24"/>
          <w:szCs w:val="24"/>
        </w:rPr>
        <w:t>Dicloxicillin</w:t>
      </w:r>
      <w:proofErr w:type="spellEnd"/>
      <w:r w:rsidRPr="00F426EB">
        <w:rPr>
          <w:sz w:val="24"/>
          <w:szCs w:val="24"/>
        </w:rPr>
        <w:t xml:space="preserve"> er letopløselig i </w:t>
      </w:r>
      <w:proofErr w:type="spellStart"/>
      <w:r w:rsidRPr="00F426EB">
        <w:rPr>
          <w:sz w:val="24"/>
          <w:szCs w:val="24"/>
        </w:rPr>
        <w:t>lipider</w:t>
      </w:r>
      <w:proofErr w:type="spellEnd"/>
      <w:r w:rsidRPr="00F426EB">
        <w:rPr>
          <w:sz w:val="24"/>
          <w:szCs w:val="24"/>
        </w:rPr>
        <w:t xml:space="preserve"> og der opnås tilstrækkelige koncentrationer i knoglevæv, </w:t>
      </w:r>
      <w:proofErr w:type="spellStart"/>
      <w:r w:rsidRPr="00F426EB">
        <w:rPr>
          <w:sz w:val="24"/>
          <w:szCs w:val="24"/>
        </w:rPr>
        <w:t>pleura</w:t>
      </w:r>
      <w:proofErr w:type="spellEnd"/>
      <w:r w:rsidRPr="00F426EB">
        <w:rPr>
          <w:sz w:val="24"/>
          <w:szCs w:val="24"/>
        </w:rPr>
        <w:t xml:space="preserve">- og </w:t>
      </w:r>
      <w:proofErr w:type="spellStart"/>
      <w:r w:rsidRPr="00F426EB">
        <w:rPr>
          <w:sz w:val="24"/>
          <w:szCs w:val="24"/>
        </w:rPr>
        <w:t>synovialvæ</w:t>
      </w:r>
      <w:r w:rsidRPr="00F426EB">
        <w:rPr>
          <w:sz w:val="24"/>
          <w:szCs w:val="24"/>
        </w:rPr>
        <w:softHyphen/>
        <w:t>ske</w:t>
      </w:r>
      <w:proofErr w:type="spellEnd"/>
      <w:r w:rsidRPr="00F426EB">
        <w:rPr>
          <w:sz w:val="24"/>
          <w:szCs w:val="24"/>
        </w:rPr>
        <w:t xml:space="preserve"> samt sårsekretion, men der opnås kun mini</w:t>
      </w:r>
      <w:r w:rsidRPr="00F426EB">
        <w:rPr>
          <w:sz w:val="24"/>
          <w:szCs w:val="24"/>
        </w:rPr>
        <w:softHyphen/>
        <w:t xml:space="preserve">male koncentrationer i </w:t>
      </w:r>
      <w:proofErr w:type="spellStart"/>
      <w:r w:rsidRPr="00F426EB">
        <w:rPr>
          <w:sz w:val="24"/>
          <w:szCs w:val="24"/>
        </w:rPr>
        <w:t>cerebrospi</w:t>
      </w:r>
      <w:r w:rsidRPr="00F426EB">
        <w:rPr>
          <w:sz w:val="24"/>
          <w:szCs w:val="24"/>
        </w:rPr>
        <w:softHyphen/>
        <w:t>nal</w:t>
      </w:r>
      <w:r w:rsidRPr="00F426EB">
        <w:rPr>
          <w:sz w:val="24"/>
          <w:szCs w:val="24"/>
        </w:rPr>
        <w:softHyphen/>
        <w:t>væske</w:t>
      </w:r>
      <w:proofErr w:type="spellEnd"/>
      <w:r w:rsidRPr="00F426EB">
        <w:rPr>
          <w:sz w:val="24"/>
          <w:szCs w:val="24"/>
        </w:rPr>
        <w:t>.</w:t>
      </w: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</w:p>
    <w:p w:rsidR="0017481C" w:rsidRPr="00F426EB" w:rsidRDefault="0017481C" w:rsidP="00E955AC">
      <w:pPr>
        <w:ind w:left="851"/>
        <w:rPr>
          <w:sz w:val="24"/>
          <w:szCs w:val="24"/>
          <w:u w:val="single"/>
        </w:rPr>
      </w:pPr>
      <w:r w:rsidRPr="00F426EB">
        <w:rPr>
          <w:sz w:val="24"/>
          <w:szCs w:val="24"/>
          <w:u w:val="single"/>
        </w:rPr>
        <w:t>Elimination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Eliminationshalveringstiden er cirka 45 minutter. </w:t>
      </w:r>
      <w:proofErr w:type="spellStart"/>
      <w:r w:rsidRPr="00F426EB">
        <w:rPr>
          <w:sz w:val="24"/>
          <w:szCs w:val="24"/>
        </w:rPr>
        <w:t>Dicloxacil</w:t>
      </w:r>
      <w:r w:rsidRPr="00F426EB">
        <w:rPr>
          <w:sz w:val="24"/>
          <w:szCs w:val="24"/>
        </w:rPr>
        <w:softHyphen/>
        <w:t>lin</w:t>
      </w:r>
      <w:proofErr w:type="spellEnd"/>
      <w:r w:rsidRPr="00F426EB">
        <w:rPr>
          <w:sz w:val="24"/>
          <w:szCs w:val="24"/>
        </w:rPr>
        <w:t xml:space="preserve"> </w:t>
      </w:r>
      <w:proofErr w:type="spellStart"/>
      <w:r w:rsidRPr="00F426EB">
        <w:rPr>
          <w:sz w:val="24"/>
          <w:szCs w:val="24"/>
        </w:rPr>
        <w:t>metaboliseres</w:t>
      </w:r>
      <w:proofErr w:type="spellEnd"/>
      <w:r w:rsidRPr="00F426EB">
        <w:rPr>
          <w:sz w:val="24"/>
          <w:szCs w:val="24"/>
        </w:rPr>
        <w:t xml:space="preserve"> delvis til aktive og inaktive </w:t>
      </w:r>
      <w:proofErr w:type="spellStart"/>
      <w:r w:rsidRPr="00F426EB">
        <w:rPr>
          <w:sz w:val="24"/>
          <w:szCs w:val="24"/>
        </w:rPr>
        <w:t>metabolitter</w:t>
      </w:r>
      <w:proofErr w:type="spellEnd"/>
      <w:r w:rsidRPr="00F426EB">
        <w:rPr>
          <w:sz w:val="24"/>
          <w:szCs w:val="24"/>
        </w:rPr>
        <w:t xml:space="preserve"> og udskilles i urinen ved </w:t>
      </w:r>
      <w:proofErr w:type="spellStart"/>
      <w:r w:rsidRPr="00F426EB">
        <w:rPr>
          <w:sz w:val="24"/>
          <w:szCs w:val="24"/>
        </w:rPr>
        <w:t>glomerulær</w:t>
      </w:r>
      <w:proofErr w:type="spellEnd"/>
      <w:r w:rsidRPr="00F426EB">
        <w:rPr>
          <w:sz w:val="24"/>
          <w:szCs w:val="24"/>
        </w:rPr>
        <w:t xml:space="preserve"> filtration og </w:t>
      </w:r>
      <w:proofErr w:type="spellStart"/>
      <w:r w:rsidRPr="00F426EB">
        <w:rPr>
          <w:sz w:val="24"/>
          <w:szCs w:val="24"/>
        </w:rPr>
        <w:t>tubulær</w:t>
      </w:r>
      <w:proofErr w:type="spellEnd"/>
      <w:r w:rsidRPr="00F426EB">
        <w:rPr>
          <w:sz w:val="24"/>
          <w:szCs w:val="24"/>
        </w:rPr>
        <w:t xml:space="preserve"> </w:t>
      </w:r>
      <w:r w:rsidRPr="00F426EB">
        <w:rPr>
          <w:sz w:val="24"/>
          <w:szCs w:val="24"/>
        </w:rPr>
        <w:lastRenderedPageBreak/>
        <w:t xml:space="preserve">sekretion. </w:t>
      </w:r>
      <w:r w:rsidR="00223C6F">
        <w:rPr>
          <w:sz w:val="24"/>
          <w:szCs w:val="24"/>
        </w:rPr>
        <w:t>Efter 6 timer</w:t>
      </w:r>
      <w:r w:rsidR="004B7929">
        <w:rPr>
          <w:sz w:val="24"/>
          <w:szCs w:val="24"/>
        </w:rPr>
        <w:t xml:space="preserve"> er </w:t>
      </w:r>
      <w:proofErr w:type="spellStart"/>
      <w:r w:rsidR="004B7929">
        <w:rPr>
          <w:sz w:val="24"/>
          <w:szCs w:val="24"/>
        </w:rPr>
        <w:t>dicloxacillin</w:t>
      </w:r>
      <w:proofErr w:type="spellEnd"/>
      <w:r w:rsidR="004B7929">
        <w:rPr>
          <w:sz w:val="24"/>
          <w:szCs w:val="24"/>
        </w:rPr>
        <w:t xml:space="preserve">-niveauet i urinen 55-65 %. </w:t>
      </w:r>
      <w:r w:rsidRPr="00F426EB">
        <w:rPr>
          <w:sz w:val="24"/>
          <w:szCs w:val="24"/>
        </w:rPr>
        <w:t>Det udskilles også delvis i fæces.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Nedsatte plasmakoncentrationer er rapporteret hos patienter med cys</w:t>
      </w:r>
      <w:r w:rsidRPr="00F426EB">
        <w:rPr>
          <w:sz w:val="24"/>
          <w:szCs w:val="24"/>
        </w:rPr>
        <w:softHyphen/>
        <w:t>tisk fibrose.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I tilfælde hvor det er påkrævet at opnå høj serumkoncentration hurtigt, kan </w:t>
      </w:r>
      <w:proofErr w:type="spellStart"/>
      <w:r w:rsidRPr="00F426EB">
        <w:rPr>
          <w:sz w:val="24"/>
          <w:szCs w:val="24"/>
        </w:rPr>
        <w:t>dicloxacillin</w:t>
      </w:r>
      <w:proofErr w:type="spellEnd"/>
      <w:r w:rsidRPr="00F426EB">
        <w:rPr>
          <w:sz w:val="24"/>
          <w:szCs w:val="24"/>
        </w:rPr>
        <w:t xml:space="preserve"> indgives </w:t>
      </w:r>
      <w:proofErr w:type="spellStart"/>
      <w:r w:rsidRPr="00F426EB">
        <w:rPr>
          <w:sz w:val="24"/>
          <w:szCs w:val="24"/>
        </w:rPr>
        <w:t>parenteralt</w:t>
      </w:r>
      <w:proofErr w:type="spellEnd"/>
      <w:r w:rsidRPr="00F426EB">
        <w:rPr>
          <w:sz w:val="24"/>
          <w:szCs w:val="24"/>
        </w:rPr>
        <w:t>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 xml:space="preserve">Kun minimale mængder fjernes ved </w:t>
      </w:r>
      <w:proofErr w:type="spellStart"/>
      <w:r w:rsidRPr="00F426EB">
        <w:rPr>
          <w:sz w:val="24"/>
          <w:szCs w:val="24"/>
        </w:rPr>
        <w:t>hæmodialyse</w:t>
      </w:r>
      <w:proofErr w:type="spellEnd"/>
      <w:r w:rsidRPr="00F426EB">
        <w:rPr>
          <w:sz w:val="24"/>
          <w:szCs w:val="24"/>
        </w:rPr>
        <w:t xml:space="preserve"> eller </w:t>
      </w:r>
      <w:proofErr w:type="spellStart"/>
      <w:r w:rsidRPr="00F426EB">
        <w:rPr>
          <w:sz w:val="24"/>
          <w:szCs w:val="24"/>
        </w:rPr>
        <w:t>peritonealdialyse</w:t>
      </w:r>
      <w:proofErr w:type="spellEnd"/>
      <w:r w:rsidRPr="00F426EB">
        <w:rPr>
          <w:sz w:val="24"/>
          <w:szCs w:val="24"/>
        </w:rPr>
        <w:t xml:space="preserve">. 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5.3</w:t>
      </w:r>
      <w:r w:rsidRPr="00F426EB">
        <w:rPr>
          <w:b/>
          <w:sz w:val="24"/>
          <w:szCs w:val="24"/>
        </w:rPr>
        <w:tab/>
        <w:t>Prækliniske sikkerhedsdata</w:t>
      </w:r>
    </w:p>
    <w:p w:rsidR="0017481C" w:rsidRPr="00F426EB" w:rsidRDefault="00B003BF" w:rsidP="00E955AC">
      <w:pPr>
        <w:numPr>
          <w:ilvl w:val="12"/>
          <w:numId w:val="0"/>
        </w:numPr>
        <w:ind w:left="851" w:right="1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 xml:space="preserve">Der foreligger ingen data fra langtidsdyrestudier med </w:t>
      </w:r>
      <w:proofErr w:type="spellStart"/>
      <w:r w:rsidR="0017481C" w:rsidRPr="00F426EB">
        <w:rPr>
          <w:sz w:val="24"/>
          <w:szCs w:val="24"/>
        </w:rPr>
        <w:t>di</w:t>
      </w:r>
      <w:r w:rsidR="0017481C" w:rsidRPr="00F426EB">
        <w:rPr>
          <w:sz w:val="24"/>
          <w:szCs w:val="24"/>
        </w:rPr>
        <w:softHyphen/>
        <w:t>cloxacillin</w:t>
      </w:r>
      <w:proofErr w:type="spellEnd"/>
      <w:r w:rsidR="0017481C" w:rsidRPr="00F426EB">
        <w:rPr>
          <w:sz w:val="24"/>
          <w:szCs w:val="24"/>
        </w:rPr>
        <w:t>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</w:t>
      </w:r>
      <w:r w:rsidRPr="00F426EB">
        <w:rPr>
          <w:b/>
          <w:sz w:val="24"/>
          <w:szCs w:val="24"/>
        </w:rPr>
        <w:tab/>
        <w:t>FARMACEUTISKE OPLYSNINGER</w:t>
      </w: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6.1</w:t>
      </w:r>
      <w:r w:rsidRPr="00F426EB">
        <w:rPr>
          <w:b/>
          <w:sz w:val="24"/>
          <w:szCs w:val="24"/>
        </w:rPr>
        <w:tab/>
        <w:t>Hjælpestoffer</w:t>
      </w:r>
    </w:p>
    <w:p w:rsidR="00E955AC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proofErr w:type="spellStart"/>
      <w:r w:rsidR="0017481C" w:rsidRPr="00F426EB">
        <w:rPr>
          <w:sz w:val="24"/>
          <w:szCs w:val="24"/>
        </w:rPr>
        <w:t>Magnesiumstearat</w:t>
      </w:r>
      <w:proofErr w:type="spellEnd"/>
    </w:p>
    <w:p w:rsidR="00E955AC" w:rsidRDefault="00E955AC" w:rsidP="00E955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="0017481C" w:rsidRPr="00F426EB">
        <w:rPr>
          <w:sz w:val="24"/>
          <w:szCs w:val="24"/>
        </w:rPr>
        <w:t>ilica</w:t>
      </w:r>
      <w:proofErr w:type="spellEnd"/>
      <w:r w:rsidR="0017481C" w:rsidRPr="00F426EB">
        <w:rPr>
          <w:sz w:val="24"/>
          <w:szCs w:val="24"/>
        </w:rPr>
        <w:t>, kolloid, vandfri</w:t>
      </w:r>
    </w:p>
    <w:p w:rsidR="00E955AC" w:rsidRDefault="00E955AC" w:rsidP="00E955AC">
      <w:pPr>
        <w:ind w:left="851"/>
        <w:rPr>
          <w:sz w:val="24"/>
          <w:szCs w:val="24"/>
        </w:rPr>
      </w:pPr>
      <w:r>
        <w:rPr>
          <w:sz w:val="24"/>
          <w:szCs w:val="24"/>
        </w:rPr>
        <w:t>G</w:t>
      </w:r>
      <w:r w:rsidR="0017481C" w:rsidRPr="00F426EB">
        <w:rPr>
          <w:sz w:val="24"/>
          <w:szCs w:val="24"/>
        </w:rPr>
        <w:t>elatine</w:t>
      </w:r>
    </w:p>
    <w:p w:rsidR="00E955AC" w:rsidRDefault="00E955AC" w:rsidP="00E955AC">
      <w:pPr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="0017481C" w:rsidRPr="00F426EB">
        <w:rPr>
          <w:sz w:val="24"/>
          <w:szCs w:val="24"/>
        </w:rPr>
        <w:t>itandioxid (E171)</w:t>
      </w:r>
    </w:p>
    <w:p w:rsidR="0017481C" w:rsidRPr="00F426EB" w:rsidRDefault="00E955AC" w:rsidP="00E955AC">
      <w:pPr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="0017481C" w:rsidRPr="00F426EB">
        <w:rPr>
          <w:sz w:val="24"/>
          <w:szCs w:val="24"/>
        </w:rPr>
        <w:t>ort jernoxid (E172)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6.2</w:t>
      </w:r>
      <w:r w:rsidRPr="00F426EB">
        <w:rPr>
          <w:b/>
          <w:sz w:val="24"/>
          <w:szCs w:val="24"/>
        </w:rPr>
        <w:tab/>
        <w:t>Uforligeligheder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 xml:space="preserve">Aminoglykosider og penicilliner kan gensidigt inaktivere hinanden </w:t>
      </w:r>
      <w:r w:rsidR="0017481C" w:rsidRPr="00F426EB">
        <w:rPr>
          <w:i/>
          <w:sz w:val="24"/>
          <w:szCs w:val="24"/>
        </w:rPr>
        <w:t xml:space="preserve">in </w:t>
      </w:r>
      <w:proofErr w:type="spellStart"/>
      <w:r w:rsidR="0017481C" w:rsidRPr="00F426EB">
        <w:rPr>
          <w:i/>
          <w:sz w:val="24"/>
          <w:szCs w:val="24"/>
        </w:rPr>
        <w:t>vitro</w:t>
      </w:r>
      <w:proofErr w:type="spellEnd"/>
      <w:r w:rsidR="0017481C" w:rsidRPr="00F426EB">
        <w:rPr>
          <w:sz w:val="24"/>
          <w:szCs w:val="24"/>
        </w:rPr>
        <w:t>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6.3</w:t>
      </w:r>
      <w:r w:rsidRPr="00F426EB">
        <w:rPr>
          <w:b/>
          <w:sz w:val="24"/>
          <w:szCs w:val="24"/>
        </w:rPr>
        <w:tab/>
        <w:t>Opbevaringstid</w:t>
      </w:r>
    </w:p>
    <w:p w:rsidR="0017481C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>2 år (1 år for HDPE-flaske efter anbrud)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6.4</w:t>
      </w:r>
      <w:r w:rsidRPr="00F426EB">
        <w:rPr>
          <w:b/>
          <w:sz w:val="24"/>
          <w:szCs w:val="24"/>
        </w:rPr>
        <w:tab/>
        <w:t>Særlige opbevaringsforhold</w:t>
      </w:r>
    </w:p>
    <w:p w:rsidR="0017481C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>Opbevares ved temperaturer under 30°C.</w:t>
      </w:r>
    </w:p>
    <w:p w:rsidR="0017481C" w:rsidRPr="00F426EB" w:rsidRDefault="0017481C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Opbevares i den originale yderpakning for at beskytte mod fugt.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6.5</w:t>
      </w:r>
      <w:r w:rsidRPr="00F426EB">
        <w:rPr>
          <w:b/>
          <w:sz w:val="24"/>
          <w:szCs w:val="24"/>
        </w:rPr>
        <w:tab/>
        <w:t>Emballagetyper og pakningsstørrelser</w:t>
      </w:r>
    </w:p>
    <w:p w:rsidR="0017481C" w:rsidRPr="00F426EB" w:rsidRDefault="00B003BF" w:rsidP="00E955AC">
      <w:pPr>
        <w:suppressAutoHyphens/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 xml:space="preserve">Tropisk blisterpakning: 10, 14, </w:t>
      </w:r>
      <w:r w:rsidR="00B65442">
        <w:rPr>
          <w:sz w:val="24"/>
          <w:szCs w:val="24"/>
        </w:rPr>
        <w:t xml:space="preserve">20, </w:t>
      </w:r>
      <w:r w:rsidR="0017481C" w:rsidRPr="00F426EB">
        <w:rPr>
          <w:sz w:val="24"/>
          <w:szCs w:val="24"/>
        </w:rPr>
        <w:t>30, 50</w:t>
      </w:r>
      <w:r w:rsidR="000576D4">
        <w:rPr>
          <w:sz w:val="24"/>
          <w:szCs w:val="24"/>
        </w:rPr>
        <w:t>, 100</w:t>
      </w:r>
      <w:r w:rsidR="0017481C" w:rsidRPr="00F426EB">
        <w:rPr>
          <w:sz w:val="24"/>
          <w:szCs w:val="24"/>
        </w:rPr>
        <w:t xml:space="preserve"> og 100 x 1 kapsler</w:t>
      </w:r>
    </w:p>
    <w:p w:rsidR="0017481C" w:rsidRPr="00F426EB" w:rsidRDefault="0017481C" w:rsidP="00E955AC">
      <w:pPr>
        <w:ind w:left="851"/>
        <w:jc w:val="both"/>
        <w:rPr>
          <w:sz w:val="24"/>
          <w:szCs w:val="24"/>
        </w:rPr>
      </w:pPr>
      <w:r w:rsidRPr="00F426EB">
        <w:rPr>
          <w:sz w:val="24"/>
          <w:szCs w:val="24"/>
        </w:rPr>
        <w:t>HDPE-flaske: 16, 30, 50, 60, 100, 250 og 500 kapsler</w:t>
      </w:r>
    </w:p>
    <w:p w:rsidR="0017481C" w:rsidRPr="00F426EB" w:rsidRDefault="0017481C" w:rsidP="00F426EB">
      <w:pPr>
        <w:ind w:left="851" w:hanging="851"/>
        <w:jc w:val="both"/>
        <w:rPr>
          <w:sz w:val="24"/>
          <w:szCs w:val="24"/>
        </w:rPr>
      </w:pPr>
    </w:p>
    <w:p w:rsidR="0017481C" w:rsidRDefault="0017481C" w:rsidP="00E955AC">
      <w:pPr>
        <w:suppressAutoHyphens/>
        <w:ind w:left="851"/>
        <w:rPr>
          <w:sz w:val="24"/>
          <w:szCs w:val="24"/>
        </w:rPr>
      </w:pPr>
      <w:r w:rsidRPr="00F426EB">
        <w:rPr>
          <w:sz w:val="24"/>
          <w:szCs w:val="24"/>
        </w:rPr>
        <w:t>Ikke alle pakningsstørrelser er nødvendigvis markedsført.</w:t>
      </w:r>
    </w:p>
    <w:p w:rsidR="00E955AC" w:rsidRPr="00F426EB" w:rsidRDefault="00E955AC" w:rsidP="00E955AC">
      <w:pPr>
        <w:suppressAutoHyphens/>
        <w:ind w:left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6.6</w:t>
      </w:r>
      <w:r w:rsidRPr="00F426EB">
        <w:rPr>
          <w:b/>
          <w:sz w:val="24"/>
          <w:szCs w:val="24"/>
        </w:rPr>
        <w:tab/>
        <w:t>Regler for destruktion og anden håndtering</w:t>
      </w:r>
    </w:p>
    <w:p w:rsidR="0017481C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17481C" w:rsidRPr="00F426EB">
        <w:rPr>
          <w:sz w:val="24"/>
          <w:szCs w:val="24"/>
        </w:rPr>
        <w:t>Ikke anvendt lægemiddel samt affald heraf skal bortskaffes i henhold til lokale retningslinjer.</w:t>
      </w:r>
    </w:p>
    <w:p w:rsidR="00B003BF" w:rsidRPr="00F426EB" w:rsidRDefault="00B003BF" w:rsidP="00F426EB">
      <w:pPr>
        <w:ind w:left="851" w:hanging="851"/>
        <w:jc w:val="both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7.</w:t>
      </w:r>
      <w:r w:rsidRPr="00F426EB">
        <w:rPr>
          <w:b/>
          <w:sz w:val="24"/>
          <w:szCs w:val="24"/>
        </w:rPr>
        <w:tab/>
        <w:t>INDEHAVER AF MARKEDSFØRINGSTILLADELSEN</w:t>
      </w:r>
    </w:p>
    <w:p w:rsidR="0017481C" w:rsidRPr="00E955AC" w:rsidRDefault="0017481C" w:rsidP="00E955AC">
      <w:pPr>
        <w:ind w:left="851"/>
        <w:rPr>
          <w:bCs/>
          <w:sz w:val="24"/>
          <w:szCs w:val="24"/>
        </w:rPr>
      </w:pPr>
      <w:proofErr w:type="spellStart"/>
      <w:r w:rsidRPr="00E955AC">
        <w:rPr>
          <w:sz w:val="24"/>
          <w:szCs w:val="24"/>
        </w:rPr>
        <w:t>Bluefish</w:t>
      </w:r>
      <w:proofErr w:type="spellEnd"/>
      <w:r w:rsidRPr="00E955AC">
        <w:rPr>
          <w:sz w:val="24"/>
          <w:szCs w:val="24"/>
        </w:rPr>
        <w:t xml:space="preserve"> Pharmaceuticals AB</w:t>
      </w:r>
    </w:p>
    <w:p w:rsidR="00F06984" w:rsidRPr="006071EB" w:rsidRDefault="00F06984" w:rsidP="00F06984">
      <w:pPr>
        <w:tabs>
          <w:tab w:val="left" w:pos="851"/>
        </w:tabs>
        <w:ind w:left="1702" w:hanging="851"/>
        <w:rPr>
          <w:sz w:val="24"/>
          <w:szCs w:val="24"/>
        </w:rPr>
      </w:pPr>
      <w:proofErr w:type="spellStart"/>
      <w:r>
        <w:rPr>
          <w:sz w:val="24"/>
          <w:szCs w:val="24"/>
        </w:rPr>
        <w:t>Gävlegatan</w:t>
      </w:r>
      <w:proofErr w:type="spellEnd"/>
      <w:r>
        <w:rPr>
          <w:sz w:val="24"/>
          <w:szCs w:val="24"/>
        </w:rPr>
        <w:t xml:space="preserve"> 22</w:t>
      </w:r>
    </w:p>
    <w:p w:rsidR="00F06984" w:rsidRPr="006071EB" w:rsidRDefault="00F06984" w:rsidP="00F06984">
      <w:pPr>
        <w:tabs>
          <w:tab w:val="left" w:pos="851"/>
        </w:tabs>
        <w:ind w:left="1702" w:hanging="851"/>
        <w:rPr>
          <w:sz w:val="24"/>
          <w:szCs w:val="24"/>
        </w:rPr>
      </w:pPr>
      <w:r>
        <w:rPr>
          <w:sz w:val="24"/>
          <w:szCs w:val="24"/>
        </w:rPr>
        <w:t>113 30 Stockholm</w:t>
      </w:r>
    </w:p>
    <w:p w:rsidR="0017481C" w:rsidRPr="00C20B4A" w:rsidRDefault="00F06984" w:rsidP="00F06984">
      <w:pPr>
        <w:ind w:left="851"/>
        <w:rPr>
          <w:sz w:val="24"/>
          <w:szCs w:val="24"/>
        </w:rPr>
      </w:pPr>
      <w:r w:rsidRPr="006071EB">
        <w:rPr>
          <w:sz w:val="24"/>
          <w:szCs w:val="24"/>
        </w:rPr>
        <w:t>Sverige</w:t>
      </w:r>
    </w:p>
    <w:p w:rsidR="009B3708" w:rsidRDefault="009B370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003BF" w:rsidRPr="00C20B4A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8.</w:t>
      </w:r>
      <w:r w:rsidRPr="00F426EB">
        <w:rPr>
          <w:b/>
          <w:sz w:val="24"/>
          <w:szCs w:val="24"/>
        </w:rPr>
        <w:tab/>
        <w:t>MARKEDSFØRINGSTILLADELSESNUMMER (NUMRE)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F07FD9" w:rsidRPr="00F426EB">
        <w:rPr>
          <w:sz w:val="24"/>
          <w:szCs w:val="24"/>
        </w:rPr>
        <w:t>250 mg:</w:t>
      </w:r>
      <w:r w:rsidR="00F426EB" w:rsidRPr="00F426EB">
        <w:rPr>
          <w:sz w:val="24"/>
          <w:szCs w:val="24"/>
        </w:rPr>
        <w:t xml:space="preserve"> 52593</w:t>
      </w:r>
    </w:p>
    <w:p w:rsidR="00F07FD9" w:rsidRPr="00F426EB" w:rsidRDefault="00F07FD9" w:rsidP="00E955AC">
      <w:pPr>
        <w:ind w:left="851"/>
        <w:rPr>
          <w:sz w:val="24"/>
          <w:szCs w:val="24"/>
        </w:rPr>
      </w:pPr>
      <w:r w:rsidRPr="00F426EB">
        <w:rPr>
          <w:sz w:val="24"/>
          <w:szCs w:val="24"/>
        </w:rPr>
        <w:t>500 mg:</w:t>
      </w:r>
      <w:r w:rsidR="00F426EB" w:rsidRPr="00F426EB">
        <w:rPr>
          <w:sz w:val="24"/>
          <w:szCs w:val="24"/>
        </w:rPr>
        <w:t xml:space="preserve"> 52594</w:t>
      </w:r>
    </w:p>
    <w:p w:rsidR="00B003BF" w:rsidRPr="00F426EB" w:rsidRDefault="00B003BF" w:rsidP="00F426EB">
      <w:pPr>
        <w:ind w:left="851" w:hanging="851"/>
        <w:jc w:val="both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9.</w:t>
      </w:r>
      <w:r w:rsidRPr="00F426EB">
        <w:rPr>
          <w:b/>
          <w:sz w:val="24"/>
          <w:szCs w:val="24"/>
        </w:rPr>
        <w:tab/>
        <w:t>DATO FOR FØRSTE MARKEDSFØRINGSTILLADELSE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F07FD9" w:rsidRPr="00F426EB">
        <w:rPr>
          <w:sz w:val="24"/>
          <w:szCs w:val="24"/>
        </w:rPr>
        <w:t>2</w:t>
      </w:r>
      <w:r w:rsidR="00C20B4A">
        <w:rPr>
          <w:sz w:val="24"/>
          <w:szCs w:val="24"/>
        </w:rPr>
        <w:t>7</w:t>
      </w:r>
      <w:r w:rsidR="00F07FD9" w:rsidRPr="00F426EB">
        <w:rPr>
          <w:sz w:val="24"/>
          <w:szCs w:val="24"/>
        </w:rPr>
        <w:t>. juni 2014</w:t>
      </w:r>
    </w:p>
    <w:p w:rsidR="00B003BF" w:rsidRPr="00F426EB" w:rsidRDefault="00B003BF" w:rsidP="00F426EB">
      <w:pPr>
        <w:ind w:left="851" w:hanging="851"/>
        <w:rPr>
          <w:sz w:val="24"/>
          <w:szCs w:val="24"/>
        </w:rPr>
      </w:pPr>
    </w:p>
    <w:p w:rsidR="00B003BF" w:rsidRPr="00F426EB" w:rsidRDefault="00B003BF" w:rsidP="00F426EB">
      <w:pPr>
        <w:ind w:left="851" w:hanging="851"/>
        <w:rPr>
          <w:b/>
          <w:sz w:val="24"/>
          <w:szCs w:val="24"/>
        </w:rPr>
      </w:pPr>
      <w:r w:rsidRPr="00F426EB">
        <w:rPr>
          <w:b/>
          <w:sz w:val="24"/>
          <w:szCs w:val="24"/>
        </w:rPr>
        <w:t>10.</w:t>
      </w:r>
      <w:r w:rsidRPr="00F426EB">
        <w:rPr>
          <w:b/>
          <w:sz w:val="24"/>
          <w:szCs w:val="24"/>
        </w:rPr>
        <w:tab/>
        <w:t>DATO FOR ÆNDRING AF TEKSTEN</w:t>
      </w:r>
    </w:p>
    <w:p w:rsidR="00790EE7" w:rsidRPr="00F426EB" w:rsidRDefault="00B003BF" w:rsidP="00F426EB">
      <w:pPr>
        <w:ind w:left="851" w:hanging="851"/>
        <w:rPr>
          <w:sz w:val="24"/>
          <w:szCs w:val="24"/>
        </w:rPr>
      </w:pPr>
      <w:r w:rsidRPr="00F426EB">
        <w:rPr>
          <w:sz w:val="24"/>
          <w:szCs w:val="24"/>
        </w:rPr>
        <w:tab/>
      </w:r>
      <w:r w:rsidR="009B3708">
        <w:rPr>
          <w:sz w:val="24"/>
          <w:szCs w:val="24"/>
        </w:rPr>
        <w:t>28. marts 2019</w:t>
      </w:r>
      <w:r w:rsidR="00B65442">
        <w:rPr>
          <w:sz w:val="24"/>
          <w:szCs w:val="24"/>
        </w:rPr>
        <w:t xml:space="preserve"> </w:t>
      </w:r>
    </w:p>
    <w:sectPr w:rsidR="00790EE7" w:rsidRPr="00F426EB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97" w:rsidRDefault="00A24097">
      <w:r>
        <w:separator/>
      </w:r>
    </w:p>
  </w:endnote>
  <w:endnote w:type="continuationSeparator" w:id="0">
    <w:p w:rsidR="00A24097" w:rsidRDefault="00A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F3BAA">
      <w:rPr>
        <w:i/>
        <w:noProof/>
        <w:sz w:val="18"/>
        <w:szCs w:val="18"/>
      </w:rPr>
      <w:t>Dicloxacillin Bluefish, hårde kapsler 250 mg og 500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4F3BAA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4F3BAA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97" w:rsidRDefault="00A24097">
      <w:r>
        <w:separator/>
      </w:r>
    </w:p>
  </w:footnote>
  <w:footnote w:type="continuationSeparator" w:id="0">
    <w:p w:rsidR="00A24097" w:rsidRDefault="00A2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97"/>
    <w:rsid w:val="000259B9"/>
    <w:rsid w:val="00041491"/>
    <w:rsid w:val="00050D16"/>
    <w:rsid w:val="000576D4"/>
    <w:rsid w:val="00074F2A"/>
    <w:rsid w:val="000A1CA8"/>
    <w:rsid w:val="000A466B"/>
    <w:rsid w:val="000E4EE6"/>
    <w:rsid w:val="0012287F"/>
    <w:rsid w:val="00131F33"/>
    <w:rsid w:val="00173D46"/>
    <w:rsid w:val="0017481C"/>
    <w:rsid w:val="00206CE8"/>
    <w:rsid w:val="00223C6F"/>
    <w:rsid w:val="00283A2B"/>
    <w:rsid w:val="002B30AD"/>
    <w:rsid w:val="002C2C01"/>
    <w:rsid w:val="0032335E"/>
    <w:rsid w:val="003A29AE"/>
    <w:rsid w:val="003A32D7"/>
    <w:rsid w:val="003B4074"/>
    <w:rsid w:val="003C769A"/>
    <w:rsid w:val="0045746C"/>
    <w:rsid w:val="0049104B"/>
    <w:rsid w:val="004B7929"/>
    <w:rsid w:val="004E3B12"/>
    <w:rsid w:val="004F3BAA"/>
    <w:rsid w:val="00512F70"/>
    <w:rsid w:val="00540ADD"/>
    <w:rsid w:val="00565F0F"/>
    <w:rsid w:val="00592879"/>
    <w:rsid w:val="00594A86"/>
    <w:rsid w:val="00596D86"/>
    <w:rsid w:val="005B034E"/>
    <w:rsid w:val="005E2E1A"/>
    <w:rsid w:val="006560B1"/>
    <w:rsid w:val="006756DD"/>
    <w:rsid w:val="00740EEC"/>
    <w:rsid w:val="0078011A"/>
    <w:rsid w:val="00782AF4"/>
    <w:rsid w:val="00790EE7"/>
    <w:rsid w:val="007B6649"/>
    <w:rsid w:val="00815937"/>
    <w:rsid w:val="0082576E"/>
    <w:rsid w:val="0087739A"/>
    <w:rsid w:val="008C18B0"/>
    <w:rsid w:val="00907F75"/>
    <w:rsid w:val="0093258A"/>
    <w:rsid w:val="009B3708"/>
    <w:rsid w:val="009C7BA3"/>
    <w:rsid w:val="009D1F5A"/>
    <w:rsid w:val="00A24097"/>
    <w:rsid w:val="00A354AC"/>
    <w:rsid w:val="00A40209"/>
    <w:rsid w:val="00B003BF"/>
    <w:rsid w:val="00B373D7"/>
    <w:rsid w:val="00B65442"/>
    <w:rsid w:val="00C20B4A"/>
    <w:rsid w:val="00C36276"/>
    <w:rsid w:val="00C42586"/>
    <w:rsid w:val="00C84483"/>
    <w:rsid w:val="00C95551"/>
    <w:rsid w:val="00CB20D7"/>
    <w:rsid w:val="00D020B0"/>
    <w:rsid w:val="00D11748"/>
    <w:rsid w:val="00D366CF"/>
    <w:rsid w:val="00DA548B"/>
    <w:rsid w:val="00DE4878"/>
    <w:rsid w:val="00E108AA"/>
    <w:rsid w:val="00E3749A"/>
    <w:rsid w:val="00E7437F"/>
    <w:rsid w:val="00E83D43"/>
    <w:rsid w:val="00E865B8"/>
    <w:rsid w:val="00E955AC"/>
    <w:rsid w:val="00EC0B9B"/>
    <w:rsid w:val="00ED5E9F"/>
    <w:rsid w:val="00F06984"/>
    <w:rsid w:val="00F07FD9"/>
    <w:rsid w:val="00F426EB"/>
    <w:rsid w:val="00F4427A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FE230-B71B-429F-967F-1A4FC77D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7481C"/>
    <w:pPr>
      <w:keepNext/>
      <w:tabs>
        <w:tab w:val="left" w:pos="567"/>
      </w:tabs>
      <w:spacing w:line="260" w:lineRule="exact"/>
      <w:jc w:val="both"/>
      <w:outlineLvl w:val="3"/>
    </w:pPr>
    <w:rPr>
      <w:b/>
      <w:noProof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basedOn w:val="Standardskrifttypeiafsnit"/>
    <w:link w:val="Sidehoved"/>
    <w:uiPriority w:val="99"/>
    <w:rsid w:val="00B003BF"/>
    <w:rPr>
      <w:sz w:val="24"/>
    </w:rPr>
  </w:style>
  <w:style w:type="character" w:customStyle="1" w:styleId="TitelTegn">
    <w:name w:val="Titel Tegn"/>
    <w:basedOn w:val="Standardskrifttypeiafsnit"/>
    <w:link w:val="Titel"/>
    <w:rsid w:val="00B003BF"/>
    <w:rPr>
      <w:b/>
      <w:sz w:val="24"/>
    </w:rPr>
  </w:style>
  <w:style w:type="paragraph" w:customStyle="1" w:styleId="EMEAEnBodyText">
    <w:name w:val="EMEA En Body Text"/>
    <w:basedOn w:val="Normal"/>
    <w:rsid w:val="0017481C"/>
    <w:pPr>
      <w:spacing w:before="120" w:after="120"/>
      <w:jc w:val="both"/>
    </w:pPr>
    <w:rPr>
      <w:sz w:val="22"/>
      <w:lang w:val="en-US"/>
    </w:rPr>
  </w:style>
  <w:style w:type="character" w:styleId="Hyperlink">
    <w:name w:val="Hyperlink"/>
    <w:uiPriority w:val="99"/>
    <w:unhideWhenUsed/>
    <w:rsid w:val="0017481C"/>
    <w:rPr>
      <w:rFonts w:ascii="Times New Roman" w:hAnsi="Times New Roman" w:cs="Times New Roman" w:hint="default"/>
      <w:color w:val="0000FF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7481C"/>
    <w:rPr>
      <w:b/>
      <w:noProof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ma@dkma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1527</Words>
  <Characters>10684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2018082555, forlængelse, tidsubegrænset, Pkt. 4.4</dc:description>
  <cp:lastModifiedBy>Gitte Jørgensen</cp:lastModifiedBy>
  <cp:revision>7</cp:revision>
  <cp:lastPrinted>2019-03-28T10:30:00Z</cp:lastPrinted>
  <dcterms:created xsi:type="dcterms:W3CDTF">2019-03-28T09:12:00Z</dcterms:created>
  <dcterms:modified xsi:type="dcterms:W3CDTF">2019-03-28T10:33:00Z</dcterms:modified>
</cp:coreProperties>
</file>