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4CA93" w14:textId="77777777" w:rsidR="009260DE" w:rsidRPr="00C22DB6" w:rsidRDefault="0021526C" w:rsidP="009260DE">
      <w:pPr>
        <w:rPr>
          <w:sz w:val="24"/>
          <w:szCs w:val="24"/>
        </w:rPr>
      </w:pPr>
      <w:r w:rsidRPr="00C22DB6">
        <w:rPr>
          <w:noProof/>
          <w:sz w:val="24"/>
          <w:szCs w:val="24"/>
          <w:lang w:eastAsia="da-DK"/>
        </w:rPr>
        <w:drawing>
          <wp:anchor distT="0" distB="0" distL="114300" distR="114300" simplePos="0" relativeHeight="251658240" behindDoc="0" locked="0" layoutInCell="1" allowOverlap="1" wp14:anchorId="1357DE1B" wp14:editId="2CF0615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22DB6">
        <w:rPr>
          <w:sz w:val="24"/>
          <w:szCs w:val="24"/>
        </w:rPr>
        <w:br w:type="textWrapping" w:clear="all"/>
      </w:r>
    </w:p>
    <w:p w14:paraId="1DCA9AD0" w14:textId="45210224" w:rsidR="009260DE" w:rsidRPr="00C22DB6" w:rsidRDefault="009260DE" w:rsidP="009260DE">
      <w:pPr>
        <w:pStyle w:val="Titel"/>
        <w:tabs>
          <w:tab w:val="right" w:pos="9356"/>
        </w:tabs>
        <w:jc w:val="left"/>
        <w:rPr>
          <w:b w:val="0"/>
          <w:szCs w:val="24"/>
          <w:lang w:eastAsia="en-US"/>
        </w:rPr>
      </w:pPr>
      <w:r w:rsidRPr="00C22DB6">
        <w:rPr>
          <w:b w:val="0"/>
          <w:szCs w:val="24"/>
          <w:lang w:eastAsia="en-US"/>
        </w:rPr>
        <w:tab/>
      </w:r>
      <w:r w:rsidR="000039D1">
        <w:rPr>
          <w:szCs w:val="24"/>
        </w:rPr>
        <w:t>8. januar 2024</w:t>
      </w:r>
    </w:p>
    <w:p w14:paraId="00A1EBA4" w14:textId="7250944E" w:rsidR="009260DE" w:rsidRPr="00C22DB6" w:rsidRDefault="009260DE" w:rsidP="009260DE">
      <w:pPr>
        <w:pStyle w:val="Titel"/>
        <w:tabs>
          <w:tab w:val="left" w:pos="8222"/>
        </w:tabs>
        <w:jc w:val="left"/>
        <w:rPr>
          <w:b w:val="0"/>
          <w:szCs w:val="24"/>
        </w:rPr>
      </w:pPr>
    </w:p>
    <w:p w14:paraId="5ED9B064" w14:textId="77777777" w:rsidR="009260DE" w:rsidRPr="00C22DB6" w:rsidRDefault="009260DE" w:rsidP="009260DE">
      <w:pPr>
        <w:pStyle w:val="Titel"/>
        <w:jc w:val="left"/>
        <w:rPr>
          <w:b w:val="0"/>
          <w:szCs w:val="24"/>
        </w:rPr>
      </w:pPr>
      <w:bookmarkStart w:id="0" w:name="_GoBack"/>
      <w:bookmarkEnd w:id="0"/>
    </w:p>
    <w:p w14:paraId="6050E6E9" w14:textId="77777777" w:rsidR="009260DE" w:rsidRPr="00C22DB6" w:rsidRDefault="009260DE" w:rsidP="009260DE">
      <w:pPr>
        <w:pStyle w:val="Titel"/>
        <w:jc w:val="left"/>
        <w:rPr>
          <w:b w:val="0"/>
          <w:szCs w:val="24"/>
        </w:rPr>
      </w:pPr>
    </w:p>
    <w:p w14:paraId="1AB7643F" w14:textId="77777777" w:rsidR="009260DE" w:rsidRPr="00C22DB6" w:rsidRDefault="009260DE" w:rsidP="009260DE">
      <w:pPr>
        <w:jc w:val="center"/>
        <w:rPr>
          <w:b/>
          <w:sz w:val="24"/>
          <w:szCs w:val="24"/>
        </w:rPr>
      </w:pPr>
      <w:r w:rsidRPr="00C22DB6">
        <w:rPr>
          <w:b/>
          <w:sz w:val="24"/>
          <w:szCs w:val="24"/>
        </w:rPr>
        <w:t>PRODUKTRESUMÉ</w:t>
      </w:r>
    </w:p>
    <w:p w14:paraId="088D7212" w14:textId="77777777" w:rsidR="009260DE" w:rsidRPr="00C22DB6" w:rsidRDefault="009260DE" w:rsidP="009260DE">
      <w:pPr>
        <w:jc w:val="center"/>
        <w:rPr>
          <w:b/>
          <w:sz w:val="24"/>
          <w:szCs w:val="24"/>
        </w:rPr>
      </w:pPr>
    </w:p>
    <w:p w14:paraId="355DE452" w14:textId="77777777" w:rsidR="009260DE" w:rsidRPr="00C22DB6" w:rsidRDefault="009260DE" w:rsidP="009260DE">
      <w:pPr>
        <w:jc w:val="center"/>
        <w:rPr>
          <w:b/>
          <w:sz w:val="24"/>
          <w:szCs w:val="24"/>
        </w:rPr>
      </w:pPr>
      <w:r w:rsidRPr="00C22DB6">
        <w:rPr>
          <w:b/>
          <w:sz w:val="24"/>
          <w:szCs w:val="24"/>
        </w:rPr>
        <w:t>for</w:t>
      </w:r>
    </w:p>
    <w:p w14:paraId="6E0CF813" w14:textId="77777777" w:rsidR="000B058C" w:rsidRPr="00C22DB6" w:rsidRDefault="000B058C" w:rsidP="009260DE">
      <w:pPr>
        <w:jc w:val="center"/>
        <w:rPr>
          <w:b/>
          <w:sz w:val="24"/>
          <w:szCs w:val="24"/>
        </w:rPr>
      </w:pPr>
    </w:p>
    <w:p w14:paraId="0295EC63" w14:textId="4E2547C7" w:rsidR="009260DE" w:rsidRPr="00C22DB6" w:rsidRDefault="00901652" w:rsidP="009260DE">
      <w:pPr>
        <w:jc w:val="center"/>
        <w:rPr>
          <w:b/>
          <w:sz w:val="24"/>
          <w:szCs w:val="24"/>
        </w:rPr>
      </w:pPr>
      <w:proofErr w:type="spellStart"/>
      <w:r w:rsidRPr="00C22DB6">
        <w:rPr>
          <w:b/>
          <w:sz w:val="24"/>
          <w:szCs w:val="24"/>
        </w:rPr>
        <w:t>Dienosis</w:t>
      </w:r>
      <w:proofErr w:type="spellEnd"/>
      <w:r w:rsidRPr="00C22DB6">
        <w:rPr>
          <w:b/>
          <w:sz w:val="24"/>
          <w:szCs w:val="24"/>
        </w:rPr>
        <w:t>, tabletter</w:t>
      </w:r>
    </w:p>
    <w:p w14:paraId="4C9A52A1" w14:textId="77777777" w:rsidR="009260DE" w:rsidRPr="00C22DB6" w:rsidRDefault="009260DE" w:rsidP="009260DE">
      <w:pPr>
        <w:jc w:val="both"/>
        <w:rPr>
          <w:sz w:val="24"/>
          <w:szCs w:val="24"/>
        </w:rPr>
      </w:pPr>
    </w:p>
    <w:p w14:paraId="5760BAF6" w14:textId="77777777" w:rsidR="009260DE" w:rsidRPr="00C22DB6" w:rsidRDefault="009260DE" w:rsidP="009260DE">
      <w:pPr>
        <w:jc w:val="both"/>
        <w:rPr>
          <w:sz w:val="24"/>
          <w:szCs w:val="24"/>
        </w:rPr>
      </w:pPr>
    </w:p>
    <w:p w14:paraId="34F1635B" w14:textId="77777777" w:rsidR="009260DE" w:rsidRPr="00C22DB6" w:rsidRDefault="009260DE" w:rsidP="009260DE">
      <w:pPr>
        <w:tabs>
          <w:tab w:val="left" w:pos="851"/>
        </w:tabs>
        <w:ind w:left="851" w:hanging="851"/>
        <w:rPr>
          <w:b/>
          <w:sz w:val="24"/>
          <w:szCs w:val="24"/>
        </w:rPr>
      </w:pPr>
      <w:r w:rsidRPr="00C22DB6">
        <w:rPr>
          <w:b/>
          <w:sz w:val="24"/>
          <w:szCs w:val="24"/>
        </w:rPr>
        <w:t>0.</w:t>
      </w:r>
      <w:r w:rsidRPr="00C22DB6">
        <w:rPr>
          <w:b/>
          <w:sz w:val="24"/>
          <w:szCs w:val="24"/>
        </w:rPr>
        <w:tab/>
        <w:t>D.SP.NR.</w:t>
      </w:r>
    </w:p>
    <w:p w14:paraId="2B7D7ACB" w14:textId="0EBBC83C" w:rsidR="009260DE" w:rsidRPr="00C22DB6" w:rsidRDefault="006109FD" w:rsidP="009260DE">
      <w:pPr>
        <w:tabs>
          <w:tab w:val="left" w:pos="851"/>
        </w:tabs>
        <w:ind w:left="851"/>
        <w:rPr>
          <w:sz w:val="24"/>
          <w:szCs w:val="24"/>
        </w:rPr>
      </w:pPr>
      <w:r w:rsidRPr="00C22DB6">
        <w:rPr>
          <w:sz w:val="24"/>
          <w:szCs w:val="24"/>
        </w:rPr>
        <w:t>31152</w:t>
      </w:r>
    </w:p>
    <w:p w14:paraId="07DC8455" w14:textId="77777777" w:rsidR="009260DE" w:rsidRPr="00C22DB6" w:rsidRDefault="009260DE" w:rsidP="009260DE">
      <w:pPr>
        <w:tabs>
          <w:tab w:val="left" w:pos="851"/>
        </w:tabs>
        <w:ind w:left="851"/>
        <w:rPr>
          <w:sz w:val="24"/>
          <w:szCs w:val="24"/>
        </w:rPr>
      </w:pPr>
    </w:p>
    <w:p w14:paraId="31CD6867" w14:textId="77777777" w:rsidR="009260DE" w:rsidRPr="00C22DB6" w:rsidRDefault="009260DE" w:rsidP="009260DE">
      <w:pPr>
        <w:tabs>
          <w:tab w:val="left" w:pos="851"/>
        </w:tabs>
        <w:ind w:left="851" w:hanging="851"/>
        <w:rPr>
          <w:b/>
          <w:sz w:val="24"/>
          <w:szCs w:val="24"/>
        </w:rPr>
      </w:pPr>
      <w:r w:rsidRPr="00C22DB6">
        <w:rPr>
          <w:b/>
          <w:sz w:val="24"/>
          <w:szCs w:val="24"/>
        </w:rPr>
        <w:t>1.</w:t>
      </w:r>
      <w:r w:rsidRPr="00C22DB6">
        <w:rPr>
          <w:b/>
          <w:sz w:val="24"/>
          <w:szCs w:val="24"/>
        </w:rPr>
        <w:tab/>
        <w:t>LÆGEMIDLETS NAVN</w:t>
      </w:r>
    </w:p>
    <w:p w14:paraId="302B01C0" w14:textId="34902C35" w:rsidR="009260DE" w:rsidRPr="00C22DB6" w:rsidRDefault="006109FD" w:rsidP="009260DE">
      <w:pPr>
        <w:tabs>
          <w:tab w:val="left" w:pos="851"/>
        </w:tabs>
        <w:ind w:left="851"/>
        <w:rPr>
          <w:sz w:val="24"/>
          <w:szCs w:val="24"/>
        </w:rPr>
      </w:pPr>
      <w:proofErr w:type="spellStart"/>
      <w:r w:rsidRPr="00C22DB6">
        <w:rPr>
          <w:sz w:val="24"/>
          <w:szCs w:val="24"/>
        </w:rPr>
        <w:t>Dienosis</w:t>
      </w:r>
      <w:proofErr w:type="spellEnd"/>
    </w:p>
    <w:p w14:paraId="7CEEDD6A" w14:textId="77777777" w:rsidR="009260DE" w:rsidRPr="00C22DB6" w:rsidRDefault="009260DE" w:rsidP="009260DE">
      <w:pPr>
        <w:tabs>
          <w:tab w:val="left" w:pos="851"/>
        </w:tabs>
        <w:ind w:left="851"/>
        <w:rPr>
          <w:sz w:val="24"/>
          <w:szCs w:val="24"/>
        </w:rPr>
      </w:pPr>
    </w:p>
    <w:p w14:paraId="72B13453" w14:textId="77777777" w:rsidR="009260DE" w:rsidRPr="00C22DB6" w:rsidRDefault="009260DE" w:rsidP="009260DE">
      <w:pPr>
        <w:tabs>
          <w:tab w:val="left" w:pos="851"/>
        </w:tabs>
        <w:ind w:left="851" w:hanging="851"/>
        <w:rPr>
          <w:b/>
          <w:sz w:val="24"/>
          <w:szCs w:val="24"/>
        </w:rPr>
      </w:pPr>
      <w:r w:rsidRPr="00C22DB6">
        <w:rPr>
          <w:b/>
          <w:sz w:val="24"/>
          <w:szCs w:val="24"/>
        </w:rPr>
        <w:t>2.</w:t>
      </w:r>
      <w:r w:rsidRPr="00C22DB6">
        <w:rPr>
          <w:b/>
          <w:sz w:val="24"/>
          <w:szCs w:val="24"/>
        </w:rPr>
        <w:tab/>
        <w:t>KVALITATIV OG KVANTITATIV SAMMENSÆTNING</w:t>
      </w:r>
    </w:p>
    <w:p w14:paraId="308E0098" w14:textId="7CCB69E5" w:rsidR="00523AF2" w:rsidRPr="00C22DB6" w:rsidRDefault="00523AF2" w:rsidP="00B7409C">
      <w:pPr>
        <w:tabs>
          <w:tab w:val="left" w:pos="851"/>
        </w:tabs>
        <w:ind w:left="851"/>
        <w:rPr>
          <w:bCs/>
          <w:sz w:val="24"/>
          <w:szCs w:val="24"/>
        </w:rPr>
      </w:pPr>
      <w:r w:rsidRPr="00C22DB6">
        <w:rPr>
          <w:bCs/>
          <w:sz w:val="24"/>
          <w:szCs w:val="24"/>
        </w:rPr>
        <w:t xml:space="preserve">Hver tablet indeholder 2 mg </w:t>
      </w:r>
      <w:proofErr w:type="spellStart"/>
      <w:r w:rsidRPr="00C22DB6">
        <w:rPr>
          <w:bCs/>
          <w:sz w:val="24"/>
          <w:szCs w:val="24"/>
        </w:rPr>
        <w:t>dienogest</w:t>
      </w:r>
      <w:proofErr w:type="spellEnd"/>
      <w:r w:rsidR="006034C1">
        <w:rPr>
          <w:bCs/>
          <w:sz w:val="24"/>
          <w:szCs w:val="24"/>
        </w:rPr>
        <w:t>.</w:t>
      </w:r>
    </w:p>
    <w:p w14:paraId="52B9A6E7" w14:textId="77777777" w:rsidR="00523AF2" w:rsidRPr="00C22DB6" w:rsidRDefault="00523AF2" w:rsidP="00B7409C">
      <w:pPr>
        <w:widowControl w:val="0"/>
        <w:tabs>
          <w:tab w:val="left" w:pos="1304"/>
        </w:tabs>
        <w:autoSpaceDE w:val="0"/>
        <w:autoSpaceDN w:val="0"/>
        <w:spacing w:before="1"/>
        <w:ind w:left="851"/>
        <w:rPr>
          <w:sz w:val="24"/>
          <w:szCs w:val="24"/>
        </w:rPr>
      </w:pPr>
    </w:p>
    <w:p w14:paraId="3744C409" w14:textId="77777777" w:rsidR="00523AF2" w:rsidRPr="00C22DB6" w:rsidRDefault="00523AF2" w:rsidP="00B7409C">
      <w:pPr>
        <w:tabs>
          <w:tab w:val="left" w:pos="851"/>
        </w:tabs>
        <w:ind w:left="851"/>
        <w:rPr>
          <w:bCs/>
          <w:sz w:val="24"/>
          <w:szCs w:val="24"/>
          <w:u w:val="single"/>
        </w:rPr>
      </w:pPr>
      <w:r w:rsidRPr="00C22DB6">
        <w:rPr>
          <w:bCs/>
          <w:sz w:val="24"/>
          <w:szCs w:val="24"/>
          <w:u w:val="single"/>
        </w:rPr>
        <w:t xml:space="preserve">Hjælpestoffer, som behandleren skal være opmærksom på: </w:t>
      </w:r>
    </w:p>
    <w:p w14:paraId="014D69DA" w14:textId="77777777" w:rsidR="006034C1" w:rsidRDefault="00523AF2" w:rsidP="00B7409C">
      <w:pPr>
        <w:tabs>
          <w:tab w:val="left" w:pos="851"/>
        </w:tabs>
        <w:ind w:left="851"/>
        <w:rPr>
          <w:bCs/>
          <w:sz w:val="24"/>
          <w:szCs w:val="24"/>
        </w:rPr>
      </w:pPr>
      <w:r w:rsidRPr="00C22DB6">
        <w:rPr>
          <w:bCs/>
          <w:sz w:val="24"/>
          <w:szCs w:val="24"/>
        </w:rPr>
        <w:t xml:space="preserve">Hver tablet indeholder 62,8 mg </w:t>
      </w:r>
      <w:proofErr w:type="spellStart"/>
      <w:r w:rsidRPr="00C22DB6">
        <w:rPr>
          <w:bCs/>
          <w:sz w:val="24"/>
          <w:szCs w:val="24"/>
        </w:rPr>
        <w:t>lactosemonohydrat</w:t>
      </w:r>
      <w:proofErr w:type="spellEnd"/>
      <w:r w:rsidRPr="00C22DB6">
        <w:rPr>
          <w:bCs/>
          <w:sz w:val="24"/>
          <w:szCs w:val="24"/>
        </w:rPr>
        <w:t xml:space="preserve">. </w:t>
      </w:r>
    </w:p>
    <w:p w14:paraId="6E3E88B5" w14:textId="22AA7B6B" w:rsidR="00523AF2" w:rsidRPr="00C22DB6" w:rsidRDefault="00523AF2" w:rsidP="00B7409C">
      <w:pPr>
        <w:tabs>
          <w:tab w:val="left" w:pos="851"/>
        </w:tabs>
        <w:ind w:left="851"/>
        <w:rPr>
          <w:bCs/>
          <w:sz w:val="24"/>
          <w:szCs w:val="24"/>
        </w:rPr>
      </w:pPr>
      <w:r w:rsidRPr="00C22DB6">
        <w:rPr>
          <w:sz w:val="24"/>
          <w:szCs w:val="24"/>
        </w:rPr>
        <w:t>Alle hjælpestoffer er anført under pkt. 6.1.</w:t>
      </w:r>
    </w:p>
    <w:p w14:paraId="64A68E03" w14:textId="77777777" w:rsidR="009260DE" w:rsidRPr="00C22DB6" w:rsidRDefault="009260DE" w:rsidP="009260DE">
      <w:pPr>
        <w:tabs>
          <w:tab w:val="left" w:pos="851"/>
        </w:tabs>
        <w:ind w:left="851"/>
        <w:rPr>
          <w:sz w:val="24"/>
          <w:szCs w:val="24"/>
        </w:rPr>
      </w:pPr>
    </w:p>
    <w:p w14:paraId="64A30120" w14:textId="77777777" w:rsidR="009260DE" w:rsidRPr="00C22DB6" w:rsidRDefault="009260DE" w:rsidP="009260DE">
      <w:pPr>
        <w:tabs>
          <w:tab w:val="left" w:pos="851"/>
        </w:tabs>
        <w:ind w:left="851" w:hanging="851"/>
        <w:rPr>
          <w:b/>
          <w:sz w:val="24"/>
          <w:szCs w:val="24"/>
        </w:rPr>
      </w:pPr>
      <w:r w:rsidRPr="00C22DB6">
        <w:rPr>
          <w:b/>
          <w:sz w:val="24"/>
          <w:szCs w:val="24"/>
        </w:rPr>
        <w:t>3.</w:t>
      </w:r>
      <w:r w:rsidRPr="00C22DB6">
        <w:rPr>
          <w:b/>
          <w:sz w:val="24"/>
          <w:szCs w:val="24"/>
        </w:rPr>
        <w:tab/>
        <w:t>LÆGEMIDDELFORM</w:t>
      </w:r>
    </w:p>
    <w:p w14:paraId="05DD0D2D" w14:textId="77777777" w:rsidR="00523AF2" w:rsidRPr="00C22DB6" w:rsidRDefault="00523AF2" w:rsidP="00B7409C">
      <w:pPr>
        <w:ind w:left="851"/>
        <w:rPr>
          <w:sz w:val="24"/>
          <w:szCs w:val="24"/>
        </w:rPr>
      </w:pPr>
      <w:r w:rsidRPr="00C22DB6">
        <w:rPr>
          <w:sz w:val="24"/>
          <w:szCs w:val="24"/>
        </w:rPr>
        <w:t>Tabletter</w:t>
      </w:r>
    </w:p>
    <w:p w14:paraId="0C4F19AB" w14:textId="77777777" w:rsidR="00523AF2" w:rsidRPr="00C22DB6" w:rsidRDefault="00523AF2" w:rsidP="00B7409C">
      <w:pPr>
        <w:ind w:left="851"/>
        <w:rPr>
          <w:sz w:val="24"/>
          <w:szCs w:val="24"/>
        </w:rPr>
      </w:pPr>
    </w:p>
    <w:p w14:paraId="51986FF0" w14:textId="50AF95D2" w:rsidR="00523AF2" w:rsidRPr="00C22DB6" w:rsidRDefault="00523AF2" w:rsidP="00B7409C">
      <w:pPr>
        <w:ind w:left="851"/>
        <w:rPr>
          <w:noProof/>
          <w:sz w:val="24"/>
          <w:szCs w:val="24"/>
        </w:rPr>
      </w:pPr>
      <w:r w:rsidRPr="00C22DB6">
        <w:rPr>
          <w:noProof/>
          <w:sz w:val="24"/>
          <w:szCs w:val="24"/>
        </w:rPr>
        <w:t xml:space="preserve">Hvide til råhvide, runde, flade tabletter med skrå kanter, der er præget med </w:t>
      </w:r>
      <w:r w:rsidR="00D810B7">
        <w:rPr>
          <w:noProof/>
          <w:sz w:val="24"/>
          <w:szCs w:val="24"/>
        </w:rPr>
        <w:t>"</w:t>
      </w:r>
      <w:r w:rsidRPr="00C22DB6">
        <w:rPr>
          <w:noProof/>
          <w:sz w:val="24"/>
          <w:szCs w:val="24"/>
        </w:rPr>
        <w:t>NC</w:t>
      </w:r>
      <w:r w:rsidR="00D810B7">
        <w:rPr>
          <w:noProof/>
          <w:sz w:val="24"/>
          <w:szCs w:val="24"/>
        </w:rPr>
        <w:t>"</w:t>
      </w:r>
      <w:r w:rsidRPr="00C22DB6">
        <w:rPr>
          <w:noProof/>
          <w:sz w:val="24"/>
          <w:szCs w:val="24"/>
        </w:rPr>
        <w:t xml:space="preserve"> på den ene side og </w:t>
      </w:r>
      <w:r w:rsidR="00D810B7">
        <w:rPr>
          <w:noProof/>
          <w:sz w:val="24"/>
          <w:szCs w:val="24"/>
        </w:rPr>
        <w:t>"</w:t>
      </w:r>
      <w:r w:rsidRPr="00C22DB6">
        <w:rPr>
          <w:noProof/>
          <w:sz w:val="24"/>
          <w:szCs w:val="24"/>
        </w:rPr>
        <w:t>22</w:t>
      </w:r>
      <w:r w:rsidR="00D810B7">
        <w:rPr>
          <w:noProof/>
          <w:sz w:val="24"/>
          <w:szCs w:val="24"/>
        </w:rPr>
        <w:t>"</w:t>
      </w:r>
      <w:r w:rsidRPr="00C22DB6">
        <w:rPr>
          <w:noProof/>
          <w:sz w:val="24"/>
          <w:szCs w:val="24"/>
        </w:rPr>
        <w:t xml:space="preserve"> på den anden side, og som har en diameter på cirka 7 mm.</w:t>
      </w:r>
    </w:p>
    <w:p w14:paraId="29AD21AE" w14:textId="77777777" w:rsidR="009260DE" w:rsidRPr="00C22DB6" w:rsidRDefault="009260DE" w:rsidP="009260DE">
      <w:pPr>
        <w:tabs>
          <w:tab w:val="left" w:pos="851"/>
        </w:tabs>
        <w:ind w:left="851"/>
        <w:rPr>
          <w:sz w:val="24"/>
          <w:szCs w:val="24"/>
        </w:rPr>
      </w:pPr>
    </w:p>
    <w:p w14:paraId="71F1DBF6" w14:textId="77777777" w:rsidR="009260DE" w:rsidRPr="00C22DB6" w:rsidRDefault="009260DE" w:rsidP="009260DE">
      <w:pPr>
        <w:tabs>
          <w:tab w:val="left" w:pos="851"/>
        </w:tabs>
        <w:ind w:left="851"/>
        <w:rPr>
          <w:sz w:val="24"/>
          <w:szCs w:val="24"/>
        </w:rPr>
      </w:pPr>
    </w:p>
    <w:p w14:paraId="66905EB5" w14:textId="77777777" w:rsidR="009260DE" w:rsidRPr="00C22DB6" w:rsidRDefault="009260DE" w:rsidP="009260DE">
      <w:pPr>
        <w:tabs>
          <w:tab w:val="left" w:pos="851"/>
        </w:tabs>
        <w:ind w:left="851" w:hanging="851"/>
        <w:rPr>
          <w:b/>
          <w:sz w:val="24"/>
          <w:szCs w:val="24"/>
        </w:rPr>
      </w:pPr>
      <w:r w:rsidRPr="00C22DB6">
        <w:rPr>
          <w:b/>
          <w:sz w:val="24"/>
          <w:szCs w:val="24"/>
        </w:rPr>
        <w:t>4.</w:t>
      </w:r>
      <w:r w:rsidRPr="00C22DB6">
        <w:rPr>
          <w:b/>
          <w:sz w:val="24"/>
          <w:szCs w:val="24"/>
        </w:rPr>
        <w:tab/>
        <w:t>KLINISKE OPLYSNINGER</w:t>
      </w:r>
    </w:p>
    <w:p w14:paraId="4B8E26C9" w14:textId="77777777" w:rsidR="009260DE" w:rsidRPr="00C22DB6" w:rsidRDefault="009260DE" w:rsidP="009260DE">
      <w:pPr>
        <w:tabs>
          <w:tab w:val="left" w:pos="851"/>
        </w:tabs>
        <w:ind w:left="851"/>
        <w:rPr>
          <w:b/>
          <w:sz w:val="24"/>
          <w:szCs w:val="24"/>
        </w:rPr>
      </w:pPr>
    </w:p>
    <w:p w14:paraId="2772CF7A" w14:textId="77777777" w:rsidR="009260DE" w:rsidRPr="00C22DB6" w:rsidRDefault="009260DE" w:rsidP="009260DE">
      <w:pPr>
        <w:tabs>
          <w:tab w:val="left" w:pos="851"/>
        </w:tabs>
        <w:ind w:left="851" w:hanging="851"/>
        <w:rPr>
          <w:b/>
          <w:sz w:val="24"/>
          <w:szCs w:val="24"/>
          <w:u w:val="single"/>
        </w:rPr>
      </w:pPr>
      <w:r w:rsidRPr="00C22DB6">
        <w:rPr>
          <w:b/>
          <w:sz w:val="24"/>
          <w:szCs w:val="24"/>
        </w:rPr>
        <w:t>4.1</w:t>
      </w:r>
      <w:r w:rsidRPr="00C22DB6">
        <w:rPr>
          <w:b/>
          <w:sz w:val="24"/>
          <w:szCs w:val="24"/>
        </w:rPr>
        <w:tab/>
        <w:t>Terapeutiske indikationer</w:t>
      </w:r>
    </w:p>
    <w:p w14:paraId="1D382B80" w14:textId="77777777" w:rsidR="00523AF2" w:rsidRPr="00C22DB6" w:rsidRDefault="00523AF2" w:rsidP="00B7409C">
      <w:pPr>
        <w:tabs>
          <w:tab w:val="left" w:pos="851"/>
        </w:tabs>
        <w:ind w:left="851"/>
        <w:rPr>
          <w:noProof/>
          <w:sz w:val="24"/>
          <w:szCs w:val="24"/>
        </w:rPr>
      </w:pPr>
      <w:r w:rsidRPr="00C22DB6">
        <w:rPr>
          <w:noProof/>
          <w:sz w:val="24"/>
          <w:szCs w:val="24"/>
        </w:rPr>
        <w:t xml:space="preserve">Behandling af endometriose. </w:t>
      </w:r>
    </w:p>
    <w:p w14:paraId="3F88AD09" w14:textId="77777777" w:rsidR="009260DE" w:rsidRPr="00C22DB6" w:rsidRDefault="009260DE" w:rsidP="009260DE">
      <w:pPr>
        <w:tabs>
          <w:tab w:val="left" w:pos="851"/>
        </w:tabs>
        <w:ind w:left="851"/>
        <w:rPr>
          <w:sz w:val="24"/>
          <w:szCs w:val="24"/>
        </w:rPr>
      </w:pPr>
    </w:p>
    <w:p w14:paraId="79630536" w14:textId="02546D39" w:rsidR="009260DE" w:rsidRPr="00C22DB6" w:rsidRDefault="009260DE" w:rsidP="009260DE">
      <w:pPr>
        <w:tabs>
          <w:tab w:val="left" w:pos="851"/>
        </w:tabs>
        <w:ind w:left="851" w:hanging="851"/>
        <w:rPr>
          <w:b/>
          <w:sz w:val="24"/>
          <w:szCs w:val="24"/>
        </w:rPr>
      </w:pPr>
      <w:r w:rsidRPr="00C22DB6">
        <w:rPr>
          <w:b/>
          <w:sz w:val="24"/>
          <w:szCs w:val="24"/>
        </w:rPr>
        <w:t>4.2</w:t>
      </w:r>
      <w:r w:rsidRPr="00C22DB6">
        <w:rPr>
          <w:b/>
          <w:sz w:val="24"/>
          <w:szCs w:val="24"/>
        </w:rPr>
        <w:tab/>
      </w:r>
      <w:bookmarkStart w:id="1" w:name="_Hlk121742956"/>
      <w:r w:rsidR="000039D1" w:rsidRPr="00BA4587">
        <w:rPr>
          <w:b/>
          <w:sz w:val="24"/>
          <w:szCs w:val="24"/>
        </w:rPr>
        <w:t>Dosering og administration</w:t>
      </w:r>
      <w:bookmarkEnd w:id="1"/>
    </w:p>
    <w:p w14:paraId="34E6C2A5" w14:textId="77777777" w:rsidR="00D810B7" w:rsidRDefault="00D810B7" w:rsidP="00B7409C">
      <w:pPr>
        <w:ind w:left="851"/>
        <w:rPr>
          <w:sz w:val="24"/>
          <w:szCs w:val="24"/>
        </w:rPr>
      </w:pPr>
    </w:p>
    <w:p w14:paraId="77F0BD68" w14:textId="7B1377C5" w:rsidR="00523AF2" w:rsidRPr="00D810B7" w:rsidRDefault="00523AF2" w:rsidP="00B7409C">
      <w:pPr>
        <w:ind w:left="851"/>
        <w:rPr>
          <w:sz w:val="24"/>
          <w:szCs w:val="24"/>
          <w:u w:val="single"/>
          <w:lang w:eastAsia="de-DE"/>
        </w:rPr>
      </w:pPr>
      <w:r w:rsidRPr="00D810B7">
        <w:rPr>
          <w:sz w:val="24"/>
          <w:szCs w:val="24"/>
          <w:u w:val="single"/>
        </w:rPr>
        <w:t>Dosering</w:t>
      </w:r>
    </w:p>
    <w:p w14:paraId="699F304C" w14:textId="77777777" w:rsidR="00523AF2" w:rsidRPr="00B7409C" w:rsidRDefault="00523AF2" w:rsidP="00B7409C">
      <w:pPr>
        <w:ind w:left="851"/>
        <w:rPr>
          <w:i/>
          <w:sz w:val="24"/>
          <w:szCs w:val="24"/>
        </w:rPr>
      </w:pPr>
    </w:p>
    <w:p w14:paraId="1B0CB4A5" w14:textId="77777777" w:rsidR="00523AF2" w:rsidRPr="00B7409C" w:rsidRDefault="00523AF2" w:rsidP="00B7409C">
      <w:pPr>
        <w:ind w:left="851"/>
        <w:rPr>
          <w:sz w:val="24"/>
          <w:szCs w:val="24"/>
        </w:rPr>
      </w:pPr>
      <w:r w:rsidRPr="00B7409C">
        <w:rPr>
          <w:spacing w:val="-2"/>
          <w:sz w:val="24"/>
          <w:szCs w:val="24"/>
        </w:rPr>
        <w:t>En tablet daglig uden afbrydelse og helst</w:t>
      </w:r>
      <w:bookmarkStart w:id="2" w:name="_Hlt528651441"/>
      <w:bookmarkEnd w:id="2"/>
      <w:r w:rsidRPr="00B7409C">
        <w:rPr>
          <w:spacing w:val="-2"/>
          <w:sz w:val="24"/>
          <w:szCs w:val="24"/>
        </w:rPr>
        <w:t xml:space="preserve"> på samme tidspunkt af dagen. Tabletten kan tages med lidt vand, og kan tages alene eller i forbindelse med et måltid.</w:t>
      </w:r>
    </w:p>
    <w:p w14:paraId="517ADA08" w14:textId="77777777" w:rsidR="00523AF2" w:rsidRPr="00B7409C" w:rsidRDefault="00523AF2" w:rsidP="00B7409C">
      <w:pPr>
        <w:ind w:left="851"/>
        <w:rPr>
          <w:sz w:val="24"/>
          <w:szCs w:val="24"/>
        </w:rPr>
      </w:pPr>
    </w:p>
    <w:p w14:paraId="710B58AB" w14:textId="77777777" w:rsidR="00523AF2" w:rsidRPr="00B7409C" w:rsidRDefault="00523AF2" w:rsidP="00B7409C">
      <w:pPr>
        <w:ind w:left="851"/>
        <w:rPr>
          <w:sz w:val="24"/>
          <w:szCs w:val="24"/>
        </w:rPr>
      </w:pPr>
      <w:r w:rsidRPr="00B7409C">
        <w:rPr>
          <w:sz w:val="24"/>
          <w:szCs w:val="24"/>
        </w:rPr>
        <w:t>Tabletterne skal tages kontinuerligt, uanset vaginal blødning. Når en pakning er tom, skal kvinden begynde på den næste pakke uden pause.</w:t>
      </w:r>
    </w:p>
    <w:p w14:paraId="5B558A4F" w14:textId="77777777" w:rsidR="00523AF2" w:rsidRPr="00B7409C" w:rsidRDefault="00523AF2" w:rsidP="00B7409C">
      <w:pPr>
        <w:ind w:left="851"/>
        <w:rPr>
          <w:sz w:val="24"/>
          <w:szCs w:val="24"/>
        </w:rPr>
      </w:pPr>
    </w:p>
    <w:p w14:paraId="7BA7F201" w14:textId="77777777" w:rsidR="00523AF2" w:rsidRPr="00B7409C" w:rsidRDefault="00523AF2" w:rsidP="00B7409C">
      <w:pPr>
        <w:ind w:left="851"/>
        <w:rPr>
          <w:sz w:val="24"/>
          <w:szCs w:val="24"/>
        </w:rPr>
      </w:pPr>
      <w:r w:rsidRPr="00B7409C">
        <w:rPr>
          <w:sz w:val="24"/>
          <w:szCs w:val="24"/>
        </w:rPr>
        <w:lastRenderedPageBreak/>
        <w:t xml:space="preserve">Der er ingen erfaring med behandling med </w:t>
      </w:r>
      <w:proofErr w:type="spellStart"/>
      <w:r w:rsidRPr="00B7409C">
        <w:rPr>
          <w:sz w:val="24"/>
          <w:szCs w:val="24"/>
        </w:rPr>
        <w:t>Dienosis</w:t>
      </w:r>
      <w:proofErr w:type="spellEnd"/>
      <w:r w:rsidRPr="00B7409C">
        <w:rPr>
          <w:sz w:val="24"/>
          <w:szCs w:val="24"/>
        </w:rPr>
        <w:t xml:space="preserve"> i mere end 15 måneder hos patienter med </w:t>
      </w:r>
      <w:proofErr w:type="spellStart"/>
      <w:r w:rsidRPr="00B7409C">
        <w:rPr>
          <w:sz w:val="24"/>
          <w:szCs w:val="24"/>
        </w:rPr>
        <w:t>endometriose</w:t>
      </w:r>
      <w:proofErr w:type="spellEnd"/>
      <w:r w:rsidRPr="00B7409C">
        <w:rPr>
          <w:sz w:val="24"/>
          <w:szCs w:val="24"/>
        </w:rPr>
        <w:t>.</w:t>
      </w:r>
    </w:p>
    <w:p w14:paraId="74FC137C" w14:textId="77777777" w:rsidR="00523AF2" w:rsidRPr="00B7409C" w:rsidRDefault="00523AF2" w:rsidP="00B7409C">
      <w:pPr>
        <w:ind w:left="851"/>
        <w:rPr>
          <w:sz w:val="24"/>
          <w:szCs w:val="24"/>
        </w:rPr>
      </w:pPr>
    </w:p>
    <w:p w14:paraId="05847775" w14:textId="77777777" w:rsidR="00523AF2" w:rsidRPr="00B7409C" w:rsidRDefault="00523AF2" w:rsidP="00B7409C">
      <w:pPr>
        <w:ind w:left="851"/>
        <w:rPr>
          <w:sz w:val="24"/>
          <w:szCs w:val="24"/>
        </w:rPr>
      </w:pPr>
      <w:r w:rsidRPr="00B7409C">
        <w:rPr>
          <w:sz w:val="24"/>
          <w:szCs w:val="24"/>
        </w:rPr>
        <w:t>Behandlingen kan påbegyndes en hvilken som helst dag i menstruationscyklen.</w:t>
      </w:r>
    </w:p>
    <w:p w14:paraId="45E77D46" w14:textId="77777777" w:rsidR="00523AF2" w:rsidRPr="00B7409C" w:rsidRDefault="00523AF2" w:rsidP="00B7409C">
      <w:pPr>
        <w:ind w:left="851"/>
        <w:rPr>
          <w:sz w:val="24"/>
          <w:szCs w:val="24"/>
        </w:rPr>
      </w:pPr>
    </w:p>
    <w:p w14:paraId="5CBDC1FE" w14:textId="77777777" w:rsidR="00523AF2" w:rsidRPr="00B7409C" w:rsidRDefault="00523AF2" w:rsidP="00B7409C">
      <w:pPr>
        <w:ind w:left="851"/>
        <w:rPr>
          <w:sz w:val="24"/>
          <w:szCs w:val="24"/>
        </w:rPr>
      </w:pPr>
      <w:r w:rsidRPr="00B7409C">
        <w:rPr>
          <w:sz w:val="24"/>
          <w:szCs w:val="24"/>
        </w:rPr>
        <w:t xml:space="preserve">Kvinden skal stoppe en evt. hormonel prævention, før hun starter med </w:t>
      </w:r>
      <w:proofErr w:type="spellStart"/>
      <w:r w:rsidRPr="00B7409C">
        <w:rPr>
          <w:sz w:val="24"/>
          <w:szCs w:val="24"/>
        </w:rPr>
        <w:t>Dienosis</w:t>
      </w:r>
      <w:proofErr w:type="spellEnd"/>
      <w:r w:rsidRPr="00B7409C">
        <w:rPr>
          <w:sz w:val="24"/>
          <w:szCs w:val="24"/>
        </w:rPr>
        <w:t>. Hvis prævention er påkrævet, skal der anvendes ikke-hormonelle præventionsmidler (f.eks. barrieremetoden).</w:t>
      </w:r>
    </w:p>
    <w:p w14:paraId="76C805C3" w14:textId="77777777" w:rsidR="00523AF2" w:rsidRPr="00B7409C" w:rsidRDefault="00523AF2" w:rsidP="00B7409C">
      <w:pPr>
        <w:ind w:left="851"/>
        <w:rPr>
          <w:sz w:val="24"/>
          <w:szCs w:val="24"/>
        </w:rPr>
      </w:pPr>
    </w:p>
    <w:p w14:paraId="7291F788" w14:textId="77777777" w:rsidR="00523AF2" w:rsidRPr="00D810B7" w:rsidRDefault="00523AF2" w:rsidP="00B7409C">
      <w:pPr>
        <w:ind w:left="851"/>
        <w:rPr>
          <w:i/>
          <w:sz w:val="24"/>
          <w:szCs w:val="24"/>
          <w:u w:val="single"/>
        </w:rPr>
      </w:pPr>
      <w:r w:rsidRPr="00D810B7">
        <w:rPr>
          <w:i/>
          <w:sz w:val="24"/>
          <w:szCs w:val="24"/>
          <w:u w:val="single"/>
        </w:rPr>
        <w:t>Glemte tabletter:</w:t>
      </w:r>
    </w:p>
    <w:p w14:paraId="64D2199C" w14:textId="77777777" w:rsidR="00523AF2" w:rsidRPr="00B7409C" w:rsidRDefault="00523AF2" w:rsidP="00B7409C">
      <w:pPr>
        <w:ind w:left="851"/>
        <w:rPr>
          <w:sz w:val="24"/>
          <w:szCs w:val="24"/>
        </w:rPr>
      </w:pPr>
    </w:p>
    <w:p w14:paraId="6B2D6397" w14:textId="77777777" w:rsidR="00523AF2" w:rsidRPr="00B7409C" w:rsidRDefault="00523AF2" w:rsidP="00B7409C">
      <w:pPr>
        <w:ind w:left="851"/>
        <w:rPr>
          <w:sz w:val="24"/>
          <w:szCs w:val="24"/>
        </w:rPr>
      </w:pPr>
      <w:r w:rsidRPr="00B7409C">
        <w:rPr>
          <w:sz w:val="24"/>
          <w:szCs w:val="24"/>
        </w:rPr>
        <w:t xml:space="preserve">Virkningen af </w:t>
      </w:r>
      <w:proofErr w:type="spellStart"/>
      <w:r w:rsidRPr="00B7409C">
        <w:rPr>
          <w:sz w:val="24"/>
          <w:szCs w:val="24"/>
        </w:rPr>
        <w:t>Dienosis</w:t>
      </w:r>
      <w:proofErr w:type="spellEnd"/>
      <w:r w:rsidRPr="00B7409C">
        <w:rPr>
          <w:sz w:val="24"/>
          <w:szCs w:val="24"/>
        </w:rPr>
        <w:t xml:space="preserve"> kan være nedsat, hvis kvinden glemmer en eller flere tabletter, eller hvis hun kaster op eller har </w:t>
      </w:r>
      <w:proofErr w:type="spellStart"/>
      <w:r w:rsidRPr="00B7409C">
        <w:rPr>
          <w:sz w:val="24"/>
          <w:szCs w:val="24"/>
        </w:rPr>
        <w:t>diaré</w:t>
      </w:r>
      <w:proofErr w:type="spellEnd"/>
      <w:r w:rsidRPr="00B7409C">
        <w:rPr>
          <w:sz w:val="24"/>
          <w:szCs w:val="24"/>
        </w:rPr>
        <w:t xml:space="preserve"> (inden for 3-4 timer efter tabletindtagelsen). Hvis kvinden har glemt at tage en eller flere tabletter, skal hun kun tage én tablet så hurtigt, hun kommer i tanke om det, og skal derefter fortsætte den næste dag på det sædvanlige tidspunkt. En tablet, der ikke er blevet absorberet pga. opkastning eller </w:t>
      </w:r>
      <w:proofErr w:type="spellStart"/>
      <w:r w:rsidRPr="00B7409C">
        <w:rPr>
          <w:sz w:val="24"/>
          <w:szCs w:val="24"/>
        </w:rPr>
        <w:t>diaré</w:t>
      </w:r>
      <w:proofErr w:type="spellEnd"/>
      <w:r w:rsidRPr="00B7409C">
        <w:rPr>
          <w:sz w:val="24"/>
          <w:szCs w:val="24"/>
        </w:rPr>
        <w:t>, skal ligeledes erstattes af én tablet.</w:t>
      </w:r>
    </w:p>
    <w:p w14:paraId="438F8C94" w14:textId="77777777" w:rsidR="00523AF2" w:rsidRPr="00B7409C" w:rsidRDefault="00523AF2" w:rsidP="00B7409C">
      <w:pPr>
        <w:ind w:left="851"/>
        <w:rPr>
          <w:bCs/>
          <w:i/>
          <w:sz w:val="24"/>
          <w:szCs w:val="24"/>
        </w:rPr>
      </w:pPr>
    </w:p>
    <w:p w14:paraId="7510D73D" w14:textId="77777777" w:rsidR="00523AF2" w:rsidRPr="00D810B7" w:rsidRDefault="00523AF2" w:rsidP="00B7409C">
      <w:pPr>
        <w:ind w:left="851"/>
        <w:rPr>
          <w:b/>
          <w:i/>
          <w:sz w:val="24"/>
          <w:szCs w:val="24"/>
          <w:u w:val="single"/>
        </w:rPr>
      </w:pPr>
      <w:r w:rsidRPr="00D810B7">
        <w:rPr>
          <w:b/>
          <w:i/>
          <w:sz w:val="24"/>
          <w:szCs w:val="24"/>
          <w:u w:val="single"/>
        </w:rPr>
        <w:t>Yderligere oplysninger om specielle patientgrupper</w:t>
      </w:r>
    </w:p>
    <w:p w14:paraId="221E3852" w14:textId="77777777" w:rsidR="00523AF2" w:rsidRPr="00B7409C" w:rsidRDefault="00523AF2" w:rsidP="00B7409C">
      <w:pPr>
        <w:ind w:left="851"/>
        <w:rPr>
          <w:i/>
          <w:sz w:val="24"/>
          <w:szCs w:val="24"/>
        </w:rPr>
      </w:pPr>
    </w:p>
    <w:p w14:paraId="7C6370AF" w14:textId="77777777" w:rsidR="00523AF2" w:rsidRPr="00D810B7" w:rsidRDefault="00523AF2" w:rsidP="00B7409C">
      <w:pPr>
        <w:ind w:left="851"/>
        <w:rPr>
          <w:sz w:val="24"/>
          <w:szCs w:val="24"/>
          <w:u w:val="single"/>
        </w:rPr>
      </w:pPr>
      <w:r w:rsidRPr="00D810B7">
        <w:rPr>
          <w:i/>
          <w:sz w:val="24"/>
          <w:szCs w:val="24"/>
          <w:u w:val="single"/>
        </w:rPr>
        <w:t>Pædiatrisk population:</w:t>
      </w:r>
    </w:p>
    <w:p w14:paraId="0DE6F40C" w14:textId="77777777" w:rsidR="00523AF2" w:rsidRPr="00B7409C" w:rsidRDefault="00523AF2" w:rsidP="00B7409C">
      <w:pPr>
        <w:ind w:left="851"/>
        <w:rPr>
          <w:sz w:val="24"/>
          <w:szCs w:val="24"/>
        </w:rPr>
      </w:pPr>
      <w:proofErr w:type="spellStart"/>
      <w:r w:rsidRPr="00B7409C">
        <w:rPr>
          <w:sz w:val="24"/>
          <w:szCs w:val="24"/>
        </w:rPr>
        <w:t>Dienosis</w:t>
      </w:r>
      <w:proofErr w:type="spellEnd"/>
      <w:r w:rsidRPr="00B7409C">
        <w:rPr>
          <w:sz w:val="24"/>
          <w:szCs w:val="24"/>
        </w:rPr>
        <w:t xml:space="preserve"> er ikke indiceret til behandling af børn før </w:t>
      </w:r>
      <w:proofErr w:type="spellStart"/>
      <w:r w:rsidRPr="00B7409C">
        <w:rPr>
          <w:sz w:val="24"/>
          <w:szCs w:val="24"/>
        </w:rPr>
        <w:t>menarchen</w:t>
      </w:r>
      <w:proofErr w:type="spellEnd"/>
      <w:r w:rsidRPr="00B7409C">
        <w:rPr>
          <w:sz w:val="24"/>
          <w:szCs w:val="24"/>
        </w:rPr>
        <w:t xml:space="preserve">.  </w:t>
      </w:r>
    </w:p>
    <w:p w14:paraId="702D173F" w14:textId="77777777" w:rsidR="00523AF2" w:rsidRPr="00B7409C" w:rsidRDefault="00523AF2" w:rsidP="00B7409C">
      <w:pPr>
        <w:ind w:left="851"/>
        <w:rPr>
          <w:sz w:val="24"/>
          <w:szCs w:val="24"/>
        </w:rPr>
      </w:pPr>
    </w:p>
    <w:p w14:paraId="0CE1B025" w14:textId="77777777" w:rsidR="00523AF2" w:rsidRPr="00B7409C" w:rsidRDefault="00523AF2" w:rsidP="00B7409C">
      <w:pPr>
        <w:ind w:left="851"/>
        <w:rPr>
          <w:sz w:val="24"/>
          <w:szCs w:val="24"/>
        </w:rPr>
      </w:pPr>
      <w:r w:rsidRPr="00B7409C">
        <w:rPr>
          <w:sz w:val="24"/>
          <w:szCs w:val="24"/>
        </w:rPr>
        <w:t xml:space="preserve">Sikkerhed og virkning ved </w:t>
      </w:r>
      <w:proofErr w:type="spellStart"/>
      <w:r w:rsidRPr="00B7409C">
        <w:rPr>
          <w:sz w:val="24"/>
          <w:szCs w:val="24"/>
        </w:rPr>
        <w:t>dienogest</w:t>
      </w:r>
      <w:proofErr w:type="spellEnd"/>
      <w:r w:rsidRPr="00B7409C">
        <w:rPr>
          <w:sz w:val="24"/>
          <w:szCs w:val="24"/>
        </w:rPr>
        <w:t xml:space="preserve"> </w:t>
      </w:r>
      <w:r w:rsidRPr="00B7409C">
        <w:rPr>
          <w:noProof/>
          <w:sz w:val="24"/>
          <w:szCs w:val="24"/>
        </w:rPr>
        <w:t>blev undersøgt i et ikke-kontrolleret klinisk studie over 12 måneder hos 111 unge kvinder (</w:t>
      </w:r>
      <w:r w:rsidRPr="00B7409C">
        <w:rPr>
          <w:bCs/>
          <w:sz w:val="24"/>
          <w:szCs w:val="24"/>
        </w:rPr>
        <w:t>12 til &lt; 18 år</w:t>
      </w:r>
      <w:r w:rsidRPr="00B7409C">
        <w:rPr>
          <w:noProof/>
          <w:sz w:val="24"/>
          <w:szCs w:val="24"/>
        </w:rPr>
        <w:t>) med klinisk formodet eller bekræftet endometriose (se pkt. 4.4 og 5.1).</w:t>
      </w:r>
    </w:p>
    <w:p w14:paraId="492F306A" w14:textId="77777777" w:rsidR="00523AF2" w:rsidRPr="00B7409C" w:rsidRDefault="00523AF2" w:rsidP="00B7409C">
      <w:pPr>
        <w:ind w:left="851"/>
        <w:rPr>
          <w:sz w:val="24"/>
          <w:szCs w:val="24"/>
        </w:rPr>
      </w:pPr>
    </w:p>
    <w:p w14:paraId="32613C75" w14:textId="77777777" w:rsidR="00523AF2" w:rsidRPr="00D810B7" w:rsidRDefault="00523AF2" w:rsidP="00B7409C">
      <w:pPr>
        <w:ind w:left="851"/>
        <w:rPr>
          <w:i/>
          <w:sz w:val="24"/>
          <w:szCs w:val="24"/>
          <w:u w:val="single"/>
        </w:rPr>
      </w:pPr>
      <w:r w:rsidRPr="00D810B7">
        <w:rPr>
          <w:i/>
          <w:sz w:val="24"/>
          <w:szCs w:val="24"/>
          <w:u w:val="single"/>
        </w:rPr>
        <w:t>Ældre patienter:</w:t>
      </w:r>
    </w:p>
    <w:p w14:paraId="57592833" w14:textId="77777777" w:rsidR="00523AF2" w:rsidRPr="00B7409C" w:rsidRDefault="00523AF2" w:rsidP="00B7409C">
      <w:pPr>
        <w:ind w:left="851"/>
        <w:rPr>
          <w:sz w:val="24"/>
          <w:szCs w:val="24"/>
        </w:rPr>
      </w:pPr>
      <w:r w:rsidRPr="00B7409C">
        <w:rPr>
          <w:sz w:val="24"/>
          <w:szCs w:val="24"/>
        </w:rPr>
        <w:t xml:space="preserve">Der er ingen relevant indikation for at anvende </w:t>
      </w:r>
      <w:proofErr w:type="spellStart"/>
      <w:r w:rsidRPr="00B7409C">
        <w:rPr>
          <w:sz w:val="24"/>
          <w:szCs w:val="24"/>
        </w:rPr>
        <w:t>Dienosis</w:t>
      </w:r>
      <w:proofErr w:type="spellEnd"/>
      <w:r w:rsidRPr="00B7409C">
        <w:rPr>
          <w:sz w:val="24"/>
          <w:szCs w:val="24"/>
        </w:rPr>
        <w:t xml:space="preserve"> til ældre patienter.</w:t>
      </w:r>
    </w:p>
    <w:p w14:paraId="12680240" w14:textId="77777777" w:rsidR="00523AF2" w:rsidRPr="00B7409C" w:rsidRDefault="00523AF2" w:rsidP="00B7409C">
      <w:pPr>
        <w:ind w:left="851"/>
        <w:rPr>
          <w:sz w:val="24"/>
          <w:szCs w:val="24"/>
        </w:rPr>
      </w:pPr>
    </w:p>
    <w:p w14:paraId="3B2AFCEF" w14:textId="13C5F402" w:rsidR="00523AF2" w:rsidRPr="00D810B7" w:rsidRDefault="00523AF2" w:rsidP="00B7409C">
      <w:pPr>
        <w:ind w:left="851"/>
        <w:rPr>
          <w:i/>
          <w:sz w:val="24"/>
          <w:szCs w:val="24"/>
          <w:u w:val="single"/>
        </w:rPr>
      </w:pPr>
      <w:r w:rsidRPr="00D810B7">
        <w:rPr>
          <w:i/>
          <w:sz w:val="24"/>
          <w:szCs w:val="24"/>
          <w:u w:val="single"/>
        </w:rPr>
        <w:t>Patienter med nedsat leverfunktion</w:t>
      </w:r>
      <w:r w:rsidR="00D810B7">
        <w:rPr>
          <w:i/>
          <w:sz w:val="24"/>
          <w:szCs w:val="24"/>
          <w:u w:val="single"/>
        </w:rPr>
        <w:t>:</w:t>
      </w:r>
    </w:p>
    <w:p w14:paraId="7B3632B0" w14:textId="77777777" w:rsidR="00523AF2" w:rsidRPr="00B7409C" w:rsidRDefault="00523AF2" w:rsidP="00B7409C">
      <w:pPr>
        <w:ind w:left="851"/>
        <w:rPr>
          <w:sz w:val="24"/>
          <w:szCs w:val="24"/>
        </w:rPr>
      </w:pPr>
      <w:proofErr w:type="spellStart"/>
      <w:r w:rsidRPr="00B7409C">
        <w:rPr>
          <w:sz w:val="24"/>
          <w:szCs w:val="24"/>
        </w:rPr>
        <w:t>Dienosis</w:t>
      </w:r>
      <w:proofErr w:type="spellEnd"/>
      <w:r w:rsidRPr="00B7409C">
        <w:rPr>
          <w:sz w:val="24"/>
          <w:szCs w:val="24"/>
        </w:rPr>
        <w:t xml:space="preserve"> er kontraindiceret til patienter med nuværende eller tidligere svær leversygdom (se pkt. 4.3).</w:t>
      </w:r>
    </w:p>
    <w:p w14:paraId="69439048" w14:textId="77777777" w:rsidR="00523AF2" w:rsidRPr="00B7409C" w:rsidRDefault="00523AF2" w:rsidP="00B7409C">
      <w:pPr>
        <w:ind w:left="851"/>
        <w:rPr>
          <w:sz w:val="24"/>
          <w:szCs w:val="24"/>
        </w:rPr>
      </w:pPr>
    </w:p>
    <w:p w14:paraId="60030E38" w14:textId="77777777" w:rsidR="00523AF2" w:rsidRPr="00D810B7" w:rsidRDefault="00523AF2" w:rsidP="00B7409C">
      <w:pPr>
        <w:ind w:left="851"/>
        <w:rPr>
          <w:i/>
          <w:sz w:val="24"/>
          <w:szCs w:val="24"/>
          <w:u w:val="single"/>
        </w:rPr>
      </w:pPr>
      <w:r w:rsidRPr="00D810B7">
        <w:rPr>
          <w:i/>
          <w:sz w:val="24"/>
          <w:szCs w:val="24"/>
          <w:u w:val="single"/>
        </w:rPr>
        <w:t>Patienter med nedsat nyrefunktion:</w:t>
      </w:r>
    </w:p>
    <w:p w14:paraId="7045620B" w14:textId="77777777" w:rsidR="00523AF2" w:rsidRPr="00B7409C" w:rsidRDefault="00523AF2" w:rsidP="00B7409C">
      <w:pPr>
        <w:ind w:left="851"/>
        <w:rPr>
          <w:sz w:val="24"/>
          <w:szCs w:val="24"/>
        </w:rPr>
      </w:pPr>
      <w:r w:rsidRPr="00B7409C">
        <w:rPr>
          <w:sz w:val="24"/>
          <w:szCs w:val="24"/>
        </w:rPr>
        <w:t>Der er ingen oplysninger, der tyder på, at det er nødvendigt at justere dosis til patienter med nedsat nyrefunktion.</w:t>
      </w:r>
    </w:p>
    <w:p w14:paraId="30CF28D2" w14:textId="77777777" w:rsidR="00523AF2" w:rsidRPr="00B7409C" w:rsidRDefault="00523AF2" w:rsidP="00B7409C">
      <w:pPr>
        <w:ind w:left="851"/>
        <w:rPr>
          <w:bCs/>
          <w:sz w:val="24"/>
          <w:szCs w:val="24"/>
        </w:rPr>
      </w:pPr>
    </w:p>
    <w:p w14:paraId="165DDEA0" w14:textId="77777777" w:rsidR="00523AF2" w:rsidRPr="0083342D" w:rsidRDefault="00523AF2" w:rsidP="00B7409C">
      <w:pPr>
        <w:ind w:left="851"/>
        <w:rPr>
          <w:sz w:val="24"/>
          <w:szCs w:val="24"/>
          <w:u w:val="single"/>
        </w:rPr>
      </w:pPr>
      <w:r w:rsidRPr="0083342D">
        <w:rPr>
          <w:sz w:val="24"/>
          <w:szCs w:val="24"/>
          <w:u w:val="single"/>
        </w:rPr>
        <w:t>Administration:</w:t>
      </w:r>
    </w:p>
    <w:p w14:paraId="6BAEFF39" w14:textId="77777777" w:rsidR="00523AF2" w:rsidRPr="00B7409C" w:rsidRDefault="00523AF2" w:rsidP="00B7409C">
      <w:pPr>
        <w:ind w:left="851"/>
        <w:rPr>
          <w:sz w:val="24"/>
          <w:szCs w:val="24"/>
        </w:rPr>
      </w:pPr>
      <w:r w:rsidRPr="00B7409C">
        <w:rPr>
          <w:sz w:val="24"/>
          <w:szCs w:val="24"/>
        </w:rPr>
        <w:t>Oral anvendelse.</w:t>
      </w:r>
    </w:p>
    <w:p w14:paraId="381FAD11" w14:textId="77777777" w:rsidR="009260DE" w:rsidRPr="00C22DB6" w:rsidRDefault="009260DE" w:rsidP="009260DE">
      <w:pPr>
        <w:tabs>
          <w:tab w:val="left" w:pos="851"/>
        </w:tabs>
        <w:ind w:left="851"/>
        <w:rPr>
          <w:sz w:val="24"/>
          <w:szCs w:val="24"/>
        </w:rPr>
      </w:pPr>
    </w:p>
    <w:p w14:paraId="323F453C" w14:textId="77777777" w:rsidR="009260DE" w:rsidRPr="00C22DB6" w:rsidRDefault="009260DE" w:rsidP="009260DE">
      <w:pPr>
        <w:tabs>
          <w:tab w:val="left" w:pos="851"/>
        </w:tabs>
        <w:ind w:left="851" w:hanging="851"/>
        <w:rPr>
          <w:b/>
          <w:sz w:val="24"/>
          <w:szCs w:val="24"/>
        </w:rPr>
      </w:pPr>
      <w:r w:rsidRPr="00C22DB6">
        <w:rPr>
          <w:b/>
          <w:sz w:val="24"/>
          <w:szCs w:val="24"/>
        </w:rPr>
        <w:t>4.3</w:t>
      </w:r>
      <w:r w:rsidRPr="00C22DB6">
        <w:rPr>
          <w:b/>
          <w:sz w:val="24"/>
          <w:szCs w:val="24"/>
        </w:rPr>
        <w:tab/>
        <w:t>Kontraindikationer</w:t>
      </w:r>
    </w:p>
    <w:p w14:paraId="2029B3C0" w14:textId="77777777" w:rsidR="00523AF2" w:rsidRPr="00B7409C" w:rsidRDefault="00523AF2" w:rsidP="00B7409C">
      <w:pPr>
        <w:ind w:left="851"/>
        <w:rPr>
          <w:sz w:val="24"/>
          <w:szCs w:val="24"/>
          <w:lang w:eastAsia="de-DE"/>
        </w:rPr>
      </w:pPr>
      <w:proofErr w:type="spellStart"/>
      <w:r w:rsidRPr="00B7409C">
        <w:rPr>
          <w:sz w:val="24"/>
          <w:szCs w:val="24"/>
        </w:rPr>
        <w:t>Dienosis</w:t>
      </w:r>
      <w:proofErr w:type="spellEnd"/>
      <w:r w:rsidRPr="00B7409C">
        <w:rPr>
          <w:sz w:val="24"/>
          <w:szCs w:val="24"/>
        </w:rPr>
        <w:t xml:space="preserve"> må ikke anvendes, hvis en af tilstandene nedenfor forekommer. Oplysningerne er delvis hentet fra information om andre rene gestagenpræparater. Hvis en af disse tilstande opstår under brugen af </w:t>
      </w:r>
      <w:proofErr w:type="spellStart"/>
      <w:r w:rsidRPr="00B7409C">
        <w:rPr>
          <w:sz w:val="24"/>
          <w:szCs w:val="24"/>
        </w:rPr>
        <w:t>Dienosis</w:t>
      </w:r>
      <w:proofErr w:type="spellEnd"/>
      <w:r w:rsidRPr="00B7409C">
        <w:rPr>
          <w:sz w:val="24"/>
          <w:szCs w:val="24"/>
        </w:rPr>
        <w:t>, skal behandlingen omgående seponeres.</w:t>
      </w:r>
    </w:p>
    <w:p w14:paraId="7AE18278" w14:textId="77777777" w:rsidR="00523AF2" w:rsidRPr="00C22DB6" w:rsidRDefault="00523AF2" w:rsidP="00523AF2">
      <w:pPr>
        <w:pStyle w:val="Para0s"/>
        <w:tabs>
          <w:tab w:val="left" w:pos="851"/>
        </w:tabs>
        <w:spacing w:after="0"/>
        <w:rPr>
          <w:szCs w:val="24"/>
          <w:lang w:val="da-DK"/>
        </w:rPr>
      </w:pPr>
    </w:p>
    <w:p w14:paraId="38573EDD" w14:textId="77777777" w:rsidR="00523AF2" w:rsidRPr="00B7409C" w:rsidRDefault="00523AF2" w:rsidP="00B7409C">
      <w:pPr>
        <w:pStyle w:val="Listeafsnit"/>
        <w:numPr>
          <w:ilvl w:val="0"/>
          <w:numId w:val="13"/>
        </w:numPr>
        <w:ind w:left="1276" w:hanging="425"/>
        <w:rPr>
          <w:smallCaps/>
          <w:sz w:val="24"/>
          <w:szCs w:val="24"/>
        </w:rPr>
      </w:pPr>
      <w:r w:rsidRPr="00B7409C">
        <w:rPr>
          <w:sz w:val="24"/>
          <w:szCs w:val="24"/>
        </w:rPr>
        <w:t xml:space="preserve">aktiv, venøs </w:t>
      </w:r>
      <w:proofErr w:type="spellStart"/>
      <w:r w:rsidRPr="00B7409C">
        <w:rPr>
          <w:sz w:val="24"/>
          <w:szCs w:val="24"/>
        </w:rPr>
        <w:t>tromboembolisk</w:t>
      </w:r>
      <w:proofErr w:type="spellEnd"/>
      <w:r w:rsidRPr="00B7409C">
        <w:rPr>
          <w:sz w:val="24"/>
          <w:szCs w:val="24"/>
        </w:rPr>
        <w:t xml:space="preserve"> sygdom</w:t>
      </w:r>
    </w:p>
    <w:p w14:paraId="06137523" w14:textId="77777777" w:rsidR="00523AF2" w:rsidRPr="00B7409C" w:rsidRDefault="00523AF2" w:rsidP="00B7409C">
      <w:pPr>
        <w:pStyle w:val="Listeafsnit"/>
        <w:numPr>
          <w:ilvl w:val="0"/>
          <w:numId w:val="13"/>
        </w:numPr>
        <w:ind w:left="1276" w:hanging="425"/>
        <w:rPr>
          <w:sz w:val="24"/>
          <w:szCs w:val="24"/>
        </w:rPr>
      </w:pPr>
      <w:r w:rsidRPr="00B7409C">
        <w:rPr>
          <w:sz w:val="24"/>
          <w:szCs w:val="24"/>
        </w:rPr>
        <w:t xml:space="preserve">tidligere eller nuværende arteriel og </w:t>
      </w:r>
      <w:proofErr w:type="spellStart"/>
      <w:r w:rsidRPr="00B7409C">
        <w:rPr>
          <w:sz w:val="24"/>
          <w:szCs w:val="24"/>
        </w:rPr>
        <w:t>kardiovaskulær</w:t>
      </w:r>
      <w:proofErr w:type="spellEnd"/>
      <w:r w:rsidRPr="00B7409C">
        <w:rPr>
          <w:sz w:val="24"/>
          <w:szCs w:val="24"/>
        </w:rPr>
        <w:t xml:space="preserve"> sygdom (f.eks. myokardieinfarkt, </w:t>
      </w:r>
      <w:proofErr w:type="spellStart"/>
      <w:r w:rsidRPr="00B7409C">
        <w:rPr>
          <w:sz w:val="24"/>
          <w:szCs w:val="24"/>
        </w:rPr>
        <w:t>cerebrovaskulært</w:t>
      </w:r>
      <w:proofErr w:type="spellEnd"/>
      <w:r w:rsidRPr="00B7409C">
        <w:rPr>
          <w:sz w:val="24"/>
          <w:szCs w:val="24"/>
        </w:rPr>
        <w:t xml:space="preserve"> tilfælde, iskæmisk hjertesygdom)</w:t>
      </w:r>
    </w:p>
    <w:p w14:paraId="338172D1" w14:textId="77777777" w:rsidR="00523AF2" w:rsidRPr="00B7409C" w:rsidRDefault="00523AF2" w:rsidP="00B7409C">
      <w:pPr>
        <w:pStyle w:val="Listeafsnit"/>
        <w:numPr>
          <w:ilvl w:val="0"/>
          <w:numId w:val="13"/>
        </w:numPr>
        <w:ind w:left="1276" w:hanging="425"/>
        <w:rPr>
          <w:sz w:val="24"/>
          <w:szCs w:val="24"/>
        </w:rPr>
      </w:pPr>
      <w:r w:rsidRPr="00B7409C">
        <w:rPr>
          <w:sz w:val="24"/>
          <w:szCs w:val="24"/>
        </w:rPr>
        <w:t xml:space="preserve">diabetes mellitus med </w:t>
      </w:r>
      <w:proofErr w:type="spellStart"/>
      <w:r w:rsidRPr="00B7409C">
        <w:rPr>
          <w:sz w:val="24"/>
          <w:szCs w:val="24"/>
        </w:rPr>
        <w:t>vaskulære</w:t>
      </w:r>
      <w:proofErr w:type="spellEnd"/>
      <w:r w:rsidRPr="00B7409C">
        <w:rPr>
          <w:sz w:val="24"/>
          <w:szCs w:val="24"/>
        </w:rPr>
        <w:t xml:space="preserve"> problemer</w:t>
      </w:r>
    </w:p>
    <w:p w14:paraId="081E911F" w14:textId="77777777" w:rsidR="00523AF2" w:rsidRPr="00B7409C" w:rsidRDefault="00523AF2" w:rsidP="00B7409C">
      <w:pPr>
        <w:pStyle w:val="Listeafsnit"/>
        <w:numPr>
          <w:ilvl w:val="0"/>
          <w:numId w:val="13"/>
        </w:numPr>
        <w:ind w:left="1276" w:hanging="425"/>
        <w:rPr>
          <w:sz w:val="24"/>
          <w:szCs w:val="24"/>
        </w:rPr>
      </w:pPr>
      <w:r w:rsidRPr="00B7409C">
        <w:rPr>
          <w:sz w:val="24"/>
          <w:szCs w:val="24"/>
        </w:rPr>
        <w:lastRenderedPageBreak/>
        <w:t xml:space="preserve">tidligere eller nuværende svær leversygdom, hvis leverfunktionsværdierne ikke er blevet normale igen </w:t>
      </w:r>
    </w:p>
    <w:p w14:paraId="17B219E5" w14:textId="77777777" w:rsidR="00523AF2" w:rsidRPr="00B7409C" w:rsidRDefault="00523AF2" w:rsidP="00B7409C">
      <w:pPr>
        <w:pStyle w:val="Listeafsnit"/>
        <w:numPr>
          <w:ilvl w:val="0"/>
          <w:numId w:val="13"/>
        </w:numPr>
        <w:ind w:left="1276" w:hanging="425"/>
        <w:rPr>
          <w:sz w:val="24"/>
          <w:szCs w:val="24"/>
        </w:rPr>
      </w:pPr>
      <w:r w:rsidRPr="00B7409C">
        <w:rPr>
          <w:sz w:val="24"/>
          <w:szCs w:val="24"/>
        </w:rPr>
        <w:t>nuværende eller tidligere levertumorer (benigne eller maligne)</w:t>
      </w:r>
    </w:p>
    <w:p w14:paraId="2698328C" w14:textId="77777777" w:rsidR="00523AF2" w:rsidRPr="00B7409C" w:rsidRDefault="00523AF2" w:rsidP="00B7409C">
      <w:pPr>
        <w:pStyle w:val="Listeafsnit"/>
        <w:numPr>
          <w:ilvl w:val="0"/>
          <w:numId w:val="13"/>
        </w:numPr>
        <w:ind w:left="1276" w:hanging="425"/>
        <w:rPr>
          <w:smallCaps/>
          <w:sz w:val="24"/>
          <w:szCs w:val="24"/>
        </w:rPr>
      </w:pPr>
      <w:r w:rsidRPr="00B7409C">
        <w:rPr>
          <w:sz w:val="24"/>
          <w:szCs w:val="24"/>
        </w:rPr>
        <w:t xml:space="preserve">kendte eller formodede kønshormonafhængige maligne tilstande </w:t>
      </w:r>
    </w:p>
    <w:p w14:paraId="37D7DBDC" w14:textId="77777777" w:rsidR="00523AF2" w:rsidRPr="00B7409C" w:rsidRDefault="00523AF2" w:rsidP="00B7409C">
      <w:pPr>
        <w:pStyle w:val="Listeafsnit"/>
        <w:numPr>
          <w:ilvl w:val="0"/>
          <w:numId w:val="13"/>
        </w:numPr>
        <w:ind w:left="1276" w:hanging="425"/>
        <w:rPr>
          <w:sz w:val="24"/>
          <w:szCs w:val="24"/>
        </w:rPr>
      </w:pPr>
      <w:r w:rsidRPr="00B7409C">
        <w:rPr>
          <w:sz w:val="24"/>
          <w:szCs w:val="24"/>
        </w:rPr>
        <w:t xml:space="preserve">ikke-diagnosticeret vaginalblødning </w:t>
      </w:r>
    </w:p>
    <w:p w14:paraId="6F1A46D5" w14:textId="77777777" w:rsidR="00523AF2" w:rsidRPr="00B7409C" w:rsidRDefault="00523AF2" w:rsidP="00B7409C">
      <w:pPr>
        <w:pStyle w:val="Listeafsnit"/>
        <w:numPr>
          <w:ilvl w:val="0"/>
          <w:numId w:val="13"/>
        </w:numPr>
        <w:ind w:left="1276" w:hanging="425"/>
        <w:rPr>
          <w:sz w:val="24"/>
          <w:szCs w:val="24"/>
        </w:rPr>
      </w:pPr>
      <w:r w:rsidRPr="00B7409C">
        <w:rPr>
          <w:noProof/>
          <w:sz w:val="24"/>
          <w:szCs w:val="24"/>
        </w:rPr>
        <w:t>overfølsomhed over for det aktive stof eller over for et eller flere af hjælpestofferne anført i pkt. 6.1</w:t>
      </w:r>
    </w:p>
    <w:p w14:paraId="53D34FF0" w14:textId="77777777" w:rsidR="009260DE" w:rsidRPr="00C22DB6" w:rsidRDefault="009260DE" w:rsidP="009260DE">
      <w:pPr>
        <w:tabs>
          <w:tab w:val="left" w:pos="851"/>
        </w:tabs>
        <w:ind w:left="851"/>
        <w:rPr>
          <w:sz w:val="24"/>
          <w:szCs w:val="24"/>
        </w:rPr>
      </w:pPr>
    </w:p>
    <w:p w14:paraId="6CAE9781" w14:textId="77777777" w:rsidR="009260DE" w:rsidRPr="00C22DB6" w:rsidRDefault="009260DE" w:rsidP="009260DE">
      <w:pPr>
        <w:tabs>
          <w:tab w:val="left" w:pos="851"/>
        </w:tabs>
        <w:ind w:left="851" w:hanging="851"/>
        <w:rPr>
          <w:b/>
          <w:sz w:val="24"/>
          <w:szCs w:val="24"/>
        </w:rPr>
      </w:pPr>
      <w:r w:rsidRPr="00C22DB6">
        <w:rPr>
          <w:b/>
          <w:sz w:val="24"/>
          <w:szCs w:val="24"/>
        </w:rPr>
        <w:t>4.4</w:t>
      </w:r>
      <w:r w:rsidRPr="00C22DB6">
        <w:rPr>
          <w:b/>
          <w:sz w:val="24"/>
          <w:szCs w:val="24"/>
        </w:rPr>
        <w:tab/>
        <w:t>Særlige advarsler og forsigtighedsregler vedrørende brugen</w:t>
      </w:r>
    </w:p>
    <w:p w14:paraId="0C7DAABF" w14:textId="77777777" w:rsidR="0083342D" w:rsidRDefault="0083342D" w:rsidP="000A0C0E">
      <w:pPr>
        <w:ind w:left="851"/>
        <w:rPr>
          <w:b/>
          <w:sz w:val="24"/>
          <w:szCs w:val="24"/>
        </w:rPr>
      </w:pPr>
    </w:p>
    <w:p w14:paraId="106152F4" w14:textId="6A0993F2" w:rsidR="00523AF2" w:rsidRPr="00C22DB6" w:rsidRDefault="00523AF2" w:rsidP="000A0C0E">
      <w:pPr>
        <w:ind w:left="851"/>
        <w:rPr>
          <w:b/>
          <w:sz w:val="24"/>
          <w:szCs w:val="24"/>
        </w:rPr>
      </w:pPr>
      <w:r w:rsidRPr="00C22DB6">
        <w:rPr>
          <w:b/>
          <w:sz w:val="24"/>
          <w:szCs w:val="24"/>
        </w:rPr>
        <w:t>Advarsler</w:t>
      </w:r>
    </w:p>
    <w:p w14:paraId="00B802E2" w14:textId="77777777" w:rsidR="00523AF2" w:rsidRPr="00C22DB6" w:rsidRDefault="00523AF2" w:rsidP="000A0C0E">
      <w:pPr>
        <w:ind w:left="851"/>
        <w:outlineLvl w:val="0"/>
        <w:rPr>
          <w:b/>
          <w:noProof/>
          <w:sz w:val="24"/>
          <w:szCs w:val="24"/>
        </w:rPr>
      </w:pPr>
    </w:p>
    <w:p w14:paraId="2E5339F8" w14:textId="77777777" w:rsidR="00523AF2" w:rsidRPr="00C22DB6" w:rsidRDefault="00523AF2" w:rsidP="000A0C0E">
      <w:pPr>
        <w:pStyle w:val="Para0s"/>
        <w:spacing w:after="0"/>
        <w:ind w:left="851"/>
        <w:rPr>
          <w:szCs w:val="24"/>
          <w:lang w:val="da-DK"/>
        </w:rPr>
      </w:pPr>
      <w:r w:rsidRPr="00C22DB6">
        <w:rPr>
          <w:szCs w:val="24"/>
          <w:lang w:val="da-DK"/>
        </w:rPr>
        <w:t xml:space="preserve">Da </w:t>
      </w:r>
      <w:proofErr w:type="spellStart"/>
      <w:r w:rsidRPr="00C22DB6">
        <w:rPr>
          <w:szCs w:val="24"/>
          <w:lang w:val="da-DK"/>
        </w:rPr>
        <w:t>Dienosis</w:t>
      </w:r>
      <w:proofErr w:type="spellEnd"/>
      <w:r w:rsidRPr="00C22DB6">
        <w:rPr>
          <w:szCs w:val="24"/>
          <w:lang w:val="da-DK"/>
        </w:rPr>
        <w:t xml:space="preserve"> er et rent gestagenpræparat, må det antages, at de særlige advarsler og forsigtighedsregler, som gælder for brugen af rene gestagenpræparater, også gælder for </w:t>
      </w:r>
      <w:proofErr w:type="spellStart"/>
      <w:r w:rsidRPr="00C22DB6">
        <w:rPr>
          <w:szCs w:val="24"/>
          <w:lang w:val="da-DK"/>
        </w:rPr>
        <w:t>Dienosis</w:t>
      </w:r>
      <w:proofErr w:type="spellEnd"/>
      <w:r w:rsidRPr="00C22DB6">
        <w:rPr>
          <w:szCs w:val="24"/>
          <w:lang w:val="da-DK"/>
        </w:rPr>
        <w:t xml:space="preserve">, selvom ikke alle advarsler og forsigtighedsregler er baseret på tilsvarende observationer i kliniske studier med </w:t>
      </w:r>
      <w:proofErr w:type="spellStart"/>
      <w:r w:rsidRPr="00C22DB6">
        <w:rPr>
          <w:szCs w:val="24"/>
          <w:lang w:val="da-DK"/>
        </w:rPr>
        <w:t>dienogest</w:t>
      </w:r>
      <w:proofErr w:type="spellEnd"/>
      <w:r w:rsidRPr="00C22DB6">
        <w:rPr>
          <w:szCs w:val="24"/>
          <w:lang w:val="da-DK"/>
        </w:rPr>
        <w:t>.</w:t>
      </w:r>
    </w:p>
    <w:p w14:paraId="49E3BCD4" w14:textId="77777777" w:rsidR="00523AF2" w:rsidRPr="00C22DB6" w:rsidRDefault="00523AF2" w:rsidP="000A0C0E">
      <w:pPr>
        <w:pStyle w:val="Para0s"/>
        <w:spacing w:after="0"/>
        <w:ind w:left="851"/>
        <w:rPr>
          <w:szCs w:val="24"/>
          <w:lang w:val="da-DK"/>
        </w:rPr>
      </w:pPr>
    </w:p>
    <w:p w14:paraId="40CFFF46" w14:textId="77777777" w:rsidR="00523AF2" w:rsidRPr="00C22DB6" w:rsidRDefault="00523AF2" w:rsidP="000A0C0E">
      <w:pPr>
        <w:pStyle w:val="Para0s"/>
        <w:spacing w:after="0"/>
        <w:ind w:left="851"/>
        <w:rPr>
          <w:szCs w:val="24"/>
          <w:lang w:val="da-DK"/>
        </w:rPr>
      </w:pPr>
      <w:r w:rsidRPr="00C22DB6">
        <w:rPr>
          <w:szCs w:val="24"/>
          <w:lang w:val="da-DK"/>
        </w:rPr>
        <w:t xml:space="preserve">Hvis en af de nedenstående tilstande/risikofaktorer er til stede eller bliver forværret, skal der foretages en individuel analyse af fordele og ulemper, før behandlingen med </w:t>
      </w:r>
      <w:proofErr w:type="spellStart"/>
      <w:r w:rsidRPr="00C22DB6">
        <w:rPr>
          <w:szCs w:val="24"/>
          <w:lang w:val="da-DK"/>
        </w:rPr>
        <w:t>Dienosis</w:t>
      </w:r>
      <w:proofErr w:type="spellEnd"/>
      <w:r w:rsidRPr="00C22DB6">
        <w:rPr>
          <w:szCs w:val="24"/>
          <w:lang w:val="da-DK"/>
        </w:rPr>
        <w:t xml:space="preserve"> påbegyndes eller fortsættes. </w:t>
      </w:r>
    </w:p>
    <w:p w14:paraId="0680F1F5" w14:textId="77777777" w:rsidR="00523AF2" w:rsidRPr="00C22DB6" w:rsidRDefault="00523AF2" w:rsidP="000A0C0E">
      <w:pPr>
        <w:pStyle w:val="Para0s"/>
        <w:spacing w:after="0"/>
        <w:ind w:left="851"/>
        <w:rPr>
          <w:szCs w:val="24"/>
          <w:lang w:val="da-DK"/>
        </w:rPr>
      </w:pPr>
    </w:p>
    <w:p w14:paraId="1BCEE919" w14:textId="77777777" w:rsidR="00523AF2" w:rsidRPr="0083342D" w:rsidRDefault="00523AF2" w:rsidP="0083342D">
      <w:pPr>
        <w:ind w:left="851"/>
        <w:rPr>
          <w:i/>
          <w:sz w:val="24"/>
          <w:szCs w:val="24"/>
          <w:u w:val="single"/>
        </w:rPr>
      </w:pPr>
      <w:r w:rsidRPr="0083342D">
        <w:rPr>
          <w:i/>
          <w:sz w:val="24"/>
          <w:szCs w:val="24"/>
          <w:u w:val="single"/>
        </w:rPr>
        <w:t xml:space="preserve">Alvorlig </w:t>
      </w:r>
      <w:proofErr w:type="spellStart"/>
      <w:r w:rsidRPr="0083342D">
        <w:rPr>
          <w:i/>
          <w:sz w:val="24"/>
          <w:szCs w:val="24"/>
          <w:u w:val="single"/>
        </w:rPr>
        <w:t>uterin</w:t>
      </w:r>
      <w:proofErr w:type="spellEnd"/>
      <w:r w:rsidRPr="0083342D">
        <w:rPr>
          <w:i/>
          <w:sz w:val="24"/>
          <w:szCs w:val="24"/>
          <w:u w:val="single"/>
        </w:rPr>
        <w:t xml:space="preserve"> blødning</w:t>
      </w:r>
    </w:p>
    <w:p w14:paraId="6BD1142F" w14:textId="77777777" w:rsidR="00523AF2" w:rsidRPr="0083342D" w:rsidRDefault="00523AF2" w:rsidP="0083342D">
      <w:pPr>
        <w:ind w:left="851"/>
        <w:rPr>
          <w:sz w:val="24"/>
          <w:szCs w:val="24"/>
        </w:rPr>
      </w:pPr>
      <w:proofErr w:type="spellStart"/>
      <w:r w:rsidRPr="0083342D">
        <w:rPr>
          <w:sz w:val="24"/>
          <w:szCs w:val="24"/>
        </w:rPr>
        <w:t>Uterin</w:t>
      </w:r>
      <w:proofErr w:type="spellEnd"/>
      <w:r w:rsidRPr="0083342D">
        <w:rPr>
          <w:sz w:val="24"/>
          <w:szCs w:val="24"/>
        </w:rPr>
        <w:t xml:space="preserve"> blødning hos kvinder med f.eks. </w:t>
      </w:r>
      <w:proofErr w:type="spellStart"/>
      <w:r w:rsidRPr="0083342D">
        <w:rPr>
          <w:sz w:val="24"/>
          <w:szCs w:val="24"/>
        </w:rPr>
        <w:t>adenomyosis</w:t>
      </w:r>
      <w:proofErr w:type="spellEnd"/>
      <w:r w:rsidRPr="0083342D">
        <w:rPr>
          <w:sz w:val="24"/>
          <w:szCs w:val="24"/>
        </w:rPr>
        <w:t xml:space="preserve"> </w:t>
      </w:r>
      <w:proofErr w:type="spellStart"/>
      <w:r w:rsidRPr="0083342D">
        <w:rPr>
          <w:sz w:val="24"/>
          <w:szCs w:val="24"/>
        </w:rPr>
        <w:t>uteri</w:t>
      </w:r>
      <w:proofErr w:type="spellEnd"/>
      <w:r w:rsidRPr="0083342D">
        <w:rPr>
          <w:sz w:val="24"/>
          <w:szCs w:val="24"/>
        </w:rPr>
        <w:t xml:space="preserve"> eller </w:t>
      </w:r>
      <w:proofErr w:type="spellStart"/>
      <w:r w:rsidRPr="0083342D">
        <w:rPr>
          <w:sz w:val="24"/>
          <w:szCs w:val="24"/>
        </w:rPr>
        <w:t>uterint</w:t>
      </w:r>
      <w:proofErr w:type="spellEnd"/>
      <w:r w:rsidRPr="0083342D">
        <w:rPr>
          <w:sz w:val="24"/>
          <w:szCs w:val="24"/>
        </w:rPr>
        <w:t xml:space="preserve"> </w:t>
      </w:r>
      <w:proofErr w:type="spellStart"/>
      <w:r w:rsidRPr="0083342D">
        <w:rPr>
          <w:sz w:val="24"/>
          <w:szCs w:val="24"/>
        </w:rPr>
        <w:t>leiomyom</w:t>
      </w:r>
      <w:proofErr w:type="spellEnd"/>
      <w:r w:rsidRPr="0083342D">
        <w:rPr>
          <w:sz w:val="24"/>
          <w:szCs w:val="24"/>
        </w:rPr>
        <w:t xml:space="preserve"> kan blive forværret ved anvendelsen af </w:t>
      </w:r>
      <w:proofErr w:type="spellStart"/>
      <w:r w:rsidRPr="0083342D">
        <w:rPr>
          <w:sz w:val="24"/>
          <w:szCs w:val="24"/>
        </w:rPr>
        <w:t>Dienosis</w:t>
      </w:r>
      <w:proofErr w:type="spellEnd"/>
      <w:r w:rsidRPr="0083342D">
        <w:rPr>
          <w:sz w:val="24"/>
          <w:szCs w:val="24"/>
        </w:rPr>
        <w:t xml:space="preserve">. Hvis blødningen er stærk og fortsætter over tid, kan det medføre anæmi (alvorlig i nogle tilfælde). Ved anæmi skal </w:t>
      </w:r>
      <w:proofErr w:type="spellStart"/>
      <w:r w:rsidRPr="0083342D">
        <w:rPr>
          <w:sz w:val="24"/>
          <w:szCs w:val="24"/>
        </w:rPr>
        <w:t>seponering</w:t>
      </w:r>
      <w:proofErr w:type="spellEnd"/>
      <w:r w:rsidRPr="0083342D">
        <w:rPr>
          <w:sz w:val="24"/>
          <w:szCs w:val="24"/>
        </w:rPr>
        <w:t xml:space="preserve"> af </w:t>
      </w:r>
      <w:proofErr w:type="spellStart"/>
      <w:r w:rsidRPr="0083342D">
        <w:rPr>
          <w:sz w:val="24"/>
          <w:szCs w:val="24"/>
        </w:rPr>
        <w:t>Dienosis</w:t>
      </w:r>
      <w:proofErr w:type="spellEnd"/>
      <w:r w:rsidRPr="0083342D">
        <w:rPr>
          <w:sz w:val="24"/>
          <w:szCs w:val="24"/>
        </w:rPr>
        <w:t xml:space="preserve"> overvejes. </w:t>
      </w:r>
    </w:p>
    <w:p w14:paraId="4F004071" w14:textId="77777777" w:rsidR="00523AF2" w:rsidRPr="0083342D" w:rsidRDefault="00523AF2" w:rsidP="0083342D">
      <w:pPr>
        <w:ind w:left="851"/>
        <w:rPr>
          <w:smallCaps/>
          <w:sz w:val="24"/>
          <w:szCs w:val="24"/>
        </w:rPr>
      </w:pPr>
    </w:p>
    <w:p w14:paraId="57B50225" w14:textId="77777777" w:rsidR="00523AF2" w:rsidRPr="0083342D" w:rsidRDefault="00523AF2" w:rsidP="0083342D">
      <w:pPr>
        <w:ind w:left="851"/>
        <w:rPr>
          <w:i/>
          <w:sz w:val="24"/>
          <w:szCs w:val="24"/>
          <w:u w:val="single"/>
        </w:rPr>
      </w:pPr>
      <w:r w:rsidRPr="0083342D">
        <w:rPr>
          <w:i/>
          <w:sz w:val="24"/>
          <w:szCs w:val="24"/>
          <w:u w:val="single"/>
        </w:rPr>
        <w:t>Ændringer i blødningsmønstret</w:t>
      </w:r>
    </w:p>
    <w:p w14:paraId="56203023" w14:textId="77777777" w:rsidR="00523AF2" w:rsidRPr="0083342D" w:rsidRDefault="00523AF2" w:rsidP="0083342D">
      <w:pPr>
        <w:ind w:left="851"/>
        <w:rPr>
          <w:smallCaps/>
          <w:sz w:val="24"/>
          <w:szCs w:val="24"/>
        </w:rPr>
      </w:pPr>
      <w:r w:rsidRPr="0083342D">
        <w:rPr>
          <w:sz w:val="24"/>
          <w:szCs w:val="24"/>
        </w:rPr>
        <w:t xml:space="preserve">Hovedparten af de patienter, der er blevet behandlet med </w:t>
      </w:r>
      <w:proofErr w:type="spellStart"/>
      <w:r w:rsidRPr="0083342D">
        <w:rPr>
          <w:sz w:val="24"/>
          <w:szCs w:val="24"/>
        </w:rPr>
        <w:t>Dienosis</w:t>
      </w:r>
      <w:proofErr w:type="spellEnd"/>
      <w:r w:rsidRPr="0083342D">
        <w:rPr>
          <w:sz w:val="24"/>
          <w:szCs w:val="24"/>
        </w:rPr>
        <w:t>, oplevede ændringer i deres blødningsmønster (se pkt. 4.8).</w:t>
      </w:r>
    </w:p>
    <w:p w14:paraId="2BE3A1BB" w14:textId="77777777" w:rsidR="00523AF2" w:rsidRPr="0083342D" w:rsidRDefault="00523AF2" w:rsidP="0083342D">
      <w:pPr>
        <w:ind w:left="851"/>
        <w:rPr>
          <w:sz w:val="24"/>
          <w:szCs w:val="24"/>
        </w:rPr>
      </w:pPr>
    </w:p>
    <w:p w14:paraId="56C055CE" w14:textId="77777777" w:rsidR="00523AF2" w:rsidRPr="0083342D" w:rsidRDefault="00523AF2" w:rsidP="0083342D">
      <w:pPr>
        <w:ind w:left="851"/>
        <w:rPr>
          <w:i/>
          <w:sz w:val="24"/>
          <w:szCs w:val="24"/>
          <w:u w:val="single"/>
        </w:rPr>
      </w:pPr>
      <w:r w:rsidRPr="0083342D">
        <w:rPr>
          <w:i/>
          <w:sz w:val="24"/>
          <w:szCs w:val="24"/>
          <w:u w:val="single"/>
        </w:rPr>
        <w:t>Kredsløbssygdomme</w:t>
      </w:r>
    </w:p>
    <w:p w14:paraId="2BA895A1" w14:textId="77777777" w:rsidR="00523AF2" w:rsidRPr="0083342D" w:rsidRDefault="00523AF2" w:rsidP="0083342D">
      <w:pPr>
        <w:ind w:left="851"/>
        <w:rPr>
          <w:sz w:val="24"/>
          <w:szCs w:val="24"/>
        </w:rPr>
      </w:pPr>
      <w:r w:rsidRPr="0083342D">
        <w:rPr>
          <w:sz w:val="24"/>
          <w:szCs w:val="24"/>
        </w:rPr>
        <w:t xml:space="preserve">Epidemiologiske studier giver kun ringe evidens for en forbindelse mellem rene gestagenpræparater og en øget risiko for myokardieinfarkt eller cerebral </w:t>
      </w:r>
      <w:proofErr w:type="spellStart"/>
      <w:r w:rsidRPr="0083342D">
        <w:rPr>
          <w:sz w:val="24"/>
          <w:szCs w:val="24"/>
        </w:rPr>
        <w:t>tromboemboli</w:t>
      </w:r>
      <w:proofErr w:type="spellEnd"/>
      <w:r w:rsidRPr="0083342D">
        <w:rPr>
          <w:sz w:val="24"/>
          <w:szCs w:val="24"/>
        </w:rPr>
        <w:t xml:space="preserve">. Risikoen for </w:t>
      </w:r>
      <w:proofErr w:type="spellStart"/>
      <w:r w:rsidRPr="0083342D">
        <w:rPr>
          <w:sz w:val="24"/>
          <w:szCs w:val="24"/>
        </w:rPr>
        <w:t>kardiovaskulære</w:t>
      </w:r>
      <w:proofErr w:type="spellEnd"/>
      <w:r w:rsidRPr="0083342D">
        <w:rPr>
          <w:sz w:val="24"/>
          <w:szCs w:val="24"/>
        </w:rPr>
        <w:t xml:space="preserve"> og cerebrale hændelser er snarere relateret til stigende alder, hypertension og rygning. Risikoen for at få et slagtilfælde er måske lidt større hos kvinder med hypertension, der bruger rene gestagenpræparater. </w:t>
      </w:r>
    </w:p>
    <w:p w14:paraId="7D811A80" w14:textId="77777777" w:rsidR="00523AF2" w:rsidRPr="00C22DB6" w:rsidRDefault="00523AF2" w:rsidP="000A0C0E">
      <w:pPr>
        <w:pStyle w:val="Para0s"/>
        <w:spacing w:after="0"/>
        <w:ind w:left="851"/>
        <w:rPr>
          <w:szCs w:val="24"/>
          <w:lang w:val="da-DK"/>
        </w:rPr>
      </w:pPr>
    </w:p>
    <w:p w14:paraId="5CE2989C" w14:textId="77777777" w:rsidR="00523AF2" w:rsidRPr="00C22DB6" w:rsidRDefault="00523AF2" w:rsidP="000A0C0E">
      <w:pPr>
        <w:pStyle w:val="Para0s"/>
        <w:spacing w:after="0"/>
        <w:ind w:left="851"/>
        <w:rPr>
          <w:szCs w:val="24"/>
          <w:lang w:val="da-DK"/>
        </w:rPr>
      </w:pPr>
      <w:r w:rsidRPr="00C22DB6">
        <w:rPr>
          <w:szCs w:val="24"/>
          <w:lang w:val="da-DK"/>
        </w:rPr>
        <w:t xml:space="preserve">Nogle studier tyder på, at brugen af rene gestagenpræparater er forbundet med en let øget risiko for venøs </w:t>
      </w:r>
      <w:proofErr w:type="spellStart"/>
      <w:r w:rsidRPr="00C22DB6">
        <w:rPr>
          <w:szCs w:val="24"/>
          <w:lang w:val="da-DK"/>
        </w:rPr>
        <w:t>tromboemboli</w:t>
      </w:r>
      <w:proofErr w:type="spellEnd"/>
      <w:r w:rsidRPr="00C22DB6">
        <w:rPr>
          <w:szCs w:val="24"/>
          <w:lang w:val="da-DK"/>
        </w:rPr>
        <w:t xml:space="preserve"> (dyb venetrombose, </w:t>
      </w:r>
      <w:proofErr w:type="spellStart"/>
      <w:r w:rsidRPr="00C22DB6">
        <w:rPr>
          <w:szCs w:val="24"/>
          <w:lang w:val="da-DK"/>
        </w:rPr>
        <w:t>lungeemboli</w:t>
      </w:r>
      <w:proofErr w:type="spellEnd"/>
      <w:r w:rsidRPr="00C22DB6">
        <w:rPr>
          <w:szCs w:val="24"/>
          <w:lang w:val="da-DK"/>
        </w:rPr>
        <w:t xml:space="preserve">), men resultaterne er ikke statistisk signifikante. De almindeligt anerkendte risikofaktorer for venøs </w:t>
      </w:r>
      <w:proofErr w:type="spellStart"/>
      <w:r w:rsidRPr="00C22DB6">
        <w:rPr>
          <w:szCs w:val="24"/>
          <w:lang w:val="da-DK"/>
        </w:rPr>
        <w:t>tromboemboli</w:t>
      </w:r>
      <w:proofErr w:type="spellEnd"/>
      <w:r w:rsidRPr="00C22DB6">
        <w:rPr>
          <w:szCs w:val="24"/>
          <w:lang w:val="da-DK"/>
        </w:rPr>
        <w:t xml:space="preserve"> (VTE) omfatter en personlig eller familiær anamnese (VTE hos en søster/bror eller en forælder i en relativt tidlig alder), alder, fedme, langvarig immobilisering, større kirurgi eller større traumer. Ved længere tids immobilisering bør behandlingen med </w:t>
      </w:r>
      <w:proofErr w:type="spellStart"/>
      <w:r w:rsidRPr="00C22DB6">
        <w:rPr>
          <w:szCs w:val="24"/>
          <w:lang w:val="da-DK"/>
        </w:rPr>
        <w:t>Dienosis</w:t>
      </w:r>
      <w:proofErr w:type="spellEnd"/>
      <w:r w:rsidRPr="00C22DB6">
        <w:rPr>
          <w:szCs w:val="24"/>
          <w:lang w:val="da-DK"/>
        </w:rPr>
        <w:t xml:space="preserve"> seponeres (i tilfælde af </w:t>
      </w:r>
      <w:proofErr w:type="spellStart"/>
      <w:r w:rsidRPr="00C22DB6">
        <w:rPr>
          <w:szCs w:val="24"/>
          <w:lang w:val="da-DK"/>
        </w:rPr>
        <w:t>elektiv</w:t>
      </w:r>
      <w:proofErr w:type="spellEnd"/>
      <w:r w:rsidRPr="00C22DB6">
        <w:rPr>
          <w:szCs w:val="24"/>
          <w:lang w:val="da-DK"/>
        </w:rPr>
        <w:t xml:space="preserve"> kirurgi mindst 4 uger før) og ikke genoptages før to uger efter fuldstændig rehabilitering.</w:t>
      </w:r>
    </w:p>
    <w:p w14:paraId="7C05791A" w14:textId="77777777" w:rsidR="00523AF2" w:rsidRPr="00C22DB6" w:rsidRDefault="00523AF2" w:rsidP="000A0C0E">
      <w:pPr>
        <w:pStyle w:val="Para0s"/>
        <w:spacing w:after="0"/>
        <w:ind w:left="851"/>
        <w:rPr>
          <w:szCs w:val="24"/>
          <w:lang w:val="da-DK"/>
        </w:rPr>
      </w:pPr>
    </w:p>
    <w:p w14:paraId="7903D1E1" w14:textId="77777777" w:rsidR="00523AF2" w:rsidRPr="00C22DB6" w:rsidRDefault="00523AF2" w:rsidP="000A0C0E">
      <w:pPr>
        <w:pStyle w:val="Para0s"/>
        <w:spacing w:after="0"/>
        <w:ind w:left="851"/>
        <w:rPr>
          <w:szCs w:val="24"/>
          <w:lang w:val="da-DK"/>
        </w:rPr>
      </w:pPr>
      <w:r w:rsidRPr="00C22DB6">
        <w:rPr>
          <w:szCs w:val="24"/>
          <w:lang w:val="da-DK"/>
        </w:rPr>
        <w:t xml:space="preserve">Den øgede risiko for </w:t>
      </w:r>
      <w:proofErr w:type="spellStart"/>
      <w:r w:rsidRPr="00C22DB6">
        <w:rPr>
          <w:szCs w:val="24"/>
          <w:lang w:val="da-DK"/>
        </w:rPr>
        <w:t>tromboemboli</w:t>
      </w:r>
      <w:proofErr w:type="spellEnd"/>
      <w:r w:rsidRPr="00C22DB6">
        <w:rPr>
          <w:szCs w:val="24"/>
          <w:lang w:val="da-DK"/>
        </w:rPr>
        <w:t xml:space="preserve"> i </w:t>
      </w:r>
      <w:proofErr w:type="spellStart"/>
      <w:r w:rsidRPr="00C22DB6">
        <w:rPr>
          <w:szCs w:val="24"/>
          <w:lang w:val="da-DK"/>
        </w:rPr>
        <w:t>puerperium</w:t>
      </w:r>
      <w:proofErr w:type="spellEnd"/>
      <w:r w:rsidRPr="00C22DB6">
        <w:rPr>
          <w:szCs w:val="24"/>
          <w:lang w:val="da-DK"/>
        </w:rPr>
        <w:t xml:space="preserve"> skal tages i betragtning.</w:t>
      </w:r>
    </w:p>
    <w:p w14:paraId="22979342" w14:textId="77777777" w:rsidR="00523AF2" w:rsidRPr="00C22DB6" w:rsidRDefault="00523AF2" w:rsidP="000A0C0E">
      <w:pPr>
        <w:pStyle w:val="Para0s"/>
        <w:spacing w:after="0"/>
        <w:ind w:left="851"/>
        <w:rPr>
          <w:szCs w:val="24"/>
          <w:lang w:val="da-DK"/>
        </w:rPr>
      </w:pPr>
    </w:p>
    <w:p w14:paraId="2BF921D2" w14:textId="77777777" w:rsidR="00523AF2" w:rsidRPr="00C22DB6" w:rsidRDefault="00523AF2" w:rsidP="000A0C0E">
      <w:pPr>
        <w:pStyle w:val="Para0s"/>
        <w:spacing w:after="0"/>
        <w:ind w:left="851"/>
        <w:rPr>
          <w:szCs w:val="24"/>
          <w:lang w:val="da-DK"/>
        </w:rPr>
      </w:pPr>
      <w:r w:rsidRPr="00C22DB6">
        <w:rPr>
          <w:szCs w:val="24"/>
          <w:lang w:val="da-DK"/>
        </w:rPr>
        <w:t>Hvis der er symptomer på eller mistanke om arteriel eller venøs trombose, skal behandlingen stoppes øjeblikkeligt.</w:t>
      </w:r>
    </w:p>
    <w:p w14:paraId="0F933CC6" w14:textId="77777777" w:rsidR="00523AF2" w:rsidRPr="00C22DB6" w:rsidRDefault="00523AF2" w:rsidP="000A0C0E">
      <w:pPr>
        <w:pStyle w:val="Para0s"/>
        <w:spacing w:after="0"/>
        <w:ind w:left="851"/>
        <w:rPr>
          <w:szCs w:val="24"/>
          <w:lang w:val="da-DK"/>
        </w:rPr>
      </w:pPr>
    </w:p>
    <w:p w14:paraId="1E8F3659" w14:textId="77777777" w:rsidR="00523AF2" w:rsidRPr="0083342D" w:rsidRDefault="00523AF2" w:rsidP="000A0C0E">
      <w:pPr>
        <w:ind w:left="851"/>
        <w:rPr>
          <w:i/>
          <w:sz w:val="24"/>
          <w:szCs w:val="24"/>
          <w:u w:val="single"/>
        </w:rPr>
      </w:pPr>
      <w:r w:rsidRPr="0083342D">
        <w:rPr>
          <w:i/>
          <w:sz w:val="24"/>
          <w:szCs w:val="24"/>
          <w:u w:val="single"/>
        </w:rPr>
        <w:t>Tumorer</w:t>
      </w:r>
    </w:p>
    <w:p w14:paraId="7724B392" w14:textId="674AC33F" w:rsidR="00523AF2" w:rsidRPr="000A0C0E" w:rsidRDefault="00523AF2" w:rsidP="000A0C0E">
      <w:pPr>
        <w:ind w:left="851"/>
        <w:rPr>
          <w:sz w:val="24"/>
          <w:szCs w:val="24"/>
        </w:rPr>
      </w:pPr>
      <w:r w:rsidRPr="000A0C0E">
        <w:rPr>
          <w:sz w:val="24"/>
          <w:szCs w:val="24"/>
        </w:rPr>
        <w:t xml:space="preserve">En metaanalyse af 54 epidemiologiske studier har vist, at der er en let øget relativ risiko (RR = 1,24) for diagnosticering af brystkræft hos kvinder, som bruger orale </w:t>
      </w:r>
      <w:proofErr w:type="spellStart"/>
      <w:r w:rsidRPr="000A0C0E">
        <w:rPr>
          <w:sz w:val="24"/>
          <w:szCs w:val="24"/>
        </w:rPr>
        <w:t>kontraceptiva</w:t>
      </w:r>
      <w:proofErr w:type="spellEnd"/>
      <w:r w:rsidRPr="000A0C0E">
        <w:rPr>
          <w:sz w:val="24"/>
          <w:szCs w:val="24"/>
        </w:rPr>
        <w:t xml:space="preserve">, især østrogen/gestagen-præparater. Den øgede risiko aftager gradvist i de følgende 10 år efter ophør med anvendelsen af orale </w:t>
      </w:r>
      <w:proofErr w:type="spellStart"/>
      <w:r w:rsidRPr="000A0C0E">
        <w:rPr>
          <w:sz w:val="24"/>
          <w:szCs w:val="24"/>
        </w:rPr>
        <w:t>kontraceptiva</w:t>
      </w:r>
      <w:proofErr w:type="spellEnd"/>
      <w:r w:rsidRPr="000A0C0E">
        <w:rPr>
          <w:sz w:val="24"/>
          <w:szCs w:val="24"/>
        </w:rPr>
        <w:t xml:space="preserve"> af kombinationstypen. Da brystkræft er sjælden hos kvinder under 40 år, er antallet af ekstra brystkræftdiagnoser hos nuværende og tidligere brugere af orale </w:t>
      </w:r>
      <w:proofErr w:type="spellStart"/>
      <w:r w:rsidRPr="000A0C0E">
        <w:rPr>
          <w:sz w:val="24"/>
          <w:szCs w:val="24"/>
        </w:rPr>
        <w:t>kontraceptiva</w:t>
      </w:r>
      <w:proofErr w:type="spellEnd"/>
      <w:r w:rsidRPr="000A0C0E">
        <w:rPr>
          <w:sz w:val="24"/>
          <w:szCs w:val="24"/>
        </w:rPr>
        <w:t xml:space="preserve"> af kombinationstypen lille i forhold til den samlede risiko for at få brystkræft. Risikoen for at få diagnosen brystkræft hos brugere af rene gestagenpræparater er muligvis af samme størrelsesorden som risikoen hos brugere af orale </w:t>
      </w:r>
      <w:proofErr w:type="spellStart"/>
      <w:r w:rsidRPr="000A0C0E">
        <w:rPr>
          <w:sz w:val="24"/>
          <w:szCs w:val="24"/>
        </w:rPr>
        <w:t>kontraceptiva</w:t>
      </w:r>
      <w:proofErr w:type="spellEnd"/>
      <w:r w:rsidRPr="000A0C0E">
        <w:rPr>
          <w:sz w:val="24"/>
          <w:szCs w:val="24"/>
        </w:rPr>
        <w:t xml:space="preserve"> af kombinationstypen. Evidensen hos brugere af rene gestagen</w:t>
      </w:r>
      <w:r w:rsidR="00A4482E">
        <w:rPr>
          <w:sz w:val="24"/>
          <w:szCs w:val="24"/>
        </w:rPr>
        <w:softHyphen/>
      </w:r>
      <w:r w:rsidRPr="000A0C0E">
        <w:rPr>
          <w:sz w:val="24"/>
          <w:szCs w:val="24"/>
        </w:rPr>
        <w:t xml:space="preserve">præparater baserer sig imidlertid på en meget mindre population og er derfor mindre </w:t>
      </w:r>
      <w:proofErr w:type="spellStart"/>
      <w:r w:rsidRPr="000A0C0E">
        <w:rPr>
          <w:sz w:val="24"/>
          <w:szCs w:val="24"/>
        </w:rPr>
        <w:t>konklusiv</w:t>
      </w:r>
      <w:proofErr w:type="spellEnd"/>
      <w:r w:rsidRPr="000A0C0E">
        <w:rPr>
          <w:sz w:val="24"/>
          <w:szCs w:val="24"/>
        </w:rPr>
        <w:t xml:space="preserve"> end for brugere af orale </w:t>
      </w:r>
      <w:proofErr w:type="spellStart"/>
      <w:r w:rsidRPr="000A0C0E">
        <w:rPr>
          <w:sz w:val="24"/>
          <w:szCs w:val="24"/>
        </w:rPr>
        <w:t>kontraceptiva</w:t>
      </w:r>
      <w:proofErr w:type="spellEnd"/>
      <w:r w:rsidRPr="000A0C0E">
        <w:rPr>
          <w:sz w:val="24"/>
          <w:szCs w:val="24"/>
        </w:rPr>
        <w:t xml:space="preserve"> af kombinationstypen. Disse studier giver ikke evidens for årsagssammenhæng. Det observerede mønster for en øget risiko kan skyldes en tidligere diagnosticering af brystkræft hos brugere af orale </w:t>
      </w:r>
      <w:proofErr w:type="spellStart"/>
      <w:r w:rsidRPr="000A0C0E">
        <w:rPr>
          <w:sz w:val="24"/>
          <w:szCs w:val="24"/>
        </w:rPr>
        <w:t>kontraceptiva</w:t>
      </w:r>
      <w:proofErr w:type="spellEnd"/>
      <w:r w:rsidRPr="000A0C0E">
        <w:rPr>
          <w:sz w:val="24"/>
          <w:szCs w:val="24"/>
        </w:rPr>
        <w:t xml:space="preserve">, den biologiske effekt af orale </w:t>
      </w:r>
      <w:proofErr w:type="spellStart"/>
      <w:r w:rsidRPr="000A0C0E">
        <w:rPr>
          <w:sz w:val="24"/>
          <w:szCs w:val="24"/>
        </w:rPr>
        <w:t>kontraceptiva</w:t>
      </w:r>
      <w:proofErr w:type="spellEnd"/>
      <w:r w:rsidRPr="000A0C0E">
        <w:rPr>
          <w:sz w:val="24"/>
          <w:szCs w:val="24"/>
        </w:rPr>
        <w:t xml:space="preserve"> eller en kombination af begge dele. Brystkræft, som er diagnosticeret hos brugere af orale </w:t>
      </w:r>
      <w:proofErr w:type="spellStart"/>
      <w:r w:rsidRPr="000A0C0E">
        <w:rPr>
          <w:sz w:val="24"/>
          <w:szCs w:val="24"/>
        </w:rPr>
        <w:t>kontraceptiva</w:t>
      </w:r>
      <w:proofErr w:type="spellEnd"/>
      <w:r w:rsidRPr="000A0C0E">
        <w:rPr>
          <w:sz w:val="24"/>
          <w:szCs w:val="24"/>
        </w:rPr>
        <w:t xml:space="preserve">, synes at være klinisk mindre fremskreden end brystkræft hos kvinder, som aldrig har brugt orale </w:t>
      </w:r>
      <w:proofErr w:type="spellStart"/>
      <w:r w:rsidRPr="000A0C0E">
        <w:rPr>
          <w:sz w:val="24"/>
          <w:szCs w:val="24"/>
        </w:rPr>
        <w:t>kontraceptiva</w:t>
      </w:r>
      <w:proofErr w:type="spellEnd"/>
      <w:r w:rsidRPr="000A0C0E">
        <w:rPr>
          <w:sz w:val="24"/>
          <w:szCs w:val="24"/>
        </w:rPr>
        <w:t>.</w:t>
      </w:r>
    </w:p>
    <w:p w14:paraId="5609CD91" w14:textId="77777777" w:rsidR="00523AF2" w:rsidRPr="000A0C0E" w:rsidRDefault="00523AF2" w:rsidP="000A0C0E">
      <w:pPr>
        <w:ind w:left="851"/>
        <w:rPr>
          <w:sz w:val="24"/>
          <w:szCs w:val="24"/>
        </w:rPr>
      </w:pPr>
    </w:p>
    <w:p w14:paraId="5120124F" w14:textId="77777777" w:rsidR="00523AF2" w:rsidRPr="000A0C0E" w:rsidRDefault="00523AF2" w:rsidP="000A0C0E">
      <w:pPr>
        <w:ind w:left="851"/>
        <w:rPr>
          <w:sz w:val="24"/>
          <w:szCs w:val="24"/>
        </w:rPr>
      </w:pPr>
      <w:r w:rsidRPr="000A0C0E">
        <w:rPr>
          <w:sz w:val="24"/>
          <w:szCs w:val="24"/>
        </w:rPr>
        <w:t xml:space="preserve">I sjældne tilfælde er der set benigne og endnu sjældnere maligne levertumorer hos brugere af hormonelle stoffer, som f.eks. det </w:t>
      </w:r>
      <w:proofErr w:type="spellStart"/>
      <w:r w:rsidRPr="000A0C0E">
        <w:rPr>
          <w:sz w:val="24"/>
          <w:szCs w:val="24"/>
        </w:rPr>
        <w:t>Dienosis</w:t>
      </w:r>
      <w:proofErr w:type="spellEnd"/>
      <w:r w:rsidRPr="000A0C0E">
        <w:rPr>
          <w:sz w:val="24"/>
          <w:szCs w:val="24"/>
        </w:rPr>
        <w:t xml:space="preserve"> indeholder. I enkeltstående tilfælde har disse tumorer medført livstruende, </w:t>
      </w:r>
      <w:proofErr w:type="spellStart"/>
      <w:r w:rsidRPr="000A0C0E">
        <w:rPr>
          <w:sz w:val="24"/>
          <w:szCs w:val="24"/>
        </w:rPr>
        <w:t>intraabdominale</w:t>
      </w:r>
      <w:proofErr w:type="spellEnd"/>
      <w:r w:rsidRPr="000A0C0E">
        <w:rPr>
          <w:sz w:val="24"/>
          <w:szCs w:val="24"/>
        </w:rPr>
        <w:t xml:space="preserve"> blødninger. Levertumor bør overvejes i differentialdiagnosen, hvis der opstår svære, øvre </w:t>
      </w:r>
      <w:proofErr w:type="spellStart"/>
      <w:r w:rsidRPr="000A0C0E">
        <w:rPr>
          <w:sz w:val="24"/>
          <w:szCs w:val="24"/>
        </w:rPr>
        <w:t>abdominale</w:t>
      </w:r>
      <w:proofErr w:type="spellEnd"/>
      <w:r w:rsidRPr="000A0C0E">
        <w:rPr>
          <w:sz w:val="24"/>
          <w:szCs w:val="24"/>
        </w:rPr>
        <w:t xml:space="preserve"> smerter, forstørrelse af leveren eller tegn på </w:t>
      </w:r>
      <w:proofErr w:type="spellStart"/>
      <w:r w:rsidRPr="000A0C0E">
        <w:rPr>
          <w:sz w:val="24"/>
          <w:szCs w:val="24"/>
        </w:rPr>
        <w:t>intraabdominal</w:t>
      </w:r>
      <w:proofErr w:type="spellEnd"/>
      <w:r w:rsidRPr="000A0C0E">
        <w:rPr>
          <w:sz w:val="24"/>
          <w:szCs w:val="24"/>
        </w:rPr>
        <w:t xml:space="preserve"> blødning hos kvinder, som tager </w:t>
      </w:r>
      <w:proofErr w:type="spellStart"/>
      <w:r w:rsidRPr="000A0C0E">
        <w:rPr>
          <w:sz w:val="24"/>
          <w:szCs w:val="24"/>
        </w:rPr>
        <w:t>Dienosis</w:t>
      </w:r>
      <w:proofErr w:type="spellEnd"/>
      <w:r w:rsidRPr="000A0C0E">
        <w:rPr>
          <w:sz w:val="24"/>
          <w:szCs w:val="24"/>
        </w:rPr>
        <w:t>.</w:t>
      </w:r>
    </w:p>
    <w:p w14:paraId="566B4A59" w14:textId="77777777" w:rsidR="00523AF2" w:rsidRPr="000A0C0E" w:rsidRDefault="00523AF2" w:rsidP="000A0C0E">
      <w:pPr>
        <w:ind w:left="851"/>
        <w:rPr>
          <w:sz w:val="24"/>
          <w:szCs w:val="24"/>
        </w:rPr>
      </w:pPr>
    </w:p>
    <w:p w14:paraId="6D101684" w14:textId="77777777" w:rsidR="00523AF2" w:rsidRPr="0083342D" w:rsidRDefault="00523AF2" w:rsidP="000A0C0E">
      <w:pPr>
        <w:ind w:left="851"/>
        <w:rPr>
          <w:i/>
          <w:iCs/>
          <w:noProof/>
          <w:sz w:val="24"/>
          <w:szCs w:val="24"/>
          <w:u w:val="single"/>
        </w:rPr>
      </w:pPr>
      <w:r w:rsidRPr="0083342D">
        <w:rPr>
          <w:i/>
          <w:iCs/>
          <w:noProof/>
          <w:sz w:val="24"/>
          <w:szCs w:val="24"/>
          <w:u w:val="single"/>
        </w:rPr>
        <w:t>Osteoporose</w:t>
      </w:r>
    </w:p>
    <w:p w14:paraId="1D3CAC28" w14:textId="77777777" w:rsidR="00523AF2" w:rsidRPr="000A0C0E" w:rsidRDefault="00523AF2" w:rsidP="000A0C0E">
      <w:pPr>
        <w:ind w:left="851"/>
        <w:rPr>
          <w:iCs/>
          <w:noProof/>
          <w:sz w:val="24"/>
          <w:szCs w:val="24"/>
        </w:rPr>
      </w:pPr>
      <w:r w:rsidRPr="000A0C0E">
        <w:rPr>
          <w:iCs/>
          <w:noProof/>
          <w:sz w:val="24"/>
          <w:szCs w:val="24"/>
        </w:rPr>
        <w:t>Ændringer i knoglemineraltæthed (BMD)</w:t>
      </w:r>
    </w:p>
    <w:p w14:paraId="3BA54B14" w14:textId="77777777" w:rsidR="00523AF2" w:rsidRPr="000A0C0E" w:rsidRDefault="00523AF2" w:rsidP="000A0C0E">
      <w:pPr>
        <w:ind w:left="851"/>
        <w:rPr>
          <w:iCs/>
          <w:noProof/>
          <w:sz w:val="24"/>
          <w:szCs w:val="24"/>
        </w:rPr>
      </w:pPr>
    </w:p>
    <w:p w14:paraId="4F3E2238" w14:textId="29672BA4" w:rsidR="00523AF2" w:rsidRPr="000A0C0E" w:rsidRDefault="00523AF2" w:rsidP="000A0C0E">
      <w:pPr>
        <w:ind w:left="851"/>
        <w:rPr>
          <w:sz w:val="24"/>
          <w:szCs w:val="24"/>
        </w:rPr>
      </w:pPr>
      <w:r w:rsidRPr="000A0C0E">
        <w:rPr>
          <w:sz w:val="24"/>
          <w:szCs w:val="24"/>
        </w:rPr>
        <w:t xml:space="preserve">Anvendelse af </w:t>
      </w:r>
      <w:proofErr w:type="spellStart"/>
      <w:r w:rsidRPr="000A0C0E">
        <w:rPr>
          <w:sz w:val="24"/>
          <w:szCs w:val="24"/>
        </w:rPr>
        <w:t>Dienosis</w:t>
      </w:r>
      <w:proofErr w:type="spellEnd"/>
      <w:r w:rsidRPr="000A0C0E">
        <w:rPr>
          <w:sz w:val="24"/>
          <w:szCs w:val="24"/>
        </w:rPr>
        <w:t xml:space="preserve"> til unge (12 til &lt; 18 år) i en behandlingsperiode på 12 måneder medførte et fald i knoglemineraltætheden (BMD) i den lumbale </w:t>
      </w:r>
      <w:proofErr w:type="spellStart"/>
      <w:r w:rsidRPr="000A0C0E">
        <w:rPr>
          <w:sz w:val="24"/>
          <w:szCs w:val="24"/>
        </w:rPr>
        <w:t>columna</w:t>
      </w:r>
      <w:proofErr w:type="spellEnd"/>
      <w:r w:rsidRPr="000A0C0E">
        <w:rPr>
          <w:sz w:val="24"/>
          <w:szCs w:val="24"/>
        </w:rPr>
        <w:t xml:space="preserve"> (L2-L4). Den relative gennemsnitlige ændring i BMD fra baseline til behandlingsafslutning (EOT) var -1,2</w:t>
      </w:r>
      <w:r w:rsidR="00922729">
        <w:rPr>
          <w:sz w:val="24"/>
          <w:szCs w:val="24"/>
        </w:rPr>
        <w:t xml:space="preserve"> %</w:t>
      </w:r>
      <w:r w:rsidRPr="000A0C0E">
        <w:rPr>
          <w:sz w:val="24"/>
          <w:szCs w:val="24"/>
        </w:rPr>
        <w:t xml:space="preserve"> med et interval mellem -6</w:t>
      </w:r>
      <w:r w:rsidR="00922729">
        <w:rPr>
          <w:sz w:val="24"/>
          <w:szCs w:val="24"/>
        </w:rPr>
        <w:t xml:space="preserve"> %</w:t>
      </w:r>
      <w:r w:rsidRPr="000A0C0E">
        <w:rPr>
          <w:sz w:val="24"/>
          <w:szCs w:val="24"/>
        </w:rPr>
        <w:t xml:space="preserve"> og 5</w:t>
      </w:r>
      <w:r w:rsidR="00922729">
        <w:rPr>
          <w:sz w:val="24"/>
          <w:szCs w:val="24"/>
        </w:rPr>
        <w:t xml:space="preserve"> %</w:t>
      </w:r>
      <w:r w:rsidRPr="000A0C0E">
        <w:rPr>
          <w:sz w:val="24"/>
          <w:szCs w:val="24"/>
        </w:rPr>
        <w:t xml:space="preserve"> (IC 95</w:t>
      </w:r>
      <w:r w:rsidR="00922729">
        <w:rPr>
          <w:sz w:val="24"/>
          <w:szCs w:val="24"/>
        </w:rPr>
        <w:t xml:space="preserve"> %</w:t>
      </w:r>
      <w:r w:rsidRPr="000A0C0E">
        <w:rPr>
          <w:sz w:val="24"/>
          <w:szCs w:val="24"/>
        </w:rPr>
        <w:t>; -1,70</w:t>
      </w:r>
      <w:r w:rsidR="00922729">
        <w:rPr>
          <w:sz w:val="24"/>
          <w:szCs w:val="24"/>
        </w:rPr>
        <w:t xml:space="preserve"> %</w:t>
      </w:r>
      <w:r w:rsidRPr="000A0C0E">
        <w:rPr>
          <w:sz w:val="24"/>
          <w:szCs w:val="24"/>
        </w:rPr>
        <w:t xml:space="preserve"> og -0,78</w:t>
      </w:r>
      <w:r w:rsidR="00922729">
        <w:rPr>
          <w:sz w:val="24"/>
          <w:szCs w:val="24"/>
        </w:rPr>
        <w:t xml:space="preserve"> %</w:t>
      </w:r>
      <w:r w:rsidRPr="000A0C0E">
        <w:rPr>
          <w:sz w:val="24"/>
          <w:szCs w:val="24"/>
        </w:rPr>
        <w:t>, n=103). Gentagen måling 6 måneder efter EOT i en undergruppe med nedsatte BMD-værdier viste en tendens til restitution. (Relativ gennemsnitlig ændring fra baseline: -2,3</w:t>
      </w:r>
      <w:r w:rsidR="00922729">
        <w:rPr>
          <w:sz w:val="24"/>
          <w:szCs w:val="24"/>
        </w:rPr>
        <w:t xml:space="preserve"> %</w:t>
      </w:r>
      <w:r w:rsidRPr="000A0C0E">
        <w:rPr>
          <w:sz w:val="24"/>
          <w:szCs w:val="24"/>
        </w:rPr>
        <w:t xml:space="preserve"> ved EOT og -0,6</w:t>
      </w:r>
      <w:r w:rsidR="00922729">
        <w:rPr>
          <w:sz w:val="24"/>
          <w:szCs w:val="24"/>
        </w:rPr>
        <w:t xml:space="preserve"> %</w:t>
      </w:r>
      <w:r w:rsidRPr="000A0C0E">
        <w:rPr>
          <w:sz w:val="24"/>
          <w:szCs w:val="24"/>
        </w:rPr>
        <w:t xml:space="preserve"> 6 måneder efter EOT med et interval mellem -9</w:t>
      </w:r>
      <w:r w:rsidR="00922729">
        <w:rPr>
          <w:sz w:val="24"/>
          <w:szCs w:val="24"/>
        </w:rPr>
        <w:t xml:space="preserve"> %</w:t>
      </w:r>
      <w:r w:rsidRPr="000A0C0E">
        <w:rPr>
          <w:sz w:val="24"/>
          <w:szCs w:val="24"/>
        </w:rPr>
        <w:t xml:space="preserve"> og 6</w:t>
      </w:r>
      <w:r w:rsidR="00922729">
        <w:rPr>
          <w:sz w:val="24"/>
          <w:szCs w:val="24"/>
        </w:rPr>
        <w:t xml:space="preserve"> %</w:t>
      </w:r>
      <w:r w:rsidRPr="000A0C0E">
        <w:rPr>
          <w:sz w:val="24"/>
          <w:szCs w:val="24"/>
        </w:rPr>
        <w:t xml:space="preserve"> (IC 95</w:t>
      </w:r>
      <w:r w:rsidR="00922729">
        <w:rPr>
          <w:sz w:val="24"/>
          <w:szCs w:val="24"/>
        </w:rPr>
        <w:t xml:space="preserve"> %</w:t>
      </w:r>
      <w:r w:rsidRPr="000A0C0E">
        <w:rPr>
          <w:sz w:val="24"/>
          <w:szCs w:val="24"/>
        </w:rPr>
        <w:t>: -1,20</w:t>
      </w:r>
      <w:r w:rsidR="00922729">
        <w:rPr>
          <w:sz w:val="24"/>
          <w:szCs w:val="24"/>
        </w:rPr>
        <w:t xml:space="preserve"> %</w:t>
      </w:r>
      <w:r w:rsidRPr="000A0C0E">
        <w:rPr>
          <w:sz w:val="24"/>
          <w:szCs w:val="24"/>
        </w:rPr>
        <w:t xml:space="preserve"> og 0,06</w:t>
      </w:r>
      <w:r w:rsidR="00922729">
        <w:rPr>
          <w:sz w:val="24"/>
          <w:szCs w:val="24"/>
        </w:rPr>
        <w:t xml:space="preserve"> %</w:t>
      </w:r>
      <w:r w:rsidRPr="000A0C0E">
        <w:rPr>
          <w:sz w:val="24"/>
          <w:szCs w:val="24"/>
        </w:rPr>
        <w:t xml:space="preserve"> (n=60)).</w:t>
      </w:r>
    </w:p>
    <w:p w14:paraId="1DB3A406" w14:textId="77777777" w:rsidR="00523AF2" w:rsidRPr="000A0C0E" w:rsidRDefault="00523AF2" w:rsidP="000A0C0E">
      <w:pPr>
        <w:ind w:left="851"/>
        <w:rPr>
          <w:sz w:val="24"/>
          <w:szCs w:val="24"/>
        </w:rPr>
      </w:pPr>
    </w:p>
    <w:p w14:paraId="0FA84051" w14:textId="77777777" w:rsidR="00523AF2" w:rsidRPr="000A0C0E" w:rsidRDefault="00523AF2" w:rsidP="000A0C0E">
      <w:pPr>
        <w:ind w:left="851"/>
        <w:rPr>
          <w:sz w:val="24"/>
          <w:szCs w:val="24"/>
        </w:rPr>
      </w:pPr>
      <w:r w:rsidRPr="000A0C0E">
        <w:rPr>
          <w:sz w:val="24"/>
          <w:szCs w:val="24"/>
        </w:rPr>
        <w:t>Tab af BMD er især et problem i ungdommen og i den tidlige voksenalder, som er en kritisk periode for knogletilvækst. Det vides ikke, om nedsat BMD i denne population vil reducere den maksimale knoglemasse og øge risikoen for frakturer senere i livet (se pkt. 4.2 og 5.1).</w:t>
      </w:r>
    </w:p>
    <w:p w14:paraId="44B81780" w14:textId="77777777" w:rsidR="00523AF2" w:rsidRPr="000A0C0E" w:rsidRDefault="00523AF2" w:rsidP="000A0C0E">
      <w:pPr>
        <w:ind w:left="851"/>
        <w:rPr>
          <w:sz w:val="24"/>
          <w:szCs w:val="24"/>
        </w:rPr>
      </w:pPr>
    </w:p>
    <w:p w14:paraId="656A6C8E" w14:textId="77777777" w:rsidR="00523AF2" w:rsidRPr="000A0C0E" w:rsidRDefault="00523AF2" w:rsidP="000A0C0E">
      <w:pPr>
        <w:ind w:left="851"/>
        <w:rPr>
          <w:sz w:val="24"/>
          <w:szCs w:val="24"/>
        </w:rPr>
      </w:pPr>
      <w:r w:rsidRPr="000A0C0E">
        <w:rPr>
          <w:sz w:val="24"/>
          <w:szCs w:val="24"/>
        </w:rPr>
        <w:t xml:space="preserve">Hos patienter, der har en øget risiko for at få osteoporose, skal der foretages en omhyggelig vurdering af fordele og ulemper, før kvinden begynder at tage </w:t>
      </w:r>
      <w:proofErr w:type="spellStart"/>
      <w:r w:rsidRPr="000A0C0E">
        <w:rPr>
          <w:sz w:val="24"/>
          <w:szCs w:val="24"/>
        </w:rPr>
        <w:t>Dienosis</w:t>
      </w:r>
      <w:proofErr w:type="spellEnd"/>
      <w:r w:rsidRPr="000A0C0E">
        <w:rPr>
          <w:sz w:val="24"/>
          <w:szCs w:val="24"/>
        </w:rPr>
        <w:t xml:space="preserve">, da de endogene østrogenniveauer falder moderat under behandling med </w:t>
      </w:r>
      <w:proofErr w:type="spellStart"/>
      <w:r w:rsidRPr="000A0C0E">
        <w:rPr>
          <w:sz w:val="24"/>
          <w:szCs w:val="24"/>
        </w:rPr>
        <w:t>Dienosis</w:t>
      </w:r>
      <w:proofErr w:type="spellEnd"/>
      <w:r w:rsidRPr="000A0C0E">
        <w:rPr>
          <w:sz w:val="24"/>
          <w:szCs w:val="24"/>
        </w:rPr>
        <w:t xml:space="preserve"> (se pkt. 5.1).</w:t>
      </w:r>
    </w:p>
    <w:p w14:paraId="3ED3625F" w14:textId="77777777" w:rsidR="00523AF2" w:rsidRPr="000A0C0E" w:rsidRDefault="00523AF2" w:rsidP="000A0C0E">
      <w:pPr>
        <w:ind w:left="851"/>
        <w:rPr>
          <w:sz w:val="24"/>
          <w:szCs w:val="24"/>
        </w:rPr>
      </w:pPr>
    </w:p>
    <w:p w14:paraId="4E71A7BC" w14:textId="77777777" w:rsidR="00523AF2" w:rsidRPr="000A0C0E" w:rsidRDefault="00523AF2" w:rsidP="000A0C0E">
      <w:pPr>
        <w:ind w:left="851"/>
        <w:rPr>
          <w:sz w:val="24"/>
          <w:szCs w:val="24"/>
        </w:rPr>
      </w:pPr>
      <w:r w:rsidRPr="000A0C0E">
        <w:rPr>
          <w:sz w:val="24"/>
          <w:szCs w:val="24"/>
        </w:rPr>
        <w:t xml:space="preserve">Tilstrækkelig indtagelse af calcium og D-vitamin, via kosten eller som kosttilskud, er vigtig for knoglesundheden hos kvinder i alle aldre. </w:t>
      </w:r>
    </w:p>
    <w:p w14:paraId="793CAD3D" w14:textId="3045B3D5" w:rsidR="00C70CFB" w:rsidRDefault="00C70CFB">
      <w:pPr>
        <w:rPr>
          <w:sz w:val="24"/>
          <w:szCs w:val="24"/>
        </w:rPr>
      </w:pPr>
      <w:r>
        <w:rPr>
          <w:sz w:val="24"/>
          <w:szCs w:val="24"/>
        </w:rPr>
        <w:br w:type="page"/>
      </w:r>
    </w:p>
    <w:p w14:paraId="7D10AE9E" w14:textId="77777777" w:rsidR="00523AF2" w:rsidRPr="000A0C0E" w:rsidRDefault="00523AF2" w:rsidP="000A0C0E">
      <w:pPr>
        <w:ind w:left="851"/>
        <w:rPr>
          <w:sz w:val="24"/>
          <w:szCs w:val="24"/>
        </w:rPr>
      </w:pPr>
    </w:p>
    <w:p w14:paraId="27CEE41D" w14:textId="77777777" w:rsidR="00523AF2" w:rsidRPr="00020C7C" w:rsidRDefault="00523AF2" w:rsidP="000A0C0E">
      <w:pPr>
        <w:ind w:left="851"/>
        <w:rPr>
          <w:i/>
          <w:sz w:val="24"/>
          <w:szCs w:val="24"/>
          <w:u w:val="single"/>
        </w:rPr>
      </w:pPr>
      <w:r w:rsidRPr="00020C7C">
        <w:rPr>
          <w:i/>
          <w:sz w:val="24"/>
          <w:szCs w:val="24"/>
          <w:u w:val="single"/>
        </w:rPr>
        <w:t>Andre tilstande</w:t>
      </w:r>
    </w:p>
    <w:p w14:paraId="4711F631" w14:textId="77777777" w:rsidR="00523AF2" w:rsidRPr="000A0C0E" w:rsidRDefault="00523AF2" w:rsidP="000A0C0E">
      <w:pPr>
        <w:ind w:left="851"/>
        <w:rPr>
          <w:sz w:val="24"/>
          <w:szCs w:val="24"/>
        </w:rPr>
      </w:pPr>
      <w:r w:rsidRPr="000A0C0E">
        <w:rPr>
          <w:sz w:val="24"/>
          <w:szCs w:val="24"/>
        </w:rPr>
        <w:t xml:space="preserve">Patienter med depression i anamnesen bør kontrolleres omhyggeligt, og lægemidlet bør seponeres, hvis depressionen vender tilbage i alvorlig grad. </w:t>
      </w:r>
    </w:p>
    <w:p w14:paraId="171E7E7C" w14:textId="77777777" w:rsidR="00523AF2" w:rsidRPr="000A0C0E" w:rsidRDefault="00523AF2" w:rsidP="000A0C0E">
      <w:pPr>
        <w:ind w:left="851"/>
        <w:rPr>
          <w:sz w:val="24"/>
          <w:szCs w:val="24"/>
        </w:rPr>
      </w:pPr>
    </w:p>
    <w:p w14:paraId="07E715DF" w14:textId="77777777" w:rsidR="00523AF2" w:rsidRPr="000A0C0E" w:rsidRDefault="00523AF2" w:rsidP="000A0C0E">
      <w:pPr>
        <w:ind w:left="851"/>
        <w:rPr>
          <w:sz w:val="24"/>
          <w:szCs w:val="24"/>
        </w:rPr>
      </w:pPr>
      <w:proofErr w:type="spellStart"/>
      <w:r w:rsidRPr="000A0C0E">
        <w:rPr>
          <w:sz w:val="24"/>
          <w:szCs w:val="24"/>
        </w:rPr>
        <w:t>Dienogest</w:t>
      </w:r>
      <w:proofErr w:type="spellEnd"/>
      <w:r w:rsidRPr="000A0C0E">
        <w:rPr>
          <w:sz w:val="24"/>
          <w:szCs w:val="24"/>
        </w:rPr>
        <w:t xml:space="preserve"> påvirker generelt ikke blodtrykket hos </w:t>
      </w:r>
      <w:proofErr w:type="spellStart"/>
      <w:r w:rsidRPr="000A0C0E">
        <w:rPr>
          <w:sz w:val="24"/>
          <w:szCs w:val="24"/>
        </w:rPr>
        <w:t>normotensive</w:t>
      </w:r>
      <w:proofErr w:type="spellEnd"/>
      <w:r w:rsidRPr="000A0C0E">
        <w:rPr>
          <w:sz w:val="24"/>
          <w:szCs w:val="24"/>
        </w:rPr>
        <w:t xml:space="preserve"> kvinder, men hvis der udvikles vedvarende, klinisk signifikant hypertension under brugen af </w:t>
      </w:r>
      <w:proofErr w:type="spellStart"/>
      <w:r w:rsidRPr="000A0C0E">
        <w:rPr>
          <w:sz w:val="24"/>
          <w:szCs w:val="24"/>
        </w:rPr>
        <w:t>Dienosis</w:t>
      </w:r>
      <w:proofErr w:type="spellEnd"/>
      <w:r w:rsidRPr="000A0C0E">
        <w:rPr>
          <w:sz w:val="24"/>
          <w:szCs w:val="24"/>
        </w:rPr>
        <w:t xml:space="preserve">, bør </w:t>
      </w:r>
      <w:proofErr w:type="spellStart"/>
      <w:r w:rsidRPr="000A0C0E">
        <w:rPr>
          <w:sz w:val="24"/>
          <w:szCs w:val="24"/>
        </w:rPr>
        <w:t>Dienosis</w:t>
      </w:r>
      <w:proofErr w:type="spellEnd"/>
      <w:r w:rsidRPr="000A0C0E">
        <w:rPr>
          <w:sz w:val="24"/>
          <w:szCs w:val="24"/>
        </w:rPr>
        <w:t xml:space="preserve"> seponeres, og hypertensionen behandles.</w:t>
      </w:r>
    </w:p>
    <w:p w14:paraId="473EAFAD" w14:textId="77777777" w:rsidR="00523AF2" w:rsidRPr="000A0C0E" w:rsidRDefault="00523AF2" w:rsidP="000A0C0E">
      <w:pPr>
        <w:ind w:left="851"/>
        <w:rPr>
          <w:sz w:val="24"/>
          <w:szCs w:val="24"/>
        </w:rPr>
      </w:pPr>
    </w:p>
    <w:p w14:paraId="4AE66B5F" w14:textId="77777777" w:rsidR="00523AF2" w:rsidRPr="000A0C0E" w:rsidRDefault="00523AF2" w:rsidP="000A0C0E">
      <w:pPr>
        <w:ind w:left="851"/>
        <w:rPr>
          <w:sz w:val="24"/>
          <w:szCs w:val="24"/>
        </w:rPr>
      </w:pPr>
      <w:r w:rsidRPr="000A0C0E">
        <w:rPr>
          <w:sz w:val="24"/>
          <w:szCs w:val="24"/>
        </w:rPr>
        <w:t xml:space="preserve">Brugen af </w:t>
      </w:r>
      <w:proofErr w:type="spellStart"/>
      <w:r w:rsidRPr="000A0C0E">
        <w:rPr>
          <w:sz w:val="24"/>
          <w:szCs w:val="24"/>
        </w:rPr>
        <w:t>Dienosis</w:t>
      </w:r>
      <w:proofErr w:type="spellEnd"/>
      <w:r w:rsidRPr="000A0C0E">
        <w:rPr>
          <w:sz w:val="24"/>
          <w:szCs w:val="24"/>
        </w:rPr>
        <w:t xml:space="preserve"> skal stoppes ved tilbagevenden af </w:t>
      </w:r>
      <w:proofErr w:type="spellStart"/>
      <w:r w:rsidRPr="000A0C0E">
        <w:rPr>
          <w:sz w:val="24"/>
          <w:szCs w:val="24"/>
        </w:rPr>
        <w:t>cholestatisk</w:t>
      </w:r>
      <w:proofErr w:type="spellEnd"/>
      <w:r w:rsidRPr="000A0C0E">
        <w:rPr>
          <w:sz w:val="24"/>
          <w:szCs w:val="24"/>
        </w:rPr>
        <w:t xml:space="preserve"> gulsot og/eller </w:t>
      </w:r>
      <w:proofErr w:type="spellStart"/>
      <w:r w:rsidRPr="000A0C0E">
        <w:rPr>
          <w:sz w:val="24"/>
          <w:szCs w:val="24"/>
        </w:rPr>
        <w:t>pruritus</w:t>
      </w:r>
      <w:proofErr w:type="spellEnd"/>
      <w:r w:rsidRPr="000A0C0E">
        <w:rPr>
          <w:sz w:val="24"/>
          <w:szCs w:val="24"/>
        </w:rPr>
        <w:t>, som forekom tidligere under graviditet eller ved brug af kønshormoner.</w:t>
      </w:r>
    </w:p>
    <w:p w14:paraId="04B1E818" w14:textId="77777777" w:rsidR="00523AF2" w:rsidRPr="000A0C0E" w:rsidRDefault="00523AF2" w:rsidP="000A0C0E">
      <w:pPr>
        <w:ind w:left="851"/>
        <w:rPr>
          <w:sz w:val="24"/>
          <w:szCs w:val="24"/>
        </w:rPr>
      </w:pPr>
    </w:p>
    <w:p w14:paraId="38218642" w14:textId="77777777" w:rsidR="00523AF2" w:rsidRPr="000A0C0E" w:rsidRDefault="00523AF2" w:rsidP="000A0C0E">
      <w:pPr>
        <w:ind w:left="851"/>
        <w:rPr>
          <w:sz w:val="24"/>
          <w:szCs w:val="24"/>
        </w:rPr>
      </w:pPr>
      <w:proofErr w:type="spellStart"/>
      <w:r w:rsidRPr="000A0C0E">
        <w:rPr>
          <w:sz w:val="24"/>
          <w:szCs w:val="24"/>
        </w:rPr>
        <w:t>Dienogest</w:t>
      </w:r>
      <w:proofErr w:type="spellEnd"/>
      <w:r w:rsidRPr="000A0C0E">
        <w:rPr>
          <w:sz w:val="24"/>
          <w:szCs w:val="24"/>
        </w:rPr>
        <w:t xml:space="preserve"> kan have en let indvirkning på den perifere insulinresistens og på glukosetolerancen. Kvinder med diabetes, især kvinder med svangerskabsbetinget diabetes mellitus i anamnesen, bør overvåges omhyggeligt, mens de tager </w:t>
      </w:r>
      <w:proofErr w:type="spellStart"/>
      <w:r w:rsidRPr="000A0C0E">
        <w:rPr>
          <w:sz w:val="24"/>
          <w:szCs w:val="24"/>
        </w:rPr>
        <w:t>Dienosis</w:t>
      </w:r>
      <w:proofErr w:type="spellEnd"/>
      <w:r w:rsidRPr="000A0C0E">
        <w:rPr>
          <w:sz w:val="24"/>
          <w:szCs w:val="24"/>
        </w:rPr>
        <w:t>.</w:t>
      </w:r>
    </w:p>
    <w:p w14:paraId="79286BE3" w14:textId="77777777" w:rsidR="00523AF2" w:rsidRPr="000A0C0E" w:rsidRDefault="00523AF2" w:rsidP="000A0C0E">
      <w:pPr>
        <w:ind w:left="851"/>
        <w:rPr>
          <w:b/>
          <w:sz w:val="24"/>
          <w:szCs w:val="24"/>
        </w:rPr>
      </w:pPr>
    </w:p>
    <w:p w14:paraId="1EBFE278" w14:textId="77777777" w:rsidR="00523AF2" w:rsidRPr="000A0C0E" w:rsidRDefault="00523AF2" w:rsidP="000A0C0E">
      <w:pPr>
        <w:ind w:left="851"/>
        <w:rPr>
          <w:sz w:val="24"/>
          <w:szCs w:val="24"/>
        </w:rPr>
      </w:pPr>
      <w:r w:rsidRPr="000A0C0E">
        <w:rPr>
          <w:sz w:val="24"/>
          <w:szCs w:val="24"/>
        </w:rPr>
        <w:t xml:space="preserve">Der kan af og til forekomme </w:t>
      </w:r>
      <w:proofErr w:type="spellStart"/>
      <w:r w:rsidRPr="000A0C0E">
        <w:rPr>
          <w:sz w:val="24"/>
          <w:szCs w:val="24"/>
        </w:rPr>
        <w:t>chloasma</w:t>
      </w:r>
      <w:proofErr w:type="spellEnd"/>
      <w:r w:rsidRPr="000A0C0E">
        <w:rPr>
          <w:sz w:val="24"/>
          <w:szCs w:val="24"/>
        </w:rPr>
        <w:t xml:space="preserve">, især hos kvinder med </w:t>
      </w:r>
      <w:proofErr w:type="spellStart"/>
      <w:r w:rsidRPr="000A0C0E">
        <w:rPr>
          <w:sz w:val="24"/>
          <w:szCs w:val="24"/>
        </w:rPr>
        <w:t>chloasma</w:t>
      </w:r>
      <w:proofErr w:type="spellEnd"/>
      <w:r w:rsidRPr="000A0C0E">
        <w:rPr>
          <w:sz w:val="24"/>
          <w:szCs w:val="24"/>
        </w:rPr>
        <w:t xml:space="preserve"> </w:t>
      </w:r>
      <w:proofErr w:type="spellStart"/>
      <w:r w:rsidRPr="000A0C0E">
        <w:rPr>
          <w:sz w:val="24"/>
          <w:szCs w:val="24"/>
        </w:rPr>
        <w:t>gravidarum</w:t>
      </w:r>
      <w:proofErr w:type="spellEnd"/>
      <w:r w:rsidRPr="000A0C0E">
        <w:rPr>
          <w:sz w:val="24"/>
          <w:szCs w:val="24"/>
        </w:rPr>
        <w:t xml:space="preserve"> i anamnesen. Kvinder, som har tendens til </w:t>
      </w:r>
      <w:proofErr w:type="spellStart"/>
      <w:r w:rsidRPr="000A0C0E">
        <w:rPr>
          <w:sz w:val="24"/>
          <w:szCs w:val="24"/>
        </w:rPr>
        <w:t>chloasma</w:t>
      </w:r>
      <w:proofErr w:type="spellEnd"/>
      <w:r w:rsidRPr="000A0C0E">
        <w:rPr>
          <w:sz w:val="24"/>
          <w:szCs w:val="24"/>
        </w:rPr>
        <w:t xml:space="preserve">, bør undgå eksponering for sol eller ultraviolet lys, mens de tager </w:t>
      </w:r>
      <w:proofErr w:type="spellStart"/>
      <w:r w:rsidRPr="000A0C0E">
        <w:rPr>
          <w:sz w:val="24"/>
          <w:szCs w:val="24"/>
        </w:rPr>
        <w:t>Dienosis</w:t>
      </w:r>
      <w:proofErr w:type="spellEnd"/>
      <w:r w:rsidRPr="000A0C0E">
        <w:rPr>
          <w:sz w:val="24"/>
          <w:szCs w:val="24"/>
        </w:rPr>
        <w:t>.</w:t>
      </w:r>
    </w:p>
    <w:p w14:paraId="425FEAF0" w14:textId="77777777" w:rsidR="00523AF2" w:rsidRPr="000A0C0E" w:rsidRDefault="00523AF2" w:rsidP="000A0C0E">
      <w:pPr>
        <w:ind w:left="851"/>
        <w:rPr>
          <w:sz w:val="24"/>
          <w:szCs w:val="24"/>
        </w:rPr>
      </w:pPr>
    </w:p>
    <w:p w14:paraId="74C4CEC1" w14:textId="77777777" w:rsidR="00523AF2" w:rsidRPr="000A0C0E" w:rsidRDefault="00523AF2" w:rsidP="000A0C0E">
      <w:pPr>
        <w:ind w:left="851"/>
        <w:rPr>
          <w:sz w:val="24"/>
          <w:szCs w:val="24"/>
        </w:rPr>
      </w:pPr>
      <w:r w:rsidRPr="000A0C0E">
        <w:rPr>
          <w:sz w:val="24"/>
          <w:szCs w:val="24"/>
        </w:rPr>
        <w:t xml:space="preserve">De graviditeter, som forekommer blandt brugere af rene gestagenpræparater, som </w:t>
      </w:r>
      <w:r w:rsidRPr="000A0C0E">
        <w:rPr>
          <w:noProof/>
          <w:sz w:val="24"/>
          <w:szCs w:val="24"/>
        </w:rPr>
        <w:t>anvendes</w:t>
      </w:r>
      <w:r w:rsidRPr="000A0C0E">
        <w:rPr>
          <w:sz w:val="24"/>
          <w:szCs w:val="24"/>
        </w:rPr>
        <w:t xml:space="preserve"> til prævention, har en større risiko for at blive </w:t>
      </w:r>
      <w:proofErr w:type="spellStart"/>
      <w:r w:rsidRPr="000A0C0E">
        <w:rPr>
          <w:sz w:val="24"/>
          <w:szCs w:val="24"/>
        </w:rPr>
        <w:t>ektopiske</w:t>
      </w:r>
      <w:proofErr w:type="spellEnd"/>
      <w:r w:rsidRPr="000A0C0E">
        <w:rPr>
          <w:sz w:val="24"/>
          <w:szCs w:val="24"/>
        </w:rPr>
        <w:t xml:space="preserve">, end graviditeter blandt brugere af orale </w:t>
      </w:r>
      <w:proofErr w:type="spellStart"/>
      <w:r w:rsidRPr="000A0C0E">
        <w:rPr>
          <w:sz w:val="24"/>
          <w:szCs w:val="24"/>
        </w:rPr>
        <w:t>kontraceptiva</w:t>
      </w:r>
      <w:proofErr w:type="spellEnd"/>
      <w:r w:rsidRPr="000A0C0E">
        <w:rPr>
          <w:sz w:val="24"/>
          <w:szCs w:val="24"/>
        </w:rPr>
        <w:t xml:space="preserve"> af kombinationstypen. </w:t>
      </w:r>
      <w:proofErr w:type="spellStart"/>
      <w:r w:rsidRPr="000A0C0E">
        <w:rPr>
          <w:sz w:val="24"/>
          <w:szCs w:val="24"/>
        </w:rPr>
        <w:t>Dienosis</w:t>
      </w:r>
      <w:proofErr w:type="spellEnd"/>
      <w:r w:rsidRPr="000A0C0E">
        <w:rPr>
          <w:sz w:val="24"/>
          <w:szCs w:val="24"/>
        </w:rPr>
        <w:t xml:space="preserve"> bør derfor kun bruges af kvinder med tidligere ekstrauterin graviditet eller nedsat æggelederfunktion efter nøje vurdering af fordele og ulemper.</w:t>
      </w:r>
    </w:p>
    <w:p w14:paraId="3D3CAC96" w14:textId="77777777" w:rsidR="00523AF2" w:rsidRPr="000A0C0E" w:rsidRDefault="00523AF2" w:rsidP="000A0C0E">
      <w:pPr>
        <w:ind w:left="851"/>
        <w:rPr>
          <w:sz w:val="24"/>
          <w:szCs w:val="24"/>
        </w:rPr>
      </w:pPr>
    </w:p>
    <w:p w14:paraId="5BB5D4AD" w14:textId="77777777" w:rsidR="00523AF2" w:rsidRPr="000A0C0E" w:rsidRDefault="00523AF2" w:rsidP="000A0C0E">
      <w:pPr>
        <w:ind w:left="851"/>
        <w:rPr>
          <w:sz w:val="24"/>
          <w:szCs w:val="24"/>
        </w:rPr>
      </w:pPr>
      <w:r w:rsidRPr="000A0C0E">
        <w:rPr>
          <w:sz w:val="24"/>
          <w:szCs w:val="24"/>
        </w:rPr>
        <w:t xml:space="preserve">Der kan forekomme persisterende ovariefollikler (ofte kaldet funktionelle ovariecyster) under brugen af </w:t>
      </w:r>
      <w:proofErr w:type="spellStart"/>
      <w:r w:rsidRPr="000A0C0E">
        <w:rPr>
          <w:sz w:val="24"/>
          <w:szCs w:val="24"/>
        </w:rPr>
        <w:t>Dienosis</w:t>
      </w:r>
      <w:proofErr w:type="spellEnd"/>
      <w:r w:rsidRPr="000A0C0E">
        <w:rPr>
          <w:sz w:val="24"/>
          <w:szCs w:val="24"/>
        </w:rPr>
        <w:t xml:space="preserve">. De fleste af folliklerne er asymptomatiske, men nogle kan dog ledsages af underlivssmerter. </w:t>
      </w:r>
    </w:p>
    <w:p w14:paraId="69ACD70C" w14:textId="77777777" w:rsidR="00523AF2" w:rsidRPr="000A0C0E" w:rsidRDefault="00523AF2" w:rsidP="000A0C0E">
      <w:pPr>
        <w:ind w:left="851"/>
        <w:rPr>
          <w:sz w:val="24"/>
          <w:szCs w:val="24"/>
        </w:rPr>
      </w:pPr>
    </w:p>
    <w:p w14:paraId="26C2DE46" w14:textId="77777777" w:rsidR="00523AF2" w:rsidRPr="00020C7C" w:rsidRDefault="00523AF2" w:rsidP="000A0C0E">
      <w:pPr>
        <w:ind w:left="851"/>
        <w:rPr>
          <w:i/>
          <w:sz w:val="24"/>
          <w:szCs w:val="24"/>
          <w:u w:val="single"/>
        </w:rPr>
      </w:pPr>
      <w:proofErr w:type="spellStart"/>
      <w:r w:rsidRPr="00020C7C">
        <w:rPr>
          <w:i/>
          <w:sz w:val="24"/>
          <w:szCs w:val="24"/>
          <w:u w:val="single"/>
        </w:rPr>
        <w:t>Lactose</w:t>
      </w:r>
      <w:proofErr w:type="spellEnd"/>
    </w:p>
    <w:p w14:paraId="1CD5E106" w14:textId="0407E51A" w:rsidR="00523AF2" w:rsidRPr="000A0C0E" w:rsidRDefault="00523AF2" w:rsidP="000A0C0E">
      <w:pPr>
        <w:ind w:left="851"/>
        <w:rPr>
          <w:noProof/>
          <w:sz w:val="24"/>
          <w:szCs w:val="24"/>
        </w:rPr>
      </w:pPr>
      <w:r w:rsidRPr="000A0C0E">
        <w:rPr>
          <w:sz w:val="24"/>
          <w:szCs w:val="24"/>
        </w:rPr>
        <w:t xml:space="preserve">Hver </w:t>
      </w:r>
      <w:proofErr w:type="spellStart"/>
      <w:r w:rsidRPr="000A0C0E">
        <w:rPr>
          <w:sz w:val="24"/>
          <w:szCs w:val="24"/>
        </w:rPr>
        <w:t>Dienosis</w:t>
      </w:r>
      <w:proofErr w:type="spellEnd"/>
      <w:r w:rsidRPr="000A0C0E">
        <w:rPr>
          <w:sz w:val="24"/>
          <w:szCs w:val="24"/>
        </w:rPr>
        <w:t xml:space="preserve"> 2 mg tablet indeholder 62,8 mg </w:t>
      </w:r>
      <w:proofErr w:type="spellStart"/>
      <w:r w:rsidRPr="000A0C0E">
        <w:rPr>
          <w:sz w:val="24"/>
          <w:szCs w:val="24"/>
        </w:rPr>
        <w:t>lactosemonohydrat</w:t>
      </w:r>
      <w:proofErr w:type="spellEnd"/>
      <w:r w:rsidRPr="000A0C0E">
        <w:rPr>
          <w:sz w:val="24"/>
          <w:szCs w:val="24"/>
        </w:rPr>
        <w:t xml:space="preserve">. Bør ikke anvendes til patienter med hereditær </w:t>
      </w:r>
      <w:proofErr w:type="spellStart"/>
      <w:r w:rsidRPr="000A0C0E">
        <w:rPr>
          <w:sz w:val="24"/>
          <w:szCs w:val="24"/>
        </w:rPr>
        <w:t>galactoseintolerans</w:t>
      </w:r>
      <w:proofErr w:type="spellEnd"/>
      <w:r w:rsidRPr="000A0C0E">
        <w:rPr>
          <w:sz w:val="24"/>
          <w:szCs w:val="24"/>
        </w:rPr>
        <w:t xml:space="preserve">, total </w:t>
      </w:r>
      <w:proofErr w:type="spellStart"/>
      <w:r w:rsidRPr="000A0C0E">
        <w:rPr>
          <w:sz w:val="24"/>
          <w:szCs w:val="24"/>
        </w:rPr>
        <w:t>lactasemangel</w:t>
      </w:r>
      <w:proofErr w:type="spellEnd"/>
      <w:r w:rsidRPr="000A0C0E">
        <w:rPr>
          <w:sz w:val="24"/>
          <w:szCs w:val="24"/>
        </w:rPr>
        <w:t xml:space="preserve"> eller </w:t>
      </w:r>
      <w:proofErr w:type="spellStart"/>
      <w:r w:rsidRPr="000A0C0E">
        <w:rPr>
          <w:sz w:val="24"/>
          <w:szCs w:val="24"/>
        </w:rPr>
        <w:t>glucose</w:t>
      </w:r>
      <w:proofErr w:type="spellEnd"/>
      <w:r w:rsidRPr="000A0C0E">
        <w:rPr>
          <w:sz w:val="24"/>
          <w:szCs w:val="24"/>
        </w:rPr>
        <w:t>/</w:t>
      </w:r>
      <w:proofErr w:type="spellStart"/>
      <w:r w:rsidRPr="000A0C0E">
        <w:rPr>
          <w:sz w:val="24"/>
          <w:szCs w:val="24"/>
        </w:rPr>
        <w:t>galac</w:t>
      </w:r>
      <w:r w:rsidR="00C70CFB">
        <w:rPr>
          <w:sz w:val="24"/>
          <w:szCs w:val="24"/>
        </w:rPr>
        <w:softHyphen/>
      </w:r>
      <w:r w:rsidRPr="000A0C0E">
        <w:rPr>
          <w:sz w:val="24"/>
          <w:szCs w:val="24"/>
        </w:rPr>
        <w:t>tosemalabsorption</w:t>
      </w:r>
      <w:proofErr w:type="spellEnd"/>
      <w:r w:rsidRPr="000A0C0E">
        <w:rPr>
          <w:sz w:val="24"/>
          <w:szCs w:val="24"/>
        </w:rPr>
        <w:t>.</w:t>
      </w:r>
    </w:p>
    <w:p w14:paraId="260FED18" w14:textId="77777777" w:rsidR="009260DE" w:rsidRPr="00C22DB6" w:rsidRDefault="009260DE" w:rsidP="009260DE">
      <w:pPr>
        <w:tabs>
          <w:tab w:val="left" w:pos="851"/>
        </w:tabs>
        <w:ind w:left="851"/>
        <w:rPr>
          <w:sz w:val="24"/>
          <w:szCs w:val="24"/>
        </w:rPr>
      </w:pPr>
    </w:p>
    <w:p w14:paraId="4C077C33" w14:textId="77777777" w:rsidR="009260DE" w:rsidRPr="00C22DB6" w:rsidRDefault="009260DE" w:rsidP="009260DE">
      <w:pPr>
        <w:tabs>
          <w:tab w:val="left" w:pos="851"/>
        </w:tabs>
        <w:ind w:left="851" w:hanging="851"/>
        <w:rPr>
          <w:b/>
          <w:sz w:val="24"/>
          <w:szCs w:val="24"/>
        </w:rPr>
      </w:pPr>
      <w:r w:rsidRPr="00C22DB6">
        <w:rPr>
          <w:b/>
          <w:sz w:val="24"/>
          <w:szCs w:val="24"/>
        </w:rPr>
        <w:t>4.5</w:t>
      </w:r>
      <w:r w:rsidRPr="00C22DB6">
        <w:rPr>
          <w:b/>
          <w:sz w:val="24"/>
          <w:szCs w:val="24"/>
        </w:rPr>
        <w:tab/>
        <w:t>Interaktion med andre lægemidler og andre former for interaktion</w:t>
      </w:r>
    </w:p>
    <w:p w14:paraId="3940A3EC" w14:textId="77777777" w:rsidR="00523AF2" w:rsidRPr="000A0C0E" w:rsidRDefault="00523AF2" w:rsidP="000A0C0E">
      <w:pPr>
        <w:ind w:left="851"/>
        <w:rPr>
          <w:noProof/>
          <w:sz w:val="24"/>
          <w:szCs w:val="24"/>
        </w:rPr>
      </w:pPr>
      <w:r w:rsidRPr="000A0C0E">
        <w:rPr>
          <w:noProof/>
          <w:sz w:val="24"/>
          <w:szCs w:val="24"/>
        </w:rPr>
        <w:t>Bemærk: For at identificere potentielle interaktioner henvises til produktresuméet for samtidigt indgivne lægemidler.</w:t>
      </w:r>
    </w:p>
    <w:p w14:paraId="7FDD638E" w14:textId="77777777" w:rsidR="00523AF2" w:rsidRPr="000A0C0E" w:rsidRDefault="00523AF2" w:rsidP="000A0C0E">
      <w:pPr>
        <w:ind w:left="851"/>
        <w:rPr>
          <w:sz w:val="24"/>
          <w:szCs w:val="24"/>
        </w:rPr>
      </w:pPr>
    </w:p>
    <w:p w14:paraId="6B414215" w14:textId="77777777" w:rsidR="00523AF2" w:rsidRPr="00020C7C" w:rsidRDefault="00523AF2" w:rsidP="00020C7C">
      <w:pPr>
        <w:pStyle w:val="Listeafsnit"/>
        <w:numPr>
          <w:ilvl w:val="0"/>
          <w:numId w:val="14"/>
        </w:numPr>
        <w:ind w:left="1276" w:hanging="425"/>
        <w:rPr>
          <w:i/>
          <w:sz w:val="24"/>
          <w:szCs w:val="24"/>
          <w:u w:val="single"/>
        </w:rPr>
      </w:pPr>
      <w:r w:rsidRPr="00020C7C">
        <w:rPr>
          <w:i/>
          <w:sz w:val="24"/>
          <w:szCs w:val="24"/>
          <w:u w:val="single"/>
        </w:rPr>
        <w:t xml:space="preserve">Andre lægemidlers virkning på </w:t>
      </w:r>
      <w:proofErr w:type="spellStart"/>
      <w:r w:rsidRPr="00020C7C">
        <w:rPr>
          <w:i/>
          <w:sz w:val="24"/>
          <w:szCs w:val="24"/>
          <w:u w:val="single"/>
        </w:rPr>
        <w:t>Dienosis</w:t>
      </w:r>
      <w:proofErr w:type="spellEnd"/>
    </w:p>
    <w:p w14:paraId="41911771" w14:textId="77777777" w:rsidR="00523AF2" w:rsidRPr="000A0C0E" w:rsidRDefault="00523AF2" w:rsidP="000A0C0E">
      <w:pPr>
        <w:ind w:left="851"/>
        <w:rPr>
          <w:sz w:val="24"/>
          <w:szCs w:val="24"/>
        </w:rPr>
      </w:pPr>
    </w:p>
    <w:p w14:paraId="763D0E9B" w14:textId="77777777" w:rsidR="00523AF2" w:rsidRPr="000A0C0E" w:rsidRDefault="00523AF2" w:rsidP="000A0C0E">
      <w:pPr>
        <w:ind w:left="851"/>
        <w:rPr>
          <w:sz w:val="24"/>
          <w:szCs w:val="24"/>
        </w:rPr>
      </w:pPr>
      <w:r w:rsidRPr="000A0C0E">
        <w:rPr>
          <w:sz w:val="24"/>
          <w:szCs w:val="24"/>
        </w:rPr>
        <w:t xml:space="preserve">Gestagener, herunder </w:t>
      </w:r>
      <w:proofErr w:type="spellStart"/>
      <w:r w:rsidRPr="000A0C0E">
        <w:rPr>
          <w:sz w:val="24"/>
          <w:szCs w:val="24"/>
        </w:rPr>
        <w:t>dienogest</w:t>
      </w:r>
      <w:proofErr w:type="spellEnd"/>
      <w:r w:rsidRPr="000A0C0E">
        <w:rPr>
          <w:sz w:val="24"/>
          <w:szCs w:val="24"/>
        </w:rPr>
        <w:t xml:space="preserve">, </w:t>
      </w:r>
      <w:proofErr w:type="spellStart"/>
      <w:r w:rsidRPr="000A0C0E">
        <w:rPr>
          <w:sz w:val="24"/>
          <w:szCs w:val="24"/>
        </w:rPr>
        <w:t>metaboliseres</w:t>
      </w:r>
      <w:proofErr w:type="spellEnd"/>
      <w:r w:rsidRPr="000A0C0E">
        <w:rPr>
          <w:sz w:val="24"/>
          <w:szCs w:val="24"/>
        </w:rPr>
        <w:t xml:space="preserve"> fortrinsvis af </w:t>
      </w:r>
      <w:proofErr w:type="spellStart"/>
      <w:r w:rsidRPr="000A0C0E">
        <w:rPr>
          <w:sz w:val="24"/>
          <w:szCs w:val="24"/>
        </w:rPr>
        <w:t>cytochrom</w:t>
      </w:r>
      <w:proofErr w:type="spellEnd"/>
      <w:r w:rsidRPr="000A0C0E">
        <w:rPr>
          <w:sz w:val="24"/>
          <w:szCs w:val="24"/>
        </w:rPr>
        <w:t xml:space="preserve"> P450 3A4-systemet (CYP3A4), som findes både i den </w:t>
      </w:r>
      <w:proofErr w:type="spellStart"/>
      <w:r w:rsidRPr="000A0C0E">
        <w:rPr>
          <w:sz w:val="24"/>
          <w:szCs w:val="24"/>
        </w:rPr>
        <w:t>intestinale</w:t>
      </w:r>
      <w:proofErr w:type="spellEnd"/>
      <w:r w:rsidRPr="000A0C0E">
        <w:rPr>
          <w:sz w:val="24"/>
          <w:szCs w:val="24"/>
        </w:rPr>
        <w:t xml:space="preserve"> slimhinde og i leveren. Induktorer eller </w:t>
      </w:r>
      <w:proofErr w:type="spellStart"/>
      <w:r w:rsidRPr="000A0C0E">
        <w:rPr>
          <w:sz w:val="24"/>
          <w:szCs w:val="24"/>
        </w:rPr>
        <w:t>hæmmere</w:t>
      </w:r>
      <w:proofErr w:type="spellEnd"/>
      <w:r w:rsidRPr="000A0C0E">
        <w:rPr>
          <w:sz w:val="24"/>
          <w:szCs w:val="24"/>
        </w:rPr>
        <w:t xml:space="preserve"> af CYP3A4 kan derfor påvirke </w:t>
      </w:r>
      <w:proofErr w:type="spellStart"/>
      <w:r w:rsidRPr="000A0C0E">
        <w:rPr>
          <w:sz w:val="24"/>
          <w:szCs w:val="24"/>
        </w:rPr>
        <w:t>metaboliseringen</w:t>
      </w:r>
      <w:proofErr w:type="spellEnd"/>
      <w:r w:rsidRPr="000A0C0E">
        <w:rPr>
          <w:sz w:val="24"/>
          <w:szCs w:val="24"/>
        </w:rPr>
        <w:t xml:space="preserve"> af gestagener.</w:t>
      </w:r>
    </w:p>
    <w:p w14:paraId="1F66583B" w14:textId="77777777" w:rsidR="00523AF2" w:rsidRPr="000A0C0E" w:rsidRDefault="00523AF2" w:rsidP="000A0C0E">
      <w:pPr>
        <w:ind w:left="851"/>
        <w:rPr>
          <w:sz w:val="24"/>
          <w:szCs w:val="24"/>
        </w:rPr>
      </w:pPr>
    </w:p>
    <w:p w14:paraId="34539618" w14:textId="77777777" w:rsidR="00523AF2" w:rsidRPr="000A0C0E" w:rsidRDefault="00523AF2" w:rsidP="000A0C0E">
      <w:pPr>
        <w:ind w:left="851"/>
        <w:rPr>
          <w:sz w:val="24"/>
          <w:szCs w:val="24"/>
        </w:rPr>
      </w:pPr>
      <w:r w:rsidRPr="000A0C0E">
        <w:rPr>
          <w:sz w:val="24"/>
          <w:szCs w:val="24"/>
        </w:rPr>
        <w:t xml:space="preserve">En øget </w:t>
      </w:r>
      <w:proofErr w:type="spellStart"/>
      <w:r w:rsidRPr="000A0C0E">
        <w:rPr>
          <w:sz w:val="24"/>
          <w:szCs w:val="24"/>
        </w:rPr>
        <w:t>clearance</w:t>
      </w:r>
      <w:proofErr w:type="spellEnd"/>
      <w:r w:rsidRPr="000A0C0E">
        <w:rPr>
          <w:sz w:val="24"/>
          <w:szCs w:val="24"/>
        </w:rPr>
        <w:t xml:space="preserve"> af kønshormoner på grund af enzyminduktion kan nedsætte </w:t>
      </w:r>
      <w:proofErr w:type="spellStart"/>
      <w:r w:rsidRPr="000A0C0E">
        <w:rPr>
          <w:sz w:val="24"/>
          <w:szCs w:val="24"/>
        </w:rPr>
        <w:t>Dienosis</w:t>
      </w:r>
      <w:proofErr w:type="spellEnd"/>
      <w:r w:rsidRPr="000A0C0E">
        <w:rPr>
          <w:sz w:val="24"/>
          <w:szCs w:val="24"/>
        </w:rPr>
        <w:t xml:space="preserve"> terapeutiske virkning og medføre bivirkninger, f.eks. ændringer i den </w:t>
      </w:r>
      <w:proofErr w:type="spellStart"/>
      <w:r w:rsidRPr="000A0C0E">
        <w:rPr>
          <w:sz w:val="24"/>
          <w:szCs w:val="24"/>
        </w:rPr>
        <w:t>uterine</w:t>
      </w:r>
      <w:proofErr w:type="spellEnd"/>
      <w:r w:rsidRPr="000A0C0E">
        <w:rPr>
          <w:sz w:val="24"/>
          <w:szCs w:val="24"/>
        </w:rPr>
        <w:t xml:space="preserve"> blødningsprofil.</w:t>
      </w:r>
    </w:p>
    <w:p w14:paraId="05B1D536" w14:textId="77777777" w:rsidR="00523AF2" w:rsidRPr="000A0C0E" w:rsidRDefault="00523AF2" w:rsidP="000A0C0E">
      <w:pPr>
        <w:ind w:left="851"/>
        <w:rPr>
          <w:sz w:val="24"/>
          <w:szCs w:val="24"/>
        </w:rPr>
      </w:pPr>
    </w:p>
    <w:p w14:paraId="124D3ED4" w14:textId="77777777" w:rsidR="00523AF2" w:rsidRPr="000A0C0E" w:rsidRDefault="00523AF2" w:rsidP="000A0C0E">
      <w:pPr>
        <w:ind w:left="851"/>
        <w:rPr>
          <w:sz w:val="24"/>
          <w:szCs w:val="24"/>
        </w:rPr>
      </w:pPr>
      <w:r w:rsidRPr="000A0C0E">
        <w:rPr>
          <w:sz w:val="24"/>
          <w:szCs w:val="24"/>
        </w:rPr>
        <w:t xml:space="preserve">En nedsat </w:t>
      </w:r>
      <w:proofErr w:type="spellStart"/>
      <w:r w:rsidRPr="000A0C0E">
        <w:rPr>
          <w:sz w:val="24"/>
          <w:szCs w:val="24"/>
        </w:rPr>
        <w:t>clearance</w:t>
      </w:r>
      <w:proofErr w:type="spellEnd"/>
      <w:r w:rsidRPr="000A0C0E">
        <w:rPr>
          <w:sz w:val="24"/>
          <w:szCs w:val="24"/>
        </w:rPr>
        <w:t xml:space="preserve"> af kønshormoner på grund af enzymhæmning kan øge eksponeringen for </w:t>
      </w:r>
      <w:proofErr w:type="spellStart"/>
      <w:r w:rsidRPr="000A0C0E">
        <w:rPr>
          <w:sz w:val="24"/>
          <w:szCs w:val="24"/>
        </w:rPr>
        <w:t>dienogest</w:t>
      </w:r>
      <w:proofErr w:type="spellEnd"/>
      <w:r w:rsidRPr="000A0C0E">
        <w:rPr>
          <w:sz w:val="24"/>
          <w:szCs w:val="24"/>
        </w:rPr>
        <w:t xml:space="preserve"> og kan medføre bivirkninger.</w:t>
      </w:r>
    </w:p>
    <w:p w14:paraId="3870060F" w14:textId="77777777" w:rsidR="00523AF2" w:rsidRPr="000A0C0E" w:rsidRDefault="00523AF2" w:rsidP="000A0C0E">
      <w:pPr>
        <w:ind w:left="851"/>
        <w:rPr>
          <w:sz w:val="24"/>
          <w:szCs w:val="24"/>
        </w:rPr>
      </w:pPr>
    </w:p>
    <w:p w14:paraId="3CA54C62" w14:textId="77777777" w:rsidR="00523AF2" w:rsidRPr="00020C7C" w:rsidRDefault="00523AF2" w:rsidP="00020C7C">
      <w:pPr>
        <w:pStyle w:val="Listeafsnit"/>
        <w:numPr>
          <w:ilvl w:val="0"/>
          <w:numId w:val="16"/>
        </w:numPr>
        <w:ind w:left="1276" w:hanging="425"/>
        <w:rPr>
          <w:sz w:val="24"/>
          <w:szCs w:val="24"/>
        </w:rPr>
      </w:pPr>
      <w:r w:rsidRPr="00020C7C">
        <w:rPr>
          <w:sz w:val="24"/>
          <w:szCs w:val="24"/>
        </w:rPr>
        <w:t xml:space="preserve">Stoffer, der øger </w:t>
      </w:r>
      <w:proofErr w:type="spellStart"/>
      <w:r w:rsidRPr="00020C7C">
        <w:rPr>
          <w:sz w:val="24"/>
          <w:szCs w:val="24"/>
        </w:rPr>
        <w:t>clearance</w:t>
      </w:r>
      <w:proofErr w:type="spellEnd"/>
      <w:r w:rsidRPr="00020C7C">
        <w:rPr>
          <w:sz w:val="24"/>
          <w:szCs w:val="24"/>
        </w:rPr>
        <w:t xml:space="preserve"> af kønshormoner (reduceret virkning ved enzyminduktion), f.eks.: </w:t>
      </w:r>
      <w:proofErr w:type="spellStart"/>
      <w:r w:rsidRPr="00020C7C">
        <w:rPr>
          <w:sz w:val="24"/>
          <w:szCs w:val="24"/>
        </w:rPr>
        <w:t>phenytoin</w:t>
      </w:r>
      <w:proofErr w:type="spellEnd"/>
      <w:r w:rsidRPr="00020C7C">
        <w:rPr>
          <w:sz w:val="24"/>
          <w:szCs w:val="24"/>
        </w:rPr>
        <w:t xml:space="preserve">, barbiturater, </w:t>
      </w:r>
      <w:proofErr w:type="spellStart"/>
      <w:r w:rsidRPr="00020C7C">
        <w:rPr>
          <w:sz w:val="24"/>
          <w:szCs w:val="24"/>
        </w:rPr>
        <w:t>primidon</w:t>
      </w:r>
      <w:proofErr w:type="spellEnd"/>
      <w:r w:rsidRPr="00020C7C">
        <w:rPr>
          <w:sz w:val="24"/>
          <w:szCs w:val="24"/>
        </w:rPr>
        <w:t xml:space="preserve">, </w:t>
      </w:r>
      <w:proofErr w:type="spellStart"/>
      <w:r w:rsidRPr="00020C7C">
        <w:rPr>
          <w:sz w:val="24"/>
          <w:szCs w:val="24"/>
        </w:rPr>
        <w:t>carbamazepin</w:t>
      </w:r>
      <w:proofErr w:type="spellEnd"/>
      <w:r w:rsidRPr="00020C7C">
        <w:rPr>
          <w:sz w:val="24"/>
          <w:szCs w:val="24"/>
        </w:rPr>
        <w:t xml:space="preserve">, </w:t>
      </w:r>
      <w:proofErr w:type="spellStart"/>
      <w:r w:rsidRPr="00020C7C">
        <w:rPr>
          <w:sz w:val="24"/>
          <w:szCs w:val="24"/>
        </w:rPr>
        <w:t>rifampicin</w:t>
      </w:r>
      <w:proofErr w:type="spellEnd"/>
      <w:r w:rsidRPr="00020C7C">
        <w:rPr>
          <w:sz w:val="24"/>
          <w:szCs w:val="24"/>
        </w:rPr>
        <w:t xml:space="preserve"> og muligvis også </w:t>
      </w:r>
      <w:proofErr w:type="spellStart"/>
      <w:r w:rsidRPr="00020C7C">
        <w:rPr>
          <w:sz w:val="24"/>
          <w:szCs w:val="24"/>
        </w:rPr>
        <w:t>oxcarbazepin</w:t>
      </w:r>
      <w:proofErr w:type="spellEnd"/>
      <w:r w:rsidRPr="00020C7C">
        <w:rPr>
          <w:sz w:val="24"/>
          <w:szCs w:val="24"/>
        </w:rPr>
        <w:t xml:space="preserve">, </w:t>
      </w:r>
      <w:proofErr w:type="spellStart"/>
      <w:r w:rsidRPr="00020C7C">
        <w:rPr>
          <w:sz w:val="24"/>
          <w:szCs w:val="24"/>
        </w:rPr>
        <w:t>topiramat</w:t>
      </w:r>
      <w:proofErr w:type="spellEnd"/>
      <w:r w:rsidRPr="00020C7C">
        <w:rPr>
          <w:sz w:val="24"/>
          <w:szCs w:val="24"/>
        </w:rPr>
        <w:t xml:space="preserve">, </w:t>
      </w:r>
      <w:proofErr w:type="spellStart"/>
      <w:r w:rsidRPr="00020C7C">
        <w:rPr>
          <w:sz w:val="24"/>
          <w:szCs w:val="24"/>
        </w:rPr>
        <w:t>felbamat</w:t>
      </w:r>
      <w:proofErr w:type="spellEnd"/>
      <w:r w:rsidRPr="00020C7C">
        <w:rPr>
          <w:sz w:val="24"/>
          <w:szCs w:val="24"/>
        </w:rPr>
        <w:t xml:space="preserve">, </w:t>
      </w:r>
      <w:proofErr w:type="spellStart"/>
      <w:r w:rsidRPr="00020C7C">
        <w:rPr>
          <w:sz w:val="24"/>
          <w:szCs w:val="24"/>
        </w:rPr>
        <w:t>griseofulvin</w:t>
      </w:r>
      <w:proofErr w:type="spellEnd"/>
      <w:r w:rsidRPr="00020C7C">
        <w:rPr>
          <w:sz w:val="24"/>
          <w:szCs w:val="24"/>
        </w:rPr>
        <w:t xml:space="preserve"> og præparater, som indeholder prikbladet perikum (</w:t>
      </w:r>
      <w:proofErr w:type="spellStart"/>
      <w:r w:rsidRPr="00020C7C">
        <w:rPr>
          <w:i/>
          <w:iCs/>
          <w:sz w:val="24"/>
          <w:szCs w:val="24"/>
        </w:rPr>
        <w:t>Hypericum</w:t>
      </w:r>
      <w:proofErr w:type="spellEnd"/>
      <w:r w:rsidRPr="00020C7C">
        <w:rPr>
          <w:i/>
          <w:iCs/>
          <w:sz w:val="24"/>
          <w:szCs w:val="24"/>
        </w:rPr>
        <w:t xml:space="preserve"> </w:t>
      </w:r>
      <w:proofErr w:type="spellStart"/>
      <w:r w:rsidRPr="00020C7C">
        <w:rPr>
          <w:i/>
          <w:iCs/>
          <w:sz w:val="24"/>
          <w:szCs w:val="24"/>
        </w:rPr>
        <w:t>perforatum</w:t>
      </w:r>
      <w:proofErr w:type="spellEnd"/>
      <w:r w:rsidRPr="00020C7C">
        <w:rPr>
          <w:sz w:val="24"/>
          <w:szCs w:val="24"/>
        </w:rPr>
        <w:t xml:space="preserve">). </w:t>
      </w:r>
    </w:p>
    <w:p w14:paraId="2C702AC3" w14:textId="77777777" w:rsidR="00523AF2" w:rsidRPr="000A0C0E" w:rsidRDefault="00523AF2" w:rsidP="000A0C0E">
      <w:pPr>
        <w:ind w:left="851"/>
        <w:rPr>
          <w:sz w:val="24"/>
          <w:szCs w:val="24"/>
        </w:rPr>
      </w:pPr>
    </w:p>
    <w:p w14:paraId="6625488A" w14:textId="77777777" w:rsidR="00523AF2" w:rsidRPr="000A0C0E" w:rsidRDefault="00523AF2" w:rsidP="000A0C0E">
      <w:pPr>
        <w:ind w:left="851"/>
        <w:rPr>
          <w:sz w:val="24"/>
          <w:szCs w:val="24"/>
        </w:rPr>
      </w:pPr>
      <w:r w:rsidRPr="000A0C0E">
        <w:rPr>
          <w:sz w:val="24"/>
          <w:szCs w:val="24"/>
        </w:rPr>
        <w:t xml:space="preserve">Enzyminduktion kan allerede ses efter få dages behandling. Den maksimale enzyminduktion ses generelt inden for få uger. Efter behandlingens ophør kan enzyminduktionen være opretholdt i omkring 4 uger. </w:t>
      </w:r>
    </w:p>
    <w:p w14:paraId="3F5CBDD5" w14:textId="77777777" w:rsidR="00523AF2" w:rsidRPr="000A0C0E" w:rsidRDefault="00523AF2" w:rsidP="000A0C0E">
      <w:pPr>
        <w:ind w:left="851"/>
        <w:rPr>
          <w:sz w:val="24"/>
          <w:szCs w:val="24"/>
        </w:rPr>
      </w:pPr>
    </w:p>
    <w:p w14:paraId="63EB7D34" w14:textId="17E67929" w:rsidR="00523AF2" w:rsidRPr="000A0C0E" w:rsidRDefault="00523AF2" w:rsidP="000A0C0E">
      <w:pPr>
        <w:ind w:left="851"/>
        <w:rPr>
          <w:sz w:val="24"/>
          <w:szCs w:val="24"/>
        </w:rPr>
      </w:pPr>
      <w:r w:rsidRPr="000A0C0E">
        <w:rPr>
          <w:sz w:val="24"/>
          <w:szCs w:val="24"/>
        </w:rPr>
        <w:t xml:space="preserve">Virkningen af CYP 3A4-induktoren </w:t>
      </w:r>
      <w:proofErr w:type="spellStart"/>
      <w:r w:rsidRPr="000A0C0E">
        <w:rPr>
          <w:sz w:val="24"/>
          <w:szCs w:val="24"/>
        </w:rPr>
        <w:t>rifampicin</w:t>
      </w:r>
      <w:proofErr w:type="spellEnd"/>
      <w:r w:rsidRPr="000A0C0E">
        <w:rPr>
          <w:sz w:val="24"/>
          <w:szCs w:val="24"/>
        </w:rPr>
        <w:t xml:space="preserve"> blev undersøgt hos raske, </w:t>
      </w:r>
      <w:proofErr w:type="spellStart"/>
      <w:r w:rsidRPr="000A0C0E">
        <w:rPr>
          <w:sz w:val="24"/>
          <w:szCs w:val="24"/>
        </w:rPr>
        <w:t>postmenopausale</w:t>
      </w:r>
      <w:proofErr w:type="spellEnd"/>
      <w:r w:rsidRPr="000A0C0E">
        <w:rPr>
          <w:sz w:val="24"/>
          <w:szCs w:val="24"/>
        </w:rPr>
        <w:t xml:space="preserve"> kvinder. Samtidig indgift af </w:t>
      </w:r>
      <w:proofErr w:type="spellStart"/>
      <w:r w:rsidRPr="000A0C0E">
        <w:rPr>
          <w:sz w:val="24"/>
          <w:szCs w:val="24"/>
        </w:rPr>
        <w:t>rifampicin</w:t>
      </w:r>
      <w:proofErr w:type="spellEnd"/>
      <w:r w:rsidRPr="000A0C0E">
        <w:rPr>
          <w:sz w:val="24"/>
          <w:szCs w:val="24"/>
        </w:rPr>
        <w:t xml:space="preserve"> og </w:t>
      </w:r>
      <w:proofErr w:type="spellStart"/>
      <w:r w:rsidRPr="000A0C0E">
        <w:rPr>
          <w:sz w:val="24"/>
          <w:szCs w:val="24"/>
        </w:rPr>
        <w:t>estradiolvalerat</w:t>
      </w:r>
      <w:proofErr w:type="spellEnd"/>
      <w:r w:rsidRPr="000A0C0E">
        <w:rPr>
          <w:sz w:val="24"/>
          <w:szCs w:val="24"/>
        </w:rPr>
        <w:t>/</w:t>
      </w:r>
      <w:proofErr w:type="spellStart"/>
      <w:r w:rsidRPr="000A0C0E">
        <w:rPr>
          <w:sz w:val="24"/>
          <w:szCs w:val="24"/>
        </w:rPr>
        <w:t>dienogest</w:t>
      </w:r>
      <w:proofErr w:type="spellEnd"/>
      <w:r w:rsidRPr="000A0C0E">
        <w:rPr>
          <w:sz w:val="24"/>
          <w:szCs w:val="24"/>
        </w:rPr>
        <w:t xml:space="preserve">-tabletter medførte et signifikant fald i </w:t>
      </w:r>
      <w:proofErr w:type="spellStart"/>
      <w:r w:rsidR="00C70CFB">
        <w:rPr>
          <w:sz w:val="24"/>
          <w:szCs w:val="24"/>
        </w:rPr>
        <w:t>steady</w:t>
      </w:r>
      <w:proofErr w:type="spellEnd"/>
      <w:r w:rsidR="00C70CFB">
        <w:rPr>
          <w:sz w:val="24"/>
          <w:szCs w:val="24"/>
        </w:rPr>
        <w:t>-state</w:t>
      </w:r>
      <w:r w:rsidRPr="000A0C0E">
        <w:rPr>
          <w:sz w:val="24"/>
          <w:szCs w:val="24"/>
        </w:rPr>
        <w:t xml:space="preserve">-koncentrationen og den systemiske eksponering af </w:t>
      </w:r>
      <w:proofErr w:type="spellStart"/>
      <w:r w:rsidRPr="000A0C0E">
        <w:rPr>
          <w:sz w:val="24"/>
          <w:szCs w:val="24"/>
        </w:rPr>
        <w:t>dienogest</w:t>
      </w:r>
      <w:proofErr w:type="spellEnd"/>
      <w:r w:rsidRPr="000A0C0E">
        <w:rPr>
          <w:sz w:val="24"/>
          <w:szCs w:val="24"/>
        </w:rPr>
        <w:t xml:space="preserve"> og </w:t>
      </w:r>
      <w:proofErr w:type="spellStart"/>
      <w:r w:rsidRPr="000A0C0E">
        <w:rPr>
          <w:sz w:val="24"/>
          <w:szCs w:val="24"/>
        </w:rPr>
        <w:t>estradiol</w:t>
      </w:r>
      <w:proofErr w:type="spellEnd"/>
      <w:r w:rsidRPr="000A0C0E">
        <w:rPr>
          <w:sz w:val="24"/>
          <w:szCs w:val="24"/>
        </w:rPr>
        <w:t xml:space="preserve">. Den systemiske eksponering af </w:t>
      </w:r>
      <w:proofErr w:type="spellStart"/>
      <w:r w:rsidRPr="000A0C0E">
        <w:rPr>
          <w:sz w:val="24"/>
          <w:szCs w:val="24"/>
        </w:rPr>
        <w:t>dienogest</w:t>
      </w:r>
      <w:proofErr w:type="spellEnd"/>
      <w:r w:rsidRPr="000A0C0E">
        <w:rPr>
          <w:sz w:val="24"/>
          <w:szCs w:val="24"/>
        </w:rPr>
        <w:t xml:space="preserve"> og </w:t>
      </w:r>
      <w:proofErr w:type="spellStart"/>
      <w:r w:rsidRPr="000A0C0E">
        <w:rPr>
          <w:sz w:val="24"/>
          <w:szCs w:val="24"/>
        </w:rPr>
        <w:t>estradiol</w:t>
      </w:r>
      <w:proofErr w:type="spellEnd"/>
      <w:r w:rsidRPr="000A0C0E">
        <w:rPr>
          <w:sz w:val="24"/>
          <w:szCs w:val="24"/>
        </w:rPr>
        <w:t xml:space="preserve"> ved </w:t>
      </w:r>
      <w:proofErr w:type="spellStart"/>
      <w:r w:rsidR="00C70CFB">
        <w:rPr>
          <w:sz w:val="24"/>
          <w:szCs w:val="24"/>
        </w:rPr>
        <w:t>steady-state</w:t>
      </w:r>
      <w:proofErr w:type="spellEnd"/>
      <w:r w:rsidRPr="000A0C0E">
        <w:rPr>
          <w:sz w:val="24"/>
          <w:szCs w:val="24"/>
        </w:rPr>
        <w:t>, målt ved AUC(0-24t), faldt med hhv. 83</w:t>
      </w:r>
      <w:r w:rsidR="00922729">
        <w:rPr>
          <w:sz w:val="24"/>
          <w:szCs w:val="24"/>
        </w:rPr>
        <w:t xml:space="preserve"> %</w:t>
      </w:r>
      <w:r w:rsidRPr="000A0C0E">
        <w:rPr>
          <w:sz w:val="24"/>
          <w:szCs w:val="24"/>
        </w:rPr>
        <w:t xml:space="preserve"> og 44</w:t>
      </w:r>
      <w:r w:rsidR="00922729">
        <w:rPr>
          <w:sz w:val="24"/>
          <w:szCs w:val="24"/>
        </w:rPr>
        <w:t xml:space="preserve"> %</w:t>
      </w:r>
      <w:r w:rsidRPr="000A0C0E">
        <w:rPr>
          <w:sz w:val="24"/>
          <w:szCs w:val="24"/>
        </w:rPr>
        <w:t>.</w:t>
      </w:r>
    </w:p>
    <w:p w14:paraId="5C2F1226" w14:textId="77777777" w:rsidR="00523AF2" w:rsidRPr="000A0C0E" w:rsidRDefault="00523AF2" w:rsidP="000A0C0E">
      <w:pPr>
        <w:ind w:left="851"/>
        <w:rPr>
          <w:sz w:val="24"/>
          <w:szCs w:val="24"/>
        </w:rPr>
      </w:pPr>
    </w:p>
    <w:p w14:paraId="14D828FA" w14:textId="77777777" w:rsidR="00523AF2" w:rsidRPr="00020C7C" w:rsidRDefault="00523AF2" w:rsidP="00020C7C">
      <w:pPr>
        <w:pStyle w:val="Listeafsnit"/>
        <w:numPr>
          <w:ilvl w:val="0"/>
          <w:numId w:val="16"/>
        </w:numPr>
        <w:ind w:left="1276" w:hanging="425"/>
        <w:rPr>
          <w:sz w:val="24"/>
          <w:szCs w:val="24"/>
        </w:rPr>
      </w:pPr>
      <w:r w:rsidRPr="00020C7C">
        <w:rPr>
          <w:sz w:val="24"/>
          <w:szCs w:val="24"/>
        </w:rPr>
        <w:t xml:space="preserve">Stoffer med variabel virkning på </w:t>
      </w:r>
      <w:proofErr w:type="spellStart"/>
      <w:r w:rsidRPr="00020C7C">
        <w:rPr>
          <w:sz w:val="24"/>
          <w:szCs w:val="24"/>
        </w:rPr>
        <w:t>clearance</w:t>
      </w:r>
      <w:proofErr w:type="spellEnd"/>
      <w:r w:rsidRPr="00020C7C">
        <w:rPr>
          <w:sz w:val="24"/>
          <w:szCs w:val="24"/>
        </w:rPr>
        <w:t xml:space="preserve"> af kønshormoner: Når de gives sammen med kønshormoner, kan mange kombinationer af hiv-</w:t>
      </w:r>
      <w:proofErr w:type="spellStart"/>
      <w:r w:rsidRPr="00020C7C">
        <w:rPr>
          <w:sz w:val="24"/>
          <w:szCs w:val="24"/>
        </w:rPr>
        <w:t>proteasehæmmere</w:t>
      </w:r>
      <w:proofErr w:type="spellEnd"/>
      <w:r w:rsidRPr="00020C7C">
        <w:rPr>
          <w:sz w:val="24"/>
          <w:szCs w:val="24"/>
        </w:rPr>
        <w:t xml:space="preserve"> og non-</w:t>
      </w:r>
      <w:proofErr w:type="spellStart"/>
      <w:r w:rsidRPr="00020C7C">
        <w:rPr>
          <w:sz w:val="24"/>
          <w:szCs w:val="24"/>
        </w:rPr>
        <w:t>nukleosid</w:t>
      </w:r>
      <w:proofErr w:type="spellEnd"/>
      <w:r w:rsidRPr="00020C7C">
        <w:rPr>
          <w:sz w:val="24"/>
          <w:szCs w:val="24"/>
        </w:rPr>
        <w:t xml:space="preserve"> </w:t>
      </w:r>
      <w:proofErr w:type="spellStart"/>
      <w:r w:rsidRPr="00020C7C">
        <w:rPr>
          <w:sz w:val="24"/>
          <w:szCs w:val="24"/>
        </w:rPr>
        <w:t>reverse</w:t>
      </w:r>
      <w:proofErr w:type="spellEnd"/>
      <w:r w:rsidRPr="00020C7C">
        <w:rPr>
          <w:sz w:val="24"/>
          <w:szCs w:val="24"/>
        </w:rPr>
        <w:t xml:space="preserve"> </w:t>
      </w:r>
      <w:proofErr w:type="spellStart"/>
      <w:r w:rsidRPr="00020C7C">
        <w:rPr>
          <w:sz w:val="24"/>
          <w:szCs w:val="24"/>
        </w:rPr>
        <w:t>transkriptasehæmmere</w:t>
      </w:r>
      <w:proofErr w:type="spellEnd"/>
      <w:r w:rsidRPr="00020C7C">
        <w:rPr>
          <w:sz w:val="24"/>
          <w:szCs w:val="24"/>
        </w:rPr>
        <w:t xml:space="preserve">, herunder kombinationer med </w:t>
      </w:r>
      <w:proofErr w:type="spellStart"/>
      <w:r w:rsidRPr="00020C7C">
        <w:rPr>
          <w:sz w:val="24"/>
          <w:szCs w:val="24"/>
        </w:rPr>
        <w:t>hcv-hæmmere</w:t>
      </w:r>
      <w:proofErr w:type="spellEnd"/>
      <w:r w:rsidRPr="00020C7C">
        <w:rPr>
          <w:sz w:val="24"/>
          <w:szCs w:val="24"/>
        </w:rPr>
        <w:t xml:space="preserve">, øge eller reducere plasmakoncentrationerne af </w:t>
      </w:r>
      <w:proofErr w:type="spellStart"/>
      <w:r w:rsidRPr="00020C7C">
        <w:rPr>
          <w:sz w:val="24"/>
          <w:szCs w:val="24"/>
        </w:rPr>
        <w:t>progestin</w:t>
      </w:r>
      <w:proofErr w:type="spellEnd"/>
      <w:r w:rsidRPr="00020C7C">
        <w:rPr>
          <w:sz w:val="24"/>
          <w:szCs w:val="24"/>
        </w:rPr>
        <w:t>. Nettovirkningen af disse ændringer kan i nogle tilfælde være klinisk relevant,</w:t>
      </w:r>
    </w:p>
    <w:p w14:paraId="43A8CB3F" w14:textId="77777777" w:rsidR="00523AF2" w:rsidRPr="000A0C0E" w:rsidRDefault="00523AF2" w:rsidP="000A0C0E">
      <w:pPr>
        <w:ind w:left="851"/>
        <w:rPr>
          <w:sz w:val="24"/>
          <w:szCs w:val="24"/>
          <w:shd w:val="clear" w:color="auto" w:fill="B3B3B3"/>
        </w:rPr>
      </w:pPr>
    </w:p>
    <w:p w14:paraId="3D8A1437" w14:textId="77777777" w:rsidR="00523AF2" w:rsidRPr="00244671" w:rsidRDefault="00523AF2" w:rsidP="00244671">
      <w:pPr>
        <w:pStyle w:val="Listeafsnit"/>
        <w:numPr>
          <w:ilvl w:val="0"/>
          <w:numId w:val="16"/>
        </w:numPr>
        <w:ind w:left="1276" w:hanging="425"/>
        <w:rPr>
          <w:sz w:val="24"/>
          <w:szCs w:val="24"/>
        </w:rPr>
      </w:pPr>
      <w:r w:rsidRPr="00244671">
        <w:rPr>
          <w:sz w:val="24"/>
          <w:szCs w:val="24"/>
        </w:rPr>
        <w:t xml:space="preserve">Stoffer, der reducerer </w:t>
      </w:r>
      <w:proofErr w:type="spellStart"/>
      <w:r w:rsidRPr="00244671">
        <w:rPr>
          <w:sz w:val="24"/>
          <w:szCs w:val="24"/>
        </w:rPr>
        <w:t>clearance</w:t>
      </w:r>
      <w:proofErr w:type="spellEnd"/>
      <w:r w:rsidRPr="00244671">
        <w:rPr>
          <w:sz w:val="24"/>
          <w:szCs w:val="24"/>
        </w:rPr>
        <w:t xml:space="preserve"> af kønshormoner (</w:t>
      </w:r>
      <w:proofErr w:type="spellStart"/>
      <w:r w:rsidRPr="00244671">
        <w:rPr>
          <w:sz w:val="24"/>
          <w:szCs w:val="24"/>
        </w:rPr>
        <w:t>enzymhæmmere</w:t>
      </w:r>
      <w:proofErr w:type="spellEnd"/>
      <w:r w:rsidRPr="00244671">
        <w:rPr>
          <w:sz w:val="24"/>
          <w:szCs w:val="24"/>
        </w:rPr>
        <w:t xml:space="preserve">) </w:t>
      </w:r>
    </w:p>
    <w:p w14:paraId="75366422" w14:textId="77777777" w:rsidR="00523AF2" w:rsidRPr="000A0C0E" w:rsidRDefault="00523AF2" w:rsidP="000A0C0E">
      <w:pPr>
        <w:ind w:left="851"/>
        <w:rPr>
          <w:sz w:val="24"/>
          <w:szCs w:val="24"/>
        </w:rPr>
      </w:pPr>
      <w:proofErr w:type="spellStart"/>
      <w:r w:rsidRPr="000A0C0E">
        <w:rPr>
          <w:sz w:val="24"/>
          <w:szCs w:val="24"/>
        </w:rPr>
        <w:t>Dienogest</w:t>
      </w:r>
      <w:proofErr w:type="spellEnd"/>
      <w:r w:rsidRPr="000A0C0E">
        <w:rPr>
          <w:sz w:val="24"/>
          <w:szCs w:val="24"/>
        </w:rPr>
        <w:t xml:space="preserve"> er et substrat af </w:t>
      </w:r>
      <w:proofErr w:type="spellStart"/>
      <w:r w:rsidRPr="000A0C0E">
        <w:rPr>
          <w:sz w:val="24"/>
          <w:szCs w:val="24"/>
        </w:rPr>
        <w:t>cytochrom</w:t>
      </w:r>
      <w:proofErr w:type="spellEnd"/>
      <w:r w:rsidRPr="000A0C0E">
        <w:rPr>
          <w:sz w:val="24"/>
          <w:szCs w:val="24"/>
        </w:rPr>
        <w:t xml:space="preserve"> P450 (CYP) 3A4.</w:t>
      </w:r>
    </w:p>
    <w:p w14:paraId="42AC6A9B" w14:textId="77777777" w:rsidR="00523AF2" w:rsidRPr="000A0C0E" w:rsidRDefault="00523AF2" w:rsidP="000A0C0E">
      <w:pPr>
        <w:ind w:left="851"/>
        <w:rPr>
          <w:sz w:val="24"/>
          <w:szCs w:val="24"/>
        </w:rPr>
      </w:pPr>
    </w:p>
    <w:p w14:paraId="6B8298B1" w14:textId="77777777" w:rsidR="00523AF2" w:rsidRPr="000A0C0E" w:rsidRDefault="00523AF2" w:rsidP="000A0C0E">
      <w:pPr>
        <w:ind w:left="851"/>
        <w:rPr>
          <w:sz w:val="24"/>
          <w:szCs w:val="24"/>
        </w:rPr>
      </w:pPr>
      <w:r w:rsidRPr="000A0C0E">
        <w:rPr>
          <w:sz w:val="24"/>
          <w:szCs w:val="24"/>
        </w:rPr>
        <w:t xml:space="preserve">Den kliniske relevans af potentielle interaktioner med </w:t>
      </w:r>
      <w:proofErr w:type="spellStart"/>
      <w:r w:rsidRPr="000A0C0E">
        <w:rPr>
          <w:sz w:val="24"/>
          <w:szCs w:val="24"/>
        </w:rPr>
        <w:t>enzymhæmmere</w:t>
      </w:r>
      <w:proofErr w:type="spellEnd"/>
      <w:r w:rsidRPr="000A0C0E">
        <w:rPr>
          <w:sz w:val="24"/>
          <w:szCs w:val="24"/>
        </w:rPr>
        <w:t xml:space="preserve"> er ikke kendt. Samtidig indgift af stærke CYP3A4-hæmmere kan øge plasmakoncentrationerne af </w:t>
      </w:r>
      <w:proofErr w:type="spellStart"/>
      <w:r w:rsidRPr="000A0C0E">
        <w:rPr>
          <w:sz w:val="24"/>
          <w:szCs w:val="24"/>
        </w:rPr>
        <w:t>dienogest</w:t>
      </w:r>
      <w:proofErr w:type="spellEnd"/>
      <w:r w:rsidRPr="000A0C0E">
        <w:rPr>
          <w:sz w:val="24"/>
          <w:szCs w:val="24"/>
        </w:rPr>
        <w:t xml:space="preserve">. </w:t>
      </w:r>
    </w:p>
    <w:p w14:paraId="0C28BD15" w14:textId="77777777" w:rsidR="00523AF2" w:rsidRPr="000A0C0E" w:rsidRDefault="00523AF2" w:rsidP="000A0C0E">
      <w:pPr>
        <w:ind w:left="851"/>
        <w:rPr>
          <w:sz w:val="24"/>
          <w:szCs w:val="24"/>
        </w:rPr>
      </w:pPr>
    </w:p>
    <w:p w14:paraId="11EA8EFF" w14:textId="4F753902" w:rsidR="00523AF2" w:rsidRPr="000A0C0E" w:rsidRDefault="00523AF2" w:rsidP="000A0C0E">
      <w:pPr>
        <w:ind w:left="851"/>
        <w:rPr>
          <w:sz w:val="24"/>
          <w:szCs w:val="24"/>
        </w:rPr>
      </w:pPr>
      <w:r w:rsidRPr="000A0C0E">
        <w:rPr>
          <w:sz w:val="24"/>
          <w:szCs w:val="24"/>
        </w:rPr>
        <w:t xml:space="preserve">Samtidig indgift med den stærke CYP3A4-enzymhæmmer </w:t>
      </w:r>
      <w:proofErr w:type="spellStart"/>
      <w:r w:rsidRPr="000A0C0E">
        <w:rPr>
          <w:sz w:val="24"/>
          <w:szCs w:val="24"/>
        </w:rPr>
        <w:t>ketoconazol</w:t>
      </w:r>
      <w:proofErr w:type="spellEnd"/>
      <w:r w:rsidRPr="000A0C0E">
        <w:rPr>
          <w:sz w:val="24"/>
          <w:szCs w:val="24"/>
        </w:rPr>
        <w:t xml:space="preserve"> medførte en stigning i AUC (0-24t) ved </w:t>
      </w:r>
      <w:proofErr w:type="spellStart"/>
      <w:r w:rsidR="00C70CFB">
        <w:rPr>
          <w:sz w:val="24"/>
          <w:szCs w:val="24"/>
        </w:rPr>
        <w:t>steady-state</w:t>
      </w:r>
      <w:proofErr w:type="spellEnd"/>
      <w:r w:rsidRPr="000A0C0E">
        <w:rPr>
          <w:sz w:val="24"/>
          <w:szCs w:val="24"/>
        </w:rPr>
        <w:t xml:space="preserve"> for </w:t>
      </w:r>
      <w:proofErr w:type="spellStart"/>
      <w:r w:rsidRPr="000A0C0E">
        <w:rPr>
          <w:sz w:val="24"/>
          <w:szCs w:val="24"/>
        </w:rPr>
        <w:t>dienogest</w:t>
      </w:r>
      <w:proofErr w:type="spellEnd"/>
      <w:r w:rsidRPr="000A0C0E">
        <w:rPr>
          <w:sz w:val="24"/>
          <w:szCs w:val="24"/>
        </w:rPr>
        <w:t xml:space="preserve"> på 2,9 gange. Samtidig indgift af den moderate hæmmer </w:t>
      </w:r>
      <w:proofErr w:type="spellStart"/>
      <w:r w:rsidRPr="000A0C0E">
        <w:rPr>
          <w:sz w:val="24"/>
          <w:szCs w:val="24"/>
        </w:rPr>
        <w:t>erythromycin</w:t>
      </w:r>
      <w:proofErr w:type="spellEnd"/>
      <w:r w:rsidRPr="000A0C0E">
        <w:rPr>
          <w:sz w:val="24"/>
          <w:szCs w:val="24"/>
        </w:rPr>
        <w:t xml:space="preserve"> øgede AUC (0-24t) for </w:t>
      </w:r>
      <w:proofErr w:type="spellStart"/>
      <w:r w:rsidRPr="000A0C0E">
        <w:rPr>
          <w:sz w:val="24"/>
          <w:szCs w:val="24"/>
        </w:rPr>
        <w:t>dienogest</w:t>
      </w:r>
      <w:proofErr w:type="spellEnd"/>
      <w:r w:rsidRPr="000A0C0E">
        <w:rPr>
          <w:sz w:val="24"/>
          <w:szCs w:val="24"/>
        </w:rPr>
        <w:t xml:space="preserve"> med 1,6 gange. </w:t>
      </w:r>
    </w:p>
    <w:p w14:paraId="6E7C813C" w14:textId="77777777" w:rsidR="00523AF2" w:rsidRPr="000A0C0E" w:rsidRDefault="00523AF2" w:rsidP="000A0C0E">
      <w:pPr>
        <w:ind w:left="851"/>
        <w:rPr>
          <w:sz w:val="24"/>
          <w:szCs w:val="24"/>
        </w:rPr>
      </w:pPr>
    </w:p>
    <w:p w14:paraId="3976C845" w14:textId="77777777" w:rsidR="00523AF2" w:rsidRPr="00244671" w:rsidRDefault="00523AF2" w:rsidP="00244671">
      <w:pPr>
        <w:pStyle w:val="Listeafsnit"/>
        <w:numPr>
          <w:ilvl w:val="0"/>
          <w:numId w:val="17"/>
        </w:numPr>
        <w:ind w:left="1276" w:hanging="425"/>
        <w:rPr>
          <w:b/>
          <w:i/>
          <w:sz w:val="24"/>
          <w:szCs w:val="24"/>
          <w:u w:val="single"/>
        </w:rPr>
      </w:pPr>
      <w:proofErr w:type="spellStart"/>
      <w:r w:rsidRPr="00244671">
        <w:rPr>
          <w:i/>
          <w:sz w:val="24"/>
          <w:szCs w:val="24"/>
          <w:u w:val="single"/>
        </w:rPr>
        <w:t>Dienosis</w:t>
      </w:r>
      <w:proofErr w:type="spellEnd"/>
      <w:r w:rsidRPr="00244671">
        <w:rPr>
          <w:i/>
          <w:sz w:val="24"/>
          <w:szCs w:val="24"/>
          <w:u w:val="single"/>
        </w:rPr>
        <w:t>’</w:t>
      </w:r>
      <w:r w:rsidRPr="00244671">
        <w:rPr>
          <w:b/>
          <w:i/>
          <w:sz w:val="24"/>
          <w:szCs w:val="24"/>
          <w:u w:val="single"/>
        </w:rPr>
        <w:t xml:space="preserve"> </w:t>
      </w:r>
      <w:r w:rsidRPr="00244671">
        <w:rPr>
          <w:i/>
          <w:sz w:val="24"/>
          <w:szCs w:val="24"/>
          <w:u w:val="single"/>
        </w:rPr>
        <w:t>virkning på andre lægemidler</w:t>
      </w:r>
    </w:p>
    <w:p w14:paraId="1CEDC115" w14:textId="77777777" w:rsidR="00523AF2" w:rsidRPr="000A0C0E" w:rsidRDefault="00523AF2" w:rsidP="000A0C0E">
      <w:pPr>
        <w:ind w:left="851"/>
        <w:rPr>
          <w:sz w:val="24"/>
          <w:szCs w:val="24"/>
        </w:rPr>
      </w:pPr>
      <w:r w:rsidRPr="000A0C0E">
        <w:rPr>
          <w:sz w:val="24"/>
          <w:szCs w:val="24"/>
        </w:rPr>
        <w:t xml:space="preserve">Baseret på studier af hæmning </w:t>
      </w:r>
      <w:r w:rsidRPr="000A0C0E">
        <w:rPr>
          <w:i/>
          <w:sz w:val="24"/>
          <w:szCs w:val="24"/>
        </w:rPr>
        <w:t xml:space="preserve">in </w:t>
      </w:r>
      <w:proofErr w:type="spellStart"/>
      <w:r w:rsidRPr="000A0C0E">
        <w:rPr>
          <w:i/>
          <w:sz w:val="24"/>
          <w:szCs w:val="24"/>
        </w:rPr>
        <w:t>vitro</w:t>
      </w:r>
      <w:proofErr w:type="spellEnd"/>
      <w:r w:rsidRPr="000A0C0E">
        <w:rPr>
          <w:sz w:val="24"/>
          <w:szCs w:val="24"/>
        </w:rPr>
        <w:t xml:space="preserve"> er en klinisk relevant interaktion af </w:t>
      </w:r>
      <w:proofErr w:type="spellStart"/>
      <w:r w:rsidRPr="000A0C0E">
        <w:rPr>
          <w:sz w:val="24"/>
          <w:szCs w:val="24"/>
        </w:rPr>
        <w:t>dienogest</w:t>
      </w:r>
      <w:proofErr w:type="spellEnd"/>
      <w:r w:rsidRPr="000A0C0E">
        <w:rPr>
          <w:sz w:val="24"/>
          <w:szCs w:val="24"/>
        </w:rPr>
        <w:t xml:space="preserve"> med </w:t>
      </w:r>
      <w:proofErr w:type="spellStart"/>
      <w:r w:rsidRPr="000A0C0E">
        <w:rPr>
          <w:sz w:val="24"/>
          <w:szCs w:val="24"/>
        </w:rPr>
        <w:t>cytochrom</w:t>
      </w:r>
      <w:proofErr w:type="spellEnd"/>
      <w:r w:rsidRPr="000A0C0E">
        <w:rPr>
          <w:sz w:val="24"/>
          <w:szCs w:val="24"/>
        </w:rPr>
        <w:t> P450-enzymmedieret metabolisme af andre lægemidler ikke sandsynlig.</w:t>
      </w:r>
    </w:p>
    <w:p w14:paraId="6814F714" w14:textId="77777777" w:rsidR="00523AF2" w:rsidRPr="000A0C0E" w:rsidRDefault="00523AF2" w:rsidP="000A0C0E">
      <w:pPr>
        <w:ind w:left="851"/>
        <w:rPr>
          <w:sz w:val="24"/>
          <w:szCs w:val="24"/>
        </w:rPr>
      </w:pPr>
    </w:p>
    <w:p w14:paraId="075799CE" w14:textId="77777777" w:rsidR="00523AF2" w:rsidRPr="00244671" w:rsidRDefault="00523AF2" w:rsidP="00244671">
      <w:pPr>
        <w:pStyle w:val="Listeafsnit"/>
        <w:numPr>
          <w:ilvl w:val="0"/>
          <w:numId w:val="17"/>
        </w:numPr>
        <w:ind w:left="1276" w:hanging="425"/>
        <w:rPr>
          <w:i/>
          <w:sz w:val="24"/>
          <w:szCs w:val="24"/>
          <w:u w:val="single"/>
        </w:rPr>
      </w:pPr>
      <w:r w:rsidRPr="00244671">
        <w:rPr>
          <w:i/>
          <w:sz w:val="24"/>
          <w:szCs w:val="24"/>
          <w:u w:val="single"/>
        </w:rPr>
        <w:t>Interaktion med fødevarer</w:t>
      </w:r>
    </w:p>
    <w:p w14:paraId="46B417A7" w14:textId="77777777" w:rsidR="00523AF2" w:rsidRPr="000A0C0E" w:rsidRDefault="00523AF2" w:rsidP="000A0C0E">
      <w:pPr>
        <w:ind w:left="851"/>
        <w:rPr>
          <w:sz w:val="24"/>
          <w:szCs w:val="24"/>
        </w:rPr>
      </w:pPr>
      <w:r w:rsidRPr="000A0C0E">
        <w:rPr>
          <w:sz w:val="24"/>
          <w:szCs w:val="24"/>
        </w:rPr>
        <w:t xml:space="preserve">Et standardiseret måltid med højt fedtindhold påvirkede ikke </w:t>
      </w:r>
      <w:proofErr w:type="spellStart"/>
      <w:r w:rsidRPr="000A0C0E">
        <w:rPr>
          <w:sz w:val="24"/>
          <w:szCs w:val="24"/>
        </w:rPr>
        <w:t>Dienosis</w:t>
      </w:r>
      <w:proofErr w:type="spellEnd"/>
      <w:r w:rsidRPr="000A0C0E">
        <w:rPr>
          <w:sz w:val="24"/>
          <w:szCs w:val="24"/>
        </w:rPr>
        <w:t xml:space="preserve">’ </w:t>
      </w:r>
      <w:r w:rsidRPr="000A0C0E">
        <w:rPr>
          <w:rFonts w:eastAsia="TimesNewRoman"/>
          <w:color w:val="000000"/>
          <w:sz w:val="24"/>
          <w:szCs w:val="24"/>
        </w:rPr>
        <w:t>biotilgængelighed</w:t>
      </w:r>
      <w:r w:rsidRPr="000A0C0E">
        <w:rPr>
          <w:sz w:val="24"/>
          <w:szCs w:val="24"/>
        </w:rPr>
        <w:t>.</w:t>
      </w:r>
    </w:p>
    <w:p w14:paraId="05FC34C4" w14:textId="77777777" w:rsidR="00523AF2" w:rsidRPr="000A0C0E" w:rsidRDefault="00523AF2" w:rsidP="000A0C0E">
      <w:pPr>
        <w:ind w:left="851"/>
        <w:rPr>
          <w:sz w:val="24"/>
          <w:szCs w:val="24"/>
        </w:rPr>
      </w:pPr>
    </w:p>
    <w:p w14:paraId="3781078A" w14:textId="77777777" w:rsidR="00523AF2" w:rsidRPr="00244671" w:rsidRDefault="00523AF2" w:rsidP="00244671">
      <w:pPr>
        <w:pStyle w:val="Listeafsnit"/>
        <w:numPr>
          <w:ilvl w:val="0"/>
          <w:numId w:val="17"/>
        </w:numPr>
        <w:ind w:left="1276" w:hanging="425"/>
        <w:rPr>
          <w:i/>
          <w:sz w:val="24"/>
          <w:szCs w:val="24"/>
          <w:u w:val="single"/>
        </w:rPr>
      </w:pPr>
      <w:r w:rsidRPr="00244671">
        <w:rPr>
          <w:i/>
          <w:sz w:val="24"/>
          <w:szCs w:val="24"/>
          <w:u w:val="single"/>
        </w:rPr>
        <w:t>Laboratorieundersøgelser</w:t>
      </w:r>
    </w:p>
    <w:p w14:paraId="6C0B05C8" w14:textId="77777777" w:rsidR="00523AF2" w:rsidRPr="000A0C0E" w:rsidRDefault="00523AF2" w:rsidP="000A0C0E">
      <w:pPr>
        <w:ind w:left="851"/>
        <w:rPr>
          <w:sz w:val="24"/>
          <w:szCs w:val="24"/>
        </w:rPr>
      </w:pPr>
      <w:r w:rsidRPr="000A0C0E">
        <w:rPr>
          <w:sz w:val="24"/>
          <w:szCs w:val="24"/>
        </w:rPr>
        <w:t xml:space="preserve">Brugen af gestagener kan påvirke resultaterne af visse laboratorieundersøgelser, herunder biokemiske parametre for funktionen af lever, skjoldbruskkirtel, binyrer og nyrer, </w:t>
      </w:r>
      <w:r w:rsidRPr="000A0C0E">
        <w:rPr>
          <w:rFonts w:eastAsia="TimesNewRoman"/>
          <w:color w:val="000000"/>
          <w:sz w:val="24"/>
          <w:szCs w:val="24"/>
        </w:rPr>
        <w:t xml:space="preserve">plasmakoncentrationerne af </w:t>
      </w:r>
      <w:r w:rsidRPr="000A0C0E">
        <w:rPr>
          <w:sz w:val="24"/>
          <w:szCs w:val="24"/>
        </w:rPr>
        <w:t xml:space="preserve">(bærer)proteiner, (f.eks. </w:t>
      </w:r>
      <w:proofErr w:type="spellStart"/>
      <w:r w:rsidRPr="000A0C0E">
        <w:rPr>
          <w:sz w:val="24"/>
          <w:szCs w:val="24"/>
        </w:rPr>
        <w:t>kortikosteroidbindende</w:t>
      </w:r>
      <w:proofErr w:type="spellEnd"/>
      <w:r w:rsidRPr="000A0C0E">
        <w:rPr>
          <w:sz w:val="24"/>
          <w:szCs w:val="24"/>
        </w:rPr>
        <w:t xml:space="preserve"> </w:t>
      </w:r>
      <w:proofErr w:type="spellStart"/>
      <w:r w:rsidRPr="000A0C0E">
        <w:rPr>
          <w:sz w:val="24"/>
          <w:szCs w:val="24"/>
        </w:rPr>
        <w:t>globulin</w:t>
      </w:r>
      <w:proofErr w:type="spellEnd"/>
      <w:r w:rsidRPr="000A0C0E">
        <w:rPr>
          <w:sz w:val="24"/>
          <w:szCs w:val="24"/>
        </w:rPr>
        <w:t xml:space="preserve"> og lipid/</w:t>
      </w:r>
      <w:proofErr w:type="spellStart"/>
      <w:r w:rsidRPr="000A0C0E">
        <w:rPr>
          <w:sz w:val="24"/>
          <w:szCs w:val="24"/>
        </w:rPr>
        <w:t>lipoproteinfraktioner</w:t>
      </w:r>
      <w:proofErr w:type="spellEnd"/>
      <w:r w:rsidRPr="000A0C0E">
        <w:rPr>
          <w:sz w:val="24"/>
          <w:szCs w:val="24"/>
        </w:rPr>
        <w:t xml:space="preserve">), parametre for </w:t>
      </w:r>
      <w:proofErr w:type="spellStart"/>
      <w:r w:rsidRPr="000A0C0E">
        <w:rPr>
          <w:sz w:val="24"/>
          <w:szCs w:val="24"/>
        </w:rPr>
        <w:t>karbohydratmetabolismen</w:t>
      </w:r>
      <w:proofErr w:type="spellEnd"/>
      <w:r w:rsidRPr="000A0C0E">
        <w:rPr>
          <w:sz w:val="24"/>
          <w:szCs w:val="24"/>
        </w:rPr>
        <w:t xml:space="preserve"> og parametre for koagulation og </w:t>
      </w:r>
      <w:proofErr w:type="spellStart"/>
      <w:r w:rsidRPr="000A0C0E">
        <w:rPr>
          <w:sz w:val="24"/>
          <w:szCs w:val="24"/>
        </w:rPr>
        <w:t>fibrinolyse</w:t>
      </w:r>
      <w:proofErr w:type="spellEnd"/>
      <w:r w:rsidRPr="000A0C0E">
        <w:rPr>
          <w:sz w:val="24"/>
          <w:szCs w:val="24"/>
        </w:rPr>
        <w:t>. Ændringerne holder sig normalt inden for de normale laboratorieværdier.</w:t>
      </w:r>
    </w:p>
    <w:p w14:paraId="37D123C1" w14:textId="600AA040" w:rsidR="008833A4" w:rsidRDefault="008833A4">
      <w:pPr>
        <w:rPr>
          <w:sz w:val="24"/>
          <w:szCs w:val="24"/>
        </w:rPr>
      </w:pPr>
      <w:r>
        <w:rPr>
          <w:sz w:val="24"/>
          <w:szCs w:val="24"/>
        </w:rPr>
        <w:br w:type="page"/>
      </w:r>
    </w:p>
    <w:p w14:paraId="12B2A6BF" w14:textId="77777777" w:rsidR="009260DE" w:rsidRPr="00C22DB6" w:rsidRDefault="009260DE" w:rsidP="009260DE">
      <w:pPr>
        <w:tabs>
          <w:tab w:val="left" w:pos="851"/>
        </w:tabs>
        <w:ind w:left="851"/>
        <w:rPr>
          <w:sz w:val="24"/>
          <w:szCs w:val="24"/>
        </w:rPr>
      </w:pPr>
    </w:p>
    <w:p w14:paraId="6D5561FA" w14:textId="7253779C" w:rsidR="009260DE" w:rsidRPr="00C22DB6" w:rsidRDefault="009260DE" w:rsidP="009260DE">
      <w:pPr>
        <w:tabs>
          <w:tab w:val="left" w:pos="851"/>
        </w:tabs>
        <w:ind w:left="851" w:hanging="851"/>
        <w:rPr>
          <w:b/>
          <w:sz w:val="24"/>
          <w:szCs w:val="24"/>
        </w:rPr>
      </w:pPr>
      <w:r w:rsidRPr="00C22DB6">
        <w:rPr>
          <w:b/>
          <w:sz w:val="24"/>
          <w:szCs w:val="24"/>
        </w:rPr>
        <w:t>4.6</w:t>
      </w:r>
      <w:r w:rsidRPr="00C22DB6">
        <w:rPr>
          <w:b/>
          <w:sz w:val="24"/>
          <w:szCs w:val="24"/>
        </w:rPr>
        <w:tab/>
      </w:r>
      <w:bookmarkStart w:id="3" w:name="_Hlk121742971"/>
      <w:r w:rsidR="000039D1" w:rsidRPr="00BA4587">
        <w:rPr>
          <w:b/>
          <w:noProof/>
          <w:sz w:val="24"/>
          <w:szCs w:val="24"/>
        </w:rPr>
        <w:t>Fertilitet, g</w:t>
      </w:r>
      <w:r w:rsidR="000039D1" w:rsidRPr="00BA4587">
        <w:rPr>
          <w:b/>
          <w:sz w:val="24"/>
          <w:szCs w:val="24"/>
        </w:rPr>
        <w:t>raviditet og amning</w:t>
      </w:r>
      <w:bookmarkEnd w:id="3"/>
    </w:p>
    <w:p w14:paraId="7936B24C" w14:textId="77777777" w:rsidR="00523AF2" w:rsidRPr="00C22DB6" w:rsidRDefault="00523AF2" w:rsidP="00523AF2">
      <w:pPr>
        <w:rPr>
          <w:noProof/>
          <w:sz w:val="24"/>
          <w:szCs w:val="24"/>
        </w:rPr>
      </w:pPr>
    </w:p>
    <w:p w14:paraId="42630FAF" w14:textId="77777777" w:rsidR="00523AF2" w:rsidRPr="00244671" w:rsidRDefault="00523AF2" w:rsidP="000A0C0E">
      <w:pPr>
        <w:ind w:left="851"/>
        <w:rPr>
          <w:noProof/>
          <w:snapToGrid w:val="0"/>
          <w:sz w:val="24"/>
          <w:szCs w:val="24"/>
          <w:u w:val="single"/>
        </w:rPr>
      </w:pPr>
      <w:r w:rsidRPr="00244671">
        <w:rPr>
          <w:noProof/>
          <w:snapToGrid w:val="0"/>
          <w:sz w:val="24"/>
          <w:szCs w:val="24"/>
          <w:u w:val="single"/>
        </w:rPr>
        <w:t>Graviditet</w:t>
      </w:r>
    </w:p>
    <w:p w14:paraId="6D5D9300" w14:textId="77777777" w:rsidR="00523AF2" w:rsidRPr="000A0C0E" w:rsidRDefault="00523AF2" w:rsidP="000A0C0E">
      <w:pPr>
        <w:ind w:left="851"/>
        <w:rPr>
          <w:noProof/>
          <w:snapToGrid w:val="0"/>
          <w:sz w:val="24"/>
          <w:szCs w:val="24"/>
        </w:rPr>
      </w:pPr>
      <w:r w:rsidRPr="000A0C0E">
        <w:rPr>
          <w:noProof/>
          <w:snapToGrid w:val="0"/>
          <w:sz w:val="24"/>
          <w:szCs w:val="24"/>
        </w:rPr>
        <w:t>Der er utilstrækkelige data fra anvendelse af dienogest til gravide kvinder.</w:t>
      </w:r>
    </w:p>
    <w:p w14:paraId="39DD4C74" w14:textId="77777777" w:rsidR="00523AF2" w:rsidRPr="000A0C0E" w:rsidRDefault="00523AF2" w:rsidP="000A0C0E">
      <w:pPr>
        <w:ind w:left="851"/>
        <w:rPr>
          <w:noProof/>
          <w:snapToGrid w:val="0"/>
          <w:sz w:val="24"/>
          <w:szCs w:val="24"/>
        </w:rPr>
      </w:pPr>
    </w:p>
    <w:p w14:paraId="79CAD5E1" w14:textId="77777777" w:rsidR="00523AF2" w:rsidRPr="000A0C0E" w:rsidRDefault="00523AF2" w:rsidP="000A0C0E">
      <w:pPr>
        <w:ind w:left="851"/>
        <w:rPr>
          <w:noProof/>
          <w:snapToGrid w:val="0"/>
          <w:sz w:val="24"/>
          <w:szCs w:val="24"/>
        </w:rPr>
      </w:pPr>
      <w:r w:rsidRPr="000A0C0E">
        <w:rPr>
          <w:noProof/>
          <w:snapToGrid w:val="0"/>
          <w:sz w:val="24"/>
          <w:szCs w:val="24"/>
        </w:rPr>
        <w:t>Dyreforsøg indikerer hverken direkte eller indirekte skadelige virkninger hvad angår reproduktionstoksicitet (se pkt. 5.3).</w:t>
      </w:r>
    </w:p>
    <w:p w14:paraId="757C0D79" w14:textId="77777777" w:rsidR="00523AF2" w:rsidRPr="000A0C0E" w:rsidRDefault="00523AF2" w:rsidP="000A0C0E">
      <w:pPr>
        <w:ind w:left="851"/>
        <w:rPr>
          <w:noProof/>
          <w:snapToGrid w:val="0"/>
          <w:sz w:val="24"/>
          <w:szCs w:val="24"/>
        </w:rPr>
      </w:pPr>
    </w:p>
    <w:p w14:paraId="331DDB29" w14:textId="77777777" w:rsidR="00523AF2" w:rsidRPr="000A0C0E" w:rsidRDefault="00523AF2" w:rsidP="000A0C0E">
      <w:pPr>
        <w:ind w:left="851"/>
        <w:rPr>
          <w:noProof/>
          <w:snapToGrid w:val="0"/>
          <w:sz w:val="24"/>
          <w:szCs w:val="24"/>
        </w:rPr>
      </w:pPr>
      <w:r w:rsidRPr="000A0C0E">
        <w:rPr>
          <w:noProof/>
          <w:snapToGrid w:val="0"/>
          <w:sz w:val="24"/>
          <w:szCs w:val="24"/>
        </w:rPr>
        <w:t>Dienosis må ikke anvendes til gravide kvinder, da der ikke er nogen grund til at behandle endometriose under graviditet.</w:t>
      </w:r>
    </w:p>
    <w:p w14:paraId="1B6D85A5" w14:textId="77777777" w:rsidR="00523AF2" w:rsidRPr="000A0C0E" w:rsidRDefault="00523AF2" w:rsidP="000A0C0E">
      <w:pPr>
        <w:ind w:left="851"/>
        <w:rPr>
          <w:noProof/>
          <w:sz w:val="24"/>
          <w:szCs w:val="24"/>
        </w:rPr>
      </w:pPr>
    </w:p>
    <w:p w14:paraId="53ACC4EF" w14:textId="77777777" w:rsidR="00523AF2" w:rsidRPr="00244671" w:rsidRDefault="00523AF2" w:rsidP="000A0C0E">
      <w:pPr>
        <w:ind w:left="851"/>
        <w:rPr>
          <w:sz w:val="24"/>
          <w:szCs w:val="24"/>
          <w:u w:val="single"/>
        </w:rPr>
      </w:pPr>
      <w:r w:rsidRPr="00244671">
        <w:rPr>
          <w:sz w:val="24"/>
          <w:szCs w:val="24"/>
          <w:u w:val="single"/>
        </w:rPr>
        <w:t>Amning</w:t>
      </w:r>
    </w:p>
    <w:p w14:paraId="260BF54B" w14:textId="77777777" w:rsidR="00523AF2" w:rsidRPr="000A0C0E" w:rsidRDefault="00523AF2" w:rsidP="000A0C0E">
      <w:pPr>
        <w:ind w:left="851"/>
        <w:rPr>
          <w:sz w:val="24"/>
          <w:szCs w:val="24"/>
        </w:rPr>
      </w:pPr>
      <w:proofErr w:type="spellStart"/>
      <w:r w:rsidRPr="000A0C0E">
        <w:rPr>
          <w:sz w:val="24"/>
          <w:szCs w:val="24"/>
        </w:rPr>
        <w:t>Dienosis</w:t>
      </w:r>
      <w:proofErr w:type="spellEnd"/>
      <w:r w:rsidRPr="000A0C0E">
        <w:rPr>
          <w:sz w:val="24"/>
          <w:szCs w:val="24"/>
        </w:rPr>
        <w:t xml:space="preserve"> bør ikke anvendes under amning.</w:t>
      </w:r>
    </w:p>
    <w:p w14:paraId="33CE0A60" w14:textId="77777777" w:rsidR="00523AF2" w:rsidRPr="000A0C0E" w:rsidRDefault="00523AF2" w:rsidP="000A0C0E">
      <w:pPr>
        <w:ind w:left="851"/>
        <w:rPr>
          <w:sz w:val="24"/>
          <w:szCs w:val="24"/>
        </w:rPr>
      </w:pPr>
    </w:p>
    <w:p w14:paraId="0270CD56" w14:textId="77777777" w:rsidR="00523AF2" w:rsidRPr="000A0C0E" w:rsidRDefault="00523AF2" w:rsidP="000A0C0E">
      <w:pPr>
        <w:ind w:left="851"/>
        <w:rPr>
          <w:noProof/>
          <w:sz w:val="24"/>
          <w:szCs w:val="24"/>
        </w:rPr>
      </w:pPr>
      <w:r w:rsidRPr="000A0C0E">
        <w:rPr>
          <w:noProof/>
          <w:sz w:val="24"/>
          <w:szCs w:val="24"/>
        </w:rPr>
        <w:t xml:space="preserve">Det er ukendt, om dienogest udskilles i human mælk. Dyrestudier har påvist udskillelse af dienogest i mælken hos rotter. </w:t>
      </w:r>
    </w:p>
    <w:p w14:paraId="3C820228" w14:textId="77777777" w:rsidR="00523AF2" w:rsidRPr="000A0C0E" w:rsidRDefault="00523AF2" w:rsidP="000A0C0E">
      <w:pPr>
        <w:ind w:left="851"/>
        <w:rPr>
          <w:noProof/>
          <w:sz w:val="24"/>
          <w:szCs w:val="24"/>
        </w:rPr>
      </w:pPr>
    </w:p>
    <w:p w14:paraId="62998EED" w14:textId="77777777" w:rsidR="00523AF2" w:rsidRPr="000A0C0E" w:rsidRDefault="00523AF2" w:rsidP="000A0C0E">
      <w:pPr>
        <w:ind w:left="851"/>
        <w:rPr>
          <w:sz w:val="24"/>
          <w:szCs w:val="24"/>
        </w:rPr>
      </w:pPr>
      <w:r w:rsidRPr="000A0C0E">
        <w:rPr>
          <w:noProof/>
          <w:sz w:val="24"/>
          <w:szCs w:val="24"/>
        </w:rPr>
        <w:t xml:space="preserve">Det skal besluttes, om amning skal ophøre eller behandling med Dienosis seponeres, idet der tages højde for fordelene ved amning for barnet i forhold til de terapeutiske fordele for moderen. </w:t>
      </w:r>
    </w:p>
    <w:p w14:paraId="380CF523" w14:textId="77777777" w:rsidR="00523AF2" w:rsidRPr="000A0C0E" w:rsidRDefault="00523AF2" w:rsidP="000A0C0E">
      <w:pPr>
        <w:ind w:left="851"/>
        <w:rPr>
          <w:noProof/>
          <w:sz w:val="24"/>
          <w:szCs w:val="24"/>
        </w:rPr>
      </w:pPr>
    </w:p>
    <w:p w14:paraId="64250DCA" w14:textId="77777777" w:rsidR="00523AF2" w:rsidRPr="00244671" w:rsidRDefault="00523AF2" w:rsidP="000A0C0E">
      <w:pPr>
        <w:ind w:left="851"/>
        <w:rPr>
          <w:sz w:val="24"/>
          <w:szCs w:val="24"/>
          <w:u w:val="single"/>
        </w:rPr>
      </w:pPr>
      <w:r w:rsidRPr="00244671">
        <w:rPr>
          <w:sz w:val="24"/>
          <w:szCs w:val="24"/>
          <w:u w:val="single"/>
        </w:rPr>
        <w:t>Fertilitet</w:t>
      </w:r>
    </w:p>
    <w:p w14:paraId="7C8EE28F" w14:textId="77777777" w:rsidR="00523AF2" w:rsidRPr="000A0C0E" w:rsidRDefault="00523AF2" w:rsidP="000A0C0E">
      <w:pPr>
        <w:ind w:left="851"/>
        <w:rPr>
          <w:noProof/>
          <w:sz w:val="24"/>
          <w:szCs w:val="24"/>
        </w:rPr>
      </w:pPr>
      <w:r w:rsidRPr="000A0C0E">
        <w:rPr>
          <w:noProof/>
          <w:sz w:val="24"/>
          <w:szCs w:val="24"/>
        </w:rPr>
        <w:t xml:space="preserve">Ud fra de tilgængelige oplysninger hæmmes ægløsningen hos størstedelen af de patienter, der bliver behandlet med Dienosis. Dienosis er imidlertid ikke et præventionsmiddel. </w:t>
      </w:r>
    </w:p>
    <w:p w14:paraId="10968289" w14:textId="77777777" w:rsidR="00523AF2" w:rsidRPr="000A0C0E" w:rsidRDefault="00523AF2" w:rsidP="000A0C0E">
      <w:pPr>
        <w:ind w:left="851"/>
        <w:rPr>
          <w:noProof/>
          <w:sz w:val="24"/>
          <w:szCs w:val="24"/>
        </w:rPr>
      </w:pPr>
    </w:p>
    <w:p w14:paraId="791A7B89" w14:textId="77777777" w:rsidR="00523AF2" w:rsidRPr="000A0C0E" w:rsidRDefault="00523AF2" w:rsidP="000A0C0E">
      <w:pPr>
        <w:ind w:left="851"/>
        <w:rPr>
          <w:sz w:val="24"/>
          <w:szCs w:val="24"/>
        </w:rPr>
      </w:pPr>
      <w:r w:rsidRPr="000A0C0E">
        <w:rPr>
          <w:sz w:val="24"/>
          <w:szCs w:val="24"/>
        </w:rPr>
        <w:t xml:space="preserve">Der skal bruges en ikke-hormonel metode, hvis prævention er </w:t>
      </w:r>
      <w:r w:rsidRPr="000A0C0E">
        <w:rPr>
          <w:rFonts w:eastAsia="TimesNewRoman"/>
          <w:color w:val="000000"/>
          <w:sz w:val="24"/>
          <w:szCs w:val="24"/>
        </w:rPr>
        <w:t>nødvendig</w:t>
      </w:r>
      <w:r w:rsidRPr="000A0C0E">
        <w:rPr>
          <w:sz w:val="24"/>
          <w:szCs w:val="24"/>
        </w:rPr>
        <w:t xml:space="preserve"> (se pkt. 4.2).</w:t>
      </w:r>
    </w:p>
    <w:p w14:paraId="080238B3" w14:textId="77777777" w:rsidR="00523AF2" w:rsidRPr="000A0C0E" w:rsidRDefault="00523AF2" w:rsidP="000A0C0E">
      <w:pPr>
        <w:ind w:left="851"/>
        <w:rPr>
          <w:sz w:val="24"/>
          <w:szCs w:val="24"/>
        </w:rPr>
      </w:pPr>
    </w:p>
    <w:p w14:paraId="5845DD4E" w14:textId="77777777" w:rsidR="00523AF2" w:rsidRPr="000A0C0E" w:rsidRDefault="00523AF2" w:rsidP="000A0C0E">
      <w:pPr>
        <w:ind w:left="851"/>
        <w:rPr>
          <w:noProof/>
          <w:sz w:val="24"/>
          <w:szCs w:val="24"/>
        </w:rPr>
      </w:pPr>
      <w:r w:rsidRPr="000A0C0E">
        <w:rPr>
          <w:noProof/>
          <w:sz w:val="24"/>
          <w:szCs w:val="24"/>
        </w:rPr>
        <w:t>Ud fra tilgængelige oplysninger vender menstruationscyklusen tilbage til det normale inden for 2 måneder efter, at behandlingen med Dienosis er ophørt.</w:t>
      </w:r>
    </w:p>
    <w:p w14:paraId="363AE3F7" w14:textId="77777777" w:rsidR="009260DE" w:rsidRPr="00C22DB6" w:rsidRDefault="009260DE" w:rsidP="009260DE">
      <w:pPr>
        <w:tabs>
          <w:tab w:val="left" w:pos="851"/>
        </w:tabs>
        <w:ind w:left="851"/>
        <w:rPr>
          <w:sz w:val="24"/>
          <w:szCs w:val="24"/>
        </w:rPr>
      </w:pPr>
    </w:p>
    <w:p w14:paraId="0C484331" w14:textId="79F7F342" w:rsidR="009260DE" w:rsidRPr="00C22DB6" w:rsidRDefault="009260DE" w:rsidP="009260DE">
      <w:pPr>
        <w:tabs>
          <w:tab w:val="left" w:pos="851"/>
        </w:tabs>
        <w:ind w:left="851" w:hanging="851"/>
        <w:rPr>
          <w:b/>
          <w:sz w:val="24"/>
          <w:szCs w:val="24"/>
        </w:rPr>
      </w:pPr>
      <w:r w:rsidRPr="00C22DB6">
        <w:rPr>
          <w:b/>
          <w:sz w:val="24"/>
          <w:szCs w:val="24"/>
        </w:rPr>
        <w:t>4.7</w:t>
      </w:r>
      <w:r w:rsidRPr="00C22DB6">
        <w:rPr>
          <w:b/>
          <w:sz w:val="24"/>
          <w:szCs w:val="24"/>
        </w:rPr>
        <w:tab/>
      </w:r>
      <w:bookmarkStart w:id="4" w:name="_Hlk121750171"/>
      <w:r w:rsidR="000039D1" w:rsidRPr="00BA4587">
        <w:rPr>
          <w:b/>
          <w:sz w:val="24"/>
          <w:szCs w:val="24"/>
        </w:rPr>
        <w:t xml:space="preserve">Virkning på evnen til at føre motorkøretøj </w:t>
      </w:r>
      <w:r w:rsidR="000039D1" w:rsidRPr="00BA4587">
        <w:rPr>
          <w:b/>
          <w:noProof/>
          <w:sz w:val="24"/>
          <w:szCs w:val="24"/>
        </w:rPr>
        <w:t>og</w:t>
      </w:r>
      <w:r w:rsidR="000039D1" w:rsidRPr="00BA4587">
        <w:rPr>
          <w:b/>
          <w:sz w:val="24"/>
          <w:szCs w:val="24"/>
        </w:rPr>
        <w:t xml:space="preserve"> betjene maskiner</w:t>
      </w:r>
      <w:bookmarkEnd w:id="4"/>
    </w:p>
    <w:p w14:paraId="4A17926F" w14:textId="77777777" w:rsidR="008D4BB6" w:rsidRDefault="008D4BB6" w:rsidP="000A0C0E">
      <w:pPr>
        <w:ind w:left="851"/>
        <w:rPr>
          <w:sz w:val="24"/>
          <w:szCs w:val="24"/>
        </w:rPr>
      </w:pPr>
      <w:r>
        <w:rPr>
          <w:sz w:val="24"/>
          <w:szCs w:val="24"/>
        </w:rPr>
        <w:t>Ikke mærkning.</w:t>
      </w:r>
    </w:p>
    <w:p w14:paraId="59C32EC9" w14:textId="5D05FF14" w:rsidR="00523AF2" w:rsidRPr="00C22DB6" w:rsidRDefault="00523AF2" w:rsidP="000A0C0E">
      <w:pPr>
        <w:ind w:left="851"/>
        <w:rPr>
          <w:sz w:val="24"/>
          <w:szCs w:val="24"/>
        </w:rPr>
      </w:pPr>
      <w:r w:rsidRPr="00C22DB6">
        <w:rPr>
          <w:sz w:val="24"/>
          <w:szCs w:val="24"/>
        </w:rPr>
        <w:t xml:space="preserve">Der er ikke set virkninger på evnen til at føre motorkøretøj eller betjene maskiner efter brug af præparater, der indeholder </w:t>
      </w:r>
      <w:proofErr w:type="spellStart"/>
      <w:r w:rsidRPr="00C22DB6">
        <w:rPr>
          <w:sz w:val="24"/>
          <w:szCs w:val="24"/>
        </w:rPr>
        <w:t>dienogest</w:t>
      </w:r>
      <w:proofErr w:type="spellEnd"/>
      <w:r w:rsidRPr="00C22DB6">
        <w:rPr>
          <w:sz w:val="24"/>
          <w:szCs w:val="24"/>
        </w:rPr>
        <w:t>.</w:t>
      </w:r>
    </w:p>
    <w:p w14:paraId="642CC6DF" w14:textId="77777777" w:rsidR="009260DE" w:rsidRPr="00C22DB6" w:rsidRDefault="009260DE" w:rsidP="009260DE">
      <w:pPr>
        <w:tabs>
          <w:tab w:val="left" w:pos="851"/>
        </w:tabs>
        <w:ind w:left="851"/>
        <w:rPr>
          <w:sz w:val="24"/>
          <w:szCs w:val="24"/>
        </w:rPr>
      </w:pPr>
    </w:p>
    <w:p w14:paraId="24D64369" w14:textId="77777777" w:rsidR="009260DE" w:rsidRPr="00C22DB6" w:rsidRDefault="009260DE" w:rsidP="009260DE">
      <w:pPr>
        <w:tabs>
          <w:tab w:val="left" w:pos="851"/>
        </w:tabs>
        <w:ind w:left="851" w:hanging="851"/>
        <w:rPr>
          <w:b/>
          <w:sz w:val="24"/>
          <w:szCs w:val="24"/>
        </w:rPr>
      </w:pPr>
      <w:r w:rsidRPr="00C22DB6">
        <w:rPr>
          <w:b/>
          <w:sz w:val="24"/>
          <w:szCs w:val="24"/>
        </w:rPr>
        <w:t>4.8</w:t>
      </w:r>
      <w:r w:rsidRPr="00C22DB6">
        <w:rPr>
          <w:b/>
          <w:sz w:val="24"/>
          <w:szCs w:val="24"/>
        </w:rPr>
        <w:tab/>
        <w:t>Bivirkninger</w:t>
      </w:r>
    </w:p>
    <w:p w14:paraId="74F1675D" w14:textId="77777777" w:rsidR="00523AF2" w:rsidRPr="000A0C0E" w:rsidRDefault="00523AF2" w:rsidP="000A0C0E">
      <w:pPr>
        <w:ind w:left="851"/>
        <w:rPr>
          <w:sz w:val="24"/>
          <w:szCs w:val="24"/>
        </w:rPr>
      </w:pPr>
      <w:r w:rsidRPr="000A0C0E">
        <w:rPr>
          <w:sz w:val="24"/>
          <w:szCs w:val="24"/>
        </w:rPr>
        <w:t xml:space="preserve">Præsentationen af bivirkningerne er baseret på </w:t>
      </w:r>
      <w:proofErr w:type="spellStart"/>
      <w:r w:rsidRPr="000A0C0E">
        <w:rPr>
          <w:sz w:val="24"/>
          <w:szCs w:val="24"/>
        </w:rPr>
        <w:t>MedDRA</w:t>
      </w:r>
      <w:proofErr w:type="spellEnd"/>
      <w:r w:rsidRPr="000A0C0E">
        <w:rPr>
          <w:sz w:val="24"/>
          <w:szCs w:val="24"/>
        </w:rPr>
        <w:t>.</w:t>
      </w:r>
    </w:p>
    <w:p w14:paraId="6C1752AB" w14:textId="77777777" w:rsidR="00523AF2" w:rsidRPr="000A0C0E" w:rsidRDefault="00523AF2" w:rsidP="000A0C0E">
      <w:pPr>
        <w:ind w:left="851"/>
        <w:rPr>
          <w:sz w:val="24"/>
          <w:szCs w:val="24"/>
        </w:rPr>
      </w:pPr>
      <w:r w:rsidRPr="000A0C0E">
        <w:rPr>
          <w:sz w:val="24"/>
          <w:szCs w:val="24"/>
        </w:rPr>
        <w:t xml:space="preserve">Den mest relevante </w:t>
      </w:r>
      <w:proofErr w:type="spellStart"/>
      <w:r w:rsidRPr="000A0C0E">
        <w:rPr>
          <w:sz w:val="24"/>
          <w:szCs w:val="24"/>
        </w:rPr>
        <w:t>MedDRA</w:t>
      </w:r>
      <w:proofErr w:type="spellEnd"/>
      <w:r w:rsidRPr="000A0C0E">
        <w:rPr>
          <w:sz w:val="24"/>
          <w:szCs w:val="24"/>
        </w:rPr>
        <w:t>-betegnelse er anvendt til at beskrive en bestemt reaktion og dens synonymer og tilhørende tilstande.</w:t>
      </w:r>
    </w:p>
    <w:p w14:paraId="55CB5BF0" w14:textId="77777777" w:rsidR="00523AF2" w:rsidRPr="000A0C0E" w:rsidRDefault="00523AF2" w:rsidP="000A0C0E">
      <w:pPr>
        <w:ind w:left="851"/>
        <w:rPr>
          <w:sz w:val="24"/>
          <w:szCs w:val="24"/>
        </w:rPr>
      </w:pPr>
    </w:p>
    <w:p w14:paraId="7592DCBA" w14:textId="579506D1" w:rsidR="00523AF2" w:rsidRPr="000A0C0E" w:rsidRDefault="00523AF2" w:rsidP="000A0C0E">
      <w:pPr>
        <w:ind w:left="851"/>
        <w:rPr>
          <w:sz w:val="24"/>
          <w:szCs w:val="24"/>
        </w:rPr>
      </w:pPr>
      <w:r w:rsidRPr="000A0C0E">
        <w:rPr>
          <w:sz w:val="24"/>
          <w:szCs w:val="24"/>
        </w:rPr>
        <w:t xml:space="preserve">Bivirkninger forekommer mere almindeligt i de første måneder efter starten af behandling med </w:t>
      </w:r>
      <w:proofErr w:type="spellStart"/>
      <w:r w:rsidRPr="000A0C0E">
        <w:rPr>
          <w:sz w:val="24"/>
          <w:szCs w:val="24"/>
        </w:rPr>
        <w:t>dienogest</w:t>
      </w:r>
      <w:proofErr w:type="spellEnd"/>
      <w:r w:rsidRPr="000A0C0E">
        <w:rPr>
          <w:sz w:val="24"/>
          <w:szCs w:val="24"/>
        </w:rPr>
        <w:t xml:space="preserve"> og aftager under fortsat behandling. Der kan forekomme ændringer i blødningsmønstret, som f.eks. pletblødninger, uregelmæssige blødninger og </w:t>
      </w:r>
      <w:proofErr w:type="spellStart"/>
      <w:r w:rsidRPr="000A0C0E">
        <w:rPr>
          <w:sz w:val="24"/>
          <w:szCs w:val="24"/>
        </w:rPr>
        <w:t>amenorré</w:t>
      </w:r>
      <w:proofErr w:type="spellEnd"/>
      <w:r w:rsidRPr="000A0C0E">
        <w:rPr>
          <w:sz w:val="24"/>
          <w:szCs w:val="24"/>
        </w:rPr>
        <w:t xml:space="preserve">. Følgende bivirkninger er set hos brugere af 2 mg </w:t>
      </w:r>
      <w:proofErr w:type="spellStart"/>
      <w:r w:rsidRPr="000A0C0E">
        <w:rPr>
          <w:sz w:val="24"/>
          <w:szCs w:val="24"/>
        </w:rPr>
        <w:t>dienogest</w:t>
      </w:r>
      <w:proofErr w:type="spellEnd"/>
      <w:r w:rsidRPr="000A0C0E">
        <w:rPr>
          <w:sz w:val="24"/>
          <w:szCs w:val="24"/>
        </w:rPr>
        <w:t xml:space="preserve">. De hyppigst rapporterede bivirkninger under behandling med 2 mg </w:t>
      </w:r>
      <w:proofErr w:type="spellStart"/>
      <w:r w:rsidRPr="000A0C0E">
        <w:rPr>
          <w:sz w:val="24"/>
          <w:szCs w:val="24"/>
        </w:rPr>
        <w:t>dienogest</w:t>
      </w:r>
      <w:proofErr w:type="spellEnd"/>
      <w:r w:rsidRPr="000A0C0E">
        <w:rPr>
          <w:sz w:val="24"/>
          <w:szCs w:val="24"/>
        </w:rPr>
        <w:t xml:space="preserve"> er hovedpine (9,0</w:t>
      </w:r>
      <w:r w:rsidR="00922729">
        <w:rPr>
          <w:sz w:val="24"/>
          <w:szCs w:val="24"/>
        </w:rPr>
        <w:t xml:space="preserve"> %</w:t>
      </w:r>
      <w:r w:rsidRPr="000A0C0E">
        <w:rPr>
          <w:sz w:val="24"/>
          <w:szCs w:val="24"/>
        </w:rPr>
        <w:t>), ubehag i brystet (5,4</w:t>
      </w:r>
      <w:r w:rsidR="00922729">
        <w:rPr>
          <w:sz w:val="24"/>
          <w:szCs w:val="24"/>
        </w:rPr>
        <w:t xml:space="preserve"> %</w:t>
      </w:r>
      <w:r w:rsidRPr="000A0C0E">
        <w:rPr>
          <w:sz w:val="24"/>
          <w:szCs w:val="24"/>
        </w:rPr>
        <w:t>), nedtrykthed (5,1</w:t>
      </w:r>
      <w:r w:rsidR="00922729">
        <w:rPr>
          <w:sz w:val="24"/>
          <w:szCs w:val="24"/>
        </w:rPr>
        <w:t xml:space="preserve"> %</w:t>
      </w:r>
      <w:r w:rsidRPr="000A0C0E">
        <w:rPr>
          <w:sz w:val="24"/>
          <w:szCs w:val="24"/>
        </w:rPr>
        <w:t>) og akne (5,1</w:t>
      </w:r>
      <w:r w:rsidR="00922729">
        <w:rPr>
          <w:sz w:val="24"/>
          <w:szCs w:val="24"/>
        </w:rPr>
        <w:t xml:space="preserve"> %</w:t>
      </w:r>
      <w:r w:rsidRPr="000A0C0E">
        <w:rPr>
          <w:sz w:val="24"/>
          <w:szCs w:val="24"/>
        </w:rPr>
        <w:t>).</w:t>
      </w:r>
    </w:p>
    <w:p w14:paraId="1E2AC3E8" w14:textId="77777777" w:rsidR="00523AF2" w:rsidRPr="000A0C0E" w:rsidRDefault="00523AF2" w:rsidP="000A0C0E">
      <w:pPr>
        <w:ind w:left="851"/>
        <w:rPr>
          <w:sz w:val="24"/>
          <w:szCs w:val="24"/>
        </w:rPr>
      </w:pPr>
    </w:p>
    <w:p w14:paraId="69AA6A54" w14:textId="098E284A" w:rsidR="00523AF2" w:rsidRPr="000A0C0E" w:rsidRDefault="00523AF2" w:rsidP="000A0C0E">
      <w:pPr>
        <w:ind w:left="851"/>
        <w:rPr>
          <w:sz w:val="24"/>
          <w:szCs w:val="24"/>
        </w:rPr>
      </w:pPr>
      <w:r w:rsidRPr="000A0C0E">
        <w:rPr>
          <w:sz w:val="24"/>
          <w:szCs w:val="24"/>
        </w:rPr>
        <w:t xml:space="preserve">Desuden oplevede de fleste af de patienter, der blev behandlet med 2 mg </w:t>
      </w:r>
      <w:proofErr w:type="spellStart"/>
      <w:r w:rsidRPr="000A0C0E">
        <w:rPr>
          <w:sz w:val="24"/>
          <w:szCs w:val="24"/>
        </w:rPr>
        <w:t>dienogest</w:t>
      </w:r>
      <w:proofErr w:type="spellEnd"/>
      <w:r w:rsidRPr="000A0C0E">
        <w:rPr>
          <w:sz w:val="24"/>
          <w:szCs w:val="24"/>
        </w:rPr>
        <w:t xml:space="preserve">, ændringer i mønsteret for deres menstruationsblødning. Blødningsmønsteret blev vurderet systematisk via patientdagbøger og blev analyseret ved hjælp af WHO’s 90-dages </w:t>
      </w:r>
      <w:r w:rsidRPr="000A0C0E">
        <w:rPr>
          <w:sz w:val="24"/>
          <w:szCs w:val="24"/>
        </w:rPr>
        <w:lastRenderedPageBreak/>
        <w:t xml:space="preserve">referencemetode. Under de første 90 dages behandling med 2 mg </w:t>
      </w:r>
      <w:proofErr w:type="spellStart"/>
      <w:r w:rsidRPr="000A0C0E">
        <w:rPr>
          <w:sz w:val="24"/>
          <w:szCs w:val="24"/>
        </w:rPr>
        <w:t>dienogest</w:t>
      </w:r>
      <w:proofErr w:type="spellEnd"/>
      <w:r w:rsidRPr="000A0C0E">
        <w:rPr>
          <w:sz w:val="24"/>
          <w:szCs w:val="24"/>
        </w:rPr>
        <w:t xml:space="preserve"> blev følgende blødningsmønster set (n=290; 100</w:t>
      </w:r>
      <w:r w:rsidR="00922729">
        <w:rPr>
          <w:sz w:val="24"/>
          <w:szCs w:val="24"/>
        </w:rPr>
        <w:t xml:space="preserve"> %</w:t>
      </w:r>
      <w:r w:rsidRPr="000A0C0E">
        <w:rPr>
          <w:sz w:val="24"/>
          <w:szCs w:val="24"/>
        </w:rPr>
        <w:t xml:space="preserve">): </w:t>
      </w:r>
      <w:proofErr w:type="spellStart"/>
      <w:r w:rsidRPr="000A0C0E">
        <w:rPr>
          <w:sz w:val="24"/>
          <w:szCs w:val="24"/>
        </w:rPr>
        <w:t>Amenorré</w:t>
      </w:r>
      <w:proofErr w:type="spellEnd"/>
      <w:r w:rsidRPr="000A0C0E">
        <w:rPr>
          <w:sz w:val="24"/>
          <w:szCs w:val="24"/>
        </w:rPr>
        <w:t xml:space="preserve"> (1,7</w:t>
      </w:r>
      <w:r w:rsidR="00922729">
        <w:rPr>
          <w:sz w:val="24"/>
          <w:szCs w:val="24"/>
        </w:rPr>
        <w:t xml:space="preserve"> %</w:t>
      </w:r>
      <w:r w:rsidRPr="000A0C0E">
        <w:rPr>
          <w:sz w:val="24"/>
          <w:szCs w:val="24"/>
        </w:rPr>
        <w:t>), sjældent forekommende blødning (27,2</w:t>
      </w:r>
      <w:r w:rsidR="00922729">
        <w:rPr>
          <w:sz w:val="24"/>
          <w:szCs w:val="24"/>
        </w:rPr>
        <w:t xml:space="preserve"> %</w:t>
      </w:r>
      <w:r w:rsidRPr="000A0C0E">
        <w:rPr>
          <w:sz w:val="24"/>
          <w:szCs w:val="24"/>
        </w:rPr>
        <w:t>), hyppig blødning (13,4</w:t>
      </w:r>
      <w:r w:rsidR="00922729">
        <w:rPr>
          <w:sz w:val="24"/>
          <w:szCs w:val="24"/>
        </w:rPr>
        <w:t xml:space="preserve"> %</w:t>
      </w:r>
      <w:r w:rsidRPr="000A0C0E">
        <w:rPr>
          <w:sz w:val="24"/>
          <w:szCs w:val="24"/>
        </w:rPr>
        <w:t>), uregelmæssig blødning (35,2</w:t>
      </w:r>
      <w:r w:rsidR="00922729">
        <w:rPr>
          <w:sz w:val="24"/>
          <w:szCs w:val="24"/>
        </w:rPr>
        <w:t xml:space="preserve"> %</w:t>
      </w:r>
      <w:r w:rsidRPr="000A0C0E">
        <w:rPr>
          <w:sz w:val="24"/>
          <w:szCs w:val="24"/>
        </w:rPr>
        <w:t>), langvarig blødning (38,3</w:t>
      </w:r>
      <w:r w:rsidR="00922729">
        <w:rPr>
          <w:sz w:val="24"/>
          <w:szCs w:val="24"/>
        </w:rPr>
        <w:t xml:space="preserve"> %</w:t>
      </w:r>
      <w:r w:rsidRPr="000A0C0E">
        <w:rPr>
          <w:sz w:val="24"/>
          <w:szCs w:val="24"/>
        </w:rPr>
        <w:t>), normal blødning, dvs. ingen af de forrige kategorier (19,7</w:t>
      </w:r>
      <w:r w:rsidR="00922729">
        <w:rPr>
          <w:sz w:val="24"/>
          <w:szCs w:val="24"/>
        </w:rPr>
        <w:t xml:space="preserve"> %</w:t>
      </w:r>
      <w:r w:rsidRPr="000A0C0E">
        <w:rPr>
          <w:sz w:val="24"/>
          <w:szCs w:val="24"/>
        </w:rPr>
        <w:t xml:space="preserve">). </w:t>
      </w:r>
      <w:r w:rsidRPr="000A0C0E">
        <w:rPr>
          <w:sz w:val="24"/>
          <w:szCs w:val="24"/>
          <w:lang w:val="nb-NO"/>
        </w:rPr>
        <w:t>Under den fjerde referenceperiode sås følgende blødningsmønstre (n=149; 100</w:t>
      </w:r>
      <w:r w:rsidR="00922729">
        <w:rPr>
          <w:sz w:val="24"/>
          <w:szCs w:val="24"/>
          <w:lang w:val="nb-NO"/>
        </w:rPr>
        <w:t xml:space="preserve"> %</w:t>
      </w:r>
      <w:r w:rsidRPr="000A0C0E">
        <w:rPr>
          <w:sz w:val="24"/>
          <w:szCs w:val="24"/>
          <w:lang w:val="nb-NO"/>
        </w:rPr>
        <w:t>): Amenorré (28,2</w:t>
      </w:r>
      <w:r w:rsidR="00922729">
        <w:rPr>
          <w:sz w:val="24"/>
          <w:szCs w:val="24"/>
          <w:lang w:val="nb-NO"/>
        </w:rPr>
        <w:t xml:space="preserve"> %</w:t>
      </w:r>
      <w:r w:rsidRPr="000A0C0E">
        <w:rPr>
          <w:sz w:val="24"/>
          <w:szCs w:val="24"/>
          <w:lang w:val="nb-NO"/>
        </w:rPr>
        <w:t>), sjældent forekommende blødning (24,2</w:t>
      </w:r>
      <w:r w:rsidR="00922729">
        <w:rPr>
          <w:sz w:val="24"/>
          <w:szCs w:val="24"/>
          <w:lang w:val="nb-NO"/>
        </w:rPr>
        <w:t xml:space="preserve"> %</w:t>
      </w:r>
      <w:r w:rsidRPr="000A0C0E">
        <w:rPr>
          <w:sz w:val="24"/>
          <w:szCs w:val="24"/>
          <w:lang w:val="nb-NO"/>
        </w:rPr>
        <w:t>), hyppig blødning (2,7</w:t>
      </w:r>
      <w:r w:rsidR="00922729">
        <w:rPr>
          <w:sz w:val="24"/>
          <w:szCs w:val="24"/>
          <w:lang w:val="nb-NO"/>
        </w:rPr>
        <w:t xml:space="preserve"> %</w:t>
      </w:r>
      <w:r w:rsidRPr="000A0C0E">
        <w:rPr>
          <w:sz w:val="24"/>
          <w:szCs w:val="24"/>
          <w:lang w:val="nb-NO"/>
        </w:rPr>
        <w:t>), uregelmæssig blødning (21,5</w:t>
      </w:r>
      <w:r w:rsidR="00922729">
        <w:rPr>
          <w:sz w:val="24"/>
          <w:szCs w:val="24"/>
          <w:lang w:val="nb-NO"/>
        </w:rPr>
        <w:t xml:space="preserve"> %</w:t>
      </w:r>
      <w:r w:rsidRPr="000A0C0E">
        <w:rPr>
          <w:sz w:val="24"/>
          <w:szCs w:val="24"/>
          <w:lang w:val="nb-NO"/>
        </w:rPr>
        <w:t>), langvarig blødning (4,0</w:t>
      </w:r>
      <w:r w:rsidR="00922729">
        <w:rPr>
          <w:sz w:val="24"/>
          <w:szCs w:val="24"/>
          <w:lang w:val="nb-NO"/>
        </w:rPr>
        <w:t xml:space="preserve"> %</w:t>
      </w:r>
      <w:r w:rsidRPr="000A0C0E">
        <w:rPr>
          <w:sz w:val="24"/>
          <w:szCs w:val="24"/>
          <w:lang w:val="nb-NO"/>
        </w:rPr>
        <w:t>), normal blødning, dvs. ingen af de forrige kategorier (22,8</w:t>
      </w:r>
      <w:r w:rsidR="00922729">
        <w:rPr>
          <w:sz w:val="24"/>
          <w:szCs w:val="24"/>
          <w:lang w:val="nb-NO"/>
        </w:rPr>
        <w:t xml:space="preserve"> %</w:t>
      </w:r>
      <w:r w:rsidRPr="000A0C0E">
        <w:rPr>
          <w:sz w:val="24"/>
          <w:szCs w:val="24"/>
          <w:lang w:val="nb-NO"/>
        </w:rPr>
        <w:t xml:space="preserve">). </w:t>
      </w:r>
      <w:r w:rsidRPr="000A0C0E">
        <w:rPr>
          <w:sz w:val="24"/>
          <w:szCs w:val="24"/>
        </w:rPr>
        <w:t>Ændringer i blødningsmønsteret blev kun lejlighedsvist indberettet som en bivirkning af patienterne (se bivirkningsoversigten).</w:t>
      </w:r>
    </w:p>
    <w:p w14:paraId="49BE0A8E" w14:textId="77777777" w:rsidR="00523AF2" w:rsidRPr="000A0C0E" w:rsidRDefault="00523AF2" w:rsidP="000A0C0E">
      <w:pPr>
        <w:ind w:left="851"/>
        <w:rPr>
          <w:sz w:val="24"/>
          <w:szCs w:val="24"/>
        </w:rPr>
      </w:pPr>
    </w:p>
    <w:p w14:paraId="1AA7D4F6" w14:textId="4872D2FD" w:rsidR="00523AF2" w:rsidRPr="000A0C0E" w:rsidRDefault="00523AF2" w:rsidP="000A0C0E">
      <w:pPr>
        <w:ind w:left="851"/>
        <w:rPr>
          <w:sz w:val="24"/>
          <w:szCs w:val="24"/>
        </w:rPr>
      </w:pPr>
      <w:r w:rsidRPr="000A0C0E">
        <w:rPr>
          <w:sz w:val="24"/>
          <w:szCs w:val="24"/>
        </w:rPr>
        <w:t xml:space="preserve">Hyppigheden af bivirkningerne i forbindelse med 2 mg </w:t>
      </w:r>
      <w:proofErr w:type="spellStart"/>
      <w:r w:rsidRPr="000A0C0E">
        <w:rPr>
          <w:sz w:val="24"/>
          <w:szCs w:val="24"/>
        </w:rPr>
        <w:t>dienogest</w:t>
      </w:r>
      <w:proofErr w:type="spellEnd"/>
      <w:r w:rsidRPr="000A0C0E">
        <w:rPr>
          <w:sz w:val="24"/>
          <w:szCs w:val="24"/>
        </w:rPr>
        <w:t xml:space="preserve"> er opstillet efter </w:t>
      </w:r>
      <w:proofErr w:type="spellStart"/>
      <w:r w:rsidRPr="000A0C0E">
        <w:rPr>
          <w:sz w:val="24"/>
          <w:szCs w:val="24"/>
        </w:rPr>
        <w:t>MedDRA</w:t>
      </w:r>
      <w:proofErr w:type="spellEnd"/>
      <w:r w:rsidRPr="000A0C0E">
        <w:rPr>
          <w:sz w:val="24"/>
          <w:szCs w:val="24"/>
        </w:rPr>
        <w:t>-systemorganklasser i tabellen nedenfor. Inden for hver hyppighedsgruppe er bivirkningerne vist efter hyppighed med de hyppigst forekommende først. Hyppigheden er defineret som almindelig (≥1/100 til &lt;1/10) og ikke almindelig (≥1/1.000 til &lt;1/100). Hyppighederne er baseret på de samlede oplysninger fra fire kliniske studier med 332 patienter (100</w:t>
      </w:r>
      <w:r w:rsidR="00922729">
        <w:rPr>
          <w:sz w:val="24"/>
          <w:szCs w:val="24"/>
        </w:rPr>
        <w:t xml:space="preserve"> %</w:t>
      </w:r>
      <w:r w:rsidRPr="000A0C0E">
        <w:rPr>
          <w:sz w:val="24"/>
          <w:szCs w:val="24"/>
        </w:rPr>
        <w:t>).</w:t>
      </w:r>
    </w:p>
    <w:p w14:paraId="33A1A002" w14:textId="77777777" w:rsidR="00523AF2" w:rsidRPr="000A0C0E" w:rsidRDefault="00523AF2" w:rsidP="000A0C0E">
      <w:pPr>
        <w:ind w:left="851"/>
        <w:rPr>
          <w:sz w:val="24"/>
          <w:szCs w:val="24"/>
        </w:rPr>
      </w:pPr>
    </w:p>
    <w:p w14:paraId="5A8440DF" w14:textId="6AB3ABA6" w:rsidR="00523AF2" w:rsidRPr="000A0C0E" w:rsidRDefault="00523AF2" w:rsidP="008D4BB6">
      <w:pPr>
        <w:rPr>
          <w:b/>
          <w:sz w:val="24"/>
          <w:szCs w:val="24"/>
        </w:rPr>
      </w:pPr>
      <w:r w:rsidRPr="000A0C0E">
        <w:rPr>
          <w:b/>
          <w:sz w:val="24"/>
          <w:szCs w:val="24"/>
        </w:rPr>
        <w:t>Tabel 1</w:t>
      </w:r>
      <w:r w:rsidR="008833A4">
        <w:rPr>
          <w:b/>
          <w:sz w:val="24"/>
          <w:szCs w:val="24"/>
        </w:rPr>
        <w:t>.</w:t>
      </w:r>
      <w:r w:rsidRPr="000A0C0E">
        <w:rPr>
          <w:b/>
          <w:sz w:val="24"/>
          <w:szCs w:val="24"/>
        </w:rPr>
        <w:t xml:space="preserve"> Bivirkninger i kliniske studier i fase III, N = 332 </w:t>
      </w:r>
    </w:p>
    <w:p w14:paraId="1EB9842E" w14:textId="77777777" w:rsidR="00523AF2" w:rsidRPr="00C22DB6" w:rsidRDefault="00523AF2" w:rsidP="00523AF2">
      <w:pPr>
        <w:pStyle w:val="Sidehoved"/>
        <w:tabs>
          <w:tab w:val="left" w:pos="851"/>
        </w:tabs>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3501"/>
        <w:gridCol w:w="3501"/>
      </w:tblGrid>
      <w:tr w:rsidR="00523AF2" w:rsidRPr="00C22DB6" w14:paraId="16D5E86E" w14:textId="77777777" w:rsidTr="000A0C0E">
        <w:trPr>
          <w:cantSplit/>
          <w:tblHeader/>
        </w:trPr>
        <w:tc>
          <w:tcPr>
            <w:tcW w:w="1364" w:type="pct"/>
            <w:tcBorders>
              <w:top w:val="single" w:sz="4" w:space="0" w:color="auto"/>
              <w:left w:val="single" w:sz="4" w:space="0" w:color="auto"/>
              <w:bottom w:val="single" w:sz="4" w:space="0" w:color="auto"/>
              <w:right w:val="single" w:sz="4" w:space="0" w:color="auto"/>
            </w:tcBorders>
            <w:hideMark/>
          </w:tcPr>
          <w:p w14:paraId="4E109208" w14:textId="77777777" w:rsidR="00523AF2" w:rsidRPr="00C22DB6" w:rsidRDefault="00523AF2">
            <w:pPr>
              <w:pStyle w:val="Sidehoved"/>
              <w:tabs>
                <w:tab w:val="left" w:pos="851"/>
              </w:tabs>
              <w:rPr>
                <w:b/>
                <w:szCs w:val="24"/>
              </w:rPr>
            </w:pPr>
            <w:r w:rsidRPr="00C22DB6">
              <w:rPr>
                <w:b/>
                <w:szCs w:val="24"/>
              </w:rPr>
              <w:t>Systemorganklasse (</w:t>
            </w:r>
            <w:proofErr w:type="spellStart"/>
            <w:r w:rsidRPr="00C22DB6">
              <w:rPr>
                <w:b/>
                <w:szCs w:val="24"/>
              </w:rPr>
              <w:t>MedDRA</w:t>
            </w:r>
            <w:proofErr w:type="spellEnd"/>
            <w:r w:rsidRPr="00C22DB6">
              <w:rPr>
                <w:b/>
                <w:szCs w:val="24"/>
              </w:rPr>
              <w:t>)</w:t>
            </w:r>
          </w:p>
        </w:tc>
        <w:tc>
          <w:tcPr>
            <w:tcW w:w="1818" w:type="pct"/>
            <w:tcBorders>
              <w:top w:val="single" w:sz="4" w:space="0" w:color="auto"/>
              <w:left w:val="single" w:sz="4" w:space="0" w:color="auto"/>
              <w:bottom w:val="single" w:sz="4" w:space="0" w:color="auto"/>
              <w:right w:val="single" w:sz="4" w:space="0" w:color="auto"/>
            </w:tcBorders>
            <w:hideMark/>
          </w:tcPr>
          <w:p w14:paraId="6CBF1505" w14:textId="77777777" w:rsidR="00523AF2" w:rsidRPr="00C22DB6" w:rsidRDefault="00523AF2">
            <w:pPr>
              <w:pStyle w:val="Sidehoved"/>
              <w:tabs>
                <w:tab w:val="left" w:pos="851"/>
              </w:tabs>
              <w:rPr>
                <w:b/>
                <w:szCs w:val="24"/>
              </w:rPr>
            </w:pPr>
            <w:r w:rsidRPr="00C22DB6">
              <w:rPr>
                <w:b/>
                <w:szCs w:val="24"/>
              </w:rPr>
              <w:t>Almindelig</w:t>
            </w:r>
          </w:p>
        </w:tc>
        <w:tc>
          <w:tcPr>
            <w:tcW w:w="1818" w:type="pct"/>
            <w:tcBorders>
              <w:top w:val="single" w:sz="4" w:space="0" w:color="auto"/>
              <w:left w:val="single" w:sz="4" w:space="0" w:color="auto"/>
              <w:bottom w:val="single" w:sz="4" w:space="0" w:color="auto"/>
              <w:right w:val="single" w:sz="4" w:space="0" w:color="auto"/>
            </w:tcBorders>
            <w:hideMark/>
          </w:tcPr>
          <w:p w14:paraId="79965208" w14:textId="77777777" w:rsidR="00523AF2" w:rsidRPr="00C22DB6" w:rsidRDefault="00523AF2">
            <w:pPr>
              <w:pStyle w:val="Sidehoved"/>
              <w:tabs>
                <w:tab w:val="left" w:pos="851"/>
              </w:tabs>
              <w:rPr>
                <w:b/>
                <w:szCs w:val="24"/>
              </w:rPr>
            </w:pPr>
            <w:r w:rsidRPr="00C22DB6">
              <w:rPr>
                <w:b/>
                <w:szCs w:val="24"/>
              </w:rPr>
              <w:t>Ikke almindelig</w:t>
            </w:r>
          </w:p>
        </w:tc>
      </w:tr>
      <w:tr w:rsidR="00523AF2" w:rsidRPr="00C22DB6" w14:paraId="0D4254EC" w14:textId="77777777" w:rsidTr="000A0C0E">
        <w:tc>
          <w:tcPr>
            <w:tcW w:w="1364" w:type="pct"/>
            <w:tcBorders>
              <w:top w:val="single" w:sz="4" w:space="0" w:color="auto"/>
              <w:left w:val="single" w:sz="4" w:space="0" w:color="auto"/>
              <w:bottom w:val="single" w:sz="4" w:space="0" w:color="auto"/>
              <w:right w:val="single" w:sz="4" w:space="0" w:color="auto"/>
            </w:tcBorders>
            <w:hideMark/>
          </w:tcPr>
          <w:p w14:paraId="2742909D" w14:textId="77777777" w:rsidR="00523AF2" w:rsidRPr="00C22DB6" w:rsidRDefault="00523AF2">
            <w:pPr>
              <w:pStyle w:val="Sidehoved"/>
              <w:tabs>
                <w:tab w:val="left" w:pos="851"/>
              </w:tabs>
              <w:rPr>
                <w:b/>
                <w:szCs w:val="24"/>
              </w:rPr>
            </w:pPr>
            <w:r w:rsidRPr="00C22DB6">
              <w:rPr>
                <w:b/>
                <w:szCs w:val="24"/>
              </w:rPr>
              <w:t>Blod og lymfesystem</w:t>
            </w:r>
          </w:p>
        </w:tc>
        <w:tc>
          <w:tcPr>
            <w:tcW w:w="1818" w:type="pct"/>
            <w:tcBorders>
              <w:top w:val="single" w:sz="4" w:space="0" w:color="auto"/>
              <w:left w:val="single" w:sz="4" w:space="0" w:color="auto"/>
              <w:bottom w:val="single" w:sz="4" w:space="0" w:color="auto"/>
              <w:right w:val="single" w:sz="4" w:space="0" w:color="auto"/>
            </w:tcBorders>
          </w:tcPr>
          <w:p w14:paraId="3FB2A9E8" w14:textId="77777777" w:rsidR="00523AF2" w:rsidRPr="00C22DB6" w:rsidRDefault="00523AF2">
            <w:pPr>
              <w:pStyle w:val="Sidehoved"/>
              <w:tabs>
                <w:tab w:val="left" w:pos="851"/>
              </w:tabs>
              <w:rPr>
                <w:szCs w:val="24"/>
              </w:rPr>
            </w:pPr>
          </w:p>
        </w:tc>
        <w:tc>
          <w:tcPr>
            <w:tcW w:w="1818" w:type="pct"/>
            <w:tcBorders>
              <w:top w:val="single" w:sz="4" w:space="0" w:color="auto"/>
              <w:left w:val="single" w:sz="4" w:space="0" w:color="auto"/>
              <w:bottom w:val="single" w:sz="4" w:space="0" w:color="auto"/>
              <w:right w:val="single" w:sz="4" w:space="0" w:color="auto"/>
            </w:tcBorders>
            <w:hideMark/>
          </w:tcPr>
          <w:p w14:paraId="442CFF13" w14:textId="77777777" w:rsidR="00523AF2" w:rsidRPr="00C22DB6" w:rsidRDefault="00523AF2">
            <w:pPr>
              <w:pStyle w:val="Sidehoved"/>
              <w:tabs>
                <w:tab w:val="left" w:pos="851"/>
              </w:tabs>
              <w:rPr>
                <w:szCs w:val="24"/>
              </w:rPr>
            </w:pPr>
            <w:r w:rsidRPr="00C22DB6">
              <w:rPr>
                <w:szCs w:val="24"/>
              </w:rPr>
              <w:t>anæmi</w:t>
            </w:r>
          </w:p>
        </w:tc>
      </w:tr>
      <w:tr w:rsidR="00523AF2" w:rsidRPr="00C22DB6" w14:paraId="437BFDEF" w14:textId="77777777" w:rsidTr="000A0C0E">
        <w:tc>
          <w:tcPr>
            <w:tcW w:w="1364" w:type="pct"/>
            <w:tcBorders>
              <w:top w:val="single" w:sz="4" w:space="0" w:color="auto"/>
              <w:left w:val="single" w:sz="4" w:space="0" w:color="auto"/>
              <w:bottom w:val="single" w:sz="4" w:space="0" w:color="auto"/>
              <w:right w:val="single" w:sz="4" w:space="0" w:color="auto"/>
            </w:tcBorders>
            <w:hideMark/>
          </w:tcPr>
          <w:p w14:paraId="44C08D1E" w14:textId="77777777" w:rsidR="00523AF2" w:rsidRPr="00C22DB6" w:rsidRDefault="00523AF2">
            <w:pPr>
              <w:pStyle w:val="Sidehoved"/>
              <w:tabs>
                <w:tab w:val="left" w:pos="851"/>
              </w:tabs>
              <w:rPr>
                <w:b/>
                <w:szCs w:val="24"/>
              </w:rPr>
            </w:pPr>
            <w:r w:rsidRPr="00C22DB6">
              <w:rPr>
                <w:b/>
                <w:szCs w:val="24"/>
              </w:rPr>
              <w:t>Metabolisme og ernæring</w:t>
            </w:r>
          </w:p>
        </w:tc>
        <w:tc>
          <w:tcPr>
            <w:tcW w:w="1818" w:type="pct"/>
            <w:tcBorders>
              <w:top w:val="single" w:sz="4" w:space="0" w:color="auto"/>
              <w:left w:val="single" w:sz="4" w:space="0" w:color="auto"/>
              <w:bottom w:val="single" w:sz="4" w:space="0" w:color="auto"/>
              <w:right w:val="single" w:sz="4" w:space="0" w:color="auto"/>
            </w:tcBorders>
            <w:hideMark/>
          </w:tcPr>
          <w:p w14:paraId="29F29842" w14:textId="77777777" w:rsidR="00523AF2" w:rsidRPr="00C22DB6" w:rsidRDefault="00523AF2">
            <w:pPr>
              <w:pStyle w:val="Sidehoved"/>
              <w:tabs>
                <w:tab w:val="left" w:pos="851"/>
              </w:tabs>
              <w:rPr>
                <w:szCs w:val="24"/>
              </w:rPr>
            </w:pPr>
            <w:r w:rsidRPr="00C22DB6">
              <w:rPr>
                <w:szCs w:val="24"/>
              </w:rPr>
              <w:t>vægtøgning</w:t>
            </w:r>
          </w:p>
        </w:tc>
        <w:tc>
          <w:tcPr>
            <w:tcW w:w="1818" w:type="pct"/>
            <w:tcBorders>
              <w:top w:val="single" w:sz="4" w:space="0" w:color="auto"/>
              <w:left w:val="single" w:sz="4" w:space="0" w:color="auto"/>
              <w:bottom w:val="single" w:sz="4" w:space="0" w:color="auto"/>
              <w:right w:val="single" w:sz="4" w:space="0" w:color="auto"/>
            </w:tcBorders>
            <w:hideMark/>
          </w:tcPr>
          <w:p w14:paraId="5AC7E614" w14:textId="77777777" w:rsidR="00523AF2" w:rsidRPr="00C22DB6" w:rsidRDefault="00523AF2">
            <w:pPr>
              <w:pStyle w:val="Sidehoved"/>
              <w:tabs>
                <w:tab w:val="left" w:pos="851"/>
              </w:tabs>
              <w:rPr>
                <w:szCs w:val="24"/>
              </w:rPr>
            </w:pPr>
            <w:r w:rsidRPr="00C22DB6">
              <w:rPr>
                <w:szCs w:val="24"/>
              </w:rPr>
              <w:t>vægttab</w:t>
            </w:r>
          </w:p>
          <w:p w14:paraId="41D27FC2" w14:textId="77777777" w:rsidR="00523AF2" w:rsidRPr="00C22DB6" w:rsidRDefault="00523AF2">
            <w:pPr>
              <w:pStyle w:val="Sidehoved"/>
              <w:tabs>
                <w:tab w:val="left" w:pos="851"/>
              </w:tabs>
              <w:rPr>
                <w:szCs w:val="24"/>
              </w:rPr>
            </w:pPr>
            <w:r w:rsidRPr="00C22DB6">
              <w:rPr>
                <w:szCs w:val="24"/>
              </w:rPr>
              <w:t>øget appetit</w:t>
            </w:r>
          </w:p>
        </w:tc>
      </w:tr>
      <w:tr w:rsidR="00523AF2" w:rsidRPr="00C22DB6" w14:paraId="4BA33938" w14:textId="77777777" w:rsidTr="000A0C0E">
        <w:tc>
          <w:tcPr>
            <w:tcW w:w="1364" w:type="pct"/>
            <w:tcBorders>
              <w:top w:val="single" w:sz="4" w:space="0" w:color="auto"/>
              <w:left w:val="single" w:sz="4" w:space="0" w:color="auto"/>
              <w:bottom w:val="single" w:sz="4" w:space="0" w:color="auto"/>
              <w:right w:val="single" w:sz="4" w:space="0" w:color="auto"/>
            </w:tcBorders>
            <w:hideMark/>
          </w:tcPr>
          <w:p w14:paraId="06C9861B" w14:textId="77777777" w:rsidR="00523AF2" w:rsidRPr="00C22DB6" w:rsidRDefault="00523AF2">
            <w:pPr>
              <w:pStyle w:val="Sidehoved"/>
              <w:tabs>
                <w:tab w:val="left" w:pos="851"/>
              </w:tabs>
              <w:rPr>
                <w:b/>
                <w:szCs w:val="24"/>
              </w:rPr>
            </w:pPr>
            <w:r w:rsidRPr="00C22DB6">
              <w:rPr>
                <w:b/>
                <w:szCs w:val="24"/>
              </w:rPr>
              <w:t>Psykiske forstyrrelser</w:t>
            </w:r>
          </w:p>
        </w:tc>
        <w:tc>
          <w:tcPr>
            <w:tcW w:w="1818" w:type="pct"/>
            <w:tcBorders>
              <w:top w:val="single" w:sz="4" w:space="0" w:color="auto"/>
              <w:left w:val="single" w:sz="4" w:space="0" w:color="auto"/>
              <w:bottom w:val="single" w:sz="4" w:space="0" w:color="auto"/>
              <w:right w:val="single" w:sz="4" w:space="0" w:color="auto"/>
            </w:tcBorders>
            <w:hideMark/>
          </w:tcPr>
          <w:p w14:paraId="7C2A69D6" w14:textId="77777777" w:rsidR="00523AF2" w:rsidRPr="00C22DB6" w:rsidRDefault="00523AF2">
            <w:pPr>
              <w:pStyle w:val="Sidehoved"/>
              <w:tabs>
                <w:tab w:val="left" w:pos="851"/>
              </w:tabs>
              <w:rPr>
                <w:szCs w:val="24"/>
              </w:rPr>
            </w:pPr>
            <w:r w:rsidRPr="00C22DB6">
              <w:rPr>
                <w:szCs w:val="24"/>
              </w:rPr>
              <w:t>nedtrykthed</w:t>
            </w:r>
            <w:r w:rsidRPr="00C22DB6">
              <w:rPr>
                <w:szCs w:val="24"/>
              </w:rPr>
              <w:br/>
              <w:t>søvnproblemer</w:t>
            </w:r>
            <w:r w:rsidRPr="00C22DB6">
              <w:rPr>
                <w:szCs w:val="24"/>
              </w:rPr>
              <w:br/>
              <w:t>nervøsitet</w:t>
            </w:r>
            <w:r w:rsidRPr="00C22DB6">
              <w:rPr>
                <w:szCs w:val="24"/>
              </w:rPr>
              <w:br/>
              <w:t xml:space="preserve">nedsat libido </w:t>
            </w:r>
            <w:r w:rsidRPr="00C22DB6">
              <w:rPr>
                <w:szCs w:val="24"/>
              </w:rPr>
              <w:br/>
              <w:t>ændret stemningsleje</w:t>
            </w:r>
          </w:p>
        </w:tc>
        <w:tc>
          <w:tcPr>
            <w:tcW w:w="1818" w:type="pct"/>
            <w:tcBorders>
              <w:top w:val="single" w:sz="4" w:space="0" w:color="auto"/>
              <w:left w:val="single" w:sz="4" w:space="0" w:color="auto"/>
              <w:bottom w:val="single" w:sz="4" w:space="0" w:color="auto"/>
              <w:right w:val="single" w:sz="4" w:space="0" w:color="auto"/>
            </w:tcBorders>
            <w:hideMark/>
          </w:tcPr>
          <w:p w14:paraId="022B2125" w14:textId="77777777" w:rsidR="00523AF2" w:rsidRPr="00C22DB6" w:rsidRDefault="00523AF2">
            <w:pPr>
              <w:pStyle w:val="Sidehoved"/>
              <w:tabs>
                <w:tab w:val="left" w:pos="851"/>
              </w:tabs>
              <w:rPr>
                <w:szCs w:val="24"/>
              </w:rPr>
            </w:pPr>
            <w:r w:rsidRPr="00C22DB6">
              <w:rPr>
                <w:szCs w:val="24"/>
              </w:rPr>
              <w:t>angst</w:t>
            </w:r>
            <w:r w:rsidRPr="00C22DB6">
              <w:rPr>
                <w:szCs w:val="24"/>
              </w:rPr>
              <w:br/>
              <w:t>depression</w:t>
            </w:r>
            <w:r w:rsidRPr="00C22DB6">
              <w:rPr>
                <w:szCs w:val="24"/>
              </w:rPr>
              <w:br/>
              <w:t>humørsvingninger</w:t>
            </w:r>
          </w:p>
        </w:tc>
      </w:tr>
      <w:tr w:rsidR="00523AF2" w:rsidRPr="00C22DB6" w14:paraId="6E57C72E" w14:textId="77777777" w:rsidTr="000A0C0E">
        <w:tc>
          <w:tcPr>
            <w:tcW w:w="1364" w:type="pct"/>
            <w:tcBorders>
              <w:top w:val="single" w:sz="4" w:space="0" w:color="auto"/>
              <w:left w:val="single" w:sz="4" w:space="0" w:color="auto"/>
              <w:bottom w:val="single" w:sz="4" w:space="0" w:color="auto"/>
              <w:right w:val="single" w:sz="4" w:space="0" w:color="auto"/>
            </w:tcBorders>
            <w:hideMark/>
          </w:tcPr>
          <w:p w14:paraId="4FD6FCB3" w14:textId="77777777" w:rsidR="00523AF2" w:rsidRPr="00C22DB6" w:rsidRDefault="00523AF2">
            <w:pPr>
              <w:pStyle w:val="Sidehoved"/>
              <w:tabs>
                <w:tab w:val="left" w:pos="851"/>
              </w:tabs>
              <w:rPr>
                <w:b/>
                <w:szCs w:val="24"/>
              </w:rPr>
            </w:pPr>
            <w:r w:rsidRPr="00C22DB6">
              <w:rPr>
                <w:b/>
                <w:szCs w:val="24"/>
              </w:rPr>
              <w:t>Nervesystemet</w:t>
            </w:r>
          </w:p>
        </w:tc>
        <w:tc>
          <w:tcPr>
            <w:tcW w:w="1818" w:type="pct"/>
            <w:tcBorders>
              <w:top w:val="single" w:sz="4" w:space="0" w:color="auto"/>
              <w:left w:val="single" w:sz="4" w:space="0" w:color="auto"/>
              <w:bottom w:val="single" w:sz="4" w:space="0" w:color="auto"/>
              <w:right w:val="single" w:sz="4" w:space="0" w:color="auto"/>
            </w:tcBorders>
            <w:hideMark/>
          </w:tcPr>
          <w:p w14:paraId="05A94A54" w14:textId="77777777" w:rsidR="00523AF2" w:rsidRPr="00C22DB6" w:rsidRDefault="00523AF2">
            <w:pPr>
              <w:pStyle w:val="Sidehoved"/>
              <w:tabs>
                <w:tab w:val="left" w:pos="851"/>
              </w:tabs>
              <w:rPr>
                <w:szCs w:val="24"/>
              </w:rPr>
            </w:pPr>
            <w:r w:rsidRPr="00C22DB6">
              <w:rPr>
                <w:szCs w:val="24"/>
              </w:rPr>
              <w:t>hovedpine</w:t>
            </w:r>
            <w:r w:rsidRPr="00C22DB6">
              <w:rPr>
                <w:szCs w:val="24"/>
              </w:rPr>
              <w:br/>
              <w:t>migræne</w:t>
            </w:r>
          </w:p>
        </w:tc>
        <w:tc>
          <w:tcPr>
            <w:tcW w:w="1818" w:type="pct"/>
            <w:tcBorders>
              <w:top w:val="single" w:sz="4" w:space="0" w:color="auto"/>
              <w:left w:val="single" w:sz="4" w:space="0" w:color="auto"/>
              <w:bottom w:val="single" w:sz="4" w:space="0" w:color="auto"/>
              <w:right w:val="single" w:sz="4" w:space="0" w:color="auto"/>
            </w:tcBorders>
            <w:hideMark/>
          </w:tcPr>
          <w:p w14:paraId="4A953030" w14:textId="77777777" w:rsidR="00523AF2" w:rsidRPr="00C22DB6" w:rsidRDefault="00523AF2">
            <w:pPr>
              <w:pStyle w:val="Sidehoved"/>
              <w:tabs>
                <w:tab w:val="left" w:pos="851"/>
              </w:tabs>
              <w:rPr>
                <w:szCs w:val="24"/>
              </w:rPr>
            </w:pPr>
            <w:r w:rsidRPr="00C22DB6">
              <w:rPr>
                <w:szCs w:val="24"/>
              </w:rPr>
              <w:t xml:space="preserve">ubalancer i det autonome nervesystem </w:t>
            </w:r>
          </w:p>
          <w:p w14:paraId="586679B4" w14:textId="77777777" w:rsidR="00523AF2" w:rsidRPr="00C22DB6" w:rsidRDefault="00523AF2">
            <w:pPr>
              <w:pStyle w:val="Sidehoved"/>
              <w:tabs>
                <w:tab w:val="left" w:pos="851"/>
              </w:tabs>
              <w:rPr>
                <w:szCs w:val="24"/>
              </w:rPr>
            </w:pPr>
            <w:r w:rsidRPr="00C22DB6">
              <w:rPr>
                <w:szCs w:val="24"/>
              </w:rPr>
              <w:t>opmærksomhedsforstyrrelser</w:t>
            </w:r>
          </w:p>
        </w:tc>
      </w:tr>
      <w:tr w:rsidR="00523AF2" w:rsidRPr="00C22DB6" w14:paraId="57A2BCB3" w14:textId="77777777" w:rsidTr="000A0C0E">
        <w:tc>
          <w:tcPr>
            <w:tcW w:w="1364" w:type="pct"/>
            <w:tcBorders>
              <w:top w:val="single" w:sz="4" w:space="0" w:color="auto"/>
              <w:left w:val="single" w:sz="4" w:space="0" w:color="auto"/>
              <w:bottom w:val="single" w:sz="4" w:space="0" w:color="auto"/>
              <w:right w:val="single" w:sz="4" w:space="0" w:color="auto"/>
            </w:tcBorders>
            <w:hideMark/>
          </w:tcPr>
          <w:p w14:paraId="388112EB" w14:textId="77777777" w:rsidR="00523AF2" w:rsidRPr="00C22DB6" w:rsidRDefault="00523AF2">
            <w:pPr>
              <w:pStyle w:val="Sidehoved"/>
              <w:tabs>
                <w:tab w:val="left" w:pos="851"/>
              </w:tabs>
              <w:rPr>
                <w:b/>
                <w:szCs w:val="24"/>
              </w:rPr>
            </w:pPr>
            <w:r w:rsidRPr="00C22DB6">
              <w:rPr>
                <w:b/>
                <w:szCs w:val="24"/>
              </w:rPr>
              <w:t>Øjne</w:t>
            </w:r>
          </w:p>
        </w:tc>
        <w:tc>
          <w:tcPr>
            <w:tcW w:w="1818" w:type="pct"/>
            <w:tcBorders>
              <w:top w:val="single" w:sz="4" w:space="0" w:color="auto"/>
              <w:left w:val="single" w:sz="4" w:space="0" w:color="auto"/>
              <w:bottom w:val="single" w:sz="4" w:space="0" w:color="auto"/>
              <w:right w:val="single" w:sz="4" w:space="0" w:color="auto"/>
            </w:tcBorders>
          </w:tcPr>
          <w:p w14:paraId="4ABF87BA" w14:textId="77777777" w:rsidR="00523AF2" w:rsidRPr="00C22DB6" w:rsidRDefault="00523AF2">
            <w:pPr>
              <w:pStyle w:val="Sidehoved"/>
              <w:tabs>
                <w:tab w:val="left" w:pos="851"/>
              </w:tabs>
              <w:rPr>
                <w:szCs w:val="24"/>
              </w:rPr>
            </w:pPr>
          </w:p>
        </w:tc>
        <w:tc>
          <w:tcPr>
            <w:tcW w:w="1818" w:type="pct"/>
            <w:tcBorders>
              <w:top w:val="single" w:sz="4" w:space="0" w:color="auto"/>
              <w:left w:val="single" w:sz="4" w:space="0" w:color="auto"/>
              <w:bottom w:val="single" w:sz="4" w:space="0" w:color="auto"/>
              <w:right w:val="single" w:sz="4" w:space="0" w:color="auto"/>
            </w:tcBorders>
            <w:hideMark/>
          </w:tcPr>
          <w:p w14:paraId="30C6D9EA" w14:textId="77777777" w:rsidR="00523AF2" w:rsidRPr="00C22DB6" w:rsidRDefault="00523AF2">
            <w:pPr>
              <w:pStyle w:val="Sidehoved"/>
              <w:tabs>
                <w:tab w:val="left" w:pos="851"/>
              </w:tabs>
              <w:rPr>
                <w:szCs w:val="24"/>
              </w:rPr>
            </w:pPr>
            <w:r w:rsidRPr="00C22DB6">
              <w:rPr>
                <w:szCs w:val="24"/>
              </w:rPr>
              <w:t>tørre øjne</w:t>
            </w:r>
          </w:p>
        </w:tc>
      </w:tr>
      <w:tr w:rsidR="00523AF2" w:rsidRPr="00C22DB6" w14:paraId="509FE85C" w14:textId="77777777" w:rsidTr="000A0C0E">
        <w:tc>
          <w:tcPr>
            <w:tcW w:w="1364" w:type="pct"/>
            <w:tcBorders>
              <w:top w:val="single" w:sz="4" w:space="0" w:color="auto"/>
              <w:left w:val="single" w:sz="4" w:space="0" w:color="auto"/>
              <w:bottom w:val="single" w:sz="4" w:space="0" w:color="auto"/>
              <w:right w:val="single" w:sz="4" w:space="0" w:color="auto"/>
            </w:tcBorders>
            <w:hideMark/>
          </w:tcPr>
          <w:p w14:paraId="192DFEF0" w14:textId="77777777" w:rsidR="00523AF2" w:rsidRPr="00C22DB6" w:rsidRDefault="00523AF2">
            <w:pPr>
              <w:pStyle w:val="Sidehoved"/>
              <w:tabs>
                <w:tab w:val="left" w:pos="851"/>
              </w:tabs>
              <w:rPr>
                <w:b/>
                <w:szCs w:val="24"/>
              </w:rPr>
            </w:pPr>
            <w:r w:rsidRPr="00C22DB6">
              <w:rPr>
                <w:b/>
                <w:szCs w:val="24"/>
              </w:rPr>
              <w:t>Øre og labyrint</w:t>
            </w:r>
          </w:p>
        </w:tc>
        <w:tc>
          <w:tcPr>
            <w:tcW w:w="1818" w:type="pct"/>
            <w:tcBorders>
              <w:top w:val="single" w:sz="4" w:space="0" w:color="auto"/>
              <w:left w:val="single" w:sz="4" w:space="0" w:color="auto"/>
              <w:bottom w:val="single" w:sz="4" w:space="0" w:color="auto"/>
              <w:right w:val="single" w:sz="4" w:space="0" w:color="auto"/>
            </w:tcBorders>
          </w:tcPr>
          <w:p w14:paraId="149A03D9" w14:textId="77777777" w:rsidR="00523AF2" w:rsidRPr="00C22DB6" w:rsidRDefault="00523AF2">
            <w:pPr>
              <w:pStyle w:val="Sidehoved"/>
              <w:tabs>
                <w:tab w:val="left" w:pos="851"/>
              </w:tabs>
              <w:rPr>
                <w:szCs w:val="24"/>
              </w:rPr>
            </w:pPr>
          </w:p>
        </w:tc>
        <w:tc>
          <w:tcPr>
            <w:tcW w:w="1818" w:type="pct"/>
            <w:tcBorders>
              <w:top w:val="single" w:sz="4" w:space="0" w:color="auto"/>
              <w:left w:val="single" w:sz="4" w:space="0" w:color="auto"/>
              <w:bottom w:val="single" w:sz="4" w:space="0" w:color="auto"/>
              <w:right w:val="single" w:sz="4" w:space="0" w:color="auto"/>
            </w:tcBorders>
            <w:hideMark/>
          </w:tcPr>
          <w:p w14:paraId="73925A52" w14:textId="77777777" w:rsidR="00523AF2" w:rsidRPr="00C22DB6" w:rsidRDefault="00523AF2">
            <w:pPr>
              <w:pStyle w:val="Sidehoved"/>
              <w:tabs>
                <w:tab w:val="left" w:pos="851"/>
              </w:tabs>
              <w:rPr>
                <w:szCs w:val="24"/>
              </w:rPr>
            </w:pPr>
            <w:r w:rsidRPr="00C22DB6">
              <w:rPr>
                <w:szCs w:val="24"/>
              </w:rPr>
              <w:t>tinnitus</w:t>
            </w:r>
          </w:p>
        </w:tc>
      </w:tr>
      <w:tr w:rsidR="00523AF2" w:rsidRPr="00C22DB6" w14:paraId="5AC42097" w14:textId="77777777" w:rsidTr="000A0C0E">
        <w:tc>
          <w:tcPr>
            <w:tcW w:w="1364" w:type="pct"/>
            <w:tcBorders>
              <w:top w:val="single" w:sz="4" w:space="0" w:color="auto"/>
              <w:left w:val="single" w:sz="4" w:space="0" w:color="auto"/>
              <w:bottom w:val="single" w:sz="4" w:space="0" w:color="auto"/>
              <w:right w:val="single" w:sz="4" w:space="0" w:color="auto"/>
            </w:tcBorders>
            <w:hideMark/>
          </w:tcPr>
          <w:p w14:paraId="21A1F2E8" w14:textId="77777777" w:rsidR="00523AF2" w:rsidRPr="00C22DB6" w:rsidRDefault="00523AF2">
            <w:pPr>
              <w:pStyle w:val="Sidehoved"/>
              <w:tabs>
                <w:tab w:val="left" w:pos="851"/>
              </w:tabs>
              <w:rPr>
                <w:b/>
                <w:szCs w:val="24"/>
              </w:rPr>
            </w:pPr>
            <w:r w:rsidRPr="00C22DB6">
              <w:rPr>
                <w:b/>
                <w:szCs w:val="24"/>
              </w:rPr>
              <w:t>Hjerte</w:t>
            </w:r>
          </w:p>
        </w:tc>
        <w:tc>
          <w:tcPr>
            <w:tcW w:w="1818" w:type="pct"/>
            <w:tcBorders>
              <w:top w:val="single" w:sz="4" w:space="0" w:color="auto"/>
              <w:left w:val="single" w:sz="4" w:space="0" w:color="auto"/>
              <w:bottom w:val="single" w:sz="4" w:space="0" w:color="auto"/>
              <w:right w:val="single" w:sz="4" w:space="0" w:color="auto"/>
            </w:tcBorders>
          </w:tcPr>
          <w:p w14:paraId="5CF06DD2" w14:textId="77777777" w:rsidR="00523AF2" w:rsidRPr="00C22DB6" w:rsidRDefault="00523AF2">
            <w:pPr>
              <w:pStyle w:val="Sidehoved"/>
              <w:tabs>
                <w:tab w:val="left" w:pos="851"/>
              </w:tabs>
              <w:rPr>
                <w:szCs w:val="24"/>
              </w:rPr>
            </w:pPr>
          </w:p>
        </w:tc>
        <w:tc>
          <w:tcPr>
            <w:tcW w:w="1818" w:type="pct"/>
            <w:tcBorders>
              <w:top w:val="single" w:sz="4" w:space="0" w:color="auto"/>
              <w:left w:val="single" w:sz="4" w:space="0" w:color="auto"/>
              <w:bottom w:val="single" w:sz="4" w:space="0" w:color="auto"/>
              <w:right w:val="single" w:sz="4" w:space="0" w:color="auto"/>
            </w:tcBorders>
            <w:hideMark/>
          </w:tcPr>
          <w:p w14:paraId="0EB1EC55" w14:textId="77777777" w:rsidR="00523AF2" w:rsidRPr="00C22DB6" w:rsidRDefault="00523AF2">
            <w:pPr>
              <w:pStyle w:val="Sidehoved"/>
              <w:tabs>
                <w:tab w:val="left" w:pos="851"/>
              </w:tabs>
              <w:rPr>
                <w:szCs w:val="24"/>
              </w:rPr>
            </w:pPr>
            <w:r w:rsidRPr="00C22DB6">
              <w:rPr>
                <w:szCs w:val="24"/>
              </w:rPr>
              <w:t xml:space="preserve">uspecifikke kredsløbsforstyrrelser </w:t>
            </w:r>
            <w:r w:rsidRPr="00C22DB6">
              <w:rPr>
                <w:szCs w:val="24"/>
              </w:rPr>
              <w:br/>
            </w:r>
            <w:proofErr w:type="spellStart"/>
            <w:r w:rsidRPr="00C22DB6">
              <w:rPr>
                <w:szCs w:val="24"/>
              </w:rPr>
              <w:t>palpitationer</w:t>
            </w:r>
            <w:proofErr w:type="spellEnd"/>
            <w:r w:rsidRPr="00C22DB6">
              <w:rPr>
                <w:szCs w:val="24"/>
              </w:rPr>
              <w:t xml:space="preserve"> </w:t>
            </w:r>
          </w:p>
        </w:tc>
      </w:tr>
      <w:tr w:rsidR="00523AF2" w:rsidRPr="00C22DB6" w14:paraId="58910D0F" w14:textId="77777777" w:rsidTr="000A0C0E">
        <w:tc>
          <w:tcPr>
            <w:tcW w:w="1364" w:type="pct"/>
            <w:tcBorders>
              <w:top w:val="single" w:sz="4" w:space="0" w:color="auto"/>
              <w:left w:val="single" w:sz="4" w:space="0" w:color="auto"/>
              <w:bottom w:val="single" w:sz="4" w:space="0" w:color="auto"/>
              <w:right w:val="single" w:sz="4" w:space="0" w:color="auto"/>
            </w:tcBorders>
            <w:hideMark/>
          </w:tcPr>
          <w:p w14:paraId="31232509" w14:textId="77777777" w:rsidR="00523AF2" w:rsidRPr="00C22DB6" w:rsidRDefault="00523AF2">
            <w:pPr>
              <w:pStyle w:val="Sidehoved"/>
              <w:tabs>
                <w:tab w:val="left" w:pos="851"/>
              </w:tabs>
              <w:rPr>
                <w:b/>
                <w:szCs w:val="24"/>
              </w:rPr>
            </w:pPr>
            <w:proofErr w:type="spellStart"/>
            <w:r w:rsidRPr="00C22DB6">
              <w:rPr>
                <w:b/>
                <w:szCs w:val="24"/>
              </w:rPr>
              <w:t>Vaskulære</w:t>
            </w:r>
            <w:proofErr w:type="spellEnd"/>
            <w:r w:rsidRPr="00C22DB6">
              <w:rPr>
                <w:b/>
                <w:szCs w:val="24"/>
              </w:rPr>
              <w:t xml:space="preserve"> sygdomme</w:t>
            </w:r>
          </w:p>
        </w:tc>
        <w:tc>
          <w:tcPr>
            <w:tcW w:w="1818" w:type="pct"/>
            <w:tcBorders>
              <w:top w:val="single" w:sz="4" w:space="0" w:color="auto"/>
              <w:left w:val="single" w:sz="4" w:space="0" w:color="auto"/>
              <w:bottom w:val="single" w:sz="4" w:space="0" w:color="auto"/>
              <w:right w:val="single" w:sz="4" w:space="0" w:color="auto"/>
            </w:tcBorders>
          </w:tcPr>
          <w:p w14:paraId="2C509E7E" w14:textId="77777777" w:rsidR="00523AF2" w:rsidRPr="00C22DB6" w:rsidRDefault="00523AF2">
            <w:pPr>
              <w:pStyle w:val="Sidehoved"/>
              <w:tabs>
                <w:tab w:val="left" w:pos="851"/>
              </w:tabs>
              <w:rPr>
                <w:szCs w:val="24"/>
              </w:rPr>
            </w:pPr>
          </w:p>
        </w:tc>
        <w:tc>
          <w:tcPr>
            <w:tcW w:w="1818" w:type="pct"/>
            <w:tcBorders>
              <w:top w:val="single" w:sz="4" w:space="0" w:color="auto"/>
              <w:left w:val="single" w:sz="4" w:space="0" w:color="auto"/>
              <w:bottom w:val="single" w:sz="4" w:space="0" w:color="auto"/>
              <w:right w:val="single" w:sz="4" w:space="0" w:color="auto"/>
            </w:tcBorders>
            <w:hideMark/>
          </w:tcPr>
          <w:p w14:paraId="2BDD018B" w14:textId="77777777" w:rsidR="00523AF2" w:rsidRPr="00C22DB6" w:rsidRDefault="00523AF2">
            <w:pPr>
              <w:pStyle w:val="Sidehoved"/>
              <w:tabs>
                <w:tab w:val="left" w:pos="851"/>
              </w:tabs>
              <w:rPr>
                <w:szCs w:val="24"/>
              </w:rPr>
            </w:pPr>
            <w:r w:rsidRPr="00C22DB6">
              <w:rPr>
                <w:szCs w:val="24"/>
              </w:rPr>
              <w:t>hypotension</w:t>
            </w:r>
          </w:p>
        </w:tc>
      </w:tr>
      <w:tr w:rsidR="00523AF2" w:rsidRPr="00C22DB6" w14:paraId="08818367" w14:textId="77777777" w:rsidTr="000A0C0E">
        <w:tc>
          <w:tcPr>
            <w:tcW w:w="1364" w:type="pct"/>
            <w:tcBorders>
              <w:top w:val="single" w:sz="4" w:space="0" w:color="auto"/>
              <w:left w:val="single" w:sz="4" w:space="0" w:color="auto"/>
              <w:bottom w:val="single" w:sz="4" w:space="0" w:color="auto"/>
              <w:right w:val="single" w:sz="4" w:space="0" w:color="auto"/>
            </w:tcBorders>
            <w:hideMark/>
          </w:tcPr>
          <w:p w14:paraId="4FAED0F0" w14:textId="77777777" w:rsidR="00523AF2" w:rsidRPr="00C22DB6" w:rsidRDefault="00523AF2">
            <w:pPr>
              <w:pStyle w:val="Sidehoved"/>
              <w:tabs>
                <w:tab w:val="left" w:pos="851"/>
              </w:tabs>
              <w:rPr>
                <w:b/>
                <w:szCs w:val="24"/>
              </w:rPr>
            </w:pPr>
            <w:r w:rsidRPr="00C22DB6">
              <w:rPr>
                <w:b/>
                <w:szCs w:val="24"/>
              </w:rPr>
              <w:t xml:space="preserve">Luftveje, thorax og </w:t>
            </w:r>
            <w:proofErr w:type="spellStart"/>
            <w:r w:rsidRPr="00C22DB6">
              <w:rPr>
                <w:b/>
                <w:szCs w:val="24"/>
              </w:rPr>
              <w:t>mediastinum</w:t>
            </w:r>
            <w:proofErr w:type="spellEnd"/>
          </w:p>
        </w:tc>
        <w:tc>
          <w:tcPr>
            <w:tcW w:w="1818" w:type="pct"/>
            <w:tcBorders>
              <w:top w:val="single" w:sz="4" w:space="0" w:color="auto"/>
              <w:left w:val="single" w:sz="4" w:space="0" w:color="auto"/>
              <w:bottom w:val="single" w:sz="4" w:space="0" w:color="auto"/>
              <w:right w:val="single" w:sz="4" w:space="0" w:color="auto"/>
            </w:tcBorders>
          </w:tcPr>
          <w:p w14:paraId="009274E3" w14:textId="77777777" w:rsidR="00523AF2" w:rsidRPr="00C22DB6" w:rsidRDefault="00523AF2">
            <w:pPr>
              <w:pStyle w:val="Sidehoved"/>
              <w:tabs>
                <w:tab w:val="left" w:pos="851"/>
              </w:tabs>
              <w:rPr>
                <w:szCs w:val="24"/>
              </w:rPr>
            </w:pPr>
          </w:p>
        </w:tc>
        <w:tc>
          <w:tcPr>
            <w:tcW w:w="1818" w:type="pct"/>
            <w:tcBorders>
              <w:top w:val="single" w:sz="4" w:space="0" w:color="auto"/>
              <w:left w:val="single" w:sz="4" w:space="0" w:color="auto"/>
              <w:bottom w:val="single" w:sz="4" w:space="0" w:color="auto"/>
              <w:right w:val="single" w:sz="4" w:space="0" w:color="auto"/>
            </w:tcBorders>
            <w:hideMark/>
          </w:tcPr>
          <w:p w14:paraId="0D9AD8F2" w14:textId="77777777" w:rsidR="00523AF2" w:rsidRPr="00C22DB6" w:rsidRDefault="00523AF2">
            <w:pPr>
              <w:pStyle w:val="Sidehoved"/>
              <w:tabs>
                <w:tab w:val="left" w:pos="851"/>
              </w:tabs>
              <w:rPr>
                <w:szCs w:val="24"/>
              </w:rPr>
            </w:pPr>
            <w:r w:rsidRPr="00C22DB6">
              <w:rPr>
                <w:szCs w:val="24"/>
              </w:rPr>
              <w:t>dyspnø</w:t>
            </w:r>
          </w:p>
        </w:tc>
      </w:tr>
      <w:tr w:rsidR="00523AF2" w:rsidRPr="00C22DB6" w14:paraId="4855A1EC" w14:textId="77777777" w:rsidTr="000A0C0E">
        <w:tc>
          <w:tcPr>
            <w:tcW w:w="1364" w:type="pct"/>
            <w:tcBorders>
              <w:top w:val="single" w:sz="4" w:space="0" w:color="auto"/>
              <w:left w:val="single" w:sz="4" w:space="0" w:color="auto"/>
              <w:bottom w:val="single" w:sz="4" w:space="0" w:color="auto"/>
              <w:right w:val="single" w:sz="4" w:space="0" w:color="auto"/>
            </w:tcBorders>
            <w:hideMark/>
          </w:tcPr>
          <w:p w14:paraId="6B9AA9F8" w14:textId="77777777" w:rsidR="00523AF2" w:rsidRPr="00C22DB6" w:rsidRDefault="00523AF2">
            <w:pPr>
              <w:pStyle w:val="Sidehoved"/>
              <w:tabs>
                <w:tab w:val="left" w:pos="851"/>
              </w:tabs>
              <w:rPr>
                <w:b/>
                <w:szCs w:val="24"/>
              </w:rPr>
            </w:pPr>
            <w:r w:rsidRPr="00C22DB6">
              <w:rPr>
                <w:b/>
                <w:szCs w:val="24"/>
              </w:rPr>
              <w:t>Mave-tarm-kanalen</w:t>
            </w:r>
          </w:p>
        </w:tc>
        <w:tc>
          <w:tcPr>
            <w:tcW w:w="1818" w:type="pct"/>
            <w:tcBorders>
              <w:top w:val="single" w:sz="4" w:space="0" w:color="auto"/>
              <w:left w:val="single" w:sz="4" w:space="0" w:color="auto"/>
              <w:bottom w:val="single" w:sz="4" w:space="0" w:color="auto"/>
              <w:right w:val="single" w:sz="4" w:space="0" w:color="auto"/>
            </w:tcBorders>
            <w:hideMark/>
          </w:tcPr>
          <w:p w14:paraId="27778359" w14:textId="77777777" w:rsidR="00523AF2" w:rsidRPr="00C22DB6" w:rsidRDefault="00523AF2">
            <w:pPr>
              <w:pStyle w:val="Sidehoved"/>
              <w:tabs>
                <w:tab w:val="left" w:pos="851"/>
              </w:tabs>
              <w:rPr>
                <w:szCs w:val="24"/>
              </w:rPr>
            </w:pPr>
            <w:r w:rsidRPr="00C22DB6">
              <w:rPr>
                <w:szCs w:val="24"/>
              </w:rPr>
              <w:t>kvalme</w:t>
            </w:r>
            <w:r w:rsidRPr="00C22DB6">
              <w:rPr>
                <w:szCs w:val="24"/>
              </w:rPr>
              <w:br/>
              <w:t>mavesmerter</w:t>
            </w:r>
            <w:r w:rsidRPr="00C22DB6">
              <w:rPr>
                <w:szCs w:val="24"/>
              </w:rPr>
              <w:br/>
            </w:r>
            <w:proofErr w:type="spellStart"/>
            <w:r w:rsidRPr="00C22DB6">
              <w:rPr>
                <w:szCs w:val="24"/>
              </w:rPr>
              <w:t>flatulens</w:t>
            </w:r>
            <w:proofErr w:type="spellEnd"/>
            <w:r w:rsidRPr="00C22DB6">
              <w:rPr>
                <w:szCs w:val="24"/>
              </w:rPr>
              <w:t xml:space="preserve"> </w:t>
            </w:r>
            <w:r w:rsidRPr="00C22DB6">
              <w:rPr>
                <w:szCs w:val="24"/>
              </w:rPr>
              <w:br/>
              <w:t>udspilet abdomen</w:t>
            </w:r>
            <w:r w:rsidRPr="00C22DB6">
              <w:rPr>
                <w:szCs w:val="24"/>
              </w:rPr>
              <w:br/>
              <w:t>opkastning</w:t>
            </w:r>
          </w:p>
        </w:tc>
        <w:tc>
          <w:tcPr>
            <w:tcW w:w="1818" w:type="pct"/>
            <w:tcBorders>
              <w:top w:val="single" w:sz="4" w:space="0" w:color="auto"/>
              <w:left w:val="single" w:sz="4" w:space="0" w:color="auto"/>
              <w:bottom w:val="single" w:sz="4" w:space="0" w:color="auto"/>
              <w:right w:val="single" w:sz="4" w:space="0" w:color="auto"/>
            </w:tcBorders>
            <w:hideMark/>
          </w:tcPr>
          <w:p w14:paraId="2EF6ACF3" w14:textId="77777777" w:rsidR="00523AF2" w:rsidRPr="00C22DB6" w:rsidRDefault="00523AF2">
            <w:pPr>
              <w:pStyle w:val="Sidehoved"/>
              <w:tabs>
                <w:tab w:val="left" w:pos="851"/>
              </w:tabs>
              <w:rPr>
                <w:szCs w:val="24"/>
              </w:rPr>
            </w:pPr>
            <w:proofErr w:type="spellStart"/>
            <w:r w:rsidRPr="00C22DB6">
              <w:rPr>
                <w:szCs w:val="24"/>
              </w:rPr>
              <w:t>diaré</w:t>
            </w:r>
            <w:proofErr w:type="spellEnd"/>
            <w:r w:rsidRPr="00C22DB6">
              <w:rPr>
                <w:szCs w:val="24"/>
              </w:rPr>
              <w:br/>
              <w:t>obstipation</w:t>
            </w:r>
            <w:r w:rsidRPr="00C22DB6">
              <w:rPr>
                <w:szCs w:val="24"/>
              </w:rPr>
              <w:br/>
            </w:r>
            <w:proofErr w:type="spellStart"/>
            <w:r w:rsidRPr="00C22DB6">
              <w:rPr>
                <w:szCs w:val="24"/>
              </w:rPr>
              <w:t>abdominalt</w:t>
            </w:r>
            <w:proofErr w:type="spellEnd"/>
            <w:r w:rsidRPr="00C22DB6">
              <w:rPr>
                <w:szCs w:val="24"/>
              </w:rPr>
              <w:t xml:space="preserve"> ubehag </w:t>
            </w:r>
            <w:r w:rsidRPr="00C22DB6">
              <w:rPr>
                <w:szCs w:val="24"/>
              </w:rPr>
              <w:br/>
            </w:r>
            <w:proofErr w:type="spellStart"/>
            <w:r w:rsidRPr="00C22DB6">
              <w:rPr>
                <w:szCs w:val="24"/>
              </w:rPr>
              <w:t>gastrointestinal</w:t>
            </w:r>
            <w:proofErr w:type="spellEnd"/>
            <w:r w:rsidRPr="00C22DB6">
              <w:rPr>
                <w:szCs w:val="24"/>
              </w:rPr>
              <w:t xml:space="preserve"> inflammation </w:t>
            </w:r>
            <w:r w:rsidRPr="00C22DB6">
              <w:rPr>
                <w:szCs w:val="24"/>
              </w:rPr>
              <w:br/>
            </w:r>
            <w:proofErr w:type="spellStart"/>
            <w:r w:rsidRPr="00C22DB6">
              <w:rPr>
                <w:szCs w:val="24"/>
              </w:rPr>
              <w:t>gingivitis</w:t>
            </w:r>
            <w:proofErr w:type="spellEnd"/>
          </w:p>
        </w:tc>
      </w:tr>
      <w:tr w:rsidR="00523AF2" w:rsidRPr="00C22DB6" w14:paraId="222F2F7D" w14:textId="77777777" w:rsidTr="000A0C0E">
        <w:tc>
          <w:tcPr>
            <w:tcW w:w="1364" w:type="pct"/>
            <w:tcBorders>
              <w:top w:val="single" w:sz="4" w:space="0" w:color="auto"/>
              <w:left w:val="single" w:sz="4" w:space="0" w:color="auto"/>
              <w:bottom w:val="single" w:sz="4" w:space="0" w:color="auto"/>
              <w:right w:val="single" w:sz="4" w:space="0" w:color="auto"/>
            </w:tcBorders>
            <w:hideMark/>
          </w:tcPr>
          <w:p w14:paraId="1831A4B1" w14:textId="77777777" w:rsidR="00523AF2" w:rsidRPr="00C22DB6" w:rsidRDefault="00523AF2">
            <w:pPr>
              <w:pStyle w:val="Sidehoved"/>
              <w:tabs>
                <w:tab w:val="left" w:pos="851"/>
              </w:tabs>
              <w:rPr>
                <w:b/>
                <w:szCs w:val="24"/>
              </w:rPr>
            </w:pPr>
            <w:r w:rsidRPr="00C22DB6">
              <w:rPr>
                <w:b/>
                <w:szCs w:val="24"/>
              </w:rPr>
              <w:t xml:space="preserve">Hud og subkutane væv </w:t>
            </w:r>
          </w:p>
        </w:tc>
        <w:tc>
          <w:tcPr>
            <w:tcW w:w="1818" w:type="pct"/>
            <w:tcBorders>
              <w:top w:val="single" w:sz="4" w:space="0" w:color="auto"/>
              <w:left w:val="single" w:sz="4" w:space="0" w:color="auto"/>
              <w:bottom w:val="single" w:sz="4" w:space="0" w:color="auto"/>
              <w:right w:val="single" w:sz="4" w:space="0" w:color="auto"/>
            </w:tcBorders>
            <w:hideMark/>
          </w:tcPr>
          <w:p w14:paraId="4387D87E" w14:textId="77777777" w:rsidR="00523AF2" w:rsidRPr="00C22DB6" w:rsidRDefault="00523AF2">
            <w:pPr>
              <w:pStyle w:val="Sidehoved"/>
              <w:tabs>
                <w:tab w:val="left" w:pos="851"/>
              </w:tabs>
              <w:rPr>
                <w:szCs w:val="24"/>
              </w:rPr>
            </w:pPr>
            <w:r w:rsidRPr="00C22DB6">
              <w:rPr>
                <w:szCs w:val="24"/>
              </w:rPr>
              <w:t xml:space="preserve">akne </w:t>
            </w:r>
            <w:r w:rsidRPr="00C22DB6">
              <w:rPr>
                <w:szCs w:val="24"/>
              </w:rPr>
              <w:br/>
            </w:r>
            <w:proofErr w:type="spellStart"/>
            <w:r w:rsidRPr="00C22DB6">
              <w:rPr>
                <w:szCs w:val="24"/>
              </w:rPr>
              <w:t>alopeci</w:t>
            </w:r>
            <w:proofErr w:type="spellEnd"/>
            <w:r w:rsidRPr="00C22DB6">
              <w:rPr>
                <w:szCs w:val="24"/>
              </w:rPr>
              <w:br/>
            </w:r>
            <w:r w:rsidRPr="00C22DB6">
              <w:rPr>
                <w:szCs w:val="24"/>
              </w:rPr>
              <w:tab/>
            </w:r>
          </w:p>
        </w:tc>
        <w:tc>
          <w:tcPr>
            <w:tcW w:w="1818" w:type="pct"/>
            <w:tcBorders>
              <w:top w:val="single" w:sz="4" w:space="0" w:color="auto"/>
              <w:left w:val="single" w:sz="4" w:space="0" w:color="auto"/>
              <w:bottom w:val="single" w:sz="4" w:space="0" w:color="auto"/>
              <w:right w:val="single" w:sz="4" w:space="0" w:color="auto"/>
            </w:tcBorders>
            <w:hideMark/>
          </w:tcPr>
          <w:p w14:paraId="4D892A79" w14:textId="77777777" w:rsidR="00523AF2" w:rsidRPr="00C22DB6" w:rsidRDefault="00523AF2">
            <w:pPr>
              <w:pStyle w:val="Sidehoved"/>
              <w:tabs>
                <w:tab w:val="left" w:pos="851"/>
              </w:tabs>
              <w:rPr>
                <w:szCs w:val="24"/>
              </w:rPr>
            </w:pPr>
            <w:r w:rsidRPr="00C22DB6">
              <w:rPr>
                <w:szCs w:val="24"/>
              </w:rPr>
              <w:t>tør hud</w:t>
            </w:r>
            <w:r w:rsidRPr="00C22DB6">
              <w:rPr>
                <w:szCs w:val="24"/>
              </w:rPr>
              <w:br/>
            </w:r>
            <w:proofErr w:type="spellStart"/>
            <w:r w:rsidRPr="00C22DB6">
              <w:rPr>
                <w:szCs w:val="24"/>
              </w:rPr>
              <w:t>hyperhidrosis</w:t>
            </w:r>
            <w:proofErr w:type="spellEnd"/>
            <w:r w:rsidRPr="00C22DB6">
              <w:rPr>
                <w:szCs w:val="24"/>
              </w:rPr>
              <w:br/>
            </w:r>
            <w:proofErr w:type="spellStart"/>
            <w:r w:rsidRPr="00C22DB6">
              <w:rPr>
                <w:szCs w:val="24"/>
              </w:rPr>
              <w:t>pruritus</w:t>
            </w:r>
            <w:proofErr w:type="spellEnd"/>
            <w:r w:rsidRPr="00C22DB6">
              <w:rPr>
                <w:szCs w:val="24"/>
              </w:rPr>
              <w:t xml:space="preserve"> </w:t>
            </w:r>
            <w:r w:rsidRPr="00C22DB6">
              <w:rPr>
                <w:szCs w:val="24"/>
              </w:rPr>
              <w:br/>
            </w:r>
            <w:proofErr w:type="spellStart"/>
            <w:r w:rsidRPr="00C22DB6">
              <w:rPr>
                <w:szCs w:val="24"/>
              </w:rPr>
              <w:t>hirsutisme</w:t>
            </w:r>
            <w:proofErr w:type="spellEnd"/>
            <w:r w:rsidRPr="00C22DB6">
              <w:rPr>
                <w:szCs w:val="24"/>
              </w:rPr>
              <w:t xml:space="preserve"> </w:t>
            </w:r>
            <w:r w:rsidRPr="00C22DB6">
              <w:rPr>
                <w:szCs w:val="24"/>
              </w:rPr>
              <w:br/>
            </w:r>
            <w:proofErr w:type="spellStart"/>
            <w:r w:rsidRPr="00C22DB6">
              <w:rPr>
                <w:szCs w:val="24"/>
              </w:rPr>
              <w:t>onychoclasi</w:t>
            </w:r>
            <w:proofErr w:type="spellEnd"/>
            <w:r w:rsidRPr="00C22DB6">
              <w:rPr>
                <w:szCs w:val="24"/>
              </w:rPr>
              <w:t xml:space="preserve"> </w:t>
            </w:r>
            <w:r w:rsidRPr="00C22DB6">
              <w:rPr>
                <w:szCs w:val="24"/>
              </w:rPr>
              <w:br/>
              <w:t xml:space="preserve">skæl i hovedbunden </w:t>
            </w:r>
            <w:r w:rsidRPr="00C22DB6">
              <w:rPr>
                <w:szCs w:val="24"/>
              </w:rPr>
              <w:br/>
            </w:r>
            <w:proofErr w:type="spellStart"/>
            <w:r w:rsidRPr="00C22DB6">
              <w:rPr>
                <w:szCs w:val="24"/>
              </w:rPr>
              <w:t>dermatitis</w:t>
            </w:r>
            <w:proofErr w:type="spellEnd"/>
            <w:r w:rsidRPr="00C22DB6">
              <w:rPr>
                <w:szCs w:val="24"/>
              </w:rPr>
              <w:t xml:space="preserve"> </w:t>
            </w:r>
            <w:r w:rsidRPr="00C22DB6">
              <w:rPr>
                <w:szCs w:val="24"/>
              </w:rPr>
              <w:br/>
            </w:r>
            <w:r w:rsidRPr="00C22DB6">
              <w:rPr>
                <w:szCs w:val="24"/>
              </w:rPr>
              <w:lastRenderedPageBreak/>
              <w:t>abnorm hårvækst</w:t>
            </w:r>
            <w:r w:rsidRPr="00C22DB6">
              <w:rPr>
                <w:szCs w:val="24"/>
              </w:rPr>
              <w:br/>
              <w:t xml:space="preserve">fotosensitivitetsreaktioner pigmentændringer </w:t>
            </w:r>
          </w:p>
        </w:tc>
      </w:tr>
      <w:tr w:rsidR="00523AF2" w:rsidRPr="00C22DB6" w14:paraId="584226C4" w14:textId="77777777" w:rsidTr="000A0C0E">
        <w:tc>
          <w:tcPr>
            <w:tcW w:w="1364" w:type="pct"/>
            <w:tcBorders>
              <w:top w:val="single" w:sz="4" w:space="0" w:color="auto"/>
              <w:left w:val="single" w:sz="4" w:space="0" w:color="auto"/>
              <w:bottom w:val="single" w:sz="4" w:space="0" w:color="auto"/>
              <w:right w:val="single" w:sz="4" w:space="0" w:color="auto"/>
            </w:tcBorders>
            <w:hideMark/>
          </w:tcPr>
          <w:p w14:paraId="073D857C" w14:textId="77777777" w:rsidR="00523AF2" w:rsidRPr="00C22DB6" w:rsidRDefault="00523AF2">
            <w:pPr>
              <w:pStyle w:val="Sidehoved"/>
              <w:tabs>
                <w:tab w:val="left" w:pos="851"/>
              </w:tabs>
              <w:rPr>
                <w:b/>
                <w:szCs w:val="24"/>
              </w:rPr>
            </w:pPr>
            <w:r w:rsidRPr="00C22DB6">
              <w:rPr>
                <w:b/>
                <w:szCs w:val="24"/>
              </w:rPr>
              <w:lastRenderedPageBreak/>
              <w:t>Knogler, led, muskler og bindevæv</w:t>
            </w:r>
          </w:p>
        </w:tc>
        <w:tc>
          <w:tcPr>
            <w:tcW w:w="1818" w:type="pct"/>
            <w:tcBorders>
              <w:top w:val="single" w:sz="4" w:space="0" w:color="auto"/>
              <w:left w:val="single" w:sz="4" w:space="0" w:color="auto"/>
              <w:bottom w:val="single" w:sz="4" w:space="0" w:color="auto"/>
              <w:right w:val="single" w:sz="4" w:space="0" w:color="auto"/>
            </w:tcBorders>
            <w:hideMark/>
          </w:tcPr>
          <w:p w14:paraId="5E36ACED" w14:textId="77777777" w:rsidR="00523AF2" w:rsidRPr="00C22DB6" w:rsidRDefault="00523AF2">
            <w:pPr>
              <w:pStyle w:val="Sidehoved"/>
              <w:tabs>
                <w:tab w:val="left" w:pos="851"/>
              </w:tabs>
              <w:rPr>
                <w:szCs w:val="24"/>
              </w:rPr>
            </w:pPr>
            <w:r w:rsidRPr="00C22DB6">
              <w:rPr>
                <w:szCs w:val="24"/>
              </w:rPr>
              <w:t xml:space="preserve">rygsmerter </w:t>
            </w:r>
            <w:r w:rsidRPr="00C22DB6">
              <w:rPr>
                <w:szCs w:val="24"/>
              </w:rPr>
              <w:br/>
            </w:r>
          </w:p>
        </w:tc>
        <w:tc>
          <w:tcPr>
            <w:tcW w:w="1818" w:type="pct"/>
            <w:tcBorders>
              <w:top w:val="single" w:sz="4" w:space="0" w:color="auto"/>
              <w:left w:val="single" w:sz="4" w:space="0" w:color="auto"/>
              <w:bottom w:val="single" w:sz="4" w:space="0" w:color="auto"/>
              <w:right w:val="single" w:sz="4" w:space="0" w:color="auto"/>
            </w:tcBorders>
            <w:hideMark/>
          </w:tcPr>
          <w:p w14:paraId="7294F9DA" w14:textId="77777777" w:rsidR="00523AF2" w:rsidRPr="00C22DB6" w:rsidRDefault="00523AF2">
            <w:pPr>
              <w:pStyle w:val="Sidehoved"/>
              <w:tabs>
                <w:tab w:val="left" w:pos="851"/>
              </w:tabs>
              <w:rPr>
                <w:szCs w:val="24"/>
              </w:rPr>
            </w:pPr>
            <w:r w:rsidRPr="00C22DB6">
              <w:rPr>
                <w:szCs w:val="24"/>
              </w:rPr>
              <w:t>knoglesmerter</w:t>
            </w:r>
            <w:r w:rsidRPr="00C22DB6">
              <w:rPr>
                <w:szCs w:val="24"/>
              </w:rPr>
              <w:br/>
              <w:t>muskelspasmer</w:t>
            </w:r>
            <w:r w:rsidRPr="00C22DB6">
              <w:rPr>
                <w:szCs w:val="24"/>
              </w:rPr>
              <w:br/>
              <w:t>smerter i ekstremiteterne</w:t>
            </w:r>
            <w:r w:rsidRPr="00C22DB6">
              <w:rPr>
                <w:szCs w:val="24"/>
              </w:rPr>
              <w:br/>
              <w:t>tunghed i ekstremiteterne</w:t>
            </w:r>
          </w:p>
        </w:tc>
      </w:tr>
      <w:tr w:rsidR="00523AF2" w:rsidRPr="00C22DB6" w14:paraId="4C870E14" w14:textId="77777777" w:rsidTr="000A0C0E">
        <w:tc>
          <w:tcPr>
            <w:tcW w:w="1364" w:type="pct"/>
            <w:tcBorders>
              <w:top w:val="single" w:sz="4" w:space="0" w:color="auto"/>
              <w:left w:val="single" w:sz="4" w:space="0" w:color="auto"/>
              <w:bottom w:val="single" w:sz="4" w:space="0" w:color="auto"/>
              <w:right w:val="single" w:sz="4" w:space="0" w:color="auto"/>
            </w:tcBorders>
            <w:hideMark/>
          </w:tcPr>
          <w:p w14:paraId="7CD60FBB" w14:textId="77777777" w:rsidR="00523AF2" w:rsidRPr="00C22DB6" w:rsidRDefault="00523AF2">
            <w:pPr>
              <w:pStyle w:val="Sidehoved"/>
              <w:tabs>
                <w:tab w:val="left" w:pos="851"/>
              </w:tabs>
              <w:rPr>
                <w:b/>
                <w:szCs w:val="24"/>
              </w:rPr>
            </w:pPr>
            <w:r w:rsidRPr="00C22DB6">
              <w:rPr>
                <w:b/>
                <w:szCs w:val="24"/>
              </w:rPr>
              <w:t>Nyrer og urinveje</w:t>
            </w:r>
          </w:p>
        </w:tc>
        <w:tc>
          <w:tcPr>
            <w:tcW w:w="1818" w:type="pct"/>
            <w:tcBorders>
              <w:top w:val="single" w:sz="4" w:space="0" w:color="auto"/>
              <w:left w:val="single" w:sz="4" w:space="0" w:color="auto"/>
              <w:bottom w:val="single" w:sz="4" w:space="0" w:color="auto"/>
              <w:right w:val="single" w:sz="4" w:space="0" w:color="auto"/>
            </w:tcBorders>
          </w:tcPr>
          <w:p w14:paraId="3B2673AB" w14:textId="77777777" w:rsidR="00523AF2" w:rsidRPr="00C22DB6" w:rsidRDefault="00523AF2">
            <w:pPr>
              <w:pStyle w:val="Sidehoved"/>
              <w:tabs>
                <w:tab w:val="left" w:pos="851"/>
              </w:tabs>
              <w:rPr>
                <w:szCs w:val="24"/>
              </w:rPr>
            </w:pPr>
          </w:p>
        </w:tc>
        <w:tc>
          <w:tcPr>
            <w:tcW w:w="1818" w:type="pct"/>
            <w:tcBorders>
              <w:top w:val="single" w:sz="4" w:space="0" w:color="auto"/>
              <w:left w:val="single" w:sz="4" w:space="0" w:color="auto"/>
              <w:bottom w:val="single" w:sz="4" w:space="0" w:color="auto"/>
              <w:right w:val="single" w:sz="4" w:space="0" w:color="auto"/>
            </w:tcBorders>
            <w:hideMark/>
          </w:tcPr>
          <w:p w14:paraId="4D302EFA" w14:textId="77777777" w:rsidR="00523AF2" w:rsidRPr="00C22DB6" w:rsidRDefault="00523AF2">
            <w:pPr>
              <w:pStyle w:val="Sidehoved"/>
              <w:tabs>
                <w:tab w:val="left" w:pos="851"/>
              </w:tabs>
              <w:rPr>
                <w:szCs w:val="24"/>
              </w:rPr>
            </w:pPr>
            <w:r w:rsidRPr="00C22DB6">
              <w:rPr>
                <w:szCs w:val="24"/>
              </w:rPr>
              <w:t>urinvejsinfektioner</w:t>
            </w:r>
          </w:p>
        </w:tc>
      </w:tr>
      <w:tr w:rsidR="00523AF2" w:rsidRPr="00C22DB6" w14:paraId="4EAB1B33" w14:textId="77777777" w:rsidTr="000A0C0E">
        <w:trPr>
          <w:trHeight w:val="2709"/>
        </w:trPr>
        <w:tc>
          <w:tcPr>
            <w:tcW w:w="1364" w:type="pct"/>
            <w:tcBorders>
              <w:top w:val="single" w:sz="4" w:space="0" w:color="auto"/>
              <w:left w:val="single" w:sz="4" w:space="0" w:color="auto"/>
              <w:bottom w:val="single" w:sz="4" w:space="0" w:color="auto"/>
              <w:right w:val="single" w:sz="4" w:space="0" w:color="auto"/>
            </w:tcBorders>
            <w:hideMark/>
          </w:tcPr>
          <w:p w14:paraId="7433E643" w14:textId="77777777" w:rsidR="00523AF2" w:rsidRPr="00C22DB6" w:rsidRDefault="00523AF2">
            <w:pPr>
              <w:pStyle w:val="Sidehoved"/>
              <w:tabs>
                <w:tab w:val="left" w:pos="851"/>
              </w:tabs>
              <w:rPr>
                <w:b/>
                <w:szCs w:val="24"/>
              </w:rPr>
            </w:pPr>
            <w:r w:rsidRPr="00C22DB6">
              <w:rPr>
                <w:b/>
                <w:szCs w:val="24"/>
              </w:rPr>
              <w:t xml:space="preserve">Det reproduktive system og mammae </w:t>
            </w:r>
          </w:p>
        </w:tc>
        <w:tc>
          <w:tcPr>
            <w:tcW w:w="1818" w:type="pct"/>
            <w:tcBorders>
              <w:top w:val="single" w:sz="4" w:space="0" w:color="auto"/>
              <w:left w:val="single" w:sz="4" w:space="0" w:color="auto"/>
              <w:bottom w:val="single" w:sz="4" w:space="0" w:color="auto"/>
              <w:right w:val="single" w:sz="4" w:space="0" w:color="auto"/>
            </w:tcBorders>
            <w:hideMark/>
          </w:tcPr>
          <w:p w14:paraId="06157FBF" w14:textId="77777777" w:rsidR="00523AF2" w:rsidRPr="00C22DB6" w:rsidRDefault="00523AF2">
            <w:pPr>
              <w:pStyle w:val="Sidehoved"/>
              <w:tabs>
                <w:tab w:val="left" w:pos="851"/>
              </w:tabs>
              <w:rPr>
                <w:szCs w:val="24"/>
              </w:rPr>
            </w:pPr>
            <w:r w:rsidRPr="00C22DB6">
              <w:rPr>
                <w:szCs w:val="24"/>
              </w:rPr>
              <w:t xml:space="preserve">brystgener </w:t>
            </w:r>
            <w:r w:rsidRPr="00C22DB6">
              <w:rPr>
                <w:szCs w:val="24"/>
              </w:rPr>
              <w:br/>
              <w:t>ovariecyster</w:t>
            </w:r>
            <w:r w:rsidRPr="00C22DB6">
              <w:rPr>
                <w:szCs w:val="24"/>
              </w:rPr>
              <w:br/>
              <w:t>hedeture</w:t>
            </w:r>
          </w:p>
          <w:p w14:paraId="01D268FB" w14:textId="77777777" w:rsidR="00523AF2" w:rsidRPr="00C22DB6" w:rsidRDefault="00523AF2">
            <w:pPr>
              <w:pStyle w:val="Sidehoved"/>
              <w:tabs>
                <w:tab w:val="left" w:pos="851"/>
              </w:tabs>
              <w:rPr>
                <w:szCs w:val="24"/>
              </w:rPr>
            </w:pPr>
            <w:proofErr w:type="spellStart"/>
            <w:r w:rsidRPr="00C22DB6">
              <w:rPr>
                <w:szCs w:val="24"/>
              </w:rPr>
              <w:t>uterin</w:t>
            </w:r>
            <w:proofErr w:type="spellEnd"/>
            <w:r w:rsidRPr="00C22DB6">
              <w:rPr>
                <w:szCs w:val="24"/>
              </w:rPr>
              <w:t>/vaginalblødning, herunder pletblødning</w:t>
            </w:r>
          </w:p>
        </w:tc>
        <w:tc>
          <w:tcPr>
            <w:tcW w:w="1818" w:type="pct"/>
            <w:tcBorders>
              <w:top w:val="single" w:sz="4" w:space="0" w:color="auto"/>
              <w:left w:val="single" w:sz="4" w:space="0" w:color="auto"/>
              <w:bottom w:val="single" w:sz="4" w:space="0" w:color="auto"/>
              <w:right w:val="single" w:sz="4" w:space="0" w:color="auto"/>
            </w:tcBorders>
            <w:hideMark/>
          </w:tcPr>
          <w:p w14:paraId="00120735" w14:textId="77777777" w:rsidR="00523AF2" w:rsidRPr="00C22DB6" w:rsidRDefault="00523AF2">
            <w:pPr>
              <w:pStyle w:val="Sidehoved"/>
              <w:tabs>
                <w:tab w:val="left" w:pos="851"/>
              </w:tabs>
              <w:rPr>
                <w:szCs w:val="24"/>
              </w:rPr>
            </w:pPr>
            <w:r w:rsidRPr="00C22DB6">
              <w:rPr>
                <w:szCs w:val="24"/>
              </w:rPr>
              <w:t xml:space="preserve">vaginal </w:t>
            </w:r>
            <w:proofErr w:type="spellStart"/>
            <w:r w:rsidRPr="00C22DB6">
              <w:rPr>
                <w:szCs w:val="24"/>
              </w:rPr>
              <w:t>candidiasis</w:t>
            </w:r>
            <w:proofErr w:type="spellEnd"/>
            <w:r w:rsidRPr="00C22DB6">
              <w:rPr>
                <w:szCs w:val="24"/>
              </w:rPr>
              <w:br/>
            </w:r>
            <w:proofErr w:type="spellStart"/>
            <w:r w:rsidRPr="00C22DB6">
              <w:rPr>
                <w:szCs w:val="24"/>
              </w:rPr>
              <w:t>vulvovaginal</w:t>
            </w:r>
            <w:proofErr w:type="spellEnd"/>
            <w:r w:rsidRPr="00C22DB6">
              <w:rPr>
                <w:szCs w:val="24"/>
              </w:rPr>
              <w:t xml:space="preserve"> tørhed </w:t>
            </w:r>
            <w:r w:rsidRPr="00C22DB6">
              <w:rPr>
                <w:szCs w:val="24"/>
              </w:rPr>
              <w:br/>
              <w:t>udflåd</w:t>
            </w:r>
            <w:r w:rsidRPr="00C22DB6">
              <w:rPr>
                <w:szCs w:val="24"/>
              </w:rPr>
              <w:br/>
              <w:t>underlivssmerter</w:t>
            </w:r>
            <w:r w:rsidRPr="00C22DB6">
              <w:rPr>
                <w:szCs w:val="24"/>
              </w:rPr>
              <w:br/>
              <w:t xml:space="preserve">atrofisk </w:t>
            </w:r>
            <w:proofErr w:type="spellStart"/>
            <w:r w:rsidRPr="00C22DB6">
              <w:rPr>
                <w:szCs w:val="24"/>
              </w:rPr>
              <w:t>vulvovaginitis</w:t>
            </w:r>
            <w:proofErr w:type="spellEnd"/>
            <w:r w:rsidRPr="00C22DB6">
              <w:rPr>
                <w:szCs w:val="24"/>
              </w:rPr>
              <w:br/>
              <w:t>brystudfyldning</w:t>
            </w:r>
            <w:r w:rsidRPr="00C22DB6">
              <w:rPr>
                <w:szCs w:val="24"/>
              </w:rPr>
              <w:br/>
            </w:r>
            <w:proofErr w:type="spellStart"/>
            <w:r w:rsidRPr="00C22DB6">
              <w:rPr>
                <w:szCs w:val="24"/>
              </w:rPr>
              <w:t>fibrocystisk</w:t>
            </w:r>
            <w:proofErr w:type="spellEnd"/>
            <w:r w:rsidRPr="00C22DB6">
              <w:rPr>
                <w:szCs w:val="24"/>
              </w:rPr>
              <w:t xml:space="preserve"> brystsygdom</w:t>
            </w:r>
            <w:r w:rsidRPr="00C22DB6">
              <w:rPr>
                <w:szCs w:val="24"/>
              </w:rPr>
              <w:br/>
            </w:r>
            <w:proofErr w:type="spellStart"/>
            <w:r w:rsidRPr="00C22DB6">
              <w:rPr>
                <w:szCs w:val="24"/>
              </w:rPr>
              <w:t>induration</w:t>
            </w:r>
            <w:proofErr w:type="spellEnd"/>
            <w:r w:rsidRPr="00C22DB6">
              <w:rPr>
                <w:szCs w:val="24"/>
              </w:rPr>
              <w:t xml:space="preserve"> af brystet</w:t>
            </w:r>
          </w:p>
        </w:tc>
      </w:tr>
      <w:tr w:rsidR="00523AF2" w:rsidRPr="00C22DB6" w14:paraId="0C8AEB34" w14:textId="77777777" w:rsidTr="000A0C0E">
        <w:trPr>
          <w:trHeight w:val="2709"/>
        </w:trPr>
        <w:tc>
          <w:tcPr>
            <w:tcW w:w="1364" w:type="pct"/>
            <w:tcBorders>
              <w:top w:val="single" w:sz="4" w:space="0" w:color="auto"/>
              <w:left w:val="single" w:sz="4" w:space="0" w:color="auto"/>
              <w:bottom w:val="single" w:sz="4" w:space="0" w:color="auto"/>
              <w:right w:val="single" w:sz="4" w:space="0" w:color="auto"/>
            </w:tcBorders>
            <w:hideMark/>
          </w:tcPr>
          <w:p w14:paraId="153F650A" w14:textId="77777777" w:rsidR="00523AF2" w:rsidRPr="00C22DB6" w:rsidRDefault="00523AF2">
            <w:pPr>
              <w:pStyle w:val="Sidehoved"/>
              <w:tabs>
                <w:tab w:val="left" w:pos="851"/>
              </w:tabs>
              <w:rPr>
                <w:b/>
                <w:szCs w:val="24"/>
              </w:rPr>
            </w:pPr>
            <w:r w:rsidRPr="00C22DB6">
              <w:rPr>
                <w:b/>
                <w:szCs w:val="24"/>
              </w:rPr>
              <w:t xml:space="preserve">Almene symptomer og reaktioner på administrationsstedet </w:t>
            </w:r>
          </w:p>
        </w:tc>
        <w:tc>
          <w:tcPr>
            <w:tcW w:w="1818" w:type="pct"/>
            <w:tcBorders>
              <w:top w:val="single" w:sz="4" w:space="0" w:color="auto"/>
              <w:left w:val="single" w:sz="4" w:space="0" w:color="auto"/>
              <w:bottom w:val="single" w:sz="4" w:space="0" w:color="auto"/>
              <w:right w:val="single" w:sz="4" w:space="0" w:color="auto"/>
            </w:tcBorders>
            <w:hideMark/>
          </w:tcPr>
          <w:p w14:paraId="3C1400A8" w14:textId="77777777" w:rsidR="00523AF2" w:rsidRPr="00C22DB6" w:rsidRDefault="00523AF2">
            <w:pPr>
              <w:pStyle w:val="Sidehoved"/>
              <w:tabs>
                <w:tab w:val="left" w:pos="851"/>
              </w:tabs>
              <w:rPr>
                <w:szCs w:val="24"/>
              </w:rPr>
            </w:pPr>
            <w:r w:rsidRPr="00C22DB6">
              <w:rPr>
                <w:szCs w:val="24"/>
              </w:rPr>
              <w:t>asteni</w:t>
            </w:r>
            <w:r w:rsidRPr="00C22DB6">
              <w:rPr>
                <w:szCs w:val="24"/>
              </w:rPr>
              <w:br/>
              <w:t>irritabilitet</w:t>
            </w:r>
          </w:p>
        </w:tc>
        <w:tc>
          <w:tcPr>
            <w:tcW w:w="1818" w:type="pct"/>
            <w:tcBorders>
              <w:top w:val="single" w:sz="4" w:space="0" w:color="auto"/>
              <w:left w:val="single" w:sz="4" w:space="0" w:color="auto"/>
              <w:bottom w:val="single" w:sz="4" w:space="0" w:color="auto"/>
              <w:right w:val="single" w:sz="4" w:space="0" w:color="auto"/>
            </w:tcBorders>
            <w:hideMark/>
          </w:tcPr>
          <w:p w14:paraId="666A0692" w14:textId="77777777" w:rsidR="00523AF2" w:rsidRPr="00C22DB6" w:rsidRDefault="00523AF2">
            <w:pPr>
              <w:pStyle w:val="Sidehoved"/>
              <w:tabs>
                <w:tab w:val="left" w:pos="851"/>
              </w:tabs>
              <w:rPr>
                <w:szCs w:val="24"/>
              </w:rPr>
            </w:pPr>
            <w:r w:rsidRPr="00C22DB6">
              <w:rPr>
                <w:szCs w:val="24"/>
              </w:rPr>
              <w:t>ødem</w:t>
            </w:r>
          </w:p>
        </w:tc>
      </w:tr>
    </w:tbl>
    <w:p w14:paraId="3C395525" w14:textId="77777777" w:rsidR="00523AF2" w:rsidRPr="00C22DB6" w:rsidRDefault="00523AF2" w:rsidP="00523AF2">
      <w:pPr>
        <w:autoSpaceDE w:val="0"/>
        <w:autoSpaceDN w:val="0"/>
        <w:adjustRightInd w:val="0"/>
        <w:rPr>
          <w:sz w:val="24"/>
          <w:szCs w:val="24"/>
          <w:u w:val="single"/>
        </w:rPr>
      </w:pPr>
    </w:p>
    <w:p w14:paraId="7E844647" w14:textId="77777777" w:rsidR="00523AF2" w:rsidRPr="008D4BB6" w:rsidRDefault="00523AF2" w:rsidP="000A0C0E">
      <w:pPr>
        <w:ind w:left="851"/>
        <w:rPr>
          <w:b/>
          <w:noProof/>
          <w:sz w:val="24"/>
          <w:szCs w:val="24"/>
        </w:rPr>
      </w:pPr>
      <w:r w:rsidRPr="008D4BB6">
        <w:rPr>
          <w:b/>
          <w:noProof/>
          <w:sz w:val="24"/>
          <w:szCs w:val="24"/>
        </w:rPr>
        <w:t>Fald i knoglemineraltætheden</w:t>
      </w:r>
    </w:p>
    <w:p w14:paraId="338909D4" w14:textId="5A7293C8" w:rsidR="00523AF2" w:rsidRPr="000A0C0E" w:rsidRDefault="00523AF2" w:rsidP="000A0C0E">
      <w:pPr>
        <w:ind w:left="851"/>
        <w:rPr>
          <w:sz w:val="24"/>
          <w:szCs w:val="24"/>
        </w:rPr>
      </w:pPr>
      <w:r w:rsidRPr="000A0C0E">
        <w:rPr>
          <w:noProof/>
          <w:sz w:val="24"/>
          <w:szCs w:val="24"/>
        </w:rPr>
        <w:t>I et ikke-kontrolleret klinisk studie med 111 unge kvinder (</w:t>
      </w:r>
      <w:r w:rsidRPr="000A0C0E">
        <w:rPr>
          <w:bCs/>
          <w:sz w:val="24"/>
          <w:szCs w:val="24"/>
        </w:rPr>
        <w:t>12 til &lt;18 år</w:t>
      </w:r>
      <w:r w:rsidRPr="000A0C0E">
        <w:rPr>
          <w:noProof/>
          <w:sz w:val="24"/>
          <w:szCs w:val="24"/>
        </w:rPr>
        <w:t>), der blev behandlet med 2 mg dienogest, fik 103 foretaget BMD-måling. Ca. 72</w:t>
      </w:r>
      <w:r w:rsidR="00922729">
        <w:rPr>
          <w:noProof/>
          <w:sz w:val="24"/>
          <w:szCs w:val="24"/>
        </w:rPr>
        <w:t xml:space="preserve"> %</w:t>
      </w:r>
      <w:r w:rsidRPr="000A0C0E">
        <w:rPr>
          <w:noProof/>
          <w:sz w:val="24"/>
          <w:szCs w:val="24"/>
        </w:rPr>
        <w:t xml:space="preserve"> af disse studiedeltagere oplevede et fald i BMD i </w:t>
      </w:r>
      <w:r w:rsidRPr="000A0C0E">
        <w:rPr>
          <w:sz w:val="24"/>
          <w:szCs w:val="24"/>
        </w:rPr>
        <w:t xml:space="preserve">den lumbale </w:t>
      </w:r>
      <w:proofErr w:type="spellStart"/>
      <w:r w:rsidRPr="000A0C0E">
        <w:rPr>
          <w:sz w:val="24"/>
          <w:szCs w:val="24"/>
        </w:rPr>
        <w:t>columna</w:t>
      </w:r>
      <w:proofErr w:type="spellEnd"/>
      <w:r w:rsidRPr="000A0C0E">
        <w:rPr>
          <w:sz w:val="24"/>
          <w:szCs w:val="24"/>
        </w:rPr>
        <w:t xml:space="preserve"> (L2-L4) efter 12 måneders behandling (se pkt. 4.4).</w:t>
      </w:r>
    </w:p>
    <w:p w14:paraId="2B4AE38E" w14:textId="77777777" w:rsidR="00523AF2" w:rsidRPr="000A0C0E" w:rsidRDefault="00523AF2" w:rsidP="000A0C0E">
      <w:pPr>
        <w:ind w:left="851"/>
        <w:rPr>
          <w:sz w:val="24"/>
          <w:szCs w:val="24"/>
        </w:rPr>
      </w:pPr>
    </w:p>
    <w:p w14:paraId="73089ABF" w14:textId="77777777" w:rsidR="00523AF2" w:rsidRPr="008D4BB6" w:rsidRDefault="00523AF2" w:rsidP="000A0C0E">
      <w:pPr>
        <w:ind w:left="851"/>
        <w:rPr>
          <w:bCs/>
          <w:sz w:val="24"/>
          <w:szCs w:val="24"/>
          <w:u w:val="single"/>
        </w:rPr>
      </w:pPr>
      <w:r w:rsidRPr="008D4BB6">
        <w:rPr>
          <w:bCs/>
          <w:noProof/>
          <w:sz w:val="24"/>
          <w:szCs w:val="24"/>
          <w:u w:val="single"/>
        </w:rPr>
        <w:t>Indberetning af formodede bivirkninger</w:t>
      </w:r>
    </w:p>
    <w:p w14:paraId="2C257B43" w14:textId="77777777" w:rsidR="00523AF2" w:rsidRPr="000A0C0E" w:rsidRDefault="00523AF2" w:rsidP="000A0C0E">
      <w:pPr>
        <w:ind w:left="851"/>
        <w:rPr>
          <w:sz w:val="24"/>
          <w:szCs w:val="24"/>
        </w:rPr>
      </w:pPr>
      <w:r w:rsidRPr="000A0C0E">
        <w:rPr>
          <w:noProof/>
          <w:sz w:val="24"/>
          <w:szCs w:val="24"/>
        </w:rPr>
        <w:t>Når lægemidlet er godkendt, er indberetning af formodede bivirkninger vigtig.</w:t>
      </w:r>
      <w:r w:rsidRPr="000A0C0E">
        <w:rPr>
          <w:sz w:val="24"/>
          <w:szCs w:val="24"/>
        </w:rPr>
        <w:t xml:space="preserve"> </w:t>
      </w:r>
      <w:r w:rsidRPr="000A0C0E">
        <w:rPr>
          <w:noProof/>
          <w:sz w:val="24"/>
          <w:szCs w:val="24"/>
        </w:rPr>
        <w:t>Det muliggør løbende overvågning af benefit/risk-forholdet for lægemidlet.</w:t>
      </w:r>
      <w:r w:rsidRPr="000A0C0E">
        <w:rPr>
          <w:sz w:val="24"/>
          <w:szCs w:val="24"/>
        </w:rPr>
        <w:t xml:space="preserve"> </w:t>
      </w:r>
      <w:r w:rsidRPr="000A0C0E">
        <w:rPr>
          <w:noProof/>
          <w:sz w:val="24"/>
          <w:szCs w:val="24"/>
        </w:rPr>
        <w:t>Læger og sundhedspersonale anmodes om at indberette alle formodede bivirkninger via</w:t>
      </w:r>
      <w:r w:rsidRPr="000A0C0E">
        <w:rPr>
          <w:sz w:val="24"/>
          <w:szCs w:val="24"/>
        </w:rPr>
        <w:t xml:space="preserve"> </w:t>
      </w:r>
    </w:p>
    <w:p w14:paraId="34F68624" w14:textId="77777777" w:rsidR="00523AF2" w:rsidRPr="000A0C0E" w:rsidRDefault="00523AF2" w:rsidP="000A0C0E">
      <w:pPr>
        <w:ind w:left="851"/>
        <w:rPr>
          <w:rFonts w:eastAsia="Calibri"/>
          <w:color w:val="000000"/>
          <w:sz w:val="24"/>
          <w:szCs w:val="24"/>
          <w:lang w:eastAsia="zh-CN"/>
        </w:rPr>
      </w:pPr>
      <w:r w:rsidRPr="000A0C0E">
        <w:rPr>
          <w:sz w:val="24"/>
          <w:szCs w:val="24"/>
        </w:rPr>
        <w:t>Lægemiddelstyrelsen</w:t>
      </w:r>
    </w:p>
    <w:p w14:paraId="7084F3E2" w14:textId="77777777" w:rsidR="00523AF2" w:rsidRPr="000A0C0E" w:rsidRDefault="00523AF2" w:rsidP="000A0C0E">
      <w:pPr>
        <w:ind w:left="851"/>
        <w:rPr>
          <w:rFonts w:eastAsia="Calibri"/>
          <w:noProof/>
          <w:sz w:val="24"/>
          <w:szCs w:val="24"/>
          <w:lang w:eastAsia="zh-CN"/>
        </w:rPr>
      </w:pPr>
      <w:r w:rsidRPr="000A0C0E">
        <w:rPr>
          <w:rFonts w:eastAsia="Calibri"/>
          <w:sz w:val="24"/>
          <w:szCs w:val="24"/>
          <w:lang w:eastAsia="zh-CN"/>
        </w:rPr>
        <w:t>Axel Heides Gade 1</w:t>
      </w:r>
    </w:p>
    <w:p w14:paraId="378D1904" w14:textId="77777777" w:rsidR="00523AF2" w:rsidRPr="000A0C0E" w:rsidRDefault="00523AF2" w:rsidP="000A0C0E">
      <w:pPr>
        <w:ind w:left="851"/>
        <w:rPr>
          <w:rFonts w:eastAsia="Calibri"/>
          <w:noProof/>
          <w:sz w:val="24"/>
          <w:szCs w:val="24"/>
          <w:lang w:eastAsia="zh-CN"/>
        </w:rPr>
      </w:pPr>
      <w:r w:rsidRPr="000A0C0E">
        <w:rPr>
          <w:rFonts w:eastAsia="Calibri"/>
          <w:noProof/>
          <w:sz w:val="24"/>
          <w:szCs w:val="24"/>
          <w:lang w:eastAsia="zh-CN"/>
        </w:rPr>
        <w:t xml:space="preserve">DK-2300 </w:t>
      </w:r>
      <w:r w:rsidRPr="000A0C0E">
        <w:rPr>
          <w:rFonts w:eastAsia="Calibri"/>
          <w:sz w:val="24"/>
          <w:szCs w:val="24"/>
          <w:lang w:eastAsia="zh-CN"/>
        </w:rPr>
        <w:t>København S</w:t>
      </w:r>
    </w:p>
    <w:p w14:paraId="3B05884B" w14:textId="77777777" w:rsidR="00523AF2" w:rsidRPr="000A0C0E" w:rsidRDefault="00523AF2" w:rsidP="000A0C0E">
      <w:pPr>
        <w:ind w:left="851"/>
        <w:rPr>
          <w:rFonts w:eastAsia="Calibri"/>
          <w:noProof/>
          <w:sz w:val="24"/>
          <w:szCs w:val="24"/>
          <w:lang w:eastAsia="zh-CN"/>
        </w:rPr>
      </w:pPr>
      <w:r w:rsidRPr="000A0C0E">
        <w:rPr>
          <w:rFonts w:eastAsia="Calibri"/>
          <w:sz w:val="24"/>
          <w:szCs w:val="24"/>
          <w:lang w:eastAsia="zh-CN"/>
        </w:rPr>
        <w:t>Websted</w:t>
      </w:r>
      <w:r w:rsidRPr="000A0C0E">
        <w:rPr>
          <w:rFonts w:eastAsia="Calibri"/>
          <w:noProof/>
          <w:sz w:val="24"/>
          <w:szCs w:val="24"/>
          <w:lang w:eastAsia="zh-CN"/>
        </w:rPr>
        <w:t xml:space="preserve">: </w:t>
      </w:r>
      <w:hyperlink r:id="rId8" w:history="1">
        <w:r w:rsidRPr="000A0C0E">
          <w:rPr>
            <w:rStyle w:val="Hyperlink"/>
            <w:rFonts w:eastAsia="Calibri"/>
            <w:noProof/>
            <w:sz w:val="24"/>
            <w:szCs w:val="24"/>
            <w:lang w:eastAsia="zh-CN"/>
          </w:rPr>
          <w:t>www.meldenbivirkning.dk</w:t>
        </w:r>
      </w:hyperlink>
    </w:p>
    <w:p w14:paraId="4AFCD5E0" w14:textId="77777777" w:rsidR="009260DE" w:rsidRPr="00C22DB6" w:rsidRDefault="009260DE" w:rsidP="009260DE">
      <w:pPr>
        <w:pStyle w:val="Sidehoved"/>
        <w:tabs>
          <w:tab w:val="left" w:pos="851"/>
        </w:tabs>
        <w:ind w:left="851"/>
        <w:rPr>
          <w:szCs w:val="24"/>
        </w:rPr>
      </w:pPr>
    </w:p>
    <w:p w14:paraId="60A5C6AB" w14:textId="77777777" w:rsidR="009260DE" w:rsidRPr="00C22DB6" w:rsidRDefault="009260DE" w:rsidP="009260DE">
      <w:pPr>
        <w:tabs>
          <w:tab w:val="left" w:pos="851"/>
        </w:tabs>
        <w:ind w:left="851" w:hanging="851"/>
        <w:rPr>
          <w:b/>
          <w:sz w:val="24"/>
          <w:szCs w:val="24"/>
        </w:rPr>
      </w:pPr>
      <w:r w:rsidRPr="00C22DB6">
        <w:rPr>
          <w:b/>
          <w:sz w:val="24"/>
          <w:szCs w:val="24"/>
        </w:rPr>
        <w:t>4.9</w:t>
      </w:r>
      <w:r w:rsidRPr="00C22DB6">
        <w:rPr>
          <w:b/>
          <w:sz w:val="24"/>
          <w:szCs w:val="24"/>
        </w:rPr>
        <w:tab/>
        <w:t>Overdosering</w:t>
      </w:r>
    </w:p>
    <w:p w14:paraId="21A8BC96" w14:textId="77777777" w:rsidR="00E7218F" w:rsidRPr="00C22DB6" w:rsidRDefault="00E7218F" w:rsidP="000A0C0E">
      <w:pPr>
        <w:suppressAutoHyphens/>
        <w:ind w:left="851"/>
        <w:rPr>
          <w:b/>
          <w:noProof/>
          <w:sz w:val="24"/>
          <w:szCs w:val="24"/>
        </w:rPr>
      </w:pPr>
      <w:r w:rsidRPr="00C22DB6">
        <w:rPr>
          <w:sz w:val="24"/>
          <w:szCs w:val="24"/>
        </w:rPr>
        <w:t xml:space="preserve">Akutte toksicitetsstudier med </w:t>
      </w:r>
      <w:proofErr w:type="spellStart"/>
      <w:r w:rsidRPr="00C22DB6">
        <w:rPr>
          <w:sz w:val="24"/>
          <w:szCs w:val="24"/>
        </w:rPr>
        <w:t>dienogest</w:t>
      </w:r>
      <w:proofErr w:type="spellEnd"/>
      <w:r w:rsidRPr="00C22DB6">
        <w:rPr>
          <w:sz w:val="24"/>
          <w:szCs w:val="24"/>
        </w:rPr>
        <w:t xml:space="preserve"> tyder ikke på en risiko for akutte bivirkninger efter utilsigtet indtagelse af en dosis, som er flere gange højere end den daglige, terapeutiske dosis. Der er ingen specifik</w:t>
      </w:r>
      <w:r w:rsidRPr="00C22DB6">
        <w:rPr>
          <w:color w:val="000000"/>
          <w:sz w:val="24"/>
          <w:szCs w:val="24"/>
        </w:rPr>
        <w:t xml:space="preserve"> </w:t>
      </w:r>
      <w:proofErr w:type="spellStart"/>
      <w:r w:rsidRPr="00C22DB6">
        <w:rPr>
          <w:color w:val="000000"/>
          <w:sz w:val="24"/>
          <w:szCs w:val="24"/>
        </w:rPr>
        <w:t>antidot</w:t>
      </w:r>
      <w:proofErr w:type="spellEnd"/>
      <w:r w:rsidRPr="00C22DB6">
        <w:rPr>
          <w:color w:val="000000"/>
          <w:sz w:val="24"/>
          <w:szCs w:val="24"/>
        </w:rPr>
        <w:t xml:space="preserve">. En daglig dosis på </w:t>
      </w:r>
      <w:r w:rsidRPr="00C22DB6">
        <w:rPr>
          <w:sz w:val="24"/>
          <w:szCs w:val="24"/>
        </w:rPr>
        <w:t xml:space="preserve">20-30 mg </w:t>
      </w:r>
      <w:proofErr w:type="spellStart"/>
      <w:r w:rsidRPr="00C22DB6">
        <w:rPr>
          <w:sz w:val="24"/>
          <w:szCs w:val="24"/>
        </w:rPr>
        <w:t>dienogest</w:t>
      </w:r>
      <w:proofErr w:type="spellEnd"/>
      <w:r w:rsidRPr="00C22DB6">
        <w:rPr>
          <w:sz w:val="24"/>
          <w:szCs w:val="24"/>
        </w:rPr>
        <w:t xml:space="preserve"> (10-15 gange højere dosis end i </w:t>
      </w:r>
      <w:proofErr w:type="spellStart"/>
      <w:r w:rsidRPr="00C22DB6">
        <w:rPr>
          <w:sz w:val="24"/>
          <w:szCs w:val="24"/>
        </w:rPr>
        <w:t>Dienosis</w:t>
      </w:r>
      <w:proofErr w:type="spellEnd"/>
      <w:r w:rsidRPr="00C22DB6">
        <w:rPr>
          <w:sz w:val="24"/>
          <w:szCs w:val="24"/>
        </w:rPr>
        <w:t>) i 24 uger tåltes godt.</w:t>
      </w:r>
    </w:p>
    <w:p w14:paraId="2F74E326" w14:textId="77777777" w:rsidR="009260DE" w:rsidRPr="00C22DB6" w:rsidRDefault="009260DE" w:rsidP="009260DE">
      <w:pPr>
        <w:tabs>
          <w:tab w:val="left" w:pos="851"/>
        </w:tabs>
        <w:ind w:left="851"/>
        <w:rPr>
          <w:sz w:val="24"/>
          <w:szCs w:val="24"/>
        </w:rPr>
      </w:pPr>
    </w:p>
    <w:p w14:paraId="323B01AC" w14:textId="77777777" w:rsidR="009260DE" w:rsidRPr="00C22DB6" w:rsidRDefault="009260DE" w:rsidP="009260DE">
      <w:pPr>
        <w:tabs>
          <w:tab w:val="left" w:pos="851"/>
        </w:tabs>
        <w:ind w:left="851" w:hanging="851"/>
        <w:rPr>
          <w:b/>
          <w:sz w:val="24"/>
          <w:szCs w:val="24"/>
        </w:rPr>
      </w:pPr>
      <w:r w:rsidRPr="00C22DB6">
        <w:rPr>
          <w:b/>
          <w:sz w:val="24"/>
          <w:szCs w:val="24"/>
        </w:rPr>
        <w:t>4.10</w:t>
      </w:r>
      <w:r w:rsidRPr="00C22DB6">
        <w:rPr>
          <w:b/>
          <w:sz w:val="24"/>
          <w:szCs w:val="24"/>
        </w:rPr>
        <w:tab/>
        <w:t>Udlevering</w:t>
      </w:r>
    </w:p>
    <w:p w14:paraId="1CBBE74C" w14:textId="2436D88D" w:rsidR="009260DE" w:rsidRPr="00C22DB6" w:rsidRDefault="000A0C0E" w:rsidP="009260DE">
      <w:pPr>
        <w:tabs>
          <w:tab w:val="left" w:pos="851"/>
        </w:tabs>
        <w:ind w:left="851"/>
        <w:rPr>
          <w:sz w:val="24"/>
          <w:szCs w:val="24"/>
        </w:rPr>
      </w:pPr>
      <w:r>
        <w:rPr>
          <w:sz w:val="24"/>
          <w:szCs w:val="24"/>
        </w:rPr>
        <w:t>B</w:t>
      </w:r>
    </w:p>
    <w:p w14:paraId="6FA510D8" w14:textId="77777777" w:rsidR="009260DE" w:rsidRPr="00C22DB6" w:rsidRDefault="009260DE" w:rsidP="009260DE">
      <w:pPr>
        <w:tabs>
          <w:tab w:val="left" w:pos="851"/>
        </w:tabs>
        <w:ind w:left="851"/>
        <w:rPr>
          <w:sz w:val="24"/>
          <w:szCs w:val="24"/>
        </w:rPr>
      </w:pPr>
    </w:p>
    <w:p w14:paraId="2A841E30" w14:textId="77777777" w:rsidR="009260DE" w:rsidRPr="00C22DB6" w:rsidRDefault="009260DE" w:rsidP="009260DE">
      <w:pPr>
        <w:tabs>
          <w:tab w:val="left" w:pos="851"/>
        </w:tabs>
        <w:ind w:left="851"/>
        <w:rPr>
          <w:sz w:val="24"/>
          <w:szCs w:val="24"/>
        </w:rPr>
      </w:pPr>
    </w:p>
    <w:p w14:paraId="2986EAAF" w14:textId="77777777" w:rsidR="009260DE" w:rsidRPr="00C22DB6" w:rsidRDefault="009260DE" w:rsidP="009260DE">
      <w:pPr>
        <w:tabs>
          <w:tab w:val="left" w:pos="851"/>
        </w:tabs>
        <w:ind w:left="851" w:hanging="851"/>
        <w:rPr>
          <w:b/>
          <w:sz w:val="24"/>
          <w:szCs w:val="24"/>
        </w:rPr>
      </w:pPr>
      <w:r w:rsidRPr="00C22DB6">
        <w:rPr>
          <w:b/>
          <w:sz w:val="24"/>
          <w:szCs w:val="24"/>
        </w:rPr>
        <w:t>5.</w:t>
      </w:r>
      <w:r w:rsidRPr="00C22DB6">
        <w:rPr>
          <w:b/>
          <w:sz w:val="24"/>
          <w:szCs w:val="24"/>
        </w:rPr>
        <w:tab/>
        <w:t>FARMAKOLOGISKE EGENSKABER</w:t>
      </w:r>
    </w:p>
    <w:p w14:paraId="37E60DD9" w14:textId="77777777" w:rsidR="009260DE" w:rsidRPr="00C22DB6" w:rsidRDefault="009260DE" w:rsidP="009260DE">
      <w:pPr>
        <w:tabs>
          <w:tab w:val="left" w:pos="851"/>
        </w:tabs>
        <w:ind w:left="851"/>
        <w:rPr>
          <w:sz w:val="24"/>
          <w:szCs w:val="24"/>
        </w:rPr>
      </w:pPr>
    </w:p>
    <w:p w14:paraId="0FAE023F" w14:textId="77777777" w:rsidR="009260DE" w:rsidRPr="00C22DB6" w:rsidRDefault="009260DE" w:rsidP="009260DE">
      <w:pPr>
        <w:tabs>
          <w:tab w:val="left" w:pos="851"/>
        </w:tabs>
        <w:ind w:left="851" w:hanging="851"/>
        <w:rPr>
          <w:b/>
          <w:sz w:val="24"/>
          <w:szCs w:val="24"/>
        </w:rPr>
      </w:pPr>
      <w:r w:rsidRPr="00C22DB6">
        <w:rPr>
          <w:b/>
          <w:sz w:val="24"/>
          <w:szCs w:val="24"/>
        </w:rPr>
        <w:t>5.0</w:t>
      </w:r>
      <w:r w:rsidRPr="00C22DB6">
        <w:rPr>
          <w:b/>
          <w:sz w:val="24"/>
          <w:szCs w:val="24"/>
        </w:rPr>
        <w:tab/>
        <w:t>Terapeutisk klassifikation</w:t>
      </w:r>
    </w:p>
    <w:p w14:paraId="2198D825" w14:textId="4C65E4F0" w:rsidR="009260DE" w:rsidRPr="00C22DB6" w:rsidRDefault="008D4BB6" w:rsidP="008D4BB6">
      <w:pPr>
        <w:ind w:left="851"/>
        <w:rPr>
          <w:sz w:val="24"/>
          <w:szCs w:val="24"/>
        </w:rPr>
      </w:pPr>
      <w:r w:rsidRPr="00C22DB6">
        <w:rPr>
          <w:noProof/>
          <w:sz w:val="24"/>
          <w:szCs w:val="24"/>
        </w:rPr>
        <w:t>ATC-kode: G</w:t>
      </w:r>
      <w:r>
        <w:rPr>
          <w:noProof/>
          <w:sz w:val="24"/>
          <w:szCs w:val="24"/>
        </w:rPr>
        <w:t xml:space="preserve"> </w:t>
      </w:r>
      <w:r w:rsidRPr="00C22DB6">
        <w:rPr>
          <w:noProof/>
          <w:sz w:val="24"/>
          <w:szCs w:val="24"/>
        </w:rPr>
        <w:t>03</w:t>
      </w:r>
      <w:r>
        <w:rPr>
          <w:noProof/>
          <w:sz w:val="24"/>
          <w:szCs w:val="24"/>
        </w:rPr>
        <w:t xml:space="preserve"> </w:t>
      </w:r>
      <w:r w:rsidRPr="00C22DB6">
        <w:rPr>
          <w:noProof/>
          <w:sz w:val="24"/>
          <w:szCs w:val="24"/>
        </w:rPr>
        <w:t>DB</w:t>
      </w:r>
      <w:r>
        <w:rPr>
          <w:noProof/>
          <w:sz w:val="24"/>
          <w:szCs w:val="24"/>
        </w:rPr>
        <w:t xml:space="preserve"> </w:t>
      </w:r>
      <w:r w:rsidRPr="00C22DB6">
        <w:rPr>
          <w:noProof/>
          <w:sz w:val="24"/>
          <w:szCs w:val="24"/>
        </w:rPr>
        <w:t>08</w:t>
      </w:r>
      <w:r>
        <w:rPr>
          <w:noProof/>
          <w:sz w:val="24"/>
          <w:szCs w:val="24"/>
        </w:rPr>
        <w:t>.</w:t>
      </w:r>
      <w:r w:rsidR="00E7218F" w:rsidRPr="00C22DB6">
        <w:rPr>
          <w:sz w:val="24"/>
          <w:szCs w:val="24"/>
        </w:rPr>
        <w:t xml:space="preserve"> </w:t>
      </w:r>
      <w:r>
        <w:rPr>
          <w:sz w:val="24"/>
          <w:szCs w:val="24"/>
        </w:rPr>
        <w:t>G</w:t>
      </w:r>
      <w:r w:rsidR="00E7218F" w:rsidRPr="00C22DB6">
        <w:rPr>
          <w:noProof/>
          <w:sz w:val="24"/>
          <w:szCs w:val="24"/>
        </w:rPr>
        <w:t>estagener</w:t>
      </w:r>
      <w:r>
        <w:rPr>
          <w:noProof/>
          <w:sz w:val="24"/>
          <w:szCs w:val="24"/>
        </w:rPr>
        <w:t>.</w:t>
      </w:r>
    </w:p>
    <w:p w14:paraId="7FA8D230" w14:textId="77777777" w:rsidR="009260DE" w:rsidRPr="00C22DB6" w:rsidRDefault="009260DE" w:rsidP="009260DE">
      <w:pPr>
        <w:tabs>
          <w:tab w:val="left" w:pos="851"/>
        </w:tabs>
        <w:ind w:left="851"/>
        <w:rPr>
          <w:sz w:val="24"/>
          <w:szCs w:val="24"/>
        </w:rPr>
      </w:pPr>
    </w:p>
    <w:p w14:paraId="0A9477F9" w14:textId="77777777" w:rsidR="009260DE" w:rsidRPr="00C22DB6" w:rsidRDefault="009260DE" w:rsidP="009260DE">
      <w:pPr>
        <w:tabs>
          <w:tab w:val="num" w:pos="851"/>
        </w:tabs>
        <w:ind w:left="851" w:hanging="851"/>
        <w:rPr>
          <w:b/>
          <w:sz w:val="24"/>
          <w:szCs w:val="24"/>
        </w:rPr>
      </w:pPr>
      <w:r w:rsidRPr="00C22DB6">
        <w:rPr>
          <w:b/>
          <w:sz w:val="24"/>
          <w:szCs w:val="24"/>
        </w:rPr>
        <w:t>5.1</w:t>
      </w:r>
      <w:r w:rsidRPr="00C22DB6">
        <w:rPr>
          <w:b/>
          <w:sz w:val="24"/>
          <w:szCs w:val="24"/>
        </w:rPr>
        <w:tab/>
      </w:r>
      <w:proofErr w:type="spellStart"/>
      <w:r w:rsidRPr="00C22DB6">
        <w:rPr>
          <w:b/>
          <w:sz w:val="24"/>
          <w:szCs w:val="24"/>
        </w:rPr>
        <w:t>Farmakodynamiske</w:t>
      </w:r>
      <w:proofErr w:type="spellEnd"/>
      <w:r w:rsidRPr="00C22DB6">
        <w:rPr>
          <w:b/>
          <w:sz w:val="24"/>
          <w:szCs w:val="24"/>
        </w:rPr>
        <w:t xml:space="preserve"> egenskaber</w:t>
      </w:r>
    </w:p>
    <w:p w14:paraId="35D37BF9" w14:textId="4F3E00F5" w:rsidR="00E7218F" w:rsidRPr="000A0C0E" w:rsidRDefault="00E7218F" w:rsidP="000A0C0E">
      <w:pPr>
        <w:ind w:left="851"/>
        <w:rPr>
          <w:sz w:val="24"/>
          <w:szCs w:val="24"/>
        </w:rPr>
      </w:pPr>
      <w:proofErr w:type="spellStart"/>
      <w:r w:rsidRPr="000A0C0E">
        <w:rPr>
          <w:rFonts w:eastAsia="MS Mincho"/>
          <w:sz w:val="24"/>
          <w:szCs w:val="24"/>
        </w:rPr>
        <w:t>Dienogest</w:t>
      </w:r>
      <w:proofErr w:type="spellEnd"/>
      <w:r w:rsidRPr="000A0C0E">
        <w:rPr>
          <w:rFonts w:eastAsia="MS Mincho"/>
          <w:sz w:val="24"/>
          <w:szCs w:val="24"/>
        </w:rPr>
        <w:t xml:space="preserve"> er et </w:t>
      </w:r>
      <w:proofErr w:type="spellStart"/>
      <w:r w:rsidRPr="000A0C0E">
        <w:rPr>
          <w:rFonts w:eastAsia="MS Mincho"/>
          <w:sz w:val="24"/>
          <w:szCs w:val="24"/>
        </w:rPr>
        <w:t>nortestosteronderivat</w:t>
      </w:r>
      <w:proofErr w:type="spellEnd"/>
      <w:r w:rsidRPr="000A0C0E">
        <w:rPr>
          <w:rFonts w:eastAsia="MS Mincho"/>
          <w:sz w:val="24"/>
          <w:szCs w:val="24"/>
        </w:rPr>
        <w:t xml:space="preserve">, som ikke har </w:t>
      </w:r>
      <w:proofErr w:type="spellStart"/>
      <w:r w:rsidRPr="000A0C0E">
        <w:rPr>
          <w:rFonts w:eastAsia="MS Mincho"/>
          <w:sz w:val="24"/>
          <w:szCs w:val="24"/>
        </w:rPr>
        <w:t>androgen</w:t>
      </w:r>
      <w:proofErr w:type="spellEnd"/>
      <w:r w:rsidRPr="000A0C0E">
        <w:rPr>
          <w:rFonts w:eastAsia="MS Mincho"/>
          <w:sz w:val="24"/>
          <w:szCs w:val="24"/>
        </w:rPr>
        <w:t xml:space="preserve">, men snarere </w:t>
      </w:r>
      <w:proofErr w:type="spellStart"/>
      <w:r w:rsidRPr="000A0C0E">
        <w:rPr>
          <w:rFonts w:eastAsia="MS Mincho"/>
          <w:sz w:val="24"/>
          <w:szCs w:val="24"/>
        </w:rPr>
        <w:t>antiandrogen</w:t>
      </w:r>
      <w:proofErr w:type="spellEnd"/>
      <w:r w:rsidRPr="000A0C0E">
        <w:rPr>
          <w:rFonts w:eastAsia="MS Mincho"/>
          <w:sz w:val="24"/>
          <w:szCs w:val="24"/>
        </w:rPr>
        <w:t xml:space="preserve"> aktivitet, som er ca. en tredjedel af </w:t>
      </w:r>
      <w:proofErr w:type="spellStart"/>
      <w:r w:rsidRPr="000A0C0E">
        <w:rPr>
          <w:rFonts w:eastAsia="MS Mincho"/>
          <w:sz w:val="24"/>
          <w:szCs w:val="24"/>
        </w:rPr>
        <w:t>cyproteronacetats</w:t>
      </w:r>
      <w:proofErr w:type="spellEnd"/>
      <w:r w:rsidRPr="000A0C0E">
        <w:rPr>
          <w:rFonts w:eastAsia="MS Mincho"/>
          <w:sz w:val="24"/>
          <w:szCs w:val="24"/>
        </w:rPr>
        <w:t xml:space="preserve">. </w:t>
      </w:r>
      <w:proofErr w:type="spellStart"/>
      <w:r w:rsidRPr="000A0C0E">
        <w:rPr>
          <w:rFonts w:eastAsia="MS Mincho"/>
          <w:sz w:val="24"/>
          <w:szCs w:val="24"/>
        </w:rPr>
        <w:t>Dienogest</w:t>
      </w:r>
      <w:proofErr w:type="spellEnd"/>
      <w:r w:rsidRPr="000A0C0E">
        <w:rPr>
          <w:rFonts w:eastAsia="MS Mincho"/>
          <w:sz w:val="24"/>
          <w:szCs w:val="24"/>
        </w:rPr>
        <w:t xml:space="preserve"> bindes til progesteron</w:t>
      </w:r>
      <w:r w:rsidR="0019516B">
        <w:rPr>
          <w:rFonts w:eastAsia="MS Mincho"/>
          <w:sz w:val="24"/>
          <w:szCs w:val="24"/>
        </w:rPr>
        <w:softHyphen/>
      </w:r>
      <w:r w:rsidRPr="000A0C0E">
        <w:rPr>
          <w:rFonts w:eastAsia="MS Mincho"/>
          <w:sz w:val="24"/>
          <w:szCs w:val="24"/>
        </w:rPr>
        <w:t>receptorer i den humane uterus med kun 10</w:t>
      </w:r>
      <w:r w:rsidR="00922729">
        <w:rPr>
          <w:rFonts w:eastAsia="MS Mincho"/>
          <w:sz w:val="24"/>
          <w:szCs w:val="24"/>
        </w:rPr>
        <w:t xml:space="preserve"> %</w:t>
      </w:r>
      <w:r w:rsidRPr="000A0C0E">
        <w:rPr>
          <w:rFonts w:eastAsia="MS Mincho"/>
          <w:sz w:val="24"/>
          <w:szCs w:val="24"/>
        </w:rPr>
        <w:t xml:space="preserve"> af den relative affinitet af progesteron. Trods den lave affinitet til progesteronreceptoren har </w:t>
      </w:r>
      <w:proofErr w:type="spellStart"/>
      <w:r w:rsidRPr="000A0C0E">
        <w:rPr>
          <w:sz w:val="24"/>
          <w:szCs w:val="24"/>
        </w:rPr>
        <w:t>dienogest</w:t>
      </w:r>
      <w:proofErr w:type="spellEnd"/>
      <w:r w:rsidRPr="000A0C0E">
        <w:rPr>
          <w:sz w:val="24"/>
          <w:szCs w:val="24"/>
        </w:rPr>
        <w:t xml:space="preserve"> en stærk </w:t>
      </w:r>
      <w:proofErr w:type="gramStart"/>
      <w:r w:rsidRPr="000A0C0E">
        <w:rPr>
          <w:sz w:val="24"/>
          <w:szCs w:val="24"/>
        </w:rPr>
        <w:t>gestagen aktivitet</w:t>
      </w:r>
      <w:proofErr w:type="gramEnd"/>
      <w:r w:rsidRPr="000A0C0E">
        <w:rPr>
          <w:sz w:val="24"/>
          <w:szCs w:val="24"/>
        </w:rPr>
        <w:t xml:space="preserve"> </w:t>
      </w:r>
      <w:r w:rsidRPr="000A0C0E">
        <w:rPr>
          <w:i/>
          <w:sz w:val="24"/>
          <w:szCs w:val="24"/>
        </w:rPr>
        <w:t xml:space="preserve">in </w:t>
      </w:r>
      <w:proofErr w:type="spellStart"/>
      <w:r w:rsidRPr="000A0C0E">
        <w:rPr>
          <w:i/>
          <w:sz w:val="24"/>
          <w:szCs w:val="24"/>
        </w:rPr>
        <w:t>vivo</w:t>
      </w:r>
      <w:proofErr w:type="spellEnd"/>
      <w:r w:rsidRPr="000A0C0E">
        <w:rPr>
          <w:sz w:val="24"/>
          <w:szCs w:val="24"/>
        </w:rPr>
        <w:t xml:space="preserve">. </w:t>
      </w:r>
      <w:proofErr w:type="spellStart"/>
      <w:r w:rsidRPr="000A0C0E">
        <w:rPr>
          <w:sz w:val="24"/>
          <w:szCs w:val="24"/>
        </w:rPr>
        <w:t>Dienogest</w:t>
      </w:r>
      <w:proofErr w:type="spellEnd"/>
      <w:r w:rsidRPr="000A0C0E">
        <w:rPr>
          <w:sz w:val="24"/>
          <w:szCs w:val="24"/>
        </w:rPr>
        <w:t xml:space="preserve"> har ingen signifikant </w:t>
      </w:r>
      <w:proofErr w:type="spellStart"/>
      <w:r w:rsidRPr="000A0C0E">
        <w:rPr>
          <w:sz w:val="24"/>
          <w:szCs w:val="24"/>
        </w:rPr>
        <w:t>androgen</w:t>
      </w:r>
      <w:proofErr w:type="spellEnd"/>
      <w:r w:rsidRPr="000A0C0E">
        <w:rPr>
          <w:sz w:val="24"/>
          <w:szCs w:val="24"/>
        </w:rPr>
        <w:t xml:space="preserve">, </w:t>
      </w:r>
      <w:proofErr w:type="spellStart"/>
      <w:r w:rsidRPr="000A0C0E">
        <w:rPr>
          <w:sz w:val="24"/>
          <w:szCs w:val="24"/>
        </w:rPr>
        <w:t>mineralkortikoid</w:t>
      </w:r>
      <w:proofErr w:type="spellEnd"/>
      <w:r w:rsidRPr="000A0C0E">
        <w:rPr>
          <w:sz w:val="24"/>
          <w:szCs w:val="24"/>
        </w:rPr>
        <w:t xml:space="preserve"> eller </w:t>
      </w:r>
      <w:proofErr w:type="spellStart"/>
      <w:r w:rsidRPr="000A0C0E">
        <w:rPr>
          <w:sz w:val="24"/>
          <w:szCs w:val="24"/>
        </w:rPr>
        <w:t>glukokortikoid</w:t>
      </w:r>
      <w:proofErr w:type="spellEnd"/>
      <w:r w:rsidRPr="000A0C0E">
        <w:rPr>
          <w:sz w:val="24"/>
          <w:szCs w:val="24"/>
        </w:rPr>
        <w:t xml:space="preserve"> aktivitet </w:t>
      </w:r>
      <w:r w:rsidRPr="000A0C0E">
        <w:rPr>
          <w:i/>
          <w:sz w:val="24"/>
          <w:szCs w:val="24"/>
        </w:rPr>
        <w:t xml:space="preserve">in </w:t>
      </w:r>
      <w:proofErr w:type="spellStart"/>
      <w:r w:rsidRPr="000A0C0E">
        <w:rPr>
          <w:i/>
          <w:sz w:val="24"/>
          <w:szCs w:val="24"/>
        </w:rPr>
        <w:t>vivo</w:t>
      </w:r>
      <w:proofErr w:type="spellEnd"/>
      <w:r w:rsidRPr="000A0C0E">
        <w:rPr>
          <w:sz w:val="24"/>
          <w:szCs w:val="24"/>
        </w:rPr>
        <w:t>.</w:t>
      </w:r>
    </w:p>
    <w:p w14:paraId="0D47D002" w14:textId="77777777" w:rsidR="00E7218F" w:rsidRPr="000A0C0E" w:rsidRDefault="00E7218F" w:rsidP="000A0C0E">
      <w:pPr>
        <w:ind w:left="851"/>
        <w:rPr>
          <w:sz w:val="24"/>
          <w:szCs w:val="24"/>
        </w:rPr>
      </w:pPr>
    </w:p>
    <w:p w14:paraId="17039A52" w14:textId="77777777" w:rsidR="00E7218F" w:rsidRPr="000A0C0E" w:rsidRDefault="00E7218F" w:rsidP="000A0C0E">
      <w:pPr>
        <w:ind w:left="851"/>
        <w:rPr>
          <w:sz w:val="24"/>
          <w:szCs w:val="24"/>
          <w:u w:val="single"/>
        </w:rPr>
      </w:pPr>
      <w:proofErr w:type="spellStart"/>
      <w:r w:rsidRPr="000A0C0E">
        <w:rPr>
          <w:sz w:val="24"/>
          <w:szCs w:val="24"/>
        </w:rPr>
        <w:t>Dienogest</w:t>
      </w:r>
      <w:proofErr w:type="spellEnd"/>
      <w:r w:rsidRPr="000A0C0E">
        <w:rPr>
          <w:sz w:val="24"/>
          <w:szCs w:val="24"/>
        </w:rPr>
        <w:t xml:space="preserve"> virker på </w:t>
      </w:r>
      <w:proofErr w:type="spellStart"/>
      <w:r w:rsidRPr="000A0C0E">
        <w:rPr>
          <w:sz w:val="24"/>
          <w:szCs w:val="24"/>
        </w:rPr>
        <w:t>endometriose</w:t>
      </w:r>
      <w:proofErr w:type="spellEnd"/>
      <w:r w:rsidRPr="000A0C0E">
        <w:rPr>
          <w:sz w:val="24"/>
          <w:szCs w:val="24"/>
        </w:rPr>
        <w:t xml:space="preserve"> ved at nedsætte den endogene produktion af </w:t>
      </w:r>
      <w:proofErr w:type="spellStart"/>
      <w:r w:rsidRPr="000A0C0E">
        <w:rPr>
          <w:sz w:val="24"/>
          <w:szCs w:val="24"/>
        </w:rPr>
        <w:t>estradiol</w:t>
      </w:r>
      <w:proofErr w:type="spellEnd"/>
      <w:r w:rsidRPr="000A0C0E">
        <w:rPr>
          <w:sz w:val="24"/>
          <w:szCs w:val="24"/>
        </w:rPr>
        <w:t xml:space="preserve"> og derved undertrykke den </w:t>
      </w:r>
      <w:proofErr w:type="spellStart"/>
      <w:r w:rsidRPr="000A0C0E">
        <w:rPr>
          <w:sz w:val="24"/>
          <w:szCs w:val="24"/>
        </w:rPr>
        <w:t>trofiske</w:t>
      </w:r>
      <w:proofErr w:type="spellEnd"/>
      <w:r w:rsidRPr="000A0C0E">
        <w:rPr>
          <w:sz w:val="24"/>
          <w:szCs w:val="24"/>
        </w:rPr>
        <w:t xml:space="preserve"> virkning af </w:t>
      </w:r>
      <w:proofErr w:type="spellStart"/>
      <w:r w:rsidRPr="000A0C0E">
        <w:rPr>
          <w:sz w:val="24"/>
          <w:szCs w:val="24"/>
        </w:rPr>
        <w:t>estradiol</w:t>
      </w:r>
      <w:proofErr w:type="spellEnd"/>
      <w:r w:rsidRPr="000A0C0E">
        <w:rPr>
          <w:sz w:val="24"/>
          <w:szCs w:val="24"/>
        </w:rPr>
        <w:t xml:space="preserve"> på både </w:t>
      </w:r>
      <w:proofErr w:type="spellStart"/>
      <w:r w:rsidRPr="000A0C0E">
        <w:rPr>
          <w:sz w:val="24"/>
          <w:szCs w:val="24"/>
        </w:rPr>
        <w:t>eutopisk</w:t>
      </w:r>
      <w:proofErr w:type="spellEnd"/>
      <w:r w:rsidRPr="000A0C0E">
        <w:rPr>
          <w:sz w:val="24"/>
          <w:szCs w:val="24"/>
        </w:rPr>
        <w:t xml:space="preserve"> og </w:t>
      </w:r>
      <w:proofErr w:type="spellStart"/>
      <w:r w:rsidRPr="000A0C0E">
        <w:rPr>
          <w:sz w:val="24"/>
          <w:szCs w:val="24"/>
        </w:rPr>
        <w:t>ektopisk</w:t>
      </w:r>
      <w:proofErr w:type="spellEnd"/>
      <w:r w:rsidRPr="000A0C0E">
        <w:rPr>
          <w:sz w:val="24"/>
          <w:szCs w:val="24"/>
        </w:rPr>
        <w:t xml:space="preserve"> </w:t>
      </w:r>
      <w:proofErr w:type="spellStart"/>
      <w:r w:rsidRPr="000A0C0E">
        <w:rPr>
          <w:sz w:val="24"/>
          <w:szCs w:val="24"/>
        </w:rPr>
        <w:t>endometrium</w:t>
      </w:r>
      <w:proofErr w:type="spellEnd"/>
      <w:r w:rsidRPr="000A0C0E">
        <w:rPr>
          <w:sz w:val="24"/>
          <w:szCs w:val="24"/>
        </w:rPr>
        <w:t xml:space="preserve">. Når </w:t>
      </w:r>
      <w:proofErr w:type="spellStart"/>
      <w:r w:rsidRPr="000A0C0E">
        <w:rPr>
          <w:sz w:val="24"/>
          <w:szCs w:val="24"/>
        </w:rPr>
        <w:t>dienogest</w:t>
      </w:r>
      <w:proofErr w:type="spellEnd"/>
      <w:r w:rsidRPr="000A0C0E">
        <w:rPr>
          <w:sz w:val="24"/>
          <w:szCs w:val="24"/>
        </w:rPr>
        <w:t xml:space="preserve"> gives kontinuerligt, resulterer det i et </w:t>
      </w:r>
      <w:proofErr w:type="spellStart"/>
      <w:r w:rsidRPr="000A0C0E">
        <w:rPr>
          <w:sz w:val="24"/>
          <w:szCs w:val="24"/>
        </w:rPr>
        <w:t>hypoøstrogent</w:t>
      </w:r>
      <w:proofErr w:type="spellEnd"/>
      <w:r w:rsidRPr="000A0C0E">
        <w:rPr>
          <w:sz w:val="24"/>
          <w:szCs w:val="24"/>
        </w:rPr>
        <w:t xml:space="preserve">, </w:t>
      </w:r>
      <w:proofErr w:type="spellStart"/>
      <w:r w:rsidRPr="000A0C0E">
        <w:rPr>
          <w:sz w:val="24"/>
          <w:szCs w:val="24"/>
        </w:rPr>
        <w:t>hypergestagent</w:t>
      </w:r>
      <w:proofErr w:type="spellEnd"/>
      <w:r w:rsidRPr="000A0C0E">
        <w:rPr>
          <w:sz w:val="24"/>
          <w:szCs w:val="24"/>
        </w:rPr>
        <w:t xml:space="preserve"> endokrint miljø, som medfører initial </w:t>
      </w:r>
      <w:proofErr w:type="spellStart"/>
      <w:r w:rsidRPr="000A0C0E">
        <w:rPr>
          <w:sz w:val="24"/>
          <w:szCs w:val="24"/>
        </w:rPr>
        <w:t>decidualisering</w:t>
      </w:r>
      <w:proofErr w:type="spellEnd"/>
      <w:r w:rsidRPr="000A0C0E">
        <w:rPr>
          <w:sz w:val="24"/>
          <w:szCs w:val="24"/>
        </w:rPr>
        <w:t xml:space="preserve"> af </w:t>
      </w:r>
      <w:proofErr w:type="spellStart"/>
      <w:r w:rsidRPr="000A0C0E">
        <w:rPr>
          <w:sz w:val="24"/>
          <w:szCs w:val="24"/>
        </w:rPr>
        <w:t>endometrievæv</w:t>
      </w:r>
      <w:proofErr w:type="spellEnd"/>
      <w:r w:rsidRPr="000A0C0E">
        <w:rPr>
          <w:sz w:val="24"/>
          <w:szCs w:val="24"/>
        </w:rPr>
        <w:t xml:space="preserve"> efterfulgt af atrofi af </w:t>
      </w:r>
      <w:proofErr w:type="spellStart"/>
      <w:r w:rsidRPr="000A0C0E">
        <w:rPr>
          <w:sz w:val="24"/>
          <w:szCs w:val="24"/>
        </w:rPr>
        <w:t>endometrioselæsioner</w:t>
      </w:r>
      <w:proofErr w:type="spellEnd"/>
      <w:r w:rsidRPr="000A0C0E">
        <w:rPr>
          <w:sz w:val="24"/>
          <w:szCs w:val="24"/>
        </w:rPr>
        <w:t>.</w:t>
      </w:r>
    </w:p>
    <w:p w14:paraId="0043FB1C" w14:textId="77777777" w:rsidR="00E7218F" w:rsidRPr="000A0C0E" w:rsidRDefault="00E7218F" w:rsidP="000A0C0E">
      <w:pPr>
        <w:ind w:left="851"/>
        <w:rPr>
          <w:sz w:val="24"/>
          <w:szCs w:val="24"/>
          <w:u w:val="single"/>
        </w:rPr>
      </w:pPr>
    </w:p>
    <w:p w14:paraId="4B0500F1" w14:textId="77777777" w:rsidR="00E7218F" w:rsidRPr="000A0C0E" w:rsidRDefault="00E7218F" w:rsidP="000A0C0E">
      <w:pPr>
        <w:ind w:left="851"/>
        <w:rPr>
          <w:sz w:val="24"/>
          <w:szCs w:val="24"/>
          <w:u w:val="single"/>
        </w:rPr>
      </w:pPr>
      <w:r w:rsidRPr="000A0C0E">
        <w:rPr>
          <w:sz w:val="24"/>
          <w:szCs w:val="24"/>
          <w:u w:val="single"/>
        </w:rPr>
        <w:t>Data om virkningen</w:t>
      </w:r>
    </w:p>
    <w:p w14:paraId="1A01F7FE" w14:textId="3D15A3EE" w:rsidR="00E7218F" w:rsidRPr="000A0C0E" w:rsidRDefault="00E7218F" w:rsidP="000A0C0E">
      <w:pPr>
        <w:ind w:left="851"/>
        <w:rPr>
          <w:sz w:val="24"/>
          <w:szCs w:val="24"/>
        </w:rPr>
      </w:pPr>
      <w:r w:rsidRPr="000A0C0E">
        <w:rPr>
          <w:sz w:val="24"/>
          <w:szCs w:val="24"/>
        </w:rPr>
        <w:t xml:space="preserve">Det er dokumenteret, at der er en fordel ved 2 mg </w:t>
      </w:r>
      <w:proofErr w:type="spellStart"/>
      <w:r w:rsidRPr="000A0C0E">
        <w:rPr>
          <w:sz w:val="24"/>
          <w:szCs w:val="24"/>
        </w:rPr>
        <w:t>dienogest</w:t>
      </w:r>
      <w:proofErr w:type="spellEnd"/>
      <w:r w:rsidRPr="000A0C0E">
        <w:rPr>
          <w:sz w:val="24"/>
          <w:szCs w:val="24"/>
        </w:rPr>
        <w:t xml:space="preserve"> i forhold til placebo i et 3-måneders studie, som omfattede 198 patienter med </w:t>
      </w:r>
      <w:proofErr w:type="spellStart"/>
      <w:r w:rsidRPr="000A0C0E">
        <w:rPr>
          <w:sz w:val="24"/>
          <w:szCs w:val="24"/>
        </w:rPr>
        <w:t>endometriose</w:t>
      </w:r>
      <w:proofErr w:type="spellEnd"/>
      <w:r w:rsidRPr="000A0C0E">
        <w:rPr>
          <w:sz w:val="24"/>
          <w:szCs w:val="24"/>
        </w:rPr>
        <w:t xml:space="preserve">. Underlivssmerter i forbindelse med </w:t>
      </w:r>
      <w:proofErr w:type="spellStart"/>
      <w:r w:rsidRPr="000A0C0E">
        <w:rPr>
          <w:sz w:val="24"/>
          <w:szCs w:val="24"/>
        </w:rPr>
        <w:t>endometriose</w:t>
      </w:r>
      <w:proofErr w:type="spellEnd"/>
      <w:r w:rsidRPr="000A0C0E">
        <w:rPr>
          <w:sz w:val="24"/>
          <w:szCs w:val="24"/>
        </w:rPr>
        <w:t xml:space="preserve"> blev målt på en visuel analog skala (0-100 mm). Efter 3 måneders behandling med 2 mg </w:t>
      </w:r>
      <w:proofErr w:type="spellStart"/>
      <w:r w:rsidRPr="000A0C0E">
        <w:rPr>
          <w:sz w:val="24"/>
          <w:szCs w:val="24"/>
        </w:rPr>
        <w:t>dienogest</w:t>
      </w:r>
      <w:proofErr w:type="spellEnd"/>
      <w:r w:rsidRPr="000A0C0E">
        <w:rPr>
          <w:sz w:val="24"/>
          <w:szCs w:val="24"/>
        </w:rPr>
        <w:t xml:space="preserve"> sås en statistisk signifikant forskel sammenlignet med placebo (Δ = 12,3 mm; 95</w:t>
      </w:r>
      <w:r w:rsidR="00922729">
        <w:rPr>
          <w:sz w:val="24"/>
          <w:szCs w:val="24"/>
        </w:rPr>
        <w:t xml:space="preserve"> %</w:t>
      </w:r>
      <w:r w:rsidRPr="000A0C0E">
        <w:rPr>
          <w:sz w:val="24"/>
          <w:szCs w:val="24"/>
        </w:rPr>
        <w:t xml:space="preserve"> CI: 6,4-18,1; p&lt;0,0001) og en klinisk relevant reduktion i smerterne sammenlignet med baseline (gennemsnitlige reduktion = 27,4 mm ± 22,9).</w:t>
      </w:r>
    </w:p>
    <w:p w14:paraId="5893965A" w14:textId="77777777" w:rsidR="00E7218F" w:rsidRPr="000A0C0E" w:rsidRDefault="00E7218F" w:rsidP="000A0C0E">
      <w:pPr>
        <w:ind w:left="851"/>
        <w:rPr>
          <w:sz w:val="24"/>
          <w:szCs w:val="24"/>
        </w:rPr>
      </w:pPr>
    </w:p>
    <w:p w14:paraId="30FBD4AF" w14:textId="1CA32009" w:rsidR="00E7218F" w:rsidRPr="000A0C0E" w:rsidRDefault="00E7218F" w:rsidP="000A0C0E">
      <w:pPr>
        <w:ind w:left="851"/>
        <w:rPr>
          <w:sz w:val="24"/>
          <w:szCs w:val="24"/>
        </w:rPr>
      </w:pPr>
      <w:r w:rsidRPr="000A0C0E">
        <w:rPr>
          <w:sz w:val="24"/>
          <w:szCs w:val="24"/>
        </w:rPr>
        <w:t xml:space="preserve">Efter 3 måneders behandling blev der opnået en reduktion i underlivssmerterne i forbindelse med </w:t>
      </w:r>
      <w:proofErr w:type="spellStart"/>
      <w:r w:rsidRPr="000A0C0E">
        <w:rPr>
          <w:sz w:val="24"/>
          <w:szCs w:val="24"/>
        </w:rPr>
        <w:t>endometriose</w:t>
      </w:r>
      <w:proofErr w:type="spellEnd"/>
      <w:r w:rsidRPr="000A0C0E">
        <w:rPr>
          <w:sz w:val="24"/>
          <w:szCs w:val="24"/>
        </w:rPr>
        <w:t xml:space="preserve"> på 50</w:t>
      </w:r>
      <w:r w:rsidR="00922729">
        <w:rPr>
          <w:sz w:val="24"/>
          <w:szCs w:val="24"/>
        </w:rPr>
        <w:t xml:space="preserve"> %</w:t>
      </w:r>
      <w:r w:rsidRPr="000A0C0E">
        <w:rPr>
          <w:sz w:val="24"/>
          <w:szCs w:val="24"/>
        </w:rPr>
        <w:t xml:space="preserve"> eller mere, uden en relevant stigning i samtidig indgivet smertemedicin, hos 37,3</w:t>
      </w:r>
      <w:r w:rsidR="00922729">
        <w:rPr>
          <w:sz w:val="24"/>
          <w:szCs w:val="24"/>
        </w:rPr>
        <w:t xml:space="preserve"> %</w:t>
      </w:r>
      <w:r w:rsidRPr="000A0C0E">
        <w:rPr>
          <w:sz w:val="24"/>
          <w:szCs w:val="24"/>
        </w:rPr>
        <w:t xml:space="preserve"> af de patienter, der fik 2 mg </w:t>
      </w:r>
      <w:proofErr w:type="spellStart"/>
      <w:r w:rsidRPr="000A0C0E">
        <w:rPr>
          <w:sz w:val="24"/>
          <w:szCs w:val="24"/>
        </w:rPr>
        <w:t>dienogest</w:t>
      </w:r>
      <w:proofErr w:type="spellEnd"/>
      <w:r w:rsidRPr="000A0C0E">
        <w:rPr>
          <w:sz w:val="24"/>
          <w:szCs w:val="24"/>
        </w:rPr>
        <w:t xml:space="preserve"> (placebo: 19,8</w:t>
      </w:r>
      <w:r w:rsidR="008F698B">
        <w:rPr>
          <w:sz w:val="24"/>
          <w:szCs w:val="24"/>
        </w:rPr>
        <w:t> </w:t>
      </w:r>
      <w:r w:rsidR="00922729">
        <w:rPr>
          <w:sz w:val="24"/>
          <w:szCs w:val="24"/>
        </w:rPr>
        <w:t>%</w:t>
      </w:r>
      <w:r w:rsidRPr="000A0C0E">
        <w:rPr>
          <w:sz w:val="24"/>
          <w:szCs w:val="24"/>
        </w:rPr>
        <w:t xml:space="preserve">); der blev opnået en reduktion i underlivssmerterne i forbindelse med </w:t>
      </w:r>
      <w:proofErr w:type="spellStart"/>
      <w:r w:rsidRPr="000A0C0E">
        <w:rPr>
          <w:sz w:val="24"/>
          <w:szCs w:val="24"/>
        </w:rPr>
        <w:t>endometriose</w:t>
      </w:r>
      <w:proofErr w:type="spellEnd"/>
      <w:r w:rsidRPr="000A0C0E">
        <w:rPr>
          <w:sz w:val="24"/>
          <w:szCs w:val="24"/>
        </w:rPr>
        <w:t xml:space="preserve"> på 75</w:t>
      </w:r>
      <w:r w:rsidR="00922729">
        <w:rPr>
          <w:sz w:val="24"/>
          <w:szCs w:val="24"/>
        </w:rPr>
        <w:t xml:space="preserve"> %</w:t>
      </w:r>
      <w:r w:rsidRPr="000A0C0E">
        <w:rPr>
          <w:sz w:val="24"/>
          <w:szCs w:val="24"/>
        </w:rPr>
        <w:t xml:space="preserve"> eller mere, uden en relevant stigning i samtidig indgivet smertemedicin, hos 18,6</w:t>
      </w:r>
      <w:r w:rsidR="008F698B">
        <w:rPr>
          <w:sz w:val="24"/>
          <w:szCs w:val="24"/>
        </w:rPr>
        <w:t> </w:t>
      </w:r>
      <w:r w:rsidR="00922729">
        <w:rPr>
          <w:sz w:val="24"/>
          <w:szCs w:val="24"/>
        </w:rPr>
        <w:t>%</w:t>
      </w:r>
      <w:r w:rsidRPr="000A0C0E">
        <w:rPr>
          <w:sz w:val="24"/>
          <w:szCs w:val="24"/>
        </w:rPr>
        <w:t xml:space="preserve"> af de patienter, der fik 2 mg </w:t>
      </w:r>
      <w:proofErr w:type="spellStart"/>
      <w:r w:rsidRPr="000A0C0E">
        <w:rPr>
          <w:sz w:val="24"/>
          <w:szCs w:val="24"/>
        </w:rPr>
        <w:t>dienogest</w:t>
      </w:r>
      <w:proofErr w:type="spellEnd"/>
      <w:r w:rsidRPr="000A0C0E">
        <w:rPr>
          <w:sz w:val="24"/>
          <w:szCs w:val="24"/>
        </w:rPr>
        <w:t xml:space="preserve"> (placebo: 7,3</w:t>
      </w:r>
      <w:r w:rsidR="00922729">
        <w:rPr>
          <w:sz w:val="24"/>
          <w:szCs w:val="24"/>
        </w:rPr>
        <w:t xml:space="preserve"> %</w:t>
      </w:r>
      <w:r w:rsidRPr="000A0C0E">
        <w:rPr>
          <w:sz w:val="24"/>
          <w:szCs w:val="24"/>
        </w:rPr>
        <w:t>).</w:t>
      </w:r>
    </w:p>
    <w:p w14:paraId="481B1D2F" w14:textId="77777777" w:rsidR="00E7218F" w:rsidRPr="00C22DB6" w:rsidRDefault="00E7218F" w:rsidP="00E7218F">
      <w:pPr>
        <w:pStyle w:val="Para0s"/>
        <w:spacing w:after="0"/>
        <w:ind w:left="851"/>
        <w:rPr>
          <w:szCs w:val="24"/>
          <w:lang w:val="da-DK"/>
        </w:rPr>
      </w:pPr>
    </w:p>
    <w:p w14:paraId="533B6539" w14:textId="77777777" w:rsidR="00E7218F" w:rsidRPr="000A0C0E" w:rsidRDefault="00E7218F" w:rsidP="000A0C0E">
      <w:pPr>
        <w:ind w:left="851"/>
        <w:rPr>
          <w:sz w:val="24"/>
          <w:szCs w:val="24"/>
        </w:rPr>
      </w:pPr>
      <w:r w:rsidRPr="000A0C0E">
        <w:rPr>
          <w:sz w:val="24"/>
          <w:szCs w:val="24"/>
        </w:rPr>
        <w:t xml:space="preserve">En </w:t>
      </w:r>
      <w:proofErr w:type="spellStart"/>
      <w:r w:rsidRPr="000A0C0E">
        <w:rPr>
          <w:sz w:val="24"/>
          <w:szCs w:val="24"/>
        </w:rPr>
        <w:t>ublindet</w:t>
      </w:r>
      <w:proofErr w:type="spellEnd"/>
      <w:r w:rsidRPr="000A0C0E">
        <w:rPr>
          <w:sz w:val="24"/>
          <w:szCs w:val="24"/>
        </w:rPr>
        <w:t xml:space="preserve"> forlængelse af dette placebokontrollerede studie viste fortsat bedring af underlivssmerter i forbindelse med </w:t>
      </w:r>
      <w:proofErr w:type="spellStart"/>
      <w:r w:rsidRPr="000A0C0E">
        <w:rPr>
          <w:sz w:val="24"/>
          <w:szCs w:val="24"/>
        </w:rPr>
        <w:t>endometriose</w:t>
      </w:r>
      <w:proofErr w:type="spellEnd"/>
      <w:r w:rsidRPr="000A0C0E">
        <w:rPr>
          <w:sz w:val="24"/>
          <w:szCs w:val="24"/>
        </w:rPr>
        <w:t xml:space="preserve"> efter op til 15 måneders behandling.</w:t>
      </w:r>
    </w:p>
    <w:p w14:paraId="28A70AAF" w14:textId="77777777" w:rsidR="00E7218F" w:rsidRPr="000A0C0E" w:rsidRDefault="00E7218F" w:rsidP="000A0C0E">
      <w:pPr>
        <w:ind w:left="851"/>
        <w:rPr>
          <w:sz w:val="24"/>
          <w:szCs w:val="24"/>
        </w:rPr>
      </w:pPr>
    </w:p>
    <w:p w14:paraId="2B51A049" w14:textId="77777777" w:rsidR="00E7218F" w:rsidRPr="000A0C0E" w:rsidRDefault="00E7218F" w:rsidP="000A0C0E">
      <w:pPr>
        <w:ind w:left="851"/>
        <w:rPr>
          <w:sz w:val="24"/>
          <w:szCs w:val="24"/>
        </w:rPr>
      </w:pPr>
      <w:r w:rsidRPr="000A0C0E">
        <w:rPr>
          <w:sz w:val="24"/>
          <w:szCs w:val="24"/>
        </w:rPr>
        <w:t xml:space="preserve">De placebokontrollerede resultater blev understøttet af de resultater, der blev opnået i et 6-måneders aktivt kontrolleret studie versus en </w:t>
      </w:r>
      <w:proofErr w:type="spellStart"/>
      <w:r w:rsidRPr="000A0C0E">
        <w:rPr>
          <w:sz w:val="24"/>
          <w:szCs w:val="24"/>
        </w:rPr>
        <w:t>GnRH</w:t>
      </w:r>
      <w:proofErr w:type="spellEnd"/>
      <w:r w:rsidRPr="000A0C0E">
        <w:rPr>
          <w:sz w:val="24"/>
          <w:szCs w:val="24"/>
        </w:rPr>
        <w:t xml:space="preserve">-agonist med 252 patienter med </w:t>
      </w:r>
      <w:proofErr w:type="spellStart"/>
      <w:r w:rsidRPr="000A0C0E">
        <w:rPr>
          <w:sz w:val="24"/>
          <w:szCs w:val="24"/>
        </w:rPr>
        <w:t>endometriose</w:t>
      </w:r>
      <w:proofErr w:type="spellEnd"/>
      <w:r w:rsidRPr="000A0C0E">
        <w:rPr>
          <w:sz w:val="24"/>
          <w:szCs w:val="24"/>
        </w:rPr>
        <w:t>.</w:t>
      </w:r>
    </w:p>
    <w:p w14:paraId="757ED9A6" w14:textId="77777777" w:rsidR="00E7218F" w:rsidRPr="000A0C0E" w:rsidRDefault="00E7218F" w:rsidP="000A0C0E">
      <w:pPr>
        <w:ind w:left="851"/>
        <w:rPr>
          <w:sz w:val="24"/>
          <w:szCs w:val="24"/>
        </w:rPr>
      </w:pPr>
    </w:p>
    <w:p w14:paraId="1E7099F0" w14:textId="77777777" w:rsidR="00E7218F" w:rsidRPr="000A0C0E" w:rsidRDefault="00E7218F" w:rsidP="000A0C0E">
      <w:pPr>
        <w:ind w:left="851"/>
        <w:rPr>
          <w:sz w:val="24"/>
          <w:szCs w:val="24"/>
        </w:rPr>
      </w:pPr>
      <w:r w:rsidRPr="000A0C0E">
        <w:rPr>
          <w:sz w:val="24"/>
          <w:szCs w:val="24"/>
        </w:rPr>
        <w:t xml:space="preserve">Tre studier med i alt 252 patienter, der fik en daglig dosis på 2 mg </w:t>
      </w:r>
      <w:proofErr w:type="spellStart"/>
      <w:r w:rsidRPr="000A0C0E">
        <w:rPr>
          <w:sz w:val="24"/>
          <w:szCs w:val="24"/>
        </w:rPr>
        <w:t>dienogest</w:t>
      </w:r>
      <w:proofErr w:type="spellEnd"/>
      <w:r w:rsidRPr="000A0C0E">
        <w:rPr>
          <w:sz w:val="24"/>
          <w:szCs w:val="24"/>
        </w:rPr>
        <w:t xml:space="preserve">, viste en betydelig reduktion i </w:t>
      </w:r>
      <w:proofErr w:type="spellStart"/>
      <w:r w:rsidRPr="000A0C0E">
        <w:rPr>
          <w:sz w:val="24"/>
          <w:szCs w:val="24"/>
        </w:rPr>
        <w:t>endometrioselæsionerne</w:t>
      </w:r>
      <w:proofErr w:type="spellEnd"/>
      <w:r w:rsidRPr="000A0C0E">
        <w:rPr>
          <w:sz w:val="24"/>
          <w:szCs w:val="24"/>
        </w:rPr>
        <w:t xml:space="preserve"> efter 6 måneders behandling. </w:t>
      </w:r>
    </w:p>
    <w:p w14:paraId="60CE3D90" w14:textId="77777777" w:rsidR="00E7218F" w:rsidRPr="000A0C0E" w:rsidRDefault="00E7218F" w:rsidP="000A0C0E">
      <w:pPr>
        <w:ind w:left="851"/>
        <w:rPr>
          <w:sz w:val="24"/>
          <w:szCs w:val="24"/>
        </w:rPr>
      </w:pPr>
    </w:p>
    <w:p w14:paraId="631CB20D" w14:textId="77777777" w:rsidR="00E7218F" w:rsidRPr="000A0C0E" w:rsidRDefault="00E7218F" w:rsidP="000A0C0E">
      <w:pPr>
        <w:ind w:left="851"/>
        <w:rPr>
          <w:sz w:val="24"/>
          <w:szCs w:val="24"/>
        </w:rPr>
      </w:pPr>
      <w:r w:rsidRPr="000A0C0E">
        <w:rPr>
          <w:sz w:val="24"/>
          <w:szCs w:val="24"/>
        </w:rPr>
        <w:lastRenderedPageBreak/>
        <w:t xml:space="preserve">I et lille studie (n = 8 pr. dosisgruppe) har det vist sig, at en daglig dosis på 1 mg </w:t>
      </w:r>
      <w:proofErr w:type="spellStart"/>
      <w:r w:rsidRPr="000A0C0E">
        <w:rPr>
          <w:sz w:val="24"/>
          <w:szCs w:val="24"/>
        </w:rPr>
        <w:t>dienogest</w:t>
      </w:r>
      <w:proofErr w:type="spellEnd"/>
      <w:r w:rsidRPr="000A0C0E">
        <w:rPr>
          <w:sz w:val="24"/>
          <w:szCs w:val="24"/>
        </w:rPr>
        <w:t xml:space="preserve"> inducerer en </w:t>
      </w:r>
      <w:proofErr w:type="spellStart"/>
      <w:r w:rsidRPr="000A0C0E">
        <w:rPr>
          <w:sz w:val="24"/>
          <w:szCs w:val="24"/>
        </w:rPr>
        <w:t>anovulatorisk</w:t>
      </w:r>
      <w:proofErr w:type="spellEnd"/>
      <w:r w:rsidRPr="000A0C0E">
        <w:rPr>
          <w:sz w:val="24"/>
          <w:szCs w:val="24"/>
        </w:rPr>
        <w:t xml:space="preserve"> tilstand efter 1 måneds </w:t>
      </w:r>
      <w:r w:rsidRPr="000A0C0E">
        <w:rPr>
          <w:rFonts w:eastAsia="Batang"/>
          <w:sz w:val="24"/>
          <w:szCs w:val="24"/>
        </w:rPr>
        <w:t>behandling</w:t>
      </w:r>
      <w:r w:rsidRPr="000A0C0E">
        <w:rPr>
          <w:sz w:val="24"/>
          <w:szCs w:val="24"/>
        </w:rPr>
        <w:t xml:space="preserve">. 2 mg </w:t>
      </w:r>
      <w:proofErr w:type="spellStart"/>
      <w:r w:rsidRPr="000A0C0E">
        <w:rPr>
          <w:sz w:val="24"/>
          <w:szCs w:val="24"/>
        </w:rPr>
        <w:t>dienogest</w:t>
      </w:r>
      <w:proofErr w:type="spellEnd"/>
      <w:r w:rsidRPr="000A0C0E">
        <w:rPr>
          <w:sz w:val="24"/>
          <w:szCs w:val="24"/>
        </w:rPr>
        <w:t xml:space="preserve"> er ikke undersøgt for </w:t>
      </w:r>
      <w:proofErr w:type="spellStart"/>
      <w:r w:rsidRPr="000A0C0E">
        <w:rPr>
          <w:sz w:val="24"/>
          <w:szCs w:val="24"/>
        </w:rPr>
        <w:t>kontraceptiv</w:t>
      </w:r>
      <w:proofErr w:type="spellEnd"/>
      <w:r w:rsidRPr="000A0C0E">
        <w:rPr>
          <w:sz w:val="24"/>
          <w:szCs w:val="24"/>
        </w:rPr>
        <w:t xml:space="preserve"> virkning i større studier.</w:t>
      </w:r>
    </w:p>
    <w:p w14:paraId="5EE77669" w14:textId="77777777" w:rsidR="00E7218F" w:rsidRPr="000A0C0E" w:rsidRDefault="00E7218F" w:rsidP="000A0C0E">
      <w:pPr>
        <w:ind w:left="851"/>
        <w:rPr>
          <w:sz w:val="24"/>
          <w:szCs w:val="24"/>
          <w:u w:val="single"/>
        </w:rPr>
      </w:pPr>
    </w:p>
    <w:p w14:paraId="70B6843E" w14:textId="77777777" w:rsidR="00E7218F" w:rsidRPr="000A0C0E" w:rsidRDefault="00E7218F" w:rsidP="000A0C0E">
      <w:pPr>
        <w:ind w:left="851"/>
        <w:rPr>
          <w:sz w:val="24"/>
          <w:szCs w:val="24"/>
        </w:rPr>
      </w:pPr>
      <w:r w:rsidRPr="000A0C0E">
        <w:rPr>
          <w:sz w:val="24"/>
          <w:szCs w:val="24"/>
          <w:u w:val="single"/>
        </w:rPr>
        <w:t xml:space="preserve">Data om </w:t>
      </w:r>
      <w:r w:rsidRPr="000A0C0E">
        <w:rPr>
          <w:rFonts w:eastAsia="TimesNewRoman"/>
          <w:sz w:val="24"/>
          <w:szCs w:val="24"/>
          <w:u w:val="single"/>
        </w:rPr>
        <w:t>sikkerhed</w:t>
      </w:r>
    </w:p>
    <w:p w14:paraId="24FC2028" w14:textId="77777777" w:rsidR="00E7218F" w:rsidRPr="000A0C0E" w:rsidRDefault="00E7218F" w:rsidP="000A0C0E">
      <w:pPr>
        <w:ind w:left="851"/>
        <w:rPr>
          <w:sz w:val="24"/>
          <w:szCs w:val="24"/>
        </w:rPr>
      </w:pPr>
      <w:r w:rsidRPr="000A0C0E">
        <w:rPr>
          <w:sz w:val="24"/>
          <w:szCs w:val="24"/>
        </w:rPr>
        <w:t xml:space="preserve">Det endogene østrogenniveau er moderat supprimeret under </w:t>
      </w:r>
      <w:r w:rsidRPr="000A0C0E">
        <w:rPr>
          <w:rFonts w:eastAsia="Batang"/>
          <w:sz w:val="24"/>
          <w:szCs w:val="24"/>
        </w:rPr>
        <w:t>behandling</w:t>
      </w:r>
      <w:r w:rsidRPr="000A0C0E">
        <w:rPr>
          <w:sz w:val="24"/>
          <w:szCs w:val="24"/>
        </w:rPr>
        <w:t xml:space="preserve"> med 2 mg </w:t>
      </w:r>
      <w:proofErr w:type="spellStart"/>
      <w:r w:rsidRPr="000A0C0E">
        <w:rPr>
          <w:sz w:val="24"/>
          <w:szCs w:val="24"/>
        </w:rPr>
        <w:t>dienogest</w:t>
      </w:r>
      <w:proofErr w:type="spellEnd"/>
      <w:r w:rsidRPr="000A0C0E">
        <w:rPr>
          <w:sz w:val="24"/>
          <w:szCs w:val="24"/>
        </w:rPr>
        <w:t>.</w:t>
      </w:r>
    </w:p>
    <w:p w14:paraId="776A6C14" w14:textId="77777777" w:rsidR="00E7218F" w:rsidRPr="000A0C0E" w:rsidRDefault="00E7218F" w:rsidP="000A0C0E">
      <w:pPr>
        <w:ind w:left="851"/>
        <w:rPr>
          <w:sz w:val="24"/>
          <w:szCs w:val="24"/>
        </w:rPr>
      </w:pPr>
    </w:p>
    <w:p w14:paraId="48C13B65" w14:textId="51D0D543" w:rsidR="00E7218F" w:rsidRPr="000A0C0E" w:rsidRDefault="00E7218F" w:rsidP="000A0C0E">
      <w:pPr>
        <w:ind w:left="851"/>
        <w:rPr>
          <w:sz w:val="24"/>
          <w:szCs w:val="24"/>
        </w:rPr>
      </w:pPr>
      <w:r w:rsidRPr="000A0C0E">
        <w:rPr>
          <w:sz w:val="24"/>
          <w:szCs w:val="24"/>
        </w:rPr>
        <w:t xml:space="preserve">Der er på nuværende tidspunkt ingen tilgængelige langtidsdata om knoglemineraltætheden (BMD) og risikoen for frakturer hos brugere af 2 mg </w:t>
      </w:r>
      <w:proofErr w:type="spellStart"/>
      <w:r w:rsidRPr="000A0C0E">
        <w:rPr>
          <w:sz w:val="24"/>
          <w:szCs w:val="24"/>
        </w:rPr>
        <w:t>dienogest</w:t>
      </w:r>
      <w:proofErr w:type="spellEnd"/>
      <w:r w:rsidRPr="000A0C0E">
        <w:rPr>
          <w:sz w:val="24"/>
          <w:szCs w:val="24"/>
        </w:rPr>
        <w:t xml:space="preserve">. Knoglemineraltætheden blev vurderet hos 21 voksne patienter før og efter 6 måneders behandling med 2 mg </w:t>
      </w:r>
      <w:proofErr w:type="spellStart"/>
      <w:r w:rsidRPr="000A0C0E">
        <w:rPr>
          <w:sz w:val="24"/>
          <w:szCs w:val="24"/>
        </w:rPr>
        <w:t>dienogest</w:t>
      </w:r>
      <w:proofErr w:type="spellEnd"/>
      <w:r w:rsidRPr="000A0C0E">
        <w:rPr>
          <w:sz w:val="24"/>
          <w:szCs w:val="24"/>
        </w:rPr>
        <w:t xml:space="preserve">, og der var ingen reduktion i den gennemsnitlige knoglemineraltæthed. Hos 29 patienter, der blev behandlet med </w:t>
      </w:r>
      <w:proofErr w:type="spellStart"/>
      <w:r w:rsidRPr="000A0C0E">
        <w:rPr>
          <w:bCs/>
          <w:sz w:val="24"/>
          <w:szCs w:val="24"/>
        </w:rPr>
        <w:t>leuprorelinacetat</w:t>
      </w:r>
      <w:proofErr w:type="spellEnd"/>
      <w:r w:rsidRPr="000A0C0E">
        <w:rPr>
          <w:bCs/>
          <w:sz w:val="24"/>
          <w:szCs w:val="24"/>
        </w:rPr>
        <w:t xml:space="preserve"> (</w:t>
      </w:r>
      <w:r w:rsidRPr="000A0C0E">
        <w:rPr>
          <w:sz w:val="24"/>
          <w:szCs w:val="24"/>
        </w:rPr>
        <w:t>LA</w:t>
      </w:r>
      <w:r w:rsidRPr="000A0C0E">
        <w:rPr>
          <w:bCs/>
          <w:sz w:val="24"/>
          <w:szCs w:val="24"/>
        </w:rPr>
        <w:t>)</w:t>
      </w:r>
      <w:r w:rsidRPr="000A0C0E">
        <w:rPr>
          <w:sz w:val="24"/>
          <w:szCs w:val="24"/>
        </w:rPr>
        <w:t>, sås der en gennemsnitlig reduktion på 4,04</w:t>
      </w:r>
      <w:r w:rsidR="00922729">
        <w:rPr>
          <w:sz w:val="24"/>
          <w:szCs w:val="24"/>
        </w:rPr>
        <w:t xml:space="preserve"> %</w:t>
      </w:r>
      <w:r w:rsidRPr="000A0C0E">
        <w:rPr>
          <w:sz w:val="24"/>
          <w:szCs w:val="24"/>
        </w:rPr>
        <w:t xml:space="preserve"> ± 4,84</w:t>
      </w:r>
      <w:r w:rsidR="00922729">
        <w:rPr>
          <w:sz w:val="24"/>
          <w:szCs w:val="24"/>
        </w:rPr>
        <w:t xml:space="preserve"> %</w:t>
      </w:r>
      <w:r w:rsidRPr="000A0C0E">
        <w:rPr>
          <w:sz w:val="24"/>
          <w:szCs w:val="24"/>
        </w:rPr>
        <w:t xml:space="preserve"> efter den samme periode (Δ mellem grupperne = 4,29</w:t>
      </w:r>
      <w:r w:rsidR="00922729">
        <w:rPr>
          <w:sz w:val="24"/>
          <w:szCs w:val="24"/>
        </w:rPr>
        <w:t xml:space="preserve"> %</w:t>
      </w:r>
      <w:r w:rsidRPr="000A0C0E">
        <w:rPr>
          <w:sz w:val="24"/>
          <w:szCs w:val="24"/>
        </w:rPr>
        <w:t>; 95</w:t>
      </w:r>
      <w:r w:rsidR="008F698B">
        <w:rPr>
          <w:sz w:val="24"/>
          <w:szCs w:val="24"/>
        </w:rPr>
        <w:t> </w:t>
      </w:r>
      <w:r w:rsidR="00922729">
        <w:rPr>
          <w:sz w:val="24"/>
          <w:szCs w:val="24"/>
        </w:rPr>
        <w:t>%</w:t>
      </w:r>
      <w:r w:rsidRPr="000A0C0E">
        <w:rPr>
          <w:sz w:val="24"/>
          <w:szCs w:val="24"/>
        </w:rPr>
        <w:t xml:space="preserve"> CI: 1,93–6,66; p&lt;0,0003).</w:t>
      </w:r>
    </w:p>
    <w:p w14:paraId="38105C8C" w14:textId="77777777" w:rsidR="00E7218F" w:rsidRPr="000A0C0E" w:rsidRDefault="00E7218F" w:rsidP="000A0C0E">
      <w:pPr>
        <w:ind w:left="851"/>
        <w:rPr>
          <w:sz w:val="24"/>
          <w:szCs w:val="24"/>
        </w:rPr>
      </w:pPr>
    </w:p>
    <w:p w14:paraId="66BB2BF1" w14:textId="77777777" w:rsidR="00E7218F" w:rsidRPr="000A0C0E" w:rsidRDefault="00E7218F" w:rsidP="000A0C0E">
      <w:pPr>
        <w:ind w:left="851"/>
        <w:rPr>
          <w:sz w:val="24"/>
          <w:szCs w:val="24"/>
        </w:rPr>
      </w:pPr>
      <w:r w:rsidRPr="000A0C0E">
        <w:rPr>
          <w:sz w:val="24"/>
          <w:szCs w:val="24"/>
        </w:rPr>
        <w:t xml:space="preserve">Under </w:t>
      </w:r>
      <w:r w:rsidRPr="000A0C0E">
        <w:rPr>
          <w:rFonts w:eastAsia="Batang"/>
          <w:sz w:val="24"/>
          <w:szCs w:val="24"/>
        </w:rPr>
        <w:t>behandling</w:t>
      </w:r>
      <w:r w:rsidRPr="000A0C0E">
        <w:rPr>
          <w:sz w:val="24"/>
          <w:szCs w:val="24"/>
        </w:rPr>
        <w:t xml:space="preserve"> med 2 mg </w:t>
      </w:r>
      <w:proofErr w:type="spellStart"/>
      <w:r w:rsidRPr="000A0C0E">
        <w:rPr>
          <w:sz w:val="24"/>
          <w:szCs w:val="24"/>
        </w:rPr>
        <w:t>dienogest</w:t>
      </w:r>
      <w:proofErr w:type="spellEnd"/>
      <w:r w:rsidRPr="000A0C0E">
        <w:rPr>
          <w:sz w:val="24"/>
          <w:szCs w:val="24"/>
        </w:rPr>
        <w:t xml:space="preserve"> i op til 15 måneder (n=168) blev der ikke set signifikante ændringer i de gennemsnitlige værdier af standardlaboratorieparametrene (herunder hæmatologi, blodkemi, leverenzymer, lipider og HbA1C). </w:t>
      </w:r>
    </w:p>
    <w:p w14:paraId="3591A886" w14:textId="77777777" w:rsidR="00E7218F" w:rsidRPr="000A0C0E" w:rsidRDefault="00E7218F" w:rsidP="000A0C0E">
      <w:pPr>
        <w:ind w:left="851"/>
        <w:rPr>
          <w:sz w:val="24"/>
          <w:szCs w:val="24"/>
        </w:rPr>
      </w:pPr>
    </w:p>
    <w:p w14:paraId="2FFAECB4" w14:textId="77777777" w:rsidR="00E7218F" w:rsidRPr="000A0C0E" w:rsidRDefault="00E7218F" w:rsidP="000A0C0E">
      <w:pPr>
        <w:ind w:left="851"/>
        <w:rPr>
          <w:bCs/>
          <w:noProof/>
          <w:sz w:val="24"/>
          <w:szCs w:val="24"/>
          <w:u w:val="single"/>
        </w:rPr>
      </w:pPr>
      <w:r w:rsidRPr="000A0C0E">
        <w:rPr>
          <w:bCs/>
          <w:noProof/>
          <w:sz w:val="24"/>
          <w:szCs w:val="24"/>
          <w:u w:val="single"/>
        </w:rPr>
        <w:t>Sikkerhed hos unge kvinder</w:t>
      </w:r>
    </w:p>
    <w:p w14:paraId="48578EEE" w14:textId="2EBC78A4" w:rsidR="00E7218F" w:rsidRPr="000A0C0E" w:rsidRDefault="00E7218F" w:rsidP="000A0C0E">
      <w:pPr>
        <w:ind w:left="851"/>
        <w:rPr>
          <w:bCs/>
          <w:noProof/>
          <w:sz w:val="24"/>
          <w:szCs w:val="24"/>
        </w:rPr>
      </w:pPr>
      <w:r w:rsidRPr="000A0C0E">
        <w:rPr>
          <w:bCs/>
          <w:noProof/>
          <w:sz w:val="24"/>
          <w:szCs w:val="24"/>
        </w:rPr>
        <w:t xml:space="preserve">Sikkerheden ved 2 mg dienogest med hensyn til BMD blev undersøgt i et </w:t>
      </w:r>
      <w:r w:rsidRPr="000A0C0E">
        <w:rPr>
          <w:noProof/>
          <w:sz w:val="24"/>
          <w:szCs w:val="24"/>
        </w:rPr>
        <w:t>ikke-kontrolleret klinisk studie over 12 måneder hos 111 unge kvinder (</w:t>
      </w:r>
      <w:r w:rsidRPr="000A0C0E">
        <w:rPr>
          <w:bCs/>
          <w:sz w:val="24"/>
          <w:szCs w:val="24"/>
        </w:rPr>
        <w:t>12 til &lt;18 år</w:t>
      </w:r>
      <w:r w:rsidRPr="000A0C0E">
        <w:rPr>
          <w:noProof/>
          <w:sz w:val="24"/>
          <w:szCs w:val="24"/>
        </w:rPr>
        <w:t>) med klinisk formodet eller bekræftet endometriose</w:t>
      </w:r>
      <w:r w:rsidRPr="000A0C0E">
        <w:rPr>
          <w:bCs/>
          <w:noProof/>
          <w:sz w:val="24"/>
          <w:szCs w:val="24"/>
        </w:rPr>
        <w:t xml:space="preserve">. </w:t>
      </w:r>
      <w:r w:rsidRPr="000A0C0E">
        <w:rPr>
          <w:sz w:val="24"/>
          <w:szCs w:val="24"/>
        </w:rPr>
        <w:t xml:space="preserve">Den relative gennemsnitlige ændring i BMD i den lumbale </w:t>
      </w:r>
      <w:proofErr w:type="spellStart"/>
      <w:r w:rsidRPr="000A0C0E">
        <w:rPr>
          <w:sz w:val="24"/>
          <w:szCs w:val="24"/>
        </w:rPr>
        <w:t>columna</w:t>
      </w:r>
      <w:proofErr w:type="spellEnd"/>
      <w:r w:rsidRPr="000A0C0E">
        <w:rPr>
          <w:sz w:val="24"/>
          <w:szCs w:val="24"/>
        </w:rPr>
        <w:t xml:space="preserve"> (L2-L4) fra </w:t>
      </w:r>
      <w:r w:rsidRPr="000A0C0E">
        <w:rPr>
          <w:i/>
          <w:sz w:val="24"/>
          <w:szCs w:val="24"/>
        </w:rPr>
        <w:t>baseline</w:t>
      </w:r>
      <w:r w:rsidRPr="000A0C0E">
        <w:rPr>
          <w:sz w:val="24"/>
          <w:szCs w:val="24"/>
        </w:rPr>
        <w:t xml:space="preserve"> hos de 103 patienter, der fik foretaget BMD-måling, var -1,2</w:t>
      </w:r>
      <w:r w:rsidR="008F698B">
        <w:rPr>
          <w:sz w:val="24"/>
          <w:szCs w:val="24"/>
        </w:rPr>
        <w:t> </w:t>
      </w:r>
      <w:r w:rsidR="00922729">
        <w:rPr>
          <w:sz w:val="24"/>
          <w:szCs w:val="24"/>
        </w:rPr>
        <w:t>%</w:t>
      </w:r>
      <w:r w:rsidRPr="000A0C0E">
        <w:rPr>
          <w:sz w:val="24"/>
          <w:szCs w:val="24"/>
        </w:rPr>
        <w:t xml:space="preserve">. Hos en undergruppe af patienterne med nedsat BMD blev der 6 måneder efter </w:t>
      </w:r>
      <w:proofErr w:type="spellStart"/>
      <w:r w:rsidRPr="000A0C0E">
        <w:rPr>
          <w:sz w:val="24"/>
          <w:szCs w:val="24"/>
        </w:rPr>
        <w:t>seponering</w:t>
      </w:r>
      <w:proofErr w:type="spellEnd"/>
      <w:r w:rsidRPr="000A0C0E">
        <w:rPr>
          <w:sz w:val="24"/>
          <w:szCs w:val="24"/>
        </w:rPr>
        <w:t xml:space="preserve"> af behandling foretaget en opfølgende måling, der viste en stigning i BMD til -0,6</w:t>
      </w:r>
      <w:r w:rsidR="00922729">
        <w:rPr>
          <w:sz w:val="24"/>
          <w:szCs w:val="24"/>
        </w:rPr>
        <w:t xml:space="preserve"> %</w:t>
      </w:r>
      <w:r w:rsidRPr="000A0C0E">
        <w:rPr>
          <w:sz w:val="24"/>
          <w:szCs w:val="24"/>
        </w:rPr>
        <w:t>.</w:t>
      </w:r>
    </w:p>
    <w:p w14:paraId="1B992FBE" w14:textId="77777777" w:rsidR="009260DE" w:rsidRPr="00C22DB6" w:rsidRDefault="009260DE" w:rsidP="009260DE">
      <w:pPr>
        <w:tabs>
          <w:tab w:val="left" w:pos="851"/>
        </w:tabs>
        <w:ind w:left="851"/>
        <w:rPr>
          <w:sz w:val="24"/>
          <w:szCs w:val="24"/>
        </w:rPr>
      </w:pPr>
    </w:p>
    <w:p w14:paraId="5EC93FCC" w14:textId="77777777" w:rsidR="009260DE" w:rsidRPr="00C22DB6" w:rsidRDefault="009260DE" w:rsidP="009260DE">
      <w:pPr>
        <w:tabs>
          <w:tab w:val="left" w:pos="851"/>
        </w:tabs>
        <w:ind w:left="851" w:hanging="851"/>
        <w:rPr>
          <w:b/>
          <w:sz w:val="24"/>
          <w:szCs w:val="24"/>
        </w:rPr>
      </w:pPr>
      <w:r w:rsidRPr="00C22DB6">
        <w:rPr>
          <w:b/>
          <w:sz w:val="24"/>
          <w:szCs w:val="24"/>
        </w:rPr>
        <w:t>5.2</w:t>
      </w:r>
      <w:r w:rsidRPr="00C22DB6">
        <w:rPr>
          <w:b/>
          <w:sz w:val="24"/>
          <w:szCs w:val="24"/>
        </w:rPr>
        <w:tab/>
      </w:r>
      <w:proofErr w:type="spellStart"/>
      <w:r w:rsidRPr="00C22DB6">
        <w:rPr>
          <w:b/>
          <w:sz w:val="24"/>
          <w:szCs w:val="24"/>
        </w:rPr>
        <w:t>Farmakokinetiske</w:t>
      </w:r>
      <w:proofErr w:type="spellEnd"/>
      <w:r w:rsidRPr="00C22DB6">
        <w:rPr>
          <w:b/>
          <w:sz w:val="24"/>
          <w:szCs w:val="24"/>
        </w:rPr>
        <w:t xml:space="preserve"> egenskaber</w:t>
      </w:r>
    </w:p>
    <w:p w14:paraId="66A15CAC" w14:textId="77777777" w:rsidR="001346DB" w:rsidRDefault="001346DB" w:rsidP="000A0C0E">
      <w:pPr>
        <w:ind w:left="851"/>
        <w:rPr>
          <w:sz w:val="24"/>
          <w:szCs w:val="24"/>
        </w:rPr>
      </w:pPr>
    </w:p>
    <w:p w14:paraId="64B12898" w14:textId="1334AB6E" w:rsidR="00E7218F" w:rsidRPr="001346DB" w:rsidRDefault="00E7218F" w:rsidP="000A0C0E">
      <w:pPr>
        <w:ind w:left="851"/>
        <w:rPr>
          <w:sz w:val="24"/>
          <w:szCs w:val="24"/>
          <w:u w:val="single"/>
          <w:lang w:eastAsia="de-DE"/>
        </w:rPr>
      </w:pPr>
      <w:r w:rsidRPr="001346DB">
        <w:rPr>
          <w:sz w:val="24"/>
          <w:szCs w:val="24"/>
          <w:u w:val="single"/>
        </w:rPr>
        <w:t>Absorption</w:t>
      </w:r>
    </w:p>
    <w:p w14:paraId="7B6F4079" w14:textId="373DAAB7" w:rsidR="00E7218F" w:rsidRPr="000A0C0E" w:rsidRDefault="00E7218F" w:rsidP="000A0C0E">
      <w:pPr>
        <w:ind w:left="851"/>
        <w:rPr>
          <w:sz w:val="24"/>
          <w:szCs w:val="24"/>
        </w:rPr>
      </w:pPr>
      <w:r w:rsidRPr="000A0C0E">
        <w:rPr>
          <w:sz w:val="24"/>
          <w:szCs w:val="24"/>
        </w:rPr>
        <w:t xml:space="preserve">Oralt indgivet </w:t>
      </w:r>
      <w:proofErr w:type="spellStart"/>
      <w:r w:rsidRPr="000A0C0E">
        <w:rPr>
          <w:sz w:val="24"/>
          <w:szCs w:val="24"/>
        </w:rPr>
        <w:t>dienogest</w:t>
      </w:r>
      <w:proofErr w:type="spellEnd"/>
      <w:r w:rsidRPr="000A0C0E">
        <w:rPr>
          <w:sz w:val="24"/>
          <w:szCs w:val="24"/>
        </w:rPr>
        <w:t xml:space="preserve"> absorberes hurtigt og næsten fuldstændigt. Efter en enkeltdosis opnås maksimale serumkoncentrationer på 47 </w:t>
      </w:r>
      <w:proofErr w:type="spellStart"/>
      <w:r w:rsidRPr="000A0C0E">
        <w:rPr>
          <w:sz w:val="24"/>
          <w:szCs w:val="24"/>
        </w:rPr>
        <w:t>ng</w:t>
      </w:r>
      <w:proofErr w:type="spellEnd"/>
      <w:r w:rsidRPr="000A0C0E">
        <w:rPr>
          <w:sz w:val="24"/>
          <w:szCs w:val="24"/>
        </w:rPr>
        <w:t xml:space="preserve">/ml efter ca. 1,5 time. </w:t>
      </w:r>
      <w:r w:rsidRPr="000A0C0E">
        <w:rPr>
          <w:rFonts w:eastAsia="TimesNewRoman"/>
          <w:color w:val="000000"/>
          <w:sz w:val="24"/>
          <w:szCs w:val="24"/>
        </w:rPr>
        <w:t xml:space="preserve">Biotilgængeligheden er ca. </w:t>
      </w:r>
      <w:r w:rsidRPr="000A0C0E">
        <w:rPr>
          <w:sz w:val="24"/>
          <w:szCs w:val="24"/>
        </w:rPr>
        <w:t>91</w:t>
      </w:r>
      <w:r w:rsidR="00922729">
        <w:rPr>
          <w:sz w:val="24"/>
          <w:szCs w:val="24"/>
        </w:rPr>
        <w:t xml:space="preserve"> %</w:t>
      </w:r>
      <w:r w:rsidRPr="000A0C0E">
        <w:rPr>
          <w:sz w:val="24"/>
          <w:szCs w:val="24"/>
        </w:rPr>
        <w:t xml:space="preserve">. </w:t>
      </w:r>
      <w:proofErr w:type="spellStart"/>
      <w:r w:rsidRPr="000A0C0E">
        <w:rPr>
          <w:sz w:val="24"/>
          <w:szCs w:val="24"/>
        </w:rPr>
        <w:t>Dienogests</w:t>
      </w:r>
      <w:proofErr w:type="spellEnd"/>
      <w:r w:rsidRPr="000A0C0E">
        <w:rPr>
          <w:sz w:val="24"/>
          <w:szCs w:val="24"/>
        </w:rPr>
        <w:t xml:space="preserve"> </w:t>
      </w:r>
      <w:r w:rsidRPr="000A0C0E">
        <w:rPr>
          <w:iCs/>
          <w:sz w:val="24"/>
          <w:szCs w:val="24"/>
        </w:rPr>
        <w:t>farmakokinetik</w:t>
      </w:r>
      <w:r w:rsidRPr="000A0C0E">
        <w:rPr>
          <w:sz w:val="24"/>
          <w:szCs w:val="24"/>
        </w:rPr>
        <w:t xml:space="preserve"> er proportional med dosis inden for doseringsområdet 1</w:t>
      </w:r>
      <w:r w:rsidRPr="000A0C0E">
        <w:rPr>
          <w:sz w:val="24"/>
          <w:szCs w:val="24"/>
        </w:rPr>
        <w:noBreakHyphen/>
        <w:t>8 mg.</w:t>
      </w:r>
    </w:p>
    <w:p w14:paraId="760954AB" w14:textId="77777777" w:rsidR="00E7218F" w:rsidRPr="000A0C0E" w:rsidRDefault="00E7218F" w:rsidP="000A0C0E">
      <w:pPr>
        <w:ind w:left="851"/>
        <w:rPr>
          <w:sz w:val="24"/>
          <w:szCs w:val="24"/>
        </w:rPr>
      </w:pPr>
    </w:p>
    <w:p w14:paraId="5F0227EB" w14:textId="77777777" w:rsidR="00E7218F" w:rsidRPr="001346DB" w:rsidRDefault="00E7218F" w:rsidP="000A0C0E">
      <w:pPr>
        <w:ind w:left="851"/>
        <w:rPr>
          <w:caps/>
          <w:sz w:val="24"/>
          <w:szCs w:val="24"/>
          <w:u w:val="single"/>
        </w:rPr>
      </w:pPr>
      <w:r w:rsidRPr="001346DB">
        <w:rPr>
          <w:sz w:val="24"/>
          <w:szCs w:val="24"/>
          <w:u w:val="single"/>
        </w:rPr>
        <w:t>Fordeling</w:t>
      </w:r>
    </w:p>
    <w:p w14:paraId="70C24FB0" w14:textId="645C8702" w:rsidR="00E7218F" w:rsidRPr="000A0C0E" w:rsidRDefault="00E7218F" w:rsidP="000A0C0E">
      <w:pPr>
        <w:ind w:left="851"/>
        <w:rPr>
          <w:sz w:val="24"/>
          <w:szCs w:val="24"/>
        </w:rPr>
      </w:pPr>
      <w:proofErr w:type="spellStart"/>
      <w:r w:rsidRPr="000A0C0E">
        <w:rPr>
          <w:sz w:val="24"/>
          <w:szCs w:val="24"/>
        </w:rPr>
        <w:t>Dienogest</w:t>
      </w:r>
      <w:proofErr w:type="spellEnd"/>
      <w:r w:rsidRPr="000A0C0E">
        <w:rPr>
          <w:sz w:val="24"/>
          <w:szCs w:val="24"/>
        </w:rPr>
        <w:t xml:space="preserve"> er bundet til serumalbumin, og binder sig ikke til kønshormonbindende </w:t>
      </w:r>
      <w:proofErr w:type="spellStart"/>
      <w:r w:rsidRPr="000A0C0E">
        <w:rPr>
          <w:sz w:val="24"/>
          <w:szCs w:val="24"/>
        </w:rPr>
        <w:t>globulin</w:t>
      </w:r>
      <w:proofErr w:type="spellEnd"/>
      <w:r w:rsidRPr="000A0C0E">
        <w:rPr>
          <w:sz w:val="24"/>
          <w:szCs w:val="24"/>
        </w:rPr>
        <w:t xml:space="preserve"> </w:t>
      </w:r>
      <w:r w:rsidRPr="000A0C0E">
        <w:rPr>
          <w:color w:val="000000"/>
          <w:sz w:val="24"/>
          <w:szCs w:val="24"/>
        </w:rPr>
        <w:t xml:space="preserve">(SHBG) eller </w:t>
      </w:r>
      <w:proofErr w:type="spellStart"/>
      <w:r w:rsidRPr="000A0C0E">
        <w:rPr>
          <w:color w:val="000000"/>
          <w:sz w:val="24"/>
          <w:szCs w:val="24"/>
        </w:rPr>
        <w:t>kortikoidbindende</w:t>
      </w:r>
      <w:proofErr w:type="spellEnd"/>
      <w:r w:rsidRPr="000A0C0E">
        <w:rPr>
          <w:color w:val="000000"/>
          <w:sz w:val="24"/>
          <w:szCs w:val="24"/>
        </w:rPr>
        <w:t xml:space="preserve"> </w:t>
      </w:r>
      <w:proofErr w:type="spellStart"/>
      <w:r w:rsidRPr="000A0C0E">
        <w:rPr>
          <w:sz w:val="24"/>
          <w:szCs w:val="24"/>
        </w:rPr>
        <w:t>globulin</w:t>
      </w:r>
      <w:proofErr w:type="spellEnd"/>
      <w:r w:rsidRPr="000A0C0E">
        <w:rPr>
          <w:sz w:val="24"/>
          <w:szCs w:val="24"/>
        </w:rPr>
        <w:t xml:space="preserve"> </w:t>
      </w:r>
      <w:r w:rsidRPr="000A0C0E">
        <w:rPr>
          <w:color w:val="000000"/>
          <w:sz w:val="24"/>
          <w:szCs w:val="24"/>
        </w:rPr>
        <w:t>(CBG</w:t>
      </w:r>
      <w:r w:rsidRPr="000A0C0E">
        <w:rPr>
          <w:sz w:val="24"/>
          <w:szCs w:val="24"/>
        </w:rPr>
        <w:t>).</w:t>
      </w:r>
      <w:r w:rsidRPr="000A0C0E">
        <w:rPr>
          <w:i/>
          <w:sz w:val="24"/>
          <w:szCs w:val="24"/>
        </w:rPr>
        <w:t xml:space="preserve"> </w:t>
      </w:r>
      <w:r w:rsidRPr="000A0C0E">
        <w:rPr>
          <w:sz w:val="24"/>
          <w:szCs w:val="24"/>
        </w:rPr>
        <w:t>10</w:t>
      </w:r>
      <w:r w:rsidR="00922729">
        <w:rPr>
          <w:sz w:val="24"/>
          <w:szCs w:val="24"/>
        </w:rPr>
        <w:t xml:space="preserve"> %</w:t>
      </w:r>
      <w:r w:rsidRPr="000A0C0E">
        <w:rPr>
          <w:sz w:val="24"/>
          <w:szCs w:val="24"/>
        </w:rPr>
        <w:t xml:space="preserve"> af den totale serumkoncentration findes som frit steroid, mens 90</w:t>
      </w:r>
      <w:r w:rsidR="00922729">
        <w:rPr>
          <w:sz w:val="24"/>
          <w:szCs w:val="24"/>
        </w:rPr>
        <w:t xml:space="preserve"> %</w:t>
      </w:r>
      <w:r w:rsidRPr="000A0C0E">
        <w:rPr>
          <w:sz w:val="24"/>
          <w:szCs w:val="24"/>
        </w:rPr>
        <w:t xml:space="preserve"> er bundet uspecifikt til albumin.</w:t>
      </w:r>
    </w:p>
    <w:p w14:paraId="697813AA" w14:textId="77777777" w:rsidR="00E7218F" w:rsidRPr="000A0C0E" w:rsidRDefault="00E7218F" w:rsidP="000A0C0E">
      <w:pPr>
        <w:ind w:left="851"/>
        <w:rPr>
          <w:sz w:val="24"/>
          <w:szCs w:val="24"/>
        </w:rPr>
      </w:pPr>
    </w:p>
    <w:p w14:paraId="3E973CFF" w14:textId="77777777" w:rsidR="00E7218F" w:rsidRPr="000A0C0E" w:rsidRDefault="00E7218F" w:rsidP="000A0C0E">
      <w:pPr>
        <w:ind w:left="851"/>
        <w:rPr>
          <w:sz w:val="24"/>
          <w:szCs w:val="24"/>
        </w:rPr>
      </w:pPr>
      <w:proofErr w:type="spellStart"/>
      <w:r w:rsidRPr="000A0C0E">
        <w:rPr>
          <w:sz w:val="24"/>
          <w:szCs w:val="24"/>
        </w:rPr>
        <w:t>Dienogests</w:t>
      </w:r>
      <w:proofErr w:type="spellEnd"/>
      <w:r w:rsidRPr="000A0C0E">
        <w:rPr>
          <w:sz w:val="24"/>
          <w:szCs w:val="24"/>
        </w:rPr>
        <w:t xml:space="preserve"> tilsyneladende distributionsvolumen (</w:t>
      </w:r>
      <w:proofErr w:type="spellStart"/>
      <w:r w:rsidRPr="000A0C0E">
        <w:rPr>
          <w:sz w:val="24"/>
          <w:szCs w:val="24"/>
        </w:rPr>
        <w:t>V</w:t>
      </w:r>
      <w:r w:rsidRPr="000A0C0E">
        <w:rPr>
          <w:sz w:val="24"/>
          <w:szCs w:val="24"/>
          <w:vertAlign w:val="subscript"/>
        </w:rPr>
        <w:t>d</w:t>
      </w:r>
      <w:proofErr w:type="spellEnd"/>
      <w:r w:rsidRPr="000A0C0E">
        <w:rPr>
          <w:sz w:val="24"/>
          <w:szCs w:val="24"/>
        </w:rPr>
        <w:t>/F) er 40 l.</w:t>
      </w:r>
    </w:p>
    <w:p w14:paraId="4B0BCD1D" w14:textId="77777777" w:rsidR="00E7218F" w:rsidRPr="000A0C0E" w:rsidRDefault="00E7218F" w:rsidP="000A0C0E">
      <w:pPr>
        <w:ind w:left="851"/>
        <w:rPr>
          <w:sz w:val="24"/>
          <w:szCs w:val="24"/>
        </w:rPr>
      </w:pPr>
    </w:p>
    <w:p w14:paraId="1EC8C082" w14:textId="77777777" w:rsidR="00E7218F" w:rsidRPr="001346DB" w:rsidRDefault="00E7218F" w:rsidP="000A0C0E">
      <w:pPr>
        <w:ind w:left="851"/>
        <w:rPr>
          <w:sz w:val="24"/>
          <w:szCs w:val="24"/>
          <w:u w:val="single"/>
        </w:rPr>
      </w:pPr>
      <w:r w:rsidRPr="001346DB">
        <w:rPr>
          <w:sz w:val="24"/>
          <w:szCs w:val="24"/>
          <w:u w:val="single"/>
        </w:rPr>
        <w:t>Biotransformation</w:t>
      </w:r>
    </w:p>
    <w:p w14:paraId="168DEF14" w14:textId="77777777" w:rsidR="00E7218F" w:rsidRPr="000A0C0E" w:rsidRDefault="00E7218F" w:rsidP="000A0C0E">
      <w:pPr>
        <w:ind w:left="851"/>
        <w:rPr>
          <w:sz w:val="24"/>
          <w:szCs w:val="24"/>
        </w:rPr>
      </w:pPr>
      <w:proofErr w:type="spellStart"/>
      <w:r w:rsidRPr="000A0C0E">
        <w:rPr>
          <w:sz w:val="24"/>
          <w:szCs w:val="24"/>
        </w:rPr>
        <w:t>Dienogest</w:t>
      </w:r>
      <w:proofErr w:type="spellEnd"/>
      <w:r w:rsidRPr="000A0C0E">
        <w:rPr>
          <w:sz w:val="24"/>
          <w:szCs w:val="24"/>
        </w:rPr>
        <w:t xml:space="preserve"> </w:t>
      </w:r>
      <w:proofErr w:type="spellStart"/>
      <w:r w:rsidRPr="000A0C0E">
        <w:rPr>
          <w:sz w:val="24"/>
          <w:szCs w:val="24"/>
        </w:rPr>
        <w:t>metaboliseres</w:t>
      </w:r>
      <w:proofErr w:type="spellEnd"/>
      <w:r w:rsidRPr="000A0C0E">
        <w:rPr>
          <w:sz w:val="24"/>
          <w:szCs w:val="24"/>
        </w:rPr>
        <w:t xml:space="preserve"> fuldstændigt via de kendte veje for steroidmetabolisme ved dannelse af metabolitter, som for det meste er </w:t>
      </w:r>
      <w:proofErr w:type="spellStart"/>
      <w:r w:rsidRPr="000A0C0E">
        <w:rPr>
          <w:sz w:val="24"/>
          <w:szCs w:val="24"/>
        </w:rPr>
        <w:t>endokrinologisk</w:t>
      </w:r>
      <w:proofErr w:type="spellEnd"/>
      <w:r w:rsidRPr="000A0C0E">
        <w:rPr>
          <w:sz w:val="24"/>
          <w:szCs w:val="24"/>
        </w:rPr>
        <w:t xml:space="preserve"> inaktive. Baseret på </w:t>
      </w:r>
      <w:r w:rsidRPr="000A0C0E">
        <w:rPr>
          <w:i/>
          <w:sz w:val="24"/>
          <w:szCs w:val="24"/>
        </w:rPr>
        <w:t xml:space="preserve">in </w:t>
      </w:r>
      <w:proofErr w:type="spellStart"/>
      <w:r w:rsidRPr="000A0C0E">
        <w:rPr>
          <w:i/>
          <w:sz w:val="24"/>
          <w:szCs w:val="24"/>
        </w:rPr>
        <w:t>vitro</w:t>
      </w:r>
      <w:proofErr w:type="spellEnd"/>
      <w:r w:rsidRPr="000A0C0E">
        <w:rPr>
          <w:sz w:val="24"/>
          <w:szCs w:val="24"/>
        </w:rPr>
        <w:t xml:space="preserve">- og </w:t>
      </w:r>
      <w:r w:rsidRPr="000A0C0E">
        <w:rPr>
          <w:i/>
          <w:sz w:val="24"/>
          <w:szCs w:val="24"/>
        </w:rPr>
        <w:t xml:space="preserve">in </w:t>
      </w:r>
      <w:proofErr w:type="spellStart"/>
      <w:r w:rsidRPr="000A0C0E">
        <w:rPr>
          <w:i/>
          <w:sz w:val="24"/>
          <w:szCs w:val="24"/>
        </w:rPr>
        <w:t>vivo</w:t>
      </w:r>
      <w:proofErr w:type="spellEnd"/>
      <w:r w:rsidRPr="000A0C0E">
        <w:rPr>
          <w:sz w:val="24"/>
          <w:szCs w:val="24"/>
        </w:rPr>
        <w:t xml:space="preserve">-studier er CYP3A4 hovedenzymet i metabolismen af </w:t>
      </w:r>
      <w:proofErr w:type="spellStart"/>
      <w:r w:rsidRPr="000A0C0E">
        <w:rPr>
          <w:sz w:val="24"/>
          <w:szCs w:val="24"/>
        </w:rPr>
        <w:t>dienogest</w:t>
      </w:r>
      <w:proofErr w:type="spellEnd"/>
      <w:r w:rsidRPr="000A0C0E">
        <w:rPr>
          <w:sz w:val="24"/>
          <w:szCs w:val="24"/>
        </w:rPr>
        <w:t xml:space="preserve">. Metabolitterne udskilles meget hurtigt, så </w:t>
      </w:r>
      <w:proofErr w:type="spellStart"/>
      <w:r w:rsidRPr="000A0C0E">
        <w:rPr>
          <w:sz w:val="24"/>
          <w:szCs w:val="24"/>
        </w:rPr>
        <w:t>uomdannet</w:t>
      </w:r>
      <w:proofErr w:type="spellEnd"/>
      <w:r w:rsidRPr="000A0C0E">
        <w:rPr>
          <w:sz w:val="24"/>
          <w:szCs w:val="24"/>
        </w:rPr>
        <w:t xml:space="preserve"> </w:t>
      </w:r>
      <w:proofErr w:type="spellStart"/>
      <w:r w:rsidRPr="000A0C0E">
        <w:rPr>
          <w:sz w:val="24"/>
          <w:szCs w:val="24"/>
        </w:rPr>
        <w:t>dienogest</w:t>
      </w:r>
      <w:proofErr w:type="spellEnd"/>
      <w:r w:rsidRPr="000A0C0E">
        <w:rPr>
          <w:sz w:val="24"/>
          <w:szCs w:val="24"/>
        </w:rPr>
        <w:t xml:space="preserve"> er den dominerende fraktion i plasma.</w:t>
      </w:r>
    </w:p>
    <w:p w14:paraId="5E19A06A" w14:textId="77777777" w:rsidR="00E7218F" w:rsidRPr="000A0C0E" w:rsidRDefault="00E7218F" w:rsidP="000A0C0E">
      <w:pPr>
        <w:ind w:left="851"/>
        <w:rPr>
          <w:sz w:val="24"/>
          <w:szCs w:val="24"/>
        </w:rPr>
      </w:pPr>
    </w:p>
    <w:p w14:paraId="182BEDA8" w14:textId="77777777" w:rsidR="00E7218F" w:rsidRPr="000A0C0E" w:rsidRDefault="00E7218F" w:rsidP="000A0C0E">
      <w:pPr>
        <w:ind w:left="851"/>
        <w:rPr>
          <w:sz w:val="24"/>
          <w:szCs w:val="24"/>
        </w:rPr>
      </w:pPr>
      <w:r w:rsidRPr="000A0C0E">
        <w:rPr>
          <w:sz w:val="24"/>
          <w:szCs w:val="24"/>
        </w:rPr>
        <w:lastRenderedPageBreak/>
        <w:t xml:space="preserve">Den metaboliske </w:t>
      </w:r>
      <w:proofErr w:type="spellStart"/>
      <w:r w:rsidRPr="000A0C0E">
        <w:rPr>
          <w:sz w:val="24"/>
          <w:szCs w:val="24"/>
        </w:rPr>
        <w:t>clearancehastighed</w:t>
      </w:r>
      <w:proofErr w:type="spellEnd"/>
      <w:r w:rsidRPr="000A0C0E">
        <w:rPr>
          <w:sz w:val="24"/>
          <w:szCs w:val="24"/>
        </w:rPr>
        <w:t xml:space="preserve"> fra serum Cl/F er 64 ml/min. </w:t>
      </w:r>
    </w:p>
    <w:p w14:paraId="68491621" w14:textId="77777777" w:rsidR="00E7218F" w:rsidRPr="000A0C0E" w:rsidRDefault="00E7218F" w:rsidP="000A0C0E">
      <w:pPr>
        <w:ind w:left="851"/>
        <w:rPr>
          <w:sz w:val="24"/>
          <w:szCs w:val="24"/>
        </w:rPr>
      </w:pPr>
    </w:p>
    <w:p w14:paraId="56E2D07F" w14:textId="77777777" w:rsidR="00E7218F" w:rsidRPr="001346DB" w:rsidRDefault="00E7218F" w:rsidP="000A0C0E">
      <w:pPr>
        <w:ind w:left="851"/>
        <w:rPr>
          <w:sz w:val="24"/>
          <w:szCs w:val="24"/>
          <w:u w:val="single"/>
        </w:rPr>
      </w:pPr>
      <w:r w:rsidRPr="001346DB">
        <w:rPr>
          <w:sz w:val="24"/>
          <w:szCs w:val="24"/>
          <w:u w:val="single"/>
        </w:rPr>
        <w:t>Elimination</w:t>
      </w:r>
    </w:p>
    <w:p w14:paraId="5665702D" w14:textId="38349578" w:rsidR="00E7218F" w:rsidRPr="000A0C0E" w:rsidRDefault="00E7218F" w:rsidP="000A0C0E">
      <w:pPr>
        <w:ind w:left="851"/>
        <w:rPr>
          <w:color w:val="000000"/>
          <w:sz w:val="24"/>
          <w:szCs w:val="24"/>
        </w:rPr>
      </w:pPr>
      <w:r w:rsidRPr="000A0C0E">
        <w:rPr>
          <w:sz w:val="24"/>
          <w:szCs w:val="24"/>
        </w:rPr>
        <w:t xml:space="preserve">Serumkoncentrationerne af </w:t>
      </w:r>
      <w:proofErr w:type="spellStart"/>
      <w:r w:rsidRPr="000A0C0E">
        <w:rPr>
          <w:sz w:val="24"/>
          <w:szCs w:val="24"/>
        </w:rPr>
        <w:t>dienogest</w:t>
      </w:r>
      <w:proofErr w:type="spellEnd"/>
      <w:r w:rsidRPr="000A0C0E">
        <w:rPr>
          <w:sz w:val="24"/>
          <w:szCs w:val="24"/>
        </w:rPr>
        <w:t xml:space="preserve"> aftager i to faser. Den endelige dispositionsfase er karakteriseret ved en halveringstid på ca. 9-10</w:t>
      </w:r>
      <w:r w:rsidR="001346DB">
        <w:rPr>
          <w:sz w:val="24"/>
          <w:szCs w:val="24"/>
        </w:rPr>
        <w:t xml:space="preserve"> </w:t>
      </w:r>
      <w:r w:rsidRPr="000A0C0E">
        <w:rPr>
          <w:sz w:val="24"/>
          <w:szCs w:val="24"/>
        </w:rPr>
        <w:t>timer. E</w:t>
      </w:r>
      <w:r w:rsidRPr="000A0C0E">
        <w:rPr>
          <w:color w:val="000000"/>
          <w:sz w:val="24"/>
          <w:szCs w:val="24"/>
        </w:rPr>
        <w:t>fter oral indgift af 0,1 mg/kg</w:t>
      </w:r>
      <w:r w:rsidRPr="000A0C0E">
        <w:rPr>
          <w:sz w:val="24"/>
          <w:szCs w:val="24"/>
        </w:rPr>
        <w:t xml:space="preserve"> udskilles </w:t>
      </w:r>
      <w:proofErr w:type="spellStart"/>
      <w:r w:rsidRPr="000A0C0E">
        <w:rPr>
          <w:sz w:val="24"/>
          <w:szCs w:val="24"/>
        </w:rPr>
        <w:t>dienogest</w:t>
      </w:r>
      <w:proofErr w:type="spellEnd"/>
      <w:r w:rsidRPr="000A0C0E">
        <w:rPr>
          <w:sz w:val="24"/>
          <w:szCs w:val="24"/>
        </w:rPr>
        <w:t xml:space="preserve"> som metabolitter via urin og fæces i forholdet ca. 3:1. Halveringstiden for udskillelsen af urinmetabolitterne er 14 timer. Efter </w:t>
      </w:r>
      <w:r w:rsidRPr="000A0C0E">
        <w:rPr>
          <w:color w:val="000000"/>
          <w:sz w:val="24"/>
          <w:szCs w:val="24"/>
        </w:rPr>
        <w:t>oral indgift bliver ca. 86</w:t>
      </w:r>
      <w:r w:rsidR="00922729">
        <w:rPr>
          <w:color w:val="000000"/>
          <w:sz w:val="24"/>
          <w:szCs w:val="24"/>
        </w:rPr>
        <w:t xml:space="preserve"> %</w:t>
      </w:r>
      <w:r w:rsidRPr="000A0C0E">
        <w:rPr>
          <w:color w:val="000000"/>
          <w:sz w:val="24"/>
          <w:szCs w:val="24"/>
        </w:rPr>
        <w:t xml:space="preserve"> af den indgivne dosis udskilt i løbet af 6 dage, idet hovedparten udskilles inden for 24 timer, hovedsageligt med urinen.</w:t>
      </w:r>
    </w:p>
    <w:p w14:paraId="0C8D5899" w14:textId="77777777" w:rsidR="00E7218F" w:rsidRPr="000A0C0E" w:rsidRDefault="00E7218F" w:rsidP="000A0C0E">
      <w:pPr>
        <w:ind w:left="851"/>
        <w:rPr>
          <w:iCs/>
          <w:noProof/>
          <w:sz w:val="24"/>
          <w:szCs w:val="24"/>
        </w:rPr>
      </w:pPr>
    </w:p>
    <w:p w14:paraId="258CAECA" w14:textId="77777777" w:rsidR="00E7218F" w:rsidRPr="001346DB" w:rsidRDefault="00E7218F" w:rsidP="000A0C0E">
      <w:pPr>
        <w:ind w:left="851"/>
        <w:rPr>
          <w:sz w:val="24"/>
          <w:szCs w:val="24"/>
          <w:u w:val="single"/>
        </w:rPr>
      </w:pPr>
      <w:proofErr w:type="spellStart"/>
      <w:r w:rsidRPr="001346DB">
        <w:rPr>
          <w:sz w:val="24"/>
          <w:szCs w:val="24"/>
          <w:u w:val="single"/>
        </w:rPr>
        <w:t>Steady-state</w:t>
      </w:r>
      <w:proofErr w:type="spellEnd"/>
    </w:p>
    <w:p w14:paraId="211A409E" w14:textId="77777777" w:rsidR="00E7218F" w:rsidRPr="000A0C0E" w:rsidRDefault="00E7218F" w:rsidP="000A0C0E">
      <w:pPr>
        <w:ind w:left="851"/>
        <w:rPr>
          <w:sz w:val="24"/>
          <w:szCs w:val="24"/>
        </w:rPr>
      </w:pPr>
      <w:proofErr w:type="spellStart"/>
      <w:r w:rsidRPr="000A0C0E">
        <w:rPr>
          <w:sz w:val="24"/>
          <w:szCs w:val="24"/>
        </w:rPr>
        <w:t>Dienogests</w:t>
      </w:r>
      <w:proofErr w:type="spellEnd"/>
      <w:r w:rsidRPr="000A0C0E">
        <w:rPr>
          <w:sz w:val="24"/>
          <w:szCs w:val="24"/>
        </w:rPr>
        <w:t xml:space="preserve"> </w:t>
      </w:r>
      <w:r w:rsidRPr="000A0C0E">
        <w:rPr>
          <w:iCs/>
          <w:sz w:val="24"/>
          <w:szCs w:val="24"/>
        </w:rPr>
        <w:t>farmakokinetik</w:t>
      </w:r>
      <w:r w:rsidRPr="000A0C0E">
        <w:rPr>
          <w:sz w:val="24"/>
          <w:szCs w:val="24"/>
        </w:rPr>
        <w:t xml:space="preserve"> påvirkes ikke af SHBG-niveauerne. Efter daglig indtagelse øges serumkoncentrationerne ca. 1,24 gange og når </w:t>
      </w:r>
      <w:proofErr w:type="spellStart"/>
      <w:r w:rsidRPr="000A0C0E">
        <w:rPr>
          <w:sz w:val="24"/>
          <w:szCs w:val="24"/>
        </w:rPr>
        <w:t>steady-state</w:t>
      </w:r>
      <w:proofErr w:type="spellEnd"/>
      <w:r w:rsidRPr="000A0C0E">
        <w:rPr>
          <w:sz w:val="24"/>
          <w:szCs w:val="24"/>
        </w:rPr>
        <w:t xml:space="preserve"> efter 4 dages </w:t>
      </w:r>
      <w:r w:rsidRPr="000A0C0E">
        <w:rPr>
          <w:rFonts w:eastAsia="Batang"/>
          <w:sz w:val="24"/>
          <w:szCs w:val="24"/>
        </w:rPr>
        <w:t>behandling</w:t>
      </w:r>
      <w:r w:rsidRPr="000A0C0E">
        <w:rPr>
          <w:sz w:val="24"/>
          <w:szCs w:val="24"/>
        </w:rPr>
        <w:t xml:space="preserve">. </w:t>
      </w:r>
      <w:proofErr w:type="spellStart"/>
      <w:r w:rsidRPr="000A0C0E">
        <w:rPr>
          <w:sz w:val="24"/>
          <w:szCs w:val="24"/>
        </w:rPr>
        <w:t>Dienogests</w:t>
      </w:r>
      <w:proofErr w:type="spellEnd"/>
      <w:r w:rsidRPr="000A0C0E">
        <w:rPr>
          <w:sz w:val="24"/>
          <w:szCs w:val="24"/>
        </w:rPr>
        <w:t xml:space="preserve"> </w:t>
      </w:r>
      <w:r w:rsidRPr="000A0C0E">
        <w:rPr>
          <w:iCs/>
          <w:sz w:val="24"/>
          <w:szCs w:val="24"/>
        </w:rPr>
        <w:t>farmakokinetik</w:t>
      </w:r>
      <w:r w:rsidRPr="000A0C0E">
        <w:rPr>
          <w:sz w:val="24"/>
          <w:szCs w:val="24"/>
        </w:rPr>
        <w:t xml:space="preserve"> efter gentagen indgift af </w:t>
      </w:r>
      <w:proofErr w:type="spellStart"/>
      <w:r w:rsidRPr="000A0C0E">
        <w:rPr>
          <w:sz w:val="24"/>
          <w:szCs w:val="24"/>
        </w:rPr>
        <w:t>Dienosis</w:t>
      </w:r>
      <w:proofErr w:type="spellEnd"/>
      <w:r w:rsidRPr="000A0C0E">
        <w:rPr>
          <w:sz w:val="24"/>
          <w:szCs w:val="24"/>
        </w:rPr>
        <w:t xml:space="preserve"> kan forudsiges ud fra enkeltdosis-</w:t>
      </w:r>
      <w:r w:rsidRPr="000A0C0E">
        <w:rPr>
          <w:iCs/>
          <w:sz w:val="24"/>
          <w:szCs w:val="24"/>
        </w:rPr>
        <w:t>farmakokinetik</w:t>
      </w:r>
      <w:r w:rsidRPr="000A0C0E">
        <w:rPr>
          <w:sz w:val="24"/>
          <w:szCs w:val="24"/>
        </w:rPr>
        <w:t>ken.</w:t>
      </w:r>
    </w:p>
    <w:p w14:paraId="072DC0F3" w14:textId="77777777" w:rsidR="00E7218F" w:rsidRPr="000A0C0E" w:rsidRDefault="00E7218F" w:rsidP="000A0C0E">
      <w:pPr>
        <w:ind w:left="851"/>
        <w:rPr>
          <w:iCs/>
          <w:noProof/>
          <w:sz w:val="24"/>
          <w:szCs w:val="24"/>
        </w:rPr>
      </w:pPr>
    </w:p>
    <w:p w14:paraId="014FCBB3" w14:textId="77777777" w:rsidR="00E7218F" w:rsidRPr="00763C29" w:rsidRDefault="00E7218F" w:rsidP="000A0C0E">
      <w:pPr>
        <w:ind w:left="851"/>
        <w:rPr>
          <w:sz w:val="24"/>
          <w:szCs w:val="24"/>
          <w:u w:val="single"/>
        </w:rPr>
      </w:pPr>
      <w:r w:rsidRPr="00763C29">
        <w:rPr>
          <w:sz w:val="24"/>
          <w:szCs w:val="24"/>
          <w:u w:val="single"/>
        </w:rPr>
        <w:t>Farmakokinetikken for specielle patientgrupper</w:t>
      </w:r>
    </w:p>
    <w:p w14:paraId="6D4645F3" w14:textId="77777777" w:rsidR="00E7218F" w:rsidRPr="000A0C0E" w:rsidRDefault="00E7218F" w:rsidP="000A0C0E">
      <w:pPr>
        <w:ind w:left="851"/>
        <w:rPr>
          <w:sz w:val="24"/>
          <w:szCs w:val="24"/>
        </w:rPr>
      </w:pPr>
      <w:proofErr w:type="spellStart"/>
      <w:r w:rsidRPr="000A0C0E">
        <w:rPr>
          <w:sz w:val="24"/>
          <w:szCs w:val="24"/>
        </w:rPr>
        <w:t>Dienogest</w:t>
      </w:r>
      <w:proofErr w:type="spellEnd"/>
      <w:r w:rsidRPr="000A0C0E">
        <w:rPr>
          <w:sz w:val="24"/>
          <w:szCs w:val="24"/>
        </w:rPr>
        <w:t xml:space="preserve"> er ikke specifikt undersøgt hos patienter med nedsat nyrefunktion.</w:t>
      </w:r>
    </w:p>
    <w:p w14:paraId="3BF676C3" w14:textId="77777777" w:rsidR="00E7218F" w:rsidRPr="000A0C0E" w:rsidRDefault="00E7218F" w:rsidP="000A0C0E">
      <w:pPr>
        <w:ind w:left="851"/>
        <w:rPr>
          <w:sz w:val="24"/>
          <w:szCs w:val="24"/>
        </w:rPr>
      </w:pPr>
      <w:proofErr w:type="spellStart"/>
      <w:r w:rsidRPr="000A0C0E">
        <w:rPr>
          <w:sz w:val="24"/>
          <w:szCs w:val="24"/>
        </w:rPr>
        <w:t>Dienogest</w:t>
      </w:r>
      <w:proofErr w:type="spellEnd"/>
      <w:r w:rsidRPr="000A0C0E">
        <w:rPr>
          <w:sz w:val="24"/>
          <w:szCs w:val="24"/>
        </w:rPr>
        <w:t xml:space="preserve"> er ikke undersøgt hos patienter med nedsat leverfunktion.</w:t>
      </w:r>
    </w:p>
    <w:p w14:paraId="6F528FEF" w14:textId="77777777" w:rsidR="009260DE" w:rsidRPr="00C22DB6" w:rsidRDefault="009260DE" w:rsidP="009260DE">
      <w:pPr>
        <w:tabs>
          <w:tab w:val="left" w:pos="851"/>
        </w:tabs>
        <w:ind w:left="851"/>
        <w:rPr>
          <w:sz w:val="24"/>
          <w:szCs w:val="24"/>
        </w:rPr>
      </w:pPr>
    </w:p>
    <w:p w14:paraId="4D68B9E9" w14:textId="58680C18" w:rsidR="009260DE" w:rsidRPr="00C22DB6" w:rsidRDefault="009260DE" w:rsidP="009260DE">
      <w:pPr>
        <w:tabs>
          <w:tab w:val="left" w:pos="851"/>
        </w:tabs>
        <w:ind w:left="851" w:hanging="851"/>
        <w:rPr>
          <w:b/>
          <w:sz w:val="24"/>
          <w:szCs w:val="24"/>
        </w:rPr>
      </w:pPr>
      <w:r w:rsidRPr="00C22DB6">
        <w:rPr>
          <w:b/>
          <w:sz w:val="24"/>
          <w:szCs w:val="24"/>
        </w:rPr>
        <w:t>5.3</w:t>
      </w:r>
      <w:r w:rsidRPr="00C22DB6">
        <w:rPr>
          <w:b/>
          <w:sz w:val="24"/>
          <w:szCs w:val="24"/>
        </w:rPr>
        <w:tab/>
      </w:r>
      <w:bookmarkStart w:id="5" w:name="_Hlk121750318"/>
      <w:r w:rsidR="000039D1" w:rsidRPr="00BA4587">
        <w:rPr>
          <w:b/>
          <w:sz w:val="24"/>
          <w:szCs w:val="24"/>
        </w:rPr>
        <w:t>Non-kliniske sikkerhedsdata</w:t>
      </w:r>
      <w:bookmarkEnd w:id="5"/>
    </w:p>
    <w:p w14:paraId="57634D20" w14:textId="77777777" w:rsidR="00E7218F" w:rsidRPr="00C22DB6" w:rsidRDefault="00E7218F" w:rsidP="000A0C0E">
      <w:pPr>
        <w:ind w:left="851"/>
        <w:rPr>
          <w:sz w:val="24"/>
          <w:szCs w:val="24"/>
        </w:rPr>
      </w:pPr>
      <w:r w:rsidRPr="00C22DB6">
        <w:rPr>
          <w:noProof/>
          <w:sz w:val="24"/>
          <w:szCs w:val="24"/>
        </w:rPr>
        <w:t>Præ</w:t>
      </w:r>
      <w:r w:rsidRPr="00C22DB6">
        <w:rPr>
          <w:sz w:val="24"/>
          <w:szCs w:val="24"/>
        </w:rPr>
        <w:t>kliniske</w:t>
      </w:r>
      <w:r w:rsidRPr="00C22DB6">
        <w:rPr>
          <w:noProof/>
          <w:sz w:val="24"/>
          <w:szCs w:val="24"/>
        </w:rPr>
        <w:t xml:space="preserve"> data viser ingen speciel </w:t>
      </w:r>
      <w:r w:rsidRPr="00C22DB6">
        <w:rPr>
          <w:sz w:val="24"/>
          <w:szCs w:val="24"/>
        </w:rPr>
        <w:t>risiko</w:t>
      </w:r>
      <w:r w:rsidRPr="00C22DB6">
        <w:rPr>
          <w:noProof/>
          <w:sz w:val="24"/>
          <w:szCs w:val="24"/>
        </w:rPr>
        <w:t xml:space="preserve"> for mennesker, </w:t>
      </w:r>
      <w:r w:rsidRPr="00C22DB6">
        <w:rPr>
          <w:sz w:val="24"/>
          <w:szCs w:val="24"/>
        </w:rPr>
        <w:t xml:space="preserve">vurderet ud fra konventionelle </w:t>
      </w:r>
      <w:r w:rsidRPr="00C22DB6">
        <w:rPr>
          <w:noProof/>
          <w:sz w:val="24"/>
          <w:szCs w:val="24"/>
        </w:rPr>
        <w:t xml:space="preserve">studier af </w:t>
      </w:r>
      <w:r w:rsidRPr="00C22DB6">
        <w:rPr>
          <w:sz w:val="24"/>
          <w:szCs w:val="24"/>
        </w:rPr>
        <w:t>toksicitet efter gentagne doser</w:t>
      </w:r>
      <w:r w:rsidRPr="00C22DB6">
        <w:rPr>
          <w:noProof/>
          <w:sz w:val="24"/>
          <w:szCs w:val="24"/>
        </w:rPr>
        <w:t xml:space="preserve">, genotoksicitet, potentiel karcinogenicitet og </w:t>
      </w:r>
      <w:r w:rsidRPr="00C22DB6">
        <w:rPr>
          <w:sz w:val="24"/>
          <w:szCs w:val="24"/>
        </w:rPr>
        <w:t>reproduktionstoksicitet</w:t>
      </w:r>
      <w:r w:rsidRPr="00C22DB6">
        <w:rPr>
          <w:noProof/>
          <w:sz w:val="24"/>
          <w:szCs w:val="24"/>
        </w:rPr>
        <w:t>. Det skal dog erindres, at kønshormoner kan fremme væksten af visse hormonafhængige væv og tumor</w:t>
      </w:r>
      <w:r w:rsidRPr="00C22DB6">
        <w:rPr>
          <w:sz w:val="24"/>
          <w:szCs w:val="24"/>
        </w:rPr>
        <w:t>.</w:t>
      </w:r>
    </w:p>
    <w:p w14:paraId="32E6CA22" w14:textId="77777777" w:rsidR="009260DE" w:rsidRPr="00C22DB6" w:rsidRDefault="009260DE" w:rsidP="009260DE">
      <w:pPr>
        <w:tabs>
          <w:tab w:val="left" w:pos="851"/>
        </w:tabs>
        <w:ind w:left="851"/>
        <w:rPr>
          <w:sz w:val="24"/>
          <w:szCs w:val="24"/>
        </w:rPr>
      </w:pPr>
    </w:p>
    <w:p w14:paraId="5AE53C5D" w14:textId="77777777" w:rsidR="009260DE" w:rsidRPr="00C22DB6" w:rsidRDefault="009260DE" w:rsidP="009260DE">
      <w:pPr>
        <w:tabs>
          <w:tab w:val="left" w:pos="851"/>
        </w:tabs>
        <w:ind w:left="851"/>
        <w:rPr>
          <w:sz w:val="24"/>
          <w:szCs w:val="24"/>
        </w:rPr>
      </w:pPr>
    </w:p>
    <w:p w14:paraId="2749969A" w14:textId="77777777" w:rsidR="009260DE" w:rsidRPr="00C22DB6" w:rsidRDefault="009260DE" w:rsidP="009260DE">
      <w:pPr>
        <w:tabs>
          <w:tab w:val="left" w:pos="851"/>
        </w:tabs>
        <w:ind w:left="851" w:hanging="851"/>
        <w:rPr>
          <w:b/>
          <w:sz w:val="24"/>
          <w:szCs w:val="24"/>
        </w:rPr>
      </w:pPr>
      <w:r w:rsidRPr="00C22DB6">
        <w:rPr>
          <w:b/>
          <w:sz w:val="24"/>
          <w:szCs w:val="24"/>
        </w:rPr>
        <w:t>6.</w:t>
      </w:r>
      <w:r w:rsidRPr="00C22DB6">
        <w:rPr>
          <w:b/>
          <w:sz w:val="24"/>
          <w:szCs w:val="24"/>
        </w:rPr>
        <w:tab/>
        <w:t>FARMACEUTISKE OPLYSNINGER</w:t>
      </w:r>
    </w:p>
    <w:p w14:paraId="4D234B1D" w14:textId="77777777" w:rsidR="009260DE" w:rsidRPr="00C22DB6" w:rsidRDefault="009260DE" w:rsidP="009260DE">
      <w:pPr>
        <w:tabs>
          <w:tab w:val="left" w:pos="851"/>
        </w:tabs>
        <w:ind w:left="851"/>
        <w:rPr>
          <w:sz w:val="24"/>
          <w:szCs w:val="24"/>
        </w:rPr>
      </w:pPr>
    </w:p>
    <w:p w14:paraId="5E058813" w14:textId="77777777" w:rsidR="009260DE" w:rsidRPr="00C22DB6" w:rsidRDefault="009260DE" w:rsidP="009260DE">
      <w:pPr>
        <w:tabs>
          <w:tab w:val="left" w:pos="851"/>
        </w:tabs>
        <w:ind w:left="851" w:hanging="851"/>
        <w:rPr>
          <w:b/>
          <w:sz w:val="24"/>
          <w:szCs w:val="24"/>
        </w:rPr>
      </w:pPr>
      <w:r w:rsidRPr="00C22DB6">
        <w:rPr>
          <w:b/>
          <w:sz w:val="24"/>
          <w:szCs w:val="24"/>
        </w:rPr>
        <w:t>6.1</w:t>
      </w:r>
      <w:r w:rsidRPr="00C22DB6">
        <w:rPr>
          <w:b/>
          <w:sz w:val="24"/>
          <w:szCs w:val="24"/>
        </w:rPr>
        <w:tab/>
        <w:t>Hjælpestoffer</w:t>
      </w:r>
    </w:p>
    <w:p w14:paraId="3B6932A9" w14:textId="77777777" w:rsidR="00E7218F" w:rsidRPr="00C22DB6" w:rsidRDefault="00E7218F" w:rsidP="000A0C0E">
      <w:pPr>
        <w:ind w:left="851"/>
        <w:rPr>
          <w:sz w:val="24"/>
          <w:szCs w:val="24"/>
        </w:rPr>
      </w:pPr>
      <w:proofErr w:type="spellStart"/>
      <w:r w:rsidRPr="00C22DB6">
        <w:rPr>
          <w:sz w:val="24"/>
          <w:szCs w:val="24"/>
        </w:rPr>
        <w:t>Lactosemonohydrat</w:t>
      </w:r>
      <w:proofErr w:type="spellEnd"/>
    </w:p>
    <w:p w14:paraId="4DC94613" w14:textId="77777777" w:rsidR="00E7218F" w:rsidRPr="00C22DB6" w:rsidRDefault="00E7218F" w:rsidP="000A0C0E">
      <w:pPr>
        <w:ind w:left="851"/>
        <w:rPr>
          <w:sz w:val="24"/>
          <w:szCs w:val="24"/>
        </w:rPr>
      </w:pPr>
      <w:r w:rsidRPr="00C22DB6">
        <w:rPr>
          <w:sz w:val="24"/>
          <w:szCs w:val="24"/>
        </w:rPr>
        <w:t xml:space="preserve">Mikrokrystallinsk cellulose </w:t>
      </w:r>
    </w:p>
    <w:p w14:paraId="3D922816" w14:textId="77777777" w:rsidR="00E7218F" w:rsidRPr="00C22DB6" w:rsidRDefault="00E7218F" w:rsidP="000A0C0E">
      <w:pPr>
        <w:ind w:left="851"/>
        <w:rPr>
          <w:sz w:val="24"/>
          <w:szCs w:val="24"/>
          <w:lang w:val="en-US"/>
        </w:rPr>
      </w:pPr>
      <w:proofErr w:type="spellStart"/>
      <w:r w:rsidRPr="00C22DB6">
        <w:rPr>
          <w:sz w:val="24"/>
          <w:szCs w:val="24"/>
          <w:lang w:val="en-US"/>
        </w:rPr>
        <w:t>Kartoffelstivelse</w:t>
      </w:r>
      <w:proofErr w:type="spellEnd"/>
    </w:p>
    <w:p w14:paraId="2B189E06" w14:textId="77777777" w:rsidR="00E7218F" w:rsidRPr="00C22DB6" w:rsidRDefault="00E7218F" w:rsidP="000A0C0E">
      <w:pPr>
        <w:ind w:left="851"/>
        <w:rPr>
          <w:sz w:val="24"/>
          <w:szCs w:val="24"/>
          <w:lang w:val="en-US"/>
        </w:rPr>
      </w:pPr>
      <w:proofErr w:type="spellStart"/>
      <w:r w:rsidRPr="00C22DB6">
        <w:rPr>
          <w:sz w:val="24"/>
          <w:szCs w:val="24"/>
          <w:lang w:val="en-US"/>
        </w:rPr>
        <w:t>Crospovidon</w:t>
      </w:r>
      <w:proofErr w:type="spellEnd"/>
      <w:r w:rsidRPr="00C22DB6">
        <w:rPr>
          <w:sz w:val="24"/>
          <w:szCs w:val="24"/>
          <w:lang w:val="en-US"/>
        </w:rPr>
        <w:t xml:space="preserve"> </w:t>
      </w:r>
      <w:r w:rsidRPr="00C22DB6">
        <w:rPr>
          <w:noProof/>
          <w:sz w:val="24"/>
          <w:szCs w:val="24"/>
          <w:lang w:val="en-US"/>
        </w:rPr>
        <w:t>(Type A)</w:t>
      </w:r>
    </w:p>
    <w:p w14:paraId="6A731156" w14:textId="77777777" w:rsidR="00E7218F" w:rsidRPr="00C22DB6" w:rsidRDefault="00E7218F" w:rsidP="000A0C0E">
      <w:pPr>
        <w:ind w:left="851"/>
        <w:rPr>
          <w:noProof/>
          <w:sz w:val="24"/>
          <w:szCs w:val="24"/>
          <w:lang w:val="en-US"/>
        </w:rPr>
      </w:pPr>
      <w:proofErr w:type="spellStart"/>
      <w:r w:rsidRPr="00C22DB6">
        <w:rPr>
          <w:sz w:val="24"/>
          <w:szCs w:val="24"/>
          <w:lang w:val="en-US"/>
        </w:rPr>
        <w:t>Povidon</w:t>
      </w:r>
      <w:proofErr w:type="spellEnd"/>
      <w:r w:rsidRPr="00C22DB6">
        <w:rPr>
          <w:noProof/>
          <w:sz w:val="24"/>
          <w:szCs w:val="24"/>
          <w:lang w:val="en-US"/>
        </w:rPr>
        <w:t xml:space="preserve"> K25</w:t>
      </w:r>
    </w:p>
    <w:p w14:paraId="5B6D032E" w14:textId="77777777" w:rsidR="00E7218F" w:rsidRPr="00C22DB6" w:rsidRDefault="00E7218F" w:rsidP="000A0C0E">
      <w:pPr>
        <w:ind w:left="851"/>
        <w:rPr>
          <w:noProof/>
          <w:sz w:val="24"/>
          <w:szCs w:val="24"/>
        </w:rPr>
      </w:pPr>
      <w:r w:rsidRPr="00C22DB6">
        <w:rPr>
          <w:noProof/>
          <w:sz w:val="24"/>
          <w:szCs w:val="24"/>
        </w:rPr>
        <w:t>Talcum</w:t>
      </w:r>
    </w:p>
    <w:p w14:paraId="001FEDFB" w14:textId="77777777" w:rsidR="00E7218F" w:rsidRPr="00C22DB6" w:rsidRDefault="00E7218F" w:rsidP="000A0C0E">
      <w:pPr>
        <w:ind w:left="851"/>
        <w:rPr>
          <w:noProof/>
          <w:sz w:val="24"/>
          <w:szCs w:val="24"/>
        </w:rPr>
      </w:pPr>
      <w:proofErr w:type="spellStart"/>
      <w:r w:rsidRPr="00C22DB6">
        <w:rPr>
          <w:sz w:val="24"/>
          <w:szCs w:val="24"/>
        </w:rPr>
        <w:t>Magnesiumstearat</w:t>
      </w:r>
      <w:proofErr w:type="spellEnd"/>
    </w:p>
    <w:p w14:paraId="28C5C61F" w14:textId="77777777" w:rsidR="009260DE" w:rsidRPr="00C22DB6" w:rsidRDefault="009260DE" w:rsidP="009260DE">
      <w:pPr>
        <w:tabs>
          <w:tab w:val="left" w:pos="851"/>
        </w:tabs>
        <w:ind w:left="851"/>
        <w:rPr>
          <w:sz w:val="24"/>
          <w:szCs w:val="24"/>
        </w:rPr>
      </w:pPr>
    </w:p>
    <w:p w14:paraId="464E5FEA" w14:textId="77777777" w:rsidR="009260DE" w:rsidRPr="00C22DB6" w:rsidRDefault="009260DE" w:rsidP="009260DE">
      <w:pPr>
        <w:tabs>
          <w:tab w:val="left" w:pos="851"/>
        </w:tabs>
        <w:ind w:left="851" w:hanging="851"/>
        <w:rPr>
          <w:b/>
          <w:sz w:val="24"/>
          <w:szCs w:val="24"/>
        </w:rPr>
      </w:pPr>
      <w:r w:rsidRPr="00C22DB6">
        <w:rPr>
          <w:b/>
          <w:sz w:val="24"/>
          <w:szCs w:val="24"/>
        </w:rPr>
        <w:t>6.2</w:t>
      </w:r>
      <w:r w:rsidRPr="00C22DB6">
        <w:rPr>
          <w:b/>
          <w:sz w:val="24"/>
          <w:szCs w:val="24"/>
        </w:rPr>
        <w:tab/>
        <w:t>Uforligeligheder</w:t>
      </w:r>
    </w:p>
    <w:p w14:paraId="20239129" w14:textId="77777777" w:rsidR="00E7218F" w:rsidRPr="00C22DB6" w:rsidRDefault="00E7218F" w:rsidP="000A0C0E">
      <w:pPr>
        <w:tabs>
          <w:tab w:val="left" w:pos="851"/>
        </w:tabs>
        <w:ind w:left="851"/>
        <w:rPr>
          <w:sz w:val="24"/>
          <w:szCs w:val="24"/>
        </w:rPr>
      </w:pPr>
      <w:r w:rsidRPr="00C22DB6">
        <w:rPr>
          <w:sz w:val="24"/>
          <w:szCs w:val="24"/>
        </w:rPr>
        <w:t>Ikke relevant.</w:t>
      </w:r>
    </w:p>
    <w:p w14:paraId="07F19B89" w14:textId="77777777" w:rsidR="009260DE" w:rsidRPr="00C22DB6" w:rsidRDefault="009260DE" w:rsidP="009260DE">
      <w:pPr>
        <w:tabs>
          <w:tab w:val="left" w:pos="851"/>
        </w:tabs>
        <w:ind w:left="851"/>
        <w:rPr>
          <w:sz w:val="24"/>
          <w:szCs w:val="24"/>
        </w:rPr>
      </w:pPr>
    </w:p>
    <w:p w14:paraId="5AE8896B" w14:textId="77777777" w:rsidR="009260DE" w:rsidRPr="00C22DB6" w:rsidRDefault="009260DE" w:rsidP="009260DE">
      <w:pPr>
        <w:tabs>
          <w:tab w:val="left" w:pos="851"/>
        </w:tabs>
        <w:ind w:left="851" w:hanging="851"/>
        <w:rPr>
          <w:b/>
          <w:sz w:val="24"/>
          <w:szCs w:val="24"/>
        </w:rPr>
      </w:pPr>
      <w:r w:rsidRPr="00C22DB6">
        <w:rPr>
          <w:b/>
          <w:sz w:val="24"/>
          <w:szCs w:val="24"/>
        </w:rPr>
        <w:t>6.3</w:t>
      </w:r>
      <w:r w:rsidRPr="00C22DB6">
        <w:rPr>
          <w:b/>
          <w:sz w:val="24"/>
          <w:szCs w:val="24"/>
        </w:rPr>
        <w:tab/>
        <w:t>Opbevaringstid</w:t>
      </w:r>
    </w:p>
    <w:p w14:paraId="6E6045EF" w14:textId="70B8AED5" w:rsidR="00E7218F" w:rsidRPr="00C22DB6" w:rsidRDefault="001E08E5" w:rsidP="000A0C0E">
      <w:pPr>
        <w:ind w:left="851"/>
        <w:rPr>
          <w:noProof/>
          <w:sz w:val="24"/>
          <w:szCs w:val="24"/>
        </w:rPr>
      </w:pPr>
      <w:r>
        <w:rPr>
          <w:noProof/>
          <w:sz w:val="24"/>
          <w:szCs w:val="24"/>
        </w:rPr>
        <w:t>3</w:t>
      </w:r>
      <w:r w:rsidR="00E7218F" w:rsidRPr="00C22DB6">
        <w:rPr>
          <w:noProof/>
          <w:sz w:val="24"/>
          <w:szCs w:val="24"/>
        </w:rPr>
        <w:t> år</w:t>
      </w:r>
    </w:p>
    <w:p w14:paraId="07740E8C" w14:textId="77777777" w:rsidR="009260DE" w:rsidRPr="00C22DB6" w:rsidRDefault="009260DE" w:rsidP="009260DE">
      <w:pPr>
        <w:tabs>
          <w:tab w:val="left" w:pos="851"/>
        </w:tabs>
        <w:ind w:left="851"/>
        <w:rPr>
          <w:sz w:val="24"/>
          <w:szCs w:val="24"/>
        </w:rPr>
      </w:pPr>
    </w:p>
    <w:p w14:paraId="0A5EB49B" w14:textId="77777777" w:rsidR="009260DE" w:rsidRPr="00C22DB6" w:rsidRDefault="009260DE" w:rsidP="009260DE">
      <w:pPr>
        <w:tabs>
          <w:tab w:val="left" w:pos="851"/>
        </w:tabs>
        <w:ind w:left="851" w:hanging="851"/>
        <w:rPr>
          <w:b/>
          <w:sz w:val="24"/>
          <w:szCs w:val="24"/>
        </w:rPr>
      </w:pPr>
      <w:r w:rsidRPr="00C22DB6">
        <w:rPr>
          <w:b/>
          <w:sz w:val="24"/>
          <w:szCs w:val="24"/>
        </w:rPr>
        <w:t>6.4</w:t>
      </w:r>
      <w:r w:rsidRPr="00C22DB6">
        <w:rPr>
          <w:b/>
          <w:sz w:val="24"/>
          <w:szCs w:val="24"/>
        </w:rPr>
        <w:tab/>
        <w:t>Særlige opbevaringsforhold</w:t>
      </w:r>
    </w:p>
    <w:p w14:paraId="232664CE" w14:textId="77777777" w:rsidR="00E7218F" w:rsidRPr="00C22DB6" w:rsidRDefault="00E7218F" w:rsidP="000A0C0E">
      <w:pPr>
        <w:ind w:left="851"/>
        <w:rPr>
          <w:noProof/>
          <w:sz w:val="24"/>
          <w:szCs w:val="24"/>
        </w:rPr>
      </w:pPr>
      <w:r w:rsidRPr="00C22DB6">
        <w:rPr>
          <w:sz w:val="24"/>
          <w:szCs w:val="24"/>
        </w:rPr>
        <w:t>Opbevares i den originale yderpakning for at beskytte mod lys.</w:t>
      </w:r>
    </w:p>
    <w:p w14:paraId="2597555C" w14:textId="77777777" w:rsidR="009260DE" w:rsidRPr="00C22DB6" w:rsidRDefault="009260DE" w:rsidP="009260DE">
      <w:pPr>
        <w:tabs>
          <w:tab w:val="left" w:pos="851"/>
        </w:tabs>
        <w:ind w:left="851"/>
        <w:rPr>
          <w:sz w:val="24"/>
          <w:szCs w:val="24"/>
        </w:rPr>
      </w:pPr>
    </w:p>
    <w:p w14:paraId="39B276C6" w14:textId="4252F2A9" w:rsidR="009260DE" w:rsidRPr="00C22DB6" w:rsidRDefault="009260DE" w:rsidP="009260DE">
      <w:pPr>
        <w:tabs>
          <w:tab w:val="left" w:pos="851"/>
        </w:tabs>
        <w:ind w:left="851" w:hanging="851"/>
        <w:rPr>
          <w:b/>
          <w:sz w:val="24"/>
          <w:szCs w:val="24"/>
        </w:rPr>
      </w:pPr>
      <w:r w:rsidRPr="00C22DB6">
        <w:rPr>
          <w:b/>
          <w:sz w:val="24"/>
          <w:szCs w:val="24"/>
        </w:rPr>
        <w:t>6.5</w:t>
      </w:r>
      <w:r w:rsidRPr="00C22DB6">
        <w:rPr>
          <w:b/>
          <w:sz w:val="24"/>
          <w:szCs w:val="24"/>
        </w:rPr>
        <w:tab/>
      </w:r>
      <w:bookmarkStart w:id="6" w:name="_Hlk121743052"/>
      <w:r w:rsidR="000039D1" w:rsidRPr="00BA4587">
        <w:rPr>
          <w:b/>
          <w:sz w:val="24"/>
          <w:szCs w:val="24"/>
        </w:rPr>
        <w:t>Emballagetype og pakningsstørrelser</w:t>
      </w:r>
      <w:bookmarkEnd w:id="6"/>
    </w:p>
    <w:p w14:paraId="28B50FBE" w14:textId="77777777" w:rsidR="00E7218F" w:rsidRPr="000A0C0E" w:rsidRDefault="00E7218F" w:rsidP="000A0C0E">
      <w:pPr>
        <w:ind w:left="851"/>
        <w:rPr>
          <w:sz w:val="24"/>
          <w:szCs w:val="24"/>
        </w:rPr>
      </w:pPr>
      <w:r w:rsidRPr="000A0C0E">
        <w:rPr>
          <w:noProof/>
          <w:sz w:val="24"/>
          <w:szCs w:val="24"/>
        </w:rPr>
        <w:t>Tabletterne er pakket i blisterkort, der består af grøn PVC/PVDC-film og aluminiumsfolie. De udleveres i blisterkort, der indeholder 14 </w:t>
      </w:r>
      <w:r w:rsidRPr="000A0C0E">
        <w:rPr>
          <w:sz w:val="24"/>
          <w:szCs w:val="24"/>
        </w:rPr>
        <w:t xml:space="preserve">tabletter. </w:t>
      </w:r>
    </w:p>
    <w:p w14:paraId="4529B1C8" w14:textId="77777777" w:rsidR="00E7218F" w:rsidRPr="000A0C0E" w:rsidRDefault="00E7218F" w:rsidP="000A0C0E">
      <w:pPr>
        <w:ind w:left="851"/>
        <w:rPr>
          <w:sz w:val="24"/>
          <w:szCs w:val="24"/>
        </w:rPr>
      </w:pPr>
    </w:p>
    <w:p w14:paraId="6B96239D" w14:textId="77777777" w:rsidR="00E7218F" w:rsidRPr="000A0C0E" w:rsidRDefault="00E7218F" w:rsidP="000A0C0E">
      <w:pPr>
        <w:ind w:left="851"/>
        <w:rPr>
          <w:sz w:val="24"/>
          <w:szCs w:val="24"/>
        </w:rPr>
      </w:pPr>
      <w:r w:rsidRPr="000A0C0E">
        <w:rPr>
          <w:sz w:val="24"/>
          <w:szCs w:val="24"/>
        </w:rPr>
        <w:lastRenderedPageBreak/>
        <w:t>Æsker indeholder 28, 84 eller 168 tabletter.</w:t>
      </w:r>
    </w:p>
    <w:p w14:paraId="79E135B1" w14:textId="77777777" w:rsidR="00E7218F" w:rsidRPr="000A0C0E" w:rsidRDefault="00E7218F" w:rsidP="000A0C0E">
      <w:pPr>
        <w:ind w:left="851"/>
        <w:rPr>
          <w:sz w:val="24"/>
          <w:szCs w:val="24"/>
        </w:rPr>
      </w:pPr>
      <w:r w:rsidRPr="000A0C0E">
        <w:rPr>
          <w:noProof/>
          <w:sz w:val="24"/>
          <w:szCs w:val="24"/>
        </w:rPr>
        <w:t>Ikke alle pakningsstørrelser er nødvendigvis markedsført.</w:t>
      </w:r>
    </w:p>
    <w:p w14:paraId="621E6828" w14:textId="77777777" w:rsidR="009260DE" w:rsidRPr="00C22DB6" w:rsidRDefault="009260DE" w:rsidP="009260DE">
      <w:pPr>
        <w:tabs>
          <w:tab w:val="left" w:pos="851"/>
        </w:tabs>
        <w:ind w:left="851"/>
        <w:rPr>
          <w:sz w:val="24"/>
          <w:szCs w:val="24"/>
        </w:rPr>
      </w:pPr>
    </w:p>
    <w:p w14:paraId="438EC469" w14:textId="50C2EAD3" w:rsidR="009260DE" w:rsidRPr="00C22DB6" w:rsidRDefault="009260DE" w:rsidP="009260DE">
      <w:pPr>
        <w:tabs>
          <w:tab w:val="left" w:pos="851"/>
        </w:tabs>
        <w:ind w:left="851" w:hanging="851"/>
        <w:rPr>
          <w:b/>
          <w:sz w:val="24"/>
          <w:szCs w:val="24"/>
        </w:rPr>
      </w:pPr>
      <w:r w:rsidRPr="00C22DB6">
        <w:rPr>
          <w:b/>
          <w:sz w:val="24"/>
          <w:szCs w:val="24"/>
        </w:rPr>
        <w:t>6.6</w:t>
      </w:r>
      <w:r w:rsidRPr="00C22DB6">
        <w:rPr>
          <w:b/>
          <w:sz w:val="24"/>
          <w:szCs w:val="24"/>
        </w:rPr>
        <w:tab/>
      </w:r>
      <w:bookmarkStart w:id="7" w:name="_Hlk121754038"/>
      <w:r w:rsidR="000039D1" w:rsidRPr="00BA4587">
        <w:rPr>
          <w:b/>
          <w:noProof/>
          <w:sz w:val="24"/>
          <w:szCs w:val="24"/>
        </w:rPr>
        <w:t>Regler for bortskaffelse og anden håndtering</w:t>
      </w:r>
      <w:bookmarkEnd w:id="7"/>
    </w:p>
    <w:p w14:paraId="159F1D3D" w14:textId="77777777" w:rsidR="00E7218F" w:rsidRPr="00C22DB6" w:rsidRDefault="00E7218F" w:rsidP="000A0C0E">
      <w:pPr>
        <w:ind w:left="851"/>
        <w:rPr>
          <w:noProof/>
          <w:sz w:val="24"/>
          <w:szCs w:val="24"/>
        </w:rPr>
      </w:pPr>
      <w:r w:rsidRPr="00C22DB6">
        <w:rPr>
          <w:noProof/>
          <w:sz w:val="24"/>
          <w:szCs w:val="24"/>
        </w:rPr>
        <w:t xml:space="preserve">Ikke anvendt lægemiddel samt affald heraf skal </w:t>
      </w:r>
      <w:r w:rsidRPr="00C22DB6">
        <w:rPr>
          <w:sz w:val="24"/>
          <w:szCs w:val="24"/>
        </w:rPr>
        <w:t>bortskaffes</w:t>
      </w:r>
      <w:r w:rsidRPr="00C22DB6">
        <w:rPr>
          <w:noProof/>
          <w:sz w:val="24"/>
          <w:szCs w:val="24"/>
        </w:rPr>
        <w:t xml:space="preserve"> i </w:t>
      </w:r>
      <w:r w:rsidRPr="00C22DB6">
        <w:rPr>
          <w:sz w:val="24"/>
          <w:szCs w:val="24"/>
        </w:rPr>
        <w:t>henhold til lokale retningslinjer</w:t>
      </w:r>
      <w:r w:rsidRPr="00C22DB6">
        <w:rPr>
          <w:noProof/>
          <w:sz w:val="24"/>
          <w:szCs w:val="24"/>
        </w:rPr>
        <w:t>.</w:t>
      </w:r>
    </w:p>
    <w:p w14:paraId="61648FDF" w14:textId="77777777" w:rsidR="009260DE" w:rsidRPr="00C22DB6" w:rsidRDefault="009260DE" w:rsidP="009260DE">
      <w:pPr>
        <w:tabs>
          <w:tab w:val="left" w:pos="851"/>
        </w:tabs>
        <w:ind w:left="851"/>
        <w:jc w:val="both"/>
        <w:rPr>
          <w:sz w:val="24"/>
          <w:szCs w:val="24"/>
        </w:rPr>
      </w:pPr>
    </w:p>
    <w:p w14:paraId="69F046FC" w14:textId="77777777" w:rsidR="009260DE" w:rsidRPr="00C22DB6" w:rsidRDefault="009260DE" w:rsidP="009260DE">
      <w:pPr>
        <w:tabs>
          <w:tab w:val="left" w:pos="851"/>
        </w:tabs>
        <w:ind w:left="851" w:hanging="851"/>
        <w:rPr>
          <w:b/>
          <w:sz w:val="24"/>
          <w:szCs w:val="24"/>
        </w:rPr>
      </w:pPr>
      <w:r w:rsidRPr="00C22DB6">
        <w:rPr>
          <w:b/>
          <w:sz w:val="24"/>
          <w:szCs w:val="24"/>
        </w:rPr>
        <w:t>7.</w:t>
      </w:r>
      <w:r w:rsidRPr="00C22DB6">
        <w:rPr>
          <w:b/>
          <w:sz w:val="24"/>
          <w:szCs w:val="24"/>
        </w:rPr>
        <w:tab/>
        <w:t>INDEHAVER AF MARKEDSFØRINGSTILLADELSEN</w:t>
      </w:r>
    </w:p>
    <w:p w14:paraId="06634CD6" w14:textId="77777777" w:rsidR="00E7218F" w:rsidRPr="00C22DB6" w:rsidRDefault="00E7218F" w:rsidP="000A0C0E">
      <w:pPr>
        <w:ind w:left="851"/>
        <w:rPr>
          <w:sz w:val="24"/>
          <w:szCs w:val="24"/>
        </w:rPr>
      </w:pPr>
      <w:r w:rsidRPr="00C22DB6">
        <w:rPr>
          <w:sz w:val="24"/>
          <w:szCs w:val="24"/>
        </w:rPr>
        <w:t>NAARI B.V.</w:t>
      </w:r>
    </w:p>
    <w:p w14:paraId="2A875E72" w14:textId="77777777" w:rsidR="00E7218F" w:rsidRPr="00C22DB6" w:rsidRDefault="00E7218F" w:rsidP="000A0C0E">
      <w:pPr>
        <w:ind w:left="851"/>
        <w:rPr>
          <w:sz w:val="24"/>
          <w:szCs w:val="24"/>
        </w:rPr>
      </w:pPr>
      <w:proofErr w:type="spellStart"/>
      <w:r w:rsidRPr="00C22DB6">
        <w:rPr>
          <w:sz w:val="24"/>
          <w:szCs w:val="24"/>
        </w:rPr>
        <w:t>Rietveldenweg</w:t>
      </w:r>
      <w:proofErr w:type="spellEnd"/>
      <w:r w:rsidRPr="00C22DB6">
        <w:rPr>
          <w:sz w:val="24"/>
          <w:szCs w:val="24"/>
        </w:rPr>
        <w:t xml:space="preserve"> 102 </w:t>
      </w:r>
    </w:p>
    <w:p w14:paraId="263F17CD" w14:textId="77777777" w:rsidR="00E7218F" w:rsidRPr="00C22DB6" w:rsidRDefault="00E7218F" w:rsidP="000A0C0E">
      <w:pPr>
        <w:ind w:left="851"/>
        <w:rPr>
          <w:sz w:val="24"/>
          <w:szCs w:val="24"/>
        </w:rPr>
      </w:pPr>
      <w:r w:rsidRPr="00C22DB6">
        <w:rPr>
          <w:sz w:val="24"/>
          <w:szCs w:val="24"/>
        </w:rPr>
        <w:t>5222 AS ’s-</w:t>
      </w:r>
      <w:proofErr w:type="spellStart"/>
      <w:r w:rsidRPr="00C22DB6">
        <w:rPr>
          <w:sz w:val="24"/>
          <w:szCs w:val="24"/>
        </w:rPr>
        <w:t>Hertogenbosch</w:t>
      </w:r>
      <w:proofErr w:type="spellEnd"/>
    </w:p>
    <w:p w14:paraId="5D80EBE3" w14:textId="77777777" w:rsidR="00E7218F" w:rsidRPr="00C22DB6" w:rsidRDefault="00E7218F" w:rsidP="000A0C0E">
      <w:pPr>
        <w:tabs>
          <w:tab w:val="left" w:pos="1304"/>
        </w:tabs>
        <w:ind w:left="851" w:right="28"/>
        <w:rPr>
          <w:noProof/>
          <w:sz w:val="24"/>
          <w:szCs w:val="24"/>
        </w:rPr>
      </w:pPr>
      <w:r w:rsidRPr="00C22DB6">
        <w:rPr>
          <w:noProof/>
          <w:sz w:val="24"/>
          <w:szCs w:val="24"/>
        </w:rPr>
        <w:t>Holland</w:t>
      </w:r>
    </w:p>
    <w:p w14:paraId="4DE1E6F4" w14:textId="77777777" w:rsidR="009260DE" w:rsidRPr="00C22DB6" w:rsidRDefault="009260DE" w:rsidP="009260DE">
      <w:pPr>
        <w:tabs>
          <w:tab w:val="left" w:pos="851"/>
        </w:tabs>
        <w:ind w:left="851"/>
        <w:rPr>
          <w:sz w:val="24"/>
          <w:szCs w:val="24"/>
        </w:rPr>
      </w:pPr>
    </w:p>
    <w:p w14:paraId="6E65EBD0" w14:textId="60B77CE3" w:rsidR="009260DE" w:rsidRPr="00C22DB6" w:rsidRDefault="009260DE" w:rsidP="009260DE">
      <w:pPr>
        <w:tabs>
          <w:tab w:val="left" w:pos="851"/>
        </w:tabs>
        <w:ind w:left="851" w:hanging="851"/>
        <w:rPr>
          <w:b/>
          <w:sz w:val="24"/>
          <w:szCs w:val="24"/>
        </w:rPr>
      </w:pPr>
      <w:r w:rsidRPr="00C22DB6">
        <w:rPr>
          <w:b/>
          <w:sz w:val="24"/>
          <w:szCs w:val="24"/>
        </w:rPr>
        <w:t>8.</w:t>
      </w:r>
      <w:r w:rsidRPr="00C22DB6">
        <w:rPr>
          <w:b/>
          <w:sz w:val="24"/>
          <w:szCs w:val="24"/>
        </w:rPr>
        <w:tab/>
        <w:t>MARKEDSFØRINGSTILLADELSESNUMMER (</w:t>
      </w:r>
      <w:r w:rsidR="000039D1">
        <w:rPr>
          <w:b/>
          <w:sz w:val="24"/>
          <w:szCs w:val="24"/>
        </w:rPr>
        <w:t>-</w:t>
      </w:r>
      <w:r w:rsidRPr="00C22DB6">
        <w:rPr>
          <w:b/>
          <w:sz w:val="24"/>
          <w:szCs w:val="24"/>
        </w:rPr>
        <w:t>NUMRE)</w:t>
      </w:r>
    </w:p>
    <w:p w14:paraId="57148E36" w14:textId="545EBCBC" w:rsidR="009260DE" w:rsidRPr="00C22DB6" w:rsidRDefault="005003C0" w:rsidP="009260DE">
      <w:pPr>
        <w:tabs>
          <w:tab w:val="left" w:pos="851"/>
        </w:tabs>
        <w:ind w:left="851"/>
        <w:rPr>
          <w:sz w:val="24"/>
          <w:szCs w:val="24"/>
        </w:rPr>
      </w:pPr>
      <w:r w:rsidRPr="00C22DB6">
        <w:rPr>
          <w:sz w:val="24"/>
          <w:szCs w:val="24"/>
        </w:rPr>
        <w:t>61056</w:t>
      </w:r>
    </w:p>
    <w:p w14:paraId="4AA08D00" w14:textId="77777777" w:rsidR="009260DE" w:rsidRPr="00C22DB6" w:rsidRDefault="009260DE" w:rsidP="009260DE">
      <w:pPr>
        <w:tabs>
          <w:tab w:val="left" w:pos="851"/>
        </w:tabs>
        <w:ind w:left="851"/>
        <w:jc w:val="both"/>
        <w:rPr>
          <w:sz w:val="24"/>
          <w:szCs w:val="24"/>
        </w:rPr>
      </w:pPr>
    </w:p>
    <w:p w14:paraId="0C4E1B9C" w14:textId="77777777" w:rsidR="009260DE" w:rsidRPr="00C22DB6" w:rsidRDefault="009260DE" w:rsidP="009260DE">
      <w:pPr>
        <w:tabs>
          <w:tab w:val="left" w:pos="851"/>
        </w:tabs>
        <w:ind w:left="851" w:hanging="851"/>
        <w:rPr>
          <w:b/>
          <w:sz w:val="24"/>
          <w:szCs w:val="24"/>
        </w:rPr>
      </w:pPr>
      <w:r w:rsidRPr="00C22DB6">
        <w:rPr>
          <w:b/>
          <w:sz w:val="24"/>
          <w:szCs w:val="24"/>
        </w:rPr>
        <w:t>9.</w:t>
      </w:r>
      <w:r w:rsidRPr="00C22DB6">
        <w:rPr>
          <w:b/>
          <w:sz w:val="24"/>
          <w:szCs w:val="24"/>
        </w:rPr>
        <w:tab/>
        <w:t>DATO FOR FØRSTE MARKEDSFØRINGSTILLADELSE</w:t>
      </w:r>
    </w:p>
    <w:p w14:paraId="2B85E4A6" w14:textId="6D8FE123" w:rsidR="009260DE" w:rsidRPr="00C22DB6" w:rsidRDefault="003606D7" w:rsidP="009260DE">
      <w:pPr>
        <w:tabs>
          <w:tab w:val="left" w:pos="851"/>
        </w:tabs>
        <w:ind w:left="851"/>
        <w:rPr>
          <w:sz w:val="24"/>
          <w:szCs w:val="24"/>
        </w:rPr>
      </w:pPr>
      <w:r>
        <w:rPr>
          <w:sz w:val="24"/>
          <w:szCs w:val="24"/>
        </w:rPr>
        <w:t>26. februar 2020</w:t>
      </w:r>
    </w:p>
    <w:p w14:paraId="4AA177E4" w14:textId="77777777" w:rsidR="009260DE" w:rsidRPr="00C22DB6" w:rsidRDefault="009260DE" w:rsidP="009260DE">
      <w:pPr>
        <w:tabs>
          <w:tab w:val="left" w:pos="851"/>
        </w:tabs>
        <w:ind w:left="851"/>
        <w:rPr>
          <w:sz w:val="24"/>
          <w:szCs w:val="24"/>
        </w:rPr>
      </w:pPr>
    </w:p>
    <w:p w14:paraId="2F813986" w14:textId="77777777" w:rsidR="009260DE" w:rsidRPr="00C22DB6" w:rsidRDefault="009260DE" w:rsidP="009260DE">
      <w:pPr>
        <w:tabs>
          <w:tab w:val="left" w:pos="851"/>
        </w:tabs>
        <w:ind w:left="851" w:hanging="851"/>
        <w:rPr>
          <w:b/>
          <w:sz w:val="24"/>
          <w:szCs w:val="24"/>
        </w:rPr>
      </w:pPr>
      <w:r w:rsidRPr="00C22DB6">
        <w:rPr>
          <w:b/>
          <w:sz w:val="24"/>
          <w:szCs w:val="24"/>
        </w:rPr>
        <w:t>10.</w:t>
      </w:r>
      <w:r w:rsidRPr="00C22DB6">
        <w:rPr>
          <w:b/>
          <w:sz w:val="24"/>
          <w:szCs w:val="24"/>
        </w:rPr>
        <w:tab/>
        <w:t>DATO FOR ÆNDRING AF TEKSTEN</w:t>
      </w:r>
    </w:p>
    <w:p w14:paraId="0B889F67" w14:textId="5C80FCCC" w:rsidR="009260DE" w:rsidRPr="00C22DB6" w:rsidRDefault="000039D1" w:rsidP="009260DE">
      <w:pPr>
        <w:tabs>
          <w:tab w:val="left" w:pos="851"/>
        </w:tabs>
        <w:ind w:left="851"/>
        <w:rPr>
          <w:sz w:val="24"/>
          <w:szCs w:val="24"/>
        </w:rPr>
      </w:pPr>
      <w:r>
        <w:rPr>
          <w:sz w:val="24"/>
          <w:szCs w:val="24"/>
        </w:rPr>
        <w:t>8. januar 2024</w:t>
      </w:r>
    </w:p>
    <w:sectPr w:rsidR="009260DE" w:rsidRPr="00C22DB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7B374" w14:textId="77777777" w:rsidR="00301212" w:rsidRDefault="00301212">
      <w:r>
        <w:separator/>
      </w:r>
    </w:p>
  </w:endnote>
  <w:endnote w:type="continuationSeparator" w:id="0">
    <w:p w14:paraId="3FAA0041" w14:textId="77777777" w:rsidR="00301212" w:rsidRDefault="00301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B4E1A" w14:textId="77777777" w:rsidR="000259B9" w:rsidRDefault="000259B9">
    <w:pPr>
      <w:pStyle w:val="Sidefod"/>
      <w:pBdr>
        <w:bottom w:val="single" w:sz="6" w:space="1" w:color="auto"/>
      </w:pBdr>
    </w:pPr>
  </w:p>
  <w:p w14:paraId="62E01BE0" w14:textId="77777777" w:rsidR="000259B9" w:rsidRDefault="000259B9" w:rsidP="00C42586">
    <w:pPr>
      <w:pStyle w:val="Sidefod"/>
      <w:tabs>
        <w:tab w:val="clear" w:pos="4819"/>
        <w:tab w:val="left" w:pos="8505"/>
      </w:tabs>
      <w:rPr>
        <w:i/>
        <w:sz w:val="18"/>
        <w:szCs w:val="18"/>
      </w:rPr>
    </w:pPr>
  </w:p>
  <w:p w14:paraId="4A9A57CF" w14:textId="3960C4E4"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545D9">
      <w:rPr>
        <w:i/>
        <w:noProof/>
        <w:sz w:val="18"/>
        <w:szCs w:val="18"/>
      </w:rPr>
      <w:t>Dienosis, tabletter 2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97431" w14:textId="77777777" w:rsidR="00301212" w:rsidRDefault="00301212">
      <w:r>
        <w:separator/>
      </w:r>
    </w:p>
  </w:footnote>
  <w:footnote w:type="continuationSeparator" w:id="0">
    <w:p w14:paraId="08D57C0E" w14:textId="77777777" w:rsidR="00301212" w:rsidRDefault="00301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E0A28"/>
    <w:multiLevelType w:val="hybridMultilevel"/>
    <w:tmpl w:val="D11A63D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AD53EC"/>
    <w:multiLevelType w:val="hybridMultilevel"/>
    <w:tmpl w:val="4D8EDA74"/>
    <w:lvl w:ilvl="0" w:tplc="569C22A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60A43F4"/>
    <w:multiLevelType w:val="singleLevel"/>
    <w:tmpl w:val="04070001"/>
    <w:lvl w:ilvl="0">
      <w:start w:val="1"/>
      <w:numFmt w:val="bullet"/>
      <w:pStyle w:val="Bullet0dKT"/>
      <w:lvlText w:val=""/>
      <w:lvlJc w:val="left"/>
      <w:pPr>
        <w:tabs>
          <w:tab w:val="num" w:pos="360"/>
        </w:tabs>
        <w:ind w:left="360" w:hanging="360"/>
      </w:pPr>
      <w:rPr>
        <w:rFonts w:ascii="Symbol" w:hAnsi="Symbol" w:hint="default"/>
      </w:rPr>
    </w:lvl>
  </w:abstractNum>
  <w:abstractNum w:abstractNumId="4" w15:restartNumberingAfterBreak="0">
    <w:nsid w:val="2A261D79"/>
    <w:multiLevelType w:val="hybridMultilevel"/>
    <w:tmpl w:val="FFB21822"/>
    <w:lvl w:ilvl="0" w:tplc="569C22A4">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5D14992"/>
    <w:multiLevelType w:val="hybridMultilevel"/>
    <w:tmpl w:val="6B00412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4D5100D"/>
    <w:multiLevelType w:val="hybridMultilevel"/>
    <w:tmpl w:val="17B60536"/>
    <w:lvl w:ilvl="0" w:tplc="0409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11" w15:restartNumberingAfterBreak="0">
    <w:nsid w:val="6C641071"/>
    <w:multiLevelType w:val="hybridMultilevel"/>
    <w:tmpl w:val="93D6DE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760E5999"/>
    <w:multiLevelType w:val="hybridMultilevel"/>
    <w:tmpl w:val="11F2BE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D5F789D"/>
    <w:multiLevelType w:val="singleLevel"/>
    <w:tmpl w:val="90EE8EA2"/>
    <w:lvl w:ilvl="0">
      <w:start w:val="1"/>
      <w:numFmt w:val="bullet"/>
      <w:lvlText w:val=""/>
      <w:lvlJc w:val="left"/>
      <w:pPr>
        <w:tabs>
          <w:tab w:val="num" w:pos="360"/>
        </w:tabs>
        <w:ind w:left="340" w:hanging="340"/>
      </w:pPr>
      <w:rPr>
        <w:rFonts w:ascii="Symbol" w:hAnsi="Symbol" w:hint="default"/>
        <w:lang w:val="da-DK"/>
      </w:rPr>
    </w:lvl>
  </w:abstractNum>
  <w:abstractNum w:abstractNumId="14" w15:restartNumberingAfterBreak="0">
    <w:nsid w:val="7FBA5E8F"/>
    <w:multiLevelType w:val="hybridMultilevel"/>
    <w:tmpl w:val="A02EB1F0"/>
    <w:lvl w:ilvl="0" w:tplc="0409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
  </w:num>
  <w:num w:numId="8">
    <w:abstractNumId w:val="11"/>
  </w:num>
  <w:num w:numId="9">
    <w:abstractNumId w:val="4"/>
  </w:num>
  <w:num w:numId="10">
    <w:abstractNumId w:val="14"/>
  </w:num>
  <w:num w:numId="11">
    <w:abstractNumId w:val="10"/>
  </w:num>
  <w:num w:numId="12">
    <w:abstractNumId w:val="10"/>
  </w:num>
  <w:num w:numId="13">
    <w:abstractNumId w:val="12"/>
  </w:num>
  <w:num w:numId="14">
    <w:abstractNumId w:val="6"/>
  </w:num>
  <w:num w:numId="15">
    <w:abstractNumId w:val="4"/>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212"/>
    <w:rsid w:val="000039D1"/>
    <w:rsid w:val="00020C7C"/>
    <w:rsid w:val="000259B9"/>
    <w:rsid w:val="00041491"/>
    <w:rsid w:val="00050D16"/>
    <w:rsid w:val="000545D9"/>
    <w:rsid w:val="00074F2A"/>
    <w:rsid w:val="000A0C0E"/>
    <w:rsid w:val="000A1CA8"/>
    <w:rsid w:val="000A466B"/>
    <w:rsid w:val="000B058C"/>
    <w:rsid w:val="000E4EE6"/>
    <w:rsid w:val="001346DB"/>
    <w:rsid w:val="001454E2"/>
    <w:rsid w:val="0019516B"/>
    <w:rsid w:val="001E08E5"/>
    <w:rsid w:val="00206CE8"/>
    <w:rsid w:val="0021526C"/>
    <w:rsid w:val="00244671"/>
    <w:rsid w:val="00283A2B"/>
    <w:rsid w:val="002B30AD"/>
    <w:rsid w:val="002C2C01"/>
    <w:rsid w:val="002F2B74"/>
    <w:rsid w:val="00301212"/>
    <w:rsid w:val="003606D7"/>
    <w:rsid w:val="003A29AE"/>
    <w:rsid w:val="003A32D7"/>
    <w:rsid w:val="003B4074"/>
    <w:rsid w:val="003C769A"/>
    <w:rsid w:val="003F1838"/>
    <w:rsid w:val="0045746C"/>
    <w:rsid w:val="0049104B"/>
    <w:rsid w:val="004E3B12"/>
    <w:rsid w:val="005003C0"/>
    <w:rsid w:val="00523AF2"/>
    <w:rsid w:val="00532310"/>
    <w:rsid w:val="00565F0F"/>
    <w:rsid w:val="00594A86"/>
    <w:rsid w:val="00596D86"/>
    <w:rsid w:val="006034C1"/>
    <w:rsid w:val="006109FD"/>
    <w:rsid w:val="00637F5A"/>
    <w:rsid w:val="006560B1"/>
    <w:rsid w:val="006756DD"/>
    <w:rsid w:val="00715F3D"/>
    <w:rsid w:val="00737275"/>
    <w:rsid w:val="00740EEC"/>
    <w:rsid w:val="00763C29"/>
    <w:rsid w:val="0078011A"/>
    <w:rsid w:val="00782AF4"/>
    <w:rsid w:val="00790EE7"/>
    <w:rsid w:val="007A654A"/>
    <w:rsid w:val="007B6649"/>
    <w:rsid w:val="0082576E"/>
    <w:rsid w:val="0083342D"/>
    <w:rsid w:val="008833A4"/>
    <w:rsid w:val="008D4BB6"/>
    <w:rsid w:val="008F698B"/>
    <w:rsid w:val="00901652"/>
    <w:rsid w:val="00907F75"/>
    <w:rsid w:val="00922729"/>
    <w:rsid w:val="009260DE"/>
    <w:rsid w:val="0093258A"/>
    <w:rsid w:val="009C7BA3"/>
    <w:rsid w:val="009D1F5A"/>
    <w:rsid w:val="00A4482E"/>
    <w:rsid w:val="00AD6279"/>
    <w:rsid w:val="00AE065F"/>
    <w:rsid w:val="00B003BF"/>
    <w:rsid w:val="00B373D7"/>
    <w:rsid w:val="00B7409C"/>
    <w:rsid w:val="00C22DB6"/>
    <w:rsid w:val="00C36276"/>
    <w:rsid w:val="00C42586"/>
    <w:rsid w:val="00C60CCD"/>
    <w:rsid w:val="00C70CFB"/>
    <w:rsid w:val="00C84483"/>
    <w:rsid w:val="00C95551"/>
    <w:rsid w:val="00CB20D7"/>
    <w:rsid w:val="00CB6BFE"/>
    <w:rsid w:val="00D020B0"/>
    <w:rsid w:val="00D11748"/>
    <w:rsid w:val="00D366CF"/>
    <w:rsid w:val="00D810B7"/>
    <w:rsid w:val="00E108AA"/>
    <w:rsid w:val="00E3749A"/>
    <w:rsid w:val="00E7218F"/>
    <w:rsid w:val="00E7437F"/>
    <w:rsid w:val="00E865B8"/>
    <w:rsid w:val="00EC0B9B"/>
    <w:rsid w:val="00ED5E9F"/>
    <w:rsid w:val="00EE225A"/>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6456D"/>
  <w15:chartTrackingRefBased/>
  <w15:docId w15:val="{DFCC38E5-CEE0-4FF1-BF6A-188E882B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Para0sChar">
    <w:name w:val="Para:0:s Char"/>
    <w:link w:val="Para0s"/>
    <w:locked/>
    <w:rsid w:val="00523AF2"/>
    <w:rPr>
      <w:sz w:val="24"/>
      <w:lang w:val="en-US" w:eastAsia="de-DE"/>
    </w:rPr>
  </w:style>
  <w:style w:type="paragraph" w:customStyle="1" w:styleId="Para0s">
    <w:name w:val="Para:0:s"/>
    <w:basedOn w:val="Normal"/>
    <w:link w:val="Para0sChar"/>
    <w:rsid w:val="00523AF2"/>
    <w:pPr>
      <w:spacing w:after="220"/>
    </w:pPr>
    <w:rPr>
      <w:sz w:val="24"/>
      <w:lang w:val="en-US" w:eastAsia="de-DE"/>
    </w:rPr>
  </w:style>
  <w:style w:type="paragraph" w:customStyle="1" w:styleId="Bullet0dKT">
    <w:name w:val="Bullet:0:d:KT"/>
    <w:basedOn w:val="Normal"/>
    <w:rsid w:val="00523AF2"/>
    <w:pPr>
      <w:keepNext/>
      <w:keepLines/>
      <w:numPr>
        <w:numId w:val="7"/>
      </w:numPr>
      <w:spacing w:before="40" w:after="220"/>
    </w:pPr>
    <w:rPr>
      <w:rFonts w:ascii="Helvetica" w:hAnsi="Helvetica"/>
      <w:sz w:val="22"/>
      <w:lang w:val="en-US" w:eastAsia="de-DE"/>
    </w:rPr>
  </w:style>
  <w:style w:type="character" w:styleId="Hyperlink">
    <w:name w:val="Hyperlink"/>
    <w:basedOn w:val="Standardskrifttypeiafsnit"/>
    <w:uiPriority w:val="99"/>
    <w:semiHidden/>
    <w:unhideWhenUsed/>
    <w:rsid w:val="00523AF2"/>
    <w:rPr>
      <w:color w:val="0000FF"/>
      <w:u w:val="single"/>
    </w:rPr>
  </w:style>
  <w:style w:type="character" w:customStyle="1" w:styleId="GlobalBayerBodyTextChar">
    <w:name w:val="Global Bayer Body Text Char"/>
    <w:link w:val="GlobalBayerBodyText"/>
    <w:locked/>
    <w:rsid w:val="00E7218F"/>
    <w:rPr>
      <w:rFonts w:ascii="Arial" w:hAnsi="Arial" w:cs="Arial"/>
      <w:sz w:val="22"/>
      <w:lang w:val="en-US" w:eastAsia="de-DE"/>
    </w:rPr>
  </w:style>
  <w:style w:type="paragraph" w:customStyle="1" w:styleId="GlobalBayerBodyText">
    <w:name w:val="Global Bayer Body Text"/>
    <w:basedOn w:val="Normal"/>
    <w:link w:val="GlobalBayerBodyTextChar"/>
    <w:rsid w:val="00E7218F"/>
    <w:pPr>
      <w:tabs>
        <w:tab w:val="left" w:pos="11174"/>
        <w:tab w:val="left" w:pos="15142"/>
      </w:tabs>
      <w:suppressAutoHyphens/>
      <w:spacing w:before="120" w:after="240"/>
    </w:pPr>
    <w:rPr>
      <w:rFonts w:ascii="Arial" w:hAnsi="Arial" w:cs="Arial"/>
      <w:sz w:val="22"/>
      <w:lang w:val="en-US" w:eastAsia="de-DE"/>
    </w:rPr>
  </w:style>
  <w:style w:type="paragraph" w:styleId="Listeafsnit">
    <w:name w:val="List Paragraph"/>
    <w:basedOn w:val="Normal"/>
    <w:uiPriority w:val="34"/>
    <w:qFormat/>
    <w:rsid w:val="00B74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56368">
      <w:bodyDiv w:val="1"/>
      <w:marLeft w:val="0"/>
      <w:marRight w:val="0"/>
      <w:marTop w:val="0"/>
      <w:marBottom w:val="0"/>
      <w:divBdr>
        <w:top w:val="none" w:sz="0" w:space="0" w:color="auto"/>
        <w:left w:val="none" w:sz="0" w:space="0" w:color="auto"/>
        <w:bottom w:val="none" w:sz="0" w:space="0" w:color="auto"/>
        <w:right w:val="none" w:sz="0" w:space="0" w:color="auto"/>
      </w:divBdr>
    </w:div>
    <w:div w:id="116065112">
      <w:bodyDiv w:val="1"/>
      <w:marLeft w:val="0"/>
      <w:marRight w:val="0"/>
      <w:marTop w:val="0"/>
      <w:marBottom w:val="0"/>
      <w:divBdr>
        <w:top w:val="none" w:sz="0" w:space="0" w:color="auto"/>
        <w:left w:val="none" w:sz="0" w:space="0" w:color="auto"/>
        <w:bottom w:val="none" w:sz="0" w:space="0" w:color="auto"/>
        <w:right w:val="none" w:sz="0" w:space="0" w:color="auto"/>
      </w:divBdr>
    </w:div>
    <w:div w:id="13468783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9148859">
      <w:bodyDiv w:val="1"/>
      <w:marLeft w:val="0"/>
      <w:marRight w:val="0"/>
      <w:marTop w:val="0"/>
      <w:marBottom w:val="0"/>
      <w:divBdr>
        <w:top w:val="none" w:sz="0" w:space="0" w:color="auto"/>
        <w:left w:val="none" w:sz="0" w:space="0" w:color="auto"/>
        <w:bottom w:val="none" w:sz="0" w:space="0" w:color="auto"/>
        <w:right w:val="none" w:sz="0" w:space="0" w:color="auto"/>
      </w:divBdr>
    </w:div>
    <w:div w:id="328169378">
      <w:bodyDiv w:val="1"/>
      <w:marLeft w:val="0"/>
      <w:marRight w:val="0"/>
      <w:marTop w:val="0"/>
      <w:marBottom w:val="0"/>
      <w:divBdr>
        <w:top w:val="none" w:sz="0" w:space="0" w:color="auto"/>
        <w:left w:val="none" w:sz="0" w:space="0" w:color="auto"/>
        <w:bottom w:val="none" w:sz="0" w:space="0" w:color="auto"/>
        <w:right w:val="none" w:sz="0" w:space="0" w:color="auto"/>
      </w:divBdr>
    </w:div>
    <w:div w:id="362826157">
      <w:bodyDiv w:val="1"/>
      <w:marLeft w:val="0"/>
      <w:marRight w:val="0"/>
      <w:marTop w:val="0"/>
      <w:marBottom w:val="0"/>
      <w:divBdr>
        <w:top w:val="none" w:sz="0" w:space="0" w:color="auto"/>
        <w:left w:val="none" w:sz="0" w:space="0" w:color="auto"/>
        <w:bottom w:val="none" w:sz="0" w:space="0" w:color="auto"/>
        <w:right w:val="none" w:sz="0" w:space="0" w:color="auto"/>
      </w:divBdr>
    </w:div>
    <w:div w:id="378479984">
      <w:bodyDiv w:val="1"/>
      <w:marLeft w:val="0"/>
      <w:marRight w:val="0"/>
      <w:marTop w:val="0"/>
      <w:marBottom w:val="0"/>
      <w:divBdr>
        <w:top w:val="none" w:sz="0" w:space="0" w:color="auto"/>
        <w:left w:val="none" w:sz="0" w:space="0" w:color="auto"/>
        <w:bottom w:val="none" w:sz="0" w:space="0" w:color="auto"/>
        <w:right w:val="none" w:sz="0" w:space="0" w:color="auto"/>
      </w:divBdr>
    </w:div>
    <w:div w:id="387922268">
      <w:bodyDiv w:val="1"/>
      <w:marLeft w:val="0"/>
      <w:marRight w:val="0"/>
      <w:marTop w:val="0"/>
      <w:marBottom w:val="0"/>
      <w:divBdr>
        <w:top w:val="none" w:sz="0" w:space="0" w:color="auto"/>
        <w:left w:val="none" w:sz="0" w:space="0" w:color="auto"/>
        <w:bottom w:val="none" w:sz="0" w:space="0" w:color="auto"/>
        <w:right w:val="none" w:sz="0" w:space="0" w:color="auto"/>
      </w:divBdr>
    </w:div>
    <w:div w:id="577591576">
      <w:bodyDiv w:val="1"/>
      <w:marLeft w:val="0"/>
      <w:marRight w:val="0"/>
      <w:marTop w:val="0"/>
      <w:marBottom w:val="0"/>
      <w:divBdr>
        <w:top w:val="none" w:sz="0" w:space="0" w:color="auto"/>
        <w:left w:val="none" w:sz="0" w:space="0" w:color="auto"/>
        <w:bottom w:val="none" w:sz="0" w:space="0" w:color="auto"/>
        <w:right w:val="none" w:sz="0" w:space="0" w:color="auto"/>
      </w:divBdr>
    </w:div>
    <w:div w:id="594169713">
      <w:bodyDiv w:val="1"/>
      <w:marLeft w:val="0"/>
      <w:marRight w:val="0"/>
      <w:marTop w:val="0"/>
      <w:marBottom w:val="0"/>
      <w:divBdr>
        <w:top w:val="none" w:sz="0" w:space="0" w:color="auto"/>
        <w:left w:val="none" w:sz="0" w:space="0" w:color="auto"/>
        <w:bottom w:val="none" w:sz="0" w:space="0" w:color="auto"/>
        <w:right w:val="none" w:sz="0" w:space="0" w:color="auto"/>
      </w:divBdr>
    </w:div>
    <w:div w:id="616374409">
      <w:bodyDiv w:val="1"/>
      <w:marLeft w:val="0"/>
      <w:marRight w:val="0"/>
      <w:marTop w:val="0"/>
      <w:marBottom w:val="0"/>
      <w:divBdr>
        <w:top w:val="none" w:sz="0" w:space="0" w:color="auto"/>
        <w:left w:val="none" w:sz="0" w:space="0" w:color="auto"/>
        <w:bottom w:val="none" w:sz="0" w:space="0" w:color="auto"/>
        <w:right w:val="none" w:sz="0" w:space="0" w:color="auto"/>
      </w:divBdr>
    </w:div>
    <w:div w:id="623923466">
      <w:bodyDiv w:val="1"/>
      <w:marLeft w:val="0"/>
      <w:marRight w:val="0"/>
      <w:marTop w:val="0"/>
      <w:marBottom w:val="0"/>
      <w:divBdr>
        <w:top w:val="none" w:sz="0" w:space="0" w:color="auto"/>
        <w:left w:val="none" w:sz="0" w:space="0" w:color="auto"/>
        <w:bottom w:val="none" w:sz="0" w:space="0" w:color="auto"/>
        <w:right w:val="none" w:sz="0" w:space="0" w:color="auto"/>
      </w:divBdr>
    </w:div>
    <w:div w:id="821431206">
      <w:bodyDiv w:val="1"/>
      <w:marLeft w:val="0"/>
      <w:marRight w:val="0"/>
      <w:marTop w:val="0"/>
      <w:marBottom w:val="0"/>
      <w:divBdr>
        <w:top w:val="none" w:sz="0" w:space="0" w:color="auto"/>
        <w:left w:val="none" w:sz="0" w:space="0" w:color="auto"/>
        <w:bottom w:val="none" w:sz="0" w:space="0" w:color="auto"/>
        <w:right w:val="none" w:sz="0" w:space="0" w:color="auto"/>
      </w:divBdr>
    </w:div>
    <w:div w:id="871311214">
      <w:bodyDiv w:val="1"/>
      <w:marLeft w:val="0"/>
      <w:marRight w:val="0"/>
      <w:marTop w:val="0"/>
      <w:marBottom w:val="0"/>
      <w:divBdr>
        <w:top w:val="none" w:sz="0" w:space="0" w:color="auto"/>
        <w:left w:val="none" w:sz="0" w:space="0" w:color="auto"/>
        <w:bottom w:val="none" w:sz="0" w:space="0" w:color="auto"/>
        <w:right w:val="none" w:sz="0" w:space="0" w:color="auto"/>
      </w:divBdr>
    </w:div>
    <w:div w:id="880753025">
      <w:bodyDiv w:val="1"/>
      <w:marLeft w:val="0"/>
      <w:marRight w:val="0"/>
      <w:marTop w:val="0"/>
      <w:marBottom w:val="0"/>
      <w:divBdr>
        <w:top w:val="none" w:sz="0" w:space="0" w:color="auto"/>
        <w:left w:val="none" w:sz="0" w:space="0" w:color="auto"/>
        <w:bottom w:val="none" w:sz="0" w:space="0" w:color="auto"/>
        <w:right w:val="none" w:sz="0" w:space="0" w:color="auto"/>
      </w:divBdr>
    </w:div>
    <w:div w:id="1321688405">
      <w:bodyDiv w:val="1"/>
      <w:marLeft w:val="0"/>
      <w:marRight w:val="0"/>
      <w:marTop w:val="0"/>
      <w:marBottom w:val="0"/>
      <w:divBdr>
        <w:top w:val="none" w:sz="0" w:space="0" w:color="auto"/>
        <w:left w:val="none" w:sz="0" w:space="0" w:color="auto"/>
        <w:bottom w:val="none" w:sz="0" w:space="0" w:color="auto"/>
        <w:right w:val="none" w:sz="0" w:space="0" w:color="auto"/>
      </w:divBdr>
    </w:div>
    <w:div w:id="1608003154">
      <w:bodyDiv w:val="1"/>
      <w:marLeft w:val="0"/>
      <w:marRight w:val="0"/>
      <w:marTop w:val="0"/>
      <w:marBottom w:val="0"/>
      <w:divBdr>
        <w:top w:val="none" w:sz="0" w:space="0" w:color="auto"/>
        <w:left w:val="none" w:sz="0" w:space="0" w:color="auto"/>
        <w:bottom w:val="none" w:sz="0" w:space="0" w:color="auto"/>
        <w:right w:val="none" w:sz="0" w:space="0" w:color="auto"/>
      </w:divBdr>
    </w:div>
    <w:div w:id="1701587858">
      <w:bodyDiv w:val="1"/>
      <w:marLeft w:val="0"/>
      <w:marRight w:val="0"/>
      <w:marTop w:val="0"/>
      <w:marBottom w:val="0"/>
      <w:divBdr>
        <w:top w:val="none" w:sz="0" w:space="0" w:color="auto"/>
        <w:left w:val="none" w:sz="0" w:space="0" w:color="auto"/>
        <w:bottom w:val="none" w:sz="0" w:space="0" w:color="auto"/>
        <w:right w:val="none" w:sz="0" w:space="0" w:color="auto"/>
      </w:divBdr>
    </w:div>
    <w:div w:id="1815633101">
      <w:bodyDiv w:val="1"/>
      <w:marLeft w:val="0"/>
      <w:marRight w:val="0"/>
      <w:marTop w:val="0"/>
      <w:marBottom w:val="0"/>
      <w:divBdr>
        <w:top w:val="none" w:sz="0" w:space="0" w:color="auto"/>
        <w:left w:val="none" w:sz="0" w:space="0" w:color="auto"/>
        <w:bottom w:val="none" w:sz="0" w:space="0" w:color="auto"/>
        <w:right w:val="none" w:sz="0" w:space="0" w:color="auto"/>
      </w:divBdr>
    </w:div>
    <w:div w:id="2077849414">
      <w:bodyDiv w:val="1"/>
      <w:marLeft w:val="0"/>
      <w:marRight w:val="0"/>
      <w:marTop w:val="0"/>
      <w:marBottom w:val="0"/>
      <w:divBdr>
        <w:top w:val="none" w:sz="0" w:space="0" w:color="auto"/>
        <w:left w:val="none" w:sz="0" w:space="0" w:color="auto"/>
        <w:bottom w:val="none" w:sz="0" w:space="0" w:color="auto"/>
        <w:right w:val="none" w:sz="0" w:space="0" w:color="auto"/>
      </w:divBdr>
    </w:div>
    <w:div w:id="2117752720">
      <w:bodyDiv w:val="1"/>
      <w:marLeft w:val="0"/>
      <w:marRight w:val="0"/>
      <w:marTop w:val="0"/>
      <w:marBottom w:val="0"/>
      <w:divBdr>
        <w:top w:val="none" w:sz="0" w:space="0" w:color="auto"/>
        <w:left w:val="none" w:sz="0" w:space="0" w:color="auto"/>
        <w:bottom w:val="none" w:sz="0" w:space="0" w:color="auto"/>
        <w:right w:val="none" w:sz="0" w:space="0" w:color="auto"/>
      </w:divBdr>
    </w:div>
    <w:div w:id="212515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3790</Words>
  <Characters>24077</Characters>
  <Application>Microsoft Office Word</Application>
  <DocSecurity>0</DocSecurity>
  <Lines>200</Lines>
  <Paragraphs>55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Skov</dc:creator>
  <cp:keywords/>
  <dc:description>2023090316_x000d_
Fra 2 år til 3 år</dc:description>
  <cp:lastModifiedBy>Kristine Skov Hansen</cp:lastModifiedBy>
  <cp:revision>2</cp:revision>
  <cp:lastPrinted>2020-02-25T12:55:00Z</cp:lastPrinted>
  <dcterms:created xsi:type="dcterms:W3CDTF">2024-01-08T15:05:00Z</dcterms:created>
  <dcterms:modified xsi:type="dcterms:W3CDTF">2024-01-08T15:05:00Z</dcterms:modified>
</cp:coreProperties>
</file>