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2D594" w14:textId="77777777" w:rsidR="009260DE" w:rsidRPr="00283C60" w:rsidRDefault="0021526C" w:rsidP="009260DE">
      <w:pPr>
        <w:rPr>
          <w:sz w:val="24"/>
          <w:szCs w:val="24"/>
        </w:rPr>
      </w:pPr>
      <w:bookmarkStart w:id="0" w:name="_GoBack"/>
      <w:bookmarkEnd w:id="0"/>
      <w:r w:rsidRPr="00283C60">
        <w:rPr>
          <w:noProof/>
          <w:sz w:val="24"/>
          <w:szCs w:val="24"/>
          <w:lang w:eastAsia="da-DK"/>
        </w:rPr>
        <w:drawing>
          <wp:anchor distT="0" distB="0" distL="114300" distR="114300" simplePos="0" relativeHeight="251658240" behindDoc="0" locked="0" layoutInCell="1" allowOverlap="1" wp14:anchorId="08D5FCF7" wp14:editId="145637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83C60">
        <w:rPr>
          <w:sz w:val="24"/>
          <w:szCs w:val="24"/>
        </w:rPr>
        <w:br w:type="textWrapping" w:clear="all"/>
      </w:r>
    </w:p>
    <w:p w14:paraId="59BEAF8B" w14:textId="6C822A94" w:rsidR="009260DE" w:rsidRPr="00283C60" w:rsidRDefault="009260DE" w:rsidP="009260DE">
      <w:pPr>
        <w:pStyle w:val="Titel"/>
        <w:tabs>
          <w:tab w:val="right" w:pos="9356"/>
        </w:tabs>
        <w:jc w:val="left"/>
        <w:rPr>
          <w:b w:val="0"/>
          <w:szCs w:val="24"/>
          <w:lang w:eastAsia="en-US"/>
        </w:rPr>
      </w:pPr>
      <w:r w:rsidRPr="00283C60">
        <w:rPr>
          <w:b w:val="0"/>
          <w:szCs w:val="24"/>
          <w:lang w:eastAsia="en-US"/>
        </w:rPr>
        <w:tab/>
      </w:r>
      <w:r w:rsidR="000C6D73">
        <w:rPr>
          <w:szCs w:val="24"/>
        </w:rPr>
        <w:t>10. april 2025</w:t>
      </w:r>
    </w:p>
    <w:p w14:paraId="03614E7D" w14:textId="77777777" w:rsidR="009260DE" w:rsidRPr="00283C60" w:rsidRDefault="009260DE" w:rsidP="009260DE">
      <w:pPr>
        <w:pStyle w:val="Titel"/>
        <w:tabs>
          <w:tab w:val="left" w:pos="8222"/>
        </w:tabs>
        <w:jc w:val="left"/>
        <w:rPr>
          <w:b w:val="0"/>
          <w:szCs w:val="24"/>
        </w:rPr>
      </w:pPr>
    </w:p>
    <w:p w14:paraId="470CCB41" w14:textId="77777777" w:rsidR="009260DE" w:rsidRPr="00283C60" w:rsidRDefault="009260DE" w:rsidP="009260DE">
      <w:pPr>
        <w:pStyle w:val="Titel"/>
        <w:jc w:val="left"/>
        <w:rPr>
          <w:b w:val="0"/>
          <w:szCs w:val="24"/>
        </w:rPr>
      </w:pPr>
    </w:p>
    <w:p w14:paraId="50DE5F25" w14:textId="77777777" w:rsidR="009260DE" w:rsidRPr="00283C60" w:rsidRDefault="009260DE" w:rsidP="009260DE">
      <w:pPr>
        <w:pStyle w:val="Titel"/>
        <w:jc w:val="left"/>
        <w:rPr>
          <w:b w:val="0"/>
          <w:szCs w:val="24"/>
        </w:rPr>
      </w:pPr>
    </w:p>
    <w:p w14:paraId="7DF4E2CF" w14:textId="77777777" w:rsidR="009260DE" w:rsidRPr="00283C60" w:rsidRDefault="009260DE" w:rsidP="009260DE">
      <w:pPr>
        <w:jc w:val="center"/>
        <w:rPr>
          <w:b/>
          <w:sz w:val="24"/>
          <w:szCs w:val="24"/>
        </w:rPr>
      </w:pPr>
      <w:r w:rsidRPr="00283C60">
        <w:rPr>
          <w:b/>
          <w:sz w:val="24"/>
          <w:szCs w:val="24"/>
        </w:rPr>
        <w:t>PRODUKTRESUMÉ</w:t>
      </w:r>
    </w:p>
    <w:p w14:paraId="36AE0D45" w14:textId="77777777" w:rsidR="009260DE" w:rsidRPr="00283C60" w:rsidRDefault="009260DE" w:rsidP="009260DE">
      <w:pPr>
        <w:jc w:val="center"/>
        <w:rPr>
          <w:b/>
          <w:sz w:val="24"/>
          <w:szCs w:val="24"/>
        </w:rPr>
      </w:pPr>
    </w:p>
    <w:p w14:paraId="4E3FE376" w14:textId="77777777" w:rsidR="009260DE" w:rsidRPr="00283C60" w:rsidRDefault="009260DE" w:rsidP="009260DE">
      <w:pPr>
        <w:jc w:val="center"/>
        <w:rPr>
          <w:b/>
          <w:sz w:val="24"/>
          <w:szCs w:val="24"/>
        </w:rPr>
      </w:pPr>
      <w:r w:rsidRPr="00283C60">
        <w:rPr>
          <w:b/>
          <w:sz w:val="24"/>
          <w:szCs w:val="24"/>
        </w:rPr>
        <w:t>for</w:t>
      </w:r>
    </w:p>
    <w:p w14:paraId="04060614" w14:textId="77777777" w:rsidR="000B058C" w:rsidRPr="00283C60" w:rsidRDefault="000B058C" w:rsidP="009260DE">
      <w:pPr>
        <w:jc w:val="center"/>
        <w:rPr>
          <w:b/>
          <w:sz w:val="24"/>
          <w:szCs w:val="24"/>
        </w:rPr>
      </w:pPr>
    </w:p>
    <w:p w14:paraId="7623E96E" w14:textId="356ABA4A" w:rsidR="009260DE" w:rsidRPr="00283C60" w:rsidRDefault="002C0801" w:rsidP="009260DE">
      <w:pPr>
        <w:jc w:val="center"/>
        <w:rPr>
          <w:b/>
          <w:sz w:val="24"/>
          <w:szCs w:val="24"/>
        </w:rPr>
      </w:pPr>
      <w:proofErr w:type="spellStart"/>
      <w:r w:rsidRPr="00283C60">
        <w:rPr>
          <w:b/>
          <w:sz w:val="24"/>
          <w:szCs w:val="24"/>
        </w:rPr>
        <w:t>Dimethyl</w:t>
      </w:r>
      <w:proofErr w:type="spellEnd"/>
      <w:r w:rsidRPr="00283C60">
        <w:rPr>
          <w:b/>
          <w:sz w:val="24"/>
          <w:szCs w:val="24"/>
        </w:rPr>
        <w:t xml:space="preserve"> </w:t>
      </w:r>
      <w:proofErr w:type="spellStart"/>
      <w:r w:rsidRPr="00283C60">
        <w:rPr>
          <w:b/>
          <w:sz w:val="24"/>
          <w:szCs w:val="24"/>
        </w:rPr>
        <w:t>fumarate</w:t>
      </w:r>
      <w:proofErr w:type="spellEnd"/>
      <w:r w:rsidRPr="00283C60">
        <w:rPr>
          <w:b/>
          <w:sz w:val="24"/>
          <w:szCs w:val="24"/>
        </w:rPr>
        <w:t xml:space="preserve"> </w:t>
      </w:r>
      <w:r w:rsidR="004837F8" w:rsidRPr="00283C60">
        <w:rPr>
          <w:b/>
          <w:sz w:val="24"/>
          <w:szCs w:val="24"/>
        </w:rPr>
        <w:t>"</w:t>
      </w:r>
      <w:proofErr w:type="spellStart"/>
      <w:r w:rsidRPr="00283C60">
        <w:rPr>
          <w:b/>
          <w:sz w:val="24"/>
          <w:szCs w:val="24"/>
        </w:rPr>
        <w:t>Stada</w:t>
      </w:r>
      <w:proofErr w:type="spellEnd"/>
      <w:r w:rsidRPr="00283C60">
        <w:rPr>
          <w:b/>
          <w:sz w:val="24"/>
          <w:szCs w:val="24"/>
        </w:rPr>
        <w:t xml:space="preserve"> Nordic</w:t>
      </w:r>
      <w:r w:rsidR="004837F8" w:rsidRPr="00283C60">
        <w:rPr>
          <w:b/>
          <w:sz w:val="24"/>
          <w:szCs w:val="24"/>
        </w:rPr>
        <w:t>"</w:t>
      </w:r>
      <w:r w:rsidRPr="00283C60">
        <w:rPr>
          <w:b/>
          <w:sz w:val="24"/>
          <w:szCs w:val="24"/>
        </w:rPr>
        <w:t>, hårde enterokapsler</w:t>
      </w:r>
    </w:p>
    <w:p w14:paraId="5ABF1BB1" w14:textId="77777777" w:rsidR="009260DE" w:rsidRPr="00283C60" w:rsidRDefault="009260DE" w:rsidP="009260DE">
      <w:pPr>
        <w:jc w:val="both"/>
        <w:rPr>
          <w:sz w:val="24"/>
          <w:szCs w:val="24"/>
        </w:rPr>
      </w:pPr>
    </w:p>
    <w:p w14:paraId="70964385" w14:textId="77777777" w:rsidR="009260DE" w:rsidRPr="00283C60" w:rsidRDefault="009260DE" w:rsidP="009260DE">
      <w:pPr>
        <w:jc w:val="both"/>
        <w:rPr>
          <w:sz w:val="24"/>
          <w:szCs w:val="24"/>
        </w:rPr>
      </w:pPr>
    </w:p>
    <w:p w14:paraId="4FA92693" w14:textId="77777777" w:rsidR="009260DE" w:rsidRPr="00283C60" w:rsidRDefault="009260DE" w:rsidP="009260DE">
      <w:pPr>
        <w:tabs>
          <w:tab w:val="left" w:pos="851"/>
        </w:tabs>
        <w:ind w:left="851" w:hanging="851"/>
        <w:rPr>
          <w:b/>
          <w:sz w:val="24"/>
          <w:szCs w:val="24"/>
        </w:rPr>
      </w:pPr>
      <w:r w:rsidRPr="00283C60">
        <w:rPr>
          <w:b/>
          <w:sz w:val="24"/>
          <w:szCs w:val="24"/>
        </w:rPr>
        <w:t>0.</w:t>
      </w:r>
      <w:r w:rsidRPr="00283C60">
        <w:rPr>
          <w:b/>
          <w:sz w:val="24"/>
          <w:szCs w:val="24"/>
        </w:rPr>
        <w:tab/>
        <w:t>D.SP.NR.</w:t>
      </w:r>
    </w:p>
    <w:p w14:paraId="2739A68D" w14:textId="5865F5D8" w:rsidR="009260DE" w:rsidRPr="00283C60" w:rsidRDefault="002C0801" w:rsidP="009260DE">
      <w:pPr>
        <w:tabs>
          <w:tab w:val="left" w:pos="851"/>
        </w:tabs>
        <w:ind w:left="851"/>
        <w:rPr>
          <w:sz w:val="24"/>
          <w:szCs w:val="24"/>
        </w:rPr>
      </w:pPr>
      <w:r w:rsidRPr="00283C60">
        <w:rPr>
          <w:sz w:val="24"/>
          <w:szCs w:val="24"/>
        </w:rPr>
        <w:t>33894</w:t>
      </w:r>
    </w:p>
    <w:p w14:paraId="69B73E32" w14:textId="77777777" w:rsidR="009260DE" w:rsidRPr="00283C60" w:rsidRDefault="009260DE" w:rsidP="009260DE">
      <w:pPr>
        <w:tabs>
          <w:tab w:val="left" w:pos="851"/>
        </w:tabs>
        <w:ind w:left="851"/>
        <w:rPr>
          <w:sz w:val="24"/>
          <w:szCs w:val="24"/>
        </w:rPr>
      </w:pPr>
    </w:p>
    <w:p w14:paraId="35D9EF3D" w14:textId="77777777" w:rsidR="009260DE" w:rsidRPr="00283C60" w:rsidRDefault="009260DE" w:rsidP="009260DE">
      <w:pPr>
        <w:tabs>
          <w:tab w:val="left" w:pos="851"/>
        </w:tabs>
        <w:ind w:left="851" w:hanging="851"/>
        <w:rPr>
          <w:b/>
          <w:sz w:val="24"/>
          <w:szCs w:val="24"/>
        </w:rPr>
      </w:pPr>
      <w:r w:rsidRPr="00283C60">
        <w:rPr>
          <w:b/>
          <w:sz w:val="24"/>
          <w:szCs w:val="24"/>
        </w:rPr>
        <w:t>1.</w:t>
      </w:r>
      <w:r w:rsidRPr="00283C60">
        <w:rPr>
          <w:b/>
          <w:sz w:val="24"/>
          <w:szCs w:val="24"/>
        </w:rPr>
        <w:tab/>
        <w:t>LÆGEMIDLETS NAVN</w:t>
      </w:r>
    </w:p>
    <w:p w14:paraId="04BBC04B" w14:textId="019A01D8" w:rsidR="009260DE" w:rsidRPr="00283C60" w:rsidRDefault="002C0801" w:rsidP="009260DE">
      <w:pPr>
        <w:tabs>
          <w:tab w:val="left" w:pos="851"/>
        </w:tabs>
        <w:ind w:left="851"/>
        <w:rPr>
          <w:sz w:val="24"/>
          <w:szCs w:val="24"/>
        </w:rPr>
      </w:pPr>
      <w:proofErr w:type="spellStart"/>
      <w:r w:rsidRPr="00283C60">
        <w:rPr>
          <w:sz w:val="24"/>
          <w:szCs w:val="24"/>
        </w:rPr>
        <w:t>Dimethyl</w:t>
      </w:r>
      <w:proofErr w:type="spellEnd"/>
      <w:r w:rsidRPr="00283C60">
        <w:rPr>
          <w:sz w:val="24"/>
          <w:szCs w:val="24"/>
        </w:rPr>
        <w:t xml:space="preserve"> </w:t>
      </w:r>
      <w:proofErr w:type="spellStart"/>
      <w:r w:rsidRPr="00283C60">
        <w:rPr>
          <w:sz w:val="24"/>
          <w:szCs w:val="24"/>
        </w:rPr>
        <w:t>fumarate</w:t>
      </w:r>
      <w:proofErr w:type="spellEnd"/>
      <w:r w:rsidRPr="00283C60">
        <w:rPr>
          <w:sz w:val="24"/>
          <w:szCs w:val="24"/>
        </w:rPr>
        <w:t xml:space="preserve"> </w:t>
      </w:r>
      <w:r w:rsidR="004837F8" w:rsidRPr="00283C60">
        <w:rPr>
          <w:sz w:val="24"/>
          <w:szCs w:val="24"/>
        </w:rPr>
        <w:t>"</w:t>
      </w:r>
      <w:proofErr w:type="spellStart"/>
      <w:r w:rsidRPr="00283C60">
        <w:rPr>
          <w:sz w:val="24"/>
          <w:szCs w:val="24"/>
        </w:rPr>
        <w:t>Stada</w:t>
      </w:r>
      <w:proofErr w:type="spellEnd"/>
      <w:r w:rsidRPr="00283C60">
        <w:rPr>
          <w:sz w:val="24"/>
          <w:szCs w:val="24"/>
        </w:rPr>
        <w:t xml:space="preserve"> Nordic</w:t>
      </w:r>
      <w:r w:rsidR="004837F8" w:rsidRPr="00283C60">
        <w:rPr>
          <w:sz w:val="24"/>
          <w:szCs w:val="24"/>
        </w:rPr>
        <w:t>"</w:t>
      </w:r>
    </w:p>
    <w:p w14:paraId="31CCBB83" w14:textId="77777777" w:rsidR="009260DE" w:rsidRPr="00283C60" w:rsidRDefault="009260DE" w:rsidP="009260DE">
      <w:pPr>
        <w:tabs>
          <w:tab w:val="left" w:pos="851"/>
        </w:tabs>
        <w:ind w:left="851"/>
        <w:rPr>
          <w:sz w:val="24"/>
          <w:szCs w:val="24"/>
        </w:rPr>
      </w:pPr>
    </w:p>
    <w:p w14:paraId="16426842" w14:textId="77777777" w:rsidR="009260DE" w:rsidRPr="00283C60" w:rsidRDefault="009260DE" w:rsidP="009260DE">
      <w:pPr>
        <w:tabs>
          <w:tab w:val="left" w:pos="851"/>
        </w:tabs>
        <w:ind w:left="851" w:hanging="851"/>
        <w:rPr>
          <w:b/>
          <w:sz w:val="24"/>
          <w:szCs w:val="24"/>
        </w:rPr>
      </w:pPr>
      <w:r w:rsidRPr="00283C60">
        <w:rPr>
          <w:b/>
          <w:sz w:val="24"/>
          <w:szCs w:val="24"/>
        </w:rPr>
        <w:t>2.</w:t>
      </w:r>
      <w:r w:rsidRPr="00283C60">
        <w:rPr>
          <w:b/>
          <w:sz w:val="24"/>
          <w:szCs w:val="24"/>
        </w:rPr>
        <w:tab/>
        <w:t>KVALITATIV OG KVANTITATIV SAMMENSÆTNING</w:t>
      </w:r>
    </w:p>
    <w:p w14:paraId="4DDE287E" w14:textId="77777777" w:rsidR="004837F8" w:rsidRPr="00283C60" w:rsidRDefault="004837F8" w:rsidP="00393DF8">
      <w:pPr>
        <w:ind w:left="851"/>
        <w:rPr>
          <w:sz w:val="24"/>
          <w:szCs w:val="24"/>
        </w:rPr>
      </w:pPr>
    </w:p>
    <w:p w14:paraId="2ECCA998" w14:textId="29871C00" w:rsidR="00244D23" w:rsidRPr="00283C60" w:rsidRDefault="00244D23" w:rsidP="00393DF8">
      <w:pPr>
        <w:ind w:left="851"/>
        <w:rPr>
          <w:sz w:val="24"/>
          <w:szCs w:val="24"/>
          <w:u w:val="single"/>
          <w:lang w:eastAsia="fr-LU"/>
        </w:rPr>
      </w:pPr>
      <w:proofErr w:type="spellStart"/>
      <w:r w:rsidRPr="00283C60">
        <w:rPr>
          <w:sz w:val="24"/>
          <w:szCs w:val="24"/>
          <w:u w:val="single"/>
        </w:rPr>
        <w:t>Dimethyl</w:t>
      </w:r>
      <w:proofErr w:type="spellEnd"/>
      <w:r w:rsidRPr="00283C60">
        <w:rPr>
          <w:sz w:val="24"/>
          <w:szCs w:val="24"/>
          <w:u w:val="single"/>
        </w:rPr>
        <w:t xml:space="preserve"> </w:t>
      </w:r>
      <w:proofErr w:type="spellStart"/>
      <w:r w:rsidRPr="00283C60">
        <w:rPr>
          <w:sz w:val="24"/>
          <w:szCs w:val="24"/>
          <w:u w:val="single"/>
        </w:rPr>
        <w:t>fumarate</w:t>
      </w:r>
      <w:proofErr w:type="spellEnd"/>
      <w:r w:rsidRPr="00283C60">
        <w:rPr>
          <w:sz w:val="24"/>
          <w:szCs w:val="24"/>
          <w:u w:val="single"/>
        </w:rPr>
        <w:t xml:space="preserve"> </w:t>
      </w:r>
      <w:r w:rsidR="004837F8" w:rsidRPr="00283C60">
        <w:rPr>
          <w:sz w:val="24"/>
          <w:szCs w:val="24"/>
          <w:u w:val="single"/>
        </w:rPr>
        <w:t>"</w:t>
      </w:r>
      <w:proofErr w:type="spellStart"/>
      <w:r w:rsidRPr="00283C60">
        <w:rPr>
          <w:sz w:val="24"/>
          <w:szCs w:val="24"/>
          <w:u w:val="single"/>
        </w:rPr>
        <w:t>Stada</w:t>
      </w:r>
      <w:proofErr w:type="spellEnd"/>
      <w:r w:rsidRPr="00283C60">
        <w:rPr>
          <w:sz w:val="24"/>
          <w:szCs w:val="24"/>
          <w:u w:val="single"/>
        </w:rPr>
        <w:t xml:space="preserve"> Nordic</w:t>
      </w:r>
      <w:r w:rsidR="004837F8" w:rsidRPr="00283C60">
        <w:rPr>
          <w:sz w:val="24"/>
          <w:szCs w:val="24"/>
          <w:u w:val="single"/>
        </w:rPr>
        <w:t>"</w:t>
      </w:r>
      <w:r w:rsidRPr="00283C60">
        <w:rPr>
          <w:sz w:val="24"/>
          <w:szCs w:val="24"/>
          <w:u w:val="single"/>
        </w:rPr>
        <w:t xml:space="preserve"> 120 mg </w:t>
      </w:r>
      <w:r w:rsidR="00E0122E">
        <w:rPr>
          <w:sz w:val="24"/>
          <w:szCs w:val="24"/>
          <w:u w:val="single"/>
        </w:rPr>
        <w:t xml:space="preserve">hårde </w:t>
      </w:r>
      <w:r w:rsidRPr="00283C60">
        <w:rPr>
          <w:sz w:val="24"/>
          <w:szCs w:val="24"/>
          <w:u w:val="single"/>
        </w:rPr>
        <w:t>enterokapsler</w:t>
      </w:r>
    </w:p>
    <w:p w14:paraId="7C92FCC3" w14:textId="77777777" w:rsidR="00244D23" w:rsidRPr="00283C60" w:rsidRDefault="00244D23" w:rsidP="00393DF8">
      <w:pPr>
        <w:ind w:left="851"/>
        <w:rPr>
          <w:sz w:val="24"/>
          <w:szCs w:val="24"/>
        </w:rPr>
      </w:pPr>
      <w:r w:rsidRPr="00283C60">
        <w:rPr>
          <w:sz w:val="24"/>
          <w:szCs w:val="24"/>
        </w:rPr>
        <w:t xml:space="preserve">Hver hård </w:t>
      </w:r>
      <w:proofErr w:type="spellStart"/>
      <w:r w:rsidRPr="00283C60">
        <w:rPr>
          <w:sz w:val="24"/>
          <w:szCs w:val="24"/>
        </w:rPr>
        <w:t>enterokapsel</w:t>
      </w:r>
      <w:proofErr w:type="spellEnd"/>
      <w:r w:rsidRPr="00283C60">
        <w:rPr>
          <w:sz w:val="24"/>
          <w:szCs w:val="24"/>
        </w:rPr>
        <w:t xml:space="preserve"> indeholder 120 mg </w:t>
      </w:r>
      <w:proofErr w:type="spellStart"/>
      <w:r w:rsidRPr="00283C60">
        <w:rPr>
          <w:sz w:val="24"/>
          <w:szCs w:val="24"/>
        </w:rPr>
        <w:t>dimethylfumarat</w:t>
      </w:r>
      <w:proofErr w:type="spellEnd"/>
      <w:r w:rsidRPr="00283C60">
        <w:rPr>
          <w:sz w:val="24"/>
          <w:szCs w:val="24"/>
        </w:rPr>
        <w:t>.</w:t>
      </w:r>
    </w:p>
    <w:p w14:paraId="2DF7CF29" w14:textId="77777777" w:rsidR="00244D23" w:rsidRPr="00283C60" w:rsidRDefault="00244D23" w:rsidP="00393DF8">
      <w:pPr>
        <w:ind w:left="851"/>
        <w:rPr>
          <w:sz w:val="24"/>
          <w:szCs w:val="24"/>
        </w:rPr>
      </w:pPr>
    </w:p>
    <w:p w14:paraId="16D3175D" w14:textId="5CB93CE6" w:rsidR="00244D23" w:rsidRPr="00283C60" w:rsidRDefault="00244D23" w:rsidP="00393DF8">
      <w:pPr>
        <w:ind w:left="851"/>
        <w:rPr>
          <w:sz w:val="24"/>
          <w:szCs w:val="24"/>
          <w:u w:val="single"/>
        </w:rPr>
      </w:pPr>
      <w:proofErr w:type="spellStart"/>
      <w:r w:rsidRPr="00283C60">
        <w:rPr>
          <w:sz w:val="24"/>
          <w:szCs w:val="24"/>
          <w:u w:val="single"/>
        </w:rPr>
        <w:t>Dimethyl</w:t>
      </w:r>
      <w:proofErr w:type="spellEnd"/>
      <w:r w:rsidRPr="00283C60">
        <w:rPr>
          <w:sz w:val="24"/>
          <w:szCs w:val="24"/>
          <w:u w:val="single"/>
        </w:rPr>
        <w:t xml:space="preserve"> </w:t>
      </w:r>
      <w:proofErr w:type="spellStart"/>
      <w:r w:rsidRPr="00283C60">
        <w:rPr>
          <w:sz w:val="24"/>
          <w:szCs w:val="24"/>
          <w:u w:val="single"/>
        </w:rPr>
        <w:t>fumarate</w:t>
      </w:r>
      <w:proofErr w:type="spellEnd"/>
      <w:r w:rsidRPr="00283C60">
        <w:rPr>
          <w:sz w:val="24"/>
          <w:szCs w:val="24"/>
          <w:u w:val="single"/>
        </w:rPr>
        <w:t xml:space="preserve"> </w:t>
      </w:r>
      <w:r w:rsidR="004837F8" w:rsidRPr="00283C60">
        <w:rPr>
          <w:sz w:val="24"/>
          <w:szCs w:val="24"/>
          <w:u w:val="single"/>
        </w:rPr>
        <w:t>"</w:t>
      </w:r>
      <w:proofErr w:type="spellStart"/>
      <w:r w:rsidRPr="00283C60">
        <w:rPr>
          <w:sz w:val="24"/>
          <w:szCs w:val="24"/>
          <w:u w:val="single"/>
        </w:rPr>
        <w:t>Stada</w:t>
      </w:r>
      <w:proofErr w:type="spellEnd"/>
      <w:r w:rsidRPr="00283C60">
        <w:rPr>
          <w:sz w:val="24"/>
          <w:szCs w:val="24"/>
          <w:u w:val="single"/>
        </w:rPr>
        <w:t xml:space="preserve"> Nordic</w:t>
      </w:r>
      <w:r w:rsidR="004837F8" w:rsidRPr="00283C60">
        <w:rPr>
          <w:sz w:val="24"/>
          <w:szCs w:val="24"/>
          <w:u w:val="single"/>
        </w:rPr>
        <w:t>"</w:t>
      </w:r>
      <w:r w:rsidRPr="00283C60">
        <w:rPr>
          <w:sz w:val="24"/>
          <w:szCs w:val="24"/>
          <w:u w:val="single"/>
        </w:rPr>
        <w:t xml:space="preserve"> 240 mg </w:t>
      </w:r>
      <w:r w:rsidR="00E0122E">
        <w:rPr>
          <w:sz w:val="24"/>
          <w:szCs w:val="24"/>
          <w:u w:val="single"/>
        </w:rPr>
        <w:t xml:space="preserve">hårde </w:t>
      </w:r>
      <w:r w:rsidRPr="00283C60">
        <w:rPr>
          <w:sz w:val="24"/>
          <w:szCs w:val="24"/>
          <w:u w:val="single"/>
        </w:rPr>
        <w:t>enterokapsler</w:t>
      </w:r>
    </w:p>
    <w:p w14:paraId="3B33F87E" w14:textId="77777777" w:rsidR="00244D23" w:rsidRPr="00283C60" w:rsidRDefault="00244D23" w:rsidP="00393DF8">
      <w:pPr>
        <w:ind w:left="851"/>
        <w:rPr>
          <w:sz w:val="24"/>
          <w:szCs w:val="24"/>
        </w:rPr>
      </w:pPr>
      <w:r w:rsidRPr="00283C60">
        <w:rPr>
          <w:sz w:val="24"/>
          <w:szCs w:val="24"/>
        </w:rPr>
        <w:t xml:space="preserve">Hver hård </w:t>
      </w:r>
      <w:proofErr w:type="spellStart"/>
      <w:r w:rsidRPr="00283C60">
        <w:rPr>
          <w:sz w:val="24"/>
          <w:szCs w:val="24"/>
        </w:rPr>
        <w:t>enterokapsel</w:t>
      </w:r>
      <w:proofErr w:type="spellEnd"/>
      <w:r w:rsidRPr="00283C60">
        <w:rPr>
          <w:sz w:val="24"/>
          <w:szCs w:val="24"/>
        </w:rPr>
        <w:t xml:space="preserve"> indeholder 240 mg </w:t>
      </w:r>
      <w:proofErr w:type="spellStart"/>
      <w:r w:rsidRPr="00283C60">
        <w:rPr>
          <w:sz w:val="24"/>
          <w:szCs w:val="24"/>
        </w:rPr>
        <w:t>dimethylfumarat</w:t>
      </w:r>
      <w:proofErr w:type="spellEnd"/>
      <w:r w:rsidRPr="00283C60">
        <w:rPr>
          <w:sz w:val="24"/>
          <w:szCs w:val="24"/>
        </w:rPr>
        <w:t>.</w:t>
      </w:r>
    </w:p>
    <w:p w14:paraId="53D0CBF8" w14:textId="77777777" w:rsidR="00244D23" w:rsidRPr="00283C60" w:rsidRDefault="00244D23" w:rsidP="00393DF8">
      <w:pPr>
        <w:ind w:left="851"/>
        <w:rPr>
          <w:sz w:val="24"/>
          <w:szCs w:val="24"/>
        </w:rPr>
      </w:pPr>
    </w:p>
    <w:p w14:paraId="0C2DCCE7" w14:textId="77777777" w:rsidR="00244D23" w:rsidRPr="00283C60" w:rsidRDefault="00244D23" w:rsidP="00393DF8">
      <w:pPr>
        <w:ind w:left="851"/>
        <w:rPr>
          <w:sz w:val="24"/>
          <w:szCs w:val="24"/>
        </w:rPr>
      </w:pPr>
      <w:r w:rsidRPr="00283C60">
        <w:rPr>
          <w:sz w:val="24"/>
          <w:szCs w:val="24"/>
        </w:rPr>
        <w:t>Alle hjælpestoffer er anført under pkt. 6.1.</w:t>
      </w:r>
    </w:p>
    <w:p w14:paraId="68A55469" w14:textId="77777777" w:rsidR="009260DE" w:rsidRPr="00283C60" w:rsidRDefault="009260DE" w:rsidP="009260DE">
      <w:pPr>
        <w:tabs>
          <w:tab w:val="left" w:pos="851"/>
        </w:tabs>
        <w:ind w:left="851"/>
        <w:rPr>
          <w:sz w:val="24"/>
          <w:szCs w:val="24"/>
        </w:rPr>
      </w:pPr>
    </w:p>
    <w:p w14:paraId="29A429DF" w14:textId="77777777" w:rsidR="009260DE" w:rsidRPr="00283C60" w:rsidRDefault="009260DE" w:rsidP="009260DE">
      <w:pPr>
        <w:tabs>
          <w:tab w:val="left" w:pos="851"/>
        </w:tabs>
        <w:ind w:left="851" w:hanging="851"/>
        <w:rPr>
          <w:b/>
          <w:sz w:val="24"/>
          <w:szCs w:val="24"/>
        </w:rPr>
      </w:pPr>
      <w:r w:rsidRPr="00283C60">
        <w:rPr>
          <w:b/>
          <w:sz w:val="24"/>
          <w:szCs w:val="24"/>
        </w:rPr>
        <w:t>3.</w:t>
      </w:r>
      <w:r w:rsidRPr="00283C60">
        <w:rPr>
          <w:b/>
          <w:sz w:val="24"/>
          <w:szCs w:val="24"/>
        </w:rPr>
        <w:tab/>
        <w:t>LÆGEMIDDELFORM</w:t>
      </w:r>
    </w:p>
    <w:p w14:paraId="1C92ED11" w14:textId="77777777" w:rsidR="00244D23" w:rsidRPr="00283C60" w:rsidRDefault="00244D23" w:rsidP="00393DF8">
      <w:pPr>
        <w:ind w:left="851"/>
        <w:rPr>
          <w:sz w:val="24"/>
          <w:szCs w:val="24"/>
          <w:lang w:eastAsia="fr-LU"/>
        </w:rPr>
      </w:pPr>
      <w:r w:rsidRPr="00283C60">
        <w:rPr>
          <w:sz w:val="24"/>
          <w:szCs w:val="24"/>
        </w:rPr>
        <w:t>Hårde enterokapsler (enterokapsler)</w:t>
      </w:r>
    </w:p>
    <w:p w14:paraId="4B9D6F6E" w14:textId="77777777" w:rsidR="00244D23" w:rsidRPr="00283C60" w:rsidRDefault="00244D23" w:rsidP="00393DF8">
      <w:pPr>
        <w:ind w:left="851"/>
        <w:rPr>
          <w:sz w:val="24"/>
          <w:szCs w:val="24"/>
        </w:rPr>
      </w:pPr>
    </w:p>
    <w:p w14:paraId="71C8A906" w14:textId="1A8358F0" w:rsidR="00244D23" w:rsidRPr="00283C60" w:rsidRDefault="00244D23" w:rsidP="00393DF8">
      <w:pPr>
        <w:ind w:left="851"/>
        <w:rPr>
          <w:sz w:val="24"/>
          <w:szCs w:val="24"/>
          <w:u w:val="single"/>
        </w:rPr>
      </w:pPr>
      <w:proofErr w:type="spellStart"/>
      <w:r w:rsidRPr="00283C60">
        <w:rPr>
          <w:sz w:val="24"/>
          <w:szCs w:val="24"/>
          <w:u w:val="single"/>
        </w:rPr>
        <w:t>Dimethyl</w:t>
      </w:r>
      <w:proofErr w:type="spellEnd"/>
      <w:r w:rsidRPr="00283C60">
        <w:rPr>
          <w:sz w:val="24"/>
          <w:szCs w:val="24"/>
          <w:u w:val="single"/>
        </w:rPr>
        <w:t xml:space="preserve"> </w:t>
      </w:r>
      <w:proofErr w:type="spellStart"/>
      <w:r w:rsidRPr="00283C60">
        <w:rPr>
          <w:sz w:val="24"/>
          <w:szCs w:val="24"/>
          <w:u w:val="single"/>
        </w:rPr>
        <w:t>fumarate</w:t>
      </w:r>
      <w:proofErr w:type="spellEnd"/>
      <w:r w:rsidRPr="00283C60">
        <w:rPr>
          <w:sz w:val="24"/>
          <w:szCs w:val="24"/>
          <w:u w:val="single"/>
        </w:rPr>
        <w:t xml:space="preserve"> </w:t>
      </w:r>
      <w:r w:rsidR="004837F8" w:rsidRPr="00283C60">
        <w:rPr>
          <w:sz w:val="24"/>
          <w:szCs w:val="24"/>
          <w:u w:val="single"/>
        </w:rPr>
        <w:t>"</w:t>
      </w:r>
      <w:proofErr w:type="spellStart"/>
      <w:r w:rsidRPr="00283C60">
        <w:rPr>
          <w:sz w:val="24"/>
          <w:szCs w:val="24"/>
          <w:u w:val="single"/>
        </w:rPr>
        <w:t>Stada</w:t>
      </w:r>
      <w:proofErr w:type="spellEnd"/>
      <w:r w:rsidRPr="00283C60">
        <w:rPr>
          <w:sz w:val="24"/>
          <w:szCs w:val="24"/>
          <w:u w:val="single"/>
        </w:rPr>
        <w:t xml:space="preserve"> Nordic</w:t>
      </w:r>
      <w:r w:rsidR="004837F8" w:rsidRPr="00283C60">
        <w:rPr>
          <w:sz w:val="24"/>
          <w:szCs w:val="24"/>
          <w:u w:val="single"/>
        </w:rPr>
        <w:t>"</w:t>
      </w:r>
      <w:r w:rsidRPr="00283C60">
        <w:rPr>
          <w:sz w:val="24"/>
          <w:szCs w:val="24"/>
          <w:u w:val="single"/>
        </w:rPr>
        <w:t xml:space="preserve"> 120 mg hårde </w:t>
      </w:r>
      <w:r w:rsidR="00E0122E">
        <w:rPr>
          <w:sz w:val="24"/>
          <w:szCs w:val="24"/>
          <w:u w:val="single"/>
        </w:rPr>
        <w:t>entero</w:t>
      </w:r>
      <w:r w:rsidRPr="00283C60">
        <w:rPr>
          <w:sz w:val="24"/>
          <w:szCs w:val="24"/>
          <w:u w:val="single"/>
        </w:rPr>
        <w:t>kapsler</w:t>
      </w:r>
    </w:p>
    <w:p w14:paraId="3A0931C2" w14:textId="2418A6E2" w:rsidR="00244D23" w:rsidRPr="00283C60" w:rsidRDefault="005172A5" w:rsidP="00393DF8">
      <w:pPr>
        <w:ind w:left="851"/>
        <w:rPr>
          <w:sz w:val="24"/>
          <w:szCs w:val="24"/>
        </w:rPr>
      </w:pPr>
      <w:r>
        <w:rPr>
          <w:sz w:val="24"/>
          <w:szCs w:val="24"/>
        </w:rPr>
        <w:t>H</w:t>
      </w:r>
      <w:r w:rsidR="00244D23" w:rsidRPr="00283C60">
        <w:rPr>
          <w:sz w:val="24"/>
          <w:szCs w:val="24"/>
        </w:rPr>
        <w:t xml:space="preserve">ård </w:t>
      </w:r>
      <w:proofErr w:type="spellStart"/>
      <w:r w:rsidR="00244D23" w:rsidRPr="00283C60">
        <w:rPr>
          <w:sz w:val="24"/>
          <w:szCs w:val="24"/>
        </w:rPr>
        <w:t>enterokapsel</w:t>
      </w:r>
      <w:proofErr w:type="spellEnd"/>
      <w:r w:rsidR="00244D23" w:rsidRPr="00283C60">
        <w:rPr>
          <w:sz w:val="24"/>
          <w:szCs w:val="24"/>
        </w:rPr>
        <w:t xml:space="preserve"> (21 mm) med grønt låg og hvid krop påtrykt </w:t>
      </w:r>
      <w:r w:rsidR="004837F8" w:rsidRPr="00283C60">
        <w:rPr>
          <w:sz w:val="24"/>
          <w:szCs w:val="24"/>
        </w:rPr>
        <w:t>"</w:t>
      </w:r>
      <w:r w:rsidR="00244D23" w:rsidRPr="00283C60">
        <w:rPr>
          <w:sz w:val="24"/>
          <w:szCs w:val="24"/>
        </w:rPr>
        <w:t>DMF 120</w:t>
      </w:r>
      <w:r w:rsidR="004837F8" w:rsidRPr="00283C60">
        <w:rPr>
          <w:sz w:val="24"/>
          <w:szCs w:val="24"/>
        </w:rPr>
        <w:t>"</w:t>
      </w:r>
      <w:r w:rsidR="00244D23" w:rsidRPr="00283C60">
        <w:rPr>
          <w:sz w:val="24"/>
          <w:szCs w:val="24"/>
        </w:rPr>
        <w:t xml:space="preserve"> med sort blæk.</w:t>
      </w:r>
    </w:p>
    <w:p w14:paraId="0DC6AC95" w14:textId="77777777" w:rsidR="00244D23" w:rsidRPr="00283C60" w:rsidRDefault="00244D23" w:rsidP="00393DF8">
      <w:pPr>
        <w:ind w:left="851"/>
        <w:rPr>
          <w:sz w:val="24"/>
          <w:szCs w:val="24"/>
        </w:rPr>
      </w:pPr>
    </w:p>
    <w:p w14:paraId="19D78016" w14:textId="78FF7DC1" w:rsidR="00244D23" w:rsidRPr="00283C60" w:rsidRDefault="00244D23" w:rsidP="00393DF8">
      <w:pPr>
        <w:ind w:left="851"/>
        <w:rPr>
          <w:sz w:val="24"/>
          <w:szCs w:val="24"/>
          <w:u w:val="single"/>
        </w:rPr>
      </w:pPr>
      <w:proofErr w:type="spellStart"/>
      <w:r w:rsidRPr="00283C60">
        <w:rPr>
          <w:sz w:val="24"/>
          <w:szCs w:val="24"/>
          <w:u w:val="single"/>
        </w:rPr>
        <w:t>Dimethyl</w:t>
      </w:r>
      <w:proofErr w:type="spellEnd"/>
      <w:r w:rsidRPr="00283C60">
        <w:rPr>
          <w:sz w:val="24"/>
          <w:szCs w:val="24"/>
          <w:u w:val="single"/>
        </w:rPr>
        <w:t xml:space="preserve"> </w:t>
      </w:r>
      <w:proofErr w:type="spellStart"/>
      <w:r w:rsidRPr="00283C60">
        <w:rPr>
          <w:sz w:val="24"/>
          <w:szCs w:val="24"/>
          <w:u w:val="single"/>
        </w:rPr>
        <w:t>fumarate</w:t>
      </w:r>
      <w:proofErr w:type="spellEnd"/>
      <w:r w:rsidRPr="00283C60">
        <w:rPr>
          <w:sz w:val="24"/>
          <w:szCs w:val="24"/>
          <w:u w:val="single"/>
        </w:rPr>
        <w:t xml:space="preserve"> </w:t>
      </w:r>
      <w:r w:rsidR="004837F8" w:rsidRPr="00283C60">
        <w:rPr>
          <w:sz w:val="24"/>
          <w:szCs w:val="24"/>
          <w:u w:val="single"/>
        </w:rPr>
        <w:t>"</w:t>
      </w:r>
      <w:proofErr w:type="spellStart"/>
      <w:r w:rsidRPr="00283C60">
        <w:rPr>
          <w:sz w:val="24"/>
          <w:szCs w:val="24"/>
          <w:u w:val="single"/>
        </w:rPr>
        <w:t>Stada</w:t>
      </w:r>
      <w:proofErr w:type="spellEnd"/>
      <w:r w:rsidRPr="00283C60">
        <w:rPr>
          <w:sz w:val="24"/>
          <w:szCs w:val="24"/>
          <w:u w:val="single"/>
        </w:rPr>
        <w:t xml:space="preserve"> Nordic</w:t>
      </w:r>
      <w:r w:rsidR="004837F8" w:rsidRPr="00283C60">
        <w:rPr>
          <w:sz w:val="24"/>
          <w:szCs w:val="24"/>
          <w:u w:val="single"/>
        </w:rPr>
        <w:t>"</w:t>
      </w:r>
      <w:r w:rsidRPr="00283C60">
        <w:rPr>
          <w:sz w:val="24"/>
          <w:szCs w:val="24"/>
          <w:u w:val="single"/>
        </w:rPr>
        <w:t xml:space="preserve"> 240 mg hårde</w:t>
      </w:r>
      <w:r w:rsidR="00E0122E">
        <w:rPr>
          <w:sz w:val="24"/>
          <w:szCs w:val="24"/>
          <w:u w:val="single"/>
        </w:rPr>
        <w:t xml:space="preserve"> entero</w:t>
      </w:r>
      <w:r w:rsidRPr="00283C60">
        <w:rPr>
          <w:sz w:val="24"/>
          <w:szCs w:val="24"/>
          <w:u w:val="single"/>
        </w:rPr>
        <w:t>kapsler</w:t>
      </w:r>
    </w:p>
    <w:p w14:paraId="7B59890E" w14:textId="4B0B64F3" w:rsidR="00244D23" w:rsidRPr="00283C60" w:rsidRDefault="005172A5" w:rsidP="00393DF8">
      <w:pPr>
        <w:ind w:left="851"/>
        <w:rPr>
          <w:sz w:val="24"/>
          <w:szCs w:val="24"/>
        </w:rPr>
      </w:pPr>
      <w:r>
        <w:rPr>
          <w:sz w:val="24"/>
          <w:szCs w:val="24"/>
        </w:rPr>
        <w:t>H</w:t>
      </w:r>
      <w:r w:rsidR="00244D23" w:rsidRPr="00283C60">
        <w:rPr>
          <w:sz w:val="24"/>
          <w:szCs w:val="24"/>
        </w:rPr>
        <w:t xml:space="preserve">ård </w:t>
      </w:r>
      <w:proofErr w:type="spellStart"/>
      <w:r w:rsidR="00244D23" w:rsidRPr="00283C60">
        <w:rPr>
          <w:sz w:val="24"/>
          <w:szCs w:val="24"/>
        </w:rPr>
        <w:t>enterokapsel</w:t>
      </w:r>
      <w:proofErr w:type="spellEnd"/>
      <w:r w:rsidR="00244D23" w:rsidRPr="00283C60">
        <w:rPr>
          <w:sz w:val="24"/>
          <w:szCs w:val="24"/>
        </w:rPr>
        <w:t xml:space="preserve"> (23 mm) med grønt låg og krop påtrykt </w:t>
      </w:r>
      <w:r w:rsidR="004837F8" w:rsidRPr="00283C60">
        <w:rPr>
          <w:sz w:val="24"/>
          <w:szCs w:val="24"/>
        </w:rPr>
        <w:t>"</w:t>
      </w:r>
      <w:r w:rsidR="00244D23" w:rsidRPr="00283C60">
        <w:rPr>
          <w:sz w:val="24"/>
          <w:szCs w:val="24"/>
        </w:rPr>
        <w:t>DMF 240</w:t>
      </w:r>
      <w:r w:rsidR="004837F8" w:rsidRPr="00283C60">
        <w:rPr>
          <w:sz w:val="24"/>
          <w:szCs w:val="24"/>
        </w:rPr>
        <w:t>"</w:t>
      </w:r>
      <w:r w:rsidR="00244D23" w:rsidRPr="00283C60">
        <w:rPr>
          <w:sz w:val="24"/>
          <w:szCs w:val="24"/>
        </w:rPr>
        <w:t xml:space="preserve"> med sort blæk.</w:t>
      </w:r>
    </w:p>
    <w:p w14:paraId="502FB08E" w14:textId="77777777" w:rsidR="009260DE" w:rsidRPr="00283C60" w:rsidRDefault="009260DE" w:rsidP="009260DE">
      <w:pPr>
        <w:tabs>
          <w:tab w:val="left" w:pos="851"/>
        </w:tabs>
        <w:ind w:left="851"/>
        <w:rPr>
          <w:sz w:val="24"/>
          <w:szCs w:val="24"/>
        </w:rPr>
      </w:pPr>
    </w:p>
    <w:p w14:paraId="50950882" w14:textId="77777777" w:rsidR="009260DE" w:rsidRPr="00283C60" w:rsidRDefault="009260DE" w:rsidP="009260DE">
      <w:pPr>
        <w:tabs>
          <w:tab w:val="left" w:pos="851"/>
        </w:tabs>
        <w:ind w:left="851"/>
        <w:rPr>
          <w:sz w:val="24"/>
          <w:szCs w:val="24"/>
        </w:rPr>
      </w:pPr>
    </w:p>
    <w:p w14:paraId="007443AA" w14:textId="77777777" w:rsidR="009260DE" w:rsidRPr="00283C60" w:rsidRDefault="009260DE" w:rsidP="009260DE">
      <w:pPr>
        <w:tabs>
          <w:tab w:val="left" w:pos="851"/>
        </w:tabs>
        <w:ind w:left="851" w:hanging="851"/>
        <w:rPr>
          <w:b/>
          <w:sz w:val="24"/>
          <w:szCs w:val="24"/>
        </w:rPr>
      </w:pPr>
      <w:r w:rsidRPr="00283C60">
        <w:rPr>
          <w:b/>
          <w:sz w:val="24"/>
          <w:szCs w:val="24"/>
        </w:rPr>
        <w:t>4.</w:t>
      </w:r>
      <w:r w:rsidRPr="00283C60">
        <w:rPr>
          <w:b/>
          <w:sz w:val="24"/>
          <w:szCs w:val="24"/>
        </w:rPr>
        <w:tab/>
        <w:t>KLINISKE OPLYSNINGER</w:t>
      </w:r>
    </w:p>
    <w:p w14:paraId="07547B79" w14:textId="77777777" w:rsidR="009260DE" w:rsidRPr="00283C60" w:rsidRDefault="009260DE" w:rsidP="009260DE">
      <w:pPr>
        <w:tabs>
          <w:tab w:val="left" w:pos="851"/>
        </w:tabs>
        <w:ind w:left="851"/>
        <w:rPr>
          <w:b/>
          <w:sz w:val="24"/>
          <w:szCs w:val="24"/>
        </w:rPr>
      </w:pPr>
    </w:p>
    <w:p w14:paraId="4F11729A" w14:textId="77777777" w:rsidR="009260DE" w:rsidRPr="00283C60" w:rsidRDefault="009260DE" w:rsidP="009260DE">
      <w:pPr>
        <w:tabs>
          <w:tab w:val="left" w:pos="851"/>
        </w:tabs>
        <w:ind w:left="851" w:hanging="851"/>
        <w:rPr>
          <w:b/>
          <w:sz w:val="24"/>
          <w:szCs w:val="24"/>
          <w:u w:val="single"/>
        </w:rPr>
      </w:pPr>
      <w:r w:rsidRPr="00283C60">
        <w:rPr>
          <w:b/>
          <w:sz w:val="24"/>
          <w:szCs w:val="24"/>
        </w:rPr>
        <w:t>4.1</w:t>
      </w:r>
      <w:r w:rsidRPr="00283C60">
        <w:rPr>
          <w:b/>
          <w:sz w:val="24"/>
          <w:szCs w:val="24"/>
        </w:rPr>
        <w:tab/>
        <w:t>Terapeutiske indikationer</w:t>
      </w:r>
    </w:p>
    <w:p w14:paraId="24FB524E" w14:textId="399AEC7E" w:rsidR="00244D23" w:rsidRPr="00283C60" w:rsidRDefault="00244D23" w:rsidP="00393DF8">
      <w:pPr>
        <w:ind w:left="851"/>
        <w:rPr>
          <w:sz w:val="24"/>
          <w:szCs w:val="24"/>
        </w:rPr>
      </w:pPr>
      <w:proofErr w:type="spellStart"/>
      <w:r w:rsidRPr="00283C60">
        <w:rPr>
          <w:sz w:val="24"/>
          <w:szCs w:val="24"/>
        </w:rPr>
        <w:t>Dimethyl</w:t>
      </w:r>
      <w:proofErr w:type="spellEnd"/>
      <w:r w:rsidRPr="00283C60">
        <w:rPr>
          <w:sz w:val="24"/>
          <w:szCs w:val="24"/>
        </w:rPr>
        <w:t xml:space="preserve"> </w:t>
      </w:r>
      <w:proofErr w:type="spellStart"/>
      <w:r w:rsidRPr="00283C60">
        <w:rPr>
          <w:sz w:val="24"/>
          <w:szCs w:val="24"/>
        </w:rPr>
        <w:t>fumarate</w:t>
      </w:r>
      <w:proofErr w:type="spellEnd"/>
      <w:r w:rsidRPr="00283C60">
        <w:rPr>
          <w:sz w:val="24"/>
          <w:szCs w:val="24"/>
        </w:rPr>
        <w:t xml:space="preserve"> </w:t>
      </w:r>
      <w:r w:rsidR="004837F8" w:rsidRPr="00283C60">
        <w:rPr>
          <w:sz w:val="24"/>
          <w:szCs w:val="24"/>
        </w:rPr>
        <w:t>"</w:t>
      </w:r>
      <w:proofErr w:type="spellStart"/>
      <w:r w:rsidRPr="00283C60">
        <w:rPr>
          <w:sz w:val="24"/>
          <w:szCs w:val="24"/>
        </w:rPr>
        <w:t>Stada</w:t>
      </w:r>
      <w:proofErr w:type="spellEnd"/>
      <w:r w:rsidRPr="00283C60">
        <w:rPr>
          <w:sz w:val="24"/>
          <w:szCs w:val="24"/>
        </w:rPr>
        <w:t xml:space="preserve"> Nordic</w:t>
      </w:r>
      <w:r w:rsidR="004837F8" w:rsidRPr="00283C60">
        <w:rPr>
          <w:sz w:val="24"/>
          <w:szCs w:val="24"/>
        </w:rPr>
        <w:t>"</w:t>
      </w:r>
      <w:r w:rsidRPr="00283C60">
        <w:rPr>
          <w:sz w:val="24"/>
          <w:szCs w:val="24"/>
        </w:rPr>
        <w:t xml:space="preserve"> er indiceret til behandling af voksne og pædiatriske patienter i alderen 13 år og derover med </w:t>
      </w:r>
      <w:proofErr w:type="spellStart"/>
      <w:r w:rsidRPr="00283C60">
        <w:rPr>
          <w:sz w:val="24"/>
          <w:szCs w:val="24"/>
        </w:rPr>
        <w:t>relapsing</w:t>
      </w:r>
      <w:proofErr w:type="spellEnd"/>
      <w:r w:rsidRPr="00283C60">
        <w:rPr>
          <w:sz w:val="24"/>
          <w:szCs w:val="24"/>
        </w:rPr>
        <w:t>-remitterende multipel sklerose (RRMS).</w:t>
      </w:r>
    </w:p>
    <w:p w14:paraId="4F6F4529" w14:textId="650E4242" w:rsidR="00283C60" w:rsidRDefault="00283C60">
      <w:pPr>
        <w:rPr>
          <w:sz w:val="24"/>
          <w:szCs w:val="24"/>
        </w:rPr>
      </w:pPr>
      <w:r>
        <w:rPr>
          <w:sz w:val="24"/>
          <w:szCs w:val="24"/>
        </w:rPr>
        <w:br w:type="page"/>
      </w:r>
    </w:p>
    <w:p w14:paraId="6F10C0F4" w14:textId="77777777" w:rsidR="009260DE" w:rsidRPr="00283C60" w:rsidRDefault="009260DE" w:rsidP="009260DE">
      <w:pPr>
        <w:tabs>
          <w:tab w:val="left" w:pos="851"/>
        </w:tabs>
        <w:ind w:left="851"/>
        <w:rPr>
          <w:sz w:val="24"/>
          <w:szCs w:val="24"/>
        </w:rPr>
      </w:pPr>
    </w:p>
    <w:p w14:paraId="7ABD07F0" w14:textId="77777777" w:rsidR="009260DE" w:rsidRPr="00283C60" w:rsidRDefault="009260DE" w:rsidP="009260DE">
      <w:pPr>
        <w:tabs>
          <w:tab w:val="left" w:pos="851"/>
        </w:tabs>
        <w:ind w:left="851" w:hanging="851"/>
        <w:rPr>
          <w:b/>
          <w:sz w:val="24"/>
          <w:szCs w:val="24"/>
        </w:rPr>
      </w:pPr>
      <w:r w:rsidRPr="00283C60">
        <w:rPr>
          <w:b/>
          <w:sz w:val="24"/>
          <w:szCs w:val="24"/>
        </w:rPr>
        <w:t>4.2</w:t>
      </w:r>
      <w:r w:rsidRPr="00283C60">
        <w:rPr>
          <w:b/>
          <w:sz w:val="24"/>
          <w:szCs w:val="24"/>
        </w:rPr>
        <w:tab/>
        <w:t xml:space="preserve">Dosering og </w:t>
      </w:r>
      <w:r w:rsidR="002C1EC0" w:rsidRPr="00283C60">
        <w:rPr>
          <w:b/>
          <w:sz w:val="24"/>
          <w:szCs w:val="24"/>
        </w:rPr>
        <w:t>administration</w:t>
      </w:r>
    </w:p>
    <w:p w14:paraId="52499754" w14:textId="77777777" w:rsidR="00244D23" w:rsidRPr="00283C60" w:rsidRDefault="00244D23" w:rsidP="00393DF8">
      <w:pPr>
        <w:ind w:left="851"/>
        <w:rPr>
          <w:sz w:val="24"/>
          <w:szCs w:val="24"/>
        </w:rPr>
      </w:pPr>
      <w:r w:rsidRPr="00283C60">
        <w:rPr>
          <w:sz w:val="24"/>
          <w:szCs w:val="24"/>
        </w:rPr>
        <w:t>Behandling skal påbegyndes under supervision af en læge med erfaring i behandling af multipel sklerose.</w:t>
      </w:r>
    </w:p>
    <w:p w14:paraId="6C3F413D" w14:textId="77777777" w:rsidR="00244D23" w:rsidRPr="00283C60" w:rsidRDefault="00244D23" w:rsidP="00393DF8">
      <w:pPr>
        <w:ind w:left="851"/>
        <w:rPr>
          <w:sz w:val="24"/>
          <w:szCs w:val="24"/>
          <w:lang w:eastAsia="fr-LU"/>
        </w:rPr>
      </w:pPr>
    </w:p>
    <w:p w14:paraId="51B6A530" w14:textId="77777777" w:rsidR="00244D23" w:rsidRPr="00283C60" w:rsidRDefault="00244D23" w:rsidP="00393DF8">
      <w:pPr>
        <w:ind w:left="851"/>
        <w:rPr>
          <w:sz w:val="24"/>
          <w:szCs w:val="24"/>
          <w:u w:val="single"/>
        </w:rPr>
      </w:pPr>
      <w:r w:rsidRPr="00283C60">
        <w:rPr>
          <w:sz w:val="24"/>
          <w:szCs w:val="24"/>
          <w:u w:val="single"/>
        </w:rPr>
        <w:t>Dosering</w:t>
      </w:r>
    </w:p>
    <w:p w14:paraId="66EC0F28" w14:textId="77777777" w:rsidR="00244D23" w:rsidRPr="00283C60" w:rsidRDefault="00244D23" w:rsidP="00393DF8">
      <w:pPr>
        <w:ind w:left="851"/>
        <w:rPr>
          <w:sz w:val="24"/>
          <w:szCs w:val="24"/>
        </w:rPr>
      </w:pPr>
      <w:r w:rsidRPr="00283C60">
        <w:rPr>
          <w:sz w:val="24"/>
          <w:szCs w:val="24"/>
        </w:rPr>
        <w:t>Startdosis er 120 mg to gange dagligt. Efter 7 dage øges dosis til den anbefalede vedligeholdelsesdosis på 240</w:t>
      </w:r>
      <w:r w:rsidRPr="00283C60">
        <w:rPr>
          <w:spacing w:val="-3"/>
          <w:sz w:val="24"/>
          <w:szCs w:val="24"/>
        </w:rPr>
        <w:t xml:space="preserve"> mg </w:t>
      </w:r>
      <w:r w:rsidRPr="00283C60">
        <w:rPr>
          <w:sz w:val="24"/>
          <w:szCs w:val="24"/>
        </w:rPr>
        <w:t>to gange dagligt</w:t>
      </w:r>
      <w:r w:rsidRPr="00283C60">
        <w:rPr>
          <w:spacing w:val="-4"/>
          <w:sz w:val="24"/>
          <w:szCs w:val="24"/>
        </w:rPr>
        <w:t xml:space="preserve"> </w:t>
      </w:r>
      <w:r w:rsidRPr="00283C60">
        <w:rPr>
          <w:sz w:val="24"/>
          <w:szCs w:val="24"/>
        </w:rPr>
        <w:t>(se pkt. 4.4).</w:t>
      </w:r>
    </w:p>
    <w:p w14:paraId="090E60E1" w14:textId="77777777" w:rsidR="00244D23" w:rsidRPr="00283C60" w:rsidRDefault="00244D23" w:rsidP="00393DF8">
      <w:pPr>
        <w:ind w:left="851"/>
        <w:rPr>
          <w:sz w:val="24"/>
          <w:szCs w:val="24"/>
        </w:rPr>
      </w:pPr>
    </w:p>
    <w:p w14:paraId="07A74812" w14:textId="77777777" w:rsidR="00244D23" w:rsidRPr="00283C60" w:rsidRDefault="00244D23" w:rsidP="00393DF8">
      <w:pPr>
        <w:ind w:left="851"/>
        <w:rPr>
          <w:sz w:val="24"/>
          <w:szCs w:val="24"/>
        </w:rPr>
      </w:pPr>
      <w:r w:rsidRPr="00283C60">
        <w:rPr>
          <w:sz w:val="24"/>
          <w:szCs w:val="24"/>
        </w:rPr>
        <w:t>Hvis en patient glemmer en dosis, må der ikke tages en dobbeltdosis. Patienten må kun tage den</w:t>
      </w:r>
      <w:r w:rsidRPr="00283C60">
        <w:rPr>
          <w:spacing w:val="1"/>
          <w:sz w:val="24"/>
          <w:szCs w:val="24"/>
        </w:rPr>
        <w:t xml:space="preserve"> </w:t>
      </w:r>
      <w:r w:rsidRPr="00283C60">
        <w:rPr>
          <w:sz w:val="24"/>
          <w:szCs w:val="24"/>
        </w:rPr>
        <w:t xml:space="preserve">glemte dosis, hvis doserne kan tages med 4 timers mellemrum. Ellers skal patienten vente indtil den </w:t>
      </w:r>
      <w:r w:rsidRPr="00283C60">
        <w:rPr>
          <w:spacing w:val="-52"/>
          <w:sz w:val="24"/>
          <w:szCs w:val="24"/>
        </w:rPr>
        <w:t xml:space="preserve">  </w:t>
      </w:r>
      <w:r w:rsidRPr="00283C60">
        <w:rPr>
          <w:sz w:val="24"/>
          <w:szCs w:val="24"/>
        </w:rPr>
        <w:t>næste planlagte</w:t>
      </w:r>
      <w:r w:rsidRPr="00283C60">
        <w:rPr>
          <w:spacing w:val="-2"/>
          <w:sz w:val="24"/>
          <w:szCs w:val="24"/>
        </w:rPr>
        <w:t xml:space="preserve"> </w:t>
      </w:r>
      <w:r w:rsidRPr="00283C60">
        <w:rPr>
          <w:sz w:val="24"/>
          <w:szCs w:val="24"/>
        </w:rPr>
        <w:t>dosis.</w:t>
      </w:r>
    </w:p>
    <w:p w14:paraId="37849416" w14:textId="77777777" w:rsidR="00244D23" w:rsidRPr="00283C60" w:rsidRDefault="00244D23" w:rsidP="00393DF8">
      <w:pPr>
        <w:ind w:left="851"/>
        <w:rPr>
          <w:sz w:val="24"/>
          <w:szCs w:val="24"/>
        </w:rPr>
      </w:pPr>
    </w:p>
    <w:p w14:paraId="7431D6A6" w14:textId="2F5E70CB" w:rsidR="00244D23" w:rsidRPr="00283C60" w:rsidRDefault="00244D23" w:rsidP="00393DF8">
      <w:pPr>
        <w:ind w:left="851"/>
        <w:rPr>
          <w:sz w:val="24"/>
          <w:szCs w:val="24"/>
        </w:rPr>
      </w:pPr>
      <w:r w:rsidRPr="00283C60">
        <w:rPr>
          <w:sz w:val="24"/>
          <w:szCs w:val="24"/>
        </w:rPr>
        <w:t>En midlertidig dosisreduktion til 120 mg to gange dagligt kan reducere forekomsten af rødme og</w:t>
      </w:r>
      <w:r w:rsidRPr="00283C60">
        <w:rPr>
          <w:spacing w:val="1"/>
          <w:sz w:val="24"/>
          <w:szCs w:val="24"/>
        </w:rPr>
        <w:t xml:space="preserve"> </w:t>
      </w:r>
      <w:proofErr w:type="spellStart"/>
      <w:r w:rsidRPr="00283C60">
        <w:rPr>
          <w:sz w:val="24"/>
          <w:szCs w:val="24"/>
        </w:rPr>
        <w:t>gastrointestinale</w:t>
      </w:r>
      <w:proofErr w:type="spellEnd"/>
      <w:r w:rsidRPr="00283C60">
        <w:rPr>
          <w:sz w:val="24"/>
          <w:szCs w:val="24"/>
        </w:rPr>
        <w:t xml:space="preserve"> bivirkninger. Den anbefalede vedligeholdelsesdosis på 240 mg to gange dagligt bør</w:t>
      </w:r>
      <w:r w:rsidR="004837F8" w:rsidRPr="00283C60">
        <w:rPr>
          <w:sz w:val="24"/>
          <w:szCs w:val="24"/>
        </w:rPr>
        <w:t xml:space="preserve"> g</w:t>
      </w:r>
      <w:r w:rsidRPr="00283C60">
        <w:rPr>
          <w:sz w:val="24"/>
          <w:szCs w:val="24"/>
        </w:rPr>
        <w:t>enoptages</w:t>
      </w:r>
      <w:r w:rsidRPr="00283C60">
        <w:rPr>
          <w:spacing w:val="-1"/>
          <w:sz w:val="24"/>
          <w:szCs w:val="24"/>
        </w:rPr>
        <w:t xml:space="preserve"> </w:t>
      </w:r>
      <w:r w:rsidRPr="00283C60">
        <w:rPr>
          <w:sz w:val="24"/>
          <w:szCs w:val="24"/>
        </w:rPr>
        <w:t>inden</w:t>
      </w:r>
      <w:r w:rsidRPr="00283C60">
        <w:rPr>
          <w:spacing w:val="-3"/>
          <w:sz w:val="24"/>
          <w:szCs w:val="24"/>
        </w:rPr>
        <w:t xml:space="preserve"> </w:t>
      </w:r>
      <w:r w:rsidRPr="00283C60">
        <w:rPr>
          <w:sz w:val="24"/>
          <w:szCs w:val="24"/>
        </w:rPr>
        <w:t>for</w:t>
      </w:r>
      <w:r w:rsidRPr="00283C60">
        <w:rPr>
          <w:spacing w:val="1"/>
          <w:sz w:val="24"/>
          <w:szCs w:val="24"/>
        </w:rPr>
        <w:t xml:space="preserve"> </w:t>
      </w:r>
      <w:r w:rsidRPr="00283C60">
        <w:rPr>
          <w:sz w:val="24"/>
          <w:szCs w:val="24"/>
        </w:rPr>
        <w:t>1</w:t>
      </w:r>
      <w:r w:rsidRPr="00283C60">
        <w:rPr>
          <w:spacing w:val="-2"/>
          <w:sz w:val="24"/>
          <w:szCs w:val="24"/>
        </w:rPr>
        <w:t> </w:t>
      </w:r>
      <w:r w:rsidRPr="00283C60">
        <w:rPr>
          <w:sz w:val="24"/>
          <w:szCs w:val="24"/>
        </w:rPr>
        <w:t xml:space="preserve">måned. </w:t>
      </w:r>
    </w:p>
    <w:p w14:paraId="37048329" w14:textId="77777777" w:rsidR="00244D23" w:rsidRPr="00283C60" w:rsidRDefault="00244D23" w:rsidP="00393DF8">
      <w:pPr>
        <w:ind w:left="851"/>
        <w:rPr>
          <w:sz w:val="24"/>
          <w:szCs w:val="24"/>
        </w:rPr>
      </w:pPr>
    </w:p>
    <w:p w14:paraId="43288241" w14:textId="15D20222" w:rsidR="00244D23" w:rsidRPr="00283C60" w:rsidRDefault="00244D23" w:rsidP="00393DF8">
      <w:pPr>
        <w:ind w:left="851"/>
        <w:rPr>
          <w:sz w:val="24"/>
          <w:szCs w:val="24"/>
        </w:rPr>
      </w:pPr>
      <w:proofErr w:type="spellStart"/>
      <w:r w:rsidRPr="00283C60">
        <w:rPr>
          <w:sz w:val="24"/>
          <w:szCs w:val="24"/>
        </w:rPr>
        <w:t>Dimethyl</w:t>
      </w:r>
      <w:proofErr w:type="spellEnd"/>
      <w:r w:rsidRPr="00283C60">
        <w:rPr>
          <w:sz w:val="24"/>
          <w:szCs w:val="24"/>
        </w:rPr>
        <w:t xml:space="preserve"> </w:t>
      </w:r>
      <w:proofErr w:type="spellStart"/>
      <w:r w:rsidRPr="00283C60">
        <w:rPr>
          <w:sz w:val="24"/>
          <w:szCs w:val="24"/>
        </w:rPr>
        <w:t>fumarate</w:t>
      </w:r>
      <w:proofErr w:type="spellEnd"/>
      <w:r w:rsidRPr="00283C60">
        <w:rPr>
          <w:sz w:val="24"/>
          <w:szCs w:val="24"/>
        </w:rPr>
        <w:t xml:space="preserve"> </w:t>
      </w:r>
      <w:r w:rsidR="004837F8" w:rsidRPr="00283C60">
        <w:rPr>
          <w:sz w:val="24"/>
          <w:szCs w:val="24"/>
        </w:rPr>
        <w:t>"</w:t>
      </w:r>
      <w:proofErr w:type="spellStart"/>
      <w:r w:rsidRPr="00283C60">
        <w:rPr>
          <w:sz w:val="24"/>
          <w:szCs w:val="24"/>
        </w:rPr>
        <w:t>Stada</w:t>
      </w:r>
      <w:proofErr w:type="spellEnd"/>
      <w:r w:rsidRPr="00283C60">
        <w:rPr>
          <w:sz w:val="24"/>
          <w:szCs w:val="24"/>
        </w:rPr>
        <w:t xml:space="preserve"> Nordic</w:t>
      </w:r>
      <w:r w:rsidR="004837F8" w:rsidRPr="00283C60">
        <w:rPr>
          <w:sz w:val="24"/>
          <w:szCs w:val="24"/>
        </w:rPr>
        <w:t>"</w:t>
      </w:r>
      <w:r w:rsidRPr="00283C60">
        <w:rPr>
          <w:sz w:val="24"/>
          <w:szCs w:val="24"/>
        </w:rPr>
        <w:t xml:space="preserve"> skal tages sammen med mad (se pkt. 5.2). Hos de patienter, der måtte opleve rødme eller</w:t>
      </w:r>
      <w:r w:rsidRPr="00283C60">
        <w:rPr>
          <w:spacing w:val="1"/>
          <w:sz w:val="24"/>
          <w:szCs w:val="24"/>
        </w:rPr>
        <w:t xml:space="preserve"> </w:t>
      </w:r>
      <w:proofErr w:type="spellStart"/>
      <w:r w:rsidRPr="00283C60">
        <w:rPr>
          <w:sz w:val="24"/>
          <w:szCs w:val="24"/>
        </w:rPr>
        <w:t>gastrointestinale</w:t>
      </w:r>
      <w:proofErr w:type="spellEnd"/>
      <w:r w:rsidRPr="00283C60">
        <w:rPr>
          <w:sz w:val="24"/>
          <w:szCs w:val="24"/>
        </w:rPr>
        <w:t xml:space="preserve"> bivirkninger, kan indtagelse af </w:t>
      </w:r>
      <w:proofErr w:type="spellStart"/>
      <w:r w:rsidRPr="00283C60">
        <w:rPr>
          <w:sz w:val="24"/>
          <w:szCs w:val="24"/>
        </w:rPr>
        <w:t>Dimethyl</w:t>
      </w:r>
      <w:proofErr w:type="spellEnd"/>
      <w:r w:rsidRPr="00283C60">
        <w:rPr>
          <w:sz w:val="24"/>
          <w:szCs w:val="24"/>
        </w:rPr>
        <w:t xml:space="preserve"> </w:t>
      </w:r>
      <w:proofErr w:type="spellStart"/>
      <w:r w:rsidRPr="00283C60">
        <w:rPr>
          <w:sz w:val="24"/>
          <w:szCs w:val="24"/>
        </w:rPr>
        <w:t>fumarate</w:t>
      </w:r>
      <w:proofErr w:type="spellEnd"/>
      <w:r w:rsidRPr="00283C60">
        <w:rPr>
          <w:sz w:val="24"/>
          <w:szCs w:val="24"/>
        </w:rPr>
        <w:t xml:space="preserve"> </w:t>
      </w:r>
      <w:r w:rsidR="004837F8" w:rsidRPr="00283C60">
        <w:rPr>
          <w:sz w:val="24"/>
          <w:szCs w:val="24"/>
        </w:rPr>
        <w:t>"</w:t>
      </w:r>
      <w:proofErr w:type="spellStart"/>
      <w:r w:rsidRPr="00283C60">
        <w:rPr>
          <w:sz w:val="24"/>
          <w:szCs w:val="24"/>
        </w:rPr>
        <w:t>Stada</w:t>
      </w:r>
      <w:proofErr w:type="spellEnd"/>
      <w:r w:rsidRPr="00283C60">
        <w:rPr>
          <w:sz w:val="24"/>
          <w:szCs w:val="24"/>
        </w:rPr>
        <w:t xml:space="preserve"> Nordic</w:t>
      </w:r>
      <w:r w:rsidR="004837F8" w:rsidRPr="00283C60">
        <w:rPr>
          <w:sz w:val="24"/>
          <w:szCs w:val="24"/>
        </w:rPr>
        <w:t>"</w:t>
      </w:r>
      <w:r w:rsidRPr="00283C60">
        <w:rPr>
          <w:sz w:val="24"/>
          <w:szCs w:val="24"/>
        </w:rPr>
        <w:t xml:space="preserve"> sammen med mad forbedre tolerancen (se</w:t>
      </w:r>
      <w:r w:rsidRPr="00283C60">
        <w:rPr>
          <w:spacing w:val="-52"/>
          <w:sz w:val="24"/>
          <w:szCs w:val="24"/>
        </w:rPr>
        <w:t xml:space="preserve"> </w:t>
      </w:r>
      <w:r w:rsidRPr="00283C60">
        <w:rPr>
          <w:sz w:val="24"/>
          <w:szCs w:val="24"/>
        </w:rPr>
        <w:t>pkt. 4.4, 4.5 og</w:t>
      </w:r>
      <w:r w:rsidRPr="00283C60">
        <w:rPr>
          <w:spacing w:val="-3"/>
          <w:sz w:val="24"/>
          <w:szCs w:val="24"/>
        </w:rPr>
        <w:t xml:space="preserve"> </w:t>
      </w:r>
      <w:r w:rsidRPr="00283C60">
        <w:rPr>
          <w:sz w:val="24"/>
          <w:szCs w:val="24"/>
        </w:rPr>
        <w:t>4.8).</w:t>
      </w:r>
    </w:p>
    <w:p w14:paraId="0419C099" w14:textId="77777777" w:rsidR="00244D23" w:rsidRPr="00283C60" w:rsidRDefault="00244D23" w:rsidP="00393DF8">
      <w:pPr>
        <w:ind w:left="851"/>
        <w:rPr>
          <w:sz w:val="24"/>
          <w:szCs w:val="24"/>
          <w:u w:val="single"/>
        </w:rPr>
      </w:pPr>
    </w:p>
    <w:p w14:paraId="6AFE5DE9" w14:textId="77777777" w:rsidR="00244D23" w:rsidRPr="00283C60" w:rsidRDefault="00244D23" w:rsidP="00393DF8">
      <w:pPr>
        <w:ind w:left="851"/>
        <w:rPr>
          <w:i/>
          <w:sz w:val="24"/>
          <w:szCs w:val="24"/>
        </w:rPr>
      </w:pPr>
      <w:r w:rsidRPr="00283C60">
        <w:rPr>
          <w:i/>
          <w:sz w:val="24"/>
          <w:szCs w:val="24"/>
        </w:rPr>
        <w:t>Særlige populationer</w:t>
      </w:r>
    </w:p>
    <w:p w14:paraId="3B65938E" w14:textId="77777777" w:rsidR="00244D23" w:rsidRPr="00283C60" w:rsidRDefault="00244D23" w:rsidP="00393DF8">
      <w:pPr>
        <w:ind w:left="851"/>
        <w:rPr>
          <w:i/>
          <w:spacing w:val="-52"/>
          <w:sz w:val="24"/>
          <w:szCs w:val="24"/>
          <w:lang w:eastAsia="fr-LU"/>
        </w:rPr>
      </w:pPr>
    </w:p>
    <w:p w14:paraId="42DA753E" w14:textId="5519DEA8" w:rsidR="00244D23" w:rsidRPr="00283C60" w:rsidRDefault="00244D23" w:rsidP="00393DF8">
      <w:pPr>
        <w:ind w:left="851"/>
        <w:rPr>
          <w:i/>
          <w:sz w:val="24"/>
          <w:szCs w:val="24"/>
        </w:rPr>
      </w:pPr>
      <w:r w:rsidRPr="00283C60">
        <w:rPr>
          <w:i/>
          <w:sz w:val="24"/>
          <w:szCs w:val="24"/>
        </w:rPr>
        <w:t>Ældre</w:t>
      </w:r>
    </w:p>
    <w:p w14:paraId="51D0B060" w14:textId="77777777" w:rsidR="00244D23" w:rsidRPr="00283C60" w:rsidRDefault="00244D23" w:rsidP="00393DF8">
      <w:pPr>
        <w:ind w:left="851"/>
        <w:rPr>
          <w:sz w:val="24"/>
          <w:szCs w:val="24"/>
        </w:rPr>
      </w:pPr>
      <w:r w:rsidRPr="00283C60">
        <w:rPr>
          <w:sz w:val="24"/>
          <w:szCs w:val="24"/>
        </w:rPr>
        <w:t xml:space="preserve">I de kliniske studier med </w:t>
      </w:r>
      <w:proofErr w:type="spellStart"/>
      <w:r w:rsidRPr="00283C60">
        <w:rPr>
          <w:sz w:val="24"/>
          <w:szCs w:val="24"/>
        </w:rPr>
        <w:t>dimethylfumarat</w:t>
      </w:r>
      <w:proofErr w:type="spellEnd"/>
      <w:r w:rsidRPr="00283C60">
        <w:rPr>
          <w:sz w:val="24"/>
          <w:szCs w:val="24"/>
        </w:rPr>
        <w:t xml:space="preserve"> var der begrænset eksponering hos patienter fra og med 55 år, og studierne inkluderede ikke et tilstrækkeligt antal patienter fra og med 65 år til at kunne</w:t>
      </w:r>
      <w:r w:rsidRPr="00283C60">
        <w:rPr>
          <w:spacing w:val="1"/>
          <w:sz w:val="24"/>
          <w:szCs w:val="24"/>
        </w:rPr>
        <w:t xml:space="preserve"> </w:t>
      </w:r>
      <w:r w:rsidRPr="00283C60">
        <w:rPr>
          <w:sz w:val="24"/>
          <w:szCs w:val="24"/>
        </w:rPr>
        <w:t>fastslå, om de responderer anderledes end yngre patienter (se pkt. 5.2). Baseret på det aktive stofs</w:t>
      </w:r>
      <w:r w:rsidRPr="00283C60">
        <w:rPr>
          <w:spacing w:val="1"/>
          <w:sz w:val="24"/>
          <w:szCs w:val="24"/>
        </w:rPr>
        <w:t xml:space="preserve"> </w:t>
      </w:r>
      <w:r w:rsidRPr="00283C60">
        <w:rPr>
          <w:sz w:val="24"/>
          <w:szCs w:val="24"/>
        </w:rPr>
        <w:t>virkningsmekanisme</w:t>
      </w:r>
      <w:r w:rsidRPr="00283C60">
        <w:rPr>
          <w:spacing w:val="-1"/>
          <w:sz w:val="24"/>
          <w:szCs w:val="24"/>
        </w:rPr>
        <w:t xml:space="preserve"> </w:t>
      </w:r>
      <w:r w:rsidRPr="00283C60">
        <w:rPr>
          <w:sz w:val="24"/>
          <w:szCs w:val="24"/>
        </w:rPr>
        <w:t>er der</w:t>
      </w:r>
      <w:r w:rsidRPr="00283C60">
        <w:rPr>
          <w:spacing w:val="1"/>
          <w:sz w:val="24"/>
          <w:szCs w:val="24"/>
        </w:rPr>
        <w:t xml:space="preserve"> </w:t>
      </w:r>
      <w:r w:rsidRPr="00283C60">
        <w:rPr>
          <w:sz w:val="24"/>
          <w:szCs w:val="24"/>
        </w:rPr>
        <w:t>intet teoretisk</w:t>
      </w:r>
      <w:r w:rsidRPr="00283C60">
        <w:rPr>
          <w:spacing w:val="-1"/>
          <w:sz w:val="24"/>
          <w:szCs w:val="24"/>
        </w:rPr>
        <w:t xml:space="preserve"> </w:t>
      </w:r>
      <w:r w:rsidRPr="00283C60">
        <w:rPr>
          <w:sz w:val="24"/>
          <w:szCs w:val="24"/>
        </w:rPr>
        <w:t>grundlag</w:t>
      </w:r>
      <w:r w:rsidRPr="00283C60">
        <w:rPr>
          <w:spacing w:val="-3"/>
          <w:sz w:val="24"/>
          <w:szCs w:val="24"/>
        </w:rPr>
        <w:t xml:space="preserve"> </w:t>
      </w:r>
      <w:r w:rsidRPr="00283C60">
        <w:rPr>
          <w:sz w:val="24"/>
          <w:szCs w:val="24"/>
        </w:rPr>
        <w:t>for,</w:t>
      </w:r>
      <w:r w:rsidRPr="00283C60">
        <w:rPr>
          <w:spacing w:val="-6"/>
          <w:sz w:val="24"/>
          <w:szCs w:val="24"/>
        </w:rPr>
        <w:t xml:space="preserve"> </w:t>
      </w:r>
      <w:r w:rsidRPr="00283C60">
        <w:rPr>
          <w:sz w:val="24"/>
          <w:szCs w:val="24"/>
        </w:rPr>
        <w:t>at dosisjustering hos</w:t>
      </w:r>
      <w:r w:rsidRPr="00283C60">
        <w:rPr>
          <w:spacing w:val="-1"/>
          <w:sz w:val="24"/>
          <w:szCs w:val="24"/>
        </w:rPr>
        <w:t xml:space="preserve"> </w:t>
      </w:r>
      <w:r w:rsidRPr="00283C60">
        <w:rPr>
          <w:sz w:val="24"/>
          <w:szCs w:val="24"/>
        </w:rPr>
        <w:t>ældre</w:t>
      </w:r>
      <w:r w:rsidRPr="00283C60">
        <w:rPr>
          <w:spacing w:val="-3"/>
          <w:sz w:val="24"/>
          <w:szCs w:val="24"/>
        </w:rPr>
        <w:t xml:space="preserve"> </w:t>
      </w:r>
      <w:r w:rsidRPr="00283C60">
        <w:rPr>
          <w:sz w:val="24"/>
          <w:szCs w:val="24"/>
        </w:rPr>
        <w:t>er</w:t>
      </w:r>
      <w:r w:rsidRPr="00283C60">
        <w:rPr>
          <w:spacing w:val="1"/>
          <w:sz w:val="24"/>
          <w:szCs w:val="24"/>
        </w:rPr>
        <w:t xml:space="preserve"> </w:t>
      </w:r>
      <w:r w:rsidRPr="00283C60">
        <w:rPr>
          <w:sz w:val="24"/>
          <w:szCs w:val="24"/>
        </w:rPr>
        <w:t>nødvendig.</w:t>
      </w:r>
    </w:p>
    <w:p w14:paraId="4E0B3F72" w14:textId="77777777" w:rsidR="00244D23" w:rsidRPr="00283C60" w:rsidRDefault="00244D23" w:rsidP="00393DF8">
      <w:pPr>
        <w:ind w:left="851"/>
        <w:rPr>
          <w:sz w:val="24"/>
          <w:szCs w:val="24"/>
          <w:u w:val="single"/>
        </w:rPr>
      </w:pPr>
    </w:p>
    <w:p w14:paraId="208DD9D3" w14:textId="77777777" w:rsidR="00244D23" w:rsidRPr="00283C60" w:rsidRDefault="00244D23" w:rsidP="00393DF8">
      <w:pPr>
        <w:ind w:left="851"/>
        <w:rPr>
          <w:i/>
          <w:sz w:val="24"/>
          <w:szCs w:val="24"/>
        </w:rPr>
      </w:pPr>
      <w:r w:rsidRPr="00283C60">
        <w:rPr>
          <w:i/>
          <w:sz w:val="24"/>
          <w:szCs w:val="24"/>
        </w:rPr>
        <w:t>Nyre-</w:t>
      </w:r>
      <w:r w:rsidRPr="00283C60">
        <w:rPr>
          <w:i/>
          <w:spacing w:val="-4"/>
          <w:sz w:val="24"/>
          <w:szCs w:val="24"/>
        </w:rPr>
        <w:t xml:space="preserve"> </w:t>
      </w:r>
      <w:r w:rsidRPr="00283C60">
        <w:rPr>
          <w:i/>
          <w:sz w:val="24"/>
          <w:szCs w:val="24"/>
        </w:rPr>
        <w:t>og</w:t>
      </w:r>
      <w:r w:rsidRPr="00283C60">
        <w:rPr>
          <w:i/>
          <w:spacing w:val="-1"/>
          <w:sz w:val="24"/>
          <w:szCs w:val="24"/>
        </w:rPr>
        <w:t xml:space="preserve"> </w:t>
      </w:r>
      <w:r w:rsidRPr="00283C60">
        <w:rPr>
          <w:i/>
          <w:sz w:val="24"/>
          <w:szCs w:val="24"/>
        </w:rPr>
        <w:t>leverinsufficiens</w:t>
      </w:r>
    </w:p>
    <w:p w14:paraId="7CEA2C38" w14:textId="77777777" w:rsidR="00244D23" w:rsidRPr="00283C60" w:rsidRDefault="00244D23" w:rsidP="00393DF8">
      <w:pPr>
        <w:ind w:left="851"/>
        <w:rPr>
          <w:sz w:val="24"/>
          <w:szCs w:val="24"/>
          <w:lang w:eastAsia="fr-LU"/>
        </w:rPr>
      </w:pPr>
      <w:proofErr w:type="spellStart"/>
      <w:r w:rsidRPr="00283C60">
        <w:rPr>
          <w:sz w:val="24"/>
          <w:szCs w:val="24"/>
        </w:rPr>
        <w:t>Dimethylfumarat</w:t>
      </w:r>
      <w:proofErr w:type="spellEnd"/>
      <w:r w:rsidRPr="00283C60">
        <w:rPr>
          <w:sz w:val="24"/>
          <w:szCs w:val="24"/>
        </w:rPr>
        <w:t xml:space="preserve"> er ikke blevet undersøgt hos patienter med nyre- eller leverinsufficiens. Baseret på kliniske, farmakologiske studier er dosisjustering ikke nødvendig (se pkt. 5.2). Der skal udvises forsigtighed</w:t>
      </w:r>
      <w:r w:rsidRPr="00283C60">
        <w:rPr>
          <w:spacing w:val="1"/>
          <w:sz w:val="24"/>
          <w:szCs w:val="24"/>
        </w:rPr>
        <w:t xml:space="preserve"> </w:t>
      </w:r>
      <w:r w:rsidRPr="00283C60">
        <w:rPr>
          <w:sz w:val="24"/>
          <w:szCs w:val="24"/>
        </w:rPr>
        <w:t>ved</w:t>
      </w:r>
      <w:r w:rsidRPr="00283C60">
        <w:rPr>
          <w:spacing w:val="-1"/>
          <w:sz w:val="24"/>
          <w:szCs w:val="24"/>
        </w:rPr>
        <w:t xml:space="preserve"> </w:t>
      </w:r>
      <w:r w:rsidRPr="00283C60">
        <w:rPr>
          <w:sz w:val="24"/>
          <w:szCs w:val="24"/>
        </w:rPr>
        <w:t>behandling</w:t>
      </w:r>
      <w:r w:rsidRPr="00283C60">
        <w:rPr>
          <w:spacing w:val="-3"/>
          <w:sz w:val="24"/>
          <w:szCs w:val="24"/>
        </w:rPr>
        <w:t xml:space="preserve"> </w:t>
      </w:r>
      <w:r w:rsidRPr="00283C60">
        <w:rPr>
          <w:sz w:val="24"/>
          <w:szCs w:val="24"/>
        </w:rPr>
        <w:t>af</w:t>
      </w:r>
      <w:r w:rsidRPr="00283C60">
        <w:rPr>
          <w:spacing w:val="1"/>
          <w:sz w:val="24"/>
          <w:szCs w:val="24"/>
        </w:rPr>
        <w:t xml:space="preserve"> </w:t>
      </w:r>
      <w:r w:rsidRPr="00283C60">
        <w:rPr>
          <w:sz w:val="24"/>
          <w:szCs w:val="24"/>
        </w:rPr>
        <w:t>patienter</w:t>
      </w:r>
      <w:r w:rsidRPr="00283C60">
        <w:rPr>
          <w:spacing w:val="-2"/>
          <w:sz w:val="24"/>
          <w:szCs w:val="24"/>
        </w:rPr>
        <w:t xml:space="preserve"> </w:t>
      </w:r>
      <w:r w:rsidRPr="00283C60">
        <w:rPr>
          <w:sz w:val="24"/>
          <w:szCs w:val="24"/>
        </w:rPr>
        <w:t>med</w:t>
      </w:r>
      <w:r w:rsidRPr="00283C60">
        <w:rPr>
          <w:spacing w:val="-3"/>
          <w:sz w:val="24"/>
          <w:szCs w:val="24"/>
        </w:rPr>
        <w:t xml:space="preserve"> </w:t>
      </w:r>
      <w:r w:rsidRPr="00283C60">
        <w:rPr>
          <w:sz w:val="24"/>
          <w:szCs w:val="24"/>
        </w:rPr>
        <w:t>alvorlig nyre-</w:t>
      </w:r>
      <w:r w:rsidRPr="00283C60">
        <w:rPr>
          <w:spacing w:val="-2"/>
          <w:sz w:val="24"/>
          <w:szCs w:val="24"/>
        </w:rPr>
        <w:t xml:space="preserve"> </w:t>
      </w:r>
      <w:r w:rsidRPr="00283C60">
        <w:rPr>
          <w:sz w:val="24"/>
          <w:szCs w:val="24"/>
        </w:rPr>
        <w:t>eller</w:t>
      </w:r>
      <w:r w:rsidRPr="00283C60">
        <w:rPr>
          <w:spacing w:val="-3"/>
          <w:sz w:val="24"/>
          <w:szCs w:val="24"/>
        </w:rPr>
        <w:t xml:space="preserve"> </w:t>
      </w:r>
      <w:r w:rsidRPr="00283C60">
        <w:rPr>
          <w:sz w:val="24"/>
          <w:szCs w:val="24"/>
        </w:rPr>
        <w:t>leverinsufficiens</w:t>
      </w:r>
      <w:r w:rsidRPr="00283C60">
        <w:rPr>
          <w:spacing w:val="-2"/>
          <w:sz w:val="24"/>
          <w:szCs w:val="24"/>
        </w:rPr>
        <w:t xml:space="preserve"> </w:t>
      </w:r>
      <w:r w:rsidRPr="00283C60">
        <w:rPr>
          <w:sz w:val="24"/>
          <w:szCs w:val="24"/>
        </w:rPr>
        <w:t>(se</w:t>
      </w:r>
      <w:r w:rsidRPr="00283C60">
        <w:rPr>
          <w:spacing w:val="-2"/>
          <w:sz w:val="24"/>
          <w:szCs w:val="24"/>
        </w:rPr>
        <w:t xml:space="preserve"> </w:t>
      </w:r>
      <w:r w:rsidRPr="00283C60">
        <w:rPr>
          <w:sz w:val="24"/>
          <w:szCs w:val="24"/>
        </w:rPr>
        <w:t>pkt. 4.4).</w:t>
      </w:r>
    </w:p>
    <w:p w14:paraId="3EAF65DE" w14:textId="77777777" w:rsidR="00244D23" w:rsidRPr="00283C60" w:rsidRDefault="00244D23" w:rsidP="00393DF8">
      <w:pPr>
        <w:ind w:left="851"/>
        <w:rPr>
          <w:sz w:val="24"/>
          <w:szCs w:val="24"/>
        </w:rPr>
      </w:pPr>
    </w:p>
    <w:p w14:paraId="69E3C37F" w14:textId="77777777" w:rsidR="00244D23" w:rsidRPr="00283C60" w:rsidRDefault="00244D23" w:rsidP="00393DF8">
      <w:pPr>
        <w:ind w:left="851"/>
        <w:rPr>
          <w:i/>
          <w:sz w:val="24"/>
          <w:szCs w:val="24"/>
        </w:rPr>
      </w:pPr>
      <w:r w:rsidRPr="00283C60">
        <w:rPr>
          <w:i/>
          <w:sz w:val="24"/>
          <w:szCs w:val="24"/>
        </w:rPr>
        <w:t>Pædiatrisk</w:t>
      </w:r>
      <w:r w:rsidRPr="00283C60">
        <w:rPr>
          <w:i/>
          <w:spacing w:val="-2"/>
          <w:sz w:val="24"/>
          <w:szCs w:val="24"/>
        </w:rPr>
        <w:t xml:space="preserve"> </w:t>
      </w:r>
      <w:r w:rsidRPr="00283C60">
        <w:rPr>
          <w:i/>
          <w:sz w:val="24"/>
          <w:szCs w:val="24"/>
        </w:rPr>
        <w:t>population</w:t>
      </w:r>
    </w:p>
    <w:p w14:paraId="61CFD4C6" w14:textId="77777777" w:rsidR="00244D23" w:rsidRPr="00283C60" w:rsidRDefault="00244D23" w:rsidP="00393DF8">
      <w:pPr>
        <w:ind w:left="851"/>
        <w:rPr>
          <w:sz w:val="24"/>
          <w:szCs w:val="24"/>
        </w:rPr>
      </w:pPr>
      <w:r w:rsidRPr="00283C60">
        <w:rPr>
          <w:sz w:val="24"/>
          <w:szCs w:val="24"/>
        </w:rPr>
        <w:t>Doseringen er den samme hos voksne og pædiatriske patienter i alderen 13 år og derover.</w:t>
      </w:r>
    </w:p>
    <w:p w14:paraId="7D229082" w14:textId="77777777" w:rsidR="00244D23" w:rsidRPr="00283C60" w:rsidRDefault="00244D23" w:rsidP="00393DF8">
      <w:pPr>
        <w:ind w:left="851"/>
        <w:rPr>
          <w:sz w:val="24"/>
          <w:szCs w:val="24"/>
        </w:rPr>
      </w:pPr>
    </w:p>
    <w:p w14:paraId="320ED09A" w14:textId="77777777" w:rsidR="00244D23" w:rsidRPr="00283C60" w:rsidRDefault="00244D23" w:rsidP="00393DF8">
      <w:pPr>
        <w:ind w:left="851"/>
        <w:rPr>
          <w:sz w:val="24"/>
          <w:szCs w:val="24"/>
        </w:rPr>
      </w:pPr>
      <w:r w:rsidRPr="00283C60">
        <w:rPr>
          <w:sz w:val="24"/>
          <w:szCs w:val="24"/>
        </w:rPr>
        <w:t>Der foreligger begrænsede data for børn i alderen 10-12 år. De tilgængelige data er beskrevet i pkt. 4.8 og 5.1, men der kan ikke gives nogen anbefaling om dosering.</w:t>
      </w:r>
    </w:p>
    <w:p w14:paraId="7D6563B5" w14:textId="77777777" w:rsidR="00244D23" w:rsidRPr="00283C60" w:rsidRDefault="00244D23" w:rsidP="00393DF8">
      <w:pPr>
        <w:ind w:left="851"/>
        <w:rPr>
          <w:sz w:val="24"/>
          <w:szCs w:val="24"/>
        </w:rPr>
      </w:pPr>
    </w:p>
    <w:p w14:paraId="35AF06B3" w14:textId="77777777" w:rsidR="00244D23" w:rsidRPr="00283C60" w:rsidRDefault="00244D23" w:rsidP="00393DF8">
      <w:pPr>
        <w:ind w:left="851"/>
        <w:rPr>
          <w:sz w:val="24"/>
          <w:szCs w:val="24"/>
        </w:rPr>
      </w:pPr>
      <w:r w:rsidRPr="00283C60">
        <w:rPr>
          <w:sz w:val="24"/>
          <w:szCs w:val="24"/>
        </w:rPr>
        <w:t xml:space="preserve">Sikkerheden og effekten af </w:t>
      </w:r>
      <w:proofErr w:type="spellStart"/>
      <w:r w:rsidRPr="00283C60">
        <w:rPr>
          <w:sz w:val="24"/>
          <w:szCs w:val="24"/>
        </w:rPr>
        <w:t>dimethylfumarat</w:t>
      </w:r>
      <w:proofErr w:type="spellEnd"/>
      <w:r w:rsidRPr="00283C60">
        <w:rPr>
          <w:sz w:val="24"/>
          <w:szCs w:val="24"/>
        </w:rPr>
        <w:t xml:space="preserve"> hos børn under 10 år er endnu ikke klarlagt. Der forligger ingen data. </w:t>
      </w:r>
    </w:p>
    <w:p w14:paraId="16A0C2E4" w14:textId="77777777" w:rsidR="00244D23" w:rsidRPr="00283C60" w:rsidRDefault="00244D23" w:rsidP="00393DF8">
      <w:pPr>
        <w:ind w:left="851"/>
        <w:rPr>
          <w:sz w:val="24"/>
          <w:szCs w:val="24"/>
        </w:rPr>
      </w:pPr>
    </w:p>
    <w:p w14:paraId="306171B5" w14:textId="77777777" w:rsidR="00244D23" w:rsidRPr="00283C60" w:rsidRDefault="00244D23" w:rsidP="00393DF8">
      <w:pPr>
        <w:ind w:left="851"/>
        <w:rPr>
          <w:sz w:val="24"/>
          <w:szCs w:val="24"/>
          <w:u w:val="single"/>
        </w:rPr>
      </w:pPr>
      <w:r w:rsidRPr="00283C60">
        <w:rPr>
          <w:sz w:val="24"/>
          <w:szCs w:val="24"/>
          <w:u w:val="single"/>
        </w:rPr>
        <w:t>Administration</w:t>
      </w:r>
    </w:p>
    <w:p w14:paraId="2553EE2B" w14:textId="77777777" w:rsidR="00244D23" w:rsidRPr="00283C60" w:rsidRDefault="00244D23" w:rsidP="00393DF8">
      <w:pPr>
        <w:ind w:left="851"/>
        <w:rPr>
          <w:sz w:val="24"/>
          <w:szCs w:val="24"/>
        </w:rPr>
      </w:pPr>
      <w:r w:rsidRPr="00283C60">
        <w:rPr>
          <w:sz w:val="24"/>
          <w:szCs w:val="24"/>
        </w:rPr>
        <w:t xml:space="preserve">Til oral anvendelse. </w:t>
      </w:r>
    </w:p>
    <w:p w14:paraId="1FE4B10E" w14:textId="77777777" w:rsidR="00244D23" w:rsidRPr="00283C60" w:rsidRDefault="00244D23" w:rsidP="00393DF8">
      <w:pPr>
        <w:ind w:left="851"/>
        <w:rPr>
          <w:sz w:val="24"/>
          <w:szCs w:val="24"/>
        </w:rPr>
      </w:pPr>
    </w:p>
    <w:p w14:paraId="236919DD" w14:textId="77777777" w:rsidR="00244D23" w:rsidRPr="00283C60" w:rsidRDefault="00244D23" w:rsidP="00393DF8">
      <w:pPr>
        <w:ind w:left="851"/>
        <w:rPr>
          <w:sz w:val="24"/>
          <w:szCs w:val="24"/>
          <w:u w:val="single"/>
        </w:rPr>
      </w:pPr>
      <w:r w:rsidRPr="00283C60">
        <w:rPr>
          <w:sz w:val="24"/>
          <w:szCs w:val="24"/>
        </w:rPr>
        <w:lastRenderedPageBreak/>
        <w:t xml:space="preserve">Kapslen skal sluges hel. Kapslen eller dens indhold må ikke knuses, deles, opløses, suges eller tygges, da minitabletternes syreresistente overtræk forebygger </w:t>
      </w:r>
      <w:proofErr w:type="spellStart"/>
      <w:r w:rsidRPr="00283C60">
        <w:rPr>
          <w:sz w:val="24"/>
          <w:szCs w:val="24"/>
        </w:rPr>
        <w:t>gastrointestinal</w:t>
      </w:r>
      <w:proofErr w:type="spellEnd"/>
      <w:r w:rsidRPr="00283C60">
        <w:rPr>
          <w:sz w:val="24"/>
          <w:szCs w:val="24"/>
        </w:rPr>
        <w:t xml:space="preserve"> irritation.</w:t>
      </w:r>
    </w:p>
    <w:p w14:paraId="658CAF01" w14:textId="77777777" w:rsidR="009260DE" w:rsidRPr="00283C60" w:rsidRDefault="009260DE" w:rsidP="009260DE">
      <w:pPr>
        <w:tabs>
          <w:tab w:val="left" w:pos="851"/>
        </w:tabs>
        <w:ind w:left="851"/>
        <w:rPr>
          <w:sz w:val="24"/>
          <w:szCs w:val="24"/>
        </w:rPr>
      </w:pPr>
    </w:p>
    <w:p w14:paraId="612294ED" w14:textId="77777777" w:rsidR="009260DE" w:rsidRPr="00283C60" w:rsidRDefault="009260DE" w:rsidP="009260DE">
      <w:pPr>
        <w:tabs>
          <w:tab w:val="left" w:pos="851"/>
        </w:tabs>
        <w:ind w:left="851" w:hanging="851"/>
        <w:rPr>
          <w:b/>
          <w:sz w:val="24"/>
          <w:szCs w:val="24"/>
        </w:rPr>
      </w:pPr>
      <w:r w:rsidRPr="00283C60">
        <w:rPr>
          <w:b/>
          <w:sz w:val="24"/>
          <w:szCs w:val="24"/>
        </w:rPr>
        <w:t>4.3</w:t>
      </w:r>
      <w:r w:rsidRPr="00283C60">
        <w:rPr>
          <w:b/>
          <w:sz w:val="24"/>
          <w:szCs w:val="24"/>
        </w:rPr>
        <w:tab/>
        <w:t>Kontraindikationer</w:t>
      </w:r>
    </w:p>
    <w:p w14:paraId="38C39003" w14:textId="77777777" w:rsidR="00244D23" w:rsidRPr="00283C60" w:rsidRDefault="00244D23" w:rsidP="00393DF8">
      <w:pPr>
        <w:ind w:left="851"/>
        <w:rPr>
          <w:sz w:val="24"/>
          <w:szCs w:val="24"/>
        </w:rPr>
      </w:pPr>
      <w:r w:rsidRPr="00283C60">
        <w:rPr>
          <w:sz w:val="24"/>
          <w:szCs w:val="24"/>
        </w:rPr>
        <w:t>Overfølsomhed over for det aktive stof eller over for et eller flere af hjælpestofferne anført i pkt. 6.1.</w:t>
      </w:r>
    </w:p>
    <w:p w14:paraId="41788B19" w14:textId="77777777" w:rsidR="00244D23" w:rsidRPr="00283C60" w:rsidRDefault="00244D23" w:rsidP="00393DF8">
      <w:pPr>
        <w:ind w:left="851"/>
        <w:rPr>
          <w:sz w:val="24"/>
          <w:szCs w:val="24"/>
          <w:lang w:eastAsia="fr-LU"/>
        </w:rPr>
      </w:pPr>
    </w:p>
    <w:p w14:paraId="487D06EA" w14:textId="77777777" w:rsidR="00244D23" w:rsidRPr="00283C60" w:rsidRDefault="00244D23" w:rsidP="00393DF8">
      <w:pPr>
        <w:ind w:left="851"/>
        <w:rPr>
          <w:sz w:val="24"/>
          <w:szCs w:val="24"/>
        </w:rPr>
      </w:pPr>
      <w:r w:rsidRPr="00283C60">
        <w:rPr>
          <w:sz w:val="24"/>
          <w:szCs w:val="24"/>
        </w:rPr>
        <w:t xml:space="preserve">Formodet eller bekræftet progressiv multifokal </w:t>
      </w:r>
      <w:proofErr w:type="spellStart"/>
      <w:r w:rsidRPr="00283C60">
        <w:rPr>
          <w:sz w:val="24"/>
          <w:szCs w:val="24"/>
        </w:rPr>
        <w:t>leukoencefalopati</w:t>
      </w:r>
      <w:proofErr w:type="spellEnd"/>
      <w:r w:rsidRPr="00283C60">
        <w:rPr>
          <w:sz w:val="24"/>
          <w:szCs w:val="24"/>
        </w:rPr>
        <w:t xml:space="preserve"> (PML).</w:t>
      </w:r>
    </w:p>
    <w:p w14:paraId="60C7082F" w14:textId="77777777" w:rsidR="009260DE" w:rsidRPr="00283C60" w:rsidRDefault="009260DE" w:rsidP="009260DE">
      <w:pPr>
        <w:tabs>
          <w:tab w:val="left" w:pos="851"/>
        </w:tabs>
        <w:ind w:left="851"/>
        <w:rPr>
          <w:sz w:val="24"/>
          <w:szCs w:val="24"/>
        </w:rPr>
      </w:pPr>
    </w:p>
    <w:p w14:paraId="4E91F047" w14:textId="77777777" w:rsidR="009260DE" w:rsidRPr="00283C60" w:rsidRDefault="009260DE" w:rsidP="009260DE">
      <w:pPr>
        <w:tabs>
          <w:tab w:val="left" w:pos="851"/>
        </w:tabs>
        <w:ind w:left="851" w:hanging="851"/>
        <w:rPr>
          <w:b/>
          <w:sz w:val="24"/>
          <w:szCs w:val="24"/>
        </w:rPr>
      </w:pPr>
      <w:r w:rsidRPr="00283C60">
        <w:rPr>
          <w:b/>
          <w:sz w:val="24"/>
          <w:szCs w:val="24"/>
        </w:rPr>
        <w:t>4.4</w:t>
      </w:r>
      <w:r w:rsidRPr="00283C60">
        <w:rPr>
          <w:b/>
          <w:sz w:val="24"/>
          <w:szCs w:val="24"/>
        </w:rPr>
        <w:tab/>
        <w:t>Særlige advarsler og forsigtighedsregler vedrørende brugen</w:t>
      </w:r>
    </w:p>
    <w:p w14:paraId="2A458B1B" w14:textId="77777777" w:rsidR="004837F8" w:rsidRPr="00283C60" w:rsidRDefault="004837F8" w:rsidP="00393DF8">
      <w:pPr>
        <w:ind w:left="851"/>
        <w:rPr>
          <w:sz w:val="24"/>
          <w:szCs w:val="24"/>
        </w:rPr>
      </w:pPr>
    </w:p>
    <w:p w14:paraId="728FB935" w14:textId="5C7FB4BD" w:rsidR="00244D23" w:rsidRPr="00283C60" w:rsidRDefault="00244D23" w:rsidP="00393DF8">
      <w:pPr>
        <w:ind w:left="851"/>
        <w:rPr>
          <w:sz w:val="24"/>
          <w:szCs w:val="24"/>
          <w:u w:val="single"/>
          <w:lang w:eastAsia="fr-LU"/>
        </w:rPr>
      </w:pPr>
      <w:r w:rsidRPr="00283C60">
        <w:rPr>
          <w:sz w:val="24"/>
          <w:szCs w:val="24"/>
          <w:u w:val="single"/>
        </w:rPr>
        <w:t>Blodprøver/laboratorietests</w:t>
      </w:r>
    </w:p>
    <w:p w14:paraId="0EC10F62" w14:textId="77777777" w:rsidR="00244D23" w:rsidRPr="00283C60" w:rsidRDefault="00244D23" w:rsidP="00393DF8">
      <w:pPr>
        <w:ind w:left="851"/>
        <w:rPr>
          <w:sz w:val="24"/>
          <w:szCs w:val="24"/>
        </w:rPr>
      </w:pPr>
    </w:p>
    <w:p w14:paraId="1F77D016" w14:textId="77777777" w:rsidR="00244D23" w:rsidRPr="00283C60" w:rsidRDefault="00244D23" w:rsidP="00393DF8">
      <w:pPr>
        <w:ind w:left="851"/>
        <w:rPr>
          <w:i/>
          <w:iCs/>
          <w:sz w:val="24"/>
          <w:szCs w:val="24"/>
        </w:rPr>
      </w:pPr>
      <w:r w:rsidRPr="00283C60">
        <w:rPr>
          <w:i/>
          <w:iCs/>
          <w:sz w:val="24"/>
          <w:szCs w:val="24"/>
        </w:rPr>
        <w:t xml:space="preserve">Nyrefunktion </w:t>
      </w:r>
    </w:p>
    <w:p w14:paraId="52769948" w14:textId="77777777" w:rsidR="00244D23" w:rsidRPr="00283C60" w:rsidRDefault="00244D23" w:rsidP="00393DF8">
      <w:pPr>
        <w:ind w:left="851"/>
        <w:rPr>
          <w:sz w:val="24"/>
          <w:szCs w:val="24"/>
          <w:lang w:eastAsia="fr-LU"/>
        </w:rPr>
      </w:pPr>
      <w:r w:rsidRPr="00283C60">
        <w:rPr>
          <w:sz w:val="24"/>
          <w:szCs w:val="24"/>
        </w:rPr>
        <w:t xml:space="preserve">Der er set ændringer i </w:t>
      </w:r>
      <w:proofErr w:type="spellStart"/>
      <w:r w:rsidRPr="00283C60">
        <w:rPr>
          <w:sz w:val="24"/>
          <w:szCs w:val="24"/>
        </w:rPr>
        <w:t>renale</w:t>
      </w:r>
      <w:proofErr w:type="spellEnd"/>
      <w:r w:rsidRPr="00283C60">
        <w:rPr>
          <w:sz w:val="24"/>
          <w:szCs w:val="24"/>
        </w:rPr>
        <w:t xml:space="preserve"> laboratorieværdier i kliniske studier hos patienter behandlet med </w:t>
      </w:r>
      <w:proofErr w:type="spellStart"/>
      <w:r w:rsidRPr="00283C60">
        <w:rPr>
          <w:sz w:val="24"/>
          <w:szCs w:val="24"/>
        </w:rPr>
        <w:t>dimethylfumarat</w:t>
      </w:r>
      <w:proofErr w:type="spellEnd"/>
      <w:r w:rsidRPr="00283C60">
        <w:rPr>
          <w:sz w:val="24"/>
          <w:szCs w:val="24"/>
        </w:rPr>
        <w:t xml:space="preserve"> (se pkt. 4.8). Den kliniske betydning af disse ændringer kendes ikke. Vurdering af nyrefunktion (f.eks. </w:t>
      </w:r>
      <w:proofErr w:type="spellStart"/>
      <w:r w:rsidRPr="00283C60">
        <w:rPr>
          <w:sz w:val="24"/>
          <w:szCs w:val="24"/>
        </w:rPr>
        <w:t>kreatinin</w:t>
      </w:r>
      <w:proofErr w:type="spellEnd"/>
      <w:r w:rsidRPr="00283C60">
        <w:rPr>
          <w:sz w:val="24"/>
          <w:szCs w:val="24"/>
        </w:rPr>
        <w:t xml:space="preserve">, </w:t>
      </w:r>
      <w:proofErr w:type="spellStart"/>
      <w:r w:rsidRPr="00283C60">
        <w:rPr>
          <w:sz w:val="24"/>
          <w:szCs w:val="24"/>
        </w:rPr>
        <w:t>blodureanitrogen</w:t>
      </w:r>
      <w:proofErr w:type="spellEnd"/>
      <w:r w:rsidRPr="00283C60">
        <w:rPr>
          <w:sz w:val="24"/>
          <w:szCs w:val="24"/>
        </w:rPr>
        <w:t xml:space="preserve"> og urinundersøgelse) anbefales inden behandlingsstart, 3 og 6 måneder efter behandlingsstart og derefter hver 6. til 12. måned samt på klinisk indikation.</w:t>
      </w:r>
    </w:p>
    <w:p w14:paraId="6D66F9C4" w14:textId="77777777" w:rsidR="00244D23" w:rsidRPr="00283C60" w:rsidRDefault="00244D23" w:rsidP="00393DF8">
      <w:pPr>
        <w:ind w:left="851"/>
        <w:rPr>
          <w:sz w:val="24"/>
          <w:szCs w:val="24"/>
        </w:rPr>
      </w:pPr>
    </w:p>
    <w:p w14:paraId="2288D382" w14:textId="77777777" w:rsidR="00244D23" w:rsidRPr="00283C60" w:rsidRDefault="00244D23" w:rsidP="00393DF8">
      <w:pPr>
        <w:ind w:left="851"/>
        <w:rPr>
          <w:i/>
          <w:iCs/>
          <w:sz w:val="24"/>
          <w:szCs w:val="24"/>
        </w:rPr>
      </w:pPr>
      <w:r w:rsidRPr="00283C60">
        <w:rPr>
          <w:i/>
          <w:iCs/>
          <w:sz w:val="24"/>
          <w:szCs w:val="24"/>
        </w:rPr>
        <w:t xml:space="preserve">Leverfunktion </w:t>
      </w:r>
    </w:p>
    <w:p w14:paraId="7626ED14" w14:textId="77777777" w:rsidR="00244D23" w:rsidRPr="00283C60" w:rsidRDefault="00244D23" w:rsidP="00393DF8">
      <w:pPr>
        <w:ind w:left="851"/>
        <w:rPr>
          <w:sz w:val="24"/>
          <w:szCs w:val="24"/>
        </w:rPr>
      </w:pPr>
      <w:r w:rsidRPr="00283C60">
        <w:rPr>
          <w:sz w:val="24"/>
          <w:szCs w:val="24"/>
        </w:rPr>
        <w:t xml:space="preserve">Lægemiddelinduceret leverskade, herunder forhøjede leverenzymer (≥3 gange øvre normalgrænse, </w:t>
      </w:r>
      <w:r w:rsidRPr="00283C60">
        <w:rPr>
          <w:i/>
          <w:iCs/>
          <w:sz w:val="24"/>
          <w:szCs w:val="24"/>
        </w:rPr>
        <w:t>upper limit of normal</w:t>
      </w:r>
      <w:r w:rsidRPr="00283C60">
        <w:rPr>
          <w:sz w:val="24"/>
          <w:szCs w:val="24"/>
        </w:rPr>
        <w:t xml:space="preserve"> (ULN)), og forhøjede niveauer af totalt bilirubin (≥2 gange ULN) kan forekomme som følge af behandling med </w:t>
      </w:r>
      <w:proofErr w:type="spellStart"/>
      <w:r w:rsidRPr="00283C60">
        <w:rPr>
          <w:sz w:val="24"/>
          <w:szCs w:val="24"/>
        </w:rPr>
        <w:t>dimethylfumarat</w:t>
      </w:r>
      <w:proofErr w:type="spellEnd"/>
      <w:r w:rsidRPr="00283C60">
        <w:rPr>
          <w:sz w:val="24"/>
          <w:szCs w:val="24"/>
        </w:rPr>
        <w:t xml:space="preserve">. Dette kan opstå efter dage, efter adskillige uger eller efter længere tid. Det er observeret, at bivirkningerne ophørte efter </w:t>
      </w:r>
      <w:proofErr w:type="spellStart"/>
      <w:r w:rsidRPr="00283C60">
        <w:rPr>
          <w:sz w:val="24"/>
          <w:szCs w:val="24"/>
        </w:rPr>
        <w:t>seponering</w:t>
      </w:r>
      <w:proofErr w:type="spellEnd"/>
      <w:r w:rsidRPr="00283C60">
        <w:rPr>
          <w:sz w:val="24"/>
          <w:szCs w:val="24"/>
        </w:rPr>
        <w:t xml:space="preserve"> af behandlingen. En vurdering af niveauerne af serum-</w:t>
      </w:r>
      <w:proofErr w:type="spellStart"/>
      <w:r w:rsidRPr="00283C60">
        <w:rPr>
          <w:sz w:val="24"/>
          <w:szCs w:val="24"/>
        </w:rPr>
        <w:t>aminotransferaser</w:t>
      </w:r>
      <w:proofErr w:type="spellEnd"/>
      <w:r w:rsidRPr="00283C60">
        <w:rPr>
          <w:sz w:val="24"/>
          <w:szCs w:val="24"/>
        </w:rPr>
        <w:t xml:space="preserve"> (f.eks. </w:t>
      </w:r>
      <w:proofErr w:type="spellStart"/>
      <w:r w:rsidRPr="00283C60">
        <w:rPr>
          <w:sz w:val="24"/>
          <w:szCs w:val="24"/>
        </w:rPr>
        <w:t>alaninaminotransferase</w:t>
      </w:r>
      <w:proofErr w:type="spellEnd"/>
      <w:r w:rsidRPr="00283C60">
        <w:rPr>
          <w:sz w:val="24"/>
          <w:szCs w:val="24"/>
        </w:rPr>
        <w:t xml:space="preserve"> (ALAT), </w:t>
      </w:r>
      <w:proofErr w:type="spellStart"/>
      <w:r w:rsidRPr="00283C60">
        <w:rPr>
          <w:sz w:val="24"/>
          <w:szCs w:val="24"/>
        </w:rPr>
        <w:t>aspartataminotransferase</w:t>
      </w:r>
      <w:proofErr w:type="spellEnd"/>
      <w:r w:rsidRPr="00283C60">
        <w:rPr>
          <w:sz w:val="24"/>
          <w:szCs w:val="24"/>
        </w:rPr>
        <w:t xml:space="preserve"> (ASAT)) og totalt bilirubin anbefales før behandlingsstart og under behandlingen, efter klinisk indikation.</w:t>
      </w:r>
    </w:p>
    <w:p w14:paraId="4E6203B6" w14:textId="77777777" w:rsidR="00244D23" w:rsidRPr="00283C60" w:rsidRDefault="00244D23" w:rsidP="00393DF8">
      <w:pPr>
        <w:ind w:left="851"/>
        <w:rPr>
          <w:sz w:val="24"/>
          <w:szCs w:val="24"/>
        </w:rPr>
      </w:pPr>
    </w:p>
    <w:p w14:paraId="2135493E" w14:textId="77777777" w:rsidR="00244D23" w:rsidRPr="00283C60" w:rsidRDefault="00244D23" w:rsidP="00393DF8">
      <w:pPr>
        <w:ind w:left="851"/>
        <w:rPr>
          <w:i/>
          <w:iCs/>
          <w:sz w:val="24"/>
          <w:szCs w:val="24"/>
        </w:rPr>
      </w:pPr>
      <w:r w:rsidRPr="00283C60">
        <w:rPr>
          <w:i/>
          <w:iCs/>
          <w:sz w:val="24"/>
          <w:szCs w:val="24"/>
        </w:rPr>
        <w:t>Lymfocytter</w:t>
      </w:r>
    </w:p>
    <w:p w14:paraId="14478720" w14:textId="77777777" w:rsidR="00244D23" w:rsidRPr="00283C60" w:rsidRDefault="00244D23" w:rsidP="00393DF8">
      <w:pPr>
        <w:ind w:left="851"/>
        <w:rPr>
          <w:sz w:val="24"/>
          <w:szCs w:val="24"/>
        </w:rPr>
      </w:pPr>
      <w:r w:rsidRPr="00283C60">
        <w:rPr>
          <w:sz w:val="24"/>
          <w:szCs w:val="24"/>
        </w:rPr>
        <w:t xml:space="preserve">Patienter behandlet med </w:t>
      </w:r>
      <w:proofErr w:type="spellStart"/>
      <w:r w:rsidRPr="00283C60">
        <w:rPr>
          <w:sz w:val="24"/>
          <w:szCs w:val="24"/>
        </w:rPr>
        <w:t>dimethylfumarat</w:t>
      </w:r>
      <w:proofErr w:type="spellEnd"/>
      <w:r w:rsidRPr="00283C60">
        <w:rPr>
          <w:sz w:val="24"/>
          <w:szCs w:val="24"/>
        </w:rPr>
        <w:t xml:space="preserve"> kan udvikle </w:t>
      </w:r>
      <w:proofErr w:type="spellStart"/>
      <w:r w:rsidRPr="00283C60">
        <w:rPr>
          <w:sz w:val="24"/>
          <w:szCs w:val="24"/>
        </w:rPr>
        <w:t>lymfopeni</w:t>
      </w:r>
      <w:proofErr w:type="spellEnd"/>
      <w:r w:rsidRPr="00283C60">
        <w:rPr>
          <w:sz w:val="24"/>
          <w:szCs w:val="24"/>
        </w:rPr>
        <w:t xml:space="preserve"> (se pkt. 4.8). Inden behandling med </w:t>
      </w:r>
      <w:proofErr w:type="spellStart"/>
      <w:r w:rsidRPr="00283C60">
        <w:rPr>
          <w:sz w:val="24"/>
          <w:szCs w:val="24"/>
        </w:rPr>
        <w:t>dimethylfumarat</w:t>
      </w:r>
      <w:proofErr w:type="spellEnd"/>
      <w:r w:rsidRPr="00283C60">
        <w:rPr>
          <w:sz w:val="24"/>
          <w:szCs w:val="24"/>
        </w:rPr>
        <w:t xml:space="preserve"> skal der foretages en aktuel komplet blodtælling, der inkluderer lymfocytter. </w:t>
      </w:r>
    </w:p>
    <w:p w14:paraId="17178190" w14:textId="77777777" w:rsidR="00244D23" w:rsidRPr="00283C60" w:rsidRDefault="00244D23" w:rsidP="00393DF8">
      <w:pPr>
        <w:ind w:left="851"/>
        <w:rPr>
          <w:sz w:val="24"/>
          <w:szCs w:val="24"/>
        </w:rPr>
      </w:pPr>
    </w:p>
    <w:p w14:paraId="7BD227DB" w14:textId="77777777" w:rsidR="00244D23" w:rsidRPr="00283C60" w:rsidRDefault="00244D23" w:rsidP="00393DF8">
      <w:pPr>
        <w:ind w:left="851"/>
        <w:rPr>
          <w:sz w:val="24"/>
          <w:szCs w:val="24"/>
        </w:rPr>
      </w:pPr>
      <w:r w:rsidRPr="00283C60">
        <w:rPr>
          <w:sz w:val="24"/>
          <w:szCs w:val="24"/>
        </w:rPr>
        <w:t xml:space="preserve">Hvis lymfocyttallet ligger under normalområdet, skal en grundig evaluering af mulige årsager være gennemført, før behandlingen indledes. </w:t>
      </w:r>
      <w:proofErr w:type="spellStart"/>
      <w:r w:rsidRPr="00283C60">
        <w:rPr>
          <w:sz w:val="24"/>
          <w:szCs w:val="24"/>
        </w:rPr>
        <w:t>Dimethylfumarat</w:t>
      </w:r>
      <w:proofErr w:type="spellEnd"/>
      <w:r w:rsidRPr="00283C60">
        <w:rPr>
          <w:sz w:val="24"/>
          <w:szCs w:val="24"/>
        </w:rPr>
        <w:t xml:space="preserve"> er ikke blevet undersøgt hos patienter med eksisterende lave lymfocyttal, og der skal udvises forsigtighed ved behandling af disse patienter. Behandling bør ikke påbegyndes hos patienter med alvorlig </w:t>
      </w:r>
      <w:proofErr w:type="spellStart"/>
      <w:r w:rsidRPr="00283C60">
        <w:rPr>
          <w:sz w:val="24"/>
          <w:szCs w:val="24"/>
        </w:rPr>
        <w:t>lymfopeni</w:t>
      </w:r>
      <w:proofErr w:type="spellEnd"/>
      <w:r w:rsidRPr="00283C60">
        <w:rPr>
          <w:sz w:val="24"/>
          <w:szCs w:val="24"/>
        </w:rPr>
        <w:t xml:space="preserve"> (lymfocyttal &lt; 0,5 x 10</w:t>
      </w:r>
      <w:r w:rsidRPr="00283C60">
        <w:rPr>
          <w:sz w:val="24"/>
          <w:szCs w:val="24"/>
          <w:vertAlign w:val="superscript"/>
        </w:rPr>
        <w:t>9</w:t>
      </w:r>
      <w:r w:rsidRPr="00283C60">
        <w:rPr>
          <w:sz w:val="24"/>
          <w:szCs w:val="24"/>
        </w:rPr>
        <w:t>/l).</w:t>
      </w:r>
    </w:p>
    <w:p w14:paraId="485005C1" w14:textId="77777777" w:rsidR="00244D23" w:rsidRPr="00283C60" w:rsidRDefault="00244D23" w:rsidP="00393DF8">
      <w:pPr>
        <w:ind w:left="851"/>
        <w:rPr>
          <w:sz w:val="24"/>
          <w:szCs w:val="24"/>
        </w:rPr>
      </w:pPr>
    </w:p>
    <w:p w14:paraId="40F98711" w14:textId="77777777" w:rsidR="00244D23" w:rsidRPr="00283C60" w:rsidRDefault="00244D23" w:rsidP="00393DF8">
      <w:pPr>
        <w:ind w:left="851"/>
        <w:rPr>
          <w:sz w:val="24"/>
          <w:szCs w:val="24"/>
        </w:rPr>
      </w:pPr>
      <w:r w:rsidRPr="00283C60">
        <w:rPr>
          <w:sz w:val="24"/>
          <w:szCs w:val="24"/>
        </w:rPr>
        <w:t>Efter behandlingsstart skal der foretages komplet blodtælling, der inkluderer lymfocytter, hver 3. måned.</w:t>
      </w:r>
    </w:p>
    <w:p w14:paraId="3FBF7BBB" w14:textId="77777777" w:rsidR="00244D23" w:rsidRPr="00283C60" w:rsidRDefault="00244D23" w:rsidP="00393DF8">
      <w:pPr>
        <w:ind w:left="851"/>
        <w:rPr>
          <w:sz w:val="24"/>
          <w:szCs w:val="24"/>
        </w:rPr>
      </w:pPr>
    </w:p>
    <w:p w14:paraId="2FFA85A2" w14:textId="77777777" w:rsidR="00244D23" w:rsidRPr="00283C60" w:rsidRDefault="00244D23" w:rsidP="00393DF8">
      <w:pPr>
        <w:ind w:left="851"/>
        <w:rPr>
          <w:sz w:val="24"/>
          <w:szCs w:val="24"/>
        </w:rPr>
      </w:pPr>
      <w:r w:rsidRPr="00283C60">
        <w:rPr>
          <w:sz w:val="24"/>
          <w:szCs w:val="24"/>
        </w:rPr>
        <w:t xml:space="preserve">På grund af en øget risiko for PML anbefales særlig overvågning af patienter med </w:t>
      </w:r>
      <w:proofErr w:type="spellStart"/>
      <w:r w:rsidRPr="00283C60">
        <w:rPr>
          <w:sz w:val="24"/>
          <w:szCs w:val="24"/>
        </w:rPr>
        <w:t>lymfopeni</w:t>
      </w:r>
      <w:proofErr w:type="spellEnd"/>
      <w:r w:rsidRPr="00283C60">
        <w:rPr>
          <w:sz w:val="24"/>
          <w:szCs w:val="24"/>
        </w:rPr>
        <w:t xml:space="preserve"> som følger:</w:t>
      </w:r>
    </w:p>
    <w:p w14:paraId="38E56361" w14:textId="77777777" w:rsidR="00244D23" w:rsidRPr="00283C60" w:rsidRDefault="00244D23" w:rsidP="004837F8">
      <w:pPr>
        <w:pStyle w:val="Listeafsnit"/>
        <w:numPr>
          <w:ilvl w:val="0"/>
          <w:numId w:val="11"/>
        </w:numPr>
        <w:ind w:left="1276" w:hanging="425"/>
        <w:rPr>
          <w:sz w:val="24"/>
          <w:szCs w:val="24"/>
          <w:lang w:val="da-DK"/>
        </w:rPr>
      </w:pPr>
      <w:r w:rsidRPr="00283C60">
        <w:rPr>
          <w:sz w:val="24"/>
          <w:szCs w:val="24"/>
          <w:lang w:val="da-DK"/>
        </w:rPr>
        <w:t xml:space="preserve">behandling bør seponeres hos patienter med langvarig, alvorlig </w:t>
      </w:r>
      <w:proofErr w:type="spellStart"/>
      <w:r w:rsidRPr="00283C60">
        <w:rPr>
          <w:sz w:val="24"/>
          <w:szCs w:val="24"/>
          <w:lang w:val="da-DK"/>
        </w:rPr>
        <w:t>lymfopeni</w:t>
      </w:r>
      <w:proofErr w:type="spellEnd"/>
      <w:r w:rsidRPr="00283C60">
        <w:rPr>
          <w:sz w:val="24"/>
          <w:szCs w:val="24"/>
          <w:lang w:val="da-DK"/>
        </w:rPr>
        <w:t xml:space="preserve"> (lymfocyttal &lt; 0,5 x 10</w:t>
      </w:r>
      <w:r w:rsidRPr="00283C60">
        <w:rPr>
          <w:sz w:val="24"/>
          <w:szCs w:val="24"/>
          <w:vertAlign w:val="superscript"/>
          <w:lang w:val="da-DK"/>
        </w:rPr>
        <w:t>9</w:t>
      </w:r>
      <w:r w:rsidRPr="00283C60">
        <w:rPr>
          <w:sz w:val="24"/>
          <w:szCs w:val="24"/>
          <w:lang w:val="da-DK"/>
        </w:rPr>
        <w:t>/l), der varer i mere end 6 måneder.</w:t>
      </w:r>
    </w:p>
    <w:p w14:paraId="53225DAC" w14:textId="77777777" w:rsidR="00244D23" w:rsidRPr="00283C60" w:rsidRDefault="00244D23" w:rsidP="004837F8">
      <w:pPr>
        <w:pStyle w:val="Listeafsnit"/>
        <w:numPr>
          <w:ilvl w:val="0"/>
          <w:numId w:val="11"/>
        </w:numPr>
        <w:ind w:left="1276" w:hanging="425"/>
        <w:rPr>
          <w:sz w:val="24"/>
          <w:szCs w:val="24"/>
          <w:lang w:val="da-DK"/>
        </w:rPr>
      </w:pPr>
      <w:r w:rsidRPr="00283C60">
        <w:rPr>
          <w:sz w:val="24"/>
          <w:szCs w:val="24"/>
          <w:lang w:val="da-DK"/>
        </w:rPr>
        <w:lastRenderedPageBreak/>
        <w:t>Benefit/</w:t>
      </w:r>
      <w:proofErr w:type="spellStart"/>
      <w:r w:rsidRPr="00283C60">
        <w:rPr>
          <w:sz w:val="24"/>
          <w:szCs w:val="24"/>
          <w:lang w:val="da-DK"/>
        </w:rPr>
        <w:t>risk</w:t>
      </w:r>
      <w:proofErr w:type="spellEnd"/>
      <w:r w:rsidRPr="00283C60">
        <w:rPr>
          <w:sz w:val="24"/>
          <w:szCs w:val="24"/>
          <w:lang w:val="da-DK"/>
        </w:rPr>
        <w:t xml:space="preserve">-forholdet ved behandlingen med </w:t>
      </w:r>
      <w:proofErr w:type="spellStart"/>
      <w:r w:rsidRPr="00283C60">
        <w:rPr>
          <w:sz w:val="24"/>
          <w:szCs w:val="24"/>
          <w:lang w:val="da-DK"/>
        </w:rPr>
        <w:t>dimethylfumarat</w:t>
      </w:r>
      <w:proofErr w:type="spellEnd"/>
      <w:r w:rsidRPr="00283C60">
        <w:rPr>
          <w:sz w:val="24"/>
          <w:szCs w:val="24"/>
          <w:lang w:val="da-DK"/>
        </w:rPr>
        <w:t xml:space="preserve"> hos patienter med vedvarende moderat nedsat absolut lymfocyttal ≥ 0,5 x 10</w:t>
      </w:r>
      <w:r w:rsidRPr="00283C60">
        <w:rPr>
          <w:sz w:val="24"/>
          <w:szCs w:val="24"/>
          <w:vertAlign w:val="superscript"/>
          <w:lang w:val="da-DK"/>
        </w:rPr>
        <w:t>9</w:t>
      </w:r>
      <w:r w:rsidRPr="00283C60">
        <w:rPr>
          <w:sz w:val="24"/>
          <w:szCs w:val="24"/>
          <w:lang w:val="da-DK"/>
        </w:rPr>
        <w:t>/l til &lt; 0,8 x 10</w:t>
      </w:r>
      <w:r w:rsidRPr="00283C60">
        <w:rPr>
          <w:sz w:val="24"/>
          <w:szCs w:val="24"/>
          <w:vertAlign w:val="superscript"/>
          <w:lang w:val="da-DK"/>
        </w:rPr>
        <w:t>9</w:t>
      </w:r>
      <w:r w:rsidRPr="00283C60">
        <w:rPr>
          <w:sz w:val="24"/>
          <w:szCs w:val="24"/>
          <w:lang w:val="da-DK"/>
        </w:rPr>
        <w:t>/l, der varer mere end 6 måneder, skal revurderes.</w:t>
      </w:r>
    </w:p>
    <w:p w14:paraId="68707CBA" w14:textId="77777777" w:rsidR="00244D23" w:rsidRPr="00283C60" w:rsidRDefault="00244D23" w:rsidP="004837F8">
      <w:pPr>
        <w:pStyle w:val="Listeafsnit"/>
        <w:numPr>
          <w:ilvl w:val="0"/>
          <w:numId w:val="11"/>
        </w:numPr>
        <w:ind w:left="1276" w:hanging="425"/>
        <w:rPr>
          <w:sz w:val="24"/>
          <w:szCs w:val="24"/>
          <w:lang w:val="da-DK"/>
        </w:rPr>
      </w:pPr>
      <w:r w:rsidRPr="00283C60">
        <w:rPr>
          <w:sz w:val="24"/>
          <w:szCs w:val="24"/>
          <w:lang w:val="da-DK"/>
        </w:rPr>
        <w:t>Hos patienter med lymfocyttal under nedre normalgrænse (LLN), som fastsat i den lokale laboratoriereference, anbefales regelmæssig kontrol af det absolutte lymfocyttal. Øvrige faktorer, der kan øge den individuelle PML-risiko yderligere, bør overvejes (se underpunktet om PML nedenfor).</w:t>
      </w:r>
    </w:p>
    <w:p w14:paraId="3E6DE554" w14:textId="77777777" w:rsidR="00244D23" w:rsidRPr="00283C60" w:rsidRDefault="00244D23" w:rsidP="00393DF8">
      <w:pPr>
        <w:ind w:left="851"/>
        <w:rPr>
          <w:sz w:val="24"/>
          <w:szCs w:val="24"/>
        </w:rPr>
      </w:pPr>
    </w:p>
    <w:p w14:paraId="1903A7BA" w14:textId="77777777" w:rsidR="00244D23" w:rsidRPr="00283C60" w:rsidRDefault="00244D23" w:rsidP="00393DF8">
      <w:pPr>
        <w:ind w:left="851"/>
        <w:rPr>
          <w:sz w:val="24"/>
          <w:szCs w:val="24"/>
        </w:rPr>
      </w:pPr>
      <w:r w:rsidRPr="00283C60">
        <w:rPr>
          <w:sz w:val="24"/>
          <w:szCs w:val="24"/>
        </w:rPr>
        <w:t xml:space="preserve">Lymfocyttallene skal følges indtil normalisering (se pkt. 5.1). Efter normalisering, og hvis der ikke er andre behandlingsmuligheder, skal beslutningen om at genstarte behandlingen med </w:t>
      </w:r>
      <w:proofErr w:type="spellStart"/>
      <w:r w:rsidRPr="00283C60">
        <w:rPr>
          <w:sz w:val="24"/>
          <w:szCs w:val="24"/>
        </w:rPr>
        <w:t>dimethylfumarat</w:t>
      </w:r>
      <w:proofErr w:type="spellEnd"/>
      <w:r w:rsidRPr="00283C60">
        <w:rPr>
          <w:sz w:val="24"/>
          <w:szCs w:val="24"/>
        </w:rPr>
        <w:t xml:space="preserve"> efter behandlingsafbrydelse baseres på et klinisk skøn.</w:t>
      </w:r>
    </w:p>
    <w:p w14:paraId="3C4646BD" w14:textId="77777777" w:rsidR="00244D23" w:rsidRPr="00283C60" w:rsidRDefault="00244D23" w:rsidP="00393DF8">
      <w:pPr>
        <w:ind w:left="851"/>
        <w:rPr>
          <w:sz w:val="24"/>
          <w:szCs w:val="24"/>
        </w:rPr>
      </w:pPr>
    </w:p>
    <w:p w14:paraId="6F149507" w14:textId="77777777" w:rsidR="00244D23" w:rsidRPr="00283C60" w:rsidRDefault="00244D23" w:rsidP="00393DF8">
      <w:pPr>
        <w:ind w:left="851"/>
        <w:rPr>
          <w:sz w:val="24"/>
          <w:szCs w:val="24"/>
          <w:u w:val="single"/>
        </w:rPr>
      </w:pPr>
      <w:r w:rsidRPr="00283C60">
        <w:rPr>
          <w:sz w:val="24"/>
          <w:szCs w:val="24"/>
          <w:u w:val="single"/>
        </w:rPr>
        <w:t>Magnetisk</w:t>
      </w:r>
      <w:r w:rsidRPr="00283C60">
        <w:rPr>
          <w:spacing w:val="-6"/>
          <w:sz w:val="24"/>
          <w:szCs w:val="24"/>
          <w:u w:val="single"/>
        </w:rPr>
        <w:t xml:space="preserve"> </w:t>
      </w:r>
      <w:r w:rsidRPr="00283C60">
        <w:rPr>
          <w:sz w:val="24"/>
          <w:szCs w:val="24"/>
          <w:u w:val="single"/>
        </w:rPr>
        <w:t>resonansscanning</w:t>
      </w:r>
      <w:r w:rsidRPr="00283C60">
        <w:rPr>
          <w:spacing w:val="-3"/>
          <w:sz w:val="24"/>
          <w:szCs w:val="24"/>
          <w:u w:val="single"/>
        </w:rPr>
        <w:t xml:space="preserve"> </w:t>
      </w:r>
      <w:r w:rsidRPr="00283C60">
        <w:rPr>
          <w:sz w:val="24"/>
          <w:szCs w:val="24"/>
          <w:u w:val="single"/>
        </w:rPr>
        <w:t>(MR-scanning)</w:t>
      </w:r>
    </w:p>
    <w:p w14:paraId="03A61B9E" w14:textId="31489778" w:rsidR="00244D23" w:rsidRPr="00283C60" w:rsidRDefault="00244D23" w:rsidP="00393DF8">
      <w:pPr>
        <w:ind w:left="851"/>
        <w:rPr>
          <w:sz w:val="24"/>
          <w:szCs w:val="24"/>
          <w:lang w:eastAsia="fr-LU"/>
        </w:rPr>
      </w:pPr>
      <w:r w:rsidRPr="00283C60">
        <w:rPr>
          <w:sz w:val="24"/>
          <w:szCs w:val="24"/>
        </w:rPr>
        <w:t xml:space="preserve">Før behandlingen med </w:t>
      </w:r>
      <w:proofErr w:type="spellStart"/>
      <w:r w:rsidRPr="00283C60">
        <w:rPr>
          <w:sz w:val="24"/>
          <w:szCs w:val="24"/>
        </w:rPr>
        <w:t>dimethylfumarat</w:t>
      </w:r>
      <w:proofErr w:type="spellEnd"/>
      <w:r w:rsidRPr="00283C60">
        <w:rPr>
          <w:sz w:val="24"/>
          <w:szCs w:val="24"/>
        </w:rPr>
        <w:t xml:space="preserve"> indledes, skal en </w:t>
      </w:r>
      <w:r w:rsidRPr="00283C60">
        <w:rPr>
          <w:i/>
          <w:sz w:val="24"/>
          <w:szCs w:val="24"/>
        </w:rPr>
        <w:t>baseline</w:t>
      </w:r>
      <w:r w:rsidRPr="00283C60">
        <w:rPr>
          <w:sz w:val="24"/>
          <w:szCs w:val="24"/>
        </w:rPr>
        <w:t>-MR-scanning være til rådighed</w:t>
      </w:r>
      <w:r w:rsidRPr="00283C60">
        <w:rPr>
          <w:spacing w:val="1"/>
          <w:sz w:val="24"/>
          <w:szCs w:val="24"/>
        </w:rPr>
        <w:t xml:space="preserve"> </w:t>
      </w:r>
      <w:r w:rsidRPr="00283C60">
        <w:rPr>
          <w:sz w:val="24"/>
          <w:szCs w:val="24"/>
        </w:rPr>
        <w:t xml:space="preserve">(sædvanligvis inden for 3 måneder) som reference. Behovet for yderligere MR-scanning bør overvejes </w:t>
      </w:r>
      <w:r w:rsidR="004837F8" w:rsidRPr="00283C60">
        <w:rPr>
          <w:sz w:val="24"/>
          <w:szCs w:val="24"/>
        </w:rPr>
        <w:t xml:space="preserve">i </w:t>
      </w:r>
      <w:r w:rsidRPr="00283C60">
        <w:rPr>
          <w:sz w:val="24"/>
          <w:szCs w:val="24"/>
        </w:rPr>
        <w:t>overensstemmelse med nationale og lokale anbefalinger. MR-billeddiagnostik kan overvejes som en</w:t>
      </w:r>
      <w:r w:rsidRPr="00283C60">
        <w:rPr>
          <w:spacing w:val="1"/>
          <w:sz w:val="24"/>
          <w:szCs w:val="24"/>
        </w:rPr>
        <w:t xml:space="preserve"> </w:t>
      </w:r>
      <w:r w:rsidRPr="00283C60">
        <w:rPr>
          <w:sz w:val="24"/>
          <w:szCs w:val="24"/>
        </w:rPr>
        <w:t>del af en nøjere overvågning af patienter, der menes at have en øget risiko for PML. Skulle der være</w:t>
      </w:r>
      <w:r w:rsidRPr="00283C60">
        <w:rPr>
          <w:spacing w:val="1"/>
          <w:sz w:val="24"/>
          <w:szCs w:val="24"/>
        </w:rPr>
        <w:t xml:space="preserve"> </w:t>
      </w:r>
      <w:r w:rsidRPr="00283C60">
        <w:rPr>
          <w:sz w:val="24"/>
          <w:szCs w:val="24"/>
        </w:rPr>
        <w:t>klinisk</w:t>
      </w:r>
      <w:r w:rsidRPr="00283C60">
        <w:rPr>
          <w:spacing w:val="-4"/>
          <w:sz w:val="24"/>
          <w:szCs w:val="24"/>
        </w:rPr>
        <w:t xml:space="preserve"> </w:t>
      </w:r>
      <w:r w:rsidRPr="00283C60">
        <w:rPr>
          <w:sz w:val="24"/>
          <w:szCs w:val="24"/>
        </w:rPr>
        <w:t>mistanke om</w:t>
      </w:r>
      <w:r w:rsidRPr="00283C60">
        <w:rPr>
          <w:spacing w:val="-3"/>
          <w:sz w:val="24"/>
          <w:szCs w:val="24"/>
        </w:rPr>
        <w:t xml:space="preserve"> </w:t>
      </w:r>
      <w:r w:rsidRPr="00283C60">
        <w:rPr>
          <w:sz w:val="24"/>
          <w:szCs w:val="24"/>
        </w:rPr>
        <w:t>PML,</w:t>
      </w:r>
      <w:r w:rsidRPr="00283C60">
        <w:rPr>
          <w:spacing w:val="-3"/>
          <w:sz w:val="24"/>
          <w:szCs w:val="24"/>
        </w:rPr>
        <w:t xml:space="preserve"> </w:t>
      </w:r>
      <w:r w:rsidRPr="00283C60">
        <w:rPr>
          <w:sz w:val="24"/>
          <w:szCs w:val="24"/>
        </w:rPr>
        <w:t>skal</w:t>
      </w:r>
      <w:r w:rsidRPr="00283C60">
        <w:rPr>
          <w:spacing w:val="-2"/>
          <w:sz w:val="24"/>
          <w:szCs w:val="24"/>
        </w:rPr>
        <w:t xml:space="preserve"> </w:t>
      </w:r>
      <w:r w:rsidRPr="00283C60">
        <w:rPr>
          <w:sz w:val="24"/>
          <w:szCs w:val="24"/>
        </w:rPr>
        <w:t>MR-scanning</w:t>
      </w:r>
      <w:r w:rsidRPr="00283C60">
        <w:rPr>
          <w:spacing w:val="-4"/>
          <w:sz w:val="24"/>
          <w:szCs w:val="24"/>
        </w:rPr>
        <w:t xml:space="preserve"> </w:t>
      </w:r>
      <w:r w:rsidRPr="00283C60">
        <w:rPr>
          <w:sz w:val="24"/>
          <w:szCs w:val="24"/>
        </w:rPr>
        <w:t>foretages med</w:t>
      </w:r>
      <w:r w:rsidRPr="00283C60">
        <w:rPr>
          <w:spacing w:val="-1"/>
          <w:sz w:val="24"/>
          <w:szCs w:val="24"/>
        </w:rPr>
        <w:t xml:space="preserve"> </w:t>
      </w:r>
      <w:r w:rsidRPr="00283C60">
        <w:rPr>
          <w:sz w:val="24"/>
          <w:szCs w:val="24"/>
        </w:rPr>
        <w:t>det</w:t>
      </w:r>
      <w:r w:rsidRPr="00283C60">
        <w:rPr>
          <w:spacing w:val="1"/>
          <w:sz w:val="24"/>
          <w:szCs w:val="24"/>
        </w:rPr>
        <w:t xml:space="preserve"> </w:t>
      </w:r>
      <w:r w:rsidRPr="00283C60">
        <w:rPr>
          <w:sz w:val="24"/>
          <w:szCs w:val="24"/>
        </w:rPr>
        <w:t>samme</w:t>
      </w:r>
      <w:r w:rsidRPr="00283C60">
        <w:rPr>
          <w:spacing w:val="-2"/>
          <w:sz w:val="24"/>
          <w:szCs w:val="24"/>
        </w:rPr>
        <w:t xml:space="preserve"> </w:t>
      </w:r>
      <w:r w:rsidRPr="00283C60">
        <w:rPr>
          <w:sz w:val="24"/>
          <w:szCs w:val="24"/>
        </w:rPr>
        <w:t>til diagnostisk formål.</w:t>
      </w:r>
    </w:p>
    <w:p w14:paraId="167E296F" w14:textId="77777777" w:rsidR="00244D23" w:rsidRPr="00283C60" w:rsidRDefault="00244D23" w:rsidP="00393DF8">
      <w:pPr>
        <w:ind w:left="851"/>
        <w:rPr>
          <w:sz w:val="24"/>
          <w:szCs w:val="24"/>
        </w:rPr>
      </w:pPr>
    </w:p>
    <w:p w14:paraId="0108412C" w14:textId="77777777" w:rsidR="00244D23" w:rsidRPr="00283C60" w:rsidRDefault="00244D23" w:rsidP="00393DF8">
      <w:pPr>
        <w:ind w:left="851"/>
        <w:rPr>
          <w:sz w:val="24"/>
          <w:szCs w:val="24"/>
          <w:u w:val="single"/>
        </w:rPr>
      </w:pPr>
      <w:r w:rsidRPr="00283C60">
        <w:rPr>
          <w:sz w:val="24"/>
          <w:szCs w:val="24"/>
          <w:u w:val="single"/>
        </w:rPr>
        <w:t>Progressiv</w:t>
      </w:r>
      <w:r w:rsidRPr="00283C60">
        <w:rPr>
          <w:spacing w:val="-6"/>
          <w:sz w:val="24"/>
          <w:szCs w:val="24"/>
          <w:u w:val="single"/>
        </w:rPr>
        <w:t xml:space="preserve"> </w:t>
      </w:r>
      <w:r w:rsidRPr="00283C60">
        <w:rPr>
          <w:sz w:val="24"/>
          <w:szCs w:val="24"/>
          <w:u w:val="single"/>
        </w:rPr>
        <w:t>multifokal</w:t>
      </w:r>
      <w:r w:rsidRPr="00283C60">
        <w:rPr>
          <w:spacing w:val="-4"/>
          <w:sz w:val="24"/>
          <w:szCs w:val="24"/>
          <w:u w:val="single"/>
        </w:rPr>
        <w:t xml:space="preserve"> </w:t>
      </w:r>
      <w:proofErr w:type="spellStart"/>
      <w:r w:rsidRPr="00283C60">
        <w:rPr>
          <w:sz w:val="24"/>
          <w:szCs w:val="24"/>
          <w:u w:val="single"/>
        </w:rPr>
        <w:t>leukoencefalopati</w:t>
      </w:r>
      <w:proofErr w:type="spellEnd"/>
      <w:r w:rsidRPr="00283C60">
        <w:rPr>
          <w:spacing w:val="-4"/>
          <w:sz w:val="24"/>
          <w:szCs w:val="24"/>
          <w:u w:val="single"/>
        </w:rPr>
        <w:t xml:space="preserve"> </w:t>
      </w:r>
      <w:r w:rsidRPr="00283C60">
        <w:rPr>
          <w:sz w:val="24"/>
          <w:szCs w:val="24"/>
          <w:u w:val="single"/>
        </w:rPr>
        <w:t>(PML)</w:t>
      </w:r>
    </w:p>
    <w:p w14:paraId="34B8F127" w14:textId="77777777" w:rsidR="00244D23" w:rsidRPr="00283C60" w:rsidRDefault="00244D23" w:rsidP="00393DF8">
      <w:pPr>
        <w:ind w:left="851"/>
        <w:rPr>
          <w:sz w:val="24"/>
          <w:szCs w:val="24"/>
          <w:lang w:eastAsia="fr-LU"/>
        </w:rPr>
      </w:pPr>
      <w:r w:rsidRPr="00283C60">
        <w:rPr>
          <w:sz w:val="24"/>
          <w:szCs w:val="24"/>
        </w:rPr>
        <w:t xml:space="preserve">Der er indberettet PML hos patienter behandlet med </w:t>
      </w:r>
      <w:proofErr w:type="spellStart"/>
      <w:r w:rsidRPr="00283C60">
        <w:rPr>
          <w:sz w:val="24"/>
          <w:szCs w:val="24"/>
        </w:rPr>
        <w:t>dimethylfumarat</w:t>
      </w:r>
      <w:proofErr w:type="spellEnd"/>
      <w:r w:rsidRPr="00283C60">
        <w:rPr>
          <w:sz w:val="24"/>
          <w:szCs w:val="24"/>
        </w:rPr>
        <w:t xml:space="preserve"> (se pkt. 4.8). PML er en opportunistisk infektion, forårsaget af John </w:t>
      </w:r>
      <w:proofErr w:type="spellStart"/>
      <w:r w:rsidRPr="00283C60">
        <w:rPr>
          <w:sz w:val="24"/>
          <w:szCs w:val="24"/>
        </w:rPr>
        <w:t>Cunningham</w:t>
      </w:r>
      <w:proofErr w:type="spellEnd"/>
      <w:r w:rsidRPr="00283C60">
        <w:rPr>
          <w:sz w:val="24"/>
          <w:szCs w:val="24"/>
        </w:rPr>
        <w:t>-virus (JCV), som kan være dødelig eller resultere i alvorlig invaliditet.</w:t>
      </w:r>
    </w:p>
    <w:p w14:paraId="3608398A" w14:textId="77777777" w:rsidR="00244D23" w:rsidRPr="00283C60" w:rsidRDefault="00244D23" w:rsidP="00393DF8">
      <w:pPr>
        <w:ind w:left="851"/>
        <w:rPr>
          <w:sz w:val="24"/>
          <w:szCs w:val="24"/>
        </w:rPr>
      </w:pPr>
    </w:p>
    <w:p w14:paraId="74943656" w14:textId="77777777" w:rsidR="00244D23" w:rsidRPr="00283C60" w:rsidRDefault="00244D23" w:rsidP="00393DF8">
      <w:pPr>
        <w:ind w:left="851"/>
        <w:rPr>
          <w:sz w:val="24"/>
          <w:szCs w:val="24"/>
        </w:rPr>
      </w:pPr>
      <w:r w:rsidRPr="00283C60">
        <w:rPr>
          <w:sz w:val="24"/>
          <w:szCs w:val="24"/>
        </w:rPr>
        <w:t xml:space="preserve">Der er observeret tilfælde af PML ved behandling med </w:t>
      </w:r>
      <w:proofErr w:type="spellStart"/>
      <w:r w:rsidRPr="00283C60">
        <w:rPr>
          <w:sz w:val="24"/>
          <w:szCs w:val="24"/>
        </w:rPr>
        <w:t>dimethylfumarat</w:t>
      </w:r>
      <w:proofErr w:type="spellEnd"/>
      <w:r w:rsidRPr="00283C60">
        <w:rPr>
          <w:sz w:val="24"/>
          <w:szCs w:val="24"/>
        </w:rPr>
        <w:t xml:space="preserve"> og andre lægemidler, der indeholder </w:t>
      </w:r>
      <w:proofErr w:type="spellStart"/>
      <w:r w:rsidRPr="00283C60">
        <w:rPr>
          <w:sz w:val="24"/>
          <w:szCs w:val="24"/>
        </w:rPr>
        <w:t>fumarater</w:t>
      </w:r>
      <w:proofErr w:type="spellEnd"/>
      <w:r w:rsidRPr="00283C60">
        <w:rPr>
          <w:sz w:val="24"/>
          <w:szCs w:val="24"/>
        </w:rPr>
        <w:t xml:space="preserve">, i forbindelse med </w:t>
      </w:r>
      <w:proofErr w:type="spellStart"/>
      <w:r w:rsidRPr="00283C60">
        <w:rPr>
          <w:sz w:val="24"/>
          <w:szCs w:val="24"/>
        </w:rPr>
        <w:t>lymfopeni</w:t>
      </w:r>
      <w:proofErr w:type="spellEnd"/>
      <w:r w:rsidRPr="00283C60">
        <w:rPr>
          <w:sz w:val="24"/>
          <w:szCs w:val="24"/>
        </w:rPr>
        <w:t xml:space="preserve"> (lymfocyttal under LLN). Moderat til alvorlig, langvarig </w:t>
      </w:r>
      <w:proofErr w:type="spellStart"/>
      <w:r w:rsidRPr="00283C60">
        <w:rPr>
          <w:sz w:val="24"/>
          <w:szCs w:val="24"/>
        </w:rPr>
        <w:t>lymfopeni</w:t>
      </w:r>
      <w:proofErr w:type="spellEnd"/>
      <w:r w:rsidRPr="00283C60">
        <w:rPr>
          <w:sz w:val="24"/>
          <w:szCs w:val="24"/>
        </w:rPr>
        <w:t xml:space="preserve"> synes at øge risikoen for PML med </w:t>
      </w:r>
      <w:proofErr w:type="spellStart"/>
      <w:r w:rsidRPr="00283C60">
        <w:rPr>
          <w:sz w:val="24"/>
          <w:szCs w:val="24"/>
        </w:rPr>
        <w:t>dimethylfumarat</w:t>
      </w:r>
      <w:proofErr w:type="spellEnd"/>
      <w:r w:rsidRPr="00283C60">
        <w:rPr>
          <w:sz w:val="24"/>
          <w:szCs w:val="24"/>
        </w:rPr>
        <w:t xml:space="preserve">. Dog kan risikoen ikke udelukkes hos patienter med let </w:t>
      </w:r>
      <w:proofErr w:type="spellStart"/>
      <w:r w:rsidRPr="00283C60">
        <w:rPr>
          <w:sz w:val="24"/>
          <w:szCs w:val="24"/>
        </w:rPr>
        <w:t>lymfopeni</w:t>
      </w:r>
      <w:proofErr w:type="spellEnd"/>
      <w:r w:rsidRPr="00283C60">
        <w:rPr>
          <w:sz w:val="24"/>
          <w:szCs w:val="24"/>
        </w:rPr>
        <w:t xml:space="preserve">. </w:t>
      </w:r>
    </w:p>
    <w:p w14:paraId="74F5899C" w14:textId="77777777" w:rsidR="00244D23" w:rsidRPr="00283C60" w:rsidRDefault="00244D23" w:rsidP="00393DF8">
      <w:pPr>
        <w:ind w:left="851"/>
        <w:rPr>
          <w:sz w:val="24"/>
          <w:szCs w:val="24"/>
        </w:rPr>
      </w:pPr>
    </w:p>
    <w:p w14:paraId="0AAD15FE" w14:textId="77777777" w:rsidR="00244D23" w:rsidRPr="00283C60" w:rsidRDefault="00244D23" w:rsidP="00393DF8">
      <w:pPr>
        <w:ind w:left="851"/>
        <w:rPr>
          <w:sz w:val="24"/>
          <w:szCs w:val="24"/>
        </w:rPr>
      </w:pPr>
      <w:r w:rsidRPr="00283C60">
        <w:rPr>
          <w:sz w:val="24"/>
          <w:szCs w:val="24"/>
        </w:rPr>
        <w:t xml:space="preserve">Øvrige faktorer, der kan bidrage til en øget risiko for PML i forbindelse med </w:t>
      </w:r>
      <w:proofErr w:type="spellStart"/>
      <w:r w:rsidRPr="00283C60">
        <w:rPr>
          <w:sz w:val="24"/>
          <w:szCs w:val="24"/>
        </w:rPr>
        <w:t>lymfopeni</w:t>
      </w:r>
      <w:proofErr w:type="spellEnd"/>
      <w:r w:rsidRPr="00283C60">
        <w:rPr>
          <w:sz w:val="24"/>
          <w:szCs w:val="24"/>
        </w:rPr>
        <w:t>, er:</w:t>
      </w:r>
    </w:p>
    <w:p w14:paraId="2D316F8A" w14:textId="77777777" w:rsidR="00244D23" w:rsidRPr="00283C60" w:rsidRDefault="00244D23" w:rsidP="004837F8">
      <w:pPr>
        <w:pStyle w:val="Listeafsnit"/>
        <w:numPr>
          <w:ilvl w:val="0"/>
          <w:numId w:val="12"/>
        </w:numPr>
        <w:ind w:left="1276" w:hanging="425"/>
        <w:rPr>
          <w:sz w:val="24"/>
          <w:szCs w:val="24"/>
          <w:lang w:val="da-DK"/>
        </w:rPr>
      </w:pPr>
      <w:r w:rsidRPr="00283C60">
        <w:rPr>
          <w:sz w:val="24"/>
          <w:szCs w:val="24"/>
          <w:lang w:val="da-DK"/>
        </w:rPr>
        <w:t xml:space="preserve">varigheden af behandlingen med </w:t>
      </w:r>
      <w:proofErr w:type="spellStart"/>
      <w:r w:rsidRPr="00283C60">
        <w:rPr>
          <w:sz w:val="24"/>
          <w:szCs w:val="24"/>
          <w:lang w:val="da-DK"/>
        </w:rPr>
        <w:t>dimethylfumarat</w:t>
      </w:r>
      <w:proofErr w:type="spellEnd"/>
      <w:r w:rsidRPr="00283C60">
        <w:rPr>
          <w:sz w:val="24"/>
          <w:szCs w:val="24"/>
          <w:lang w:val="da-DK"/>
        </w:rPr>
        <w:t>. Der er forekommet tilfælde af PML efter cirka 1 til 5 års behandling, selvom det nøjagtige forhold med behandlings</w:t>
      </w:r>
      <w:r w:rsidRPr="00283C60">
        <w:rPr>
          <w:sz w:val="24"/>
          <w:szCs w:val="24"/>
          <w:lang w:val="da-DK"/>
        </w:rPr>
        <w:softHyphen/>
        <w:t>varigheden er ukendt.</w:t>
      </w:r>
    </w:p>
    <w:p w14:paraId="5C90D8CC" w14:textId="77777777" w:rsidR="00244D23" w:rsidRPr="00283C60" w:rsidRDefault="00244D23" w:rsidP="004837F8">
      <w:pPr>
        <w:pStyle w:val="Listeafsnit"/>
        <w:numPr>
          <w:ilvl w:val="0"/>
          <w:numId w:val="12"/>
        </w:numPr>
        <w:ind w:left="1276" w:hanging="425"/>
        <w:rPr>
          <w:sz w:val="24"/>
          <w:szCs w:val="24"/>
          <w:lang w:val="da-DK"/>
        </w:rPr>
      </w:pPr>
      <w:r w:rsidRPr="00283C60">
        <w:rPr>
          <w:sz w:val="24"/>
          <w:szCs w:val="24"/>
          <w:lang w:val="da-DK"/>
        </w:rPr>
        <w:t xml:space="preserve">udtalte fald i CD4+ og især i CD8+ T-celletal, som er vigtige for immunforsvaret (se pkt. 4.8), </w:t>
      </w:r>
    </w:p>
    <w:p w14:paraId="3BD9F7E1" w14:textId="77777777" w:rsidR="00244D23" w:rsidRPr="00283C60" w:rsidRDefault="00244D23" w:rsidP="004837F8">
      <w:pPr>
        <w:pStyle w:val="Listeafsnit"/>
        <w:numPr>
          <w:ilvl w:val="0"/>
          <w:numId w:val="12"/>
        </w:numPr>
        <w:ind w:left="1276" w:hanging="425"/>
        <w:rPr>
          <w:sz w:val="24"/>
          <w:szCs w:val="24"/>
          <w:lang w:val="da-DK"/>
        </w:rPr>
      </w:pPr>
      <w:r w:rsidRPr="00283C60">
        <w:rPr>
          <w:sz w:val="24"/>
          <w:szCs w:val="24"/>
          <w:lang w:val="da-DK"/>
        </w:rPr>
        <w:t>tidligere immunsuppressiv eller immunmodulerende behandling (se nedenfor).</w:t>
      </w:r>
    </w:p>
    <w:p w14:paraId="3407508D" w14:textId="77777777" w:rsidR="00244D23" w:rsidRPr="00283C60" w:rsidRDefault="00244D23" w:rsidP="00393DF8">
      <w:pPr>
        <w:ind w:left="851"/>
        <w:rPr>
          <w:sz w:val="24"/>
          <w:szCs w:val="24"/>
        </w:rPr>
      </w:pPr>
    </w:p>
    <w:p w14:paraId="17A9F496" w14:textId="77777777" w:rsidR="00244D23" w:rsidRPr="00283C60" w:rsidRDefault="00244D23" w:rsidP="00393DF8">
      <w:pPr>
        <w:ind w:left="851"/>
        <w:rPr>
          <w:sz w:val="24"/>
          <w:szCs w:val="24"/>
        </w:rPr>
      </w:pPr>
      <w:r w:rsidRPr="00283C60">
        <w:rPr>
          <w:sz w:val="24"/>
          <w:szCs w:val="24"/>
        </w:rPr>
        <w:t>Læger skal evaluere deres patienter for at afgøre, om symptomerne indikerer neurologisk dysfunktion, og, hvis dette er tilfældet, om disse symptomer er typiske for MS eller kan være tegn på PML.</w:t>
      </w:r>
    </w:p>
    <w:p w14:paraId="6E18DD48" w14:textId="77777777" w:rsidR="00244D23" w:rsidRPr="00283C60" w:rsidRDefault="00244D23" w:rsidP="00393DF8">
      <w:pPr>
        <w:ind w:left="851"/>
        <w:rPr>
          <w:sz w:val="24"/>
          <w:szCs w:val="24"/>
        </w:rPr>
      </w:pPr>
    </w:p>
    <w:p w14:paraId="4AEDF53D" w14:textId="77777777" w:rsidR="00244D23" w:rsidRPr="00283C60" w:rsidRDefault="00244D23" w:rsidP="00393DF8">
      <w:pPr>
        <w:ind w:left="851"/>
        <w:rPr>
          <w:sz w:val="24"/>
          <w:szCs w:val="24"/>
        </w:rPr>
      </w:pPr>
      <w:r w:rsidRPr="00283C60">
        <w:rPr>
          <w:sz w:val="24"/>
          <w:szCs w:val="24"/>
        </w:rPr>
        <w:t xml:space="preserve">Ved det første tegn eller symptom, der tyder på PML, bør </w:t>
      </w:r>
      <w:proofErr w:type="spellStart"/>
      <w:r w:rsidRPr="00283C60">
        <w:rPr>
          <w:sz w:val="24"/>
          <w:szCs w:val="24"/>
        </w:rPr>
        <w:t>dimethylfumarat</w:t>
      </w:r>
      <w:proofErr w:type="spellEnd"/>
      <w:r w:rsidRPr="00283C60">
        <w:rPr>
          <w:sz w:val="24"/>
          <w:szCs w:val="24"/>
        </w:rPr>
        <w:t xml:space="preserve"> seponeres, og der skal udføres</w:t>
      </w:r>
      <w:r w:rsidRPr="00283C60">
        <w:rPr>
          <w:spacing w:val="1"/>
          <w:sz w:val="24"/>
          <w:szCs w:val="24"/>
        </w:rPr>
        <w:t xml:space="preserve"> </w:t>
      </w:r>
      <w:r w:rsidRPr="00283C60">
        <w:rPr>
          <w:sz w:val="24"/>
          <w:szCs w:val="24"/>
        </w:rPr>
        <w:t xml:space="preserve">passende diagnostiske evalueringer, herunder undersøgelse af cerebrospinalvæsken for JCV-DNA ved hjælp af den kvantitative PCR-teknik (Polymerase Chain </w:t>
      </w:r>
      <w:proofErr w:type="spellStart"/>
      <w:r w:rsidRPr="00283C60">
        <w:rPr>
          <w:sz w:val="24"/>
          <w:szCs w:val="24"/>
        </w:rPr>
        <w:t>Reaction</w:t>
      </w:r>
      <w:proofErr w:type="spellEnd"/>
      <w:r w:rsidRPr="00283C60">
        <w:rPr>
          <w:sz w:val="24"/>
          <w:szCs w:val="24"/>
        </w:rPr>
        <w:t>). Symptomer på PML kan ligne et</w:t>
      </w:r>
      <w:r w:rsidRPr="00283C60">
        <w:rPr>
          <w:spacing w:val="1"/>
          <w:sz w:val="24"/>
          <w:szCs w:val="24"/>
        </w:rPr>
        <w:t xml:space="preserve"> </w:t>
      </w:r>
      <w:r w:rsidRPr="00283C60">
        <w:rPr>
          <w:sz w:val="24"/>
          <w:szCs w:val="24"/>
        </w:rPr>
        <w:t>MS-attak. Typiske symptomer forbundet med PML er forskellige, udvikles i løbet af dage eller uger</w:t>
      </w:r>
      <w:r w:rsidRPr="00283C60">
        <w:rPr>
          <w:spacing w:val="1"/>
          <w:sz w:val="24"/>
          <w:szCs w:val="24"/>
        </w:rPr>
        <w:t xml:space="preserve"> </w:t>
      </w:r>
      <w:r w:rsidRPr="00283C60">
        <w:rPr>
          <w:sz w:val="24"/>
          <w:szCs w:val="24"/>
        </w:rPr>
        <w:t>og omfatter progressiv svaghed i den ene side af kroppen eller klodsethed af lemmer, synsforstyrrelser og ændret tankegang, hukommelse og orientering, hvilket fører til forvirring og</w:t>
      </w:r>
      <w:r w:rsidRPr="00283C60">
        <w:rPr>
          <w:spacing w:val="1"/>
          <w:sz w:val="24"/>
          <w:szCs w:val="24"/>
        </w:rPr>
        <w:t xml:space="preserve"> </w:t>
      </w:r>
      <w:r w:rsidRPr="00283C60">
        <w:rPr>
          <w:sz w:val="24"/>
          <w:szCs w:val="24"/>
        </w:rPr>
        <w:t xml:space="preserve">personlighedsændringer. Læger skal navnlig være opmærksomme på symptomer, der tyder på PML, som patienten muligvis ikke selv bemærker. Patienten skal også rådgives om at </w:t>
      </w:r>
      <w:r w:rsidRPr="00283C60">
        <w:rPr>
          <w:sz w:val="24"/>
          <w:szCs w:val="24"/>
        </w:rPr>
        <w:lastRenderedPageBreak/>
        <w:t>informere sin partner eller omsorgspersoner om behandlingen, da de kan bemærke symptomer, som patienten ikke selv er klar over.</w:t>
      </w:r>
    </w:p>
    <w:p w14:paraId="25E5F629" w14:textId="77777777" w:rsidR="00244D23" w:rsidRPr="00283C60" w:rsidRDefault="00244D23" w:rsidP="00393DF8">
      <w:pPr>
        <w:ind w:left="851"/>
        <w:rPr>
          <w:sz w:val="24"/>
          <w:szCs w:val="24"/>
        </w:rPr>
      </w:pPr>
    </w:p>
    <w:p w14:paraId="022143F0" w14:textId="77777777" w:rsidR="00244D23" w:rsidRPr="00283C60" w:rsidRDefault="00244D23" w:rsidP="00393DF8">
      <w:pPr>
        <w:ind w:left="851"/>
        <w:rPr>
          <w:sz w:val="24"/>
          <w:szCs w:val="24"/>
        </w:rPr>
      </w:pPr>
      <w:r w:rsidRPr="00283C60">
        <w:rPr>
          <w:sz w:val="24"/>
          <w:szCs w:val="24"/>
        </w:rPr>
        <w:t xml:space="preserve">PML kan kun opstå, hvis patienten har JCV-infektion. Man skal være opmærksom på, at det ikke er undersøgt, om </w:t>
      </w:r>
      <w:proofErr w:type="spellStart"/>
      <w:r w:rsidRPr="00283C60">
        <w:rPr>
          <w:sz w:val="24"/>
          <w:szCs w:val="24"/>
        </w:rPr>
        <w:t>lymfopeni</w:t>
      </w:r>
      <w:proofErr w:type="spellEnd"/>
      <w:r w:rsidRPr="00283C60">
        <w:rPr>
          <w:sz w:val="24"/>
          <w:szCs w:val="24"/>
        </w:rPr>
        <w:t xml:space="preserve"> har indflydelse på nøjagtigheden af testning af serum for </w:t>
      </w:r>
      <w:proofErr w:type="spellStart"/>
      <w:r w:rsidRPr="00283C60">
        <w:rPr>
          <w:sz w:val="24"/>
          <w:szCs w:val="24"/>
        </w:rPr>
        <w:t>anti</w:t>
      </w:r>
      <w:proofErr w:type="spellEnd"/>
      <w:r w:rsidRPr="00283C60">
        <w:rPr>
          <w:sz w:val="24"/>
          <w:szCs w:val="24"/>
        </w:rPr>
        <w:t xml:space="preserve">-JVC-antistoffer hos patienter behandlet med </w:t>
      </w:r>
      <w:proofErr w:type="spellStart"/>
      <w:r w:rsidRPr="00283C60">
        <w:rPr>
          <w:sz w:val="24"/>
          <w:szCs w:val="24"/>
        </w:rPr>
        <w:t>dimethylfumarat</w:t>
      </w:r>
      <w:proofErr w:type="spellEnd"/>
      <w:r w:rsidRPr="00283C60">
        <w:rPr>
          <w:sz w:val="24"/>
          <w:szCs w:val="24"/>
        </w:rPr>
        <w:t xml:space="preserve">. Det skal også bemærkes, at en negativ </w:t>
      </w:r>
      <w:proofErr w:type="spellStart"/>
      <w:r w:rsidRPr="00283C60">
        <w:rPr>
          <w:sz w:val="24"/>
          <w:szCs w:val="24"/>
        </w:rPr>
        <w:t>anti</w:t>
      </w:r>
      <w:proofErr w:type="spellEnd"/>
      <w:r w:rsidRPr="00283C60">
        <w:rPr>
          <w:sz w:val="24"/>
          <w:szCs w:val="24"/>
        </w:rPr>
        <w:t>-JVC-antistoftest (ved tilstedeværelsen af normale lymfocyttal) ikke udelukker muligheden for senere JCV-infektion.</w:t>
      </w:r>
    </w:p>
    <w:p w14:paraId="5137F4C6" w14:textId="77777777" w:rsidR="00244D23" w:rsidRPr="00283C60" w:rsidRDefault="00244D23" w:rsidP="00393DF8">
      <w:pPr>
        <w:ind w:left="851"/>
        <w:rPr>
          <w:sz w:val="24"/>
          <w:szCs w:val="24"/>
        </w:rPr>
      </w:pPr>
    </w:p>
    <w:p w14:paraId="6AB63EAC" w14:textId="77777777" w:rsidR="00244D23" w:rsidRPr="00283C60" w:rsidRDefault="00244D23" w:rsidP="00393DF8">
      <w:pPr>
        <w:ind w:left="851"/>
        <w:rPr>
          <w:sz w:val="24"/>
          <w:szCs w:val="24"/>
          <w:lang w:eastAsia="fr-LU"/>
        </w:rPr>
      </w:pPr>
      <w:r w:rsidRPr="00283C60">
        <w:rPr>
          <w:sz w:val="24"/>
          <w:szCs w:val="24"/>
        </w:rPr>
        <w:t xml:space="preserve">Hvis en patient udvikler PML, skal </w:t>
      </w:r>
      <w:proofErr w:type="spellStart"/>
      <w:r w:rsidRPr="00283C60">
        <w:rPr>
          <w:sz w:val="24"/>
          <w:szCs w:val="24"/>
        </w:rPr>
        <w:t>dimethylfumarat</w:t>
      </w:r>
      <w:proofErr w:type="spellEnd"/>
      <w:r w:rsidRPr="00283C60">
        <w:rPr>
          <w:sz w:val="24"/>
          <w:szCs w:val="24"/>
        </w:rPr>
        <w:t xml:space="preserve"> seponeres permanent.</w:t>
      </w:r>
    </w:p>
    <w:p w14:paraId="6C8F4F28" w14:textId="77777777" w:rsidR="00244D23" w:rsidRPr="00283C60" w:rsidRDefault="00244D23" w:rsidP="00393DF8">
      <w:pPr>
        <w:ind w:left="851"/>
        <w:rPr>
          <w:sz w:val="24"/>
          <w:szCs w:val="24"/>
        </w:rPr>
      </w:pPr>
    </w:p>
    <w:p w14:paraId="50DCA957" w14:textId="77777777" w:rsidR="00244D23" w:rsidRPr="00283C60" w:rsidRDefault="00244D23" w:rsidP="00393DF8">
      <w:pPr>
        <w:ind w:left="851"/>
        <w:rPr>
          <w:sz w:val="24"/>
          <w:szCs w:val="24"/>
          <w:u w:val="single"/>
        </w:rPr>
      </w:pPr>
      <w:r w:rsidRPr="00283C60">
        <w:rPr>
          <w:sz w:val="24"/>
          <w:szCs w:val="24"/>
          <w:u w:val="single"/>
        </w:rPr>
        <w:t>Tidligere</w:t>
      </w:r>
      <w:r w:rsidRPr="00283C60">
        <w:rPr>
          <w:spacing w:val="-3"/>
          <w:sz w:val="24"/>
          <w:szCs w:val="24"/>
          <w:u w:val="single"/>
        </w:rPr>
        <w:t xml:space="preserve"> </w:t>
      </w:r>
      <w:r w:rsidRPr="00283C60">
        <w:rPr>
          <w:sz w:val="24"/>
          <w:szCs w:val="24"/>
          <w:u w:val="single"/>
        </w:rPr>
        <w:t>behandling</w:t>
      </w:r>
      <w:r w:rsidRPr="00283C60">
        <w:rPr>
          <w:spacing w:val="-5"/>
          <w:sz w:val="24"/>
          <w:szCs w:val="24"/>
          <w:u w:val="single"/>
        </w:rPr>
        <w:t xml:space="preserve"> </w:t>
      </w:r>
      <w:r w:rsidRPr="00283C60">
        <w:rPr>
          <w:sz w:val="24"/>
          <w:szCs w:val="24"/>
          <w:u w:val="single"/>
        </w:rPr>
        <w:t>med</w:t>
      </w:r>
      <w:r w:rsidRPr="00283C60">
        <w:rPr>
          <w:spacing w:val="-5"/>
          <w:sz w:val="24"/>
          <w:szCs w:val="24"/>
          <w:u w:val="single"/>
        </w:rPr>
        <w:t xml:space="preserve"> </w:t>
      </w:r>
      <w:r w:rsidRPr="00283C60">
        <w:rPr>
          <w:sz w:val="24"/>
          <w:szCs w:val="24"/>
          <w:u w:val="single"/>
        </w:rPr>
        <w:t>immunsuppressive</w:t>
      </w:r>
      <w:r w:rsidRPr="00283C60">
        <w:rPr>
          <w:spacing w:val="-3"/>
          <w:sz w:val="24"/>
          <w:szCs w:val="24"/>
          <w:u w:val="single"/>
        </w:rPr>
        <w:t xml:space="preserve"> </w:t>
      </w:r>
      <w:r w:rsidRPr="00283C60">
        <w:rPr>
          <w:sz w:val="24"/>
          <w:szCs w:val="24"/>
          <w:u w:val="single"/>
        </w:rPr>
        <w:t>eller</w:t>
      </w:r>
      <w:r w:rsidRPr="00283C60">
        <w:rPr>
          <w:spacing w:val="-4"/>
          <w:sz w:val="24"/>
          <w:szCs w:val="24"/>
          <w:u w:val="single"/>
        </w:rPr>
        <w:t xml:space="preserve"> </w:t>
      </w:r>
      <w:r w:rsidRPr="00283C60">
        <w:rPr>
          <w:sz w:val="24"/>
          <w:szCs w:val="24"/>
          <w:u w:val="single"/>
        </w:rPr>
        <w:t>immunmodulerende</w:t>
      </w:r>
      <w:r w:rsidRPr="00283C60">
        <w:rPr>
          <w:spacing w:val="-4"/>
          <w:sz w:val="24"/>
          <w:szCs w:val="24"/>
          <w:u w:val="single"/>
        </w:rPr>
        <w:t xml:space="preserve"> </w:t>
      </w:r>
      <w:r w:rsidRPr="00283C60">
        <w:rPr>
          <w:sz w:val="24"/>
          <w:szCs w:val="24"/>
          <w:u w:val="single"/>
        </w:rPr>
        <w:t>præparater</w:t>
      </w:r>
    </w:p>
    <w:p w14:paraId="3C595987" w14:textId="77777777" w:rsidR="00244D23" w:rsidRPr="00283C60" w:rsidRDefault="00244D23" w:rsidP="00393DF8">
      <w:pPr>
        <w:ind w:left="851"/>
        <w:rPr>
          <w:sz w:val="24"/>
          <w:szCs w:val="24"/>
          <w:lang w:eastAsia="fr-LU"/>
        </w:rPr>
      </w:pPr>
      <w:r w:rsidRPr="00283C60">
        <w:rPr>
          <w:sz w:val="24"/>
          <w:szCs w:val="24"/>
        </w:rPr>
        <w:t xml:space="preserve">Der er ikke udført studier, som evaluerer </w:t>
      </w:r>
      <w:proofErr w:type="spellStart"/>
      <w:r w:rsidRPr="00283C60">
        <w:rPr>
          <w:sz w:val="24"/>
          <w:szCs w:val="24"/>
        </w:rPr>
        <w:t>dimethylfumarats</w:t>
      </w:r>
      <w:proofErr w:type="spellEnd"/>
      <w:r w:rsidRPr="00283C60">
        <w:rPr>
          <w:sz w:val="24"/>
          <w:szCs w:val="24"/>
        </w:rPr>
        <w:t xml:space="preserve"> virkning og sikkerhed hos patienter, der er skiftet fra andre sygdomsmodificerende behandlinger til </w:t>
      </w:r>
      <w:proofErr w:type="spellStart"/>
      <w:r w:rsidRPr="00283C60">
        <w:rPr>
          <w:sz w:val="24"/>
          <w:szCs w:val="24"/>
        </w:rPr>
        <w:t>dimethylfumarat</w:t>
      </w:r>
      <w:proofErr w:type="spellEnd"/>
      <w:r w:rsidRPr="00283C60">
        <w:rPr>
          <w:sz w:val="24"/>
          <w:szCs w:val="24"/>
        </w:rPr>
        <w:t xml:space="preserve">. Det er muligt, at tidligere immunsuppressiv behandling bidrager til udviklingen af PML hos patienter behandlet med </w:t>
      </w:r>
      <w:proofErr w:type="spellStart"/>
      <w:r w:rsidRPr="00283C60">
        <w:rPr>
          <w:sz w:val="24"/>
          <w:szCs w:val="24"/>
        </w:rPr>
        <w:t>dimethylfumarat</w:t>
      </w:r>
      <w:proofErr w:type="spellEnd"/>
      <w:r w:rsidRPr="00283C60">
        <w:rPr>
          <w:sz w:val="24"/>
          <w:szCs w:val="24"/>
        </w:rPr>
        <w:t>.</w:t>
      </w:r>
    </w:p>
    <w:p w14:paraId="4ACC7199" w14:textId="77777777" w:rsidR="00244D23" w:rsidRPr="00283C60" w:rsidRDefault="00244D23" w:rsidP="00393DF8">
      <w:pPr>
        <w:ind w:left="851"/>
        <w:rPr>
          <w:sz w:val="24"/>
          <w:szCs w:val="24"/>
        </w:rPr>
      </w:pPr>
    </w:p>
    <w:p w14:paraId="202EE775" w14:textId="77777777" w:rsidR="00244D23" w:rsidRPr="00283C60" w:rsidRDefault="00244D23" w:rsidP="00393DF8">
      <w:pPr>
        <w:ind w:left="851"/>
        <w:rPr>
          <w:sz w:val="24"/>
          <w:szCs w:val="24"/>
        </w:rPr>
      </w:pPr>
      <w:r w:rsidRPr="00283C60">
        <w:rPr>
          <w:sz w:val="24"/>
          <w:szCs w:val="24"/>
        </w:rPr>
        <w:t xml:space="preserve">Der er observeret tilfælde af PML hos patienter, der tidligere havde været i behandling med </w:t>
      </w:r>
      <w:proofErr w:type="spellStart"/>
      <w:r w:rsidRPr="00283C60">
        <w:rPr>
          <w:sz w:val="24"/>
          <w:szCs w:val="24"/>
        </w:rPr>
        <w:t>natalizumab</w:t>
      </w:r>
      <w:proofErr w:type="spellEnd"/>
      <w:r w:rsidRPr="00283C60">
        <w:rPr>
          <w:sz w:val="24"/>
          <w:szCs w:val="24"/>
        </w:rPr>
        <w:t xml:space="preserve">, som er kendt for at medføre en risiko for udvikling af PML. Læger bør være opmærksomme på, at tilfælde af PML, der optræder kort tid efter </w:t>
      </w:r>
      <w:proofErr w:type="spellStart"/>
      <w:r w:rsidRPr="00283C60">
        <w:rPr>
          <w:sz w:val="24"/>
          <w:szCs w:val="24"/>
        </w:rPr>
        <w:t>seponering</w:t>
      </w:r>
      <w:proofErr w:type="spellEnd"/>
      <w:r w:rsidRPr="00283C60">
        <w:rPr>
          <w:sz w:val="24"/>
          <w:szCs w:val="24"/>
        </w:rPr>
        <w:t xml:space="preserve"> af </w:t>
      </w:r>
      <w:proofErr w:type="spellStart"/>
      <w:r w:rsidRPr="00283C60">
        <w:rPr>
          <w:sz w:val="24"/>
          <w:szCs w:val="24"/>
        </w:rPr>
        <w:t>natalizumab</w:t>
      </w:r>
      <w:proofErr w:type="spellEnd"/>
      <w:r w:rsidRPr="00283C60">
        <w:rPr>
          <w:sz w:val="24"/>
          <w:szCs w:val="24"/>
        </w:rPr>
        <w:t xml:space="preserve">, ikke nødvendigvis er ledsaget af </w:t>
      </w:r>
      <w:proofErr w:type="spellStart"/>
      <w:r w:rsidRPr="00283C60">
        <w:rPr>
          <w:sz w:val="24"/>
          <w:szCs w:val="24"/>
        </w:rPr>
        <w:t>lymfopeni</w:t>
      </w:r>
      <w:proofErr w:type="spellEnd"/>
      <w:r w:rsidRPr="00283C60">
        <w:rPr>
          <w:sz w:val="24"/>
          <w:szCs w:val="24"/>
        </w:rPr>
        <w:t>.</w:t>
      </w:r>
    </w:p>
    <w:p w14:paraId="4272240F" w14:textId="77777777" w:rsidR="00244D23" w:rsidRPr="00283C60" w:rsidRDefault="00244D23" w:rsidP="00393DF8">
      <w:pPr>
        <w:ind w:left="851"/>
        <w:rPr>
          <w:sz w:val="24"/>
          <w:szCs w:val="24"/>
        </w:rPr>
      </w:pPr>
    </w:p>
    <w:p w14:paraId="2FDE21E7" w14:textId="77777777" w:rsidR="00244D23" w:rsidRPr="00283C60" w:rsidRDefault="00244D23" w:rsidP="00393DF8">
      <w:pPr>
        <w:ind w:left="851"/>
        <w:rPr>
          <w:sz w:val="24"/>
          <w:szCs w:val="24"/>
          <w:lang w:eastAsia="fr-LU"/>
        </w:rPr>
      </w:pPr>
      <w:r w:rsidRPr="00283C60">
        <w:rPr>
          <w:sz w:val="24"/>
          <w:szCs w:val="24"/>
        </w:rPr>
        <w:t xml:space="preserve">Endvidere er størstedelen af bekræftede PML-tilfælde i forbindelse med </w:t>
      </w:r>
      <w:proofErr w:type="spellStart"/>
      <w:r w:rsidRPr="00283C60">
        <w:rPr>
          <w:sz w:val="24"/>
          <w:szCs w:val="24"/>
        </w:rPr>
        <w:t>dimethylfumarat</w:t>
      </w:r>
      <w:proofErr w:type="spellEnd"/>
      <w:r w:rsidRPr="00283C60">
        <w:rPr>
          <w:sz w:val="24"/>
          <w:szCs w:val="24"/>
        </w:rPr>
        <w:t xml:space="preserve"> indtruffet hos patienter, der tidligere har gennemgået immunmodulerende behandling.</w:t>
      </w:r>
    </w:p>
    <w:p w14:paraId="77C75536" w14:textId="77777777" w:rsidR="00244D23" w:rsidRPr="00283C60" w:rsidRDefault="00244D23" w:rsidP="00393DF8">
      <w:pPr>
        <w:ind w:left="851"/>
        <w:rPr>
          <w:sz w:val="24"/>
          <w:szCs w:val="24"/>
        </w:rPr>
      </w:pPr>
    </w:p>
    <w:p w14:paraId="351CDE98" w14:textId="77777777" w:rsidR="00244D23" w:rsidRPr="00283C60" w:rsidRDefault="00244D23" w:rsidP="00393DF8">
      <w:pPr>
        <w:ind w:left="851"/>
        <w:rPr>
          <w:sz w:val="24"/>
          <w:szCs w:val="24"/>
        </w:rPr>
      </w:pPr>
      <w:r w:rsidRPr="00283C60">
        <w:rPr>
          <w:sz w:val="24"/>
          <w:szCs w:val="24"/>
        </w:rPr>
        <w:t xml:space="preserve">Når patienter skifter fra en anden sygdomsmodificerende behandling til </w:t>
      </w:r>
      <w:proofErr w:type="spellStart"/>
      <w:r w:rsidRPr="00283C60">
        <w:rPr>
          <w:sz w:val="24"/>
          <w:szCs w:val="24"/>
        </w:rPr>
        <w:t>dimethylfumarat</w:t>
      </w:r>
      <w:proofErr w:type="spellEnd"/>
      <w:r w:rsidRPr="00283C60">
        <w:rPr>
          <w:sz w:val="24"/>
          <w:szCs w:val="24"/>
        </w:rPr>
        <w:t xml:space="preserve">, skal den anden terapis halveringstid og virkningsmekanisme tages i betragtning for at undgå en </w:t>
      </w:r>
      <w:proofErr w:type="gramStart"/>
      <w:r w:rsidRPr="00283C60">
        <w:rPr>
          <w:sz w:val="24"/>
          <w:szCs w:val="24"/>
        </w:rPr>
        <w:t>additiv immuneffekt</w:t>
      </w:r>
      <w:proofErr w:type="gramEnd"/>
      <w:r w:rsidRPr="00283C60">
        <w:rPr>
          <w:sz w:val="24"/>
          <w:szCs w:val="24"/>
        </w:rPr>
        <w:t xml:space="preserve"> og samtidig nedsætte risikoen for reaktivering af MS. Det anbefales at foretage en komplet blodtælling, før behandling med </w:t>
      </w:r>
      <w:proofErr w:type="spellStart"/>
      <w:r w:rsidRPr="00283C60">
        <w:rPr>
          <w:sz w:val="24"/>
          <w:szCs w:val="24"/>
        </w:rPr>
        <w:t>dimethylfumarat</w:t>
      </w:r>
      <w:proofErr w:type="spellEnd"/>
      <w:r w:rsidRPr="00283C60">
        <w:rPr>
          <w:sz w:val="24"/>
          <w:szCs w:val="24"/>
        </w:rPr>
        <w:t xml:space="preserve"> indledes og regelmæssigt under behandlingen (se Blodprøver/laboratorietests ovenfor).</w:t>
      </w:r>
    </w:p>
    <w:p w14:paraId="2F944F4D" w14:textId="77777777" w:rsidR="00244D23" w:rsidRPr="00283C60" w:rsidRDefault="00244D23" w:rsidP="00393DF8">
      <w:pPr>
        <w:ind w:left="851"/>
        <w:rPr>
          <w:sz w:val="24"/>
          <w:szCs w:val="24"/>
        </w:rPr>
      </w:pPr>
    </w:p>
    <w:p w14:paraId="67B30DE5" w14:textId="77777777" w:rsidR="00244D23" w:rsidRPr="00283C60" w:rsidRDefault="00244D23" w:rsidP="00393DF8">
      <w:pPr>
        <w:ind w:left="851"/>
        <w:rPr>
          <w:sz w:val="24"/>
          <w:szCs w:val="24"/>
          <w:u w:val="single"/>
        </w:rPr>
      </w:pPr>
      <w:r w:rsidRPr="00283C60">
        <w:rPr>
          <w:sz w:val="24"/>
          <w:szCs w:val="24"/>
          <w:u w:val="single"/>
        </w:rPr>
        <w:t>Alvorlig</w:t>
      </w:r>
      <w:r w:rsidRPr="00283C60">
        <w:rPr>
          <w:spacing w:val="-4"/>
          <w:sz w:val="24"/>
          <w:szCs w:val="24"/>
          <w:u w:val="single"/>
        </w:rPr>
        <w:t xml:space="preserve"> </w:t>
      </w:r>
      <w:r w:rsidRPr="00283C60">
        <w:rPr>
          <w:sz w:val="24"/>
          <w:szCs w:val="24"/>
          <w:u w:val="single"/>
        </w:rPr>
        <w:t>nyre-</w:t>
      </w:r>
      <w:r w:rsidRPr="00283C60">
        <w:rPr>
          <w:spacing w:val="-2"/>
          <w:sz w:val="24"/>
          <w:szCs w:val="24"/>
          <w:u w:val="single"/>
        </w:rPr>
        <w:t xml:space="preserve"> </w:t>
      </w:r>
      <w:r w:rsidRPr="00283C60">
        <w:rPr>
          <w:sz w:val="24"/>
          <w:szCs w:val="24"/>
          <w:u w:val="single"/>
        </w:rPr>
        <w:t>og leverinsufficiens</w:t>
      </w:r>
    </w:p>
    <w:p w14:paraId="5B28EA9F" w14:textId="77777777" w:rsidR="00244D23" w:rsidRPr="00283C60" w:rsidRDefault="00244D23" w:rsidP="00393DF8">
      <w:pPr>
        <w:ind w:left="851"/>
        <w:rPr>
          <w:sz w:val="24"/>
          <w:szCs w:val="24"/>
          <w:lang w:eastAsia="fr-LU"/>
        </w:rPr>
      </w:pPr>
      <w:proofErr w:type="spellStart"/>
      <w:r w:rsidRPr="00283C60">
        <w:rPr>
          <w:sz w:val="24"/>
          <w:szCs w:val="24"/>
        </w:rPr>
        <w:t>Dimethylfumarat</w:t>
      </w:r>
      <w:proofErr w:type="spellEnd"/>
      <w:r w:rsidRPr="00283C60">
        <w:rPr>
          <w:sz w:val="24"/>
          <w:szCs w:val="24"/>
        </w:rPr>
        <w:t xml:space="preserve"> er ikke blevet undersøgt hos patienter med alvorlig nyre- eller leverinsufficiens, og der skal derfor udvises</w:t>
      </w:r>
      <w:r w:rsidRPr="00283C60">
        <w:rPr>
          <w:spacing w:val="-2"/>
          <w:sz w:val="24"/>
          <w:szCs w:val="24"/>
        </w:rPr>
        <w:t xml:space="preserve"> </w:t>
      </w:r>
      <w:r w:rsidRPr="00283C60">
        <w:rPr>
          <w:sz w:val="24"/>
          <w:szCs w:val="24"/>
        </w:rPr>
        <w:t>forsigtighed</w:t>
      </w:r>
      <w:r w:rsidRPr="00283C60">
        <w:rPr>
          <w:spacing w:val="-3"/>
          <w:sz w:val="24"/>
          <w:szCs w:val="24"/>
        </w:rPr>
        <w:t xml:space="preserve"> </w:t>
      </w:r>
      <w:r w:rsidRPr="00283C60">
        <w:rPr>
          <w:sz w:val="24"/>
          <w:szCs w:val="24"/>
        </w:rPr>
        <w:t>ved brug hos</w:t>
      </w:r>
      <w:r w:rsidRPr="00283C60">
        <w:rPr>
          <w:spacing w:val="-2"/>
          <w:sz w:val="24"/>
          <w:szCs w:val="24"/>
        </w:rPr>
        <w:t xml:space="preserve"> </w:t>
      </w:r>
      <w:r w:rsidRPr="00283C60">
        <w:rPr>
          <w:sz w:val="24"/>
          <w:szCs w:val="24"/>
        </w:rPr>
        <w:t>sådanne patienter</w:t>
      </w:r>
      <w:r w:rsidRPr="00283C60">
        <w:rPr>
          <w:spacing w:val="-2"/>
          <w:sz w:val="24"/>
          <w:szCs w:val="24"/>
        </w:rPr>
        <w:t xml:space="preserve"> </w:t>
      </w:r>
      <w:r w:rsidRPr="00283C60">
        <w:rPr>
          <w:sz w:val="24"/>
          <w:szCs w:val="24"/>
        </w:rPr>
        <w:t>(se</w:t>
      </w:r>
      <w:r w:rsidRPr="00283C60">
        <w:rPr>
          <w:spacing w:val="-1"/>
          <w:sz w:val="24"/>
          <w:szCs w:val="24"/>
        </w:rPr>
        <w:t xml:space="preserve"> </w:t>
      </w:r>
      <w:r w:rsidRPr="00283C60">
        <w:rPr>
          <w:sz w:val="24"/>
          <w:szCs w:val="24"/>
        </w:rPr>
        <w:t>pkt. 4.2).</w:t>
      </w:r>
    </w:p>
    <w:p w14:paraId="4BBDCD32" w14:textId="77777777" w:rsidR="00244D23" w:rsidRPr="00283C60" w:rsidRDefault="00244D23" w:rsidP="00393DF8">
      <w:pPr>
        <w:ind w:left="851"/>
        <w:rPr>
          <w:sz w:val="24"/>
          <w:szCs w:val="24"/>
        </w:rPr>
      </w:pPr>
    </w:p>
    <w:p w14:paraId="4B75E588" w14:textId="77777777" w:rsidR="00244D23" w:rsidRPr="00283C60" w:rsidRDefault="00244D23" w:rsidP="00393DF8">
      <w:pPr>
        <w:ind w:left="851"/>
        <w:rPr>
          <w:sz w:val="24"/>
          <w:szCs w:val="24"/>
          <w:u w:val="single"/>
        </w:rPr>
      </w:pPr>
      <w:r w:rsidRPr="00283C60">
        <w:rPr>
          <w:sz w:val="24"/>
          <w:szCs w:val="24"/>
          <w:u w:val="single"/>
        </w:rPr>
        <w:t>Alvorlig,</w:t>
      </w:r>
      <w:r w:rsidRPr="00283C60">
        <w:rPr>
          <w:spacing w:val="-5"/>
          <w:sz w:val="24"/>
          <w:szCs w:val="24"/>
          <w:u w:val="single"/>
        </w:rPr>
        <w:t xml:space="preserve"> </w:t>
      </w:r>
      <w:r w:rsidRPr="00283C60">
        <w:rPr>
          <w:sz w:val="24"/>
          <w:szCs w:val="24"/>
          <w:u w:val="single"/>
        </w:rPr>
        <w:t>aktiv</w:t>
      </w:r>
      <w:r w:rsidRPr="00283C60">
        <w:rPr>
          <w:spacing w:val="-1"/>
          <w:sz w:val="24"/>
          <w:szCs w:val="24"/>
          <w:u w:val="single"/>
        </w:rPr>
        <w:t xml:space="preserve"> </w:t>
      </w:r>
      <w:proofErr w:type="spellStart"/>
      <w:r w:rsidRPr="00283C60">
        <w:rPr>
          <w:sz w:val="24"/>
          <w:szCs w:val="24"/>
          <w:u w:val="single"/>
        </w:rPr>
        <w:t>gastrointestinal</w:t>
      </w:r>
      <w:proofErr w:type="spellEnd"/>
      <w:r w:rsidRPr="00283C60">
        <w:rPr>
          <w:spacing w:val="-1"/>
          <w:sz w:val="24"/>
          <w:szCs w:val="24"/>
          <w:u w:val="single"/>
        </w:rPr>
        <w:t xml:space="preserve"> </w:t>
      </w:r>
      <w:r w:rsidRPr="00283C60">
        <w:rPr>
          <w:sz w:val="24"/>
          <w:szCs w:val="24"/>
          <w:u w:val="single"/>
        </w:rPr>
        <w:t>sygdom</w:t>
      </w:r>
    </w:p>
    <w:p w14:paraId="04F3819B" w14:textId="77777777" w:rsidR="00244D23" w:rsidRPr="00283C60" w:rsidRDefault="00244D23" w:rsidP="00393DF8">
      <w:pPr>
        <w:ind w:left="851"/>
        <w:rPr>
          <w:sz w:val="24"/>
          <w:szCs w:val="24"/>
          <w:lang w:eastAsia="fr-LU"/>
        </w:rPr>
      </w:pPr>
      <w:proofErr w:type="spellStart"/>
      <w:r w:rsidRPr="00283C60">
        <w:rPr>
          <w:sz w:val="24"/>
          <w:szCs w:val="24"/>
        </w:rPr>
        <w:t>Dimethylfumarat</w:t>
      </w:r>
      <w:proofErr w:type="spellEnd"/>
      <w:r w:rsidRPr="00283C60">
        <w:rPr>
          <w:sz w:val="24"/>
          <w:szCs w:val="24"/>
        </w:rPr>
        <w:t xml:space="preserve"> er ikke blevet undersøgt hos patienter med alvorlig, aktiv </w:t>
      </w:r>
      <w:proofErr w:type="spellStart"/>
      <w:r w:rsidRPr="00283C60">
        <w:rPr>
          <w:sz w:val="24"/>
          <w:szCs w:val="24"/>
        </w:rPr>
        <w:t>gastrointestinal</w:t>
      </w:r>
      <w:proofErr w:type="spellEnd"/>
      <w:r w:rsidRPr="00283C60">
        <w:rPr>
          <w:sz w:val="24"/>
          <w:szCs w:val="24"/>
        </w:rPr>
        <w:t xml:space="preserve"> sygdom, og der skal derfor udvises forsigtighed hos sådanne patienter.</w:t>
      </w:r>
    </w:p>
    <w:p w14:paraId="0CBFB9B4" w14:textId="77777777" w:rsidR="00244D23" w:rsidRPr="00283C60" w:rsidRDefault="00244D23" w:rsidP="00393DF8">
      <w:pPr>
        <w:ind w:left="851"/>
        <w:rPr>
          <w:sz w:val="24"/>
          <w:szCs w:val="24"/>
        </w:rPr>
      </w:pPr>
    </w:p>
    <w:p w14:paraId="3243F02E" w14:textId="77777777" w:rsidR="00244D23" w:rsidRPr="00283C60" w:rsidRDefault="00244D23" w:rsidP="00393DF8">
      <w:pPr>
        <w:ind w:left="851"/>
        <w:rPr>
          <w:sz w:val="24"/>
          <w:szCs w:val="24"/>
          <w:u w:val="single"/>
        </w:rPr>
      </w:pPr>
      <w:r w:rsidRPr="00283C60">
        <w:rPr>
          <w:sz w:val="24"/>
          <w:szCs w:val="24"/>
          <w:u w:val="single"/>
        </w:rPr>
        <w:t>Rødme</w:t>
      </w:r>
      <w:r w:rsidRPr="00283C60">
        <w:rPr>
          <w:spacing w:val="-3"/>
          <w:sz w:val="24"/>
          <w:szCs w:val="24"/>
          <w:u w:val="single"/>
        </w:rPr>
        <w:t xml:space="preserve"> </w:t>
      </w:r>
      <w:r w:rsidRPr="00283C60">
        <w:rPr>
          <w:sz w:val="24"/>
          <w:szCs w:val="24"/>
          <w:u w:val="single"/>
        </w:rPr>
        <w:t>(</w:t>
      </w:r>
      <w:proofErr w:type="spellStart"/>
      <w:r w:rsidRPr="00283C60">
        <w:rPr>
          <w:i/>
          <w:sz w:val="24"/>
          <w:szCs w:val="24"/>
          <w:u w:val="single"/>
        </w:rPr>
        <w:t>flushing</w:t>
      </w:r>
      <w:proofErr w:type="spellEnd"/>
      <w:r w:rsidRPr="00283C60">
        <w:rPr>
          <w:sz w:val="24"/>
          <w:szCs w:val="24"/>
          <w:u w:val="single"/>
        </w:rPr>
        <w:t>)</w:t>
      </w:r>
    </w:p>
    <w:p w14:paraId="7361DA9E" w14:textId="77777777" w:rsidR="00244D23" w:rsidRPr="00283C60" w:rsidRDefault="00244D23" w:rsidP="00393DF8">
      <w:pPr>
        <w:ind w:left="851"/>
        <w:rPr>
          <w:sz w:val="24"/>
          <w:szCs w:val="24"/>
          <w:lang w:eastAsia="fr-LU"/>
        </w:rPr>
      </w:pPr>
      <w:r w:rsidRPr="00283C60">
        <w:rPr>
          <w:sz w:val="24"/>
          <w:szCs w:val="24"/>
        </w:rPr>
        <w:t xml:space="preserve">I kliniske studier har 34 % af </w:t>
      </w:r>
      <w:proofErr w:type="spellStart"/>
      <w:r w:rsidRPr="00283C60">
        <w:rPr>
          <w:sz w:val="24"/>
          <w:szCs w:val="24"/>
        </w:rPr>
        <w:t>dimethylfumarat</w:t>
      </w:r>
      <w:proofErr w:type="spellEnd"/>
      <w:r w:rsidRPr="00283C60">
        <w:rPr>
          <w:sz w:val="24"/>
          <w:szCs w:val="24"/>
        </w:rPr>
        <w:t xml:space="preserve">-behandlede patienter oplevet rødme. Hos hovedparten af de patienter, der oplevede rødme, var sværhedsgraden let til moderat. Data fra studier med raske frivillige tyder på, at rødme relateret til </w:t>
      </w:r>
      <w:proofErr w:type="spellStart"/>
      <w:r w:rsidRPr="00283C60">
        <w:rPr>
          <w:sz w:val="24"/>
          <w:szCs w:val="24"/>
        </w:rPr>
        <w:t>dimethylfumarat</w:t>
      </w:r>
      <w:proofErr w:type="spellEnd"/>
      <w:r w:rsidRPr="00283C60">
        <w:rPr>
          <w:sz w:val="24"/>
          <w:szCs w:val="24"/>
        </w:rPr>
        <w:t xml:space="preserve"> sandsynligvis er medieret af </w:t>
      </w:r>
      <w:proofErr w:type="spellStart"/>
      <w:r w:rsidRPr="00283C60">
        <w:rPr>
          <w:sz w:val="24"/>
          <w:szCs w:val="24"/>
        </w:rPr>
        <w:t>prostaglandin</w:t>
      </w:r>
      <w:proofErr w:type="spellEnd"/>
      <w:r w:rsidRPr="00283C60">
        <w:rPr>
          <w:sz w:val="24"/>
          <w:szCs w:val="24"/>
        </w:rPr>
        <w:t xml:space="preserve">. Et kort behandlingsforløb med 75 mg acetylsalicylsyre uden </w:t>
      </w:r>
      <w:proofErr w:type="spellStart"/>
      <w:r w:rsidRPr="00283C60">
        <w:rPr>
          <w:sz w:val="24"/>
          <w:szCs w:val="24"/>
        </w:rPr>
        <w:t>entero</w:t>
      </w:r>
      <w:proofErr w:type="spellEnd"/>
      <w:r w:rsidRPr="00283C60">
        <w:rPr>
          <w:sz w:val="24"/>
          <w:szCs w:val="24"/>
        </w:rPr>
        <w:t>-overtræk kan gavne patienter, der er ramt af intolerabel rødme (se pkt. 4.5). I to studier med raske frivillige blev forekomsten og sværhedsgraden af rødme reduceret i doseringsperioden.</w:t>
      </w:r>
    </w:p>
    <w:p w14:paraId="0C0CCB4C" w14:textId="77777777" w:rsidR="00244D23" w:rsidRPr="00283C60" w:rsidRDefault="00244D23" w:rsidP="00393DF8">
      <w:pPr>
        <w:ind w:left="851"/>
        <w:rPr>
          <w:sz w:val="24"/>
          <w:szCs w:val="24"/>
        </w:rPr>
      </w:pPr>
    </w:p>
    <w:p w14:paraId="61DFEBAA" w14:textId="77777777" w:rsidR="00244D23" w:rsidRPr="00283C60" w:rsidRDefault="00244D23" w:rsidP="00393DF8">
      <w:pPr>
        <w:ind w:left="851"/>
        <w:rPr>
          <w:sz w:val="24"/>
          <w:szCs w:val="24"/>
        </w:rPr>
      </w:pPr>
      <w:r w:rsidRPr="00283C60">
        <w:rPr>
          <w:sz w:val="24"/>
          <w:szCs w:val="24"/>
        </w:rPr>
        <w:t xml:space="preserve">I kliniske studier oplevede 3 ud af i alt 2.560 patienter behandlet med </w:t>
      </w:r>
      <w:proofErr w:type="spellStart"/>
      <w:r w:rsidRPr="00283C60">
        <w:rPr>
          <w:sz w:val="24"/>
          <w:szCs w:val="24"/>
        </w:rPr>
        <w:t>dimethylfumarat</w:t>
      </w:r>
      <w:proofErr w:type="spellEnd"/>
      <w:r w:rsidRPr="00283C60">
        <w:rPr>
          <w:sz w:val="24"/>
          <w:szCs w:val="24"/>
        </w:rPr>
        <w:t xml:space="preserve"> alvorlig rødme, der formodentlig var overfølsomhedsreaktioner eller </w:t>
      </w:r>
      <w:proofErr w:type="spellStart"/>
      <w:r w:rsidRPr="00283C60">
        <w:rPr>
          <w:sz w:val="24"/>
          <w:szCs w:val="24"/>
        </w:rPr>
        <w:t>anafylaktoide</w:t>
      </w:r>
      <w:proofErr w:type="spellEnd"/>
      <w:r w:rsidRPr="00283C60">
        <w:rPr>
          <w:sz w:val="24"/>
          <w:szCs w:val="24"/>
        </w:rPr>
        <w:t xml:space="preserve"> </w:t>
      </w:r>
      <w:r w:rsidRPr="00283C60">
        <w:rPr>
          <w:sz w:val="24"/>
          <w:szCs w:val="24"/>
        </w:rPr>
        <w:lastRenderedPageBreak/>
        <w:t>reaktioner. Disse bivirkninger var ikke livstruende, men førte til indlæggelse. Ordinerende læger og patienter skal være opmærksomme på dette i tilfælde af alvorlig rødme (se pkt. 4.2, 4.5 og 4.8).</w:t>
      </w:r>
    </w:p>
    <w:p w14:paraId="6660B66B" w14:textId="77777777" w:rsidR="00244D23" w:rsidRPr="00283C60" w:rsidRDefault="00244D23" w:rsidP="00393DF8">
      <w:pPr>
        <w:ind w:left="851"/>
        <w:rPr>
          <w:sz w:val="24"/>
          <w:szCs w:val="24"/>
        </w:rPr>
      </w:pPr>
    </w:p>
    <w:p w14:paraId="274302A9" w14:textId="77777777" w:rsidR="00244D23" w:rsidRPr="00283C60" w:rsidRDefault="00244D23" w:rsidP="00393DF8">
      <w:pPr>
        <w:ind w:left="851"/>
        <w:rPr>
          <w:sz w:val="24"/>
          <w:szCs w:val="24"/>
          <w:u w:val="single"/>
          <w:lang w:eastAsia="fr-LU"/>
        </w:rPr>
      </w:pPr>
      <w:proofErr w:type="spellStart"/>
      <w:r w:rsidRPr="00283C60">
        <w:rPr>
          <w:sz w:val="24"/>
          <w:szCs w:val="24"/>
          <w:u w:val="single"/>
        </w:rPr>
        <w:t>Anafylaktiske</w:t>
      </w:r>
      <w:proofErr w:type="spellEnd"/>
      <w:r w:rsidRPr="00283C60">
        <w:rPr>
          <w:spacing w:val="-5"/>
          <w:sz w:val="24"/>
          <w:szCs w:val="24"/>
          <w:u w:val="single"/>
        </w:rPr>
        <w:t xml:space="preserve"> </w:t>
      </w:r>
      <w:r w:rsidRPr="00283C60">
        <w:rPr>
          <w:sz w:val="24"/>
          <w:szCs w:val="24"/>
          <w:u w:val="single"/>
        </w:rPr>
        <w:t>reaktioner</w:t>
      </w:r>
    </w:p>
    <w:p w14:paraId="50C9D46D" w14:textId="77777777" w:rsidR="00244D23" w:rsidRPr="00283C60" w:rsidRDefault="00244D23" w:rsidP="00393DF8">
      <w:pPr>
        <w:ind w:left="851"/>
        <w:rPr>
          <w:sz w:val="24"/>
          <w:szCs w:val="24"/>
        </w:rPr>
      </w:pPr>
      <w:r w:rsidRPr="00283C60">
        <w:rPr>
          <w:sz w:val="24"/>
          <w:szCs w:val="24"/>
        </w:rPr>
        <w:t>Tilfælde med anafylaksi/</w:t>
      </w:r>
      <w:proofErr w:type="spellStart"/>
      <w:r w:rsidRPr="00283C60">
        <w:rPr>
          <w:sz w:val="24"/>
          <w:szCs w:val="24"/>
        </w:rPr>
        <w:t>anafylaktoide</w:t>
      </w:r>
      <w:proofErr w:type="spellEnd"/>
      <w:r w:rsidRPr="00283C60">
        <w:rPr>
          <w:sz w:val="24"/>
          <w:szCs w:val="24"/>
        </w:rPr>
        <w:t xml:space="preserve"> reaktioner er blevet rapporteret efter administration af </w:t>
      </w:r>
      <w:proofErr w:type="spellStart"/>
      <w:r w:rsidRPr="00283C60">
        <w:rPr>
          <w:sz w:val="24"/>
          <w:szCs w:val="24"/>
        </w:rPr>
        <w:t>dimethylfumarat</w:t>
      </w:r>
      <w:proofErr w:type="spellEnd"/>
      <w:r w:rsidRPr="00283C60">
        <w:rPr>
          <w:sz w:val="24"/>
          <w:szCs w:val="24"/>
        </w:rPr>
        <w:t xml:space="preserve"> efter markedsføringen (se pkt. 4.8). Symptomerne kan inkludere dyspnø, </w:t>
      </w:r>
      <w:proofErr w:type="spellStart"/>
      <w:r w:rsidRPr="00283C60">
        <w:rPr>
          <w:sz w:val="24"/>
          <w:szCs w:val="24"/>
        </w:rPr>
        <w:t>hypoksi</w:t>
      </w:r>
      <w:proofErr w:type="spellEnd"/>
      <w:r w:rsidRPr="00283C60">
        <w:rPr>
          <w:sz w:val="24"/>
          <w:szCs w:val="24"/>
        </w:rPr>
        <w:t xml:space="preserve">, hypotension, </w:t>
      </w:r>
      <w:proofErr w:type="spellStart"/>
      <w:r w:rsidRPr="00283C60">
        <w:rPr>
          <w:sz w:val="24"/>
          <w:szCs w:val="24"/>
        </w:rPr>
        <w:t>angioødem</w:t>
      </w:r>
      <w:proofErr w:type="spellEnd"/>
      <w:r w:rsidRPr="00283C60">
        <w:rPr>
          <w:sz w:val="24"/>
          <w:szCs w:val="24"/>
        </w:rPr>
        <w:t xml:space="preserve">, udslæt eller nældefeber. Mekanismen bag anafylaksi induceret af </w:t>
      </w:r>
      <w:proofErr w:type="spellStart"/>
      <w:r w:rsidRPr="00283C60">
        <w:rPr>
          <w:sz w:val="24"/>
          <w:szCs w:val="24"/>
        </w:rPr>
        <w:t>dimethylfumarat</w:t>
      </w:r>
      <w:proofErr w:type="spellEnd"/>
      <w:r w:rsidRPr="00283C60">
        <w:rPr>
          <w:sz w:val="24"/>
          <w:szCs w:val="24"/>
        </w:rPr>
        <w:t xml:space="preserve"> er ikke kendt. Generelt opstår disse reaktioner efter den første dosis, men de kan også opstå når som helst i løbet af behandlingen og kan være alvorlige og livstruende. Patienterne skal informeres om, at de skal afbryde behandlingen og straks søge lægehjælp, hvis de oplever tegn eller symptomer på anafylaksi. Behandlingen må ikke genoptages (se pkt. 4.8).</w:t>
      </w:r>
    </w:p>
    <w:p w14:paraId="69E73AED" w14:textId="77777777" w:rsidR="00244D23" w:rsidRPr="00283C60" w:rsidRDefault="00244D23" w:rsidP="00393DF8">
      <w:pPr>
        <w:ind w:left="851"/>
        <w:rPr>
          <w:sz w:val="24"/>
          <w:szCs w:val="24"/>
        </w:rPr>
      </w:pPr>
    </w:p>
    <w:p w14:paraId="66CC946D" w14:textId="77777777" w:rsidR="00244D23" w:rsidRPr="00283C60" w:rsidRDefault="00244D23" w:rsidP="00393DF8">
      <w:pPr>
        <w:ind w:left="851"/>
        <w:rPr>
          <w:sz w:val="24"/>
          <w:szCs w:val="24"/>
          <w:u w:val="single"/>
        </w:rPr>
      </w:pPr>
      <w:r w:rsidRPr="00283C60">
        <w:rPr>
          <w:sz w:val="24"/>
          <w:szCs w:val="24"/>
          <w:u w:val="single"/>
        </w:rPr>
        <w:t>Infektioner</w:t>
      </w:r>
    </w:p>
    <w:p w14:paraId="5166FCE0" w14:textId="77777777" w:rsidR="00244D23" w:rsidRPr="00283C60" w:rsidRDefault="00244D23" w:rsidP="00393DF8">
      <w:pPr>
        <w:ind w:left="851"/>
        <w:rPr>
          <w:sz w:val="24"/>
          <w:szCs w:val="24"/>
          <w:lang w:eastAsia="fr-LU"/>
        </w:rPr>
      </w:pPr>
      <w:r w:rsidRPr="00283C60">
        <w:rPr>
          <w:sz w:val="24"/>
          <w:szCs w:val="24"/>
        </w:rPr>
        <w:t xml:space="preserve">I placebokontrollerede fase 3 studier var forekomsten af infektioner (60 % mod 58 %) og alvorlige infektioner (2 % mod 2 %) sammenlignelig hos patienter behandlet med henholdsvis </w:t>
      </w:r>
      <w:proofErr w:type="spellStart"/>
      <w:r w:rsidRPr="00283C60">
        <w:rPr>
          <w:sz w:val="24"/>
          <w:szCs w:val="24"/>
        </w:rPr>
        <w:t>dimethylfumarat</w:t>
      </w:r>
      <w:proofErr w:type="spellEnd"/>
      <w:r w:rsidRPr="00283C60">
        <w:rPr>
          <w:sz w:val="24"/>
          <w:szCs w:val="24"/>
        </w:rPr>
        <w:t xml:space="preserve"> og placebo. På grund af </w:t>
      </w:r>
      <w:proofErr w:type="spellStart"/>
      <w:r w:rsidRPr="00283C60">
        <w:rPr>
          <w:sz w:val="24"/>
          <w:szCs w:val="24"/>
        </w:rPr>
        <w:t>dimethylfumarats</w:t>
      </w:r>
      <w:proofErr w:type="spellEnd"/>
      <w:r w:rsidRPr="00283C60">
        <w:rPr>
          <w:sz w:val="24"/>
          <w:szCs w:val="24"/>
        </w:rPr>
        <w:t xml:space="preserve"> immun</w:t>
      </w:r>
      <w:r w:rsidRPr="00283C60">
        <w:rPr>
          <w:sz w:val="24"/>
          <w:szCs w:val="24"/>
        </w:rPr>
        <w:softHyphen/>
        <w:t xml:space="preserve">modulerende egenskaber (se pkt. 5.1) skal det imidlertid overvejes at seponere behandlingen med </w:t>
      </w:r>
      <w:proofErr w:type="spellStart"/>
      <w:r w:rsidRPr="00283C60">
        <w:rPr>
          <w:sz w:val="24"/>
          <w:szCs w:val="24"/>
        </w:rPr>
        <w:t>dimethylfumarat</w:t>
      </w:r>
      <w:proofErr w:type="spellEnd"/>
      <w:r w:rsidRPr="00283C60">
        <w:rPr>
          <w:sz w:val="24"/>
          <w:szCs w:val="24"/>
        </w:rPr>
        <w:t xml:space="preserve">, hvis patienten udvikler en alvorlig infektion, og fordele og risici skal revurderes, før behandlingen genoptages. Patienter, der får </w:t>
      </w:r>
      <w:proofErr w:type="spellStart"/>
      <w:r w:rsidRPr="00283C60">
        <w:rPr>
          <w:sz w:val="24"/>
          <w:szCs w:val="24"/>
        </w:rPr>
        <w:t>dimethylfumarat</w:t>
      </w:r>
      <w:proofErr w:type="spellEnd"/>
      <w:r w:rsidRPr="00283C60">
        <w:rPr>
          <w:sz w:val="24"/>
          <w:szCs w:val="24"/>
        </w:rPr>
        <w:t xml:space="preserve">, skal informeres om at indberette symptomer på infektioner til en læge. Patienter med alvorlige infektioner bør ikke starte behandling med </w:t>
      </w:r>
      <w:proofErr w:type="spellStart"/>
      <w:r w:rsidRPr="00283C60">
        <w:rPr>
          <w:sz w:val="24"/>
          <w:szCs w:val="24"/>
        </w:rPr>
        <w:t>dimethylfumarat</w:t>
      </w:r>
      <w:proofErr w:type="spellEnd"/>
      <w:r w:rsidRPr="00283C60">
        <w:rPr>
          <w:sz w:val="24"/>
          <w:szCs w:val="24"/>
        </w:rPr>
        <w:t>, før infektionen/infektionerne er overstået.</w:t>
      </w:r>
    </w:p>
    <w:p w14:paraId="77001110" w14:textId="77777777" w:rsidR="00244D23" w:rsidRPr="00283C60" w:rsidRDefault="00244D23" w:rsidP="00393DF8">
      <w:pPr>
        <w:ind w:left="851"/>
        <w:rPr>
          <w:sz w:val="24"/>
          <w:szCs w:val="24"/>
        </w:rPr>
      </w:pPr>
    </w:p>
    <w:p w14:paraId="589B7E09" w14:textId="77777777" w:rsidR="00244D23" w:rsidRPr="00283C60" w:rsidRDefault="00244D23" w:rsidP="00393DF8">
      <w:pPr>
        <w:ind w:left="851"/>
        <w:rPr>
          <w:sz w:val="24"/>
          <w:szCs w:val="24"/>
        </w:rPr>
      </w:pPr>
      <w:r w:rsidRPr="00283C60">
        <w:rPr>
          <w:sz w:val="24"/>
          <w:szCs w:val="24"/>
        </w:rPr>
        <w:t>Der blev ikke observeret øget forekomst af alvorlige infektioner hos patienter med lymfocyttal &lt; 0,8 x 10</w:t>
      </w:r>
      <w:r w:rsidRPr="00283C60">
        <w:rPr>
          <w:sz w:val="24"/>
          <w:szCs w:val="24"/>
          <w:vertAlign w:val="superscript"/>
        </w:rPr>
        <w:t>9</w:t>
      </w:r>
      <w:r w:rsidRPr="00283C60">
        <w:rPr>
          <w:sz w:val="24"/>
          <w:szCs w:val="24"/>
        </w:rPr>
        <w:t>/l eller &lt; 0,5 x 10</w:t>
      </w:r>
      <w:r w:rsidRPr="00283C60">
        <w:rPr>
          <w:sz w:val="24"/>
          <w:szCs w:val="24"/>
          <w:vertAlign w:val="superscript"/>
        </w:rPr>
        <w:t>9</w:t>
      </w:r>
      <w:r w:rsidRPr="00283C60">
        <w:rPr>
          <w:sz w:val="24"/>
          <w:szCs w:val="24"/>
        </w:rPr>
        <w:t xml:space="preserve">/l (se pkt. 4.8). Hvis behandling fortsættes hos patienter med moderat til alvorlig, langvarig </w:t>
      </w:r>
      <w:proofErr w:type="spellStart"/>
      <w:r w:rsidRPr="00283C60">
        <w:rPr>
          <w:sz w:val="24"/>
          <w:szCs w:val="24"/>
        </w:rPr>
        <w:t>lymfopeni</w:t>
      </w:r>
      <w:proofErr w:type="spellEnd"/>
      <w:r w:rsidRPr="00283C60">
        <w:rPr>
          <w:sz w:val="24"/>
          <w:szCs w:val="24"/>
        </w:rPr>
        <w:t>, kan risikoen for en opportunistisk infektion, herunder PML, ikke udelukkes (se pkt. 4.4, underafsnittet om PML).</w:t>
      </w:r>
    </w:p>
    <w:p w14:paraId="603EF669" w14:textId="77777777" w:rsidR="00244D23" w:rsidRPr="00283C60" w:rsidRDefault="00244D23" w:rsidP="00393DF8">
      <w:pPr>
        <w:ind w:left="851"/>
        <w:rPr>
          <w:sz w:val="24"/>
          <w:szCs w:val="24"/>
        </w:rPr>
      </w:pPr>
    </w:p>
    <w:p w14:paraId="6A7FFD7F" w14:textId="77777777" w:rsidR="00244D23" w:rsidRPr="00283C60" w:rsidRDefault="00244D23" w:rsidP="00393DF8">
      <w:pPr>
        <w:ind w:left="851"/>
        <w:rPr>
          <w:sz w:val="24"/>
          <w:szCs w:val="24"/>
          <w:u w:val="single"/>
        </w:rPr>
      </w:pPr>
      <w:r w:rsidRPr="00283C60">
        <w:rPr>
          <w:sz w:val="24"/>
          <w:szCs w:val="24"/>
          <w:u w:val="single"/>
        </w:rPr>
        <w:t>Herpes</w:t>
      </w:r>
      <w:r w:rsidRPr="00283C60">
        <w:rPr>
          <w:spacing w:val="-4"/>
          <w:sz w:val="24"/>
          <w:szCs w:val="24"/>
          <w:u w:val="single"/>
        </w:rPr>
        <w:t xml:space="preserve"> </w:t>
      </w:r>
      <w:proofErr w:type="spellStart"/>
      <w:r w:rsidRPr="00283C60">
        <w:rPr>
          <w:sz w:val="24"/>
          <w:szCs w:val="24"/>
          <w:u w:val="single"/>
        </w:rPr>
        <w:t>zoster</w:t>
      </w:r>
      <w:proofErr w:type="spellEnd"/>
      <w:r w:rsidRPr="00283C60">
        <w:rPr>
          <w:sz w:val="24"/>
          <w:szCs w:val="24"/>
          <w:u w:val="single"/>
        </w:rPr>
        <w:t>-infektioner</w:t>
      </w:r>
    </w:p>
    <w:p w14:paraId="4B2CEBCB" w14:textId="095E616B" w:rsidR="00244D23" w:rsidRPr="00283C60" w:rsidRDefault="00244D23" w:rsidP="00393DF8">
      <w:pPr>
        <w:ind w:left="851"/>
        <w:rPr>
          <w:sz w:val="24"/>
          <w:szCs w:val="24"/>
          <w:lang w:eastAsia="fr-LU"/>
        </w:rPr>
      </w:pPr>
      <w:r w:rsidRPr="00283C60">
        <w:rPr>
          <w:sz w:val="24"/>
          <w:szCs w:val="24"/>
        </w:rPr>
        <w:t xml:space="preserve">Der er rapporteret tilfælde af herpes </w:t>
      </w:r>
      <w:proofErr w:type="spellStart"/>
      <w:r w:rsidRPr="00283C60">
        <w:rPr>
          <w:sz w:val="24"/>
          <w:szCs w:val="24"/>
        </w:rPr>
        <w:t>zoster</w:t>
      </w:r>
      <w:proofErr w:type="spellEnd"/>
      <w:r w:rsidRPr="00283C60">
        <w:rPr>
          <w:sz w:val="24"/>
          <w:szCs w:val="24"/>
        </w:rPr>
        <w:t xml:space="preserve"> med </w:t>
      </w:r>
      <w:proofErr w:type="spellStart"/>
      <w:r w:rsidRPr="00283C60">
        <w:rPr>
          <w:sz w:val="24"/>
          <w:szCs w:val="24"/>
        </w:rPr>
        <w:t>dimethylfumarat</w:t>
      </w:r>
      <w:proofErr w:type="spellEnd"/>
      <w:r w:rsidRPr="00283C60">
        <w:rPr>
          <w:sz w:val="24"/>
          <w:szCs w:val="24"/>
        </w:rPr>
        <w:t xml:space="preserve"> (se pkt. 4.8). De fleste af tilfældene var ikke alvorlige, men der er indberettet alvorlige tilfælde, herunder dissemineret herpes </w:t>
      </w:r>
      <w:proofErr w:type="spellStart"/>
      <w:r w:rsidRPr="00283C60">
        <w:rPr>
          <w:sz w:val="24"/>
          <w:szCs w:val="24"/>
        </w:rPr>
        <w:t>zoster</w:t>
      </w:r>
      <w:proofErr w:type="spellEnd"/>
      <w:r w:rsidRPr="00283C60">
        <w:rPr>
          <w:sz w:val="24"/>
          <w:szCs w:val="24"/>
        </w:rPr>
        <w:t xml:space="preserve">, herpes </w:t>
      </w:r>
      <w:proofErr w:type="spellStart"/>
      <w:r w:rsidRPr="00283C60">
        <w:rPr>
          <w:sz w:val="24"/>
          <w:szCs w:val="24"/>
        </w:rPr>
        <w:t>zoster</w:t>
      </w:r>
      <w:proofErr w:type="spellEnd"/>
      <w:r w:rsidRPr="00283C60">
        <w:rPr>
          <w:sz w:val="24"/>
          <w:szCs w:val="24"/>
        </w:rPr>
        <w:t xml:space="preserve"> </w:t>
      </w:r>
      <w:proofErr w:type="spellStart"/>
      <w:r w:rsidRPr="00283C60">
        <w:rPr>
          <w:sz w:val="24"/>
          <w:szCs w:val="24"/>
        </w:rPr>
        <w:t>ophthalmicus</w:t>
      </w:r>
      <w:proofErr w:type="spellEnd"/>
      <w:r w:rsidRPr="00283C60">
        <w:rPr>
          <w:sz w:val="24"/>
          <w:szCs w:val="24"/>
        </w:rPr>
        <w:t xml:space="preserve">, herpes </w:t>
      </w:r>
      <w:proofErr w:type="spellStart"/>
      <w:r w:rsidRPr="00283C60">
        <w:rPr>
          <w:sz w:val="24"/>
          <w:szCs w:val="24"/>
        </w:rPr>
        <w:t>zoster</w:t>
      </w:r>
      <w:proofErr w:type="spellEnd"/>
      <w:r w:rsidRPr="00283C60">
        <w:rPr>
          <w:sz w:val="24"/>
          <w:szCs w:val="24"/>
        </w:rPr>
        <w:t xml:space="preserve"> </w:t>
      </w:r>
      <w:proofErr w:type="spellStart"/>
      <w:r w:rsidRPr="00283C60">
        <w:rPr>
          <w:sz w:val="24"/>
          <w:szCs w:val="24"/>
        </w:rPr>
        <w:t>oticus</w:t>
      </w:r>
      <w:proofErr w:type="spellEnd"/>
      <w:r w:rsidRPr="00283C60">
        <w:rPr>
          <w:sz w:val="24"/>
          <w:szCs w:val="24"/>
        </w:rPr>
        <w:t xml:space="preserve">, neurologisk herpes </w:t>
      </w:r>
      <w:proofErr w:type="spellStart"/>
      <w:r w:rsidRPr="00283C60">
        <w:rPr>
          <w:sz w:val="24"/>
          <w:szCs w:val="24"/>
        </w:rPr>
        <w:t>zoster</w:t>
      </w:r>
      <w:proofErr w:type="spellEnd"/>
      <w:r w:rsidRPr="00283C60">
        <w:rPr>
          <w:sz w:val="24"/>
          <w:szCs w:val="24"/>
        </w:rPr>
        <w:t xml:space="preserve">-infektion, herpes </w:t>
      </w:r>
      <w:proofErr w:type="spellStart"/>
      <w:r w:rsidRPr="00283C60">
        <w:rPr>
          <w:sz w:val="24"/>
          <w:szCs w:val="24"/>
        </w:rPr>
        <w:t>zoster-meningoencefalitis</w:t>
      </w:r>
      <w:proofErr w:type="spellEnd"/>
      <w:r w:rsidRPr="00283C60">
        <w:rPr>
          <w:sz w:val="24"/>
          <w:szCs w:val="24"/>
        </w:rPr>
        <w:t xml:space="preserve"> og herpes </w:t>
      </w:r>
      <w:proofErr w:type="spellStart"/>
      <w:r w:rsidRPr="00283C60">
        <w:rPr>
          <w:sz w:val="24"/>
          <w:szCs w:val="24"/>
        </w:rPr>
        <w:t>zoster-meningomyelitis</w:t>
      </w:r>
      <w:proofErr w:type="spellEnd"/>
      <w:r w:rsidRPr="00283C60">
        <w:rPr>
          <w:sz w:val="24"/>
          <w:szCs w:val="24"/>
        </w:rPr>
        <w:t>. Disse bivirkning</w:t>
      </w:r>
      <w:r w:rsidR="005172A5">
        <w:rPr>
          <w:sz w:val="24"/>
          <w:szCs w:val="24"/>
        </w:rPr>
        <w:t xml:space="preserve">er </w:t>
      </w:r>
      <w:r w:rsidRPr="00283C60">
        <w:rPr>
          <w:sz w:val="24"/>
          <w:szCs w:val="24"/>
        </w:rPr>
        <w:t xml:space="preserve">kan forekomme når som helst under behandlingen. Patienter, der tager </w:t>
      </w:r>
      <w:proofErr w:type="spellStart"/>
      <w:r w:rsidRPr="00283C60">
        <w:rPr>
          <w:sz w:val="24"/>
          <w:szCs w:val="24"/>
        </w:rPr>
        <w:t>dimethylfumarat</w:t>
      </w:r>
      <w:proofErr w:type="spellEnd"/>
      <w:r w:rsidRPr="00283C60">
        <w:rPr>
          <w:sz w:val="24"/>
          <w:szCs w:val="24"/>
        </w:rPr>
        <w:t xml:space="preserve">, skal overvåges for tegn og symptomer på herpes </w:t>
      </w:r>
      <w:proofErr w:type="spellStart"/>
      <w:r w:rsidRPr="00283C60">
        <w:rPr>
          <w:sz w:val="24"/>
          <w:szCs w:val="24"/>
        </w:rPr>
        <w:t>zoster</w:t>
      </w:r>
      <w:proofErr w:type="spellEnd"/>
      <w:r w:rsidRPr="00283C60">
        <w:rPr>
          <w:sz w:val="24"/>
          <w:szCs w:val="24"/>
        </w:rPr>
        <w:t xml:space="preserve">, især hvis der er rapporteret samtidig </w:t>
      </w:r>
      <w:proofErr w:type="spellStart"/>
      <w:r w:rsidRPr="00283C60">
        <w:rPr>
          <w:sz w:val="24"/>
          <w:szCs w:val="24"/>
        </w:rPr>
        <w:t>lymfocytopeni</w:t>
      </w:r>
      <w:proofErr w:type="spellEnd"/>
      <w:r w:rsidRPr="00283C60">
        <w:rPr>
          <w:sz w:val="24"/>
          <w:szCs w:val="24"/>
        </w:rPr>
        <w:t xml:space="preserve">. Dersom der forekommer herpes </w:t>
      </w:r>
      <w:proofErr w:type="spellStart"/>
      <w:r w:rsidRPr="00283C60">
        <w:rPr>
          <w:sz w:val="24"/>
          <w:szCs w:val="24"/>
        </w:rPr>
        <w:t>zoster</w:t>
      </w:r>
      <w:proofErr w:type="spellEnd"/>
      <w:r w:rsidRPr="00283C60">
        <w:rPr>
          <w:sz w:val="24"/>
          <w:szCs w:val="24"/>
        </w:rPr>
        <w:t xml:space="preserve">, skal der administreres en egnet behandling mod herpes </w:t>
      </w:r>
      <w:proofErr w:type="spellStart"/>
      <w:r w:rsidRPr="00283C60">
        <w:rPr>
          <w:sz w:val="24"/>
          <w:szCs w:val="24"/>
        </w:rPr>
        <w:t>zoster</w:t>
      </w:r>
      <w:proofErr w:type="spellEnd"/>
      <w:r w:rsidRPr="00283C60">
        <w:rPr>
          <w:sz w:val="24"/>
          <w:szCs w:val="24"/>
        </w:rPr>
        <w:t xml:space="preserve">. Det skal overvejes, at pausere </w:t>
      </w:r>
      <w:proofErr w:type="spellStart"/>
      <w:r w:rsidRPr="00283C60">
        <w:rPr>
          <w:sz w:val="24"/>
          <w:szCs w:val="24"/>
        </w:rPr>
        <w:t>dimethylfumarat</w:t>
      </w:r>
      <w:proofErr w:type="spellEnd"/>
      <w:r w:rsidRPr="00283C60">
        <w:rPr>
          <w:sz w:val="24"/>
          <w:szCs w:val="24"/>
        </w:rPr>
        <w:t>-behandlingen hos patienter med alvorlige infektioner, indtil infektionen er overstået (se pkt. 4.8).</w:t>
      </w:r>
    </w:p>
    <w:p w14:paraId="155EB1DA" w14:textId="77777777" w:rsidR="00244D23" w:rsidRPr="00283C60" w:rsidRDefault="00244D23" w:rsidP="00393DF8">
      <w:pPr>
        <w:ind w:left="851"/>
        <w:rPr>
          <w:sz w:val="24"/>
          <w:szCs w:val="24"/>
        </w:rPr>
      </w:pPr>
    </w:p>
    <w:p w14:paraId="6CD9A945" w14:textId="77777777" w:rsidR="00244D23" w:rsidRPr="00283C60" w:rsidRDefault="00244D23" w:rsidP="00393DF8">
      <w:pPr>
        <w:ind w:left="851"/>
        <w:rPr>
          <w:sz w:val="24"/>
          <w:szCs w:val="24"/>
          <w:u w:val="single"/>
        </w:rPr>
      </w:pPr>
      <w:r w:rsidRPr="00283C60">
        <w:rPr>
          <w:sz w:val="24"/>
          <w:szCs w:val="24"/>
          <w:u w:val="single"/>
        </w:rPr>
        <w:t>Påbegyndelse</w:t>
      </w:r>
      <w:r w:rsidRPr="00283C60">
        <w:rPr>
          <w:spacing w:val="-2"/>
          <w:sz w:val="24"/>
          <w:szCs w:val="24"/>
          <w:u w:val="single"/>
        </w:rPr>
        <w:t xml:space="preserve"> </w:t>
      </w:r>
      <w:r w:rsidRPr="00283C60">
        <w:rPr>
          <w:sz w:val="24"/>
          <w:szCs w:val="24"/>
          <w:u w:val="single"/>
        </w:rPr>
        <w:t>af</w:t>
      </w:r>
      <w:r w:rsidRPr="00283C60">
        <w:rPr>
          <w:spacing w:val="-1"/>
          <w:sz w:val="24"/>
          <w:szCs w:val="24"/>
          <w:u w:val="single"/>
        </w:rPr>
        <w:t xml:space="preserve"> </w:t>
      </w:r>
      <w:r w:rsidRPr="00283C60">
        <w:rPr>
          <w:sz w:val="24"/>
          <w:szCs w:val="24"/>
          <w:u w:val="single"/>
        </w:rPr>
        <w:t>behandlingen</w:t>
      </w:r>
    </w:p>
    <w:p w14:paraId="753FBB4B" w14:textId="77777777" w:rsidR="00244D23" w:rsidRPr="00283C60" w:rsidRDefault="00244D23" w:rsidP="00393DF8">
      <w:pPr>
        <w:ind w:left="851"/>
        <w:rPr>
          <w:sz w:val="24"/>
          <w:szCs w:val="24"/>
          <w:lang w:eastAsia="fr-LU"/>
        </w:rPr>
      </w:pPr>
      <w:r w:rsidRPr="00283C60">
        <w:rPr>
          <w:sz w:val="24"/>
          <w:szCs w:val="24"/>
        </w:rPr>
        <w:t xml:space="preserve">Behandlingen skal startes gradvist for at reducere forekomsten af rødme og </w:t>
      </w:r>
      <w:proofErr w:type="spellStart"/>
      <w:r w:rsidRPr="00283C60">
        <w:rPr>
          <w:sz w:val="24"/>
          <w:szCs w:val="24"/>
        </w:rPr>
        <w:t>gastrointestinale</w:t>
      </w:r>
      <w:proofErr w:type="spellEnd"/>
      <w:r w:rsidRPr="00283C60">
        <w:rPr>
          <w:spacing w:val="-1"/>
          <w:sz w:val="24"/>
          <w:szCs w:val="24"/>
        </w:rPr>
        <w:t xml:space="preserve"> </w:t>
      </w:r>
      <w:r w:rsidRPr="00283C60">
        <w:rPr>
          <w:sz w:val="24"/>
          <w:szCs w:val="24"/>
        </w:rPr>
        <w:t>bivirkninger</w:t>
      </w:r>
      <w:r w:rsidRPr="00283C60">
        <w:rPr>
          <w:spacing w:val="1"/>
          <w:sz w:val="24"/>
          <w:szCs w:val="24"/>
        </w:rPr>
        <w:t xml:space="preserve"> </w:t>
      </w:r>
      <w:r w:rsidRPr="00283C60">
        <w:rPr>
          <w:sz w:val="24"/>
          <w:szCs w:val="24"/>
        </w:rPr>
        <w:t>(se pkt. 4.2).</w:t>
      </w:r>
    </w:p>
    <w:p w14:paraId="29011692" w14:textId="77777777" w:rsidR="00244D23" w:rsidRPr="00283C60" w:rsidRDefault="00244D23" w:rsidP="00393DF8">
      <w:pPr>
        <w:ind w:left="851"/>
        <w:rPr>
          <w:sz w:val="24"/>
          <w:szCs w:val="24"/>
        </w:rPr>
      </w:pPr>
    </w:p>
    <w:p w14:paraId="29CBAF4A" w14:textId="77777777" w:rsidR="00244D23" w:rsidRPr="00283C60" w:rsidRDefault="00244D23" w:rsidP="00393DF8">
      <w:pPr>
        <w:ind w:left="851"/>
        <w:rPr>
          <w:sz w:val="24"/>
          <w:szCs w:val="24"/>
          <w:u w:val="single"/>
        </w:rPr>
      </w:pPr>
      <w:proofErr w:type="spellStart"/>
      <w:r w:rsidRPr="00283C60">
        <w:rPr>
          <w:sz w:val="24"/>
          <w:szCs w:val="24"/>
          <w:u w:val="single"/>
        </w:rPr>
        <w:t>Fanconis</w:t>
      </w:r>
      <w:proofErr w:type="spellEnd"/>
      <w:r w:rsidRPr="00283C60">
        <w:rPr>
          <w:spacing w:val="-1"/>
          <w:sz w:val="24"/>
          <w:szCs w:val="24"/>
          <w:u w:val="single"/>
        </w:rPr>
        <w:t xml:space="preserve"> </w:t>
      </w:r>
      <w:r w:rsidRPr="00283C60">
        <w:rPr>
          <w:sz w:val="24"/>
          <w:szCs w:val="24"/>
          <w:u w:val="single"/>
        </w:rPr>
        <w:t>syndrom</w:t>
      </w:r>
    </w:p>
    <w:p w14:paraId="061071F8" w14:textId="77777777" w:rsidR="00244D23" w:rsidRPr="00283C60" w:rsidRDefault="00244D23" w:rsidP="00393DF8">
      <w:pPr>
        <w:ind w:left="851"/>
        <w:rPr>
          <w:sz w:val="24"/>
          <w:szCs w:val="24"/>
          <w:highlight w:val="yellow"/>
          <w:lang w:eastAsia="fr-LU"/>
        </w:rPr>
      </w:pPr>
      <w:r w:rsidRPr="00283C60">
        <w:rPr>
          <w:sz w:val="24"/>
          <w:szCs w:val="24"/>
        </w:rPr>
        <w:t xml:space="preserve">Der er indberettet tilfælde af </w:t>
      </w:r>
      <w:proofErr w:type="spellStart"/>
      <w:r w:rsidRPr="00283C60">
        <w:rPr>
          <w:sz w:val="24"/>
          <w:szCs w:val="24"/>
        </w:rPr>
        <w:t>Fanconis</w:t>
      </w:r>
      <w:proofErr w:type="spellEnd"/>
      <w:r w:rsidRPr="00283C60">
        <w:rPr>
          <w:sz w:val="24"/>
          <w:szCs w:val="24"/>
        </w:rPr>
        <w:t xml:space="preserve"> syndrom for et lægemiddel indeholdende </w:t>
      </w:r>
      <w:proofErr w:type="spellStart"/>
      <w:r w:rsidRPr="00283C60">
        <w:rPr>
          <w:sz w:val="24"/>
          <w:szCs w:val="24"/>
        </w:rPr>
        <w:t>dimethylfumarat</w:t>
      </w:r>
      <w:proofErr w:type="spellEnd"/>
      <w:r w:rsidRPr="00283C60">
        <w:rPr>
          <w:sz w:val="24"/>
          <w:szCs w:val="24"/>
        </w:rPr>
        <w:t xml:space="preserve"> i kombination med andre </w:t>
      </w:r>
      <w:proofErr w:type="spellStart"/>
      <w:r w:rsidRPr="00283C60">
        <w:rPr>
          <w:sz w:val="24"/>
          <w:szCs w:val="24"/>
        </w:rPr>
        <w:t>fumarsyreestere</w:t>
      </w:r>
      <w:proofErr w:type="spellEnd"/>
      <w:r w:rsidRPr="00283C60">
        <w:rPr>
          <w:sz w:val="24"/>
          <w:szCs w:val="24"/>
        </w:rPr>
        <w:t xml:space="preserve">. Tidlig diagnosticering af </w:t>
      </w:r>
      <w:proofErr w:type="spellStart"/>
      <w:r w:rsidRPr="00283C60">
        <w:rPr>
          <w:sz w:val="24"/>
          <w:szCs w:val="24"/>
        </w:rPr>
        <w:t>Fanconis</w:t>
      </w:r>
      <w:proofErr w:type="spellEnd"/>
      <w:r w:rsidRPr="00283C60">
        <w:rPr>
          <w:sz w:val="24"/>
          <w:szCs w:val="24"/>
        </w:rPr>
        <w:t xml:space="preserve"> syndrom og </w:t>
      </w:r>
      <w:proofErr w:type="spellStart"/>
      <w:r w:rsidRPr="00283C60">
        <w:rPr>
          <w:sz w:val="24"/>
          <w:szCs w:val="24"/>
        </w:rPr>
        <w:t>seponering</w:t>
      </w:r>
      <w:proofErr w:type="spellEnd"/>
      <w:r w:rsidRPr="00283C60">
        <w:rPr>
          <w:sz w:val="24"/>
          <w:szCs w:val="24"/>
        </w:rPr>
        <w:t xml:space="preserve"> af </w:t>
      </w:r>
      <w:proofErr w:type="spellStart"/>
      <w:r w:rsidRPr="00283C60">
        <w:rPr>
          <w:sz w:val="24"/>
          <w:szCs w:val="24"/>
        </w:rPr>
        <w:t>dimethylfumarat</w:t>
      </w:r>
      <w:proofErr w:type="spellEnd"/>
      <w:r w:rsidRPr="00283C60">
        <w:rPr>
          <w:sz w:val="24"/>
          <w:szCs w:val="24"/>
        </w:rPr>
        <w:t xml:space="preserve">-behandlingen er vigtig for at forhindre opståen af nyreinsufficiens og </w:t>
      </w:r>
      <w:proofErr w:type="spellStart"/>
      <w:r w:rsidRPr="00283C60">
        <w:rPr>
          <w:sz w:val="24"/>
          <w:szCs w:val="24"/>
        </w:rPr>
        <w:t>osteomalaci</w:t>
      </w:r>
      <w:proofErr w:type="spellEnd"/>
      <w:r w:rsidRPr="00283C60">
        <w:rPr>
          <w:sz w:val="24"/>
          <w:szCs w:val="24"/>
        </w:rPr>
        <w:t xml:space="preserve">, da syndromet normalt er reversibelt. </w:t>
      </w:r>
      <w:r w:rsidRPr="00283C60">
        <w:rPr>
          <w:sz w:val="24"/>
          <w:szCs w:val="24"/>
        </w:rPr>
        <w:lastRenderedPageBreak/>
        <w:t xml:space="preserve">De vigtigste tegn er </w:t>
      </w:r>
      <w:proofErr w:type="spellStart"/>
      <w:r w:rsidRPr="00283C60">
        <w:rPr>
          <w:sz w:val="24"/>
          <w:szCs w:val="24"/>
        </w:rPr>
        <w:t>proteinuri</w:t>
      </w:r>
      <w:proofErr w:type="spellEnd"/>
      <w:r w:rsidRPr="00283C60">
        <w:rPr>
          <w:sz w:val="24"/>
          <w:szCs w:val="24"/>
        </w:rPr>
        <w:t xml:space="preserve">, </w:t>
      </w:r>
      <w:proofErr w:type="spellStart"/>
      <w:r w:rsidRPr="00283C60">
        <w:rPr>
          <w:sz w:val="24"/>
          <w:szCs w:val="24"/>
        </w:rPr>
        <w:t>glukosuri</w:t>
      </w:r>
      <w:proofErr w:type="spellEnd"/>
      <w:r w:rsidRPr="00283C60">
        <w:rPr>
          <w:sz w:val="24"/>
          <w:szCs w:val="24"/>
        </w:rPr>
        <w:t xml:space="preserve"> (med normale blodsukkerniveauer), </w:t>
      </w:r>
      <w:proofErr w:type="spellStart"/>
      <w:r w:rsidRPr="00283C60">
        <w:rPr>
          <w:sz w:val="24"/>
          <w:szCs w:val="24"/>
        </w:rPr>
        <w:t>hyperaminoaciduri</w:t>
      </w:r>
      <w:proofErr w:type="spellEnd"/>
      <w:r w:rsidRPr="00283C60">
        <w:rPr>
          <w:sz w:val="24"/>
          <w:szCs w:val="24"/>
        </w:rPr>
        <w:t xml:space="preserve"> og </w:t>
      </w:r>
      <w:proofErr w:type="spellStart"/>
      <w:r w:rsidRPr="00283C60">
        <w:rPr>
          <w:sz w:val="24"/>
          <w:szCs w:val="24"/>
        </w:rPr>
        <w:t>fosfaturi</w:t>
      </w:r>
      <w:proofErr w:type="spellEnd"/>
      <w:r w:rsidRPr="00283C60">
        <w:rPr>
          <w:sz w:val="24"/>
          <w:szCs w:val="24"/>
        </w:rPr>
        <w:t xml:space="preserve"> (muligvis samtidigt med </w:t>
      </w:r>
      <w:proofErr w:type="spellStart"/>
      <w:r w:rsidRPr="00283C60">
        <w:rPr>
          <w:sz w:val="24"/>
          <w:szCs w:val="24"/>
        </w:rPr>
        <w:t>hypofosfatæmi</w:t>
      </w:r>
      <w:proofErr w:type="spellEnd"/>
      <w:r w:rsidRPr="00283C60">
        <w:rPr>
          <w:sz w:val="24"/>
          <w:szCs w:val="24"/>
        </w:rPr>
        <w:t xml:space="preserve">). Progression kan omfatte symptomer såsom </w:t>
      </w:r>
      <w:proofErr w:type="spellStart"/>
      <w:r w:rsidRPr="00283C60">
        <w:rPr>
          <w:sz w:val="24"/>
          <w:szCs w:val="24"/>
        </w:rPr>
        <w:t>polyuri</w:t>
      </w:r>
      <w:proofErr w:type="spellEnd"/>
      <w:r w:rsidRPr="00283C60">
        <w:rPr>
          <w:sz w:val="24"/>
          <w:szCs w:val="24"/>
        </w:rPr>
        <w:t xml:space="preserve">, polydipsi og proksimal muskelsvaghed. I sjældne tilfælde kan der forekomme </w:t>
      </w:r>
      <w:proofErr w:type="spellStart"/>
      <w:r w:rsidRPr="00283C60">
        <w:rPr>
          <w:sz w:val="24"/>
          <w:szCs w:val="24"/>
        </w:rPr>
        <w:t>hypofosfatæmisk</w:t>
      </w:r>
      <w:proofErr w:type="spellEnd"/>
      <w:r w:rsidRPr="00283C60">
        <w:rPr>
          <w:sz w:val="24"/>
          <w:szCs w:val="24"/>
        </w:rPr>
        <w:t xml:space="preserve"> </w:t>
      </w:r>
      <w:proofErr w:type="spellStart"/>
      <w:r w:rsidRPr="00283C60">
        <w:rPr>
          <w:sz w:val="24"/>
          <w:szCs w:val="24"/>
        </w:rPr>
        <w:t>osteomalaci</w:t>
      </w:r>
      <w:proofErr w:type="spellEnd"/>
      <w:r w:rsidRPr="00283C60">
        <w:rPr>
          <w:sz w:val="24"/>
          <w:szCs w:val="24"/>
        </w:rPr>
        <w:t xml:space="preserve"> med ikke-lokaliserede knoglesmerter, forhøjet alkalisk fosfatase i serum og stress-frakturer. Det skal fremhæves, at </w:t>
      </w:r>
      <w:proofErr w:type="spellStart"/>
      <w:r w:rsidRPr="00283C60">
        <w:rPr>
          <w:sz w:val="24"/>
          <w:szCs w:val="24"/>
        </w:rPr>
        <w:t>Fanconis</w:t>
      </w:r>
      <w:proofErr w:type="spellEnd"/>
      <w:r w:rsidRPr="00283C60">
        <w:rPr>
          <w:sz w:val="24"/>
          <w:szCs w:val="24"/>
        </w:rPr>
        <w:t xml:space="preserve"> syndrom kan forekomme uden forhøjede </w:t>
      </w:r>
      <w:proofErr w:type="spellStart"/>
      <w:r w:rsidRPr="00283C60">
        <w:rPr>
          <w:sz w:val="24"/>
          <w:szCs w:val="24"/>
        </w:rPr>
        <w:t>kreatininniveauer</w:t>
      </w:r>
      <w:proofErr w:type="spellEnd"/>
      <w:r w:rsidRPr="00283C60">
        <w:rPr>
          <w:sz w:val="24"/>
          <w:szCs w:val="24"/>
        </w:rPr>
        <w:t xml:space="preserve"> eller lav </w:t>
      </w:r>
      <w:proofErr w:type="spellStart"/>
      <w:r w:rsidRPr="00283C60">
        <w:rPr>
          <w:sz w:val="24"/>
          <w:szCs w:val="24"/>
        </w:rPr>
        <w:t>glomerulær</w:t>
      </w:r>
      <w:proofErr w:type="spellEnd"/>
      <w:r w:rsidRPr="00283C60">
        <w:rPr>
          <w:sz w:val="24"/>
          <w:szCs w:val="24"/>
        </w:rPr>
        <w:t xml:space="preserve"> filtrationshastighed. I tilfælde af uklare symptomer bør </w:t>
      </w:r>
      <w:proofErr w:type="spellStart"/>
      <w:r w:rsidRPr="00283C60">
        <w:rPr>
          <w:sz w:val="24"/>
          <w:szCs w:val="24"/>
        </w:rPr>
        <w:t>Fanconis</w:t>
      </w:r>
      <w:proofErr w:type="spellEnd"/>
      <w:r w:rsidRPr="00283C60">
        <w:rPr>
          <w:sz w:val="24"/>
          <w:szCs w:val="24"/>
        </w:rPr>
        <w:t xml:space="preserve"> syndrom overvejes, og passende undersøgelser foretages.</w:t>
      </w:r>
    </w:p>
    <w:p w14:paraId="71006EFE" w14:textId="77777777" w:rsidR="009260DE" w:rsidRPr="00283C60" w:rsidRDefault="009260DE" w:rsidP="009260DE">
      <w:pPr>
        <w:tabs>
          <w:tab w:val="left" w:pos="851"/>
        </w:tabs>
        <w:ind w:left="851"/>
        <w:rPr>
          <w:sz w:val="24"/>
          <w:szCs w:val="24"/>
        </w:rPr>
      </w:pPr>
    </w:p>
    <w:p w14:paraId="38AEEBE1" w14:textId="77777777" w:rsidR="009260DE" w:rsidRPr="00283C60" w:rsidRDefault="009260DE" w:rsidP="009260DE">
      <w:pPr>
        <w:tabs>
          <w:tab w:val="left" w:pos="851"/>
        </w:tabs>
        <w:ind w:left="851" w:hanging="851"/>
        <w:rPr>
          <w:b/>
          <w:sz w:val="24"/>
          <w:szCs w:val="24"/>
        </w:rPr>
      </w:pPr>
      <w:r w:rsidRPr="00283C60">
        <w:rPr>
          <w:b/>
          <w:sz w:val="24"/>
          <w:szCs w:val="24"/>
        </w:rPr>
        <w:t>4.5</w:t>
      </w:r>
      <w:r w:rsidRPr="00283C60">
        <w:rPr>
          <w:b/>
          <w:sz w:val="24"/>
          <w:szCs w:val="24"/>
        </w:rPr>
        <w:tab/>
        <w:t>Interaktion med andre lægemidler og andre former for interaktion</w:t>
      </w:r>
    </w:p>
    <w:p w14:paraId="504D0C56" w14:textId="77777777" w:rsidR="00857071" w:rsidRPr="00283C60" w:rsidRDefault="00857071" w:rsidP="00393DF8">
      <w:pPr>
        <w:ind w:left="851"/>
        <w:rPr>
          <w:sz w:val="24"/>
          <w:szCs w:val="24"/>
        </w:rPr>
      </w:pPr>
    </w:p>
    <w:p w14:paraId="0C51E15D" w14:textId="72195133" w:rsidR="00244D23" w:rsidRPr="00283C60" w:rsidRDefault="00244D23" w:rsidP="00393DF8">
      <w:pPr>
        <w:ind w:left="851"/>
        <w:rPr>
          <w:sz w:val="24"/>
          <w:szCs w:val="24"/>
          <w:u w:val="single"/>
          <w:lang w:eastAsia="fr-LU"/>
        </w:rPr>
      </w:pPr>
      <w:proofErr w:type="spellStart"/>
      <w:r w:rsidRPr="00283C60">
        <w:rPr>
          <w:sz w:val="24"/>
          <w:szCs w:val="24"/>
          <w:u w:val="single"/>
        </w:rPr>
        <w:t>Anti</w:t>
      </w:r>
      <w:proofErr w:type="spellEnd"/>
      <w:r w:rsidRPr="00283C60">
        <w:rPr>
          <w:sz w:val="24"/>
          <w:szCs w:val="24"/>
          <w:u w:val="single"/>
        </w:rPr>
        <w:t xml:space="preserve">-neoplastiske, immunsuppressive eller </w:t>
      </w:r>
      <w:proofErr w:type="spellStart"/>
      <w:r w:rsidRPr="00283C60">
        <w:rPr>
          <w:sz w:val="24"/>
          <w:szCs w:val="24"/>
          <w:u w:val="single"/>
        </w:rPr>
        <w:t>kortikosteroidbehandlinger</w:t>
      </w:r>
      <w:proofErr w:type="spellEnd"/>
    </w:p>
    <w:p w14:paraId="3C3F71CB" w14:textId="77777777" w:rsidR="00244D23" w:rsidRPr="00283C60" w:rsidRDefault="00244D23" w:rsidP="00393DF8">
      <w:pPr>
        <w:ind w:left="851"/>
        <w:rPr>
          <w:noProof/>
          <w:sz w:val="24"/>
          <w:szCs w:val="24"/>
        </w:rPr>
      </w:pPr>
      <w:r w:rsidRPr="00283C60">
        <w:rPr>
          <w:noProof/>
          <w:sz w:val="24"/>
          <w:szCs w:val="24"/>
        </w:rPr>
        <w:t>Dimethylfumarat er ikke blevet undersøgt i kombination med anti-neoplastiske eller immunsuppressive terapier, og der skal derfor udvises forsigtighed ved samtidig administration. I kliniske studier af multipel sklerose blev samtidig kortvarig, intravenøs kortikosteroidbehandling af attakker ikke forbundet med en klinisk relevant stigning i infektioner.</w:t>
      </w:r>
    </w:p>
    <w:p w14:paraId="68FD5DBF" w14:textId="77777777" w:rsidR="00244D23" w:rsidRPr="00283C60" w:rsidRDefault="00244D23" w:rsidP="00393DF8">
      <w:pPr>
        <w:ind w:left="851"/>
        <w:rPr>
          <w:noProof/>
          <w:sz w:val="24"/>
          <w:szCs w:val="24"/>
          <w:lang w:eastAsia="fr-LU"/>
        </w:rPr>
      </w:pPr>
    </w:p>
    <w:p w14:paraId="5B0262E5" w14:textId="77777777" w:rsidR="00244D23" w:rsidRPr="00283C60" w:rsidRDefault="00244D23" w:rsidP="00393DF8">
      <w:pPr>
        <w:ind w:left="851"/>
        <w:rPr>
          <w:noProof/>
          <w:sz w:val="24"/>
          <w:szCs w:val="24"/>
          <w:u w:val="single"/>
        </w:rPr>
      </w:pPr>
      <w:r w:rsidRPr="00283C60">
        <w:rPr>
          <w:noProof/>
          <w:sz w:val="24"/>
          <w:szCs w:val="24"/>
          <w:u w:val="single"/>
        </w:rPr>
        <w:t xml:space="preserve">Vacciner </w:t>
      </w:r>
    </w:p>
    <w:p w14:paraId="0598C45C" w14:textId="77777777" w:rsidR="00244D23" w:rsidRPr="00283C60" w:rsidRDefault="00244D23" w:rsidP="00393DF8">
      <w:pPr>
        <w:ind w:left="851"/>
        <w:rPr>
          <w:noProof/>
          <w:sz w:val="24"/>
          <w:szCs w:val="24"/>
        </w:rPr>
      </w:pPr>
      <w:r w:rsidRPr="00283C60">
        <w:rPr>
          <w:noProof/>
          <w:sz w:val="24"/>
          <w:szCs w:val="24"/>
        </w:rPr>
        <w:t>Samtidig administration af ikke-levende vacciner i henhold til nationale vaccinations</w:t>
      </w:r>
      <w:r w:rsidRPr="00283C60">
        <w:rPr>
          <w:noProof/>
          <w:sz w:val="24"/>
          <w:szCs w:val="24"/>
        </w:rPr>
        <w:softHyphen/>
        <w:t>programmer kan overvejes under behandling med dimethylfumarat. I et klinisk studie med deltagelse af i alt 71 patienter med RRMS, som fik 240 mg dimethylfumarat to gange dagligt i mindst 6 måneder (n=38) eller ikke-pegyleret interferon i mindst 3 måneder (n=33), sås et sammenligneligt immunrespons (defineret som ≥ fordobling af titer fra før til efter vaccinationen) over for tetanustoksoid (recall-antigen) og en konjugeret meningokok C-polysaccharid-vaccine (neoantigen). Immunresponset over for forskellige serotyper af en ukonjugeret 23-valent pneumokok-polysaccharid-vaccine (T-celle-uafhængigt antigen) varierede imidlertid i begge behandlingsgrupper. Et positivt immunrespons, defineret som ≥ firedobling af antigen-titer over for de tre vacciner, blev opnået hos færre personer i begge behandlingsgrupper. Der sås små numeriske forskelle i responset over for tetanustoksoid og pneumokok-serotype 3-polysaccharid i ikke-pegyleret interferons favør.</w:t>
      </w:r>
    </w:p>
    <w:p w14:paraId="50B1B6BE" w14:textId="77777777" w:rsidR="00244D23" w:rsidRPr="00283C60" w:rsidRDefault="00244D23" w:rsidP="00393DF8">
      <w:pPr>
        <w:ind w:left="851"/>
        <w:rPr>
          <w:noProof/>
          <w:sz w:val="24"/>
          <w:szCs w:val="24"/>
        </w:rPr>
      </w:pPr>
    </w:p>
    <w:p w14:paraId="4CBC6F23" w14:textId="77777777" w:rsidR="00244D23" w:rsidRPr="00283C60" w:rsidRDefault="00244D23" w:rsidP="00393DF8">
      <w:pPr>
        <w:ind w:left="851"/>
        <w:rPr>
          <w:noProof/>
          <w:sz w:val="24"/>
          <w:szCs w:val="24"/>
        </w:rPr>
      </w:pPr>
      <w:r w:rsidRPr="00283C60">
        <w:rPr>
          <w:noProof/>
          <w:sz w:val="24"/>
          <w:szCs w:val="24"/>
        </w:rPr>
        <w:t>Der foreligger ingen kliniske data om virkning og sikkerhed ved levende, svækkede vacciner hos patienter, der får dimethylfumarat. Levende vacciner kan medføre en øget risiko for klinisk infektion og bør ikke gives til patienter i behandling med dimethylfumarat, medmindre denne potentielle risiko i ganske særlige tilfælde anses for at blive opvejet af risikoen for den enkelte ved ikke at blive vaccineret.</w:t>
      </w:r>
    </w:p>
    <w:p w14:paraId="740082EE" w14:textId="77777777" w:rsidR="00244D23" w:rsidRPr="00283C60" w:rsidRDefault="00244D23" w:rsidP="00393DF8">
      <w:pPr>
        <w:ind w:left="851"/>
        <w:rPr>
          <w:sz w:val="24"/>
          <w:szCs w:val="24"/>
          <w:lang w:eastAsia="fr-LU"/>
        </w:rPr>
      </w:pPr>
    </w:p>
    <w:p w14:paraId="52ABCFE8" w14:textId="77777777" w:rsidR="00244D23" w:rsidRPr="00283C60" w:rsidRDefault="00244D23" w:rsidP="00393DF8">
      <w:pPr>
        <w:ind w:left="851"/>
        <w:rPr>
          <w:sz w:val="24"/>
          <w:szCs w:val="24"/>
          <w:u w:val="single"/>
        </w:rPr>
      </w:pPr>
      <w:r w:rsidRPr="00283C60">
        <w:rPr>
          <w:sz w:val="24"/>
          <w:szCs w:val="24"/>
          <w:u w:val="single"/>
        </w:rPr>
        <w:t xml:space="preserve">Andre </w:t>
      </w:r>
      <w:r w:rsidRPr="00283C60">
        <w:rPr>
          <w:noProof/>
          <w:sz w:val="24"/>
          <w:szCs w:val="24"/>
          <w:u w:val="single"/>
        </w:rPr>
        <w:t>fumarsyrederivater</w:t>
      </w:r>
      <w:r w:rsidRPr="00283C60">
        <w:rPr>
          <w:sz w:val="24"/>
          <w:szCs w:val="24"/>
          <w:u w:val="single"/>
        </w:rPr>
        <w:t xml:space="preserve"> </w:t>
      </w:r>
    </w:p>
    <w:p w14:paraId="2453E368" w14:textId="77777777" w:rsidR="00244D23" w:rsidRPr="00283C60" w:rsidRDefault="00244D23" w:rsidP="00393DF8">
      <w:pPr>
        <w:ind w:left="851"/>
        <w:rPr>
          <w:noProof/>
          <w:sz w:val="24"/>
          <w:szCs w:val="24"/>
        </w:rPr>
      </w:pPr>
      <w:r w:rsidRPr="00283C60">
        <w:rPr>
          <w:noProof/>
          <w:sz w:val="24"/>
          <w:szCs w:val="24"/>
        </w:rPr>
        <w:t>Under behandling med dimethylfumarat bør samtidig brug af andre fumarsyrederivater (topiske eller systemiske) undgås.</w:t>
      </w:r>
    </w:p>
    <w:p w14:paraId="4147C461" w14:textId="77777777" w:rsidR="00244D23" w:rsidRPr="00283C60" w:rsidRDefault="00244D23" w:rsidP="00393DF8">
      <w:pPr>
        <w:ind w:left="851"/>
        <w:rPr>
          <w:noProof/>
          <w:sz w:val="24"/>
          <w:szCs w:val="24"/>
        </w:rPr>
      </w:pPr>
    </w:p>
    <w:p w14:paraId="79458E88" w14:textId="77777777" w:rsidR="00244D23" w:rsidRPr="00283C60" w:rsidRDefault="00244D23" w:rsidP="00393DF8">
      <w:pPr>
        <w:ind w:left="851"/>
        <w:rPr>
          <w:noProof/>
          <w:sz w:val="24"/>
          <w:szCs w:val="24"/>
        </w:rPr>
      </w:pPr>
      <w:r w:rsidRPr="00283C60">
        <w:rPr>
          <w:noProof/>
          <w:sz w:val="24"/>
          <w:szCs w:val="24"/>
        </w:rPr>
        <w:t xml:space="preserve">Hos mennesker metaboliseres dimethylfumarat ekstensivt af esteraser, inden det når systemkredsløbet, og der sker en yderligere metabolisering vha. tricarboxylsyrecyklussen uden involvering af cytokrom-P450 (CYP)-systemet. Der blev ikke identificeret potentielle risici for interaktion med andre lægemidler i </w:t>
      </w:r>
      <w:r w:rsidRPr="00283C60">
        <w:rPr>
          <w:i/>
          <w:iCs/>
          <w:noProof/>
          <w:sz w:val="24"/>
          <w:szCs w:val="24"/>
        </w:rPr>
        <w:t>in vitro</w:t>
      </w:r>
      <w:r w:rsidRPr="00283C60">
        <w:rPr>
          <w:noProof/>
          <w:sz w:val="24"/>
          <w:szCs w:val="24"/>
        </w:rPr>
        <w:t>-studier af CYP-hæmning og -induktion, et p-glykoprotein-studie eller studier af dimethylfumarats og monomethylfumarats (den primære metabolit af dimethylfumarat) proteinbinding.</w:t>
      </w:r>
    </w:p>
    <w:p w14:paraId="7C79FAAD" w14:textId="70C74ED1" w:rsidR="00283C60" w:rsidRDefault="00283C60">
      <w:pPr>
        <w:rPr>
          <w:noProof/>
          <w:sz w:val="24"/>
          <w:szCs w:val="24"/>
        </w:rPr>
      </w:pPr>
      <w:r>
        <w:rPr>
          <w:noProof/>
          <w:sz w:val="24"/>
          <w:szCs w:val="24"/>
        </w:rPr>
        <w:br w:type="page"/>
      </w:r>
    </w:p>
    <w:p w14:paraId="2927A3A2" w14:textId="77777777" w:rsidR="00244D23" w:rsidRPr="00283C60" w:rsidRDefault="00244D23" w:rsidP="00393DF8">
      <w:pPr>
        <w:ind w:left="851"/>
        <w:rPr>
          <w:noProof/>
          <w:sz w:val="24"/>
          <w:szCs w:val="24"/>
        </w:rPr>
      </w:pPr>
    </w:p>
    <w:p w14:paraId="6E92C80A" w14:textId="77777777" w:rsidR="00244D23" w:rsidRPr="00283C60" w:rsidRDefault="00244D23" w:rsidP="00393DF8">
      <w:pPr>
        <w:ind w:left="851"/>
        <w:rPr>
          <w:noProof/>
          <w:sz w:val="24"/>
          <w:szCs w:val="24"/>
          <w:u w:val="single"/>
        </w:rPr>
      </w:pPr>
      <w:r w:rsidRPr="00283C60">
        <w:rPr>
          <w:noProof/>
          <w:sz w:val="24"/>
          <w:szCs w:val="24"/>
          <w:u w:val="single"/>
        </w:rPr>
        <w:t>Virkning af andre stoffer på dimethylfumarat</w:t>
      </w:r>
    </w:p>
    <w:p w14:paraId="101117F4" w14:textId="77777777" w:rsidR="00244D23" w:rsidRPr="00283C60" w:rsidRDefault="00244D23" w:rsidP="00393DF8">
      <w:pPr>
        <w:ind w:left="851"/>
        <w:rPr>
          <w:noProof/>
          <w:sz w:val="24"/>
          <w:szCs w:val="24"/>
          <w:lang w:eastAsia="fr-LU"/>
        </w:rPr>
      </w:pPr>
      <w:r w:rsidRPr="00283C60">
        <w:rPr>
          <w:noProof/>
          <w:sz w:val="24"/>
          <w:szCs w:val="24"/>
        </w:rPr>
        <w:t>Hyppigt anvendte lægemidler til patienter med multipel sklerose, intramuskulær interferon beta-1a og glatirameracetat, blev testet klinisk for potentielle interaktioner med dimethylfumarat og ændrede ikke dimethylfumarats farmakokinetiske profil.</w:t>
      </w:r>
    </w:p>
    <w:p w14:paraId="7AD0A9E7" w14:textId="77777777" w:rsidR="00244D23" w:rsidRPr="00283C60" w:rsidRDefault="00244D23" w:rsidP="00393DF8">
      <w:pPr>
        <w:ind w:left="851"/>
        <w:rPr>
          <w:noProof/>
          <w:sz w:val="24"/>
          <w:szCs w:val="24"/>
        </w:rPr>
      </w:pPr>
    </w:p>
    <w:p w14:paraId="321300F3" w14:textId="77777777" w:rsidR="00244D23" w:rsidRPr="00283C60" w:rsidRDefault="00244D23" w:rsidP="00393DF8">
      <w:pPr>
        <w:ind w:left="851"/>
        <w:rPr>
          <w:noProof/>
          <w:sz w:val="24"/>
          <w:szCs w:val="24"/>
        </w:rPr>
      </w:pPr>
      <w:r w:rsidRPr="00283C60">
        <w:rPr>
          <w:noProof/>
          <w:sz w:val="24"/>
          <w:szCs w:val="24"/>
        </w:rPr>
        <w:t>Evidens fra studier med raske frivillige tyder på, at rødme relateret til dimethylfumarat sandsynligvis er medieret af prostaglandin. I to studier med raske frivillige medførte administration af 325 mg (eller ækvivalent) acetylsalicylsyre uden entero-overtræk 30 minutter før dimethylfumarat i henholdsvis 4 dage og 4 uger ingen ændring i dimethylfumarats farmakokinetiske profil. Det bør overvejes, om der er potentielle risici i forbindelse med acetylsalicylsyrebehandling før samtidig administration af dimethylfumarat hos patienter med RRMS. Langvarig (&gt;4 uger) vedvarende brug af acetylsalicylsyre er ikke blevet undersøgt (se pkt. 4.4 og 4.8).</w:t>
      </w:r>
    </w:p>
    <w:p w14:paraId="1E1831D6" w14:textId="77777777" w:rsidR="00244D23" w:rsidRPr="00283C60" w:rsidRDefault="00244D23" w:rsidP="00393DF8">
      <w:pPr>
        <w:ind w:left="851"/>
        <w:rPr>
          <w:noProof/>
          <w:sz w:val="24"/>
          <w:szCs w:val="24"/>
        </w:rPr>
      </w:pPr>
    </w:p>
    <w:p w14:paraId="213CA421" w14:textId="77777777" w:rsidR="00244D23" w:rsidRPr="00283C60" w:rsidRDefault="00244D23" w:rsidP="00393DF8">
      <w:pPr>
        <w:ind w:left="851"/>
        <w:rPr>
          <w:noProof/>
          <w:sz w:val="24"/>
          <w:szCs w:val="24"/>
        </w:rPr>
      </w:pPr>
      <w:r w:rsidRPr="00283C60">
        <w:rPr>
          <w:noProof/>
          <w:sz w:val="24"/>
          <w:szCs w:val="24"/>
        </w:rPr>
        <w:t>Samtidig behandling med nefrotoksiske lægemidler (såsom aminoglykosider, diuretika, non-steroide antiinflammatoriske lægemidler eller lithium) kan øge risikoen for renale bivirkninger (f.eks. proteinuri, se pkt. 4.8) hos patienter, der tager dimethylfumarat (se pkt. 4.4 Blodprøver/laboratorietests).</w:t>
      </w:r>
    </w:p>
    <w:p w14:paraId="2E71411C" w14:textId="77777777" w:rsidR="00244D23" w:rsidRPr="00283C60" w:rsidRDefault="00244D23" w:rsidP="00393DF8">
      <w:pPr>
        <w:ind w:left="851"/>
        <w:rPr>
          <w:noProof/>
          <w:sz w:val="24"/>
          <w:szCs w:val="24"/>
        </w:rPr>
      </w:pPr>
    </w:p>
    <w:p w14:paraId="49DB8EB6" w14:textId="77777777" w:rsidR="00244D23" w:rsidRPr="00283C60" w:rsidRDefault="00244D23" w:rsidP="00393DF8">
      <w:pPr>
        <w:ind w:left="851"/>
        <w:rPr>
          <w:noProof/>
          <w:sz w:val="24"/>
          <w:szCs w:val="24"/>
        </w:rPr>
      </w:pPr>
      <w:r w:rsidRPr="00283C60">
        <w:rPr>
          <w:noProof/>
          <w:sz w:val="24"/>
          <w:szCs w:val="24"/>
        </w:rPr>
        <w:t>Indtagelse af moderate mængder alkohol øgede ikke eksponeringen for dimethylfumarat og var ikke forbundet med flere bivirkninger. Indtagelse af store mængder stærke alkoholiske drikke (alkoholprocent over 30 %) bør undgås inden for en time efter indtagelse af dimethylfumarat, da alkohol kan medføre en øget hyppighed af gastrointestinale bivirkninger.</w:t>
      </w:r>
    </w:p>
    <w:p w14:paraId="06FEB729" w14:textId="77777777" w:rsidR="00244D23" w:rsidRPr="00283C60" w:rsidRDefault="00244D23" w:rsidP="00393DF8">
      <w:pPr>
        <w:ind w:left="851"/>
        <w:rPr>
          <w:sz w:val="24"/>
          <w:szCs w:val="24"/>
          <w:lang w:eastAsia="fr-LU"/>
        </w:rPr>
      </w:pPr>
    </w:p>
    <w:p w14:paraId="74C5479B" w14:textId="77777777" w:rsidR="00244D23" w:rsidRPr="00283C60" w:rsidRDefault="00244D23" w:rsidP="00393DF8">
      <w:pPr>
        <w:ind w:left="851"/>
        <w:rPr>
          <w:sz w:val="24"/>
          <w:szCs w:val="24"/>
          <w:u w:val="single"/>
        </w:rPr>
      </w:pPr>
      <w:r w:rsidRPr="00283C60">
        <w:rPr>
          <w:sz w:val="24"/>
          <w:szCs w:val="24"/>
          <w:u w:val="single"/>
        </w:rPr>
        <w:t xml:space="preserve">Virkning af </w:t>
      </w:r>
      <w:r w:rsidRPr="00283C60">
        <w:rPr>
          <w:noProof/>
          <w:sz w:val="24"/>
          <w:szCs w:val="24"/>
          <w:u w:val="single"/>
        </w:rPr>
        <w:t xml:space="preserve">dimethylfumarat på andre stoffer </w:t>
      </w:r>
    </w:p>
    <w:p w14:paraId="4F58E97D" w14:textId="6F00C810" w:rsidR="00244D23" w:rsidRPr="00283C60" w:rsidRDefault="00244D23" w:rsidP="00393DF8">
      <w:pPr>
        <w:ind w:left="851"/>
        <w:rPr>
          <w:sz w:val="24"/>
          <w:szCs w:val="24"/>
        </w:rPr>
      </w:pPr>
      <w:r w:rsidRPr="00283C60">
        <w:rPr>
          <w:i/>
          <w:iCs/>
          <w:noProof/>
          <w:sz w:val="24"/>
          <w:szCs w:val="24"/>
        </w:rPr>
        <w:t>In vitro</w:t>
      </w:r>
      <w:r w:rsidRPr="00283C60">
        <w:rPr>
          <w:noProof/>
          <w:sz w:val="24"/>
          <w:szCs w:val="24"/>
        </w:rPr>
        <w:t xml:space="preserve">-studier af CYP-induktion viste ikke interaktion mellem dimethylfumarat og p-piller. Der er ikke udført </w:t>
      </w:r>
      <w:r w:rsidRPr="00283C60">
        <w:rPr>
          <w:i/>
          <w:noProof/>
          <w:sz w:val="24"/>
          <w:szCs w:val="24"/>
        </w:rPr>
        <w:t>in vivo</w:t>
      </w:r>
      <w:r w:rsidRPr="00283C60">
        <w:rPr>
          <w:noProof/>
          <w:sz w:val="24"/>
          <w:szCs w:val="24"/>
        </w:rPr>
        <w:t xml:space="preserve"> interaktionersstudier med orale præventionsmidler. I et </w:t>
      </w:r>
      <w:r w:rsidRPr="00283C60">
        <w:rPr>
          <w:i/>
          <w:iCs/>
          <w:noProof/>
          <w:sz w:val="24"/>
          <w:szCs w:val="24"/>
        </w:rPr>
        <w:t>in vivo</w:t>
      </w:r>
      <w:r w:rsidRPr="00283C60">
        <w:rPr>
          <w:noProof/>
          <w:sz w:val="24"/>
          <w:szCs w:val="24"/>
        </w:rPr>
        <w:t>-studie medførte samtidig administration af dimethylfumarat og oral præventions</w:t>
      </w:r>
      <w:r w:rsidR="005172A5">
        <w:rPr>
          <w:noProof/>
          <w:sz w:val="24"/>
          <w:szCs w:val="24"/>
        </w:rPr>
        <w:softHyphen/>
      </w:r>
      <w:r w:rsidRPr="00283C60">
        <w:rPr>
          <w:noProof/>
          <w:sz w:val="24"/>
          <w:szCs w:val="24"/>
        </w:rPr>
        <w:t>midlet af kombinationstypen (norgestimat og ethinylestradiol) ingen relevant ændring i eksponeringen for præventionsmidlet. Der er ikke udført interaktionsstudier med orale præventionsmidler, der indeholder andre progestogener, men det forventes ikke, at dimethylfumarat påvirker deres virkning.</w:t>
      </w:r>
    </w:p>
    <w:p w14:paraId="210234B5" w14:textId="77777777" w:rsidR="00244D23" w:rsidRPr="00283C60" w:rsidRDefault="00244D23" w:rsidP="00393DF8">
      <w:pPr>
        <w:ind w:left="851"/>
        <w:rPr>
          <w:noProof/>
          <w:sz w:val="24"/>
          <w:szCs w:val="24"/>
        </w:rPr>
      </w:pPr>
    </w:p>
    <w:p w14:paraId="6CACC47D" w14:textId="77777777" w:rsidR="00244D23" w:rsidRPr="00283C60" w:rsidRDefault="00244D23" w:rsidP="00393DF8">
      <w:pPr>
        <w:ind w:left="851"/>
        <w:rPr>
          <w:noProof/>
          <w:sz w:val="24"/>
          <w:szCs w:val="24"/>
        </w:rPr>
      </w:pPr>
      <w:r w:rsidRPr="00283C60">
        <w:rPr>
          <w:noProof/>
          <w:sz w:val="24"/>
          <w:szCs w:val="24"/>
          <w:u w:val="single"/>
        </w:rPr>
        <w:t>Pædiatrisk population</w:t>
      </w:r>
      <w:r w:rsidRPr="00283C60">
        <w:rPr>
          <w:noProof/>
          <w:sz w:val="24"/>
          <w:szCs w:val="24"/>
          <w:u w:val="single"/>
        </w:rPr>
        <w:br/>
      </w:r>
      <w:r w:rsidRPr="00283C60">
        <w:rPr>
          <w:noProof/>
          <w:sz w:val="24"/>
          <w:szCs w:val="24"/>
        </w:rPr>
        <w:t>Interaktionsstudier er kun udført hos voksne.</w:t>
      </w:r>
    </w:p>
    <w:p w14:paraId="5A69DD7A" w14:textId="77777777" w:rsidR="009260DE" w:rsidRPr="00283C60" w:rsidRDefault="009260DE" w:rsidP="009260DE">
      <w:pPr>
        <w:tabs>
          <w:tab w:val="left" w:pos="851"/>
        </w:tabs>
        <w:ind w:left="851"/>
        <w:rPr>
          <w:sz w:val="24"/>
          <w:szCs w:val="24"/>
        </w:rPr>
      </w:pPr>
    </w:p>
    <w:p w14:paraId="2A627401" w14:textId="77777777" w:rsidR="009260DE" w:rsidRPr="00283C60" w:rsidRDefault="009260DE" w:rsidP="009260DE">
      <w:pPr>
        <w:tabs>
          <w:tab w:val="left" w:pos="851"/>
        </w:tabs>
        <w:ind w:left="851" w:hanging="851"/>
        <w:rPr>
          <w:b/>
          <w:sz w:val="24"/>
          <w:szCs w:val="24"/>
        </w:rPr>
      </w:pPr>
      <w:r w:rsidRPr="00283C60">
        <w:rPr>
          <w:b/>
          <w:sz w:val="24"/>
          <w:szCs w:val="24"/>
        </w:rPr>
        <w:t>4.6</w:t>
      </w:r>
      <w:r w:rsidRPr="00283C60">
        <w:rPr>
          <w:b/>
          <w:sz w:val="24"/>
          <w:szCs w:val="24"/>
        </w:rPr>
        <w:tab/>
      </w:r>
      <w:r w:rsidR="0071241E" w:rsidRPr="00283C60">
        <w:rPr>
          <w:b/>
          <w:sz w:val="24"/>
          <w:szCs w:val="24"/>
        </w:rPr>
        <w:t>Fertilitet, g</w:t>
      </w:r>
      <w:r w:rsidRPr="00283C60">
        <w:rPr>
          <w:b/>
          <w:sz w:val="24"/>
          <w:szCs w:val="24"/>
        </w:rPr>
        <w:t>raviditet og amning</w:t>
      </w:r>
    </w:p>
    <w:p w14:paraId="26289F71" w14:textId="77777777" w:rsidR="00857071" w:rsidRPr="00283C60" w:rsidRDefault="00857071" w:rsidP="00393DF8">
      <w:pPr>
        <w:ind w:left="851"/>
        <w:rPr>
          <w:noProof/>
          <w:sz w:val="24"/>
          <w:szCs w:val="24"/>
        </w:rPr>
      </w:pPr>
    </w:p>
    <w:p w14:paraId="25E76F24" w14:textId="36DF0DFE" w:rsidR="00244D23" w:rsidRPr="00283C60" w:rsidRDefault="00244D23" w:rsidP="00393DF8">
      <w:pPr>
        <w:ind w:left="851"/>
        <w:rPr>
          <w:noProof/>
          <w:sz w:val="24"/>
          <w:szCs w:val="24"/>
          <w:u w:val="single"/>
        </w:rPr>
      </w:pPr>
      <w:r w:rsidRPr="00283C60">
        <w:rPr>
          <w:noProof/>
          <w:sz w:val="24"/>
          <w:szCs w:val="24"/>
          <w:u w:val="single"/>
        </w:rPr>
        <w:t>Graviditet</w:t>
      </w:r>
    </w:p>
    <w:p w14:paraId="3A9F7166" w14:textId="77777777" w:rsidR="00244D23" w:rsidRPr="00283C60" w:rsidRDefault="00244D23" w:rsidP="00393DF8">
      <w:pPr>
        <w:ind w:left="851"/>
        <w:rPr>
          <w:noProof/>
          <w:sz w:val="24"/>
          <w:szCs w:val="24"/>
          <w:lang w:eastAsia="fr-LU"/>
        </w:rPr>
      </w:pPr>
      <w:r w:rsidRPr="00283C60">
        <w:rPr>
          <w:noProof/>
          <w:sz w:val="24"/>
          <w:szCs w:val="24"/>
        </w:rPr>
        <w:t>En moderat mængde data om gravide kvinder er tilgængelig (mellem 300 - 1.000 graviditetsforløb) baseret på et graviditetsregister og spontane indberetninger efter markedsføring. I dimethylfumaratgraviditetsregisteret for dimethylfumarat blev 289 prospektivt indsamlede graviditetsforløb dokumenteret hos patienter med MS, der var eksponeret for dimethylfumarat. Den mediane eksponeringsvarighed for dimethylfumarat var 4,6 graviditetsuger, med begrænset eksponering efter den sjette graviditetsuge (44 graviditetsforløb). Eksponering for dimethylfumarat i den tidlige graviditet indikerer ingen misdannelser eller føto-/neonatal toksicitet sammenlignet med den generelle befolkning. Risikoen ved længerevarende eksponering for dimethylfumarat eller eksponering i senere stadier af graviditeten er ukendt.</w:t>
      </w:r>
    </w:p>
    <w:p w14:paraId="11CE2E2C" w14:textId="77777777" w:rsidR="00244D23" w:rsidRPr="00283C60" w:rsidRDefault="00244D23" w:rsidP="00393DF8">
      <w:pPr>
        <w:ind w:left="851"/>
        <w:rPr>
          <w:noProof/>
          <w:sz w:val="24"/>
          <w:szCs w:val="24"/>
        </w:rPr>
      </w:pPr>
    </w:p>
    <w:p w14:paraId="2DCE18D7" w14:textId="7F79878A" w:rsidR="00244D23" w:rsidRPr="00283C60" w:rsidRDefault="00244D23" w:rsidP="00393DF8">
      <w:pPr>
        <w:ind w:left="851"/>
        <w:rPr>
          <w:noProof/>
          <w:sz w:val="24"/>
          <w:szCs w:val="24"/>
        </w:rPr>
      </w:pPr>
      <w:r w:rsidRPr="00283C60">
        <w:rPr>
          <w:noProof/>
          <w:sz w:val="24"/>
          <w:szCs w:val="24"/>
        </w:rPr>
        <w:t>Dyreforsøg har vist reproduktionstoksicitet (se pkt. 5.3). Som en forsigtigheds</w:t>
      </w:r>
      <w:r w:rsidR="00857071" w:rsidRPr="00283C60">
        <w:rPr>
          <w:noProof/>
          <w:sz w:val="24"/>
          <w:szCs w:val="24"/>
        </w:rPr>
        <w:softHyphen/>
      </w:r>
      <w:r w:rsidRPr="00283C60">
        <w:rPr>
          <w:noProof/>
          <w:sz w:val="24"/>
          <w:szCs w:val="24"/>
        </w:rPr>
        <w:t>foranstaltning bør brug af dimethylfumarat under graviditet undgås. Dimethylfumarat bør kun anvendes under graviditet, hvis det er strengt nødvendigt, og hvis den potentielle fordel for kvinden opvejer den potentielle risiko for fostret.</w:t>
      </w:r>
    </w:p>
    <w:p w14:paraId="569BB530" w14:textId="77777777" w:rsidR="00244D23" w:rsidRPr="00283C60" w:rsidRDefault="00244D23" w:rsidP="00393DF8">
      <w:pPr>
        <w:ind w:left="851"/>
        <w:rPr>
          <w:noProof/>
          <w:sz w:val="24"/>
          <w:szCs w:val="24"/>
        </w:rPr>
      </w:pPr>
    </w:p>
    <w:p w14:paraId="2E82DE69" w14:textId="77777777" w:rsidR="00244D23" w:rsidRPr="00283C60" w:rsidRDefault="00244D23" w:rsidP="00393DF8">
      <w:pPr>
        <w:ind w:left="851"/>
        <w:rPr>
          <w:noProof/>
          <w:sz w:val="24"/>
          <w:szCs w:val="24"/>
          <w:u w:val="single"/>
        </w:rPr>
      </w:pPr>
      <w:r w:rsidRPr="00283C60">
        <w:rPr>
          <w:noProof/>
          <w:sz w:val="24"/>
          <w:szCs w:val="24"/>
          <w:u w:val="single"/>
        </w:rPr>
        <w:t>Amning</w:t>
      </w:r>
    </w:p>
    <w:p w14:paraId="6D9B322A" w14:textId="77777777" w:rsidR="00244D23" w:rsidRPr="00283C60" w:rsidRDefault="00244D23" w:rsidP="00393DF8">
      <w:pPr>
        <w:ind w:left="851"/>
        <w:rPr>
          <w:noProof/>
          <w:sz w:val="24"/>
          <w:szCs w:val="24"/>
        </w:rPr>
      </w:pPr>
      <w:r w:rsidRPr="00283C60">
        <w:rPr>
          <w:noProof/>
          <w:sz w:val="24"/>
          <w:szCs w:val="24"/>
        </w:rPr>
        <w:t>Det er ukendt, om dimethylfumarat eller dets metabolitter udskilles i human mælk. En risiko for nyfødte/spædbørn kan ikke udelukkes. Det skal besluttes, om amning eller behandling med dimethylfumarat skal ophøre, idet der tages højde for fordelene ved amning for barnet i forhold til de terapeutiske fordele for moderen.</w:t>
      </w:r>
    </w:p>
    <w:p w14:paraId="75E07528" w14:textId="77777777" w:rsidR="00244D23" w:rsidRPr="00283C60" w:rsidRDefault="00244D23" w:rsidP="00393DF8">
      <w:pPr>
        <w:ind w:left="851"/>
        <w:rPr>
          <w:noProof/>
          <w:sz w:val="24"/>
          <w:szCs w:val="24"/>
        </w:rPr>
      </w:pPr>
    </w:p>
    <w:p w14:paraId="3EFB8222" w14:textId="77777777" w:rsidR="00244D23" w:rsidRPr="00283C60" w:rsidRDefault="00244D23" w:rsidP="00393DF8">
      <w:pPr>
        <w:ind w:left="851"/>
        <w:rPr>
          <w:noProof/>
          <w:sz w:val="24"/>
          <w:szCs w:val="24"/>
          <w:u w:val="single"/>
        </w:rPr>
      </w:pPr>
      <w:r w:rsidRPr="00283C60">
        <w:rPr>
          <w:noProof/>
          <w:sz w:val="24"/>
          <w:szCs w:val="24"/>
          <w:u w:val="single"/>
        </w:rPr>
        <w:t>Fertilitet</w:t>
      </w:r>
    </w:p>
    <w:p w14:paraId="51BC1CE8" w14:textId="77777777" w:rsidR="00244D23" w:rsidRPr="00283C60" w:rsidRDefault="00244D23" w:rsidP="00393DF8">
      <w:pPr>
        <w:ind w:left="851"/>
        <w:rPr>
          <w:noProof/>
          <w:sz w:val="24"/>
          <w:szCs w:val="24"/>
        </w:rPr>
      </w:pPr>
      <w:r w:rsidRPr="00283C60">
        <w:rPr>
          <w:noProof/>
          <w:sz w:val="24"/>
          <w:szCs w:val="24"/>
        </w:rPr>
        <w:t>Der er ingen data om virkningerne af dimethylfumarat på fertiliteten hos mennesker. Data fra non-kliniske studier tyder ikke på, at dimethylfumarat er forbundet med en øget risiko for nedsat fertilitet (se pkt. 5.3).</w:t>
      </w:r>
    </w:p>
    <w:p w14:paraId="5B43C42A" w14:textId="77777777" w:rsidR="009260DE" w:rsidRPr="00283C60" w:rsidRDefault="009260DE" w:rsidP="009260DE">
      <w:pPr>
        <w:tabs>
          <w:tab w:val="left" w:pos="851"/>
        </w:tabs>
        <w:ind w:left="851"/>
        <w:rPr>
          <w:sz w:val="24"/>
          <w:szCs w:val="24"/>
        </w:rPr>
      </w:pPr>
    </w:p>
    <w:p w14:paraId="51C95354" w14:textId="77777777" w:rsidR="009260DE" w:rsidRPr="00283C60" w:rsidRDefault="009260DE" w:rsidP="009260DE">
      <w:pPr>
        <w:tabs>
          <w:tab w:val="left" w:pos="851"/>
        </w:tabs>
        <w:ind w:left="851" w:hanging="851"/>
        <w:rPr>
          <w:b/>
          <w:sz w:val="24"/>
          <w:szCs w:val="24"/>
        </w:rPr>
      </w:pPr>
      <w:r w:rsidRPr="00283C60">
        <w:rPr>
          <w:b/>
          <w:sz w:val="24"/>
          <w:szCs w:val="24"/>
        </w:rPr>
        <w:t>4.7</w:t>
      </w:r>
      <w:r w:rsidRPr="00283C60">
        <w:rPr>
          <w:b/>
          <w:sz w:val="24"/>
          <w:szCs w:val="24"/>
        </w:rPr>
        <w:tab/>
        <w:t xml:space="preserve">Virkning på evnen til at føre motorkøretøj </w:t>
      </w:r>
      <w:r w:rsidR="0071241E" w:rsidRPr="00283C60">
        <w:rPr>
          <w:b/>
          <w:sz w:val="24"/>
          <w:szCs w:val="24"/>
        </w:rPr>
        <w:t>og</w:t>
      </w:r>
      <w:r w:rsidRPr="00283C60">
        <w:rPr>
          <w:b/>
          <w:sz w:val="24"/>
          <w:szCs w:val="24"/>
        </w:rPr>
        <w:t xml:space="preserve"> betjene maskiner</w:t>
      </w:r>
    </w:p>
    <w:p w14:paraId="6A8A0710" w14:textId="77777777" w:rsidR="00857071" w:rsidRPr="00283C60" w:rsidRDefault="00857071" w:rsidP="00393DF8">
      <w:pPr>
        <w:ind w:left="851"/>
        <w:rPr>
          <w:sz w:val="24"/>
          <w:szCs w:val="24"/>
        </w:rPr>
      </w:pPr>
      <w:r w:rsidRPr="00283C60">
        <w:rPr>
          <w:sz w:val="24"/>
          <w:szCs w:val="24"/>
        </w:rPr>
        <w:t>Ikke mærkning.</w:t>
      </w:r>
    </w:p>
    <w:p w14:paraId="410ADFDB" w14:textId="256D3B56" w:rsidR="00244D23" w:rsidRPr="00283C60" w:rsidRDefault="00244D23" w:rsidP="00393DF8">
      <w:pPr>
        <w:ind w:left="851"/>
        <w:rPr>
          <w:sz w:val="24"/>
          <w:szCs w:val="24"/>
          <w:lang w:eastAsia="fr-LU"/>
        </w:rPr>
      </w:pPr>
      <w:proofErr w:type="spellStart"/>
      <w:r w:rsidRPr="00283C60">
        <w:rPr>
          <w:sz w:val="24"/>
          <w:szCs w:val="24"/>
        </w:rPr>
        <w:t>Dimethylfumarat</w:t>
      </w:r>
      <w:proofErr w:type="spellEnd"/>
      <w:r w:rsidRPr="00283C60">
        <w:rPr>
          <w:sz w:val="24"/>
          <w:szCs w:val="24"/>
        </w:rPr>
        <w:t xml:space="preserve"> påvirker ikke eller kun i ubetydelig grad evnen til at føre motorkøretøj og betjene maskiner.</w:t>
      </w:r>
    </w:p>
    <w:p w14:paraId="7F2C1CEB" w14:textId="77777777" w:rsidR="009260DE" w:rsidRPr="00283C60" w:rsidRDefault="009260DE" w:rsidP="009260DE">
      <w:pPr>
        <w:tabs>
          <w:tab w:val="left" w:pos="851"/>
        </w:tabs>
        <w:ind w:left="851"/>
        <w:rPr>
          <w:sz w:val="24"/>
          <w:szCs w:val="24"/>
        </w:rPr>
      </w:pPr>
    </w:p>
    <w:p w14:paraId="5A5E6179" w14:textId="77777777" w:rsidR="009260DE" w:rsidRPr="00283C60" w:rsidRDefault="009260DE" w:rsidP="009260DE">
      <w:pPr>
        <w:tabs>
          <w:tab w:val="left" w:pos="851"/>
        </w:tabs>
        <w:ind w:left="851" w:hanging="851"/>
        <w:rPr>
          <w:b/>
          <w:sz w:val="24"/>
          <w:szCs w:val="24"/>
        </w:rPr>
      </w:pPr>
      <w:r w:rsidRPr="00283C60">
        <w:rPr>
          <w:b/>
          <w:sz w:val="24"/>
          <w:szCs w:val="24"/>
        </w:rPr>
        <w:t>4.8</w:t>
      </w:r>
      <w:r w:rsidRPr="00283C60">
        <w:rPr>
          <w:b/>
          <w:sz w:val="24"/>
          <w:szCs w:val="24"/>
        </w:rPr>
        <w:tab/>
        <w:t>Bivirkninger</w:t>
      </w:r>
    </w:p>
    <w:p w14:paraId="7FA7545F" w14:textId="77777777" w:rsidR="00857071" w:rsidRPr="00283C60" w:rsidRDefault="00857071" w:rsidP="00393DF8">
      <w:pPr>
        <w:ind w:left="851"/>
        <w:rPr>
          <w:noProof/>
          <w:sz w:val="24"/>
          <w:szCs w:val="24"/>
        </w:rPr>
      </w:pPr>
    </w:p>
    <w:p w14:paraId="2E094B87" w14:textId="4C3DF330" w:rsidR="00244D23" w:rsidRPr="00283C60" w:rsidRDefault="00244D23" w:rsidP="00393DF8">
      <w:pPr>
        <w:ind w:left="851"/>
        <w:rPr>
          <w:noProof/>
          <w:sz w:val="24"/>
          <w:szCs w:val="24"/>
          <w:u w:val="single"/>
        </w:rPr>
      </w:pPr>
      <w:r w:rsidRPr="00283C60">
        <w:rPr>
          <w:noProof/>
          <w:sz w:val="24"/>
          <w:szCs w:val="24"/>
          <w:u w:val="single"/>
        </w:rPr>
        <w:t>Oversigt over sikkerhedsprofilen</w:t>
      </w:r>
    </w:p>
    <w:p w14:paraId="35A3554E" w14:textId="77777777" w:rsidR="00244D23" w:rsidRPr="00283C60" w:rsidRDefault="00244D23" w:rsidP="00393DF8">
      <w:pPr>
        <w:ind w:left="851"/>
        <w:rPr>
          <w:sz w:val="24"/>
          <w:szCs w:val="24"/>
          <w:lang w:eastAsia="fr-LU"/>
        </w:rPr>
      </w:pPr>
      <w:r w:rsidRPr="00283C60">
        <w:rPr>
          <w:sz w:val="24"/>
          <w:szCs w:val="24"/>
        </w:rPr>
        <w:t xml:space="preserve">De hyppigste bivirkninger hos patienter behandlet med </w:t>
      </w:r>
      <w:proofErr w:type="spellStart"/>
      <w:r w:rsidRPr="00283C60">
        <w:rPr>
          <w:sz w:val="24"/>
          <w:szCs w:val="24"/>
        </w:rPr>
        <w:t>dimethylfumarat</w:t>
      </w:r>
      <w:proofErr w:type="spellEnd"/>
      <w:r w:rsidRPr="00283C60">
        <w:rPr>
          <w:sz w:val="24"/>
          <w:szCs w:val="24"/>
        </w:rPr>
        <w:t xml:space="preserve"> var rødme (35 %) og </w:t>
      </w:r>
      <w:proofErr w:type="spellStart"/>
      <w:r w:rsidRPr="00283C60">
        <w:rPr>
          <w:sz w:val="24"/>
          <w:szCs w:val="24"/>
        </w:rPr>
        <w:t>gastrointestinale</w:t>
      </w:r>
      <w:proofErr w:type="spellEnd"/>
      <w:r w:rsidRPr="00283C60">
        <w:rPr>
          <w:sz w:val="24"/>
          <w:szCs w:val="24"/>
        </w:rPr>
        <w:t xml:space="preserve"> bivirkninger (herunder diarré (14 %), kvalme (12 %), </w:t>
      </w:r>
      <w:proofErr w:type="spellStart"/>
      <w:r w:rsidRPr="00283C60">
        <w:rPr>
          <w:sz w:val="24"/>
          <w:szCs w:val="24"/>
        </w:rPr>
        <w:t>abdominalsmerter</w:t>
      </w:r>
      <w:proofErr w:type="spellEnd"/>
      <w:r w:rsidRPr="00283C60">
        <w:rPr>
          <w:sz w:val="24"/>
          <w:szCs w:val="24"/>
        </w:rPr>
        <w:t xml:space="preserve"> (10 %), smerter i den øverste del af abdomen (10 %)). Rødme og </w:t>
      </w:r>
      <w:proofErr w:type="spellStart"/>
      <w:r w:rsidRPr="00283C60">
        <w:rPr>
          <w:sz w:val="24"/>
          <w:szCs w:val="24"/>
        </w:rPr>
        <w:t>gastrointestinale</w:t>
      </w:r>
      <w:proofErr w:type="spellEnd"/>
      <w:r w:rsidRPr="00283C60">
        <w:rPr>
          <w:sz w:val="24"/>
          <w:szCs w:val="24"/>
        </w:rPr>
        <w:t xml:space="preserve"> bivirkninger opstår oftest tidligt i behandlingen (primært den første måned), og hos patienter, der oplever disse bivirkninger, kan disse hændelser fortsætte med at forekomme med mellemrum under behandling med </w:t>
      </w:r>
      <w:proofErr w:type="spellStart"/>
      <w:r w:rsidRPr="00283C60">
        <w:rPr>
          <w:sz w:val="24"/>
          <w:szCs w:val="24"/>
        </w:rPr>
        <w:t>dimethylfumarat</w:t>
      </w:r>
      <w:proofErr w:type="spellEnd"/>
      <w:r w:rsidRPr="00283C60">
        <w:rPr>
          <w:sz w:val="24"/>
          <w:szCs w:val="24"/>
        </w:rPr>
        <w:t xml:space="preserve">. De hyppigst rapporterede bivirkninger, som førte til </w:t>
      </w:r>
      <w:proofErr w:type="spellStart"/>
      <w:r w:rsidRPr="00283C60">
        <w:rPr>
          <w:sz w:val="24"/>
          <w:szCs w:val="24"/>
        </w:rPr>
        <w:t>seponering</w:t>
      </w:r>
      <w:proofErr w:type="spellEnd"/>
      <w:r w:rsidRPr="00283C60">
        <w:rPr>
          <w:sz w:val="24"/>
          <w:szCs w:val="24"/>
        </w:rPr>
        <w:t xml:space="preserve"> hos patienter behandlet med </w:t>
      </w:r>
      <w:proofErr w:type="spellStart"/>
      <w:r w:rsidRPr="00283C60">
        <w:rPr>
          <w:sz w:val="24"/>
          <w:szCs w:val="24"/>
        </w:rPr>
        <w:t>dimethylfumarat</w:t>
      </w:r>
      <w:proofErr w:type="spellEnd"/>
      <w:r w:rsidRPr="00283C60">
        <w:rPr>
          <w:sz w:val="24"/>
          <w:szCs w:val="24"/>
        </w:rPr>
        <w:t xml:space="preserve">, var rødme (3 %) og </w:t>
      </w:r>
      <w:proofErr w:type="spellStart"/>
      <w:r w:rsidRPr="00283C60">
        <w:rPr>
          <w:sz w:val="24"/>
          <w:szCs w:val="24"/>
        </w:rPr>
        <w:t>gastrointestinale</w:t>
      </w:r>
      <w:proofErr w:type="spellEnd"/>
      <w:r w:rsidRPr="00283C60">
        <w:rPr>
          <w:sz w:val="24"/>
          <w:szCs w:val="24"/>
        </w:rPr>
        <w:t xml:space="preserve"> bivirkninger (4 %).</w:t>
      </w:r>
    </w:p>
    <w:p w14:paraId="560C7451" w14:textId="77777777" w:rsidR="00244D23" w:rsidRPr="00283C60" w:rsidRDefault="00244D23" w:rsidP="00393DF8">
      <w:pPr>
        <w:ind w:left="851"/>
        <w:rPr>
          <w:sz w:val="24"/>
          <w:szCs w:val="24"/>
        </w:rPr>
      </w:pPr>
    </w:p>
    <w:p w14:paraId="36D71F3E" w14:textId="77777777" w:rsidR="00244D23" w:rsidRPr="00283C60" w:rsidRDefault="00244D23" w:rsidP="00393DF8">
      <w:pPr>
        <w:ind w:left="851"/>
        <w:rPr>
          <w:sz w:val="24"/>
          <w:szCs w:val="24"/>
        </w:rPr>
      </w:pPr>
      <w:r w:rsidRPr="00283C60">
        <w:rPr>
          <w:sz w:val="24"/>
          <w:szCs w:val="24"/>
        </w:rPr>
        <w:t xml:space="preserve">I fase 2 og 3 placebokontrollerede og ikke-kontrollerede kliniske studier har i alt 2.513 patienter fået </w:t>
      </w:r>
      <w:proofErr w:type="spellStart"/>
      <w:r w:rsidRPr="00283C60">
        <w:rPr>
          <w:sz w:val="24"/>
          <w:szCs w:val="24"/>
        </w:rPr>
        <w:t>dimethylfumarat</w:t>
      </w:r>
      <w:proofErr w:type="spellEnd"/>
      <w:r w:rsidRPr="00283C60">
        <w:rPr>
          <w:sz w:val="24"/>
          <w:szCs w:val="24"/>
        </w:rPr>
        <w:t xml:space="preserve"> i perioder på op til 12 år med en total eksponering, der svarer til 11.318 </w:t>
      </w:r>
      <w:proofErr w:type="spellStart"/>
      <w:r w:rsidRPr="00283C60">
        <w:rPr>
          <w:sz w:val="24"/>
          <w:szCs w:val="24"/>
        </w:rPr>
        <w:t>personår</w:t>
      </w:r>
      <w:proofErr w:type="spellEnd"/>
      <w:r w:rsidRPr="00283C60">
        <w:rPr>
          <w:sz w:val="24"/>
          <w:szCs w:val="24"/>
        </w:rPr>
        <w:t xml:space="preserve">. I alt 1.169 patienter har fået mindst 5 års behandling med </w:t>
      </w:r>
      <w:proofErr w:type="spellStart"/>
      <w:r w:rsidRPr="00283C60">
        <w:rPr>
          <w:sz w:val="24"/>
          <w:szCs w:val="24"/>
        </w:rPr>
        <w:t>dimethylfumarat</w:t>
      </w:r>
      <w:proofErr w:type="spellEnd"/>
      <w:r w:rsidRPr="00283C60">
        <w:rPr>
          <w:sz w:val="24"/>
          <w:szCs w:val="24"/>
        </w:rPr>
        <w:t xml:space="preserve">, og 426 patienter har fået mindst 10 års behandling med </w:t>
      </w:r>
      <w:proofErr w:type="spellStart"/>
      <w:r w:rsidRPr="00283C60">
        <w:rPr>
          <w:sz w:val="24"/>
          <w:szCs w:val="24"/>
        </w:rPr>
        <w:t>dimethylfumarat</w:t>
      </w:r>
      <w:proofErr w:type="spellEnd"/>
      <w:r w:rsidRPr="00283C60">
        <w:rPr>
          <w:sz w:val="24"/>
          <w:szCs w:val="24"/>
        </w:rPr>
        <w:t>. Erfaringen fra ikke-kontrollerede kliniske studier stemmer overens med erfaringen fra de placebokontrollerede kliniske studier.</w:t>
      </w:r>
    </w:p>
    <w:p w14:paraId="75D662DD" w14:textId="77777777" w:rsidR="00244D23" w:rsidRPr="00283C60" w:rsidRDefault="00244D23" w:rsidP="00393DF8">
      <w:pPr>
        <w:ind w:left="851"/>
        <w:rPr>
          <w:sz w:val="24"/>
          <w:szCs w:val="24"/>
          <w:lang w:eastAsia="fr-LU"/>
        </w:rPr>
      </w:pPr>
    </w:p>
    <w:p w14:paraId="3C9BB438" w14:textId="77777777" w:rsidR="00244D23" w:rsidRPr="00283C60" w:rsidRDefault="00244D23" w:rsidP="00393DF8">
      <w:pPr>
        <w:ind w:left="851"/>
        <w:rPr>
          <w:noProof/>
          <w:sz w:val="24"/>
          <w:szCs w:val="24"/>
          <w:u w:val="single"/>
        </w:rPr>
      </w:pPr>
      <w:r w:rsidRPr="00283C60">
        <w:rPr>
          <w:noProof/>
          <w:sz w:val="24"/>
          <w:szCs w:val="24"/>
          <w:u w:val="single"/>
        </w:rPr>
        <w:t>Tabel over bivirkninger</w:t>
      </w:r>
    </w:p>
    <w:p w14:paraId="3C5D8C9B" w14:textId="77777777" w:rsidR="00244D23" w:rsidRPr="00283C60" w:rsidRDefault="00244D23" w:rsidP="00393DF8">
      <w:pPr>
        <w:ind w:left="851"/>
        <w:rPr>
          <w:sz w:val="24"/>
          <w:szCs w:val="24"/>
          <w:lang w:eastAsia="fr-LU"/>
        </w:rPr>
      </w:pPr>
      <w:r w:rsidRPr="00283C60">
        <w:rPr>
          <w:sz w:val="24"/>
          <w:szCs w:val="24"/>
        </w:rPr>
        <w:t>Bivirkninger, som er fremkommet fra kliniske studier, sikkerhedsstudier efter markedsføring og spontane rapporter, er angivet i tabellen nedenfor.</w:t>
      </w:r>
    </w:p>
    <w:p w14:paraId="6BE7DBFD" w14:textId="77777777" w:rsidR="00244D23" w:rsidRPr="00283C60" w:rsidRDefault="00244D23" w:rsidP="00393DF8">
      <w:pPr>
        <w:ind w:left="851"/>
        <w:rPr>
          <w:sz w:val="24"/>
          <w:szCs w:val="24"/>
        </w:rPr>
      </w:pPr>
    </w:p>
    <w:p w14:paraId="38EF7644" w14:textId="77777777" w:rsidR="00244D23" w:rsidRPr="00283C60" w:rsidRDefault="00244D23" w:rsidP="00393DF8">
      <w:pPr>
        <w:ind w:left="851"/>
        <w:rPr>
          <w:sz w:val="24"/>
          <w:szCs w:val="24"/>
        </w:rPr>
      </w:pPr>
      <w:r w:rsidRPr="00283C60">
        <w:rPr>
          <w:sz w:val="24"/>
          <w:szCs w:val="24"/>
        </w:rPr>
        <w:t xml:space="preserve">Bivirkningerne angives med </w:t>
      </w:r>
      <w:proofErr w:type="spellStart"/>
      <w:r w:rsidRPr="00283C60">
        <w:rPr>
          <w:sz w:val="24"/>
          <w:szCs w:val="24"/>
        </w:rPr>
        <w:t>MedDRA</w:t>
      </w:r>
      <w:proofErr w:type="spellEnd"/>
      <w:r w:rsidRPr="00283C60">
        <w:rPr>
          <w:sz w:val="24"/>
          <w:szCs w:val="24"/>
        </w:rPr>
        <w:t xml:space="preserve">-foretrukne termer i henhold til </w:t>
      </w:r>
      <w:proofErr w:type="spellStart"/>
      <w:r w:rsidRPr="00283C60">
        <w:rPr>
          <w:sz w:val="24"/>
          <w:szCs w:val="24"/>
        </w:rPr>
        <w:t>MedDRA</w:t>
      </w:r>
      <w:proofErr w:type="spellEnd"/>
      <w:r w:rsidRPr="00283C60">
        <w:rPr>
          <w:sz w:val="24"/>
          <w:szCs w:val="24"/>
        </w:rPr>
        <w:t>-systemorganklasser.</w:t>
      </w:r>
      <w:r w:rsidRPr="00283C60">
        <w:rPr>
          <w:spacing w:val="-52"/>
          <w:sz w:val="24"/>
          <w:szCs w:val="24"/>
        </w:rPr>
        <w:t xml:space="preserve">  </w:t>
      </w:r>
      <w:r w:rsidRPr="00283C60">
        <w:rPr>
          <w:sz w:val="24"/>
          <w:szCs w:val="24"/>
        </w:rPr>
        <w:t>Forekomsten</w:t>
      </w:r>
      <w:r w:rsidRPr="00283C60">
        <w:rPr>
          <w:spacing w:val="-4"/>
          <w:sz w:val="24"/>
          <w:szCs w:val="24"/>
        </w:rPr>
        <w:t xml:space="preserve"> </w:t>
      </w:r>
      <w:r w:rsidRPr="00283C60">
        <w:rPr>
          <w:sz w:val="24"/>
          <w:szCs w:val="24"/>
        </w:rPr>
        <w:t>af bivirkninger</w:t>
      </w:r>
      <w:r w:rsidRPr="00283C60">
        <w:rPr>
          <w:spacing w:val="1"/>
          <w:sz w:val="24"/>
          <w:szCs w:val="24"/>
        </w:rPr>
        <w:t xml:space="preserve"> </w:t>
      </w:r>
      <w:r w:rsidRPr="00283C60">
        <w:rPr>
          <w:sz w:val="24"/>
          <w:szCs w:val="24"/>
        </w:rPr>
        <w:t>herunder udtrykkes</w:t>
      </w:r>
      <w:r w:rsidRPr="00283C60">
        <w:rPr>
          <w:spacing w:val="-2"/>
          <w:sz w:val="24"/>
          <w:szCs w:val="24"/>
        </w:rPr>
        <w:t xml:space="preserve"> </w:t>
      </w:r>
      <w:r w:rsidRPr="00283C60">
        <w:rPr>
          <w:sz w:val="24"/>
          <w:szCs w:val="24"/>
        </w:rPr>
        <w:t>i henhold til følgende kategorier:</w:t>
      </w:r>
    </w:p>
    <w:p w14:paraId="5598E432" w14:textId="77777777" w:rsidR="00244D23" w:rsidRPr="00283C60" w:rsidRDefault="00244D23" w:rsidP="00393DF8">
      <w:pPr>
        <w:ind w:left="851"/>
        <w:rPr>
          <w:sz w:val="24"/>
          <w:szCs w:val="24"/>
          <w:lang w:eastAsia="fr-LU"/>
        </w:rPr>
      </w:pPr>
      <w:r w:rsidRPr="00283C60">
        <w:rPr>
          <w:sz w:val="24"/>
          <w:szCs w:val="24"/>
        </w:rPr>
        <w:t>Meget</w:t>
      </w:r>
      <w:r w:rsidRPr="00283C60">
        <w:rPr>
          <w:spacing w:val="-2"/>
          <w:sz w:val="24"/>
          <w:szCs w:val="24"/>
        </w:rPr>
        <w:t xml:space="preserve"> </w:t>
      </w:r>
      <w:r w:rsidRPr="00283C60">
        <w:rPr>
          <w:sz w:val="24"/>
          <w:szCs w:val="24"/>
        </w:rPr>
        <w:t>almindelig</w:t>
      </w:r>
      <w:r w:rsidRPr="00283C60">
        <w:rPr>
          <w:spacing w:val="-3"/>
          <w:sz w:val="24"/>
          <w:szCs w:val="24"/>
        </w:rPr>
        <w:t xml:space="preserve"> </w:t>
      </w:r>
      <w:r w:rsidRPr="00283C60">
        <w:rPr>
          <w:sz w:val="24"/>
          <w:szCs w:val="24"/>
        </w:rPr>
        <w:t>(≥1/10)</w:t>
      </w:r>
    </w:p>
    <w:p w14:paraId="657735AB" w14:textId="77777777" w:rsidR="00244D23" w:rsidRPr="00283C60" w:rsidRDefault="00244D23" w:rsidP="00393DF8">
      <w:pPr>
        <w:ind w:left="851"/>
        <w:rPr>
          <w:sz w:val="24"/>
          <w:szCs w:val="24"/>
        </w:rPr>
      </w:pPr>
      <w:r w:rsidRPr="00283C60">
        <w:rPr>
          <w:sz w:val="24"/>
          <w:szCs w:val="24"/>
        </w:rPr>
        <w:t>Almindelig</w:t>
      </w:r>
      <w:r w:rsidRPr="00283C60">
        <w:rPr>
          <w:spacing w:val="-4"/>
          <w:sz w:val="24"/>
          <w:szCs w:val="24"/>
        </w:rPr>
        <w:t xml:space="preserve"> </w:t>
      </w:r>
      <w:r w:rsidRPr="00283C60">
        <w:rPr>
          <w:sz w:val="24"/>
          <w:szCs w:val="24"/>
        </w:rPr>
        <w:t>(≥1/100</w:t>
      </w:r>
      <w:r w:rsidRPr="00283C60">
        <w:rPr>
          <w:spacing w:val="-4"/>
          <w:sz w:val="24"/>
          <w:szCs w:val="24"/>
        </w:rPr>
        <w:t xml:space="preserve"> </w:t>
      </w:r>
      <w:r w:rsidRPr="00283C60">
        <w:rPr>
          <w:sz w:val="24"/>
          <w:szCs w:val="24"/>
        </w:rPr>
        <w:t>til</w:t>
      </w:r>
      <w:r w:rsidRPr="00283C60">
        <w:rPr>
          <w:spacing w:val="1"/>
          <w:sz w:val="24"/>
          <w:szCs w:val="24"/>
        </w:rPr>
        <w:t xml:space="preserve"> </w:t>
      </w:r>
      <w:r w:rsidRPr="00283C60">
        <w:rPr>
          <w:sz w:val="24"/>
          <w:szCs w:val="24"/>
        </w:rPr>
        <w:t>&lt;1/10)</w:t>
      </w:r>
    </w:p>
    <w:p w14:paraId="2952C35B" w14:textId="77777777" w:rsidR="00244D23" w:rsidRPr="00283C60" w:rsidRDefault="00244D23" w:rsidP="00393DF8">
      <w:pPr>
        <w:ind w:left="851"/>
        <w:rPr>
          <w:sz w:val="24"/>
          <w:szCs w:val="24"/>
        </w:rPr>
      </w:pPr>
      <w:r w:rsidRPr="00283C60">
        <w:rPr>
          <w:sz w:val="24"/>
          <w:szCs w:val="24"/>
        </w:rPr>
        <w:t>Ikke</w:t>
      </w:r>
      <w:r w:rsidRPr="00283C60">
        <w:rPr>
          <w:spacing w:val="-1"/>
          <w:sz w:val="24"/>
          <w:szCs w:val="24"/>
        </w:rPr>
        <w:t xml:space="preserve"> </w:t>
      </w:r>
      <w:r w:rsidRPr="00283C60">
        <w:rPr>
          <w:sz w:val="24"/>
          <w:szCs w:val="24"/>
        </w:rPr>
        <w:t>almindelig</w:t>
      </w:r>
      <w:r w:rsidRPr="00283C60">
        <w:rPr>
          <w:spacing w:val="-4"/>
          <w:sz w:val="24"/>
          <w:szCs w:val="24"/>
        </w:rPr>
        <w:t xml:space="preserve"> </w:t>
      </w:r>
      <w:r w:rsidRPr="00283C60">
        <w:rPr>
          <w:sz w:val="24"/>
          <w:szCs w:val="24"/>
        </w:rPr>
        <w:t>(≥1/1.000</w:t>
      </w:r>
      <w:r w:rsidRPr="00283C60">
        <w:rPr>
          <w:spacing w:val="-4"/>
          <w:sz w:val="24"/>
          <w:szCs w:val="24"/>
        </w:rPr>
        <w:t xml:space="preserve"> </w:t>
      </w:r>
      <w:r w:rsidRPr="00283C60">
        <w:rPr>
          <w:sz w:val="24"/>
          <w:szCs w:val="24"/>
        </w:rPr>
        <w:t>til</w:t>
      </w:r>
      <w:r w:rsidRPr="00283C60">
        <w:rPr>
          <w:spacing w:val="1"/>
          <w:sz w:val="24"/>
          <w:szCs w:val="24"/>
        </w:rPr>
        <w:t xml:space="preserve"> </w:t>
      </w:r>
      <w:r w:rsidRPr="00283C60">
        <w:rPr>
          <w:sz w:val="24"/>
          <w:szCs w:val="24"/>
        </w:rPr>
        <w:t>&lt;1/100)</w:t>
      </w:r>
    </w:p>
    <w:p w14:paraId="671D328D" w14:textId="77777777" w:rsidR="00244D23" w:rsidRPr="00283C60" w:rsidRDefault="00244D23" w:rsidP="00393DF8">
      <w:pPr>
        <w:ind w:left="851"/>
        <w:rPr>
          <w:sz w:val="24"/>
          <w:szCs w:val="24"/>
        </w:rPr>
      </w:pPr>
      <w:r w:rsidRPr="00283C60">
        <w:rPr>
          <w:sz w:val="24"/>
          <w:szCs w:val="24"/>
        </w:rPr>
        <w:lastRenderedPageBreak/>
        <w:t>Sjælden</w:t>
      </w:r>
      <w:r w:rsidRPr="00283C60">
        <w:rPr>
          <w:spacing w:val="-1"/>
          <w:sz w:val="24"/>
          <w:szCs w:val="24"/>
        </w:rPr>
        <w:t xml:space="preserve"> </w:t>
      </w:r>
      <w:r w:rsidRPr="00283C60">
        <w:rPr>
          <w:sz w:val="24"/>
          <w:szCs w:val="24"/>
        </w:rPr>
        <w:t>(≥1/10.000</w:t>
      </w:r>
      <w:r w:rsidRPr="00283C60">
        <w:rPr>
          <w:spacing w:val="-3"/>
          <w:sz w:val="24"/>
          <w:szCs w:val="24"/>
        </w:rPr>
        <w:t xml:space="preserve"> </w:t>
      </w:r>
      <w:r w:rsidRPr="00283C60">
        <w:rPr>
          <w:sz w:val="24"/>
          <w:szCs w:val="24"/>
        </w:rPr>
        <w:t>til</w:t>
      </w:r>
      <w:r w:rsidRPr="00283C60">
        <w:rPr>
          <w:spacing w:val="-2"/>
          <w:sz w:val="24"/>
          <w:szCs w:val="24"/>
        </w:rPr>
        <w:t xml:space="preserve"> </w:t>
      </w:r>
      <w:r w:rsidRPr="00283C60">
        <w:rPr>
          <w:sz w:val="24"/>
          <w:szCs w:val="24"/>
        </w:rPr>
        <w:t>&lt;1/1.000)</w:t>
      </w:r>
    </w:p>
    <w:p w14:paraId="662949C6" w14:textId="77777777" w:rsidR="00244D23" w:rsidRPr="00283C60" w:rsidRDefault="00244D23" w:rsidP="00393DF8">
      <w:pPr>
        <w:ind w:left="851"/>
        <w:rPr>
          <w:sz w:val="24"/>
          <w:szCs w:val="24"/>
        </w:rPr>
      </w:pPr>
      <w:r w:rsidRPr="00283C60">
        <w:rPr>
          <w:sz w:val="24"/>
          <w:szCs w:val="24"/>
        </w:rPr>
        <w:t>Meget</w:t>
      </w:r>
      <w:r w:rsidRPr="00283C60">
        <w:rPr>
          <w:spacing w:val="-1"/>
          <w:sz w:val="24"/>
          <w:szCs w:val="24"/>
        </w:rPr>
        <w:t xml:space="preserve"> </w:t>
      </w:r>
      <w:r w:rsidRPr="00283C60">
        <w:rPr>
          <w:sz w:val="24"/>
          <w:szCs w:val="24"/>
        </w:rPr>
        <w:t>sjælden</w:t>
      </w:r>
      <w:r w:rsidRPr="00283C60">
        <w:rPr>
          <w:spacing w:val="-2"/>
          <w:sz w:val="24"/>
          <w:szCs w:val="24"/>
        </w:rPr>
        <w:t xml:space="preserve"> </w:t>
      </w:r>
      <w:r w:rsidRPr="00283C60">
        <w:rPr>
          <w:sz w:val="24"/>
          <w:szCs w:val="24"/>
        </w:rPr>
        <w:t>(&lt;1/10.000)</w:t>
      </w:r>
    </w:p>
    <w:p w14:paraId="5900291D" w14:textId="77777777" w:rsidR="00244D23" w:rsidRPr="00283C60" w:rsidRDefault="00244D23" w:rsidP="00393DF8">
      <w:pPr>
        <w:ind w:left="851"/>
        <w:rPr>
          <w:sz w:val="24"/>
          <w:szCs w:val="24"/>
        </w:rPr>
      </w:pPr>
      <w:r w:rsidRPr="00283C60">
        <w:rPr>
          <w:sz w:val="24"/>
          <w:szCs w:val="24"/>
        </w:rPr>
        <w:t>Ikke</w:t>
      </w:r>
      <w:r w:rsidRPr="00283C60">
        <w:rPr>
          <w:spacing w:val="-2"/>
          <w:sz w:val="24"/>
          <w:szCs w:val="24"/>
        </w:rPr>
        <w:t xml:space="preserve"> </w:t>
      </w:r>
      <w:r w:rsidRPr="00283C60">
        <w:rPr>
          <w:sz w:val="24"/>
          <w:szCs w:val="24"/>
        </w:rPr>
        <w:t>kendt (kan</w:t>
      </w:r>
      <w:r w:rsidRPr="00283C60">
        <w:rPr>
          <w:spacing w:val="-4"/>
          <w:sz w:val="24"/>
          <w:szCs w:val="24"/>
        </w:rPr>
        <w:t xml:space="preserve"> </w:t>
      </w:r>
      <w:r w:rsidRPr="00283C60">
        <w:rPr>
          <w:sz w:val="24"/>
          <w:szCs w:val="24"/>
        </w:rPr>
        <w:t>ikke</w:t>
      </w:r>
      <w:r w:rsidRPr="00283C60">
        <w:rPr>
          <w:spacing w:val="-2"/>
          <w:sz w:val="24"/>
          <w:szCs w:val="24"/>
        </w:rPr>
        <w:t xml:space="preserve"> </w:t>
      </w:r>
      <w:r w:rsidRPr="00283C60">
        <w:rPr>
          <w:sz w:val="24"/>
          <w:szCs w:val="24"/>
        </w:rPr>
        <w:t>estimeres</w:t>
      </w:r>
      <w:r w:rsidRPr="00283C60">
        <w:rPr>
          <w:spacing w:val="-1"/>
          <w:sz w:val="24"/>
          <w:szCs w:val="24"/>
        </w:rPr>
        <w:t xml:space="preserve"> </w:t>
      </w:r>
      <w:r w:rsidRPr="00283C60">
        <w:rPr>
          <w:sz w:val="24"/>
          <w:szCs w:val="24"/>
        </w:rPr>
        <w:t>ud</w:t>
      </w:r>
      <w:r w:rsidRPr="00283C60">
        <w:rPr>
          <w:spacing w:val="-4"/>
          <w:sz w:val="24"/>
          <w:szCs w:val="24"/>
        </w:rPr>
        <w:t xml:space="preserve"> </w:t>
      </w:r>
      <w:r w:rsidRPr="00283C60">
        <w:rPr>
          <w:sz w:val="24"/>
          <w:szCs w:val="24"/>
        </w:rPr>
        <w:t>fra</w:t>
      </w:r>
      <w:r w:rsidRPr="00283C60">
        <w:rPr>
          <w:spacing w:val="-1"/>
          <w:sz w:val="24"/>
          <w:szCs w:val="24"/>
        </w:rPr>
        <w:t xml:space="preserve"> </w:t>
      </w:r>
      <w:r w:rsidRPr="00283C60">
        <w:rPr>
          <w:sz w:val="24"/>
          <w:szCs w:val="24"/>
        </w:rPr>
        <w:t>forhåndenværende</w:t>
      </w:r>
      <w:r w:rsidRPr="00283C60">
        <w:rPr>
          <w:spacing w:val="-1"/>
          <w:sz w:val="24"/>
          <w:szCs w:val="24"/>
        </w:rPr>
        <w:t xml:space="preserve"> </w:t>
      </w:r>
      <w:r w:rsidRPr="00283C60">
        <w:rPr>
          <w:sz w:val="24"/>
          <w:szCs w:val="24"/>
        </w:rPr>
        <w:t>data).</w:t>
      </w:r>
    </w:p>
    <w:p w14:paraId="763624DC" w14:textId="77777777" w:rsidR="00244D23" w:rsidRPr="00283C60" w:rsidRDefault="00244D23" w:rsidP="00244D23">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3210"/>
        <w:gridCol w:w="3210"/>
      </w:tblGrid>
      <w:tr w:rsidR="00244D23" w:rsidRPr="00283C60" w14:paraId="0789466D" w14:textId="77777777" w:rsidTr="00857071">
        <w:trPr>
          <w:trHeight w:val="285"/>
        </w:trPr>
        <w:tc>
          <w:tcPr>
            <w:tcW w:w="16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30F845" w14:textId="77777777" w:rsidR="00244D23" w:rsidRPr="00283C60" w:rsidRDefault="00244D23">
            <w:pPr>
              <w:pStyle w:val="TableParagraph"/>
              <w:spacing w:before="15" w:line="256" w:lineRule="auto"/>
              <w:rPr>
                <w:b/>
                <w:kern w:val="2"/>
                <w:sz w:val="24"/>
                <w:szCs w:val="24"/>
                <w:lang w:val="da-DK"/>
                <w14:ligatures w14:val="standardContextual"/>
              </w:rPr>
            </w:pPr>
            <w:proofErr w:type="spellStart"/>
            <w:r w:rsidRPr="00283C60">
              <w:rPr>
                <w:b/>
                <w:kern w:val="2"/>
                <w:sz w:val="24"/>
                <w:szCs w:val="24"/>
                <w:lang w:val="da-DK"/>
                <w14:ligatures w14:val="standardContextual"/>
              </w:rPr>
              <w:t>MedDRA</w:t>
            </w:r>
            <w:proofErr w:type="spellEnd"/>
            <w:r w:rsidRPr="00283C60">
              <w:rPr>
                <w:b/>
                <w:kern w:val="2"/>
                <w:sz w:val="24"/>
                <w:szCs w:val="24"/>
                <w:lang w:val="da-DK"/>
                <w14:ligatures w14:val="standardContextual"/>
              </w:rPr>
              <w:t>-systemorganklasse</w:t>
            </w:r>
          </w:p>
        </w:tc>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B13BB7" w14:textId="77777777" w:rsidR="00244D23" w:rsidRPr="00283C60" w:rsidRDefault="00244D23">
            <w:pPr>
              <w:pStyle w:val="TableParagraph"/>
              <w:spacing w:before="15" w:line="256" w:lineRule="auto"/>
              <w:rPr>
                <w:b/>
                <w:kern w:val="2"/>
                <w:sz w:val="24"/>
                <w:szCs w:val="24"/>
                <w:lang w:val="da-DK"/>
                <w14:ligatures w14:val="standardContextual"/>
              </w:rPr>
            </w:pPr>
            <w:r w:rsidRPr="00283C60">
              <w:rPr>
                <w:b/>
                <w:kern w:val="2"/>
                <w:sz w:val="24"/>
                <w:szCs w:val="24"/>
                <w:lang w:val="da-DK"/>
                <w14:ligatures w14:val="standardContextual"/>
              </w:rPr>
              <w:t>Bivirkning</w:t>
            </w:r>
          </w:p>
        </w:tc>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4CD4B6" w14:textId="77777777" w:rsidR="00244D23" w:rsidRPr="00283C60" w:rsidRDefault="00244D23">
            <w:pPr>
              <w:pStyle w:val="TableParagraph"/>
              <w:spacing w:before="15" w:line="256" w:lineRule="auto"/>
              <w:rPr>
                <w:b/>
                <w:kern w:val="2"/>
                <w:sz w:val="24"/>
                <w:szCs w:val="24"/>
                <w:lang w:val="da-DK"/>
                <w14:ligatures w14:val="standardContextual"/>
              </w:rPr>
            </w:pPr>
            <w:r w:rsidRPr="00283C60">
              <w:rPr>
                <w:b/>
                <w:kern w:val="2"/>
                <w:sz w:val="24"/>
                <w:szCs w:val="24"/>
                <w:lang w:val="da-DK"/>
                <w14:ligatures w14:val="standardContextual"/>
              </w:rPr>
              <w:t>Hyppighedskategori</w:t>
            </w:r>
          </w:p>
        </w:tc>
      </w:tr>
      <w:tr w:rsidR="00244D23" w:rsidRPr="00283C60" w14:paraId="52318AA8" w14:textId="77777777" w:rsidTr="00857071">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385F8443"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Infektioner og parasitære</w:t>
            </w:r>
            <w:r w:rsidRPr="00283C60">
              <w:rPr>
                <w:spacing w:val="-52"/>
                <w:kern w:val="2"/>
                <w:sz w:val="24"/>
                <w:szCs w:val="24"/>
                <w:lang w:val="da-DK"/>
                <w14:ligatures w14:val="standardContextual"/>
              </w:rPr>
              <w:t xml:space="preserve"> </w:t>
            </w:r>
            <w:r w:rsidRPr="00283C60">
              <w:rPr>
                <w:kern w:val="2"/>
                <w:sz w:val="24"/>
                <w:szCs w:val="24"/>
                <w:lang w:val="da-DK"/>
                <w14:ligatures w14:val="standardContextual"/>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4361CED0"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Gastroenteritis</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A47DE8D"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1ECAB16F" w14:textId="77777777" w:rsidTr="00857071">
        <w:trPr>
          <w:trHeight w:val="505"/>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51A13B27"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31672521" w14:textId="77777777" w:rsidR="00244D23" w:rsidRPr="00283C60" w:rsidRDefault="00244D23">
            <w:pPr>
              <w:pStyle w:val="TableParagraph"/>
              <w:spacing w:line="256" w:lineRule="auto"/>
              <w:rPr>
                <w:kern w:val="2"/>
                <w:sz w:val="24"/>
                <w:szCs w:val="24"/>
                <w:vertAlign w:val="superscript"/>
                <w:lang w:val="da-DK"/>
                <w14:ligatures w14:val="standardContextual"/>
              </w:rPr>
            </w:pPr>
            <w:r w:rsidRPr="00283C60">
              <w:rPr>
                <w:kern w:val="2"/>
                <w:sz w:val="24"/>
                <w:szCs w:val="24"/>
                <w:lang w:val="da-DK"/>
                <w14:ligatures w14:val="standardContextual"/>
              </w:rPr>
              <w:t>Progressiv multifokal</w:t>
            </w:r>
            <w:r w:rsidRPr="00283C60">
              <w:rPr>
                <w:spacing w:val="1"/>
                <w:kern w:val="2"/>
                <w:sz w:val="24"/>
                <w:szCs w:val="24"/>
                <w:lang w:val="da-DK"/>
                <w14:ligatures w14:val="standardContextual"/>
              </w:rPr>
              <w:t xml:space="preserve"> </w:t>
            </w:r>
            <w:proofErr w:type="spellStart"/>
            <w:r w:rsidRPr="00283C60">
              <w:rPr>
                <w:kern w:val="2"/>
                <w:sz w:val="24"/>
                <w:szCs w:val="24"/>
                <w:lang w:val="da-DK"/>
                <w14:ligatures w14:val="standardContextual"/>
              </w:rPr>
              <w:t>leukoencefalopati</w:t>
            </w:r>
            <w:proofErr w:type="spellEnd"/>
            <w:r w:rsidRPr="00283C60">
              <w:rPr>
                <w:spacing w:val="-12"/>
                <w:kern w:val="2"/>
                <w:sz w:val="24"/>
                <w:szCs w:val="24"/>
                <w:lang w:val="da-DK"/>
                <w14:ligatures w14:val="standardContextual"/>
              </w:rPr>
              <w:t xml:space="preserve"> </w:t>
            </w:r>
            <w:r w:rsidRPr="00283C60">
              <w:rPr>
                <w:kern w:val="2"/>
                <w:sz w:val="24"/>
                <w:szCs w:val="24"/>
                <w:lang w:val="da-DK"/>
                <w14:ligatures w14:val="standardContextual"/>
              </w:rPr>
              <w:t>(PML)</w:t>
            </w:r>
          </w:p>
        </w:tc>
        <w:tc>
          <w:tcPr>
            <w:tcW w:w="1667" w:type="pct"/>
            <w:tcBorders>
              <w:top w:val="single" w:sz="4" w:space="0" w:color="000000"/>
              <w:left w:val="single" w:sz="4" w:space="0" w:color="000000"/>
              <w:bottom w:val="single" w:sz="4" w:space="0" w:color="000000"/>
              <w:right w:val="single" w:sz="4" w:space="0" w:color="000000"/>
            </w:tcBorders>
            <w:hideMark/>
          </w:tcPr>
          <w:p w14:paraId="5D083449" w14:textId="77777777" w:rsidR="00244D23" w:rsidRPr="00283C60" w:rsidRDefault="00244D23">
            <w:pPr>
              <w:pStyle w:val="TableParagraph"/>
              <w:spacing w:before="125"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793629EF"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6105ABCA"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319C54A0" w14:textId="77777777" w:rsidR="00244D23" w:rsidRPr="00283C60" w:rsidRDefault="00244D23">
            <w:pPr>
              <w:pStyle w:val="TableParagraph"/>
              <w:spacing w:line="256" w:lineRule="auto"/>
              <w:rPr>
                <w:kern w:val="2"/>
                <w:sz w:val="24"/>
                <w:szCs w:val="24"/>
                <w:vertAlign w:val="superscript"/>
                <w:lang w:val="da-DK"/>
                <w14:ligatures w14:val="standardContextual"/>
              </w:rPr>
            </w:pPr>
            <w:r w:rsidRPr="00283C60">
              <w:rPr>
                <w:kern w:val="2"/>
                <w:sz w:val="24"/>
                <w:szCs w:val="24"/>
                <w:lang w:val="da-DK"/>
                <w14:ligatures w14:val="standardContextual"/>
              </w:rPr>
              <w:t>Herpes</w:t>
            </w:r>
            <w:r w:rsidRPr="00283C60">
              <w:rPr>
                <w:spacing w:val="-3"/>
                <w:kern w:val="2"/>
                <w:sz w:val="24"/>
                <w:szCs w:val="24"/>
                <w:lang w:val="da-DK"/>
                <w14:ligatures w14:val="standardContextual"/>
              </w:rPr>
              <w:t xml:space="preserve"> </w:t>
            </w:r>
            <w:proofErr w:type="spellStart"/>
            <w:r w:rsidRPr="00283C60">
              <w:rPr>
                <w:kern w:val="2"/>
                <w:sz w:val="24"/>
                <w:szCs w:val="24"/>
                <w:lang w:val="da-DK"/>
                <w14:ligatures w14:val="standardContextual"/>
              </w:rPr>
              <w:t>zoster</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5675BB6"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65C34408" w14:textId="77777777" w:rsidTr="00857071">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2DF3A758"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Blod og</w:t>
            </w:r>
            <w:r w:rsidRPr="00283C60">
              <w:rPr>
                <w:spacing w:val="-3"/>
                <w:kern w:val="2"/>
                <w:sz w:val="24"/>
                <w:szCs w:val="24"/>
                <w:lang w:val="da-DK"/>
                <w14:ligatures w14:val="standardContextual"/>
              </w:rPr>
              <w:t xml:space="preserve"> </w:t>
            </w:r>
            <w:r w:rsidRPr="00283C60">
              <w:rPr>
                <w:kern w:val="2"/>
                <w:sz w:val="24"/>
                <w:szCs w:val="24"/>
                <w:lang w:val="da-DK"/>
                <w14:ligatures w14:val="standardContextual"/>
              </w:rPr>
              <w:t>lymfesystem</w:t>
            </w:r>
          </w:p>
        </w:tc>
        <w:tc>
          <w:tcPr>
            <w:tcW w:w="1667" w:type="pct"/>
            <w:tcBorders>
              <w:top w:val="single" w:sz="4" w:space="0" w:color="000000"/>
              <w:left w:val="single" w:sz="4" w:space="0" w:color="000000"/>
              <w:bottom w:val="single" w:sz="4" w:space="0" w:color="000000"/>
              <w:right w:val="single" w:sz="4" w:space="0" w:color="000000"/>
            </w:tcBorders>
            <w:hideMark/>
          </w:tcPr>
          <w:p w14:paraId="776795A2"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Lymfopeni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BE470AB"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06F04EF3" w14:textId="77777777" w:rsidTr="00857071">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F15E709"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564D0EF9"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Leukopeni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54443F7"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17FE19C8"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C116930"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52FD3705"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Trombocytopeni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73499D3"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6BF4FD14" w14:textId="77777777" w:rsidTr="00857071">
        <w:trPr>
          <w:trHeight w:val="253"/>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0A2FD73D" w14:textId="77777777" w:rsidR="00244D23" w:rsidRPr="00283C60" w:rsidRDefault="00244D23">
            <w:pPr>
              <w:pStyle w:val="TableParagraph"/>
              <w:spacing w:before="1" w:line="256" w:lineRule="auto"/>
              <w:rPr>
                <w:kern w:val="2"/>
                <w:sz w:val="24"/>
                <w:szCs w:val="24"/>
                <w:lang w:val="da-DK"/>
                <w14:ligatures w14:val="standardContextual"/>
              </w:rPr>
            </w:pPr>
            <w:r w:rsidRPr="00283C60">
              <w:rPr>
                <w:kern w:val="2"/>
                <w:sz w:val="24"/>
                <w:szCs w:val="24"/>
                <w:lang w:val="da-DK"/>
                <w14:ligatures w14:val="standardContextual"/>
              </w:rPr>
              <w:t>Immunsystemet</w:t>
            </w:r>
          </w:p>
        </w:tc>
        <w:tc>
          <w:tcPr>
            <w:tcW w:w="1667" w:type="pct"/>
            <w:tcBorders>
              <w:top w:val="single" w:sz="4" w:space="0" w:color="000000"/>
              <w:left w:val="single" w:sz="4" w:space="0" w:color="000000"/>
              <w:bottom w:val="single" w:sz="4" w:space="0" w:color="000000"/>
              <w:right w:val="single" w:sz="4" w:space="0" w:color="000000"/>
            </w:tcBorders>
            <w:hideMark/>
          </w:tcPr>
          <w:p w14:paraId="686100DF" w14:textId="77777777" w:rsidR="00244D23" w:rsidRPr="00283C60" w:rsidRDefault="00244D23">
            <w:pPr>
              <w:pStyle w:val="TableParagraph"/>
              <w:spacing w:before="1" w:line="256" w:lineRule="auto"/>
              <w:rPr>
                <w:kern w:val="2"/>
                <w:sz w:val="24"/>
                <w:szCs w:val="24"/>
                <w:vertAlign w:val="superscript"/>
                <w:lang w:val="da-DK"/>
                <w14:ligatures w14:val="standardContextual"/>
              </w:rPr>
            </w:pPr>
            <w:r w:rsidRPr="00283C60">
              <w:rPr>
                <w:kern w:val="2"/>
                <w:sz w:val="24"/>
                <w:szCs w:val="24"/>
                <w:lang w:val="da-DK"/>
                <w14:ligatures w14:val="standardContextual"/>
              </w:rPr>
              <w:t>Overfølsomhed</w:t>
            </w:r>
          </w:p>
        </w:tc>
        <w:tc>
          <w:tcPr>
            <w:tcW w:w="1667" w:type="pct"/>
            <w:tcBorders>
              <w:top w:val="single" w:sz="4" w:space="0" w:color="000000"/>
              <w:left w:val="single" w:sz="4" w:space="0" w:color="000000"/>
              <w:bottom w:val="single" w:sz="4" w:space="0" w:color="000000"/>
              <w:right w:val="single" w:sz="4" w:space="0" w:color="000000"/>
            </w:tcBorders>
            <w:hideMark/>
          </w:tcPr>
          <w:p w14:paraId="6C6B5050" w14:textId="77777777" w:rsidR="00244D23" w:rsidRPr="00283C60" w:rsidRDefault="00244D23">
            <w:pPr>
              <w:pStyle w:val="TableParagraph"/>
              <w:spacing w:before="1"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6017819A"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09DD763"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325CB2D4" w14:textId="77777777" w:rsidR="00244D23" w:rsidRPr="00283C60" w:rsidRDefault="00244D23">
            <w:pPr>
              <w:pStyle w:val="TableParagraph"/>
              <w:spacing w:line="256" w:lineRule="auto"/>
              <w:rPr>
                <w:kern w:val="2"/>
                <w:sz w:val="24"/>
                <w:szCs w:val="24"/>
                <w:vertAlign w:val="superscript"/>
                <w:lang w:val="da-DK"/>
                <w14:ligatures w14:val="standardContextual"/>
              </w:rPr>
            </w:pPr>
            <w:r w:rsidRPr="00283C60">
              <w:rPr>
                <w:kern w:val="2"/>
                <w:sz w:val="24"/>
                <w:szCs w:val="24"/>
                <w:lang w:val="da-DK"/>
                <w14:ligatures w14:val="standardContextual"/>
              </w:rPr>
              <w:t>Anafylaksi</w:t>
            </w:r>
          </w:p>
        </w:tc>
        <w:tc>
          <w:tcPr>
            <w:tcW w:w="1667" w:type="pct"/>
            <w:tcBorders>
              <w:top w:val="single" w:sz="4" w:space="0" w:color="000000"/>
              <w:left w:val="single" w:sz="4" w:space="0" w:color="000000"/>
              <w:bottom w:val="single" w:sz="4" w:space="0" w:color="000000"/>
              <w:right w:val="single" w:sz="4" w:space="0" w:color="000000"/>
            </w:tcBorders>
            <w:hideMark/>
          </w:tcPr>
          <w:p w14:paraId="29453BE5"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26C01067"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0D3E0BE"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5B618CCC" w14:textId="77777777" w:rsidR="00244D23" w:rsidRPr="00283C60" w:rsidRDefault="00244D23">
            <w:pPr>
              <w:pStyle w:val="TableParagraph"/>
              <w:spacing w:line="256" w:lineRule="auto"/>
              <w:rPr>
                <w:kern w:val="2"/>
                <w:sz w:val="24"/>
                <w:szCs w:val="24"/>
                <w:vertAlign w:val="superscript"/>
                <w:lang w:val="da-DK"/>
                <w14:ligatures w14:val="standardContextual"/>
              </w:rPr>
            </w:pPr>
            <w:r w:rsidRPr="00283C60">
              <w:rPr>
                <w:kern w:val="2"/>
                <w:sz w:val="24"/>
                <w:szCs w:val="24"/>
                <w:lang w:val="da-DK"/>
                <w14:ligatures w14:val="standardContextual"/>
              </w:rPr>
              <w:t>Dyspnø</w:t>
            </w:r>
          </w:p>
        </w:tc>
        <w:tc>
          <w:tcPr>
            <w:tcW w:w="1667" w:type="pct"/>
            <w:tcBorders>
              <w:top w:val="single" w:sz="4" w:space="0" w:color="000000"/>
              <w:left w:val="single" w:sz="4" w:space="0" w:color="000000"/>
              <w:bottom w:val="single" w:sz="4" w:space="0" w:color="000000"/>
              <w:right w:val="single" w:sz="4" w:space="0" w:color="000000"/>
            </w:tcBorders>
            <w:hideMark/>
          </w:tcPr>
          <w:p w14:paraId="48635BA8"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3B7578D2"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1420720"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4D1829F2" w14:textId="77777777" w:rsidR="00244D23" w:rsidRPr="00283C60" w:rsidRDefault="00244D23">
            <w:pPr>
              <w:pStyle w:val="TableParagraph"/>
              <w:spacing w:line="256" w:lineRule="auto"/>
              <w:rPr>
                <w:kern w:val="2"/>
                <w:sz w:val="24"/>
                <w:szCs w:val="24"/>
                <w:vertAlign w:val="superscript"/>
                <w:lang w:val="da-DK"/>
                <w14:ligatures w14:val="standardContextual"/>
              </w:rPr>
            </w:pPr>
            <w:proofErr w:type="spellStart"/>
            <w:r w:rsidRPr="00283C60">
              <w:rPr>
                <w:kern w:val="2"/>
                <w:sz w:val="24"/>
                <w:szCs w:val="24"/>
                <w:lang w:val="da-DK"/>
                <w14:ligatures w14:val="standardContextual"/>
              </w:rPr>
              <w:t>Hypoksi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330E0228"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08562682"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4A8E449"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7E4A8FBE" w14:textId="77777777" w:rsidR="00244D23" w:rsidRPr="00283C60" w:rsidRDefault="00244D23">
            <w:pPr>
              <w:pStyle w:val="TableParagraph"/>
              <w:spacing w:line="256" w:lineRule="auto"/>
              <w:rPr>
                <w:kern w:val="2"/>
                <w:sz w:val="24"/>
                <w:szCs w:val="24"/>
                <w:vertAlign w:val="superscript"/>
                <w:lang w:val="da-DK"/>
                <w14:ligatures w14:val="standardContextual"/>
              </w:rPr>
            </w:pPr>
            <w:r w:rsidRPr="00283C60">
              <w:rPr>
                <w:kern w:val="2"/>
                <w:sz w:val="24"/>
                <w:szCs w:val="24"/>
                <w:lang w:val="da-DK"/>
                <w14:ligatures w14:val="standardContextual"/>
              </w:rPr>
              <w:t>Hypotension</w:t>
            </w:r>
          </w:p>
        </w:tc>
        <w:tc>
          <w:tcPr>
            <w:tcW w:w="1667" w:type="pct"/>
            <w:tcBorders>
              <w:top w:val="single" w:sz="4" w:space="0" w:color="000000"/>
              <w:left w:val="single" w:sz="4" w:space="0" w:color="000000"/>
              <w:bottom w:val="single" w:sz="4" w:space="0" w:color="000000"/>
              <w:right w:val="single" w:sz="4" w:space="0" w:color="000000"/>
            </w:tcBorders>
            <w:hideMark/>
          </w:tcPr>
          <w:p w14:paraId="0D797A51"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7D689859"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6C0FFBBA"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3C38F8BF" w14:textId="77777777" w:rsidR="00244D23" w:rsidRPr="00283C60" w:rsidRDefault="00244D23">
            <w:pPr>
              <w:pStyle w:val="TableParagraph"/>
              <w:spacing w:line="256" w:lineRule="auto"/>
              <w:rPr>
                <w:kern w:val="2"/>
                <w:sz w:val="24"/>
                <w:szCs w:val="24"/>
                <w:vertAlign w:val="superscript"/>
                <w:lang w:val="da-DK"/>
                <w14:ligatures w14:val="standardContextual"/>
              </w:rPr>
            </w:pPr>
            <w:proofErr w:type="spellStart"/>
            <w:r w:rsidRPr="00283C60">
              <w:rPr>
                <w:kern w:val="2"/>
                <w:sz w:val="24"/>
                <w:szCs w:val="24"/>
                <w:lang w:val="da-DK"/>
                <w14:ligatures w14:val="standardContextual"/>
              </w:rPr>
              <w:t>Angioødem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70AB79B2"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kendt</w:t>
            </w:r>
          </w:p>
        </w:tc>
      </w:tr>
      <w:tr w:rsidR="00244D23" w:rsidRPr="00283C60" w14:paraId="3B1C591E" w14:textId="77777777" w:rsidTr="00857071">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30A983BF"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Nervesystemet</w:t>
            </w:r>
          </w:p>
        </w:tc>
        <w:tc>
          <w:tcPr>
            <w:tcW w:w="1667" w:type="pct"/>
            <w:tcBorders>
              <w:top w:val="single" w:sz="4" w:space="0" w:color="000000"/>
              <w:left w:val="single" w:sz="4" w:space="0" w:color="000000"/>
              <w:bottom w:val="single" w:sz="4" w:space="0" w:color="000000"/>
              <w:right w:val="single" w:sz="4" w:space="0" w:color="000000"/>
            </w:tcBorders>
            <w:hideMark/>
          </w:tcPr>
          <w:p w14:paraId="72300223"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Brændende</w:t>
            </w:r>
            <w:r w:rsidRPr="00283C60">
              <w:rPr>
                <w:spacing w:val="-4"/>
                <w:kern w:val="2"/>
                <w:sz w:val="24"/>
                <w:szCs w:val="24"/>
                <w:lang w:val="da-DK"/>
                <w14:ligatures w14:val="standardContextual"/>
              </w:rPr>
              <w:t xml:space="preserve"> </w:t>
            </w:r>
            <w:r w:rsidRPr="00283C60">
              <w:rPr>
                <w:kern w:val="2"/>
                <w:sz w:val="24"/>
                <w:szCs w:val="24"/>
                <w:lang w:val="da-DK"/>
                <w14:ligatures w14:val="standardContextual"/>
              </w:rPr>
              <w:t>fornemmelse</w:t>
            </w:r>
          </w:p>
        </w:tc>
        <w:tc>
          <w:tcPr>
            <w:tcW w:w="1667" w:type="pct"/>
            <w:tcBorders>
              <w:top w:val="single" w:sz="4" w:space="0" w:color="000000"/>
              <w:left w:val="single" w:sz="4" w:space="0" w:color="000000"/>
              <w:bottom w:val="single" w:sz="4" w:space="0" w:color="000000"/>
              <w:right w:val="single" w:sz="4" w:space="0" w:color="000000"/>
            </w:tcBorders>
            <w:hideMark/>
          </w:tcPr>
          <w:p w14:paraId="36CEEB0E"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2FDA4F9C" w14:textId="77777777" w:rsidTr="00857071">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4993B65B" w14:textId="77777777" w:rsidR="00244D23" w:rsidRPr="00283C60" w:rsidRDefault="00244D23">
            <w:pPr>
              <w:pStyle w:val="TableParagraph"/>
              <w:spacing w:before="1" w:line="256" w:lineRule="auto"/>
              <w:rPr>
                <w:kern w:val="2"/>
                <w:sz w:val="24"/>
                <w:szCs w:val="24"/>
                <w:lang w:val="da-DK"/>
                <w14:ligatures w14:val="standardContextual"/>
              </w:rPr>
            </w:pPr>
            <w:proofErr w:type="spellStart"/>
            <w:r w:rsidRPr="00283C60">
              <w:rPr>
                <w:kern w:val="2"/>
                <w:sz w:val="24"/>
                <w:szCs w:val="24"/>
                <w:lang w:val="da-DK"/>
                <w14:ligatures w14:val="standardContextual"/>
              </w:rPr>
              <w:t>Vaskulære</w:t>
            </w:r>
            <w:proofErr w:type="spellEnd"/>
            <w:r w:rsidRPr="00283C60">
              <w:rPr>
                <w:spacing w:val="-3"/>
                <w:kern w:val="2"/>
                <w:sz w:val="24"/>
                <w:szCs w:val="24"/>
                <w:lang w:val="da-DK"/>
                <w14:ligatures w14:val="standardContextual"/>
              </w:rPr>
              <w:t xml:space="preserve"> </w:t>
            </w:r>
            <w:r w:rsidRPr="00283C60">
              <w:rPr>
                <w:kern w:val="2"/>
                <w:sz w:val="24"/>
                <w:szCs w:val="24"/>
                <w:lang w:val="da-DK"/>
                <w14:ligatures w14:val="standardContextual"/>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42C78E76" w14:textId="77777777" w:rsidR="00244D23" w:rsidRPr="00283C60" w:rsidRDefault="00244D23">
            <w:pPr>
              <w:pStyle w:val="TableParagraph"/>
              <w:spacing w:before="1" w:line="256" w:lineRule="auto"/>
              <w:rPr>
                <w:kern w:val="2"/>
                <w:sz w:val="24"/>
                <w:szCs w:val="24"/>
                <w:lang w:val="da-DK"/>
                <w14:ligatures w14:val="standardContextual"/>
              </w:rPr>
            </w:pPr>
            <w:r w:rsidRPr="00283C60">
              <w:rPr>
                <w:kern w:val="2"/>
                <w:sz w:val="24"/>
                <w:szCs w:val="24"/>
                <w:lang w:val="da-DK"/>
                <w14:ligatures w14:val="standardContextual"/>
              </w:rPr>
              <w:t>Rødme (</w:t>
            </w:r>
            <w:proofErr w:type="spellStart"/>
            <w:r w:rsidRPr="00283C60">
              <w:rPr>
                <w:i/>
                <w:kern w:val="2"/>
                <w:sz w:val="24"/>
                <w:szCs w:val="24"/>
                <w:lang w:val="da-DK"/>
                <w14:ligatures w14:val="standardContextual"/>
              </w:rPr>
              <w:t>flushing</w:t>
            </w:r>
            <w:proofErr w:type="spellEnd"/>
            <w:r w:rsidRPr="00283C60">
              <w:rPr>
                <w:kern w:val="2"/>
                <w:sz w:val="24"/>
                <w:szCs w:val="24"/>
                <w:lang w:val="da-DK"/>
                <w14:ligatures w14:val="standardContextual"/>
              </w:rPr>
              <w:t>)</w:t>
            </w:r>
          </w:p>
        </w:tc>
        <w:tc>
          <w:tcPr>
            <w:tcW w:w="1667" w:type="pct"/>
            <w:tcBorders>
              <w:top w:val="single" w:sz="4" w:space="0" w:color="000000"/>
              <w:left w:val="single" w:sz="4" w:space="0" w:color="000000"/>
              <w:bottom w:val="single" w:sz="4" w:space="0" w:color="000000"/>
              <w:right w:val="single" w:sz="4" w:space="0" w:color="000000"/>
            </w:tcBorders>
            <w:hideMark/>
          </w:tcPr>
          <w:p w14:paraId="7CB110B1" w14:textId="77777777" w:rsidR="00244D23" w:rsidRPr="00283C60" w:rsidRDefault="00244D23">
            <w:pPr>
              <w:pStyle w:val="TableParagraph"/>
              <w:spacing w:before="1" w:line="256" w:lineRule="auto"/>
              <w:rPr>
                <w:kern w:val="2"/>
                <w:sz w:val="24"/>
                <w:szCs w:val="24"/>
                <w:lang w:val="da-DK"/>
                <w14:ligatures w14:val="standardContextual"/>
              </w:rPr>
            </w:pPr>
            <w:r w:rsidRPr="00283C60">
              <w:rPr>
                <w:kern w:val="2"/>
                <w:sz w:val="24"/>
                <w:szCs w:val="24"/>
                <w:lang w:val="da-DK"/>
                <w14:ligatures w14:val="standardContextual"/>
              </w:rPr>
              <w:t>Meget</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5481BF45" w14:textId="77777777" w:rsidTr="00857071">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652CF082"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08138718"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Hedeture</w:t>
            </w:r>
          </w:p>
        </w:tc>
        <w:tc>
          <w:tcPr>
            <w:tcW w:w="1667" w:type="pct"/>
            <w:tcBorders>
              <w:top w:val="single" w:sz="4" w:space="0" w:color="000000"/>
              <w:left w:val="single" w:sz="4" w:space="0" w:color="000000"/>
              <w:bottom w:val="single" w:sz="4" w:space="0" w:color="000000"/>
              <w:right w:val="single" w:sz="4" w:space="0" w:color="000000"/>
            </w:tcBorders>
            <w:hideMark/>
          </w:tcPr>
          <w:p w14:paraId="70324B5A"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7ADE1B13" w14:textId="77777777" w:rsidTr="00857071">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10939269"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 xml:space="preserve">Luftveje, thorax og </w:t>
            </w:r>
            <w:proofErr w:type="spellStart"/>
            <w:r w:rsidRPr="00283C60">
              <w:rPr>
                <w:kern w:val="2"/>
                <w:sz w:val="24"/>
                <w:szCs w:val="24"/>
                <w:lang w:val="da-DK"/>
                <w14:ligatures w14:val="standardContextual"/>
              </w:rPr>
              <w:t>mediastinum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08647F8B"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Rinorré</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27DB038"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Ikke kendt</w:t>
            </w:r>
          </w:p>
        </w:tc>
      </w:tr>
      <w:tr w:rsidR="00244D23" w:rsidRPr="00283C60" w14:paraId="6DBCCEDD" w14:textId="77777777" w:rsidTr="00857071">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35C193BA"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Mave-tarm-kanalen</w:t>
            </w:r>
          </w:p>
        </w:tc>
        <w:tc>
          <w:tcPr>
            <w:tcW w:w="1667" w:type="pct"/>
            <w:tcBorders>
              <w:top w:val="single" w:sz="4" w:space="0" w:color="000000"/>
              <w:left w:val="single" w:sz="4" w:space="0" w:color="000000"/>
              <w:bottom w:val="single" w:sz="4" w:space="0" w:color="000000"/>
              <w:right w:val="single" w:sz="4" w:space="0" w:color="000000"/>
            </w:tcBorders>
            <w:hideMark/>
          </w:tcPr>
          <w:p w14:paraId="5E4D08BB"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Diarré</w:t>
            </w:r>
          </w:p>
        </w:tc>
        <w:tc>
          <w:tcPr>
            <w:tcW w:w="1667" w:type="pct"/>
            <w:tcBorders>
              <w:top w:val="single" w:sz="4" w:space="0" w:color="000000"/>
              <w:left w:val="single" w:sz="4" w:space="0" w:color="000000"/>
              <w:bottom w:val="single" w:sz="4" w:space="0" w:color="000000"/>
              <w:right w:val="single" w:sz="4" w:space="0" w:color="000000"/>
            </w:tcBorders>
            <w:hideMark/>
          </w:tcPr>
          <w:p w14:paraId="4C54D6AF"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Meget</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20A33190" w14:textId="77777777" w:rsidTr="00857071">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7F58E593"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106C2AD2"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Kvalme</w:t>
            </w:r>
          </w:p>
        </w:tc>
        <w:tc>
          <w:tcPr>
            <w:tcW w:w="1667" w:type="pct"/>
            <w:tcBorders>
              <w:top w:val="single" w:sz="4" w:space="0" w:color="000000"/>
              <w:left w:val="single" w:sz="4" w:space="0" w:color="000000"/>
              <w:bottom w:val="single" w:sz="4" w:space="0" w:color="000000"/>
              <w:right w:val="single" w:sz="4" w:space="0" w:color="000000"/>
            </w:tcBorders>
            <w:hideMark/>
          </w:tcPr>
          <w:p w14:paraId="20B37BDB"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Meget</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7265A5DE" w14:textId="77777777" w:rsidTr="00857071">
        <w:trPr>
          <w:trHeight w:val="506"/>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FB13336"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3C06668D"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Smerter i den øverste del af</w:t>
            </w:r>
            <w:r w:rsidRPr="00283C60">
              <w:rPr>
                <w:spacing w:val="-52"/>
                <w:kern w:val="2"/>
                <w:sz w:val="24"/>
                <w:szCs w:val="24"/>
                <w:lang w:val="da-DK"/>
                <w14:ligatures w14:val="standardContextual"/>
              </w:rPr>
              <w:t xml:space="preserve"> </w:t>
            </w:r>
            <w:r w:rsidRPr="00283C60">
              <w:rPr>
                <w:kern w:val="2"/>
                <w:sz w:val="24"/>
                <w:szCs w:val="24"/>
                <w:lang w:val="da-DK"/>
                <w14:ligatures w14:val="standardContextual"/>
              </w:rPr>
              <w:t>abdomen</w:t>
            </w:r>
          </w:p>
        </w:tc>
        <w:tc>
          <w:tcPr>
            <w:tcW w:w="1667" w:type="pct"/>
            <w:tcBorders>
              <w:top w:val="single" w:sz="4" w:space="0" w:color="000000"/>
              <w:left w:val="single" w:sz="4" w:space="0" w:color="000000"/>
              <w:bottom w:val="single" w:sz="4" w:space="0" w:color="000000"/>
              <w:right w:val="single" w:sz="4" w:space="0" w:color="000000"/>
            </w:tcBorders>
            <w:hideMark/>
          </w:tcPr>
          <w:p w14:paraId="5C98F115" w14:textId="77777777" w:rsidR="00244D23" w:rsidRPr="00283C60" w:rsidRDefault="00244D23">
            <w:pPr>
              <w:pStyle w:val="TableParagraph"/>
              <w:spacing w:before="125" w:line="256" w:lineRule="auto"/>
              <w:rPr>
                <w:kern w:val="2"/>
                <w:sz w:val="24"/>
                <w:szCs w:val="24"/>
                <w:lang w:val="da-DK"/>
                <w14:ligatures w14:val="standardContextual"/>
              </w:rPr>
            </w:pPr>
            <w:r w:rsidRPr="00283C60">
              <w:rPr>
                <w:kern w:val="2"/>
                <w:sz w:val="24"/>
                <w:szCs w:val="24"/>
                <w:lang w:val="da-DK"/>
                <w14:ligatures w14:val="standardContextual"/>
              </w:rPr>
              <w:t>Meget</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2103E0A6"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0991D6D"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4D0AA81A"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Abdominalsmerter</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2CDFCE8E"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Meget</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2A3E6983"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CCE0996"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77528BB1"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Opkastning</w:t>
            </w:r>
          </w:p>
        </w:tc>
        <w:tc>
          <w:tcPr>
            <w:tcW w:w="1667" w:type="pct"/>
            <w:tcBorders>
              <w:top w:val="single" w:sz="4" w:space="0" w:color="000000"/>
              <w:left w:val="single" w:sz="4" w:space="0" w:color="000000"/>
              <w:bottom w:val="single" w:sz="4" w:space="0" w:color="000000"/>
              <w:right w:val="single" w:sz="4" w:space="0" w:color="000000"/>
            </w:tcBorders>
            <w:hideMark/>
          </w:tcPr>
          <w:p w14:paraId="34C5FB17"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53E1756F"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7629D5C"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5D3B92EF"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Dyspepsi</w:t>
            </w:r>
          </w:p>
        </w:tc>
        <w:tc>
          <w:tcPr>
            <w:tcW w:w="1667" w:type="pct"/>
            <w:tcBorders>
              <w:top w:val="single" w:sz="4" w:space="0" w:color="000000"/>
              <w:left w:val="single" w:sz="4" w:space="0" w:color="000000"/>
              <w:bottom w:val="single" w:sz="4" w:space="0" w:color="000000"/>
              <w:right w:val="single" w:sz="4" w:space="0" w:color="000000"/>
            </w:tcBorders>
            <w:hideMark/>
          </w:tcPr>
          <w:p w14:paraId="5180C3B9"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24069696"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B630C61"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71DE8BAC" w14:textId="77777777" w:rsidR="00244D23" w:rsidRPr="00283C60" w:rsidRDefault="00244D23">
            <w:pPr>
              <w:pStyle w:val="TableParagraph"/>
              <w:spacing w:before="1" w:line="256" w:lineRule="auto"/>
              <w:rPr>
                <w:kern w:val="2"/>
                <w:sz w:val="24"/>
                <w:szCs w:val="24"/>
                <w:lang w:val="da-DK"/>
                <w14:ligatures w14:val="standardContextual"/>
              </w:rPr>
            </w:pPr>
            <w:r w:rsidRPr="00283C60">
              <w:rPr>
                <w:kern w:val="2"/>
                <w:sz w:val="24"/>
                <w:szCs w:val="24"/>
                <w:lang w:val="da-DK"/>
                <w14:ligatures w14:val="standardContextual"/>
              </w:rPr>
              <w:t>Gastritis</w:t>
            </w:r>
          </w:p>
        </w:tc>
        <w:tc>
          <w:tcPr>
            <w:tcW w:w="1667" w:type="pct"/>
            <w:tcBorders>
              <w:top w:val="single" w:sz="4" w:space="0" w:color="000000"/>
              <w:left w:val="single" w:sz="4" w:space="0" w:color="000000"/>
              <w:bottom w:val="single" w:sz="4" w:space="0" w:color="000000"/>
              <w:right w:val="single" w:sz="4" w:space="0" w:color="000000"/>
            </w:tcBorders>
            <w:hideMark/>
          </w:tcPr>
          <w:p w14:paraId="01A14CA9" w14:textId="77777777" w:rsidR="00244D23" w:rsidRPr="00283C60" w:rsidRDefault="00244D23">
            <w:pPr>
              <w:pStyle w:val="TableParagraph"/>
              <w:spacing w:before="1"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48D5856C"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BCBABE5"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3F8E4666"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Gastrointestinale</w:t>
            </w:r>
            <w:proofErr w:type="spellEnd"/>
            <w:r w:rsidRPr="00283C60">
              <w:rPr>
                <w:spacing w:val="-2"/>
                <w:kern w:val="2"/>
                <w:sz w:val="24"/>
                <w:szCs w:val="24"/>
                <w:lang w:val="da-DK"/>
                <w14:ligatures w14:val="standardContextual"/>
              </w:rPr>
              <w:t xml:space="preserve"> </w:t>
            </w:r>
            <w:r w:rsidRPr="00283C60">
              <w:rPr>
                <w:kern w:val="2"/>
                <w:sz w:val="24"/>
                <w:szCs w:val="24"/>
                <w:lang w:val="da-DK"/>
                <w14:ligatures w14:val="standardContextual"/>
              </w:rPr>
              <w:t>gener</w:t>
            </w:r>
          </w:p>
        </w:tc>
        <w:tc>
          <w:tcPr>
            <w:tcW w:w="1667" w:type="pct"/>
            <w:tcBorders>
              <w:top w:val="single" w:sz="4" w:space="0" w:color="000000"/>
              <w:left w:val="single" w:sz="4" w:space="0" w:color="000000"/>
              <w:bottom w:val="single" w:sz="4" w:space="0" w:color="000000"/>
              <w:right w:val="single" w:sz="4" w:space="0" w:color="000000"/>
            </w:tcBorders>
            <w:hideMark/>
          </w:tcPr>
          <w:p w14:paraId="502F7CDA"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7E47EFD9" w14:textId="77777777" w:rsidTr="00857071">
        <w:trPr>
          <w:trHeight w:val="505"/>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426C4BFD"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Lever</w:t>
            </w:r>
            <w:r w:rsidRPr="00283C60">
              <w:rPr>
                <w:spacing w:val="-3"/>
                <w:kern w:val="2"/>
                <w:sz w:val="24"/>
                <w:szCs w:val="24"/>
                <w:lang w:val="da-DK"/>
                <w14:ligatures w14:val="standardContextual"/>
              </w:rPr>
              <w:t xml:space="preserve"> </w:t>
            </w:r>
            <w:r w:rsidRPr="00283C60">
              <w:rPr>
                <w:kern w:val="2"/>
                <w:sz w:val="24"/>
                <w:szCs w:val="24"/>
                <w:lang w:val="da-DK"/>
                <w14:ligatures w14:val="standardContextual"/>
              </w:rPr>
              <w:t>og</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galdeveje</w:t>
            </w:r>
          </w:p>
        </w:tc>
        <w:tc>
          <w:tcPr>
            <w:tcW w:w="1667" w:type="pct"/>
            <w:tcBorders>
              <w:top w:val="single" w:sz="4" w:space="0" w:color="000000"/>
              <w:left w:val="single" w:sz="4" w:space="0" w:color="000000"/>
              <w:bottom w:val="single" w:sz="4" w:space="0" w:color="000000"/>
              <w:right w:val="single" w:sz="4" w:space="0" w:color="000000"/>
            </w:tcBorders>
            <w:hideMark/>
          </w:tcPr>
          <w:p w14:paraId="4FABF4E3"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Forhøjet</w:t>
            </w:r>
            <w:r w:rsidRPr="00283C60">
              <w:rPr>
                <w:spacing w:val="1"/>
                <w:kern w:val="2"/>
                <w:sz w:val="24"/>
                <w:szCs w:val="24"/>
                <w:lang w:val="da-DK"/>
                <w14:ligatures w14:val="standardContextual"/>
              </w:rPr>
              <w:t xml:space="preserve"> </w:t>
            </w:r>
            <w:proofErr w:type="spellStart"/>
            <w:r w:rsidRPr="00283C60">
              <w:rPr>
                <w:kern w:val="2"/>
                <w:sz w:val="24"/>
                <w:szCs w:val="24"/>
                <w:lang w:val="da-DK"/>
                <w14:ligatures w14:val="standardContextual"/>
              </w:rPr>
              <w:t>aspartataminotransferase</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2DE895A" w14:textId="77777777" w:rsidR="00244D23" w:rsidRPr="00283C60" w:rsidRDefault="00244D23">
            <w:pPr>
              <w:pStyle w:val="TableParagraph"/>
              <w:spacing w:before="123"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1FE2DA50"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8C953D7"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4EA22A42"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Forhøjet</w:t>
            </w:r>
            <w:r w:rsidRPr="00283C60">
              <w:rPr>
                <w:spacing w:val="-6"/>
                <w:kern w:val="2"/>
                <w:sz w:val="24"/>
                <w:szCs w:val="24"/>
                <w:lang w:val="da-DK"/>
                <w14:ligatures w14:val="standardContextual"/>
              </w:rPr>
              <w:t xml:space="preserve"> </w:t>
            </w:r>
            <w:proofErr w:type="spellStart"/>
            <w:r w:rsidRPr="00283C60">
              <w:rPr>
                <w:kern w:val="2"/>
                <w:sz w:val="24"/>
                <w:szCs w:val="24"/>
                <w:lang w:val="da-DK"/>
                <w14:ligatures w14:val="standardContextual"/>
              </w:rPr>
              <w:t>alaninaminotransferase</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3E3C06EF"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59C6199B" w14:textId="77777777" w:rsidTr="00857071">
        <w:trPr>
          <w:trHeight w:val="21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5CDE0095"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4BC945F2"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Lægemiddelinduceret leverskade</w:t>
            </w:r>
          </w:p>
        </w:tc>
        <w:tc>
          <w:tcPr>
            <w:tcW w:w="1667" w:type="pct"/>
            <w:tcBorders>
              <w:top w:val="single" w:sz="4" w:space="0" w:color="000000"/>
              <w:left w:val="single" w:sz="4" w:space="0" w:color="000000"/>
              <w:bottom w:val="single" w:sz="4" w:space="0" w:color="000000"/>
              <w:right w:val="single" w:sz="4" w:space="0" w:color="000000"/>
            </w:tcBorders>
            <w:hideMark/>
          </w:tcPr>
          <w:p w14:paraId="038D2B63" w14:textId="77777777" w:rsidR="00244D23" w:rsidRPr="00283C60" w:rsidRDefault="00244D23">
            <w:pPr>
              <w:pStyle w:val="TableParagraph"/>
              <w:spacing w:before="125" w:line="256" w:lineRule="auto"/>
              <w:rPr>
                <w:kern w:val="2"/>
                <w:sz w:val="24"/>
                <w:szCs w:val="24"/>
                <w:lang w:val="da-DK"/>
                <w14:ligatures w14:val="standardContextual"/>
              </w:rPr>
            </w:pPr>
            <w:r w:rsidRPr="00283C60">
              <w:rPr>
                <w:kern w:val="2"/>
                <w:sz w:val="24"/>
                <w:szCs w:val="24"/>
                <w:lang w:val="da-DK"/>
                <w14:ligatures w14:val="standardContextual"/>
              </w:rPr>
              <w:t xml:space="preserve">Sjælden </w:t>
            </w:r>
          </w:p>
        </w:tc>
      </w:tr>
      <w:tr w:rsidR="00244D23" w:rsidRPr="00283C60" w14:paraId="639A36E4" w14:textId="77777777" w:rsidTr="00857071">
        <w:trPr>
          <w:trHeight w:val="252"/>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1FD12255"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Hud</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og subkutane væv</w:t>
            </w:r>
          </w:p>
        </w:tc>
        <w:tc>
          <w:tcPr>
            <w:tcW w:w="1667" w:type="pct"/>
            <w:tcBorders>
              <w:top w:val="single" w:sz="4" w:space="0" w:color="000000"/>
              <w:left w:val="single" w:sz="4" w:space="0" w:color="000000"/>
              <w:bottom w:val="single" w:sz="4" w:space="0" w:color="000000"/>
              <w:right w:val="single" w:sz="4" w:space="0" w:color="000000"/>
            </w:tcBorders>
            <w:hideMark/>
          </w:tcPr>
          <w:p w14:paraId="351ED43F"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Pruritus</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7AC145A8"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7F851FB8"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E38A238"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4DB40C92"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Udslæt</w:t>
            </w:r>
          </w:p>
        </w:tc>
        <w:tc>
          <w:tcPr>
            <w:tcW w:w="1667" w:type="pct"/>
            <w:tcBorders>
              <w:top w:val="single" w:sz="4" w:space="0" w:color="000000"/>
              <w:left w:val="single" w:sz="4" w:space="0" w:color="000000"/>
              <w:bottom w:val="single" w:sz="4" w:space="0" w:color="000000"/>
              <w:right w:val="single" w:sz="4" w:space="0" w:color="000000"/>
            </w:tcBorders>
            <w:hideMark/>
          </w:tcPr>
          <w:p w14:paraId="0F5308CB"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0330A6CA"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11EDD17"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08148FF4" w14:textId="77777777" w:rsidR="00244D23" w:rsidRPr="00283C60" w:rsidRDefault="00244D23">
            <w:pPr>
              <w:pStyle w:val="TableParagraph"/>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Erytem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7E339E4" w14:textId="77777777" w:rsidR="00244D23" w:rsidRPr="00283C60" w:rsidRDefault="00244D23">
            <w:pPr>
              <w:pStyle w:val="TableParagraph"/>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65CE279D" w14:textId="77777777" w:rsidTr="00857071">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7C7B4761"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206E56B1" w14:textId="77777777" w:rsidR="00244D23" w:rsidRPr="00283C60" w:rsidRDefault="00244D23">
            <w:pPr>
              <w:pStyle w:val="TableParagraph"/>
              <w:tabs>
                <w:tab w:val="left" w:pos="567"/>
              </w:tabs>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Alopeci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40097D9"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24FAD832" w14:textId="77777777" w:rsidTr="00857071">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30D28C53"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Nyrer og</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urinveje</w:t>
            </w:r>
          </w:p>
        </w:tc>
        <w:tc>
          <w:tcPr>
            <w:tcW w:w="1667" w:type="pct"/>
            <w:tcBorders>
              <w:top w:val="single" w:sz="4" w:space="0" w:color="000000"/>
              <w:left w:val="single" w:sz="4" w:space="0" w:color="000000"/>
              <w:bottom w:val="single" w:sz="4" w:space="0" w:color="000000"/>
              <w:right w:val="single" w:sz="4" w:space="0" w:color="000000"/>
            </w:tcBorders>
            <w:hideMark/>
          </w:tcPr>
          <w:p w14:paraId="185E2146" w14:textId="77777777" w:rsidR="00244D23" w:rsidRPr="00283C60" w:rsidRDefault="00244D23">
            <w:pPr>
              <w:pStyle w:val="TableParagraph"/>
              <w:tabs>
                <w:tab w:val="left" w:pos="567"/>
              </w:tabs>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Proteinuri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E2F3B17"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6D5674B9" w14:textId="77777777" w:rsidTr="00857071">
        <w:trPr>
          <w:trHeight w:val="760"/>
        </w:trPr>
        <w:tc>
          <w:tcPr>
            <w:tcW w:w="1666" w:type="pct"/>
            <w:tcBorders>
              <w:top w:val="single" w:sz="4" w:space="0" w:color="000000"/>
              <w:left w:val="single" w:sz="4" w:space="0" w:color="000000"/>
              <w:bottom w:val="single" w:sz="4" w:space="0" w:color="000000"/>
              <w:right w:val="single" w:sz="4" w:space="0" w:color="000000"/>
            </w:tcBorders>
            <w:hideMark/>
          </w:tcPr>
          <w:p w14:paraId="4644ACF0"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Almene</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symptomer</w:t>
            </w:r>
            <w:r w:rsidRPr="00283C60">
              <w:rPr>
                <w:spacing w:val="-3"/>
                <w:kern w:val="2"/>
                <w:sz w:val="24"/>
                <w:szCs w:val="24"/>
                <w:lang w:val="da-DK"/>
                <w14:ligatures w14:val="standardContextual"/>
              </w:rPr>
              <w:t xml:space="preserve"> </w:t>
            </w:r>
            <w:r w:rsidRPr="00283C60">
              <w:rPr>
                <w:kern w:val="2"/>
                <w:sz w:val="24"/>
                <w:szCs w:val="24"/>
                <w:lang w:val="da-DK"/>
                <w14:ligatures w14:val="standardContextual"/>
              </w:rPr>
              <w:t>og reaktioner på</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administrationsstedet</w:t>
            </w:r>
          </w:p>
        </w:tc>
        <w:tc>
          <w:tcPr>
            <w:tcW w:w="1667" w:type="pct"/>
            <w:tcBorders>
              <w:top w:val="single" w:sz="4" w:space="0" w:color="000000"/>
              <w:left w:val="single" w:sz="4" w:space="0" w:color="000000"/>
              <w:bottom w:val="single" w:sz="4" w:space="0" w:color="000000"/>
              <w:right w:val="single" w:sz="4" w:space="0" w:color="000000"/>
            </w:tcBorders>
            <w:hideMark/>
          </w:tcPr>
          <w:p w14:paraId="53AB448F"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Varmefølelse</w:t>
            </w:r>
          </w:p>
        </w:tc>
        <w:tc>
          <w:tcPr>
            <w:tcW w:w="1667" w:type="pct"/>
            <w:tcBorders>
              <w:top w:val="single" w:sz="4" w:space="0" w:color="000000"/>
              <w:left w:val="single" w:sz="4" w:space="0" w:color="000000"/>
              <w:bottom w:val="single" w:sz="4" w:space="0" w:color="000000"/>
              <w:right w:val="single" w:sz="4" w:space="0" w:color="000000"/>
            </w:tcBorders>
            <w:hideMark/>
          </w:tcPr>
          <w:p w14:paraId="6C7205D4"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38E3D65E" w14:textId="77777777" w:rsidTr="00857071">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28C8CDD3"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Undersøgelser</w:t>
            </w:r>
          </w:p>
        </w:tc>
        <w:tc>
          <w:tcPr>
            <w:tcW w:w="1667" w:type="pct"/>
            <w:tcBorders>
              <w:top w:val="single" w:sz="4" w:space="0" w:color="000000"/>
              <w:left w:val="single" w:sz="4" w:space="0" w:color="000000"/>
              <w:bottom w:val="single" w:sz="4" w:space="0" w:color="000000"/>
              <w:right w:val="single" w:sz="4" w:space="0" w:color="000000"/>
            </w:tcBorders>
            <w:hideMark/>
          </w:tcPr>
          <w:p w14:paraId="3A8CF1CB"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Ketoner i</w:t>
            </w:r>
            <w:r w:rsidRPr="00283C60">
              <w:rPr>
                <w:spacing w:val="-2"/>
                <w:kern w:val="2"/>
                <w:sz w:val="24"/>
                <w:szCs w:val="24"/>
                <w:lang w:val="da-DK"/>
                <w14:ligatures w14:val="standardContextual"/>
              </w:rPr>
              <w:t xml:space="preserve"> </w:t>
            </w:r>
            <w:r w:rsidRPr="00283C60">
              <w:rPr>
                <w:kern w:val="2"/>
                <w:sz w:val="24"/>
                <w:szCs w:val="24"/>
                <w:lang w:val="da-DK"/>
                <w14:ligatures w14:val="standardContextual"/>
              </w:rPr>
              <w:t>urinen</w:t>
            </w:r>
          </w:p>
        </w:tc>
        <w:tc>
          <w:tcPr>
            <w:tcW w:w="1667" w:type="pct"/>
            <w:tcBorders>
              <w:top w:val="single" w:sz="4" w:space="0" w:color="000000"/>
              <w:left w:val="single" w:sz="4" w:space="0" w:color="000000"/>
              <w:bottom w:val="single" w:sz="4" w:space="0" w:color="000000"/>
              <w:right w:val="single" w:sz="4" w:space="0" w:color="000000"/>
            </w:tcBorders>
            <w:hideMark/>
          </w:tcPr>
          <w:p w14:paraId="4C24BFED"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Meget</w:t>
            </w:r>
            <w:r w:rsidRPr="00283C60">
              <w:rPr>
                <w:spacing w:val="-1"/>
                <w:kern w:val="2"/>
                <w:sz w:val="24"/>
                <w:szCs w:val="24"/>
                <w:lang w:val="da-DK"/>
                <w14:ligatures w14:val="standardContextual"/>
              </w:rPr>
              <w:t xml:space="preserve"> </w:t>
            </w:r>
            <w:r w:rsidRPr="00283C60">
              <w:rPr>
                <w:kern w:val="2"/>
                <w:sz w:val="24"/>
                <w:szCs w:val="24"/>
                <w:lang w:val="da-DK"/>
                <w14:ligatures w14:val="standardContextual"/>
              </w:rPr>
              <w:t>almindelig</w:t>
            </w:r>
          </w:p>
        </w:tc>
      </w:tr>
      <w:tr w:rsidR="00244D23" w:rsidRPr="00283C60" w14:paraId="3295FE52" w14:textId="77777777" w:rsidTr="00857071">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7A3A3E0"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7BD2860A" w14:textId="77777777" w:rsidR="00244D23" w:rsidRPr="00283C60" w:rsidRDefault="00244D23">
            <w:pPr>
              <w:pStyle w:val="TableParagraph"/>
              <w:tabs>
                <w:tab w:val="left" w:pos="567"/>
              </w:tabs>
              <w:spacing w:line="256" w:lineRule="auto"/>
              <w:rPr>
                <w:kern w:val="2"/>
                <w:sz w:val="24"/>
                <w:szCs w:val="24"/>
                <w:lang w:val="da-DK"/>
                <w14:ligatures w14:val="standardContextual"/>
              </w:rPr>
            </w:pPr>
            <w:proofErr w:type="spellStart"/>
            <w:r w:rsidRPr="00283C60">
              <w:rPr>
                <w:kern w:val="2"/>
                <w:sz w:val="24"/>
                <w:szCs w:val="24"/>
                <w:lang w:val="da-DK"/>
                <w14:ligatures w14:val="standardContextual"/>
              </w:rPr>
              <w:t>Albuminuri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66D1A47"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Almindelig</w:t>
            </w:r>
          </w:p>
        </w:tc>
      </w:tr>
      <w:tr w:rsidR="00244D23" w:rsidRPr="00283C60" w14:paraId="488C0447" w14:textId="77777777" w:rsidTr="00857071">
        <w:trPr>
          <w:trHeight w:val="505"/>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F4A522D" w14:textId="77777777" w:rsidR="00244D23" w:rsidRPr="00283C60" w:rsidRDefault="00244D23">
            <w:pPr>
              <w:spacing w:line="256" w:lineRule="auto"/>
              <w:rPr>
                <w:kern w:val="2"/>
                <w:sz w:val="24"/>
                <w:szCs w:val="24"/>
                <w14:ligatures w14:val="standardContextual"/>
              </w:rPr>
            </w:pPr>
          </w:p>
        </w:tc>
        <w:tc>
          <w:tcPr>
            <w:tcW w:w="1667" w:type="pct"/>
            <w:tcBorders>
              <w:top w:val="single" w:sz="4" w:space="0" w:color="000000"/>
              <w:left w:val="single" w:sz="4" w:space="0" w:color="000000"/>
              <w:bottom w:val="single" w:sz="4" w:space="0" w:color="000000"/>
              <w:right w:val="single" w:sz="4" w:space="0" w:color="000000"/>
            </w:tcBorders>
            <w:hideMark/>
          </w:tcPr>
          <w:p w14:paraId="213F5FA4" w14:textId="77777777" w:rsidR="00244D23" w:rsidRPr="00283C60" w:rsidRDefault="00244D23">
            <w:pPr>
              <w:pStyle w:val="TableParagraph"/>
              <w:tabs>
                <w:tab w:val="left" w:pos="567"/>
              </w:tabs>
              <w:spacing w:line="256" w:lineRule="auto"/>
              <w:rPr>
                <w:kern w:val="2"/>
                <w:sz w:val="24"/>
                <w:szCs w:val="24"/>
                <w:lang w:val="da-DK"/>
                <w14:ligatures w14:val="standardContextual"/>
              </w:rPr>
            </w:pPr>
            <w:r w:rsidRPr="00283C60">
              <w:rPr>
                <w:kern w:val="2"/>
                <w:sz w:val="24"/>
                <w:szCs w:val="24"/>
                <w:lang w:val="da-DK"/>
                <w14:ligatures w14:val="standardContextual"/>
              </w:rPr>
              <w:t>Nedsat</w:t>
            </w:r>
            <w:r w:rsidRPr="00283C60">
              <w:rPr>
                <w:spacing w:val="-3"/>
                <w:kern w:val="2"/>
                <w:sz w:val="24"/>
                <w:szCs w:val="24"/>
                <w:lang w:val="da-DK"/>
                <w14:ligatures w14:val="standardContextual"/>
              </w:rPr>
              <w:t xml:space="preserve"> </w:t>
            </w:r>
            <w:r w:rsidRPr="00283C60">
              <w:rPr>
                <w:kern w:val="2"/>
                <w:sz w:val="24"/>
                <w:szCs w:val="24"/>
                <w:lang w:val="da-DK"/>
                <w14:ligatures w14:val="standardContextual"/>
              </w:rPr>
              <w:t>antal</w:t>
            </w:r>
            <w:r w:rsidRPr="00283C60">
              <w:rPr>
                <w:spacing w:val="-2"/>
                <w:kern w:val="2"/>
                <w:sz w:val="24"/>
                <w:szCs w:val="24"/>
                <w:lang w:val="da-DK"/>
                <w14:ligatures w14:val="standardContextual"/>
              </w:rPr>
              <w:t xml:space="preserve"> </w:t>
            </w:r>
            <w:r w:rsidRPr="00283C60">
              <w:rPr>
                <w:kern w:val="2"/>
                <w:sz w:val="24"/>
                <w:szCs w:val="24"/>
                <w:lang w:val="da-DK"/>
                <w14:ligatures w14:val="standardContextual"/>
              </w:rPr>
              <w:t>hvide blodlegemer</w:t>
            </w:r>
          </w:p>
        </w:tc>
        <w:tc>
          <w:tcPr>
            <w:tcW w:w="1667" w:type="pct"/>
            <w:tcBorders>
              <w:top w:val="single" w:sz="4" w:space="0" w:color="000000"/>
              <w:left w:val="single" w:sz="4" w:space="0" w:color="000000"/>
              <w:bottom w:val="single" w:sz="4" w:space="0" w:color="000000"/>
              <w:right w:val="single" w:sz="4" w:space="0" w:color="000000"/>
            </w:tcBorders>
            <w:hideMark/>
          </w:tcPr>
          <w:p w14:paraId="1744E182" w14:textId="77777777" w:rsidR="00244D23" w:rsidRPr="00283C60" w:rsidRDefault="00244D23">
            <w:pPr>
              <w:pStyle w:val="TableParagraph"/>
              <w:tabs>
                <w:tab w:val="left" w:pos="567"/>
              </w:tabs>
              <w:spacing w:before="117" w:line="256" w:lineRule="auto"/>
              <w:rPr>
                <w:kern w:val="2"/>
                <w:sz w:val="24"/>
                <w:szCs w:val="24"/>
                <w:lang w:val="da-DK"/>
                <w14:ligatures w14:val="standardContextual"/>
              </w:rPr>
            </w:pPr>
            <w:r w:rsidRPr="00283C60">
              <w:rPr>
                <w:kern w:val="2"/>
                <w:sz w:val="24"/>
                <w:szCs w:val="24"/>
                <w:lang w:val="da-DK"/>
                <w14:ligatures w14:val="standardContextual"/>
              </w:rPr>
              <w:t>Almindelig</w:t>
            </w:r>
          </w:p>
        </w:tc>
      </w:tr>
    </w:tbl>
    <w:p w14:paraId="3E8CFFA5" w14:textId="77777777" w:rsidR="00244D23" w:rsidRPr="00283C60" w:rsidRDefault="00244D23" w:rsidP="00244D23">
      <w:pPr>
        <w:rPr>
          <w:sz w:val="24"/>
          <w:szCs w:val="24"/>
          <w:u w:val="single"/>
          <w:lang w:eastAsia="fr-LU"/>
        </w:rPr>
      </w:pPr>
    </w:p>
    <w:p w14:paraId="42382D57" w14:textId="77777777" w:rsidR="00244D23" w:rsidRPr="00283C60" w:rsidRDefault="00244D23" w:rsidP="00393DF8">
      <w:pPr>
        <w:ind w:left="851"/>
        <w:rPr>
          <w:sz w:val="24"/>
          <w:szCs w:val="24"/>
          <w:u w:val="single"/>
        </w:rPr>
      </w:pPr>
      <w:r w:rsidRPr="00283C60">
        <w:rPr>
          <w:sz w:val="24"/>
          <w:szCs w:val="24"/>
          <w:u w:val="single"/>
        </w:rPr>
        <w:t>Beskrivelse</w:t>
      </w:r>
      <w:r w:rsidRPr="00283C60">
        <w:rPr>
          <w:spacing w:val="-4"/>
          <w:sz w:val="24"/>
          <w:szCs w:val="24"/>
          <w:u w:val="single"/>
        </w:rPr>
        <w:t xml:space="preserve"> </w:t>
      </w:r>
      <w:r w:rsidRPr="00283C60">
        <w:rPr>
          <w:sz w:val="24"/>
          <w:szCs w:val="24"/>
          <w:u w:val="single"/>
        </w:rPr>
        <w:t>af</w:t>
      </w:r>
      <w:r w:rsidRPr="00283C60">
        <w:rPr>
          <w:spacing w:val="-2"/>
          <w:sz w:val="24"/>
          <w:szCs w:val="24"/>
          <w:u w:val="single"/>
        </w:rPr>
        <w:t xml:space="preserve"> </w:t>
      </w:r>
      <w:r w:rsidRPr="00283C60">
        <w:rPr>
          <w:sz w:val="24"/>
          <w:szCs w:val="24"/>
          <w:u w:val="single"/>
        </w:rPr>
        <w:t>udvalgte</w:t>
      </w:r>
      <w:r w:rsidRPr="00283C60">
        <w:rPr>
          <w:spacing w:val="-2"/>
          <w:sz w:val="24"/>
          <w:szCs w:val="24"/>
          <w:u w:val="single"/>
        </w:rPr>
        <w:t xml:space="preserve"> </w:t>
      </w:r>
      <w:r w:rsidRPr="00283C60">
        <w:rPr>
          <w:sz w:val="24"/>
          <w:szCs w:val="24"/>
          <w:u w:val="single"/>
        </w:rPr>
        <w:t>bivirkninger</w:t>
      </w:r>
    </w:p>
    <w:p w14:paraId="003038A1" w14:textId="77777777" w:rsidR="00244D23" w:rsidRPr="00283C60" w:rsidRDefault="00244D23" w:rsidP="00393DF8">
      <w:pPr>
        <w:ind w:left="851"/>
        <w:rPr>
          <w:sz w:val="24"/>
          <w:szCs w:val="24"/>
          <w:lang w:eastAsia="fr-LU"/>
        </w:rPr>
      </w:pPr>
      <w:r w:rsidRPr="00283C60">
        <w:rPr>
          <w:i/>
          <w:sz w:val="24"/>
          <w:szCs w:val="24"/>
        </w:rPr>
        <w:t>Rødme</w:t>
      </w:r>
    </w:p>
    <w:p w14:paraId="54F919AE" w14:textId="77777777" w:rsidR="00244D23" w:rsidRPr="00283C60" w:rsidRDefault="00244D23" w:rsidP="00393DF8">
      <w:pPr>
        <w:ind w:left="851"/>
        <w:rPr>
          <w:sz w:val="24"/>
          <w:szCs w:val="24"/>
        </w:rPr>
      </w:pPr>
      <w:r w:rsidRPr="00283C60">
        <w:rPr>
          <w:sz w:val="24"/>
          <w:szCs w:val="24"/>
        </w:rPr>
        <w:t>I de placebokontrollerede studier var hyppigheden af rødme (34 %</w:t>
      </w:r>
      <w:r w:rsidRPr="00283C60">
        <w:rPr>
          <w:i/>
          <w:iCs/>
          <w:sz w:val="24"/>
          <w:szCs w:val="24"/>
        </w:rPr>
        <w:t xml:space="preserve"> versus </w:t>
      </w:r>
      <w:r w:rsidRPr="00283C60">
        <w:rPr>
          <w:sz w:val="24"/>
          <w:szCs w:val="24"/>
        </w:rPr>
        <w:t xml:space="preserve">4 %) og hedeture (7 % </w:t>
      </w:r>
      <w:r w:rsidRPr="00283C60">
        <w:rPr>
          <w:i/>
          <w:iCs/>
          <w:sz w:val="24"/>
          <w:szCs w:val="24"/>
        </w:rPr>
        <w:t>versus</w:t>
      </w:r>
      <w:r w:rsidRPr="00283C60">
        <w:rPr>
          <w:sz w:val="24"/>
          <w:szCs w:val="24"/>
        </w:rPr>
        <w:t xml:space="preserve"> 2 %) højere hos patienter behandlet med </w:t>
      </w:r>
      <w:proofErr w:type="spellStart"/>
      <w:r w:rsidRPr="00283C60">
        <w:rPr>
          <w:sz w:val="24"/>
          <w:szCs w:val="24"/>
        </w:rPr>
        <w:t>dimethylfumarat</w:t>
      </w:r>
      <w:proofErr w:type="spellEnd"/>
      <w:r w:rsidRPr="00283C60">
        <w:rPr>
          <w:sz w:val="24"/>
          <w:szCs w:val="24"/>
        </w:rPr>
        <w:t xml:space="preserve"> sammenlignet med placebo. Rødme beskrives sædvanligvis som rødme eller hedeture, men kan inkludere andre gener (f.eks. varme, rødme, kløe og brændende fornemmelse). Rødme starter typisk tidligt i behandlingsforløbet (primært i løbet af den første måned), og hos patienter, som oplever rødme, kan disse gener fortsætte med at optræde med mellemrum under hele behandlingen med </w:t>
      </w:r>
      <w:proofErr w:type="spellStart"/>
      <w:r w:rsidRPr="00283C60">
        <w:rPr>
          <w:sz w:val="24"/>
          <w:szCs w:val="24"/>
        </w:rPr>
        <w:t>dimethylfumarat</w:t>
      </w:r>
      <w:proofErr w:type="spellEnd"/>
      <w:r w:rsidRPr="00283C60">
        <w:rPr>
          <w:sz w:val="24"/>
          <w:szCs w:val="24"/>
        </w:rPr>
        <w:t xml:space="preserve">. </w:t>
      </w:r>
    </w:p>
    <w:p w14:paraId="735B13F5" w14:textId="77777777" w:rsidR="00244D23" w:rsidRPr="00283C60" w:rsidRDefault="00244D23" w:rsidP="00393DF8">
      <w:pPr>
        <w:ind w:left="851"/>
        <w:rPr>
          <w:sz w:val="24"/>
          <w:szCs w:val="24"/>
        </w:rPr>
      </w:pPr>
      <w:r w:rsidRPr="00283C60">
        <w:rPr>
          <w:sz w:val="24"/>
          <w:szCs w:val="24"/>
        </w:rPr>
        <w:t xml:space="preserve">Hos patienter med rødme var bivirkningerne af let til moderat sværhedsgrad hos flertallet. I alt 3 % af patienterne behandlet med </w:t>
      </w:r>
      <w:proofErr w:type="spellStart"/>
      <w:r w:rsidRPr="00283C60">
        <w:rPr>
          <w:sz w:val="24"/>
          <w:szCs w:val="24"/>
        </w:rPr>
        <w:t>dimethylfumarat</w:t>
      </w:r>
      <w:proofErr w:type="spellEnd"/>
      <w:r w:rsidRPr="00283C60">
        <w:rPr>
          <w:sz w:val="24"/>
          <w:szCs w:val="24"/>
        </w:rPr>
        <w:t xml:space="preserve"> afbrød behandlingen pga. rødme. Hyppigheden af alvorlig rødme, som kan være kendetegnet ved generaliseret </w:t>
      </w:r>
      <w:proofErr w:type="spellStart"/>
      <w:r w:rsidRPr="00283C60">
        <w:rPr>
          <w:sz w:val="24"/>
          <w:szCs w:val="24"/>
        </w:rPr>
        <w:t>erytem</w:t>
      </w:r>
      <w:proofErr w:type="spellEnd"/>
      <w:r w:rsidRPr="00283C60">
        <w:rPr>
          <w:sz w:val="24"/>
          <w:szCs w:val="24"/>
        </w:rPr>
        <w:t xml:space="preserve">, udslæt og/eller </w:t>
      </w:r>
      <w:proofErr w:type="spellStart"/>
      <w:r w:rsidRPr="00283C60">
        <w:rPr>
          <w:sz w:val="24"/>
          <w:szCs w:val="24"/>
        </w:rPr>
        <w:t>pruritus</w:t>
      </w:r>
      <w:proofErr w:type="spellEnd"/>
      <w:r w:rsidRPr="00283C60">
        <w:rPr>
          <w:sz w:val="24"/>
          <w:szCs w:val="24"/>
        </w:rPr>
        <w:t xml:space="preserve">, blev set hos under 1 % af patienterne behandlet med </w:t>
      </w:r>
      <w:proofErr w:type="spellStart"/>
      <w:r w:rsidRPr="00283C60">
        <w:rPr>
          <w:sz w:val="24"/>
          <w:szCs w:val="24"/>
        </w:rPr>
        <w:t>dimethylfumarat</w:t>
      </w:r>
      <w:proofErr w:type="spellEnd"/>
      <w:r w:rsidRPr="00283C60">
        <w:rPr>
          <w:sz w:val="24"/>
          <w:szCs w:val="24"/>
        </w:rPr>
        <w:t xml:space="preserve"> (se pkt. 4.2, 4.4 og 4.5).</w:t>
      </w:r>
    </w:p>
    <w:p w14:paraId="08198DE0" w14:textId="77777777" w:rsidR="00244D23" w:rsidRPr="00283C60" w:rsidRDefault="00244D23" w:rsidP="00393DF8">
      <w:pPr>
        <w:ind w:left="851"/>
        <w:rPr>
          <w:sz w:val="24"/>
          <w:szCs w:val="24"/>
        </w:rPr>
      </w:pPr>
    </w:p>
    <w:p w14:paraId="57648531" w14:textId="77777777" w:rsidR="00244D23" w:rsidRPr="00283C60" w:rsidRDefault="00244D23" w:rsidP="00393DF8">
      <w:pPr>
        <w:ind w:left="851"/>
        <w:rPr>
          <w:i/>
          <w:sz w:val="24"/>
          <w:szCs w:val="24"/>
        </w:rPr>
      </w:pPr>
      <w:r w:rsidRPr="00283C60">
        <w:rPr>
          <w:i/>
          <w:sz w:val="24"/>
          <w:szCs w:val="24"/>
        </w:rPr>
        <w:t>Bivirkninger i mave-tarm-kanalen</w:t>
      </w:r>
    </w:p>
    <w:p w14:paraId="46569931" w14:textId="77777777" w:rsidR="00244D23" w:rsidRPr="00283C60" w:rsidRDefault="00244D23" w:rsidP="00393DF8">
      <w:pPr>
        <w:ind w:left="851"/>
        <w:rPr>
          <w:sz w:val="24"/>
          <w:szCs w:val="24"/>
          <w:lang w:eastAsia="fr-LU"/>
        </w:rPr>
      </w:pPr>
      <w:r w:rsidRPr="00283C60">
        <w:rPr>
          <w:sz w:val="24"/>
          <w:szCs w:val="24"/>
        </w:rPr>
        <w:t xml:space="preserve">Hyppigheden af </w:t>
      </w:r>
      <w:proofErr w:type="spellStart"/>
      <w:r w:rsidRPr="00283C60">
        <w:rPr>
          <w:sz w:val="24"/>
          <w:szCs w:val="24"/>
        </w:rPr>
        <w:t>gastrointestinale</w:t>
      </w:r>
      <w:proofErr w:type="spellEnd"/>
      <w:r w:rsidRPr="00283C60">
        <w:rPr>
          <w:sz w:val="24"/>
          <w:szCs w:val="24"/>
        </w:rPr>
        <w:t xml:space="preserve"> bivirkninger (f.eks. </w:t>
      </w:r>
      <w:proofErr w:type="spellStart"/>
      <w:r w:rsidRPr="00283C60">
        <w:rPr>
          <w:sz w:val="24"/>
          <w:szCs w:val="24"/>
        </w:rPr>
        <w:t>diaré</w:t>
      </w:r>
      <w:proofErr w:type="spellEnd"/>
      <w:r w:rsidRPr="00283C60">
        <w:rPr>
          <w:sz w:val="24"/>
          <w:szCs w:val="24"/>
        </w:rPr>
        <w:t xml:space="preserve"> [14 % </w:t>
      </w:r>
      <w:r w:rsidRPr="00283C60">
        <w:rPr>
          <w:i/>
          <w:iCs/>
          <w:sz w:val="24"/>
          <w:szCs w:val="24"/>
        </w:rPr>
        <w:t>versus</w:t>
      </w:r>
      <w:r w:rsidRPr="00283C60">
        <w:rPr>
          <w:sz w:val="24"/>
          <w:szCs w:val="24"/>
        </w:rPr>
        <w:t xml:space="preserve"> 10 %], kvalme [12 % </w:t>
      </w:r>
      <w:r w:rsidRPr="00283C60">
        <w:rPr>
          <w:i/>
          <w:iCs/>
          <w:sz w:val="24"/>
          <w:szCs w:val="24"/>
        </w:rPr>
        <w:t>versus</w:t>
      </w:r>
      <w:r w:rsidRPr="00283C60">
        <w:rPr>
          <w:sz w:val="24"/>
          <w:szCs w:val="24"/>
        </w:rPr>
        <w:t xml:space="preserve"> 9 %], øvre </w:t>
      </w:r>
      <w:proofErr w:type="spellStart"/>
      <w:r w:rsidRPr="00283C60">
        <w:rPr>
          <w:sz w:val="24"/>
          <w:szCs w:val="24"/>
        </w:rPr>
        <w:t>abdominalsmerter</w:t>
      </w:r>
      <w:proofErr w:type="spellEnd"/>
      <w:r w:rsidRPr="00283C60">
        <w:rPr>
          <w:sz w:val="24"/>
          <w:szCs w:val="24"/>
        </w:rPr>
        <w:t xml:space="preserve"> [10 % </w:t>
      </w:r>
      <w:r w:rsidRPr="00283C60">
        <w:rPr>
          <w:i/>
          <w:iCs/>
          <w:sz w:val="24"/>
          <w:szCs w:val="24"/>
        </w:rPr>
        <w:t>versus</w:t>
      </w:r>
      <w:r w:rsidRPr="00283C60">
        <w:rPr>
          <w:sz w:val="24"/>
          <w:szCs w:val="24"/>
        </w:rPr>
        <w:t xml:space="preserve"> 6 %], </w:t>
      </w:r>
      <w:proofErr w:type="spellStart"/>
      <w:r w:rsidRPr="00283C60">
        <w:rPr>
          <w:sz w:val="24"/>
          <w:szCs w:val="24"/>
        </w:rPr>
        <w:t>abdominalsmerter</w:t>
      </w:r>
      <w:proofErr w:type="spellEnd"/>
      <w:r w:rsidRPr="00283C60">
        <w:rPr>
          <w:sz w:val="24"/>
          <w:szCs w:val="24"/>
        </w:rPr>
        <w:t xml:space="preserve"> [9 % </w:t>
      </w:r>
      <w:r w:rsidRPr="00283C60">
        <w:rPr>
          <w:i/>
          <w:iCs/>
          <w:sz w:val="24"/>
          <w:szCs w:val="24"/>
        </w:rPr>
        <w:t>versus</w:t>
      </w:r>
      <w:r w:rsidRPr="00283C60">
        <w:rPr>
          <w:sz w:val="24"/>
          <w:szCs w:val="24"/>
        </w:rPr>
        <w:t xml:space="preserve"> 4 %], opkastning [8 % </w:t>
      </w:r>
      <w:r w:rsidRPr="00283C60">
        <w:rPr>
          <w:i/>
          <w:iCs/>
          <w:sz w:val="24"/>
          <w:szCs w:val="24"/>
        </w:rPr>
        <w:t>versus</w:t>
      </w:r>
      <w:r w:rsidRPr="00283C60">
        <w:rPr>
          <w:sz w:val="24"/>
          <w:szCs w:val="24"/>
        </w:rPr>
        <w:t xml:space="preserve"> 5 %] og dyspepsi [5 % </w:t>
      </w:r>
      <w:r w:rsidRPr="00283C60">
        <w:rPr>
          <w:i/>
          <w:iCs/>
          <w:sz w:val="24"/>
          <w:szCs w:val="24"/>
        </w:rPr>
        <w:t>versus</w:t>
      </w:r>
      <w:r w:rsidRPr="00283C60">
        <w:rPr>
          <w:sz w:val="24"/>
          <w:szCs w:val="24"/>
        </w:rPr>
        <w:t xml:space="preserve"> 3 %]) var højere hos de patienter, der fik </w:t>
      </w:r>
      <w:proofErr w:type="spellStart"/>
      <w:r w:rsidRPr="00283C60">
        <w:rPr>
          <w:sz w:val="24"/>
          <w:szCs w:val="24"/>
        </w:rPr>
        <w:t>dimethylfumarat</w:t>
      </w:r>
      <w:proofErr w:type="spellEnd"/>
      <w:r w:rsidRPr="00283C60">
        <w:rPr>
          <w:sz w:val="24"/>
          <w:szCs w:val="24"/>
        </w:rPr>
        <w:t xml:space="preserve">, sammenlignet med placebo. </w:t>
      </w:r>
    </w:p>
    <w:p w14:paraId="033FD854" w14:textId="2C4DBE5B" w:rsidR="00244D23" w:rsidRPr="00283C60" w:rsidRDefault="00244D23" w:rsidP="00393DF8">
      <w:pPr>
        <w:ind w:left="851"/>
        <w:rPr>
          <w:sz w:val="24"/>
          <w:szCs w:val="24"/>
        </w:rPr>
      </w:pPr>
      <w:proofErr w:type="spellStart"/>
      <w:r w:rsidRPr="00283C60">
        <w:rPr>
          <w:sz w:val="24"/>
          <w:szCs w:val="24"/>
        </w:rPr>
        <w:t>Gastrointestinale</w:t>
      </w:r>
      <w:proofErr w:type="spellEnd"/>
      <w:r w:rsidRPr="00283C60">
        <w:rPr>
          <w:sz w:val="24"/>
          <w:szCs w:val="24"/>
        </w:rPr>
        <w:t xml:space="preserve"> bivirkninger begynder typisk tidligt i behandlingsforløbet (primært i løbet af den første måned), og hos patienter, som oplever </w:t>
      </w:r>
      <w:proofErr w:type="spellStart"/>
      <w:r w:rsidRPr="00283C60">
        <w:rPr>
          <w:sz w:val="24"/>
          <w:szCs w:val="24"/>
        </w:rPr>
        <w:t>gastrointestinale</w:t>
      </w:r>
      <w:proofErr w:type="spellEnd"/>
      <w:r w:rsidRPr="00283C60">
        <w:rPr>
          <w:sz w:val="24"/>
          <w:szCs w:val="24"/>
        </w:rPr>
        <w:t xml:space="preserve"> bivir</w:t>
      </w:r>
      <w:r w:rsidR="00283C60">
        <w:rPr>
          <w:sz w:val="24"/>
          <w:szCs w:val="24"/>
        </w:rPr>
        <w:t>k</w:t>
      </w:r>
      <w:r w:rsidRPr="00283C60">
        <w:rPr>
          <w:sz w:val="24"/>
          <w:szCs w:val="24"/>
        </w:rPr>
        <w:t>ninger, kan bivir</w:t>
      </w:r>
      <w:r w:rsidR="005172A5">
        <w:rPr>
          <w:sz w:val="24"/>
          <w:szCs w:val="24"/>
        </w:rPr>
        <w:t>k</w:t>
      </w:r>
      <w:r w:rsidRPr="00283C60">
        <w:rPr>
          <w:sz w:val="24"/>
          <w:szCs w:val="24"/>
        </w:rPr>
        <w:t xml:space="preserve">ningerne fortsætte med at optræde med mellemrum under hele behandlingen med </w:t>
      </w:r>
      <w:proofErr w:type="spellStart"/>
      <w:r w:rsidRPr="00283C60">
        <w:rPr>
          <w:sz w:val="24"/>
          <w:szCs w:val="24"/>
        </w:rPr>
        <w:t>dimethylfumarat</w:t>
      </w:r>
      <w:proofErr w:type="spellEnd"/>
      <w:r w:rsidRPr="00283C60">
        <w:rPr>
          <w:sz w:val="24"/>
          <w:szCs w:val="24"/>
        </w:rPr>
        <w:t xml:space="preserve">. Hos hovedparten af de patienter, der oplevede </w:t>
      </w:r>
      <w:proofErr w:type="spellStart"/>
      <w:r w:rsidRPr="00283C60">
        <w:rPr>
          <w:sz w:val="24"/>
          <w:szCs w:val="24"/>
        </w:rPr>
        <w:t>gastrointestinale</w:t>
      </w:r>
      <w:proofErr w:type="spellEnd"/>
      <w:r w:rsidRPr="00283C60">
        <w:rPr>
          <w:sz w:val="24"/>
          <w:szCs w:val="24"/>
        </w:rPr>
        <w:t xml:space="preserve"> bivirkninger, var de lette til moderate. Fire procent (4 %) af patienterne behandlet med </w:t>
      </w:r>
      <w:proofErr w:type="spellStart"/>
      <w:r w:rsidRPr="00283C60">
        <w:rPr>
          <w:sz w:val="24"/>
          <w:szCs w:val="24"/>
        </w:rPr>
        <w:t>dimethylfumarat</w:t>
      </w:r>
      <w:proofErr w:type="spellEnd"/>
      <w:r w:rsidRPr="00283C60">
        <w:rPr>
          <w:sz w:val="24"/>
          <w:szCs w:val="24"/>
        </w:rPr>
        <w:t xml:space="preserve"> afbrød behandlingen pga. </w:t>
      </w:r>
      <w:proofErr w:type="spellStart"/>
      <w:r w:rsidRPr="00283C60">
        <w:rPr>
          <w:sz w:val="24"/>
          <w:szCs w:val="24"/>
        </w:rPr>
        <w:t>gastrointestinale</w:t>
      </w:r>
      <w:proofErr w:type="spellEnd"/>
      <w:r w:rsidRPr="00283C60">
        <w:rPr>
          <w:sz w:val="24"/>
          <w:szCs w:val="24"/>
        </w:rPr>
        <w:t xml:space="preserve"> bivirkninger. </w:t>
      </w:r>
    </w:p>
    <w:p w14:paraId="435AB4BB" w14:textId="50996E71" w:rsidR="00244D23" w:rsidRPr="00283C60" w:rsidRDefault="00244D23" w:rsidP="00393DF8">
      <w:pPr>
        <w:ind w:left="851"/>
        <w:rPr>
          <w:sz w:val="24"/>
          <w:szCs w:val="24"/>
        </w:rPr>
      </w:pPr>
      <w:r w:rsidRPr="00283C60">
        <w:rPr>
          <w:sz w:val="24"/>
          <w:szCs w:val="24"/>
        </w:rPr>
        <w:t xml:space="preserve">Alvorlige </w:t>
      </w:r>
      <w:proofErr w:type="spellStart"/>
      <w:r w:rsidRPr="00283C60">
        <w:rPr>
          <w:sz w:val="24"/>
          <w:szCs w:val="24"/>
        </w:rPr>
        <w:t>gastrointestinale</w:t>
      </w:r>
      <w:proofErr w:type="spellEnd"/>
      <w:r w:rsidRPr="00283C60">
        <w:rPr>
          <w:sz w:val="24"/>
          <w:szCs w:val="24"/>
        </w:rPr>
        <w:t xml:space="preserve"> bivirkninger, herunder </w:t>
      </w:r>
      <w:proofErr w:type="spellStart"/>
      <w:r w:rsidRPr="00283C60">
        <w:rPr>
          <w:sz w:val="24"/>
          <w:szCs w:val="24"/>
        </w:rPr>
        <w:t>gastroenteritis</w:t>
      </w:r>
      <w:proofErr w:type="spellEnd"/>
      <w:r w:rsidRPr="00283C60">
        <w:rPr>
          <w:sz w:val="24"/>
          <w:szCs w:val="24"/>
        </w:rPr>
        <w:t xml:space="preserve"> og gastritis, blev set hos 1</w:t>
      </w:r>
      <w:r w:rsidR="00283C60">
        <w:rPr>
          <w:sz w:val="24"/>
          <w:szCs w:val="24"/>
        </w:rPr>
        <w:t> </w:t>
      </w:r>
      <w:r w:rsidRPr="00283C60">
        <w:rPr>
          <w:sz w:val="24"/>
          <w:szCs w:val="24"/>
        </w:rPr>
        <w:t xml:space="preserve">% af patienterne behandlet med </w:t>
      </w:r>
      <w:proofErr w:type="spellStart"/>
      <w:r w:rsidRPr="00283C60">
        <w:rPr>
          <w:sz w:val="24"/>
          <w:szCs w:val="24"/>
        </w:rPr>
        <w:t>dimethylfumarat</w:t>
      </w:r>
      <w:proofErr w:type="spellEnd"/>
      <w:r w:rsidRPr="00283C60">
        <w:rPr>
          <w:sz w:val="24"/>
          <w:szCs w:val="24"/>
        </w:rPr>
        <w:t xml:space="preserve"> (se pkt. 4.2).</w:t>
      </w:r>
    </w:p>
    <w:p w14:paraId="09D435D8" w14:textId="77777777" w:rsidR="00244D23" w:rsidRPr="00283C60" w:rsidRDefault="00244D23" w:rsidP="00393DF8">
      <w:pPr>
        <w:ind w:left="851"/>
        <w:rPr>
          <w:sz w:val="24"/>
          <w:szCs w:val="24"/>
        </w:rPr>
      </w:pPr>
    </w:p>
    <w:p w14:paraId="2D2243A9" w14:textId="77777777" w:rsidR="00244D23" w:rsidRPr="00283C60" w:rsidRDefault="00244D23" w:rsidP="00393DF8">
      <w:pPr>
        <w:ind w:left="851"/>
        <w:rPr>
          <w:i/>
          <w:sz w:val="24"/>
          <w:szCs w:val="24"/>
        </w:rPr>
      </w:pPr>
      <w:r w:rsidRPr="00283C60">
        <w:rPr>
          <w:i/>
          <w:sz w:val="24"/>
          <w:szCs w:val="24"/>
        </w:rPr>
        <w:t>Leverfunktion</w:t>
      </w:r>
    </w:p>
    <w:p w14:paraId="168A79F9" w14:textId="77777777" w:rsidR="00244D23" w:rsidRPr="00283C60" w:rsidRDefault="00244D23" w:rsidP="00393DF8">
      <w:pPr>
        <w:ind w:left="851"/>
        <w:rPr>
          <w:sz w:val="24"/>
          <w:szCs w:val="24"/>
          <w:lang w:eastAsia="fr-LU"/>
        </w:rPr>
      </w:pPr>
      <w:r w:rsidRPr="00283C60">
        <w:rPr>
          <w:sz w:val="24"/>
          <w:szCs w:val="24"/>
        </w:rPr>
        <w:t xml:space="preserve">Baseret på data fra placebokontrollerede studier havde størstedelen af de patienter, der oplevede en stigning, </w:t>
      </w:r>
      <w:proofErr w:type="spellStart"/>
      <w:r w:rsidRPr="00283C60">
        <w:rPr>
          <w:sz w:val="24"/>
          <w:szCs w:val="24"/>
        </w:rPr>
        <w:t>leveraminotransferaser</w:t>
      </w:r>
      <w:proofErr w:type="spellEnd"/>
      <w:r w:rsidRPr="00283C60">
        <w:rPr>
          <w:sz w:val="24"/>
          <w:szCs w:val="24"/>
        </w:rPr>
        <w:t xml:space="preserve">, som var &lt; 3 gange den øvre normalgrænse (ULN). Den øgede hyppighed af forhøjede </w:t>
      </w:r>
      <w:proofErr w:type="spellStart"/>
      <w:r w:rsidRPr="00283C60">
        <w:rPr>
          <w:sz w:val="24"/>
          <w:szCs w:val="24"/>
        </w:rPr>
        <w:t>leveraminotransferaser</w:t>
      </w:r>
      <w:proofErr w:type="spellEnd"/>
      <w:r w:rsidRPr="00283C60">
        <w:rPr>
          <w:sz w:val="24"/>
          <w:szCs w:val="24"/>
        </w:rPr>
        <w:t xml:space="preserve"> hos patienter behandlet med </w:t>
      </w:r>
      <w:proofErr w:type="spellStart"/>
      <w:r w:rsidRPr="00283C60">
        <w:rPr>
          <w:sz w:val="24"/>
          <w:szCs w:val="24"/>
        </w:rPr>
        <w:t>dimethylfumarat</w:t>
      </w:r>
      <w:proofErr w:type="spellEnd"/>
      <w:r w:rsidRPr="00283C60">
        <w:rPr>
          <w:sz w:val="24"/>
          <w:szCs w:val="24"/>
        </w:rPr>
        <w:t xml:space="preserve"> i forhold til placebo sås primært i de første 6 måneder af behandlingen. Der blev set forhøjet </w:t>
      </w:r>
      <w:proofErr w:type="spellStart"/>
      <w:r w:rsidRPr="00283C60">
        <w:rPr>
          <w:sz w:val="24"/>
          <w:szCs w:val="24"/>
        </w:rPr>
        <w:t>alaninaminotransferase</w:t>
      </w:r>
      <w:proofErr w:type="spellEnd"/>
      <w:r w:rsidRPr="00283C60">
        <w:rPr>
          <w:sz w:val="24"/>
          <w:szCs w:val="24"/>
        </w:rPr>
        <w:t xml:space="preserve"> og </w:t>
      </w:r>
      <w:proofErr w:type="spellStart"/>
      <w:r w:rsidRPr="00283C60">
        <w:rPr>
          <w:sz w:val="24"/>
          <w:szCs w:val="24"/>
        </w:rPr>
        <w:t>aspartataminotransferase</w:t>
      </w:r>
      <w:proofErr w:type="spellEnd"/>
      <w:r w:rsidRPr="00283C60">
        <w:rPr>
          <w:sz w:val="24"/>
          <w:szCs w:val="24"/>
        </w:rPr>
        <w:t xml:space="preserve"> ≥ 3 gange ULN hos henholdsvis 5 % og 2 % af patienterne behandlet med placebo og hos 6 % og 2 % af patienterne behandlet med </w:t>
      </w:r>
      <w:proofErr w:type="spellStart"/>
      <w:r w:rsidRPr="00283C60">
        <w:rPr>
          <w:sz w:val="24"/>
          <w:szCs w:val="24"/>
        </w:rPr>
        <w:t>dimethylfumarat</w:t>
      </w:r>
      <w:proofErr w:type="spellEnd"/>
      <w:r w:rsidRPr="00283C60">
        <w:rPr>
          <w:sz w:val="24"/>
          <w:szCs w:val="24"/>
        </w:rPr>
        <w:t xml:space="preserve">. </w:t>
      </w:r>
      <w:proofErr w:type="spellStart"/>
      <w:r w:rsidRPr="00283C60">
        <w:rPr>
          <w:sz w:val="24"/>
          <w:szCs w:val="24"/>
        </w:rPr>
        <w:t>Seponering</w:t>
      </w:r>
      <w:proofErr w:type="spellEnd"/>
      <w:r w:rsidRPr="00283C60">
        <w:rPr>
          <w:sz w:val="24"/>
          <w:szCs w:val="24"/>
        </w:rPr>
        <w:t xml:space="preserve"> på grund af forhøjede </w:t>
      </w:r>
      <w:proofErr w:type="spellStart"/>
      <w:r w:rsidRPr="00283C60">
        <w:rPr>
          <w:sz w:val="24"/>
          <w:szCs w:val="24"/>
        </w:rPr>
        <w:t>leveraminotransferaser</w:t>
      </w:r>
      <w:proofErr w:type="spellEnd"/>
      <w:r w:rsidRPr="00283C60">
        <w:rPr>
          <w:sz w:val="24"/>
          <w:szCs w:val="24"/>
        </w:rPr>
        <w:t xml:space="preserve"> var &lt; 1 % og sammenlignelig hos patienter behandlet med </w:t>
      </w:r>
      <w:proofErr w:type="spellStart"/>
      <w:r w:rsidRPr="00283C60">
        <w:rPr>
          <w:sz w:val="24"/>
          <w:szCs w:val="24"/>
        </w:rPr>
        <w:t>dimethylfumarat</w:t>
      </w:r>
      <w:proofErr w:type="spellEnd"/>
      <w:r w:rsidRPr="00283C60">
        <w:rPr>
          <w:sz w:val="24"/>
          <w:szCs w:val="24"/>
        </w:rPr>
        <w:t xml:space="preserve"> eller placebo. Forhøjede </w:t>
      </w:r>
      <w:proofErr w:type="spellStart"/>
      <w:r w:rsidRPr="00283C60">
        <w:rPr>
          <w:sz w:val="24"/>
          <w:szCs w:val="24"/>
        </w:rPr>
        <w:t>aminotransferaser</w:t>
      </w:r>
      <w:proofErr w:type="spellEnd"/>
      <w:r w:rsidRPr="00283C60">
        <w:rPr>
          <w:sz w:val="24"/>
          <w:szCs w:val="24"/>
        </w:rPr>
        <w:t xml:space="preserve"> ≥ 3 gange ULN med samtidige forhøjelser i totalt bilirubin &gt; 2 gange ULN blev ikke observeret i placebokontrollerede studier.</w:t>
      </w:r>
    </w:p>
    <w:p w14:paraId="5975F52F" w14:textId="77777777" w:rsidR="00244D23" w:rsidRPr="00283C60" w:rsidRDefault="00244D23" w:rsidP="00393DF8">
      <w:pPr>
        <w:ind w:left="851"/>
        <w:rPr>
          <w:sz w:val="24"/>
          <w:szCs w:val="24"/>
        </w:rPr>
      </w:pPr>
    </w:p>
    <w:p w14:paraId="1D4C00F7" w14:textId="77777777" w:rsidR="00244D23" w:rsidRPr="00283C60" w:rsidRDefault="00244D23" w:rsidP="00393DF8">
      <w:pPr>
        <w:ind w:left="851"/>
        <w:rPr>
          <w:sz w:val="24"/>
          <w:szCs w:val="24"/>
        </w:rPr>
      </w:pPr>
      <w:r w:rsidRPr="00283C60">
        <w:rPr>
          <w:sz w:val="24"/>
          <w:szCs w:val="24"/>
        </w:rPr>
        <w:t xml:space="preserve">Forhøjede leverenzymer og tilfælde med lægemiddelinduceret leverskade (forhøjelser i </w:t>
      </w:r>
      <w:proofErr w:type="spellStart"/>
      <w:r w:rsidRPr="00283C60">
        <w:rPr>
          <w:sz w:val="24"/>
          <w:szCs w:val="24"/>
        </w:rPr>
        <w:t>aminotransferaser</w:t>
      </w:r>
      <w:proofErr w:type="spellEnd"/>
      <w:r w:rsidRPr="00283C60">
        <w:rPr>
          <w:sz w:val="24"/>
          <w:szCs w:val="24"/>
        </w:rPr>
        <w:t xml:space="preserve"> ≥ 3 gange ULN med samtidige forhøjelser i totalt bilirubin &gt; 2 gange ULN) er blevet rapporteret efter markedsføring efter administration af </w:t>
      </w:r>
      <w:proofErr w:type="spellStart"/>
      <w:r w:rsidRPr="00283C60">
        <w:rPr>
          <w:sz w:val="24"/>
          <w:szCs w:val="24"/>
        </w:rPr>
        <w:t>dimethylfumarat</w:t>
      </w:r>
      <w:proofErr w:type="spellEnd"/>
      <w:r w:rsidRPr="00283C60">
        <w:rPr>
          <w:sz w:val="24"/>
          <w:szCs w:val="24"/>
        </w:rPr>
        <w:t>, hvilket ophørte, efter behandlingen blev seponeret.</w:t>
      </w:r>
    </w:p>
    <w:p w14:paraId="7C0B2620" w14:textId="292ED452" w:rsidR="00283C60" w:rsidRDefault="00283C60">
      <w:pPr>
        <w:rPr>
          <w:sz w:val="24"/>
          <w:szCs w:val="24"/>
        </w:rPr>
      </w:pPr>
      <w:r>
        <w:rPr>
          <w:sz w:val="24"/>
          <w:szCs w:val="24"/>
        </w:rPr>
        <w:br w:type="page"/>
      </w:r>
    </w:p>
    <w:p w14:paraId="04941D84" w14:textId="77777777" w:rsidR="00244D23" w:rsidRPr="00283C60" w:rsidRDefault="00244D23" w:rsidP="00393DF8">
      <w:pPr>
        <w:ind w:left="851"/>
        <w:rPr>
          <w:sz w:val="24"/>
          <w:szCs w:val="24"/>
        </w:rPr>
      </w:pPr>
    </w:p>
    <w:p w14:paraId="52C2A25E" w14:textId="77777777" w:rsidR="00244D23" w:rsidRPr="00283C60" w:rsidRDefault="00244D23" w:rsidP="00393DF8">
      <w:pPr>
        <w:ind w:left="851"/>
        <w:rPr>
          <w:i/>
          <w:iCs/>
          <w:sz w:val="24"/>
          <w:szCs w:val="24"/>
        </w:rPr>
      </w:pPr>
      <w:proofErr w:type="spellStart"/>
      <w:r w:rsidRPr="00283C60">
        <w:rPr>
          <w:i/>
          <w:iCs/>
          <w:sz w:val="24"/>
          <w:szCs w:val="24"/>
        </w:rPr>
        <w:t>Lymfopeni</w:t>
      </w:r>
      <w:proofErr w:type="spellEnd"/>
    </w:p>
    <w:p w14:paraId="0FDBDD06" w14:textId="5E66B00B" w:rsidR="00244D23" w:rsidRPr="00283C60" w:rsidRDefault="00244D23" w:rsidP="00393DF8">
      <w:pPr>
        <w:ind w:left="851"/>
        <w:rPr>
          <w:sz w:val="24"/>
          <w:szCs w:val="24"/>
          <w:lang w:eastAsia="fr-LU"/>
        </w:rPr>
      </w:pPr>
      <w:r w:rsidRPr="00283C60">
        <w:rPr>
          <w:sz w:val="24"/>
          <w:szCs w:val="24"/>
        </w:rPr>
        <w:t xml:space="preserve">I de placebokontrollerede studier havde de fleste patienter (&gt; 98 %) normale lymfocytværdier inden behandlingsstart. Ved behandling med </w:t>
      </w:r>
      <w:proofErr w:type="spellStart"/>
      <w:r w:rsidRPr="00283C60">
        <w:rPr>
          <w:sz w:val="24"/>
          <w:szCs w:val="24"/>
        </w:rPr>
        <w:t>dimethylfumarat</w:t>
      </w:r>
      <w:proofErr w:type="spellEnd"/>
      <w:r w:rsidRPr="00283C60">
        <w:rPr>
          <w:sz w:val="24"/>
          <w:szCs w:val="24"/>
        </w:rPr>
        <w:t xml:space="preserve"> faldt de gennemsnitlige lymfocyttal i løbet af det første år, hvorefter de nåede et plateau. I gennemsnit faldt lymfocyttallene cirka 30 % under </w:t>
      </w:r>
      <w:r w:rsidRPr="00283C60">
        <w:rPr>
          <w:i/>
          <w:sz w:val="24"/>
          <w:szCs w:val="24"/>
        </w:rPr>
        <w:t>baseline</w:t>
      </w:r>
      <w:r w:rsidRPr="00283C60">
        <w:rPr>
          <w:sz w:val="24"/>
          <w:szCs w:val="24"/>
        </w:rPr>
        <w:t xml:space="preserve">-værdien. Middel og </w:t>
      </w:r>
      <w:proofErr w:type="spellStart"/>
      <w:r w:rsidRPr="00283C60">
        <w:rPr>
          <w:sz w:val="24"/>
          <w:szCs w:val="24"/>
        </w:rPr>
        <w:t>mediane</w:t>
      </w:r>
      <w:proofErr w:type="spellEnd"/>
      <w:r w:rsidRPr="00283C60">
        <w:rPr>
          <w:sz w:val="24"/>
          <w:szCs w:val="24"/>
        </w:rPr>
        <w:t xml:space="preserve"> lymfocyttal forblev inden for normalgrænserne. Lymfocyttal &lt; 0,5 x 10</w:t>
      </w:r>
      <w:r w:rsidRPr="00283C60">
        <w:rPr>
          <w:sz w:val="24"/>
          <w:szCs w:val="24"/>
          <w:vertAlign w:val="superscript"/>
        </w:rPr>
        <w:t>9</w:t>
      </w:r>
      <w:r w:rsidRPr="00283C60">
        <w:rPr>
          <w:sz w:val="24"/>
          <w:szCs w:val="24"/>
        </w:rPr>
        <w:t xml:space="preserve">/l blev observeret hos &lt; 1 % af de placebobehandlede patienter og hos 6 % af de </w:t>
      </w:r>
      <w:proofErr w:type="spellStart"/>
      <w:r w:rsidRPr="00283C60">
        <w:rPr>
          <w:sz w:val="24"/>
          <w:szCs w:val="24"/>
        </w:rPr>
        <w:t>dimethylfumarat</w:t>
      </w:r>
      <w:proofErr w:type="spellEnd"/>
      <w:r w:rsidRPr="00283C60">
        <w:rPr>
          <w:sz w:val="24"/>
          <w:szCs w:val="24"/>
        </w:rPr>
        <w:t>-behandlede patienter. Et lymfocyttal &lt; 0,2 x 10</w:t>
      </w:r>
      <w:r w:rsidRPr="00283C60">
        <w:rPr>
          <w:sz w:val="24"/>
          <w:szCs w:val="24"/>
          <w:vertAlign w:val="superscript"/>
        </w:rPr>
        <w:t>9</w:t>
      </w:r>
      <w:r w:rsidRPr="00283C60">
        <w:rPr>
          <w:sz w:val="24"/>
          <w:szCs w:val="24"/>
        </w:rPr>
        <w:t>/l blev observeret hos 1 </w:t>
      </w:r>
      <w:proofErr w:type="spellStart"/>
      <w:r w:rsidRPr="00283C60">
        <w:rPr>
          <w:sz w:val="24"/>
          <w:szCs w:val="24"/>
        </w:rPr>
        <w:t>dimethylfumarat</w:t>
      </w:r>
      <w:proofErr w:type="spellEnd"/>
      <w:r w:rsidRPr="00283C60">
        <w:rPr>
          <w:sz w:val="24"/>
          <w:szCs w:val="24"/>
        </w:rPr>
        <w:t>-behandlet patient og hos ingen af de placebobehandlede patienter.</w:t>
      </w:r>
    </w:p>
    <w:p w14:paraId="00BADFBD" w14:textId="77777777" w:rsidR="00244D23" w:rsidRPr="00283C60" w:rsidRDefault="00244D23" w:rsidP="00393DF8">
      <w:pPr>
        <w:ind w:left="851"/>
        <w:rPr>
          <w:sz w:val="24"/>
          <w:szCs w:val="24"/>
        </w:rPr>
      </w:pPr>
    </w:p>
    <w:p w14:paraId="1C25FDC0" w14:textId="77777777" w:rsidR="00244D23" w:rsidRPr="00283C60" w:rsidRDefault="00244D23" w:rsidP="00393DF8">
      <w:pPr>
        <w:ind w:left="851"/>
        <w:rPr>
          <w:sz w:val="24"/>
          <w:szCs w:val="24"/>
        </w:rPr>
      </w:pPr>
      <w:r w:rsidRPr="00283C60">
        <w:rPr>
          <w:sz w:val="24"/>
          <w:szCs w:val="24"/>
        </w:rPr>
        <w:t xml:space="preserve">I kliniske studier (både kontrollerede og ikke-kontrollerede) optrådte </w:t>
      </w:r>
      <w:proofErr w:type="spellStart"/>
      <w:r w:rsidRPr="00283C60">
        <w:rPr>
          <w:sz w:val="24"/>
          <w:szCs w:val="24"/>
        </w:rPr>
        <w:t>lymfopeni</w:t>
      </w:r>
      <w:proofErr w:type="spellEnd"/>
      <w:r w:rsidRPr="00283C60">
        <w:rPr>
          <w:sz w:val="24"/>
          <w:szCs w:val="24"/>
        </w:rPr>
        <w:t xml:space="preserve"> hos 41 % af patienterne i behandling med </w:t>
      </w:r>
      <w:proofErr w:type="spellStart"/>
      <w:r w:rsidRPr="00283C60">
        <w:rPr>
          <w:sz w:val="24"/>
          <w:szCs w:val="24"/>
        </w:rPr>
        <w:t>dimethylfumarat</w:t>
      </w:r>
      <w:proofErr w:type="spellEnd"/>
      <w:r w:rsidRPr="00283C60">
        <w:rPr>
          <w:sz w:val="24"/>
          <w:szCs w:val="24"/>
        </w:rPr>
        <w:t xml:space="preserve"> (defineret i disse studier som &lt; 0,91 x 10</w:t>
      </w:r>
      <w:r w:rsidRPr="00283C60">
        <w:rPr>
          <w:sz w:val="24"/>
          <w:szCs w:val="24"/>
          <w:vertAlign w:val="superscript"/>
        </w:rPr>
        <w:t>9</w:t>
      </w:r>
      <w:r w:rsidRPr="00283C60">
        <w:rPr>
          <w:sz w:val="24"/>
          <w:szCs w:val="24"/>
        </w:rPr>
        <w:t xml:space="preserve">/l). Let </w:t>
      </w:r>
      <w:proofErr w:type="spellStart"/>
      <w:r w:rsidRPr="00283C60">
        <w:rPr>
          <w:sz w:val="24"/>
          <w:szCs w:val="24"/>
        </w:rPr>
        <w:t>lymfopeni</w:t>
      </w:r>
      <w:proofErr w:type="spellEnd"/>
      <w:r w:rsidRPr="00283C60">
        <w:rPr>
          <w:sz w:val="24"/>
          <w:szCs w:val="24"/>
        </w:rPr>
        <w:t xml:space="preserve"> (lymfocyttal ≥ 0,8 x 10</w:t>
      </w:r>
      <w:r w:rsidRPr="00283C60">
        <w:rPr>
          <w:sz w:val="24"/>
          <w:szCs w:val="24"/>
          <w:vertAlign w:val="superscript"/>
        </w:rPr>
        <w:t>9</w:t>
      </w:r>
      <w:r w:rsidRPr="00283C60">
        <w:rPr>
          <w:sz w:val="24"/>
          <w:szCs w:val="24"/>
        </w:rPr>
        <w:t>/l til &lt; 0,91 x 10</w:t>
      </w:r>
      <w:r w:rsidRPr="00283C60">
        <w:rPr>
          <w:sz w:val="24"/>
          <w:szCs w:val="24"/>
          <w:vertAlign w:val="superscript"/>
        </w:rPr>
        <w:t>9</w:t>
      </w:r>
      <w:r w:rsidRPr="00283C60">
        <w:rPr>
          <w:sz w:val="24"/>
          <w:szCs w:val="24"/>
        </w:rPr>
        <w:t xml:space="preserve">/l) blev observeret hos 28 % af patienterne; moderat </w:t>
      </w:r>
      <w:proofErr w:type="spellStart"/>
      <w:r w:rsidRPr="00283C60">
        <w:rPr>
          <w:sz w:val="24"/>
          <w:szCs w:val="24"/>
        </w:rPr>
        <w:t>lymfopeni</w:t>
      </w:r>
      <w:proofErr w:type="spellEnd"/>
      <w:r w:rsidRPr="00283C60">
        <w:rPr>
          <w:sz w:val="24"/>
          <w:szCs w:val="24"/>
        </w:rPr>
        <w:t xml:space="preserve"> (lymfocyttal ≥ 0,5 x 10</w:t>
      </w:r>
      <w:r w:rsidRPr="00283C60">
        <w:rPr>
          <w:sz w:val="24"/>
          <w:szCs w:val="24"/>
          <w:vertAlign w:val="superscript"/>
        </w:rPr>
        <w:t>9</w:t>
      </w:r>
      <w:r w:rsidRPr="00283C60">
        <w:rPr>
          <w:sz w:val="24"/>
          <w:szCs w:val="24"/>
        </w:rPr>
        <w:t>/l til &lt; 0,8 x 10</w:t>
      </w:r>
      <w:r w:rsidRPr="00283C60">
        <w:rPr>
          <w:sz w:val="24"/>
          <w:szCs w:val="24"/>
          <w:vertAlign w:val="superscript"/>
        </w:rPr>
        <w:t>9</w:t>
      </w:r>
      <w:r w:rsidRPr="00283C60">
        <w:rPr>
          <w:sz w:val="24"/>
          <w:szCs w:val="24"/>
        </w:rPr>
        <w:t xml:space="preserve">/l), der varede ved i mindst seks måneder, blev observeret hos 11 % af patienterne, og alvorlig </w:t>
      </w:r>
      <w:proofErr w:type="spellStart"/>
      <w:r w:rsidRPr="00283C60">
        <w:rPr>
          <w:sz w:val="24"/>
          <w:szCs w:val="24"/>
        </w:rPr>
        <w:t>lymfopeni</w:t>
      </w:r>
      <w:proofErr w:type="spellEnd"/>
      <w:r w:rsidRPr="00283C60">
        <w:rPr>
          <w:sz w:val="24"/>
          <w:szCs w:val="24"/>
        </w:rPr>
        <w:t xml:space="preserve"> (lymfocyttal &lt; 0,5 x 10</w:t>
      </w:r>
      <w:r w:rsidRPr="00283C60">
        <w:rPr>
          <w:sz w:val="24"/>
          <w:szCs w:val="24"/>
          <w:vertAlign w:val="superscript"/>
        </w:rPr>
        <w:t>9</w:t>
      </w:r>
      <w:r w:rsidRPr="00283C60">
        <w:rPr>
          <w:sz w:val="24"/>
          <w:szCs w:val="24"/>
        </w:rPr>
        <w:t xml:space="preserve">/l), der varede ved i mindst seks måneder, blev observeret hos 2 % af patienterne. I gruppen med alvorlig </w:t>
      </w:r>
      <w:proofErr w:type="spellStart"/>
      <w:r w:rsidRPr="00283C60">
        <w:rPr>
          <w:sz w:val="24"/>
          <w:szCs w:val="24"/>
        </w:rPr>
        <w:t>lymfopeni</w:t>
      </w:r>
      <w:proofErr w:type="spellEnd"/>
      <w:r w:rsidRPr="00283C60">
        <w:rPr>
          <w:sz w:val="24"/>
          <w:szCs w:val="24"/>
        </w:rPr>
        <w:t xml:space="preserve"> forblev størstedelen af lymfocyttallene &lt; 0,5 x 10</w:t>
      </w:r>
      <w:r w:rsidRPr="00283C60">
        <w:rPr>
          <w:sz w:val="24"/>
          <w:szCs w:val="24"/>
          <w:vertAlign w:val="superscript"/>
        </w:rPr>
        <w:t>9</w:t>
      </w:r>
      <w:r w:rsidRPr="00283C60">
        <w:rPr>
          <w:sz w:val="24"/>
          <w:szCs w:val="24"/>
        </w:rPr>
        <w:t>/l ved fortsat behandling.</w:t>
      </w:r>
    </w:p>
    <w:p w14:paraId="7884690B" w14:textId="77777777" w:rsidR="00244D23" w:rsidRPr="00283C60" w:rsidRDefault="00244D23" w:rsidP="00393DF8">
      <w:pPr>
        <w:ind w:left="851"/>
        <w:rPr>
          <w:sz w:val="24"/>
          <w:szCs w:val="24"/>
        </w:rPr>
      </w:pPr>
    </w:p>
    <w:p w14:paraId="0ABEBC7B" w14:textId="353E7605" w:rsidR="00244D23" w:rsidRPr="00283C60" w:rsidRDefault="00244D23" w:rsidP="00393DF8">
      <w:pPr>
        <w:ind w:left="851"/>
        <w:rPr>
          <w:sz w:val="24"/>
          <w:szCs w:val="24"/>
        </w:rPr>
      </w:pPr>
      <w:r w:rsidRPr="00283C60">
        <w:rPr>
          <w:sz w:val="24"/>
          <w:szCs w:val="24"/>
        </w:rPr>
        <w:t xml:space="preserve">Derudover viste et ikke-kontrolleret, </w:t>
      </w:r>
      <w:proofErr w:type="spellStart"/>
      <w:r w:rsidRPr="00283C60">
        <w:rPr>
          <w:sz w:val="24"/>
          <w:szCs w:val="24"/>
        </w:rPr>
        <w:t>prospektivt</w:t>
      </w:r>
      <w:proofErr w:type="spellEnd"/>
      <w:r w:rsidRPr="00283C60">
        <w:rPr>
          <w:sz w:val="24"/>
          <w:szCs w:val="24"/>
        </w:rPr>
        <w:t xml:space="preserve"> studie efter markedsføring efter 48 ugers behandling med </w:t>
      </w:r>
      <w:proofErr w:type="spellStart"/>
      <w:r w:rsidRPr="00283C60">
        <w:rPr>
          <w:sz w:val="24"/>
          <w:szCs w:val="24"/>
        </w:rPr>
        <w:t>dimethylfumarat</w:t>
      </w:r>
      <w:proofErr w:type="spellEnd"/>
      <w:r w:rsidRPr="00283C60">
        <w:rPr>
          <w:sz w:val="24"/>
          <w:szCs w:val="24"/>
        </w:rPr>
        <w:t xml:space="preserve"> (n=185) en reduktion af CD4+ T-celler, der var moderat (antal ≥ 0,2 x 10</w:t>
      </w:r>
      <w:r w:rsidRPr="00283C60">
        <w:rPr>
          <w:sz w:val="24"/>
          <w:szCs w:val="24"/>
          <w:vertAlign w:val="superscript"/>
        </w:rPr>
        <w:t>9</w:t>
      </w:r>
      <w:r w:rsidRPr="00283C60">
        <w:rPr>
          <w:sz w:val="24"/>
          <w:szCs w:val="24"/>
        </w:rPr>
        <w:t>/l til &lt; 0,4 x 10</w:t>
      </w:r>
      <w:r w:rsidRPr="00283C60">
        <w:rPr>
          <w:sz w:val="24"/>
          <w:szCs w:val="24"/>
          <w:vertAlign w:val="superscript"/>
        </w:rPr>
        <w:t>9</w:t>
      </w:r>
      <w:r w:rsidRPr="00283C60">
        <w:rPr>
          <w:sz w:val="24"/>
          <w:szCs w:val="24"/>
        </w:rPr>
        <w:t>/l) eller alvorlig (&lt; 0,2 x 10</w:t>
      </w:r>
      <w:r w:rsidRPr="00283C60">
        <w:rPr>
          <w:sz w:val="24"/>
          <w:szCs w:val="24"/>
          <w:vertAlign w:val="superscript"/>
        </w:rPr>
        <w:t>9</w:t>
      </w:r>
      <w:r w:rsidRPr="00283C60">
        <w:rPr>
          <w:sz w:val="24"/>
          <w:szCs w:val="24"/>
        </w:rPr>
        <w:t>/l) hos op til henholdsvis 37</w:t>
      </w:r>
      <w:r w:rsidR="005172A5">
        <w:rPr>
          <w:sz w:val="24"/>
          <w:szCs w:val="24"/>
        </w:rPr>
        <w:t> </w:t>
      </w:r>
      <w:r w:rsidRPr="00283C60">
        <w:rPr>
          <w:sz w:val="24"/>
          <w:szCs w:val="24"/>
        </w:rPr>
        <w:t>% eller 6 % af patienterne, mens CD8+ T-celler blev hyppigere reduceret hos op til 59</w:t>
      </w:r>
      <w:r w:rsidR="005172A5">
        <w:rPr>
          <w:sz w:val="24"/>
          <w:szCs w:val="24"/>
        </w:rPr>
        <w:t> </w:t>
      </w:r>
      <w:r w:rsidRPr="00283C60">
        <w:rPr>
          <w:sz w:val="24"/>
          <w:szCs w:val="24"/>
        </w:rPr>
        <w:t>% af patienterne med antal &lt; 0,2 x 10</w:t>
      </w:r>
      <w:r w:rsidRPr="00283C60">
        <w:rPr>
          <w:sz w:val="24"/>
          <w:szCs w:val="24"/>
          <w:vertAlign w:val="superscript"/>
        </w:rPr>
        <w:t>9</w:t>
      </w:r>
      <w:r w:rsidRPr="00283C60">
        <w:rPr>
          <w:sz w:val="24"/>
          <w:szCs w:val="24"/>
        </w:rPr>
        <w:t>/l og 25 % af patienterne med antal &lt; 0,1 x 10</w:t>
      </w:r>
      <w:r w:rsidRPr="00283C60">
        <w:rPr>
          <w:sz w:val="24"/>
          <w:szCs w:val="24"/>
          <w:vertAlign w:val="superscript"/>
        </w:rPr>
        <w:t>9</w:t>
      </w:r>
      <w:r w:rsidRPr="00283C60">
        <w:rPr>
          <w:sz w:val="24"/>
          <w:szCs w:val="24"/>
        </w:rPr>
        <w:t xml:space="preserve">/l. I kontrollerede og ikke-kontrollerede kliniske studier blev patienter, der seponerede behandling med </w:t>
      </w:r>
      <w:proofErr w:type="spellStart"/>
      <w:r w:rsidRPr="00283C60">
        <w:rPr>
          <w:sz w:val="24"/>
          <w:szCs w:val="24"/>
        </w:rPr>
        <w:t>dimethylfumarat</w:t>
      </w:r>
      <w:proofErr w:type="spellEnd"/>
      <w:r w:rsidRPr="00283C60">
        <w:rPr>
          <w:sz w:val="24"/>
          <w:szCs w:val="24"/>
        </w:rPr>
        <w:t xml:space="preserve"> med lymfocyttal under LLN, overvåget for normalisering af lymfocyttal til LLN (se pkt. 5.1).</w:t>
      </w:r>
    </w:p>
    <w:p w14:paraId="52515EB9" w14:textId="77777777" w:rsidR="00244D23" w:rsidRPr="00283C60" w:rsidRDefault="00244D23" w:rsidP="00393DF8">
      <w:pPr>
        <w:ind w:left="851"/>
        <w:rPr>
          <w:sz w:val="24"/>
          <w:szCs w:val="24"/>
        </w:rPr>
      </w:pPr>
    </w:p>
    <w:p w14:paraId="16ABC736" w14:textId="77777777" w:rsidR="00244D23" w:rsidRPr="00283C60" w:rsidRDefault="00244D23" w:rsidP="00393DF8">
      <w:pPr>
        <w:ind w:left="851"/>
        <w:rPr>
          <w:i/>
          <w:sz w:val="24"/>
          <w:szCs w:val="24"/>
        </w:rPr>
      </w:pPr>
      <w:r w:rsidRPr="00283C60">
        <w:rPr>
          <w:i/>
          <w:sz w:val="24"/>
          <w:szCs w:val="24"/>
        </w:rPr>
        <w:t xml:space="preserve">Progressiv multifokal </w:t>
      </w:r>
      <w:proofErr w:type="spellStart"/>
      <w:r w:rsidRPr="00283C60">
        <w:rPr>
          <w:i/>
          <w:sz w:val="24"/>
          <w:szCs w:val="24"/>
        </w:rPr>
        <w:t>leukoencefalopati</w:t>
      </w:r>
      <w:proofErr w:type="spellEnd"/>
      <w:r w:rsidRPr="00283C60">
        <w:rPr>
          <w:i/>
          <w:sz w:val="24"/>
          <w:szCs w:val="24"/>
        </w:rPr>
        <w:t xml:space="preserve"> (PML)</w:t>
      </w:r>
    </w:p>
    <w:p w14:paraId="57061A96" w14:textId="77777777" w:rsidR="00244D23" w:rsidRPr="00283C60" w:rsidRDefault="00244D23" w:rsidP="00393DF8">
      <w:pPr>
        <w:ind w:left="851"/>
        <w:rPr>
          <w:iCs/>
          <w:sz w:val="24"/>
          <w:szCs w:val="24"/>
        </w:rPr>
      </w:pPr>
      <w:r w:rsidRPr="00283C60">
        <w:rPr>
          <w:iCs/>
          <w:sz w:val="24"/>
          <w:szCs w:val="24"/>
        </w:rPr>
        <w:t xml:space="preserve">Tilfælde af infektioner med John </w:t>
      </w:r>
      <w:proofErr w:type="spellStart"/>
      <w:r w:rsidRPr="00283C60">
        <w:rPr>
          <w:iCs/>
          <w:sz w:val="24"/>
          <w:szCs w:val="24"/>
        </w:rPr>
        <w:t>Cunningham</w:t>
      </w:r>
      <w:proofErr w:type="spellEnd"/>
      <w:r w:rsidRPr="00283C60">
        <w:rPr>
          <w:iCs/>
          <w:sz w:val="24"/>
          <w:szCs w:val="24"/>
        </w:rPr>
        <w:t xml:space="preserve">-virus (JCV), der forårsagede PML, er blevet indberettet i forbindelse med behandling med </w:t>
      </w:r>
      <w:proofErr w:type="spellStart"/>
      <w:r w:rsidRPr="00283C60">
        <w:rPr>
          <w:iCs/>
          <w:sz w:val="24"/>
          <w:szCs w:val="24"/>
        </w:rPr>
        <w:t>dimethylfumarat</w:t>
      </w:r>
      <w:proofErr w:type="spellEnd"/>
      <w:r w:rsidRPr="00283C60">
        <w:rPr>
          <w:iCs/>
          <w:sz w:val="24"/>
          <w:szCs w:val="24"/>
        </w:rPr>
        <w:t xml:space="preserve"> (se pkt. 4.4). PML kan være dødelig eller resultere i alvorlig invaliditet. I et af de kliniske studier udviklede én patient i behandling med </w:t>
      </w:r>
      <w:proofErr w:type="spellStart"/>
      <w:r w:rsidRPr="00283C60">
        <w:rPr>
          <w:iCs/>
          <w:sz w:val="24"/>
          <w:szCs w:val="24"/>
        </w:rPr>
        <w:t>dimethylfumarat</w:t>
      </w:r>
      <w:proofErr w:type="spellEnd"/>
      <w:r w:rsidRPr="00283C60">
        <w:rPr>
          <w:iCs/>
          <w:sz w:val="24"/>
          <w:szCs w:val="24"/>
        </w:rPr>
        <w:t xml:space="preserve"> PML i koeksistens med alvorlig, langvarig </w:t>
      </w:r>
      <w:proofErr w:type="spellStart"/>
      <w:r w:rsidRPr="00283C60">
        <w:rPr>
          <w:iCs/>
          <w:sz w:val="24"/>
          <w:szCs w:val="24"/>
        </w:rPr>
        <w:t>lymfopeni</w:t>
      </w:r>
      <w:proofErr w:type="spellEnd"/>
      <w:r w:rsidRPr="00283C60">
        <w:rPr>
          <w:iCs/>
          <w:sz w:val="24"/>
          <w:szCs w:val="24"/>
        </w:rPr>
        <w:t xml:space="preserve"> (lymfocyttal fortrinsvis &lt; 0,5 x 10</w:t>
      </w:r>
      <w:r w:rsidRPr="00283C60">
        <w:rPr>
          <w:iCs/>
          <w:sz w:val="24"/>
          <w:szCs w:val="24"/>
          <w:vertAlign w:val="superscript"/>
        </w:rPr>
        <w:t>9</w:t>
      </w:r>
      <w:r w:rsidRPr="00283C60">
        <w:rPr>
          <w:iCs/>
          <w:sz w:val="24"/>
          <w:szCs w:val="24"/>
        </w:rPr>
        <w:t xml:space="preserve">/l i 3,5 år) med dødelig udgang. Efter markedsføringen er PML ligeledes observeret i koeksistens med moderat og let </w:t>
      </w:r>
      <w:proofErr w:type="spellStart"/>
      <w:r w:rsidRPr="00283C60">
        <w:rPr>
          <w:iCs/>
          <w:sz w:val="24"/>
          <w:szCs w:val="24"/>
        </w:rPr>
        <w:t>lymfopeni</w:t>
      </w:r>
      <w:proofErr w:type="spellEnd"/>
      <w:r w:rsidRPr="00283C60">
        <w:rPr>
          <w:iCs/>
          <w:sz w:val="24"/>
          <w:szCs w:val="24"/>
        </w:rPr>
        <w:t xml:space="preserve"> (&gt; 0,5 x 10</w:t>
      </w:r>
      <w:r w:rsidRPr="00283C60">
        <w:rPr>
          <w:iCs/>
          <w:sz w:val="24"/>
          <w:szCs w:val="24"/>
          <w:vertAlign w:val="superscript"/>
        </w:rPr>
        <w:t>9</w:t>
      </w:r>
      <w:r w:rsidRPr="00283C60">
        <w:rPr>
          <w:iCs/>
          <w:sz w:val="24"/>
          <w:szCs w:val="24"/>
        </w:rPr>
        <w:t>/l til &lt; LLN som fastsat i den lokale laboratorie</w:t>
      </w:r>
      <w:r w:rsidRPr="00283C60">
        <w:rPr>
          <w:iCs/>
          <w:sz w:val="24"/>
          <w:szCs w:val="24"/>
        </w:rPr>
        <w:softHyphen/>
        <w:t>reference).</w:t>
      </w:r>
    </w:p>
    <w:p w14:paraId="2036E0A2" w14:textId="77777777" w:rsidR="00244D23" w:rsidRPr="00283C60" w:rsidRDefault="00244D23" w:rsidP="00393DF8">
      <w:pPr>
        <w:ind w:left="851"/>
        <w:rPr>
          <w:iCs/>
          <w:sz w:val="24"/>
          <w:szCs w:val="24"/>
        </w:rPr>
      </w:pPr>
    </w:p>
    <w:p w14:paraId="74546F28" w14:textId="77777777" w:rsidR="00244D23" w:rsidRPr="00283C60" w:rsidRDefault="00244D23" w:rsidP="00393DF8">
      <w:pPr>
        <w:ind w:left="851"/>
        <w:rPr>
          <w:iCs/>
          <w:sz w:val="24"/>
          <w:szCs w:val="24"/>
        </w:rPr>
      </w:pPr>
      <w:r w:rsidRPr="00283C60">
        <w:rPr>
          <w:iCs/>
          <w:sz w:val="24"/>
          <w:szCs w:val="24"/>
        </w:rPr>
        <w:t>I adskillige PML-tilfælde med bestemmelse af T-celleundergrupper på tidspunktet for PML-diagnosen viste CD8+ T-celletallene sig at være nedsat til &lt; 0,1 x 10</w:t>
      </w:r>
      <w:r w:rsidRPr="00283C60">
        <w:rPr>
          <w:iCs/>
          <w:sz w:val="24"/>
          <w:szCs w:val="24"/>
          <w:vertAlign w:val="superscript"/>
        </w:rPr>
        <w:t>9</w:t>
      </w:r>
      <w:r w:rsidRPr="00283C60">
        <w:rPr>
          <w:iCs/>
          <w:sz w:val="24"/>
          <w:szCs w:val="24"/>
        </w:rPr>
        <w:t>/l, mens reduktionen i CD4+ T-celletallene varierede (fra &lt; 0,05 til 0,5 x 10</w:t>
      </w:r>
      <w:r w:rsidRPr="00283C60">
        <w:rPr>
          <w:iCs/>
          <w:sz w:val="24"/>
          <w:szCs w:val="24"/>
          <w:vertAlign w:val="superscript"/>
        </w:rPr>
        <w:t>9</w:t>
      </w:r>
      <w:r w:rsidRPr="00283C60">
        <w:rPr>
          <w:iCs/>
          <w:sz w:val="24"/>
          <w:szCs w:val="24"/>
        </w:rPr>
        <w:t xml:space="preserve">/l) og korrelerede mere med den samlede sværhedsgrad af </w:t>
      </w:r>
      <w:proofErr w:type="spellStart"/>
      <w:r w:rsidRPr="00283C60">
        <w:rPr>
          <w:iCs/>
          <w:sz w:val="24"/>
          <w:szCs w:val="24"/>
        </w:rPr>
        <w:t>lymfopeni</w:t>
      </w:r>
      <w:proofErr w:type="spellEnd"/>
      <w:r w:rsidRPr="00283C60">
        <w:rPr>
          <w:iCs/>
          <w:sz w:val="24"/>
          <w:szCs w:val="24"/>
        </w:rPr>
        <w:t xml:space="preserve"> (&lt; 0,5 x 10</w:t>
      </w:r>
      <w:r w:rsidRPr="00283C60">
        <w:rPr>
          <w:iCs/>
          <w:sz w:val="24"/>
          <w:szCs w:val="24"/>
          <w:vertAlign w:val="superscript"/>
        </w:rPr>
        <w:t>9</w:t>
      </w:r>
      <w:r w:rsidRPr="00283C60">
        <w:rPr>
          <w:iCs/>
          <w:sz w:val="24"/>
          <w:szCs w:val="24"/>
        </w:rPr>
        <w:t>/l til &lt; LLN). Derfor var CD4+/CD8+-forholdet øget hos disse patienter.</w:t>
      </w:r>
    </w:p>
    <w:p w14:paraId="6639363C" w14:textId="77777777" w:rsidR="00244D23" w:rsidRPr="00283C60" w:rsidRDefault="00244D23" w:rsidP="00393DF8">
      <w:pPr>
        <w:ind w:left="851"/>
        <w:rPr>
          <w:iCs/>
          <w:sz w:val="24"/>
          <w:szCs w:val="24"/>
        </w:rPr>
      </w:pPr>
    </w:p>
    <w:p w14:paraId="3BE27A6F" w14:textId="77777777" w:rsidR="00244D23" w:rsidRPr="00283C60" w:rsidRDefault="00244D23" w:rsidP="00393DF8">
      <w:pPr>
        <w:ind w:left="851"/>
        <w:rPr>
          <w:iCs/>
          <w:sz w:val="24"/>
          <w:szCs w:val="24"/>
        </w:rPr>
      </w:pPr>
      <w:r w:rsidRPr="00283C60">
        <w:rPr>
          <w:iCs/>
          <w:sz w:val="24"/>
          <w:szCs w:val="24"/>
        </w:rPr>
        <w:t xml:space="preserve">Moderat til alvorlig, langvarig </w:t>
      </w:r>
      <w:proofErr w:type="spellStart"/>
      <w:r w:rsidRPr="00283C60">
        <w:rPr>
          <w:iCs/>
          <w:sz w:val="24"/>
          <w:szCs w:val="24"/>
        </w:rPr>
        <w:t>lymfopeni</w:t>
      </w:r>
      <w:proofErr w:type="spellEnd"/>
      <w:r w:rsidRPr="00283C60">
        <w:rPr>
          <w:iCs/>
          <w:sz w:val="24"/>
          <w:szCs w:val="24"/>
        </w:rPr>
        <w:t xml:space="preserve"> synes at øge risikoen for PML ved behandling med </w:t>
      </w:r>
      <w:proofErr w:type="spellStart"/>
      <w:r w:rsidRPr="00283C60">
        <w:rPr>
          <w:iCs/>
          <w:sz w:val="24"/>
          <w:szCs w:val="24"/>
        </w:rPr>
        <w:t>dimethylfumarat</w:t>
      </w:r>
      <w:proofErr w:type="spellEnd"/>
      <w:r w:rsidRPr="00283C60">
        <w:rPr>
          <w:iCs/>
          <w:sz w:val="24"/>
          <w:szCs w:val="24"/>
        </w:rPr>
        <w:t xml:space="preserve">. Dog er PML også observeret hos patienter med let </w:t>
      </w:r>
      <w:proofErr w:type="spellStart"/>
      <w:r w:rsidRPr="00283C60">
        <w:rPr>
          <w:iCs/>
          <w:sz w:val="24"/>
          <w:szCs w:val="24"/>
        </w:rPr>
        <w:t>lymfopeni</w:t>
      </w:r>
      <w:proofErr w:type="spellEnd"/>
      <w:r w:rsidRPr="00283C60">
        <w:rPr>
          <w:iCs/>
          <w:sz w:val="24"/>
          <w:szCs w:val="24"/>
        </w:rPr>
        <w:t>. Endvidere er størstedelen af tilfældene af PML efter markedsføringen indtruffet hos patienter &gt; 50 år.</w:t>
      </w:r>
    </w:p>
    <w:p w14:paraId="7A7FB79B" w14:textId="247C7E60" w:rsidR="00283C60" w:rsidRDefault="00283C60">
      <w:pPr>
        <w:rPr>
          <w:iCs/>
          <w:sz w:val="24"/>
          <w:szCs w:val="24"/>
        </w:rPr>
      </w:pPr>
      <w:r>
        <w:rPr>
          <w:iCs/>
          <w:sz w:val="24"/>
          <w:szCs w:val="24"/>
        </w:rPr>
        <w:br w:type="page"/>
      </w:r>
    </w:p>
    <w:p w14:paraId="5708DD53" w14:textId="77777777" w:rsidR="00244D23" w:rsidRPr="00283C60" w:rsidRDefault="00244D23" w:rsidP="00393DF8">
      <w:pPr>
        <w:ind w:left="851"/>
        <w:rPr>
          <w:iCs/>
          <w:sz w:val="24"/>
          <w:szCs w:val="24"/>
        </w:rPr>
      </w:pPr>
    </w:p>
    <w:p w14:paraId="10B3B9DC" w14:textId="77777777" w:rsidR="00244D23" w:rsidRPr="00283C60" w:rsidRDefault="00244D23" w:rsidP="00393DF8">
      <w:pPr>
        <w:ind w:left="851"/>
        <w:rPr>
          <w:i/>
          <w:iCs/>
          <w:sz w:val="24"/>
          <w:szCs w:val="24"/>
        </w:rPr>
      </w:pPr>
      <w:r w:rsidRPr="00283C60">
        <w:rPr>
          <w:i/>
          <w:iCs/>
          <w:sz w:val="24"/>
          <w:szCs w:val="24"/>
        </w:rPr>
        <w:t xml:space="preserve">Herpes </w:t>
      </w:r>
      <w:proofErr w:type="spellStart"/>
      <w:r w:rsidRPr="00283C60">
        <w:rPr>
          <w:i/>
          <w:iCs/>
          <w:sz w:val="24"/>
          <w:szCs w:val="24"/>
        </w:rPr>
        <w:t>zoster</w:t>
      </w:r>
      <w:proofErr w:type="spellEnd"/>
      <w:r w:rsidRPr="00283C60">
        <w:rPr>
          <w:i/>
          <w:iCs/>
          <w:sz w:val="24"/>
          <w:szCs w:val="24"/>
        </w:rPr>
        <w:t>-infektioner</w:t>
      </w:r>
    </w:p>
    <w:p w14:paraId="59EDECD6" w14:textId="515CBBD8" w:rsidR="00244D23" w:rsidRPr="00283C60" w:rsidRDefault="00244D23" w:rsidP="00393DF8">
      <w:pPr>
        <w:ind w:left="851"/>
        <w:rPr>
          <w:sz w:val="24"/>
          <w:szCs w:val="24"/>
        </w:rPr>
      </w:pPr>
      <w:r w:rsidRPr="00283C60">
        <w:rPr>
          <w:sz w:val="24"/>
          <w:szCs w:val="24"/>
        </w:rPr>
        <w:t xml:space="preserve">Der er indberettet herpes </w:t>
      </w:r>
      <w:proofErr w:type="spellStart"/>
      <w:r w:rsidRPr="00283C60">
        <w:rPr>
          <w:sz w:val="24"/>
          <w:szCs w:val="24"/>
        </w:rPr>
        <w:t>zoster</w:t>
      </w:r>
      <w:proofErr w:type="spellEnd"/>
      <w:r w:rsidRPr="00283C60">
        <w:rPr>
          <w:sz w:val="24"/>
          <w:szCs w:val="24"/>
        </w:rPr>
        <w:t xml:space="preserve">-infektioner ved brug af </w:t>
      </w:r>
      <w:proofErr w:type="spellStart"/>
      <w:r w:rsidRPr="00283C60">
        <w:rPr>
          <w:sz w:val="24"/>
          <w:szCs w:val="24"/>
        </w:rPr>
        <w:t>dimethylfumarat</w:t>
      </w:r>
      <w:proofErr w:type="spellEnd"/>
      <w:r w:rsidRPr="00283C60">
        <w:rPr>
          <w:sz w:val="24"/>
          <w:szCs w:val="24"/>
        </w:rPr>
        <w:t xml:space="preserve">. I et langtidsforlængelsesstudie, hvor 1.736 MS-patienter blev behandlet, oplevede cirka 5 % af patienterne ét eller flere tilfælde af herpes </w:t>
      </w:r>
      <w:proofErr w:type="spellStart"/>
      <w:r w:rsidRPr="00283C60">
        <w:rPr>
          <w:sz w:val="24"/>
          <w:szCs w:val="24"/>
        </w:rPr>
        <w:t>zoster</w:t>
      </w:r>
      <w:proofErr w:type="spellEnd"/>
      <w:r w:rsidRPr="00283C60">
        <w:rPr>
          <w:sz w:val="24"/>
          <w:szCs w:val="24"/>
        </w:rPr>
        <w:t xml:space="preserve">. Af disse var 42 % lette, 55 % moderate og 3 % alvorlige. Tiden fra første dosis </w:t>
      </w:r>
      <w:proofErr w:type="spellStart"/>
      <w:r w:rsidRPr="00283C60">
        <w:rPr>
          <w:sz w:val="24"/>
          <w:szCs w:val="24"/>
        </w:rPr>
        <w:t>dimethylfumarat</w:t>
      </w:r>
      <w:proofErr w:type="spellEnd"/>
      <w:r w:rsidRPr="00283C60">
        <w:rPr>
          <w:sz w:val="24"/>
          <w:szCs w:val="24"/>
        </w:rPr>
        <w:t xml:space="preserve"> til debut af herpes </w:t>
      </w:r>
      <w:proofErr w:type="spellStart"/>
      <w:r w:rsidRPr="00283C60">
        <w:rPr>
          <w:sz w:val="24"/>
          <w:szCs w:val="24"/>
        </w:rPr>
        <w:t>zoster</w:t>
      </w:r>
      <w:proofErr w:type="spellEnd"/>
      <w:r w:rsidRPr="00283C60">
        <w:rPr>
          <w:sz w:val="24"/>
          <w:szCs w:val="24"/>
        </w:rPr>
        <w:t>-infektion varierede fra ca. 3 måneder til 10 år. Fire patienter oplevede alvorlige bivi</w:t>
      </w:r>
      <w:r w:rsidR="00857071" w:rsidRPr="00283C60">
        <w:rPr>
          <w:sz w:val="24"/>
          <w:szCs w:val="24"/>
        </w:rPr>
        <w:t>r</w:t>
      </w:r>
      <w:r w:rsidRPr="00283C60">
        <w:rPr>
          <w:sz w:val="24"/>
          <w:szCs w:val="24"/>
        </w:rPr>
        <w:t xml:space="preserve">kninger, som alle blev løst. De fleste patienter, herunder dem, der oplevede en alvorlig herpes </w:t>
      </w:r>
      <w:proofErr w:type="spellStart"/>
      <w:r w:rsidRPr="00283C60">
        <w:rPr>
          <w:sz w:val="24"/>
          <w:szCs w:val="24"/>
        </w:rPr>
        <w:t>zoster</w:t>
      </w:r>
      <w:proofErr w:type="spellEnd"/>
      <w:r w:rsidRPr="00283C60">
        <w:rPr>
          <w:sz w:val="24"/>
          <w:szCs w:val="24"/>
        </w:rPr>
        <w:t xml:space="preserve">-infektion, havde lymfocyttal over den nedre normalgrænse. Hos størstedelen af forsøgsdeltagere med samtidige lymfocyttal under LLN blev </w:t>
      </w:r>
      <w:proofErr w:type="spellStart"/>
      <w:r w:rsidRPr="00283C60">
        <w:rPr>
          <w:sz w:val="24"/>
          <w:szCs w:val="24"/>
        </w:rPr>
        <w:t>lymfopenien</w:t>
      </w:r>
      <w:proofErr w:type="spellEnd"/>
      <w:r w:rsidRPr="00283C60">
        <w:rPr>
          <w:sz w:val="24"/>
          <w:szCs w:val="24"/>
        </w:rPr>
        <w:t xml:space="preserve"> vurderet som moderat eller alvorlig. Efter markedsføring var de fleste tilfælde af herpes </w:t>
      </w:r>
      <w:proofErr w:type="spellStart"/>
      <w:r w:rsidRPr="00283C60">
        <w:rPr>
          <w:sz w:val="24"/>
          <w:szCs w:val="24"/>
        </w:rPr>
        <w:t>zoster</w:t>
      </w:r>
      <w:proofErr w:type="spellEnd"/>
      <w:r w:rsidRPr="00283C60">
        <w:rPr>
          <w:sz w:val="24"/>
          <w:szCs w:val="24"/>
        </w:rPr>
        <w:t>-infektion ikke alvorlige og ophørte ved behandling. Der er begrænsede tilgængelige data om absolut lymfocyttal (</w:t>
      </w:r>
      <w:proofErr w:type="spellStart"/>
      <w:r w:rsidRPr="00283C60">
        <w:rPr>
          <w:sz w:val="24"/>
          <w:szCs w:val="24"/>
        </w:rPr>
        <w:t>absolute</w:t>
      </w:r>
      <w:proofErr w:type="spellEnd"/>
      <w:r w:rsidRPr="00283C60">
        <w:rPr>
          <w:sz w:val="24"/>
          <w:szCs w:val="24"/>
        </w:rPr>
        <w:t xml:space="preserve"> </w:t>
      </w:r>
      <w:proofErr w:type="spellStart"/>
      <w:r w:rsidRPr="00283C60">
        <w:rPr>
          <w:sz w:val="24"/>
          <w:szCs w:val="24"/>
        </w:rPr>
        <w:t>lymphocyte</w:t>
      </w:r>
      <w:proofErr w:type="spellEnd"/>
      <w:r w:rsidRPr="00283C60">
        <w:rPr>
          <w:sz w:val="24"/>
          <w:szCs w:val="24"/>
        </w:rPr>
        <w:t xml:space="preserve"> </w:t>
      </w:r>
      <w:proofErr w:type="spellStart"/>
      <w:r w:rsidRPr="00283C60">
        <w:rPr>
          <w:sz w:val="24"/>
          <w:szCs w:val="24"/>
        </w:rPr>
        <w:t>count</w:t>
      </w:r>
      <w:proofErr w:type="spellEnd"/>
      <w:r w:rsidRPr="00283C60">
        <w:rPr>
          <w:sz w:val="24"/>
          <w:szCs w:val="24"/>
        </w:rPr>
        <w:t xml:space="preserve"> - ALC) hos patienter med herpes </w:t>
      </w:r>
      <w:proofErr w:type="spellStart"/>
      <w:r w:rsidRPr="00283C60">
        <w:rPr>
          <w:sz w:val="24"/>
          <w:szCs w:val="24"/>
        </w:rPr>
        <w:t>zoster</w:t>
      </w:r>
      <w:proofErr w:type="spellEnd"/>
      <w:r w:rsidRPr="00283C60">
        <w:rPr>
          <w:sz w:val="24"/>
          <w:szCs w:val="24"/>
        </w:rPr>
        <w:t>-infektion efter markedsføringen. Når det blev indberettet, oplevede de fleste patienter imidlertid moderat (≥ 0,5 x 10</w:t>
      </w:r>
      <w:r w:rsidRPr="00283C60">
        <w:rPr>
          <w:sz w:val="24"/>
          <w:szCs w:val="24"/>
          <w:vertAlign w:val="superscript"/>
        </w:rPr>
        <w:t>9</w:t>
      </w:r>
      <w:r w:rsidRPr="00283C60">
        <w:rPr>
          <w:sz w:val="24"/>
          <w:szCs w:val="24"/>
        </w:rPr>
        <w:t>/l til 0,8 x 10</w:t>
      </w:r>
      <w:r w:rsidRPr="00283C60">
        <w:rPr>
          <w:sz w:val="24"/>
          <w:szCs w:val="24"/>
          <w:vertAlign w:val="superscript"/>
        </w:rPr>
        <w:t>9</w:t>
      </w:r>
      <w:r w:rsidRPr="00283C60">
        <w:rPr>
          <w:sz w:val="24"/>
          <w:szCs w:val="24"/>
        </w:rPr>
        <w:t>/l) eller alvorlig (&lt; 0,5 x 10</w:t>
      </w:r>
      <w:r w:rsidRPr="00283C60">
        <w:rPr>
          <w:sz w:val="24"/>
          <w:szCs w:val="24"/>
          <w:vertAlign w:val="superscript"/>
        </w:rPr>
        <w:t>9</w:t>
      </w:r>
      <w:r w:rsidRPr="00283C60">
        <w:rPr>
          <w:sz w:val="24"/>
          <w:szCs w:val="24"/>
        </w:rPr>
        <w:t>/l til 0,2 x 10</w:t>
      </w:r>
      <w:r w:rsidRPr="00283C60">
        <w:rPr>
          <w:sz w:val="24"/>
          <w:szCs w:val="24"/>
          <w:vertAlign w:val="superscript"/>
        </w:rPr>
        <w:t>9</w:t>
      </w:r>
      <w:r w:rsidRPr="00283C60">
        <w:rPr>
          <w:sz w:val="24"/>
          <w:szCs w:val="24"/>
        </w:rPr>
        <w:t xml:space="preserve">/l) </w:t>
      </w:r>
      <w:proofErr w:type="spellStart"/>
      <w:r w:rsidRPr="00283C60">
        <w:rPr>
          <w:sz w:val="24"/>
          <w:szCs w:val="24"/>
        </w:rPr>
        <w:t>lymfopeni</w:t>
      </w:r>
      <w:proofErr w:type="spellEnd"/>
      <w:r w:rsidRPr="00283C60">
        <w:rPr>
          <w:sz w:val="24"/>
          <w:szCs w:val="24"/>
        </w:rPr>
        <w:t xml:space="preserve"> (se pkt. 4.4).</w:t>
      </w:r>
    </w:p>
    <w:p w14:paraId="17A3A543" w14:textId="77777777" w:rsidR="00244D23" w:rsidRPr="00283C60" w:rsidRDefault="00244D23" w:rsidP="00393DF8">
      <w:pPr>
        <w:ind w:left="851"/>
        <w:rPr>
          <w:i/>
          <w:sz w:val="24"/>
          <w:szCs w:val="24"/>
        </w:rPr>
      </w:pPr>
    </w:p>
    <w:p w14:paraId="7C07B4CE" w14:textId="77777777" w:rsidR="00244D23" w:rsidRPr="00283C60" w:rsidRDefault="00244D23" w:rsidP="00393DF8">
      <w:pPr>
        <w:ind w:left="851"/>
        <w:rPr>
          <w:i/>
          <w:sz w:val="24"/>
          <w:szCs w:val="24"/>
        </w:rPr>
      </w:pPr>
      <w:r w:rsidRPr="00283C60">
        <w:rPr>
          <w:i/>
          <w:sz w:val="24"/>
          <w:szCs w:val="24"/>
        </w:rPr>
        <w:t>Laboratorieabnormiteter</w:t>
      </w:r>
    </w:p>
    <w:p w14:paraId="4EB04F40" w14:textId="77777777" w:rsidR="00244D23" w:rsidRPr="00283C60" w:rsidRDefault="00244D23" w:rsidP="00393DF8">
      <w:pPr>
        <w:ind w:left="851"/>
        <w:rPr>
          <w:noProof/>
          <w:sz w:val="24"/>
          <w:szCs w:val="24"/>
        </w:rPr>
      </w:pPr>
      <w:r w:rsidRPr="00283C60">
        <w:rPr>
          <w:noProof/>
          <w:sz w:val="24"/>
          <w:szCs w:val="24"/>
        </w:rPr>
        <w:t xml:space="preserve">I de placebokontrollerede studier var måling af ketoner i urinen (1+ eller højere) højere hos patienter behandlet med dimethylfumarat (45 %) sammenlignet med placebo (10 %). Der blev ikke observeret nogen negative kliniske konsekvenser i de kliniske studier. </w:t>
      </w:r>
    </w:p>
    <w:p w14:paraId="5CDD335F" w14:textId="77777777" w:rsidR="00244D23" w:rsidRPr="00283C60" w:rsidRDefault="00244D23" w:rsidP="00393DF8">
      <w:pPr>
        <w:ind w:left="851"/>
        <w:rPr>
          <w:noProof/>
          <w:sz w:val="24"/>
          <w:szCs w:val="24"/>
        </w:rPr>
      </w:pPr>
    </w:p>
    <w:p w14:paraId="2D08BDA5" w14:textId="77777777" w:rsidR="00244D23" w:rsidRPr="00283C60" w:rsidRDefault="00244D23" w:rsidP="00393DF8">
      <w:pPr>
        <w:ind w:left="851"/>
        <w:rPr>
          <w:noProof/>
          <w:sz w:val="24"/>
          <w:szCs w:val="24"/>
        </w:rPr>
      </w:pPr>
      <w:r w:rsidRPr="00283C60">
        <w:rPr>
          <w:noProof/>
          <w:sz w:val="24"/>
          <w:szCs w:val="24"/>
        </w:rPr>
        <w:t xml:space="preserve">Niveauet af 1,25-dihydroxyvitamin D faldt hos patienter behandlet med dimethylfumarat sammenlignet med placebo (mediant fald i procent fra </w:t>
      </w:r>
      <w:r w:rsidRPr="00283C60">
        <w:rPr>
          <w:i/>
          <w:noProof/>
          <w:sz w:val="24"/>
          <w:szCs w:val="24"/>
        </w:rPr>
        <w:t>baseline</w:t>
      </w:r>
      <w:r w:rsidRPr="00283C60">
        <w:rPr>
          <w:noProof/>
          <w:sz w:val="24"/>
          <w:szCs w:val="24"/>
        </w:rPr>
        <w:t xml:space="preserve"> efter 2 år på henholdsvis 25 % og 15 %), og niveauet af parathyroideahormon (PTH) steg hos patienter behandlet med dimethylfumarat sammenlignet med placebo (median stigning i procent fra </w:t>
      </w:r>
      <w:r w:rsidRPr="00283C60">
        <w:rPr>
          <w:i/>
          <w:noProof/>
          <w:sz w:val="24"/>
          <w:szCs w:val="24"/>
        </w:rPr>
        <w:t>baseline</w:t>
      </w:r>
      <w:r w:rsidRPr="00283C60">
        <w:rPr>
          <w:noProof/>
          <w:sz w:val="24"/>
          <w:szCs w:val="24"/>
        </w:rPr>
        <w:t xml:space="preserve"> efter 2 år på henholdsvis 29 % og 15 %). Middelværdierne for begge parametre forblev inden for normalværdierne.</w:t>
      </w:r>
    </w:p>
    <w:p w14:paraId="43603FA1" w14:textId="77777777" w:rsidR="00244D23" w:rsidRPr="00283C60" w:rsidRDefault="00244D23" w:rsidP="00393DF8">
      <w:pPr>
        <w:ind w:left="851"/>
        <w:rPr>
          <w:noProof/>
          <w:sz w:val="24"/>
          <w:szCs w:val="24"/>
        </w:rPr>
      </w:pPr>
    </w:p>
    <w:p w14:paraId="5E75D16A" w14:textId="77777777" w:rsidR="00244D23" w:rsidRPr="00283C60" w:rsidRDefault="00244D23" w:rsidP="00393DF8">
      <w:pPr>
        <w:ind w:left="851"/>
        <w:rPr>
          <w:noProof/>
          <w:sz w:val="24"/>
          <w:szCs w:val="24"/>
        </w:rPr>
      </w:pPr>
      <w:r w:rsidRPr="00283C60">
        <w:rPr>
          <w:noProof/>
          <w:sz w:val="24"/>
          <w:szCs w:val="24"/>
        </w:rPr>
        <w:t>Der blev set en forbigående stigning i middel-eosinofiltallene i løbet af behandlingens første 2 måneder.</w:t>
      </w:r>
    </w:p>
    <w:p w14:paraId="68EFA5C0" w14:textId="77777777" w:rsidR="00244D23" w:rsidRPr="00283C60" w:rsidRDefault="00244D23" w:rsidP="00393DF8">
      <w:pPr>
        <w:ind w:left="851"/>
        <w:rPr>
          <w:noProof/>
          <w:sz w:val="24"/>
          <w:szCs w:val="24"/>
        </w:rPr>
      </w:pPr>
    </w:p>
    <w:p w14:paraId="4CB69336" w14:textId="77777777" w:rsidR="00244D23" w:rsidRPr="00283C60" w:rsidRDefault="00244D23" w:rsidP="00393DF8">
      <w:pPr>
        <w:ind w:left="851"/>
        <w:rPr>
          <w:sz w:val="24"/>
          <w:szCs w:val="24"/>
          <w:u w:val="single"/>
        </w:rPr>
      </w:pPr>
      <w:r w:rsidRPr="00283C60">
        <w:rPr>
          <w:sz w:val="24"/>
          <w:szCs w:val="24"/>
          <w:u w:val="single"/>
        </w:rPr>
        <w:t>Pædiatrisk</w:t>
      </w:r>
      <w:r w:rsidRPr="00283C60">
        <w:rPr>
          <w:spacing w:val="-2"/>
          <w:sz w:val="24"/>
          <w:szCs w:val="24"/>
          <w:u w:val="single"/>
        </w:rPr>
        <w:t xml:space="preserve"> </w:t>
      </w:r>
      <w:r w:rsidRPr="00283C60">
        <w:rPr>
          <w:sz w:val="24"/>
          <w:szCs w:val="24"/>
          <w:u w:val="single"/>
        </w:rPr>
        <w:t>population</w:t>
      </w:r>
    </w:p>
    <w:p w14:paraId="133A5E01" w14:textId="77777777" w:rsidR="00244D23" w:rsidRPr="00283C60" w:rsidRDefault="00244D23" w:rsidP="00393DF8">
      <w:pPr>
        <w:ind w:left="851"/>
        <w:rPr>
          <w:noProof/>
          <w:sz w:val="24"/>
          <w:szCs w:val="24"/>
          <w:lang w:eastAsia="fr-LU"/>
        </w:rPr>
      </w:pPr>
      <w:r w:rsidRPr="00283C60">
        <w:rPr>
          <w:noProof/>
          <w:sz w:val="24"/>
          <w:szCs w:val="24"/>
        </w:rPr>
        <w:t>I et 96-ugers åbent, randomiseret studie med aktiv kontrol hos pædiatriske patienter med RRMS (n = 7 i alderen 10 til under 13 år og n = 71 i alderen 13 til under 18 år) blev patienterne behandlet med 120 mg to gange dagligt i 7 dage efterfulgt af 240 mg to gange dagligt i resten af behandlingsperioden. Sikkerhedsprofilen for pædiatriske patienter viste sig at svare til den, der tidligere er observeret for voksne patienter.</w:t>
      </w:r>
    </w:p>
    <w:p w14:paraId="4135089B" w14:textId="77777777" w:rsidR="00244D23" w:rsidRPr="00283C60" w:rsidRDefault="00244D23" w:rsidP="00393DF8">
      <w:pPr>
        <w:ind w:left="851"/>
        <w:rPr>
          <w:noProof/>
          <w:sz w:val="24"/>
          <w:szCs w:val="24"/>
        </w:rPr>
      </w:pPr>
    </w:p>
    <w:p w14:paraId="2A97FDA6" w14:textId="77777777" w:rsidR="00244D23" w:rsidRPr="00283C60" w:rsidRDefault="00244D23" w:rsidP="00393DF8">
      <w:pPr>
        <w:ind w:left="851"/>
        <w:rPr>
          <w:noProof/>
          <w:sz w:val="24"/>
          <w:szCs w:val="24"/>
        </w:rPr>
      </w:pPr>
      <w:r w:rsidRPr="00283C60">
        <w:rPr>
          <w:noProof/>
          <w:sz w:val="24"/>
          <w:szCs w:val="24"/>
        </w:rPr>
        <w:t xml:space="preserve">Det pædiatriske kliniske studiedesign var ikke det samme som for de placebokontrollerede kliniske studier hos voksne. Det kan derfor ikke udelukkes, at det kliniske studiedesign har bidraget til numeriske forskelle i bivirkninger mellem den pædiatriske og voksne population. Forstyrrelser i mave-tarm-kanalen samt i luftveje, thorax og mediastinum samt bivirkninger som hovedpine og dysmenoré blev oftere rapporteret (≥ 10 %) i den pædiatriske population sammenlignet med den voksne population. Disse bivirkninger blev rapporteret i følgende procentdele hos pædiatriske patienter: </w:t>
      </w:r>
    </w:p>
    <w:p w14:paraId="23EA8CE4" w14:textId="77777777" w:rsidR="00244D23" w:rsidRPr="00283C60" w:rsidRDefault="00244D23" w:rsidP="00393DF8">
      <w:pPr>
        <w:ind w:left="851"/>
        <w:rPr>
          <w:noProof/>
          <w:sz w:val="24"/>
          <w:szCs w:val="24"/>
        </w:rPr>
      </w:pPr>
    </w:p>
    <w:p w14:paraId="782BDA85" w14:textId="77777777" w:rsidR="00244D23" w:rsidRPr="00283C60" w:rsidRDefault="00244D23" w:rsidP="00857071">
      <w:pPr>
        <w:pStyle w:val="Listeafsnit"/>
        <w:numPr>
          <w:ilvl w:val="0"/>
          <w:numId w:val="13"/>
        </w:numPr>
        <w:ind w:left="1276" w:hanging="425"/>
        <w:rPr>
          <w:noProof/>
          <w:sz w:val="24"/>
          <w:szCs w:val="24"/>
          <w:lang w:val="da-DK"/>
        </w:rPr>
      </w:pPr>
      <w:r w:rsidRPr="00283C60">
        <w:rPr>
          <w:noProof/>
          <w:sz w:val="24"/>
          <w:szCs w:val="24"/>
          <w:lang w:val="da-DK"/>
        </w:rPr>
        <w:t>Hovedpine blev indberettet hos 28 % af patienterne, der blev behandlet med dimethylfumarat, versus hos 36 % af patienterne, der blev behandlet med interferon beta-1a.</w:t>
      </w:r>
    </w:p>
    <w:p w14:paraId="456B1C66" w14:textId="77777777" w:rsidR="00244D23" w:rsidRPr="00283C60" w:rsidRDefault="00244D23" w:rsidP="00857071">
      <w:pPr>
        <w:pStyle w:val="Listeafsnit"/>
        <w:numPr>
          <w:ilvl w:val="0"/>
          <w:numId w:val="13"/>
        </w:numPr>
        <w:ind w:left="1276" w:hanging="425"/>
        <w:rPr>
          <w:noProof/>
          <w:sz w:val="24"/>
          <w:szCs w:val="24"/>
          <w:lang w:val="da-DK"/>
        </w:rPr>
      </w:pPr>
      <w:r w:rsidRPr="00283C60">
        <w:rPr>
          <w:noProof/>
          <w:sz w:val="24"/>
          <w:szCs w:val="24"/>
          <w:lang w:val="da-DK"/>
        </w:rPr>
        <w:lastRenderedPageBreak/>
        <w:t>Lidelser i mave-tarm-kanalen blev indberettet hos 74 % af patienterne, der blev behandlet med dimethylfumarat, versus hos 31 % af patienterne, der blev behandlet med interferon beta-1a. Blandt disse var abdominalsmerter og opkastning de hyppigst indberettede med dimethylfumarat.</w:t>
      </w:r>
    </w:p>
    <w:p w14:paraId="392D471A" w14:textId="77777777" w:rsidR="00244D23" w:rsidRPr="00283C60" w:rsidRDefault="00244D23" w:rsidP="00857071">
      <w:pPr>
        <w:pStyle w:val="Listeafsnit"/>
        <w:numPr>
          <w:ilvl w:val="0"/>
          <w:numId w:val="13"/>
        </w:numPr>
        <w:ind w:left="1276" w:hanging="425"/>
        <w:rPr>
          <w:noProof/>
          <w:sz w:val="24"/>
          <w:szCs w:val="24"/>
          <w:lang w:val="da-DK"/>
        </w:rPr>
      </w:pPr>
      <w:r w:rsidRPr="00283C60">
        <w:rPr>
          <w:noProof/>
          <w:sz w:val="24"/>
          <w:szCs w:val="24"/>
          <w:lang w:val="da-DK"/>
        </w:rPr>
        <w:t>Lidelser i luftveje, thorax og mediastinum blev indberettet hos 32 % af patienterne, der blev behandlet med dimethylfumarat, versus hos 11 % af patienterne, der blev behandlet med interferon beta-1a. Blandt disse var orofaryngeale smerter og hoste de hyppigst indberettede med dimethylfumarat.</w:t>
      </w:r>
    </w:p>
    <w:p w14:paraId="190D8651" w14:textId="77777777" w:rsidR="00244D23" w:rsidRPr="00283C60" w:rsidRDefault="00244D23" w:rsidP="00857071">
      <w:pPr>
        <w:pStyle w:val="Listeafsnit"/>
        <w:numPr>
          <w:ilvl w:val="0"/>
          <w:numId w:val="13"/>
        </w:numPr>
        <w:ind w:left="1276" w:hanging="425"/>
        <w:rPr>
          <w:noProof/>
          <w:sz w:val="24"/>
          <w:szCs w:val="24"/>
          <w:lang w:val="da-DK"/>
        </w:rPr>
      </w:pPr>
      <w:r w:rsidRPr="00283C60">
        <w:rPr>
          <w:noProof/>
          <w:sz w:val="24"/>
          <w:szCs w:val="24"/>
          <w:lang w:val="da-DK"/>
        </w:rPr>
        <w:t>Dysmenoré blev indberettet hos 17 % af patienterne, der blev behandlet med dimethylfumarat, versus hos 7 % af patienterne, der blev behandlet med interferon beta-1a.</w:t>
      </w:r>
    </w:p>
    <w:p w14:paraId="36E68B0C" w14:textId="77777777" w:rsidR="00244D23" w:rsidRPr="00283C60" w:rsidRDefault="00244D23" w:rsidP="00393DF8">
      <w:pPr>
        <w:ind w:left="851"/>
        <w:rPr>
          <w:noProof/>
          <w:sz w:val="24"/>
          <w:szCs w:val="24"/>
        </w:rPr>
      </w:pPr>
    </w:p>
    <w:p w14:paraId="457118FC" w14:textId="77777777" w:rsidR="00244D23" w:rsidRPr="00283C60" w:rsidRDefault="00244D23" w:rsidP="00393DF8">
      <w:pPr>
        <w:ind w:left="851"/>
        <w:rPr>
          <w:noProof/>
          <w:sz w:val="24"/>
          <w:szCs w:val="24"/>
        </w:rPr>
      </w:pPr>
      <w:r w:rsidRPr="00283C60">
        <w:rPr>
          <w:noProof/>
          <w:sz w:val="24"/>
          <w:szCs w:val="24"/>
        </w:rPr>
        <w:t>I et lille 24-ugers åbent, ikke-kontrolleret studie hos pædiatriske patienter med RRMS i alderen 13 til 17 år (120 mg to gange dagligt i 7 dage efterfulgt af 240 mg to gange dagligt i resten af behandlingsperioden; sikkerhedspopulation, n=22) efterfulgt af et 96-ugers forlængelsesstudie (240 mg to gange dagligt; sikkerhedspopulation, n=20) viste sikkerhedsprofilen sig at svare til den, der var observeret for voksne patienter.</w:t>
      </w:r>
    </w:p>
    <w:p w14:paraId="1ED85C48" w14:textId="77777777" w:rsidR="00244D23" w:rsidRPr="00283C60" w:rsidRDefault="00244D23" w:rsidP="00393DF8">
      <w:pPr>
        <w:ind w:left="851"/>
        <w:rPr>
          <w:sz w:val="24"/>
          <w:szCs w:val="24"/>
        </w:rPr>
      </w:pPr>
    </w:p>
    <w:p w14:paraId="6D58FCBC" w14:textId="77777777" w:rsidR="00244D23" w:rsidRPr="00283C60" w:rsidRDefault="00244D23" w:rsidP="00393DF8">
      <w:pPr>
        <w:ind w:left="851"/>
        <w:rPr>
          <w:sz w:val="24"/>
          <w:szCs w:val="24"/>
          <w:u w:val="single"/>
        </w:rPr>
      </w:pPr>
      <w:r w:rsidRPr="00283C60">
        <w:rPr>
          <w:noProof/>
          <w:sz w:val="24"/>
          <w:szCs w:val="24"/>
          <w:u w:val="single"/>
        </w:rPr>
        <w:t>Indberetning af formodede bivirkninger</w:t>
      </w:r>
    </w:p>
    <w:p w14:paraId="09E4BC8D" w14:textId="77777777" w:rsidR="00244D23" w:rsidRPr="00283C60" w:rsidRDefault="00244D23" w:rsidP="00393DF8">
      <w:pPr>
        <w:ind w:left="851"/>
        <w:rPr>
          <w:noProof/>
          <w:sz w:val="24"/>
          <w:szCs w:val="24"/>
        </w:rPr>
      </w:pPr>
      <w:r w:rsidRPr="00283C60">
        <w:rPr>
          <w:noProof/>
          <w:sz w:val="24"/>
          <w:szCs w:val="24"/>
        </w:rPr>
        <w:t>Når lægemidlet er godkendt, er indberetning af formodede bivirkninger vigtig.</w:t>
      </w:r>
      <w:r w:rsidRPr="00283C60">
        <w:rPr>
          <w:sz w:val="24"/>
          <w:szCs w:val="24"/>
        </w:rPr>
        <w:t xml:space="preserve"> </w:t>
      </w:r>
      <w:r w:rsidRPr="00283C60">
        <w:rPr>
          <w:noProof/>
          <w:sz w:val="24"/>
          <w:szCs w:val="24"/>
        </w:rPr>
        <w:t>Det muliggør løbende overvågning af benefit/risk-forholdet for lægemidlet.</w:t>
      </w:r>
      <w:r w:rsidRPr="00283C60">
        <w:rPr>
          <w:sz w:val="24"/>
          <w:szCs w:val="24"/>
        </w:rPr>
        <w:t xml:space="preserve"> </w:t>
      </w:r>
      <w:r w:rsidRPr="00283C60">
        <w:rPr>
          <w:noProof/>
          <w:sz w:val="24"/>
          <w:szCs w:val="24"/>
        </w:rPr>
        <w:t xml:space="preserve">Sundhedspersoner anmodes om at indberette alle formodede bivirkninger via </w:t>
      </w:r>
    </w:p>
    <w:p w14:paraId="27221144" w14:textId="77777777" w:rsidR="00244D23" w:rsidRPr="00283C60" w:rsidRDefault="00244D23" w:rsidP="00393DF8">
      <w:pPr>
        <w:ind w:left="851"/>
        <w:rPr>
          <w:noProof/>
          <w:sz w:val="24"/>
          <w:szCs w:val="24"/>
        </w:rPr>
      </w:pPr>
    </w:p>
    <w:p w14:paraId="60FD1F57" w14:textId="77777777" w:rsidR="00244D23" w:rsidRPr="00283C60" w:rsidRDefault="00244D23" w:rsidP="00393DF8">
      <w:pPr>
        <w:ind w:left="851"/>
        <w:rPr>
          <w:noProof/>
          <w:color w:val="000000" w:themeColor="text1"/>
          <w:sz w:val="24"/>
          <w:szCs w:val="24"/>
        </w:rPr>
      </w:pPr>
      <w:r w:rsidRPr="00283C60">
        <w:rPr>
          <w:noProof/>
          <w:color w:val="000000" w:themeColor="text1"/>
          <w:sz w:val="24"/>
          <w:szCs w:val="24"/>
        </w:rPr>
        <w:t>Lægemiddelstyrelsen</w:t>
      </w:r>
    </w:p>
    <w:p w14:paraId="69A82AF0" w14:textId="77777777" w:rsidR="00244D23" w:rsidRPr="00283C60" w:rsidRDefault="00244D23" w:rsidP="00393DF8">
      <w:pPr>
        <w:ind w:left="851"/>
        <w:rPr>
          <w:noProof/>
          <w:color w:val="000000" w:themeColor="text1"/>
          <w:sz w:val="24"/>
          <w:szCs w:val="24"/>
          <w:lang w:eastAsia="fr-LU"/>
        </w:rPr>
      </w:pPr>
      <w:r w:rsidRPr="00283C60">
        <w:rPr>
          <w:noProof/>
          <w:color w:val="000000" w:themeColor="text1"/>
          <w:sz w:val="24"/>
          <w:szCs w:val="24"/>
        </w:rPr>
        <w:t>Axel Heides Gade 1</w:t>
      </w:r>
    </w:p>
    <w:p w14:paraId="73842D53" w14:textId="77777777" w:rsidR="00244D23" w:rsidRPr="00283C60" w:rsidRDefault="00244D23" w:rsidP="00393DF8">
      <w:pPr>
        <w:ind w:left="851"/>
        <w:rPr>
          <w:noProof/>
          <w:color w:val="000000" w:themeColor="text1"/>
          <w:sz w:val="24"/>
          <w:szCs w:val="24"/>
        </w:rPr>
      </w:pPr>
      <w:r w:rsidRPr="00283C60">
        <w:rPr>
          <w:noProof/>
          <w:color w:val="000000" w:themeColor="text1"/>
          <w:sz w:val="24"/>
          <w:szCs w:val="24"/>
        </w:rPr>
        <w:t>DK-2300 København S</w:t>
      </w:r>
    </w:p>
    <w:p w14:paraId="30CBB7D3" w14:textId="77777777" w:rsidR="00244D23" w:rsidRPr="00283C60" w:rsidRDefault="00244D23" w:rsidP="00393DF8">
      <w:pPr>
        <w:ind w:left="851"/>
        <w:rPr>
          <w:color w:val="000000" w:themeColor="text1"/>
          <w:sz w:val="24"/>
          <w:szCs w:val="24"/>
        </w:rPr>
      </w:pPr>
      <w:r w:rsidRPr="00283C60">
        <w:rPr>
          <w:noProof/>
          <w:color w:val="000000" w:themeColor="text1"/>
          <w:sz w:val="24"/>
          <w:szCs w:val="24"/>
        </w:rPr>
        <w:t xml:space="preserve">Websted: </w:t>
      </w:r>
      <w:hyperlink r:id="rId8" w:history="1">
        <w:r w:rsidRPr="00283C60">
          <w:rPr>
            <w:rStyle w:val="Hyperlink"/>
            <w:rFonts w:eastAsiaTheme="majorEastAsia"/>
            <w:sz w:val="24"/>
            <w:szCs w:val="24"/>
          </w:rPr>
          <w:t>www.meldenbivirkning.dk</w:t>
        </w:r>
      </w:hyperlink>
      <w:r w:rsidRPr="00283C60">
        <w:rPr>
          <w:color w:val="000000" w:themeColor="text1"/>
          <w:sz w:val="24"/>
          <w:szCs w:val="24"/>
        </w:rPr>
        <w:t xml:space="preserve"> </w:t>
      </w:r>
    </w:p>
    <w:p w14:paraId="13708D3A" w14:textId="77777777" w:rsidR="009260DE" w:rsidRPr="00283C60" w:rsidRDefault="009260DE" w:rsidP="00A10294">
      <w:pPr>
        <w:tabs>
          <w:tab w:val="left" w:pos="851"/>
        </w:tabs>
        <w:ind w:left="851"/>
        <w:rPr>
          <w:sz w:val="24"/>
          <w:szCs w:val="24"/>
        </w:rPr>
      </w:pPr>
    </w:p>
    <w:p w14:paraId="5FE6A9D5" w14:textId="77777777" w:rsidR="009260DE" w:rsidRPr="00283C60" w:rsidRDefault="009260DE" w:rsidP="009260DE">
      <w:pPr>
        <w:tabs>
          <w:tab w:val="left" w:pos="851"/>
        </w:tabs>
        <w:ind w:left="851" w:hanging="851"/>
        <w:rPr>
          <w:b/>
          <w:sz w:val="24"/>
          <w:szCs w:val="24"/>
        </w:rPr>
      </w:pPr>
      <w:r w:rsidRPr="00283C60">
        <w:rPr>
          <w:b/>
          <w:sz w:val="24"/>
          <w:szCs w:val="24"/>
        </w:rPr>
        <w:t>4.9</w:t>
      </w:r>
      <w:r w:rsidRPr="00283C60">
        <w:rPr>
          <w:b/>
          <w:sz w:val="24"/>
          <w:szCs w:val="24"/>
        </w:rPr>
        <w:tab/>
        <w:t>Overdosering</w:t>
      </w:r>
    </w:p>
    <w:p w14:paraId="1BE1E5E4" w14:textId="77777777" w:rsidR="00244D23" w:rsidRPr="00283C60" w:rsidRDefault="00244D23" w:rsidP="00393DF8">
      <w:pPr>
        <w:ind w:left="851"/>
        <w:rPr>
          <w:sz w:val="24"/>
          <w:szCs w:val="24"/>
        </w:rPr>
      </w:pPr>
      <w:r w:rsidRPr="00283C60">
        <w:rPr>
          <w:noProof/>
          <w:sz w:val="24"/>
          <w:szCs w:val="24"/>
        </w:rPr>
        <w:t>Der er rapporteret tilfælde af overdosering med dimethylfumarat. Symptomerne beskrevet i disse tilfælde var i overensstemmelse med den kendte bivirkningsprofil for dimethylfumarat. Der er ingen kendte terapeutiske interventioner, som forstærker elimineringen af dimethylfumarat, og der er heller ingen kendt antidot. I tilfælde af overdosering anbefales det, at symptomatisk, understøttende behandling indledes iht. de kliniske indikationer.</w:t>
      </w:r>
    </w:p>
    <w:p w14:paraId="50C671DD" w14:textId="77777777" w:rsidR="009260DE" w:rsidRPr="00283C60" w:rsidRDefault="009260DE" w:rsidP="009260DE">
      <w:pPr>
        <w:tabs>
          <w:tab w:val="left" w:pos="851"/>
        </w:tabs>
        <w:ind w:left="851"/>
        <w:rPr>
          <w:sz w:val="24"/>
          <w:szCs w:val="24"/>
        </w:rPr>
      </w:pPr>
    </w:p>
    <w:p w14:paraId="680B1096" w14:textId="77777777" w:rsidR="009260DE" w:rsidRPr="00283C60" w:rsidRDefault="009260DE" w:rsidP="009260DE">
      <w:pPr>
        <w:tabs>
          <w:tab w:val="left" w:pos="851"/>
        </w:tabs>
        <w:ind w:left="851" w:hanging="851"/>
        <w:rPr>
          <w:b/>
          <w:sz w:val="24"/>
          <w:szCs w:val="24"/>
        </w:rPr>
      </w:pPr>
      <w:r w:rsidRPr="00283C60">
        <w:rPr>
          <w:b/>
          <w:sz w:val="24"/>
          <w:szCs w:val="24"/>
        </w:rPr>
        <w:t>4.10</w:t>
      </w:r>
      <w:r w:rsidRPr="00283C60">
        <w:rPr>
          <w:b/>
          <w:sz w:val="24"/>
          <w:szCs w:val="24"/>
        </w:rPr>
        <w:tab/>
        <w:t>Udlevering</w:t>
      </w:r>
    </w:p>
    <w:p w14:paraId="73F8923D" w14:textId="77777777" w:rsidR="00393DF8" w:rsidRPr="00283C60" w:rsidRDefault="00393DF8" w:rsidP="00393DF8">
      <w:pPr>
        <w:tabs>
          <w:tab w:val="left" w:pos="851"/>
        </w:tabs>
        <w:ind w:left="851"/>
        <w:rPr>
          <w:sz w:val="24"/>
          <w:szCs w:val="24"/>
        </w:rPr>
      </w:pPr>
      <w:r w:rsidRPr="00283C60">
        <w:rPr>
          <w:sz w:val="24"/>
          <w:szCs w:val="24"/>
        </w:rPr>
        <w:t>BEGR (kun til sygehuse)</w:t>
      </w:r>
    </w:p>
    <w:p w14:paraId="04397C46" w14:textId="77777777" w:rsidR="009260DE" w:rsidRPr="00283C60" w:rsidRDefault="009260DE" w:rsidP="009260DE">
      <w:pPr>
        <w:tabs>
          <w:tab w:val="left" w:pos="851"/>
        </w:tabs>
        <w:ind w:left="851"/>
        <w:rPr>
          <w:sz w:val="24"/>
          <w:szCs w:val="24"/>
        </w:rPr>
      </w:pPr>
    </w:p>
    <w:p w14:paraId="2C614440" w14:textId="77777777" w:rsidR="009260DE" w:rsidRPr="00283C60" w:rsidRDefault="009260DE" w:rsidP="009260DE">
      <w:pPr>
        <w:tabs>
          <w:tab w:val="left" w:pos="851"/>
        </w:tabs>
        <w:ind w:left="851"/>
        <w:rPr>
          <w:sz w:val="24"/>
          <w:szCs w:val="24"/>
        </w:rPr>
      </w:pPr>
    </w:p>
    <w:p w14:paraId="2A841548" w14:textId="77777777" w:rsidR="009260DE" w:rsidRPr="00283C60" w:rsidRDefault="009260DE" w:rsidP="009260DE">
      <w:pPr>
        <w:tabs>
          <w:tab w:val="left" w:pos="851"/>
        </w:tabs>
        <w:ind w:left="851" w:hanging="851"/>
        <w:rPr>
          <w:b/>
          <w:sz w:val="24"/>
          <w:szCs w:val="24"/>
        </w:rPr>
      </w:pPr>
      <w:r w:rsidRPr="00283C60">
        <w:rPr>
          <w:b/>
          <w:sz w:val="24"/>
          <w:szCs w:val="24"/>
        </w:rPr>
        <w:t>5.</w:t>
      </w:r>
      <w:r w:rsidRPr="00283C60">
        <w:rPr>
          <w:b/>
          <w:sz w:val="24"/>
          <w:szCs w:val="24"/>
        </w:rPr>
        <w:tab/>
        <w:t>FARMAKOLOGISKE EGENSKABER</w:t>
      </w:r>
    </w:p>
    <w:p w14:paraId="28313051" w14:textId="77777777" w:rsidR="009260DE" w:rsidRPr="00283C60" w:rsidRDefault="009260DE" w:rsidP="009260DE">
      <w:pPr>
        <w:tabs>
          <w:tab w:val="left" w:pos="851"/>
        </w:tabs>
        <w:ind w:left="851"/>
        <w:rPr>
          <w:sz w:val="24"/>
          <w:szCs w:val="24"/>
        </w:rPr>
      </w:pPr>
    </w:p>
    <w:p w14:paraId="02176002" w14:textId="77777777" w:rsidR="009260DE" w:rsidRPr="00283C60" w:rsidRDefault="009260DE" w:rsidP="009260DE">
      <w:pPr>
        <w:tabs>
          <w:tab w:val="num" w:pos="851"/>
        </w:tabs>
        <w:ind w:left="851" w:hanging="851"/>
        <w:rPr>
          <w:b/>
          <w:sz w:val="24"/>
          <w:szCs w:val="24"/>
        </w:rPr>
      </w:pPr>
      <w:r w:rsidRPr="00283C60">
        <w:rPr>
          <w:b/>
          <w:sz w:val="24"/>
          <w:szCs w:val="24"/>
        </w:rPr>
        <w:t>5.1</w:t>
      </w:r>
      <w:r w:rsidRPr="00283C60">
        <w:rPr>
          <w:b/>
          <w:sz w:val="24"/>
          <w:szCs w:val="24"/>
        </w:rPr>
        <w:tab/>
      </w:r>
      <w:proofErr w:type="spellStart"/>
      <w:r w:rsidRPr="00283C60">
        <w:rPr>
          <w:b/>
          <w:sz w:val="24"/>
          <w:szCs w:val="24"/>
        </w:rPr>
        <w:t>Farmakodynamiske</w:t>
      </w:r>
      <w:proofErr w:type="spellEnd"/>
      <w:r w:rsidRPr="00283C60">
        <w:rPr>
          <w:b/>
          <w:sz w:val="24"/>
          <w:szCs w:val="24"/>
        </w:rPr>
        <w:t xml:space="preserve"> egenskaber</w:t>
      </w:r>
    </w:p>
    <w:p w14:paraId="3FE0D002" w14:textId="130BBFA1" w:rsidR="00244D23" w:rsidRPr="00283C60" w:rsidRDefault="00244D23" w:rsidP="00393DF8">
      <w:pPr>
        <w:ind w:left="851"/>
        <w:rPr>
          <w:sz w:val="24"/>
          <w:szCs w:val="24"/>
        </w:rPr>
      </w:pPr>
      <w:proofErr w:type="spellStart"/>
      <w:r w:rsidRPr="00283C60">
        <w:rPr>
          <w:sz w:val="24"/>
          <w:szCs w:val="24"/>
        </w:rPr>
        <w:t>Farmakoterapeutisk</w:t>
      </w:r>
      <w:proofErr w:type="spellEnd"/>
      <w:r w:rsidRPr="00283C60">
        <w:rPr>
          <w:sz w:val="24"/>
          <w:szCs w:val="24"/>
        </w:rPr>
        <w:t xml:space="preserve"> klassifikation:</w:t>
      </w:r>
      <w:r w:rsidRPr="00283C60">
        <w:rPr>
          <w:noProof/>
          <w:sz w:val="24"/>
          <w:szCs w:val="24"/>
        </w:rPr>
        <w:t xml:space="preserve"> Immunsuppresiva, andre immunsuppressiva</w:t>
      </w:r>
      <w:r w:rsidRPr="00283C60">
        <w:rPr>
          <w:sz w:val="24"/>
          <w:szCs w:val="24"/>
        </w:rPr>
        <w:t xml:space="preserve">, ATC-kode: </w:t>
      </w:r>
      <w:r w:rsidRPr="00283C60">
        <w:rPr>
          <w:noProof/>
          <w:sz w:val="24"/>
          <w:szCs w:val="24"/>
        </w:rPr>
        <w:t>L04AX07</w:t>
      </w:r>
    </w:p>
    <w:p w14:paraId="2E98A34F" w14:textId="77777777" w:rsidR="00244D23" w:rsidRPr="00283C60" w:rsidRDefault="00244D23" w:rsidP="00393DF8">
      <w:pPr>
        <w:ind w:left="851"/>
        <w:rPr>
          <w:sz w:val="24"/>
          <w:szCs w:val="24"/>
        </w:rPr>
      </w:pPr>
    </w:p>
    <w:p w14:paraId="30BDEB96" w14:textId="77777777" w:rsidR="00244D23" w:rsidRPr="00283C60" w:rsidRDefault="00244D23" w:rsidP="00393DF8">
      <w:pPr>
        <w:ind w:left="851"/>
        <w:rPr>
          <w:bCs/>
          <w:noProof/>
          <w:sz w:val="24"/>
          <w:szCs w:val="24"/>
        </w:rPr>
      </w:pPr>
      <w:r w:rsidRPr="00283C60">
        <w:rPr>
          <w:bCs/>
          <w:noProof/>
          <w:sz w:val="24"/>
          <w:szCs w:val="24"/>
          <w:u w:val="single"/>
        </w:rPr>
        <w:t>Virkningsmekanisme</w:t>
      </w:r>
    </w:p>
    <w:p w14:paraId="0103A3D3" w14:textId="77777777" w:rsidR="00244D23" w:rsidRPr="00283C60" w:rsidRDefault="00244D23" w:rsidP="00393DF8">
      <w:pPr>
        <w:ind w:left="851"/>
        <w:rPr>
          <w:noProof/>
          <w:sz w:val="24"/>
          <w:szCs w:val="24"/>
          <w:lang w:eastAsia="fr-LU"/>
        </w:rPr>
      </w:pPr>
      <w:r w:rsidRPr="00283C60">
        <w:rPr>
          <w:noProof/>
          <w:sz w:val="24"/>
          <w:szCs w:val="24"/>
        </w:rPr>
        <w:t>Den mekanisme, hvormed dimethylfumarat udøver en terapeutisk effekt ved multipel sklerose, er ikke til fulde klarlagt. Non-kliniske studier indikerer, at dimethylfumarats farmakodynamiske respons formentlig primært sker via aktivering af transskriptions</w:t>
      </w:r>
      <w:r w:rsidRPr="00283C60">
        <w:rPr>
          <w:noProof/>
          <w:sz w:val="24"/>
          <w:szCs w:val="24"/>
        </w:rPr>
        <w:softHyphen/>
        <w:t xml:space="preserve">faktorens Nuclear Factor (erythroid-derived 2)-Related Factor 2 (Nrf2) </w:t>
      </w:r>
      <w:r w:rsidRPr="00283C60">
        <w:rPr>
          <w:noProof/>
          <w:sz w:val="24"/>
          <w:szCs w:val="24"/>
        </w:rPr>
        <w:lastRenderedPageBreak/>
        <w:t>transskriptionsproces. Det er vist, at dimethylfumarat opregulerer Nrf2-afhængige antioxidantgener hos patienter (f.eks. NAD(P)H-dehydrogenase, quinon 1; [NQO1]).</w:t>
      </w:r>
    </w:p>
    <w:p w14:paraId="03B09053" w14:textId="77777777" w:rsidR="00244D23" w:rsidRPr="00283C60" w:rsidRDefault="00244D23" w:rsidP="00393DF8">
      <w:pPr>
        <w:ind w:left="851"/>
        <w:rPr>
          <w:sz w:val="24"/>
          <w:szCs w:val="24"/>
        </w:rPr>
      </w:pPr>
    </w:p>
    <w:p w14:paraId="279D7C3F" w14:textId="77777777" w:rsidR="00244D23" w:rsidRPr="00283C60" w:rsidRDefault="00244D23" w:rsidP="00393DF8">
      <w:pPr>
        <w:ind w:left="851"/>
        <w:rPr>
          <w:bCs/>
          <w:noProof/>
          <w:sz w:val="24"/>
          <w:szCs w:val="24"/>
          <w:u w:val="single"/>
        </w:rPr>
      </w:pPr>
      <w:r w:rsidRPr="00283C60">
        <w:rPr>
          <w:bCs/>
          <w:noProof/>
          <w:sz w:val="24"/>
          <w:szCs w:val="24"/>
          <w:u w:val="single"/>
        </w:rPr>
        <w:t>Farmakodynamisk virkning</w:t>
      </w:r>
    </w:p>
    <w:p w14:paraId="5FB455C8" w14:textId="77777777" w:rsidR="00244D23" w:rsidRPr="00283C60" w:rsidRDefault="00244D23" w:rsidP="00393DF8">
      <w:pPr>
        <w:ind w:left="851"/>
        <w:rPr>
          <w:i/>
          <w:iCs/>
          <w:noProof/>
          <w:sz w:val="24"/>
          <w:szCs w:val="24"/>
          <w:lang w:eastAsia="fr-LU"/>
        </w:rPr>
      </w:pPr>
      <w:r w:rsidRPr="00283C60">
        <w:rPr>
          <w:i/>
          <w:iCs/>
          <w:noProof/>
          <w:sz w:val="24"/>
          <w:szCs w:val="24"/>
        </w:rPr>
        <w:t>Virkninger på immunsystemet</w:t>
      </w:r>
    </w:p>
    <w:p w14:paraId="244BD2DB" w14:textId="77777777" w:rsidR="00244D23" w:rsidRPr="00283C60" w:rsidRDefault="00244D23" w:rsidP="00393DF8">
      <w:pPr>
        <w:ind w:left="851"/>
        <w:rPr>
          <w:noProof/>
          <w:sz w:val="24"/>
          <w:szCs w:val="24"/>
        </w:rPr>
      </w:pPr>
      <w:r w:rsidRPr="00283C60">
        <w:rPr>
          <w:noProof/>
          <w:sz w:val="24"/>
          <w:szCs w:val="24"/>
        </w:rPr>
        <w:t xml:space="preserve">I non-kliniske og kliniske studier udviste dimethylfumarat antiinflammatoriske og immunmodulerende egenskaber. I non-kliniske modeller reducerer dimethylfumarat og monomethylfumarat, den primære metabolit af dimethylfumarat, signifikant immuncelleaktiveringen og den efterfølgende frigivelse af pro-inflammatoriske cytokiner som respons på inflammatoriske stimuli. </w:t>
      </w:r>
    </w:p>
    <w:p w14:paraId="0BE4DAA7" w14:textId="77777777" w:rsidR="00244D23" w:rsidRPr="00283C60" w:rsidRDefault="00244D23" w:rsidP="00393DF8">
      <w:pPr>
        <w:ind w:left="851"/>
        <w:rPr>
          <w:noProof/>
          <w:sz w:val="24"/>
          <w:szCs w:val="24"/>
        </w:rPr>
      </w:pPr>
    </w:p>
    <w:p w14:paraId="65A4E9E5" w14:textId="77777777" w:rsidR="00244D23" w:rsidRPr="00283C60" w:rsidRDefault="00244D23" w:rsidP="00393DF8">
      <w:pPr>
        <w:ind w:left="851"/>
        <w:rPr>
          <w:noProof/>
          <w:sz w:val="24"/>
          <w:szCs w:val="24"/>
        </w:rPr>
      </w:pPr>
      <w:r w:rsidRPr="00283C60">
        <w:rPr>
          <w:noProof/>
          <w:sz w:val="24"/>
          <w:szCs w:val="24"/>
        </w:rPr>
        <w:t>I kliniske studier med psoriasis-patienter påvirkede dimethylfumarat lymfocytfænotyper via en nedregulering af pro-inflammatoriske cytokinprofiler (</w:t>
      </w:r>
      <w:r w:rsidRPr="00283C60">
        <w:rPr>
          <w:rFonts w:eastAsia="SimSun"/>
          <w:color w:val="000000"/>
          <w:sz w:val="24"/>
          <w:szCs w:val="24"/>
        </w:rPr>
        <w:t>T</w:t>
      </w:r>
      <w:r w:rsidRPr="00283C60">
        <w:rPr>
          <w:rFonts w:eastAsia="SimSun"/>
          <w:color w:val="000000"/>
          <w:sz w:val="24"/>
          <w:szCs w:val="24"/>
          <w:vertAlign w:val="subscript"/>
        </w:rPr>
        <w:t>H</w:t>
      </w:r>
      <w:r w:rsidRPr="00283C60">
        <w:rPr>
          <w:rFonts w:eastAsia="SimSun"/>
          <w:color w:val="000000"/>
          <w:sz w:val="24"/>
          <w:szCs w:val="24"/>
        </w:rPr>
        <w:t>1, TH17</w:t>
      </w:r>
      <w:r w:rsidRPr="00283C60">
        <w:rPr>
          <w:noProof/>
          <w:sz w:val="24"/>
          <w:szCs w:val="24"/>
        </w:rPr>
        <w:t>) og viste tendens til antiinflammatorisk produktion (</w:t>
      </w:r>
      <w:r w:rsidRPr="00283C60">
        <w:rPr>
          <w:rFonts w:eastAsia="SimSun"/>
          <w:color w:val="000000"/>
          <w:sz w:val="24"/>
          <w:szCs w:val="24"/>
        </w:rPr>
        <w:t>TH2</w:t>
      </w:r>
      <w:r w:rsidRPr="00283C60">
        <w:rPr>
          <w:noProof/>
          <w:sz w:val="24"/>
          <w:szCs w:val="24"/>
        </w:rPr>
        <w:t xml:space="preserve">). Dimethylfumarat demonstrerede terapeutisk aktivitet i flere modeller med inflammatoriske og neuroinflammatoriske skader. </w:t>
      </w:r>
    </w:p>
    <w:p w14:paraId="02ADDCFF" w14:textId="77777777" w:rsidR="00244D23" w:rsidRPr="00283C60" w:rsidRDefault="00244D23" w:rsidP="00393DF8">
      <w:pPr>
        <w:ind w:left="851"/>
        <w:rPr>
          <w:noProof/>
          <w:sz w:val="24"/>
          <w:szCs w:val="24"/>
        </w:rPr>
      </w:pPr>
      <w:r w:rsidRPr="00283C60">
        <w:rPr>
          <w:noProof/>
          <w:sz w:val="24"/>
          <w:szCs w:val="24"/>
        </w:rPr>
        <w:t xml:space="preserve">I fase 3-studier hos MS-patienter (DEFINE, CONFIRM og ENDORSE) faldt middel-lymfocyttallet i gennemsnit med cirka 30 % i forhold til </w:t>
      </w:r>
      <w:r w:rsidRPr="00283C60">
        <w:rPr>
          <w:i/>
          <w:noProof/>
          <w:sz w:val="24"/>
          <w:szCs w:val="24"/>
        </w:rPr>
        <w:t>baseline</w:t>
      </w:r>
      <w:r w:rsidRPr="00283C60">
        <w:rPr>
          <w:noProof/>
          <w:sz w:val="24"/>
          <w:szCs w:val="24"/>
        </w:rPr>
        <w:t>-værdien i løbet af det første år med dimethylfumarat-behandling med et efterfølgende plateau. I disse studier blev patienter, der seponerede dimethylfumarat-behandling med lymfocyttal under LLN (0,9 x 10</w:t>
      </w:r>
      <w:r w:rsidRPr="00283C60">
        <w:rPr>
          <w:noProof/>
          <w:sz w:val="24"/>
          <w:szCs w:val="24"/>
          <w:vertAlign w:val="superscript"/>
        </w:rPr>
        <w:t xml:space="preserve">9 </w:t>
      </w:r>
      <w:r w:rsidRPr="00283C60">
        <w:rPr>
          <w:noProof/>
          <w:sz w:val="24"/>
          <w:szCs w:val="24"/>
        </w:rPr>
        <w:t>celler/l), overvåget for normalisering af lymfocyttal til LLN.</w:t>
      </w:r>
    </w:p>
    <w:p w14:paraId="6303DE34" w14:textId="77777777" w:rsidR="00244D23" w:rsidRPr="00283C60" w:rsidRDefault="00244D23" w:rsidP="00393DF8">
      <w:pPr>
        <w:ind w:left="851"/>
        <w:rPr>
          <w:noProof/>
          <w:sz w:val="24"/>
          <w:szCs w:val="24"/>
        </w:rPr>
      </w:pPr>
    </w:p>
    <w:p w14:paraId="26705A3E" w14:textId="77777777" w:rsidR="00244D23" w:rsidRPr="00283C60" w:rsidRDefault="00244D23" w:rsidP="00393DF8">
      <w:pPr>
        <w:ind w:left="851"/>
        <w:rPr>
          <w:noProof/>
          <w:sz w:val="24"/>
          <w:szCs w:val="24"/>
        </w:rPr>
      </w:pPr>
      <w:r w:rsidRPr="00283C60">
        <w:rPr>
          <w:noProof/>
          <w:sz w:val="24"/>
          <w:szCs w:val="24"/>
        </w:rPr>
        <w:t xml:space="preserve">Figur 1 viser andelen af patienter, der er estimeret at nå LLN baseret på Kaplan-Meier metoden uden langvarig alvorlig lymfopeni. </w:t>
      </w:r>
      <w:r w:rsidRPr="00283C60">
        <w:rPr>
          <w:i/>
          <w:noProof/>
          <w:sz w:val="24"/>
          <w:szCs w:val="24"/>
        </w:rPr>
        <w:t>Baseline</w:t>
      </w:r>
      <w:r w:rsidRPr="00283C60">
        <w:rPr>
          <w:noProof/>
          <w:sz w:val="24"/>
          <w:szCs w:val="24"/>
        </w:rPr>
        <w:t xml:space="preserve"> for normalisering (recovery </w:t>
      </w:r>
      <w:r w:rsidRPr="00283C60">
        <w:rPr>
          <w:i/>
          <w:noProof/>
          <w:sz w:val="24"/>
          <w:szCs w:val="24"/>
        </w:rPr>
        <w:t>baseline</w:t>
      </w:r>
      <w:r w:rsidRPr="00283C60">
        <w:rPr>
          <w:noProof/>
          <w:sz w:val="24"/>
          <w:szCs w:val="24"/>
        </w:rPr>
        <w:t xml:space="preserve"> - RBL) blev defineret som den sidste ALC under behandling før seponering af dimethylfumarat. Den estimerede andel af patienter, der normaliserede til LLN (ALC ≥ 0,9 x 10</w:t>
      </w:r>
      <w:r w:rsidRPr="00283C60">
        <w:rPr>
          <w:noProof/>
          <w:sz w:val="24"/>
          <w:szCs w:val="24"/>
          <w:vertAlign w:val="superscript"/>
        </w:rPr>
        <w:t>9</w:t>
      </w:r>
      <w:r w:rsidRPr="00283C60">
        <w:rPr>
          <w:noProof/>
          <w:sz w:val="24"/>
          <w:szCs w:val="24"/>
        </w:rPr>
        <w:t>/l) i uge 12 og uge 24, som havde let, moderat eller alvorlig lymfopeni ved RBL, er vist i tabel 1, tabel 2 og tabel 3 med punktvise 95 % konfidensintervaller. Standardfejlen for Kaplan-Meier-estimatoren af overlevelsesfunktion er beregnet ved anvendelse af Greenwoods formel.</w:t>
      </w:r>
    </w:p>
    <w:p w14:paraId="3F42D5D7" w14:textId="77777777" w:rsidR="00244D23" w:rsidRPr="00283C60" w:rsidRDefault="00244D23" w:rsidP="00393DF8">
      <w:pPr>
        <w:ind w:left="851"/>
        <w:rPr>
          <w:noProof/>
          <w:sz w:val="24"/>
          <w:szCs w:val="24"/>
        </w:rPr>
      </w:pPr>
    </w:p>
    <w:p w14:paraId="0212605E" w14:textId="1A8B59CD" w:rsidR="00244D23" w:rsidRPr="00283C60" w:rsidRDefault="00244D23" w:rsidP="00857071">
      <w:pPr>
        <w:pStyle w:val="Billedtekst"/>
        <w:keepNext/>
        <w:rPr>
          <w:b/>
          <w:bCs/>
          <w:i w:val="0"/>
          <w:iCs w:val="0"/>
          <w:color w:val="auto"/>
          <w:sz w:val="24"/>
          <w:szCs w:val="24"/>
          <w:lang w:val="da-DK"/>
        </w:rPr>
      </w:pPr>
      <w:r w:rsidRPr="00283C60">
        <w:rPr>
          <w:b/>
          <w:bCs/>
          <w:i w:val="0"/>
          <w:iCs w:val="0"/>
          <w:color w:val="auto"/>
          <w:sz w:val="24"/>
          <w:szCs w:val="24"/>
          <w:lang w:val="da-DK"/>
        </w:rPr>
        <w:t xml:space="preserve">Figur </w:t>
      </w:r>
      <w:r w:rsidRPr="00283C60">
        <w:rPr>
          <w:b/>
          <w:bCs/>
          <w:i w:val="0"/>
          <w:iCs w:val="0"/>
          <w:color w:val="auto"/>
          <w:sz w:val="24"/>
          <w:szCs w:val="24"/>
          <w:lang w:val="da-DK"/>
        </w:rPr>
        <w:fldChar w:fldCharType="begin"/>
      </w:r>
      <w:r w:rsidRPr="00283C60">
        <w:rPr>
          <w:b/>
          <w:bCs/>
          <w:i w:val="0"/>
          <w:iCs w:val="0"/>
          <w:color w:val="auto"/>
          <w:sz w:val="24"/>
          <w:szCs w:val="24"/>
          <w:lang w:val="da-DK"/>
        </w:rPr>
        <w:instrText xml:space="preserve"> SEQ Figur \* ARABIC </w:instrText>
      </w:r>
      <w:r w:rsidRPr="00283C60">
        <w:rPr>
          <w:b/>
          <w:bCs/>
          <w:i w:val="0"/>
          <w:iCs w:val="0"/>
          <w:color w:val="auto"/>
          <w:sz w:val="24"/>
          <w:szCs w:val="24"/>
          <w:lang w:val="da-DK"/>
        </w:rPr>
        <w:fldChar w:fldCharType="separate"/>
      </w:r>
      <w:r w:rsidR="005172A5">
        <w:rPr>
          <w:b/>
          <w:bCs/>
          <w:i w:val="0"/>
          <w:iCs w:val="0"/>
          <w:noProof/>
          <w:color w:val="auto"/>
          <w:sz w:val="24"/>
          <w:szCs w:val="24"/>
          <w:lang w:val="da-DK"/>
        </w:rPr>
        <w:t>1</w:t>
      </w:r>
      <w:r w:rsidRPr="00283C60">
        <w:rPr>
          <w:b/>
          <w:bCs/>
          <w:i w:val="0"/>
          <w:iCs w:val="0"/>
          <w:color w:val="auto"/>
          <w:sz w:val="24"/>
          <w:szCs w:val="24"/>
          <w:lang w:val="da-DK"/>
        </w:rPr>
        <w:fldChar w:fldCharType="end"/>
      </w:r>
      <w:r w:rsidRPr="00283C60">
        <w:rPr>
          <w:b/>
          <w:bCs/>
          <w:i w:val="0"/>
          <w:iCs w:val="0"/>
          <w:color w:val="auto"/>
          <w:sz w:val="24"/>
          <w:szCs w:val="24"/>
          <w:lang w:val="da-DK"/>
        </w:rPr>
        <w:t>: Kaplan-Meier-metode. Andel af patienter med normalisering til ≥ 910 celler/mm</w:t>
      </w:r>
      <w:r w:rsidRPr="00283C60">
        <w:rPr>
          <w:b/>
          <w:bCs/>
          <w:i w:val="0"/>
          <w:iCs w:val="0"/>
          <w:color w:val="auto"/>
          <w:sz w:val="24"/>
          <w:szCs w:val="24"/>
          <w:vertAlign w:val="superscript"/>
          <w:lang w:val="da-DK"/>
        </w:rPr>
        <w:t>3</w:t>
      </w:r>
      <w:r w:rsidRPr="00283C60">
        <w:rPr>
          <w:b/>
          <w:bCs/>
          <w:i w:val="0"/>
          <w:iCs w:val="0"/>
          <w:color w:val="auto"/>
          <w:sz w:val="24"/>
          <w:szCs w:val="24"/>
          <w:lang w:val="da-DK"/>
        </w:rPr>
        <w:t xml:space="preserve"> (0,9 x 10</w:t>
      </w:r>
      <w:r w:rsidRPr="00283C60">
        <w:rPr>
          <w:b/>
          <w:bCs/>
          <w:i w:val="0"/>
          <w:iCs w:val="0"/>
          <w:color w:val="auto"/>
          <w:sz w:val="24"/>
          <w:szCs w:val="24"/>
          <w:vertAlign w:val="superscript"/>
          <w:lang w:val="da-DK"/>
        </w:rPr>
        <w:t>9</w:t>
      </w:r>
      <w:r w:rsidRPr="00283C60">
        <w:rPr>
          <w:b/>
          <w:bCs/>
          <w:i w:val="0"/>
          <w:iCs w:val="0"/>
          <w:color w:val="auto"/>
          <w:sz w:val="24"/>
          <w:szCs w:val="24"/>
          <w:lang w:val="da-DK"/>
        </w:rPr>
        <w:t xml:space="preserve">/l) LLN fra </w:t>
      </w:r>
      <w:r w:rsidRPr="00283C60">
        <w:rPr>
          <w:b/>
          <w:bCs/>
          <w:iCs w:val="0"/>
          <w:color w:val="auto"/>
          <w:sz w:val="24"/>
          <w:szCs w:val="24"/>
          <w:lang w:val="da-DK"/>
        </w:rPr>
        <w:t>baseline</w:t>
      </w:r>
      <w:r w:rsidRPr="00283C60">
        <w:rPr>
          <w:b/>
          <w:bCs/>
          <w:i w:val="0"/>
          <w:iCs w:val="0"/>
          <w:color w:val="auto"/>
          <w:sz w:val="24"/>
          <w:szCs w:val="24"/>
          <w:lang w:val="da-DK"/>
        </w:rPr>
        <w:t xml:space="preserve"> for normalisering (RBL)</w:t>
      </w:r>
    </w:p>
    <w:p w14:paraId="16079FA9" w14:textId="33A0D32C" w:rsidR="00244D23" w:rsidRPr="00283C60" w:rsidRDefault="00244D23" w:rsidP="00857071">
      <w:pPr>
        <w:keepNext/>
        <w:suppressAutoHyphens/>
        <w:rPr>
          <w:b/>
          <w:sz w:val="24"/>
          <w:szCs w:val="24"/>
        </w:rPr>
      </w:pPr>
      <w:r w:rsidRPr="00283C60">
        <w:rPr>
          <w:noProof/>
          <w:sz w:val="24"/>
          <w:szCs w:val="24"/>
        </w:rPr>
        <w:drawing>
          <wp:inline distT="0" distB="0" distL="0" distR="0" wp14:anchorId="7578B5F5" wp14:editId="4B4510C3">
            <wp:extent cx="6423660" cy="2895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3660" cy="2895600"/>
                    </a:xfrm>
                    <a:prstGeom prst="rect">
                      <a:avLst/>
                    </a:prstGeom>
                    <a:noFill/>
                    <a:ln>
                      <a:noFill/>
                    </a:ln>
                  </pic:spPr>
                </pic:pic>
              </a:graphicData>
            </a:graphic>
          </wp:inline>
        </w:drawing>
      </w:r>
    </w:p>
    <w:p w14:paraId="3D84E200" w14:textId="77777777" w:rsidR="00244D23" w:rsidRPr="00283C60" w:rsidRDefault="00244D23" w:rsidP="00244D23">
      <w:pPr>
        <w:suppressAutoHyphens/>
        <w:ind w:left="567" w:hanging="567"/>
        <w:rPr>
          <w:b/>
          <w:sz w:val="24"/>
          <w:szCs w:val="24"/>
        </w:rPr>
      </w:pPr>
    </w:p>
    <w:p w14:paraId="2DDEEF0C" w14:textId="77777777" w:rsidR="00244D23" w:rsidRPr="00283C60" w:rsidRDefault="00244D23" w:rsidP="00393DF8">
      <w:pPr>
        <w:autoSpaceDE w:val="0"/>
        <w:autoSpaceDN w:val="0"/>
        <w:adjustRightInd w:val="0"/>
        <w:ind w:left="851"/>
        <w:rPr>
          <w:noProof/>
          <w:sz w:val="24"/>
          <w:szCs w:val="24"/>
        </w:rPr>
      </w:pPr>
      <w:r w:rsidRPr="00283C60">
        <w:rPr>
          <w:noProof/>
          <w:sz w:val="24"/>
          <w:szCs w:val="24"/>
        </w:rPr>
        <w:lastRenderedPageBreak/>
        <w:t>Bemærk: 500 celler/mm³, 800 celler/mm³ og 910 celler/mm³ svarer til henholdsvis 0,5 x 10⁹/l, 0,8 x 10⁹/l og 0,9 x 10⁹/l.</w:t>
      </w:r>
    </w:p>
    <w:p w14:paraId="5C85590E" w14:textId="77777777" w:rsidR="00244D23" w:rsidRPr="00283C60" w:rsidRDefault="00244D23" w:rsidP="00244D23">
      <w:pPr>
        <w:autoSpaceDE w:val="0"/>
        <w:autoSpaceDN w:val="0"/>
        <w:adjustRightInd w:val="0"/>
        <w:rPr>
          <w:b/>
          <w:bCs/>
          <w:noProof/>
          <w:sz w:val="24"/>
          <w:szCs w:val="24"/>
        </w:rPr>
      </w:pPr>
    </w:p>
    <w:p w14:paraId="02B642AF" w14:textId="77777777" w:rsidR="00244D23" w:rsidRPr="00283C60" w:rsidRDefault="00244D23" w:rsidP="00244D23">
      <w:pPr>
        <w:autoSpaceDE w:val="0"/>
        <w:autoSpaceDN w:val="0"/>
        <w:adjustRightInd w:val="0"/>
        <w:rPr>
          <w:b/>
          <w:bCs/>
          <w:noProof/>
          <w:sz w:val="24"/>
          <w:szCs w:val="24"/>
        </w:rPr>
      </w:pPr>
      <w:r w:rsidRPr="00283C60">
        <w:rPr>
          <w:b/>
          <w:bCs/>
          <w:noProof/>
          <w:sz w:val="24"/>
          <w:szCs w:val="24"/>
        </w:rPr>
        <w:t xml:space="preserve">Tabel 1: Kaplan-Meier-metode; Andel af patienter estimeret til at nå LLN, letlymfopeni ved </w:t>
      </w:r>
      <w:r w:rsidRPr="00283C60">
        <w:rPr>
          <w:b/>
          <w:bCs/>
          <w:i/>
          <w:noProof/>
          <w:sz w:val="24"/>
          <w:szCs w:val="24"/>
        </w:rPr>
        <w:t>baseline</w:t>
      </w:r>
      <w:r w:rsidRPr="00283C60">
        <w:rPr>
          <w:b/>
          <w:bCs/>
          <w:noProof/>
          <w:sz w:val="24"/>
          <w:szCs w:val="24"/>
        </w:rPr>
        <w:t xml:space="preserve"> for normalisering (RBL), eksklusive patienter med langvarig alvorlig lymfopeni</w:t>
      </w:r>
    </w:p>
    <w:p w14:paraId="2528E9D3" w14:textId="77777777" w:rsidR="00244D23" w:rsidRPr="00283C60" w:rsidRDefault="00244D23" w:rsidP="00244D23">
      <w:pPr>
        <w:autoSpaceDE w:val="0"/>
        <w:autoSpaceDN w:val="0"/>
        <w:adjustRightInd w:val="0"/>
        <w:rPr>
          <w:noProof/>
          <w:sz w:val="24"/>
          <w:szCs w:val="24"/>
          <w:lang w:eastAsia="fr-L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3"/>
        <w:gridCol w:w="1356"/>
        <w:gridCol w:w="1641"/>
        <w:gridCol w:w="1968"/>
      </w:tblGrid>
      <w:tr w:rsidR="00244D23" w:rsidRPr="00283C60" w14:paraId="4CFE5EE7" w14:textId="77777777" w:rsidTr="00393DF8">
        <w:trPr>
          <w:trHeight w:val="505"/>
        </w:trPr>
        <w:tc>
          <w:tcPr>
            <w:tcW w:w="24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9F0A9D" w14:textId="77777777" w:rsidR="00244D23" w:rsidRPr="00283C60" w:rsidRDefault="00244D23">
            <w:pPr>
              <w:autoSpaceDE w:val="0"/>
              <w:autoSpaceDN w:val="0"/>
              <w:adjustRightInd w:val="0"/>
              <w:spacing w:line="256" w:lineRule="auto"/>
              <w:rPr>
                <w:rFonts w:eastAsia="SimSun"/>
                <w:b/>
                <w:color w:val="000000"/>
                <w:kern w:val="2"/>
                <w:sz w:val="24"/>
                <w:szCs w:val="24"/>
                <w14:ligatures w14:val="standardContextual"/>
              </w:rPr>
            </w:pPr>
            <w:r w:rsidRPr="00283C60">
              <w:rPr>
                <w:b/>
                <w:bCs/>
                <w:noProof/>
                <w:kern w:val="2"/>
                <w:sz w:val="24"/>
                <w:szCs w:val="24"/>
                <w14:ligatures w14:val="standardContextual"/>
              </w:rPr>
              <w:t>Antal patienter med let lymfopeni</w:t>
            </w:r>
            <w:r w:rsidRPr="00283C60">
              <w:rPr>
                <w:b/>
                <w:bCs/>
                <w:noProof/>
                <w:kern w:val="2"/>
                <w:sz w:val="24"/>
                <w:szCs w:val="24"/>
                <w:vertAlign w:val="superscript"/>
                <w14:ligatures w14:val="standardContextual"/>
              </w:rPr>
              <w:t>a</w:t>
            </w:r>
            <w:r w:rsidRPr="00283C60">
              <w:rPr>
                <w:b/>
                <w:bCs/>
                <w:noProof/>
                <w:kern w:val="2"/>
                <w:sz w:val="24"/>
                <w:szCs w:val="24"/>
                <w14:ligatures w14:val="standardContextual"/>
              </w:rPr>
              <w:t xml:space="preserve"> i risiko</w:t>
            </w:r>
          </w:p>
        </w:tc>
        <w:tc>
          <w:tcPr>
            <w:tcW w:w="7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966F40A"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i/>
                <w:color w:val="000000"/>
                <w:kern w:val="2"/>
                <w:sz w:val="24"/>
                <w:szCs w:val="24"/>
                <w14:ligatures w14:val="standardContextual"/>
              </w:rPr>
              <w:t xml:space="preserve">Baseline </w:t>
            </w:r>
            <w:r w:rsidRPr="00283C60">
              <w:rPr>
                <w:rFonts w:eastAsia="SimSun"/>
                <w:b/>
                <w:color w:val="000000"/>
                <w:kern w:val="2"/>
                <w:sz w:val="24"/>
                <w:szCs w:val="24"/>
                <w14:ligatures w14:val="standardContextual"/>
              </w:rPr>
              <w:t>N=86</w:t>
            </w:r>
          </w:p>
        </w:tc>
        <w:tc>
          <w:tcPr>
            <w:tcW w:w="8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ACF6A8"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Uge 12</w:t>
            </w:r>
          </w:p>
          <w:p w14:paraId="3F7F4866"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N=12</w:t>
            </w:r>
          </w:p>
        </w:tc>
        <w:tc>
          <w:tcPr>
            <w:tcW w:w="1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10941D5"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Uge 24</w:t>
            </w:r>
          </w:p>
          <w:p w14:paraId="2B2F3483"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N=4</w:t>
            </w:r>
          </w:p>
        </w:tc>
      </w:tr>
      <w:tr w:rsidR="00244D23" w:rsidRPr="00283C60" w14:paraId="55DE2763" w14:textId="77777777" w:rsidTr="00393DF8">
        <w:trPr>
          <w:trHeight w:val="504"/>
        </w:trPr>
        <w:tc>
          <w:tcPr>
            <w:tcW w:w="2422" w:type="pct"/>
            <w:tcBorders>
              <w:top w:val="single" w:sz="4" w:space="0" w:color="000000"/>
              <w:left w:val="single" w:sz="4" w:space="0" w:color="000000"/>
              <w:bottom w:val="single" w:sz="4" w:space="0" w:color="000000"/>
              <w:right w:val="single" w:sz="4" w:space="0" w:color="000000"/>
            </w:tcBorders>
            <w:hideMark/>
          </w:tcPr>
          <w:p w14:paraId="558BB189" w14:textId="77777777" w:rsidR="00244D23" w:rsidRPr="00283C60" w:rsidRDefault="00244D23">
            <w:pPr>
              <w:autoSpaceDE w:val="0"/>
              <w:autoSpaceDN w:val="0"/>
              <w:adjustRightInd w:val="0"/>
              <w:spacing w:line="256" w:lineRule="auto"/>
              <w:rPr>
                <w:noProof/>
                <w:kern w:val="2"/>
                <w:sz w:val="24"/>
                <w:szCs w:val="24"/>
                <w14:ligatures w14:val="standardContextual"/>
              </w:rPr>
            </w:pPr>
            <w:r w:rsidRPr="00283C60">
              <w:rPr>
                <w:noProof/>
                <w:kern w:val="2"/>
                <w:sz w:val="24"/>
                <w:szCs w:val="24"/>
                <w14:ligatures w14:val="standardContextual"/>
              </w:rPr>
              <w:t>Andel, der når</w:t>
            </w:r>
          </w:p>
          <w:p w14:paraId="6B26CB01"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noProof/>
                <w:kern w:val="2"/>
                <w:sz w:val="24"/>
                <w:szCs w:val="24"/>
                <w14:ligatures w14:val="standardContextual"/>
              </w:rPr>
              <w:t>LLN (95 % KI)</w:t>
            </w:r>
          </w:p>
        </w:tc>
        <w:tc>
          <w:tcPr>
            <w:tcW w:w="704" w:type="pct"/>
            <w:tcBorders>
              <w:top w:val="single" w:sz="4" w:space="0" w:color="000000"/>
              <w:left w:val="single" w:sz="4" w:space="0" w:color="000000"/>
              <w:bottom w:val="single" w:sz="4" w:space="0" w:color="000000"/>
              <w:right w:val="single" w:sz="4" w:space="0" w:color="000000"/>
            </w:tcBorders>
          </w:tcPr>
          <w:p w14:paraId="4A46D754"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p>
        </w:tc>
        <w:tc>
          <w:tcPr>
            <w:tcW w:w="852" w:type="pct"/>
            <w:tcBorders>
              <w:top w:val="single" w:sz="4" w:space="0" w:color="000000"/>
              <w:left w:val="single" w:sz="4" w:space="0" w:color="000000"/>
              <w:bottom w:val="single" w:sz="4" w:space="0" w:color="000000"/>
              <w:right w:val="single" w:sz="4" w:space="0" w:color="000000"/>
            </w:tcBorders>
            <w:hideMark/>
          </w:tcPr>
          <w:p w14:paraId="1ABF95FF" w14:textId="77777777" w:rsidR="00244D23" w:rsidRPr="00283C60" w:rsidRDefault="00244D23">
            <w:pPr>
              <w:autoSpaceDE w:val="0"/>
              <w:autoSpaceDN w:val="0"/>
              <w:adjustRightInd w:val="0"/>
              <w:spacing w:line="256" w:lineRule="auto"/>
              <w:jc w:val="center"/>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0,81</w:t>
            </w:r>
          </w:p>
          <w:p w14:paraId="42EA215E" w14:textId="77777777" w:rsidR="00244D23" w:rsidRPr="00283C60" w:rsidRDefault="00244D23">
            <w:pPr>
              <w:autoSpaceDE w:val="0"/>
              <w:autoSpaceDN w:val="0"/>
              <w:adjustRightInd w:val="0"/>
              <w:spacing w:line="256" w:lineRule="auto"/>
              <w:jc w:val="center"/>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(0,71; 0,89)</w:t>
            </w:r>
          </w:p>
        </w:tc>
        <w:tc>
          <w:tcPr>
            <w:tcW w:w="1022" w:type="pct"/>
            <w:tcBorders>
              <w:top w:val="single" w:sz="4" w:space="0" w:color="000000"/>
              <w:left w:val="single" w:sz="4" w:space="0" w:color="000000"/>
              <w:bottom w:val="single" w:sz="4" w:space="0" w:color="000000"/>
              <w:right w:val="single" w:sz="4" w:space="0" w:color="000000"/>
            </w:tcBorders>
            <w:hideMark/>
          </w:tcPr>
          <w:p w14:paraId="2B0EE2CC" w14:textId="77777777" w:rsidR="00244D23" w:rsidRPr="00283C60" w:rsidRDefault="00244D23">
            <w:pPr>
              <w:autoSpaceDE w:val="0"/>
              <w:autoSpaceDN w:val="0"/>
              <w:adjustRightInd w:val="0"/>
              <w:spacing w:line="256" w:lineRule="auto"/>
              <w:jc w:val="center"/>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0,90</w:t>
            </w:r>
          </w:p>
          <w:p w14:paraId="751F892B" w14:textId="77777777" w:rsidR="00244D23" w:rsidRPr="00283C60" w:rsidRDefault="00244D23">
            <w:pPr>
              <w:autoSpaceDE w:val="0"/>
              <w:autoSpaceDN w:val="0"/>
              <w:adjustRightInd w:val="0"/>
              <w:spacing w:line="256" w:lineRule="auto"/>
              <w:jc w:val="center"/>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(0,81; 0,96)</w:t>
            </w:r>
          </w:p>
        </w:tc>
      </w:tr>
    </w:tbl>
    <w:p w14:paraId="4699E90A" w14:textId="77777777" w:rsidR="00244D23" w:rsidRPr="00283C60" w:rsidRDefault="00244D23" w:rsidP="00244D23">
      <w:pPr>
        <w:autoSpaceDE w:val="0"/>
        <w:autoSpaceDN w:val="0"/>
        <w:adjustRightInd w:val="0"/>
        <w:rPr>
          <w:noProof/>
          <w:sz w:val="20"/>
        </w:rPr>
      </w:pPr>
      <w:r w:rsidRPr="00283C60">
        <w:rPr>
          <w:noProof/>
          <w:sz w:val="20"/>
          <w:vertAlign w:val="superscript"/>
        </w:rPr>
        <w:t>a</w:t>
      </w:r>
      <w:r w:rsidRPr="00283C60">
        <w:rPr>
          <w:noProof/>
          <w:sz w:val="20"/>
        </w:rPr>
        <w:t xml:space="preserve"> Patienter med ALC &lt; 0,9 x 10⁹/l og ≥ 0,8 x 10⁹/l ved RBL, eksklusive patienter med langvarig alvorlig lymfopeni.</w:t>
      </w:r>
    </w:p>
    <w:p w14:paraId="198E09F0" w14:textId="77777777" w:rsidR="00244D23" w:rsidRPr="00283C60" w:rsidRDefault="00244D23" w:rsidP="00244D23">
      <w:pPr>
        <w:suppressAutoHyphens/>
        <w:ind w:left="567" w:hanging="567"/>
        <w:rPr>
          <w:b/>
          <w:sz w:val="24"/>
          <w:szCs w:val="24"/>
          <w:lang w:eastAsia="fr-LU"/>
        </w:rPr>
      </w:pPr>
    </w:p>
    <w:p w14:paraId="792005D7" w14:textId="77777777" w:rsidR="00244D23" w:rsidRPr="00283C60" w:rsidRDefault="00244D23" w:rsidP="00244D23">
      <w:pPr>
        <w:autoSpaceDE w:val="0"/>
        <w:autoSpaceDN w:val="0"/>
        <w:adjustRightInd w:val="0"/>
        <w:rPr>
          <w:b/>
          <w:bCs/>
          <w:noProof/>
          <w:sz w:val="24"/>
          <w:szCs w:val="24"/>
        </w:rPr>
      </w:pPr>
      <w:r w:rsidRPr="00283C60">
        <w:rPr>
          <w:b/>
          <w:bCs/>
          <w:noProof/>
          <w:sz w:val="24"/>
          <w:szCs w:val="24"/>
        </w:rPr>
        <w:t xml:space="preserve">Tabel 2: Kaplan-Meier-metode; Andel af patienter estimeret til at nå LLN, moderat lymfopeni ved </w:t>
      </w:r>
      <w:r w:rsidRPr="00283C60">
        <w:rPr>
          <w:b/>
          <w:bCs/>
          <w:i/>
          <w:noProof/>
          <w:sz w:val="24"/>
          <w:szCs w:val="24"/>
        </w:rPr>
        <w:t>baseline</w:t>
      </w:r>
      <w:r w:rsidRPr="00283C60">
        <w:rPr>
          <w:b/>
          <w:bCs/>
          <w:noProof/>
          <w:sz w:val="24"/>
          <w:szCs w:val="24"/>
        </w:rPr>
        <w:t xml:space="preserve"> for normalisering (RBL), eksklusive patienter med langvarig alvorlig lymfopeni</w:t>
      </w:r>
    </w:p>
    <w:p w14:paraId="5C8CF826" w14:textId="77777777" w:rsidR="00244D23" w:rsidRPr="00283C60" w:rsidRDefault="00244D23" w:rsidP="00244D23">
      <w:pPr>
        <w:autoSpaceDE w:val="0"/>
        <w:autoSpaceDN w:val="0"/>
        <w:adjustRightInd w:val="0"/>
        <w:rPr>
          <w:b/>
          <w:bCs/>
          <w:noProof/>
          <w:sz w:val="24"/>
          <w:szCs w:val="24"/>
          <w:lang w:eastAsia="fr-L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64"/>
        <w:gridCol w:w="1028"/>
        <w:gridCol w:w="1968"/>
        <w:gridCol w:w="1968"/>
      </w:tblGrid>
      <w:tr w:rsidR="00244D23" w:rsidRPr="00283C60" w14:paraId="41B5E8C5" w14:textId="77777777" w:rsidTr="00393DF8">
        <w:trPr>
          <w:trHeight w:val="506"/>
        </w:trPr>
        <w:tc>
          <w:tcPr>
            <w:tcW w:w="24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718AB23" w14:textId="77777777" w:rsidR="00244D23" w:rsidRPr="00283C60" w:rsidRDefault="00244D23">
            <w:pPr>
              <w:autoSpaceDE w:val="0"/>
              <w:autoSpaceDN w:val="0"/>
              <w:adjustRightInd w:val="0"/>
              <w:spacing w:line="256" w:lineRule="auto"/>
              <w:rPr>
                <w:rFonts w:eastAsia="SimSun"/>
                <w:b/>
                <w:color w:val="000000"/>
                <w:kern w:val="2"/>
                <w:sz w:val="24"/>
                <w:szCs w:val="24"/>
                <w14:ligatures w14:val="standardContextual"/>
              </w:rPr>
            </w:pPr>
            <w:r w:rsidRPr="00283C60">
              <w:rPr>
                <w:b/>
                <w:bCs/>
                <w:noProof/>
                <w:kern w:val="2"/>
                <w:sz w:val="24"/>
                <w:szCs w:val="24"/>
                <w14:ligatures w14:val="standardContextual"/>
              </w:rPr>
              <w:t>Antal patienter med moderat lymfopeni</w:t>
            </w:r>
            <w:r w:rsidRPr="00283C60">
              <w:rPr>
                <w:b/>
                <w:bCs/>
                <w:noProof/>
                <w:kern w:val="2"/>
                <w:sz w:val="24"/>
                <w:szCs w:val="24"/>
                <w:vertAlign w:val="superscript"/>
                <w14:ligatures w14:val="standardContextual"/>
              </w:rPr>
              <w:t>a</w:t>
            </w:r>
            <w:r w:rsidRPr="00283C60">
              <w:rPr>
                <w:b/>
                <w:bCs/>
                <w:noProof/>
                <w:kern w:val="2"/>
                <w:sz w:val="24"/>
                <w:szCs w:val="24"/>
                <w14:ligatures w14:val="standardContextual"/>
              </w:rPr>
              <w:t xml:space="preserve"> i risiko</w:t>
            </w:r>
          </w:p>
        </w:tc>
        <w:tc>
          <w:tcPr>
            <w:tcW w:w="53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6A35AD" w14:textId="77777777" w:rsidR="00244D23" w:rsidRPr="00283C60" w:rsidRDefault="00244D23">
            <w:pPr>
              <w:autoSpaceDE w:val="0"/>
              <w:autoSpaceDN w:val="0"/>
              <w:adjustRightInd w:val="0"/>
              <w:spacing w:line="256" w:lineRule="auto"/>
              <w:jc w:val="center"/>
              <w:rPr>
                <w:rFonts w:eastAsia="SimSun"/>
                <w:b/>
                <w:i/>
                <w:color w:val="000000"/>
                <w:kern w:val="2"/>
                <w:sz w:val="24"/>
                <w:szCs w:val="24"/>
                <w14:ligatures w14:val="standardContextual"/>
              </w:rPr>
            </w:pPr>
            <w:r w:rsidRPr="00283C60">
              <w:rPr>
                <w:rFonts w:eastAsia="SimSun"/>
                <w:b/>
                <w:i/>
                <w:color w:val="000000"/>
                <w:kern w:val="2"/>
                <w:sz w:val="24"/>
                <w:szCs w:val="24"/>
                <w14:ligatures w14:val="standardContextual"/>
              </w:rPr>
              <w:t>Baseline</w:t>
            </w:r>
          </w:p>
          <w:p w14:paraId="1D9A377E"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N=124</w:t>
            </w:r>
          </w:p>
        </w:tc>
        <w:tc>
          <w:tcPr>
            <w:tcW w:w="1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04FAA2D"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Uge 12</w:t>
            </w:r>
          </w:p>
          <w:p w14:paraId="4B404C2D"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N=33</w:t>
            </w:r>
          </w:p>
        </w:tc>
        <w:tc>
          <w:tcPr>
            <w:tcW w:w="1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CB72D4A"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Uge 24</w:t>
            </w:r>
          </w:p>
          <w:p w14:paraId="1A517303"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N=17</w:t>
            </w:r>
          </w:p>
        </w:tc>
      </w:tr>
      <w:tr w:rsidR="00244D23" w:rsidRPr="00283C60" w14:paraId="19831435" w14:textId="77777777" w:rsidTr="00393DF8">
        <w:trPr>
          <w:trHeight w:val="503"/>
        </w:trPr>
        <w:tc>
          <w:tcPr>
            <w:tcW w:w="2422" w:type="pct"/>
            <w:tcBorders>
              <w:top w:val="single" w:sz="4" w:space="0" w:color="000000"/>
              <w:left w:val="single" w:sz="4" w:space="0" w:color="000000"/>
              <w:bottom w:val="single" w:sz="4" w:space="0" w:color="000000"/>
              <w:right w:val="single" w:sz="4" w:space="0" w:color="000000"/>
            </w:tcBorders>
            <w:hideMark/>
          </w:tcPr>
          <w:p w14:paraId="7AAFAD9F" w14:textId="77777777" w:rsidR="00244D23" w:rsidRPr="00283C60" w:rsidRDefault="00244D23">
            <w:pPr>
              <w:autoSpaceDE w:val="0"/>
              <w:autoSpaceDN w:val="0"/>
              <w:adjustRightInd w:val="0"/>
              <w:spacing w:line="256" w:lineRule="auto"/>
              <w:rPr>
                <w:noProof/>
                <w:kern w:val="2"/>
                <w:sz w:val="24"/>
                <w:szCs w:val="24"/>
                <w14:ligatures w14:val="standardContextual"/>
              </w:rPr>
            </w:pPr>
            <w:r w:rsidRPr="00283C60">
              <w:rPr>
                <w:noProof/>
                <w:kern w:val="2"/>
                <w:sz w:val="24"/>
                <w:szCs w:val="24"/>
                <w14:ligatures w14:val="standardContextual"/>
              </w:rPr>
              <w:t>Andel, der når</w:t>
            </w:r>
          </w:p>
          <w:p w14:paraId="40A4A7B8"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noProof/>
                <w:kern w:val="2"/>
                <w:sz w:val="24"/>
                <w:szCs w:val="24"/>
                <w14:ligatures w14:val="standardContextual"/>
              </w:rPr>
              <w:t>LLN (95 % KI)</w:t>
            </w:r>
          </w:p>
        </w:tc>
        <w:tc>
          <w:tcPr>
            <w:tcW w:w="534" w:type="pct"/>
            <w:tcBorders>
              <w:top w:val="single" w:sz="4" w:space="0" w:color="000000"/>
              <w:left w:val="single" w:sz="4" w:space="0" w:color="000000"/>
              <w:bottom w:val="single" w:sz="4" w:space="0" w:color="000000"/>
              <w:right w:val="single" w:sz="4" w:space="0" w:color="000000"/>
            </w:tcBorders>
          </w:tcPr>
          <w:p w14:paraId="07C31A89"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p>
        </w:tc>
        <w:tc>
          <w:tcPr>
            <w:tcW w:w="1022" w:type="pct"/>
            <w:tcBorders>
              <w:top w:val="single" w:sz="4" w:space="0" w:color="000000"/>
              <w:left w:val="single" w:sz="4" w:space="0" w:color="000000"/>
              <w:bottom w:val="single" w:sz="4" w:space="0" w:color="000000"/>
              <w:right w:val="single" w:sz="4" w:space="0" w:color="000000"/>
            </w:tcBorders>
            <w:hideMark/>
          </w:tcPr>
          <w:p w14:paraId="62DDA154"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0, 57</w:t>
            </w:r>
          </w:p>
          <w:p w14:paraId="6B83101E"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(0,46; 0,67)</w:t>
            </w:r>
          </w:p>
        </w:tc>
        <w:tc>
          <w:tcPr>
            <w:tcW w:w="1022" w:type="pct"/>
            <w:tcBorders>
              <w:top w:val="single" w:sz="4" w:space="0" w:color="000000"/>
              <w:left w:val="single" w:sz="4" w:space="0" w:color="000000"/>
              <w:bottom w:val="single" w:sz="4" w:space="0" w:color="000000"/>
              <w:right w:val="single" w:sz="4" w:space="0" w:color="000000"/>
            </w:tcBorders>
            <w:hideMark/>
          </w:tcPr>
          <w:p w14:paraId="1E0E51BA"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0,70</w:t>
            </w:r>
          </w:p>
          <w:p w14:paraId="266205BE"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(0,60; 0,80)</w:t>
            </w:r>
          </w:p>
        </w:tc>
      </w:tr>
    </w:tbl>
    <w:p w14:paraId="54AAE1FC" w14:textId="77777777" w:rsidR="00244D23" w:rsidRPr="00283C60" w:rsidRDefault="00244D23" w:rsidP="00244D23">
      <w:pPr>
        <w:autoSpaceDE w:val="0"/>
        <w:autoSpaceDN w:val="0"/>
        <w:adjustRightInd w:val="0"/>
        <w:rPr>
          <w:noProof/>
          <w:sz w:val="20"/>
        </w:rPr>
      </w:pPr>
      <w:r w:rsidRPr="00283C60">
        <w:rPr>
          <w:noProof/>
          <w:sz w:val="20"/>
          <w:vertAlign w:val="superscript"/>
        </w:rPr>
        <w:t>a</w:t>
      </w:r>
      <w:r w:rsidRPr="00283C60">
        <w:rPr>
          <w:noProof/>
          <w:sz w:val="20"/>
        </w:rPr>
        <w:t xml:space="preserve"> Patienter med ALC &lt; 0,8 x 10⁹/l og ≥ 0,5 x 10⁹/l ved RBL, eksklusive patienter med langvarig alvorlig lymfopeni.</w:t>
      </w:r>
    </w:p>
    <w:p w14:paraId="3AAC6B3F" w14:textId="77777777" w:rsidR="00244D23" w:rsidRPr="00283C60" w:rsidRDefault="00244D23" w:rsidP="00244D23">
      <w:pPr>
        <w:autoSpaceDE w:val="0"/>
        <w:autoSpaceDN w:val="0"/>
        <w:adjustRightInd w:val="0"/>
        <w:rPr>
          <w:noProof/>
          <w:sz w:val="24"/>
          <w:szCs w:val="24"/>
          <w:lang w:eastAsia="fr-LU"/>
        </w:rPr>
      </w:pPr>
    </w:p>
    <w:p w14:paraId="039B1C8B" w14:textId="77777777" w:rsidR="00244D23" w:rsidRPr="00283C60" w:rsidRDefault="00244D23" w:rsidP="00244D23">
      <w:pPr>
        <w:autoSpaceDE w:val="0"/>
        <w:autoSpaceDN w:val="0"/>
        <w:adjustRightInd w:val="0"/>
        <w:rPr>
          <w:b/>
          <w:bCs/>
          <w:noProof/>
          <w:sz w:val="24"/>
          <w:szCs w:val="24"/>
        </w:rPr>
      </w:pPr>
      <w:r w:rsidRPr="00283C60">
        <w:rPr>
          <w:b/>
          <w:bCs/>
          <w:noProof/>
          <w:sz w:val="24"/>
          <w:szCs w:val="24"/>
        </w:rPr>
        <w:t xml:space="preserve">Tabel 3: Kaplan-Meier-metode; Andel af patienter estimeret til at nå LLN, alvorlig lymfopeni ved </w:t>
      </w:r>
      <w:r w:rsidRPr="00283C60">
        <w:rPr>
          <w:b/>
          <w:bCs/>
          <w:i/>
          <w:noProof/>
          <w:sz w:val="24"/>
          <w:szCs w:val="24"/>
        </w:rPr>
        <w:t>baseline</w:t>
      </w:r>
      <w:r w:rsidRPr="00283C60">
        <w:rPr>
          <w:b/>
          <w:bCs/>
          <w:noProof/>
          <w:sz w:val="24"/>
          <w:szCs w:val="24"/>
        </w:rPr>
        <w:t xml:space="preserve"> for normalisering (RBL), eksklusive patienter med langvarig alvorlig lymfopeni</w:t>
      </w:r>
    </w:p>
    <w:p w14:paraId="70A2AD00" w14:textId="77777777" w:rsidR="00244D23" w:rsidRPr="00283C60" w:rsidRDefault="00244D23" w:rsidP="00244D23">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244D23" w:rsidRPr="00283C60" w14:paraId="696AA12E" w14:textId="77777777" w:rsidTr="00393DF8">
        <w:trPr>
          <w:trHeight w:val="505"/>
        </w:trPr>
        <w:tc>
          <w:tcPr>
            <w:tcW w:w="19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D3D528" w14:textId="77777777" w:rsidR="00244D23" w:rsidRPr="00283C60" w:rsidRDefault="00244D23">
            <w:pPr>
              <w:autoSpaceDE w:val="0"/>
              <w:autoSpaceDN w:val="0"/>
              <w:adjustRightInd w:val="0"/>
              <w:spacing w:line="256" w:lineRule="auto"/>
              <w:rPr>
                <w:rFonts w:eastAsia="SimSun"/>
                <w:b/>
                <w:bCs/>
                <w:color w:val="000000"/>
                <w:kern w:val="2"/>
                <w:sz w:val="24"/>
                <w:szCs w:val="24"/>
                <w14:ligatures w14:val="standardContextual"/>
              </w:rPr>
            </w:pPr>
            <w:r w:rsidRPr="00283C60">
              <w:rPr>
                <w:b/>
                <w:bCs/>
                <w:noProof/>
                <w:kern w:val="2"/>
                <w:sz w:val="24"/>
                <w:szCs w:val="24"/>
                <w14:ligatures w14:val="standardContextual"/>
              </w:rPr>
              <w:t>Antal patienter med alvorlig lymfopeni</w:t>
            </w:r>
            <w:r w:rsidRPr="00283C60">
              <w:rPr>
                <w:b/>
                <w:bCs/>
                <w:noProof/>
                <w:kern w:val="2"/>
                <w:sz w:val="24"/>
                <w:szCs w:val="24"/>
                <w:vertAlign w:val="superscript"/>
                <w14:ligatures w14:val="standardContextual"/>
              </w:rPr>
              <w:t>a</w:t>
            </w:r>
            <w:r w:rsidRPr="00283C60">
              <w:rPr>
                <w:b/>
                <w:bCs/>
                <w:noProof/>
                <w:kern w:val="2"/>
                <w:sz w:val="24"/>
                <w:szCs w:val="24"/>
                <w14:ligatures w14:val="standardContextual"/>
              </w:rPr>
              <w:t xml:space="preserve"> i risiko</w:t>
            </w:r>
          </w:p>
        </w:tc>
        <w:tc>
          <w:tcPr>
            <w:tcW w:w="10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8A5389E" w14:textId="77777777" w:rsidR="00244D23" w:rsidRPr="00283C60" w:rsidRDefault="00244D23">
            <w:pPr>
              <w:autoSpaceDE w:val="0"/>
              <w:autoSpaceDN w:val="0"/>
              <w:adjustRightInd w:val="0"/>
              <w:spacing w:line="256" w:lineRule="auto"/>
              <w:jc w:val="center"/>
              <w:rPr>
                <w:rFonts w:eastAsia="SimSun"/>
                <w:b/>
                <w:i/>
                <w:color w:val="000000"/>
                <w:kern w:val="2"/>
                <w:sz w:val="24"/>
                <w:szCs w:val="24"/>
                <w14:ligatures w14:val="standardContextual"/>
              </w:rPr>
            </w:pPr>
            <w:r w:rsidRPr="00283C60">
              <w:rPr>
                <w:rFonts w:eastAsia="SimSun"/>
                <w:b/>
                <w:i/>
                <w:color w:val="000000"/>
                <w:kern w:val="2"/>
                <w:sz w:val="24"/>
                <w:szCs w:val="24"/>
                <w14:ligatures w14:val="standardContextual"/>
              </w:rPr>
              <w:t>Baseline</w:t>
            </w:r>
          </w:p>
          <w:p w14:paraId="757A0479"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N=18</w:t>
            </w:r>
          </w:p>
        </w:tc>
        <w:tc>
          <w:tcPr>
            <w:tcW w:w="1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50A988E"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Uge 12</w:t>
            </w:r>
          </w:p>
          <w:p w14:paraId="628B7080"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N=6</w:t>
            </w:r>
          </w:p>
        </w:tc>
        <w:tc>
          <w:tcPr>
            <w:tcW w:w="1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67D471"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Uge 24</w:t>
            </w:r>
          </w:p>
          <w:p w14:paraId="1C4DA2C8" w14:textId="77777777" w:rsidR="00244D23" w:rsidRPr="00283C60" w:rsidRDefault="00244D23">
            <w:pPr>
              <w:autoSpaceDE w:val="0"/>
              <w:autoSpaceDN w:val="0"/>
              <w:adjustRightInd w:val="0"/>
              <w:spacing w:line="256" w:lineRule="auto"/>
              <w:jc w:val="center"/>
              <w:rPr>
                <w:rFonts w:eastAsia="SimSun"/>
                <w:b/>
                <w:color w:val="000000"/>
                <w:kern w:val="2"/>
                <w:sz w:val="24"/>
                <w:szCs w:val="24"/>
                <w14:ligatures w14:val="standardContextual"/>
              </w:rPr>
            </w:pPr>
            <w:r w:rsidRPr="00283C60">
              <w:rPr>
                <w:rFonts w:eastAsia="SimSun"/>
                <w:b/>
                <w:color w:val="000000"/>
                <w:kern w:val="2"/>
                <w:sz w:val="24"/>
                <w:szCs w:val="24"/>
                <w14:ligatures w14:val="standardContextual"/>
              </w:rPr>
              <w:t>N=4</w:t>
            </w:r>
          </w:p>
        </w:tc>
      </w:tr>
      <w:tr w:rsidR="00244D23" w:rsidRPr="00283C60" w14:paraId="3CA8B431" w14:textId="77777777" w:rsidTr="00393DF8">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3AB64956" w14:textId="77777777" w:rsidR="00244D23" w:rsidRPr="00283C60" w:rsidRDefault="00244D23">
            <w:pPr>
              <w:autoSpaceDE w:val="0"/>
              <w:autoSpaceDN w:val="0"/>
              <w:adjustRightInd w:val="0"/>
              <w:spacing w:line="256" w:lineRule="auto"/>
              <w:rPr>
                <w:noProof/>
                <w:kern w:val="2"/>
                <w:sz w:val="24"/>
                <w:szCs w:val="24"/>
                <w14:ligatures w14:val="standardContextual"/>
              </w:rPr>
            </w:pPr>
            <w:r w:rsidRPr="00283C60">
              <w:rPr>
                <w:noProof/>
                <w:kern w:val="2"/>
                <w:sz w:val="24"/>
                <w:szCs w:val="24"/>
                <w14:ligatures w14:val="standardContextual"/>
              </w:rPr>
              <w:t>Andel, der når</w:t>
            </w:r>
          </w:p>
          <w:p w14:paraId="7E284A18"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noProof/>
                <w:kern w:val="2"/>
                <w:sz w:val="24"/>
                <w:szCs w:val="24"/>
                <w14:ligatures w14:val="standardContextual"/>
              </w:rPr>
              <w:t>LLN (95 % KI)</w:t>
            </w:r>
          </w:p>
        </w:tc>
        <w:tc>
          <w:tcPr>
            <w:tcW w:w="1021" w:type="pct"/>
            <w:tcBorders>
              <w:top w:val="single" w:sz="4" w:space="0" w:color="000000"/>
              <w:left w:val="single" w:sz="4" w:space="0" w:color="000000"/>
              <w:bottom w:val="single" w:sz="4" w:space="0" w:color="000000"/>
              <w:right w:val="single" w:sz="4" w:space="0" w:color="000000"/>
            </w:tcBorders>
          </w:tcPr>
          <w:p w14:paraId="6AAF8376"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p>
        </w:tc>
        <w:tc>
          <w:tcPr>
            <w:tcW w:w="1022" w:type="pct"/>
            <w:tcBorders>
              <w:top w:val="single" w:sz="4" w:space="0" w:color="000000"/>
              <w:left w:val="single" w:sz="4" w:space="0" w:color="000000"/>
              <w:bottom w:val="single" w:sz="4" w:space="0" w:color="000000"/>
              <w:right w:val="single" w:sz="4" w:space="0" w:color="000000"/>
            </w:tcBorders>
            <w:hideMark/>
          </w:tcPr>
          <w:p w14:paraId="6A5332BC"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0,43</w:t>
            </w:r>
          </w:p>
          <w:p w14:paraId="14CE5394"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(0,20; 0,75)</w:t>
            </w:r>
          </w:p>
        </w:tc>
        <w:tc>
          <w:tcPr>
            <w:tcW w:w="1022" w:type="pct"/>
            <w:tcBorders>
              <w:top w:val="single" w:sz="4" w:space="0" w:color="000000"/>
              <w:left w:val="single" w:sz="4" w:space="0" w:color="000000"/>
              <w:bottom w:val="single" w:sz="4" w:space="0" w:color="000000"/>
              <w:right w:val="single" w:sz="4" w:space="0" w:color="000000"/>
            </w:tcBorders>
            <w:hideMark/>
          </w:tcPr>
          <w:p w14:paraId="4A692337"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0,62</w:t>
            </w:r>
          </w:p>
          <w:p w14:paraId="3E78D5A3" w14:textId="77777777" w:rsidR="00244D23" w:rsidRPr="00283C60" w:rsidRDefault="00244D23">
            <w:pPr>
              <w:autoSpaceDE w:val="0"/>
              <w:autoSpaceDN w:val="0"/>
              <w:adjustRightInd w:val="0"/>
              <w:spacing w:line="256" w:lineRule="auto"/>
              <w:rPr>
                <w:rFonts w:eastAsia="SimSun"/>
                <w:color w:val="000000"/>
                <w:kern w:val="2"/>
                <w:sz w:val="24"/>
                <w:szCs w:val="24"/>
                <w14:ligatures w14:val="standardContextual"/>
              </w:rPr>
            </w:pPr>
            <w:r w:rsidRPr="00283C60">
              <w:rPr>
                <w:rFonts w:eastAsia="SimSun"/>
                <w:color w:val="000000"/>
                <w:kern w:val="2"/>
                <w:sz w:val="24"/>
                <w:szCs w:val="24"/>
                <w14:ligatures w14:val="standardContextual"/>
              </w:rPr>
              <w:t>(0,35; 0,88)</w:t>
            </w:r>
          </w:p>
        </w:tc>
      </w:tr>
    </w:tbl>
    <w:p w14:paraId="2F159DCF" w14:textId="77777777" w:rsidR="00244D23" w:rsidRPr="00283C60" w:rsidRDefault="00244D23" w:rsidP="00244D23">
      <w:pPr>
        <w:autoSpaceDE w:val="0"/>
        <w:autoSpaceDN w:val="0"/>
        <w:adjustRightInd w:val="0"/>
        <w:rPr>
          <w:noProof/>
          <w:sz w:val="20"/>
          <w:lang w:eastAsia="fr-LU"/>
        </w:rPr>
      </w:pPr>
      <w:r w:rsidRPr="00283C60">
        <w:rPr>
          <w:noProof/>
          <w:sz w:val="20"/>
          <w:vertAlign w:val="superscript"/>
        </w:rPr>
        <w:t>a</w:t>
      </w:r>
      <w:r w:rsidRPr="00283C60">
        <w:rPr>
          <w:noProof/>
          <w:sz w:val="20"/>
        </w:rPr>
        <w:t xml:space="preserve"> Patienter med ALC &lt; 0,5 x 10⁹/l ved RBL, eksklusive patienter med langvarig alvorlig lymfopeni.</w:t>
      </w:r>
    </w:p>
    <w:p w14:paraId="6B53D827" w14:textId="77777777" w:rsidR="00244D23" w:rsidRPr="00283C60" w:rsidRDefault="00244D23" w:rsidP="00244D23">
      <w:pPr>
        <w:autoSpaceDE w:val="0"/>
        <w:autoSpaceDN w:val="0"/>
        <w:adjustRightInd w:val="0"/>
        <w:rPr>
          <w:noProof/>
          <w:sz w:val="24"/>
          <w:szCs w:val="24"/>
        </w:rPr>
      </w:pPr>
    </w:p>
    <w:p w14:paraId="0A9834BA" w14:textId="77777777" w:rsidR="00244D23" w:rsidRPr="00283C60" w:rsidRDefault="00244D23" w:rsidP="00393DF8">
      <w:pPr>
        <w:ind w:left="851"/>
        <w:rPr>
          <w:noProof/>
          <w:sz w:val="24"/>
          <w:szCs w:val="24"/>
          <w:u w:val="single"/>
        </w:rPr>
      </w:pPr>
      <w:r w:rsidRPr="00283C60">
        <w:rPr>
          <w:noProof/>
          <w:sz w:val="24"/>
          <w:szCs w:val="24"/>
          <w:u w:val="single"/>
        </w:rPr>
        <w:t>Klinisk virkning og sikkerhed</w:t>
      </w:r>
    </w:p>
    <w:p w14:paraId="0C2B6E0F" w14:textId="284DAD1C" w:rsidR="00244D23" w:rsidRPr="00283C60" w:rsidRDefault="00244D23" w:rsidP="00393DF8">
      <w:pPr>
        <w:ind w:left="851"/>
        <w:rPr>
          <w:noProof/>
          <w:sz w:val="24"/>
          <w:szCs w:val="24"/>
          <w:lang w:eastAsia="fr-LU"/>
        </w:rPr>
      </w:pPr>
      <w:r w:rsidRPr="00283C60">
        <w:rPr>
          <w:noProof/>
          <w:sz w:val="24"/>
          <w:szCs w:val="24"/>
        </w:rPr>
        <w:t>Der blev udført to 2-års randomiserede, dobbeltblinde, placebokontrollerede studier (DEFINE med 1.234 patienter og CONFIRM med 1.417 patienter) med patienter med RRMS. Patienter med progressiv multipel sklerose deltog ikke i disse studier</w:t>
      </w:r>
      <w:r w:rsidR="00857071" w:rsidRPr="00283C60">
        <w:rPr>
          <w:noProof/>
          <w:sz w:val="24"/>
          <w:szCs w:val="24"/>
        </w:rPr>
        <w:t>.</w:t>
      </w:r>
    </w:p>
    <w:p w14:paraId="7929E88C" w14:textId="77777777" w:rsidR="00244D23" w:rsidRPr="00283C60" w:rsidRDefault="00244D23" w:rsidP="00393DF8">
      <w:pPr>
        <w:ind w:left="851"/>
        <w:rPr>
          <w:noProof/>
          <w:sz w:val="24"/>
          <w:szCs w:val="24"/>
        </w:rPr>
      </w:pPr>
    </w:p>
    <w:p w14:paraId="57CB3E6A" w14:textId="77777777" w:rsidR="00244D23" w:rsidRPr="00283C60" w:rsidRDefault="00244D23" w:rsidP="00393DF8">
      <w:pPr>
        <w:ind w:left="851"/>
        <w:rPr>
          <w:noProof/>
          <w:sz w:val="24"/>
          <w:szCs w:val="24"/>
        </w:rPr>
      </w:pPr>
      <w:r w:rsidRPr="00283C60">
        <w:rPr>
          <w:noProof/>
          <w:sz w:val="24"/>
          <w:szCs w:val="24"/>
        </w:rPr>
        <w:t xml:space="preserve">Virkningen (se tabellen nedenfor) og sikkerheden blev demonstreret hos patienter med scorer på den udvidede skala over invaliditetsstatus </w:t>
      </w:r>
      <w:r w:rsidRPr="00283C60">
        <w:rPr>
          <w:i/>
          <w:noProof/>
          <w:sz w:val="24"/>
          <w:szCs w:val="24"/>
        </w:rPr>
        <w:t xml:space="preserve">Expanded Disability Status Scale </w:t>
      </w:r>
      <w:r w:rsidRPr="00283C60">
        <w:rPr>
          <w:noProof/>
          <w:sz w:val="24"/>
          <w:szCs w:val="24"/>
        </w:rPr>
        <w:t>(EDSS) på mellem 0 og 5, begge inklusive, som havde oplevet mindst 1 attak i året inden randomiseringen, eller som inden for 6 uger før randomiseringen fik foretaget en MR-scanning af hjernen, der viste mindst én gadolinium-forstærket (Gd+) læsion. Studiet</w:t>
      </w:r>
      <w:r w:rsidRPr="00283C60">
        <w:rPr>
          <w:sz w:val="24"/>
          <w:szCs w:val="24"/>
        </w:rPr>
        <w:t xml:space="preserve"> </w:t>
      </w:r>
      <w:r w:rsidRPr="00283C60">
        <w:rPr>
          <w:noProof/>
          <w:sz w:val="24"/>
          <w:szCs w:val="24"/>
        </w:rPr>
        <w:t>CONFIRM inkluderede glatirameracetat som undersøgelsesblindet (dvs. at den studieansvarlige læge/investigatoren, der vurderede responsen på studiebehandlingen, var blindet) referencekomparator.</w:t>
      </w:r>
    </w:p>
    <w:p w14:paraId="2B265694" w14:textId="77777777" w:rsidR="00244D23" w:rsidRPr="00283C60" w:rsidRDefault="00244D23" w:rsidP="00393DF8">
      <w:pPr>
        <w:ind w:left="851"/>
        <w:rPr>
          <w:noProof/>
          <w:sz w:val="24"/>
          <w:szCs w:val="24"/>
        </w:rPr>
      </w:pPr>
    </w:p>
    <w:p w14:paraId="78D43F15" w14:textId="77777777" w:rsidR="00244D23" w:rsidRPr="00283C60" w:rsidRDefault="00244D23" w:rsidP="00393DF8">
      <w:pPr>
        <w:ind w:left="851"/>
        <w:rPr>
          <w:noProof/>
          <w:sz w:val="24"/>
          <w:szCs w:val="24"/>
          <w:lang w:eastAsia="fr-LU"/>
        </w:rPr>
      </w:pPr>
      <w:r w:rsidRPr="00283C60">
        <w:rPr>
          <w:noProof/>
          <w:sz w:val="24"/>
          <w:szCs w:val="24"/>
        </w:rPr>
        <w:t xml:space="preserve">I DEFINE havde patienterne følgende mediane </w:t>
      </w:r>
      <w:r w:rsidRPr="00283C60">
        <w:rPr>
          <w:i/>
          <w:noProof/>
          <w:sz w:val="24"/>
          <w:szCs w:val="24"/>
        </w:rPr>
        <w:t>baseline</w:t>
      </w:r>
      <w:r w:rsidRPr="00283C60">
        <w:rPr>
          <w:noProof/>
          <w:sz w:val="24"/>
          <w:szCs w:val="24"/>
        </w:rPr>
        <w:t xml:space="preserve">-værdier: Alder 39 år, sygdomsvarighed 7,0 år, EDSS-score 2,0. Yderligere havde 16 % af patienterne en EDSS-score &gt; 3,5, 28 % havde haft ≥ 2 attakker i det forudgående år, og 42 % havde tidligere fået anden godkendt behandling for MS. I MR-kohorten havde 36 % af patienterne gadolinium-forstærkede (Gd+) læsioner ved </w:t>
      </w:r>
      <w:r w:rsidRPr="00283C60">
        <w:rPr>
          <w:i/>
          <w:noProof/>
          <w:sz w:val="24"/>
          <w:szCs w:val="24"/>
        </w:rPr>
        <w:t>baseline</w:t>
      </w:r>
      <w:r w:rsidRPr="00283C60">
        <w:rPr>
          <w:noProof/>
          <w:sz w:val="24"/>
          <w:szCs w:val="24"/>
        </w:rPr>
        <w:t xml:space="preserve"> (gennemsnitligt antal Gd+ læsioner 1,4).</w:t>
      </w:r>
    </w:p>
    <w:p w14:paraId="0185083C" w14:textId="77777777" w:rsidR="00244D23" w:rsidRPr="00283C60" w:rsidRDefault="00244D23" w:rsidP="00393DF8">
      <w:pPr>
        <w:ind w:left="851"/>
        <w:rPr>
          <w:noProof/>
          <w:sz w:val="24"/>
          <w:szCs w:val="24"/>
        </w:rPr>
      </w:pPr>
    </w:p>
    <w:p w14:paraId="6799A628" w14:textId="77777777" w:rsidR="00244D23" w:rsidRPr="00283C60" w:rsidRDefault="00244D23" w:rsidP="00393DF8">
      <w:pPr>
        <w:ind w:left="851"/>
        <w:rPr>
          <w:noProof/>
          <w:sz w:val="24"/>
          <w:szCs w:val="24"/>
          <w:lang w:eastAsia="fr-LU"/>
        </w:rPr>
      </w:pPr>
      <w:r w:rsidRPr="00283C60">
        <w:rPr>
          <w:noProof/>
          <w:sz w:val="24"/>
          <w:szCs w:val="24"/>
        </w:rPr>
        <w:lastRenderedPageBreak/>
        <w:t xml:space="preserve">I CONFIRM havde patienterne følgende mediane </w:t>
      </w:r>
      <w:r w:rsidRPr="00283C60">
        <w:rPr>
          <w:i/>
          <w:noProof/>
          <w:sz w:val="24"/>
          <w:szCs w:val="24"/>
        </w:rPr>
        <w:t>baseline</w:t>
      </w:r>
      <w:r w:rsidRPr="00283C60">
        <w:rPr>
          <w:noProof/>
          <w:sz w:val="24"/>
          <w:szCs w:val="24"/>
        </w:rPr>
        <w:t xml:space="preserve">-værdier: Alder 37 år, sygdomsvarighed 6,0 år, EDSS-score 2,5. Yderligere havde 17 % af patienterne en EDSS-score &gt; 3,5, 32 % havde haft ≥2 attakker i det forudgående år, og 30 % havde tidligere fået anden godkendt behandling for MS. I MR-kohorten havde 45 % af patienterne gadolinium-forstærkede (Gd+) læsioner ved </w:t>
      </w:r>
      <w:r w:rsidRPr="00283C60">
        <w:rPr>
          <w:i/>
          <w:noProof/>
          <w:sz w:val="24"/>
          <w:szCs w:val="24"/>
        </w:rPr>
        <w:t xml:space="preserve">baseline </w:t>
      </w:r>
      <w:r w:rsidRPr="00283C60">
        <w:rPr>
          <w:noProof/>
          <w:sz w:val="24"/>
          <w:szCs w:val="24"/>
        </w:rPr>
        <w:t>(gennemsnitligt antal Gd+ læsioner 2,4).</w:t>
      </w:r>
    </w:p>
    <w:p w14:paraId="0C884DDD" w14:textId="77777777" w:rsidR="00244D23" w:rsidRPr="00283C60" w:rsidRDefault="00244D23" w:rsidP="00393DF8">
      <w:pPr>
        <w:ind w:left="851"/>
        <w:rPr>
          <w:noProof/>
          <w:sz w:val="24"/>
          <w:szCs w:val="24"/>
        </w:rPr>
      </w:pPr>
    </w:p>
    <w:p w14:paraId="641FC37E" w14:textId="77777777" w:rsidR="00244D23" w:rsidRPr="00283C60" w:rsidRDefault="00244D23" w:rsidP="00393DF8">
      <w:pPr>
        <w:ind w:left="851"/>
        <w:rPr>
          <w:noProof/>
          <w:sz w:val="24"/>
          <w:szCs w:val="24"/>
        </w:rPr>
      </w:pPr>
      <w:r w:rsidRPr="00283C60">
        <w:rPr>
          <w:noProof/>
          <w:sz w:val="24"/>
          <w:szCs w:val="24"/>
        </w:rPr>
        <w:t>Sammenlignet med placebo havde patienter behandlet med dimethylfumarat en klinisk relevant og statistisk signifikant reduktion i det primære endepunkt i studiet DEFINE (andel patienter med attakker efter 2 år) og i det primære endepunkt i studiet CONFIRM (årlig attakrate (</w:t>
      </w:r>
      <w:r w:rsidRPr="00283C60">
        <w:rPr>
          <w:i/>
          <w:noProof/>
          <w:sz w:val="24"/>
          <w:szCs w:val="24"/>
        </w:rPr>
        <w:t xml:space="preserve">annualised relapse rate </w:t>
      </w:r>
      <w:r w:rsidRPr="00283C60">
        <w:rPr>
          <w:noProof/>
          <w:sz w:val="24"/>
          <w:szCs w:val="24"/>
        </w:rPr>
        <w:t>- ARR) efter 2 år).</w:t>
      </w:r>
    </w:p>
    <w:p w14:paraId="319B990F" w14:textId="77777777" w:rsidR="00244D23" w:rsidRPr="00283C60" w:rsidRDefault="00244D23" w:rsidP="00393DF8">
      <w:pPr>
        <w:ind w:left="851"/>
        <w:rPr>
          <w:noProof/>
          <w:sz w:val="24"/>
          <w:szCs w:val="24"/>
        </w:rPr>
      </w:pPr>
    </w:p>
    <w:p w14:paraId="394B9796" w14:textId="77777777" w:rsidR="00244D23" w:rsidRPr="00283C60" w:rsidRDefault="00244D23" w:rsidP="00244D23">
      <w:pPr>
        <w:rPr>
          <w:b/>
          <w:bCs/>
          <w:noProof/>
          <w:sz w:val="24"/>
          <w:szCs w:val="24"/>
          <w:lang w:eastAsia="fr-LU"/>
        </w:rPr>
      </w:pPr>
      <w:r w:rsidRPr="00283C60">
        <w:rPr>
          <w:b/>
          <w:bCs/>
          <w:noProof/>
          <w:sz w:val="24"/>
          <w:szCs w:val="24"/>
        </w:rPr>
        <w:t>Tabel 4: Kliniske- og MR-endepunkter for studierne DEFINE og CONFIRM</w:t>
      </w:r>
    </w:p>
    <w:p w14:paraId="240325BE" w14:textId="77777777" w:rsidR="00244D23" w:rsidRPr="00283C60" w:rsidRDefault="00244D23" w:rsidP="00244D23">
      <w:pPr>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6"/>
        <w:gridCol w:w="959"/>
        <w:gridCol w:w="1585"/>
        <w:gridCol w:w="959"/>
        <w:gridCol w:w="1579"/>
        <w:gridCol w:w="2010"/>
      </w:tblGrid>
      <w:tr w:rsidR="00244D23" w:rsidRPr="00283C60" w14:paraId="0BAD76DD" w14:textId="77777777" w:rsidTr="00393DF8">
        <w:trPr>
          <w:trHeight w:val="254"/>
        </w:trPr>
        <w:tc>
          <w:tcPr>
            <w:tcW w:w="13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CBB21B" w14:textId="77777777" w:rsidR="00244D23" w:rsidRPr="00283C60" w:rsidRDefault="00244D23">
            <w:pPr>
              <w:pStyle w:val="TableParagraph"/>
              <w:spacing w:line="256" w:lineRule="auto"/>
              <w:rPr>
                <w:kern w:val="2"/>
                <w:lang w:val="da-DK"/>
                <w14:ligatures w14:val="standardContextual"/>
              </w:rPr>
            </w:pPr>
          </w:p>
        </w:tc>
        <w:tc>
          <w:tcPr>
            <w:tcW w:w="132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C7C859B" w14:textId="77777777" w:rsidR="00244D23" w:rsidRPr="00283C60" w:rsidRDefault="00244D23">
            <w:pPr>
              <w:pStyle w:val="TableParagraph"/>
              <w:spacing w:line="256" w:lineRule="auto"/>
              <w:jc w:val="center"/>
              <w:rPr>
                <w:b/>
                <w:kern w:val="2"/>
                <w:lang w:val="da-DK"/>
                <w14:ligatures w14:val="standardContextual"/>
              </w:rPr>
            </w:pPr>
            <w:r w:rsidRPr="00283C60">
              <w:rPr>
                <w:b/>
                <w:kern w:val="2"/>
                <w:lang w:val="da-DK"/>
                <w14:ligatures w14:val="standardContextual"/>
              </w:rPr>
              <w:t>DEFINE</w:t>
            </w:r>
          </w:p>
        </w:tc>
        <w:tc>
          <w:tcPr>
            <w:tcW w:w="2362"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1E764E" w14:textId="77777777" w:rsidR="00244D23" w:rsidRPr="00283C60" w:rsidRDefault="00244D23">
            <w:pPr>
              <w:pStyle w:val="TableParagraph"/>
              <w:spacing w:line="256" w:lineRule="auto"/>
              <w:jc w:val="center"/>
              <w:rPr>
                <w:b/>
                <w:kern w:val="2"/>
                <w:lang w:val="da-DK"/>
                <w14:ligatures w14:val="standardContextual"/>
              </w:rPr>
            </w:pPr>
            <w:r w:rsidRPr="00283C60">
              <w:rPr>
                <w:b/>
                <w:kern w:val="2"/>
                <w:lang w:val="da-DK"/>
                <w14:ligatures w14:val="standardContextual"/>
              </w:rPr>
              <w:t>CONFIRM</w:t>
            </w:r>
          </w:p>
        </w:tc>
      </w:tr>
      <w:tr w:rsidR="00244D23" w:rsidRPr="00283C60" w14:paraId="15D00107" w14:textId="77777777" w:rsidTr="00393DF8">
        <w:trPr>
          <w:trHeight w:val="250"/>
        </w:trPr>
        <w:tc>
          <w:tcPr>
            <w:tcW w:w="131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B5BEAD" w14:textId="77777777" w:rsidR="00244D23" w:rsidRPr="00283C60" w:rsidRDefault="00244D23">
            <w:pPr>
              <w:pStyle w:val="TableParagraph"/>
              <w:spacing w:line="256" w:lineRule="auto"/>
              <w:rPr>
                <w:kern w:val="2"/>
                <w:lang w:val="da-DK"/>
                <w14:ligatures w14:val="standardContextual"/>
              </w:rPr>
            </w:pPr>
          </w:p>
        </w:tc>
        <w:tc>
          <w:tcPr>
            <w:tcW w:w="498" w:type="pct"/>
            <w:tcBorders>
              <w:top w:val="single" w:sz="4" w:space="0" w:color="000000"/>
              <w:left w:val="single" w:sz="4" w:space="0" w:color="000000"/>
              <w:bottom w:val="nil"/>
              <w:right w:val="single" w:sz="4" w:space="0" w:color="000000"/>
            </w:tcBorders>
            <w:shd w:val="clear" w:color="auto" w:fill="D9D9D9" w:themeFill="background1" w:themeFillShade="D9"/>
            <w:hideMark/>
          </w:tcPr>
          <w:p w14:paraId="0F60A3C7"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Placebo</w:t>
            </w:r>
          </w:p>
        </w:tc>
        <w:tc>
          <w:tcPr>
            <w:tcW w:w="822" w:type="pct"/>
            <w:tcBorders>
              <w:top w:val="single" w:sz="4" w:space="0" w:color="000000"/>
              <w:left w:val="single" w:sz="4" w:space="0" w:color="000000"/>
              <w:bottom w:val="nil"/>
              <w:right w:val="single" w:sz="4" w:space="0" w:color="000000"/>
            </w:tcBorders>
            <w:shd w:val="clear" w:color="auto" w:fill="D9D9D9" w:themeFill="background1" w:themeFillShade="D9"/>
            <w:hideMark/>
          </w:tcPr>
          <w:p w14:paraId="0977D43A" w14:textId="77777777" w:rsidR="00244D23" w:rsidRPr="00283C60" w:rsidRDefault="00244D23">
            <w:pPr>
              <w:pStyle w:val="TableParagraph"/>
              <w:spacing w:line="256" w:lineRule="auto"/>
              <w:rPr>
                <w:b/>
                <w:kern w:val="2"/>
                <w:lang w:val="da-DK"/>
                <w14:ligatures w14:val="standardContextual"/>
              </w:rPr>
            </w:pPr>
            <w:proofErr w:type="spellStart"/>
            <w:r w:rsidRPr="00283C60">
              <w:rPr>
                <w:b/>
                <w:kern w:val="2"/>
                <w:lang w:val="da-DK"/>
                <w14:ligatures w14:val="standardContextual"/>
              </w:rPr>
              <w:t>Dimethyl</w:t>
            </w:r>
            <w:proofErr w:type="spellEnd"/>
            <w:r w:rsidRPr="00283C60">
              <w:rPr>
                <w:b/>
                <w:kern w:val="2"/>
                <w:lang w:val="da-DK"/>
                <w14:ligatures w14:val="standardContextual"/>
              </w:rPr>
              <w:t xml:space="preserve"> </w:t>
            </w:r>
            <w:proofErr w:type="spellStart"/>
            <w:r w:rsidRPr="00283C60">
              <w:rPr>
                <w:b/>
                <w:kern w:val="2"/>
                <w:lang w:val="da-DK"/>
                <w14:ligatures w14:val="standardContextual"/>
              </w:rPr>
              <w:t>fumarat</w:t>
            </w:r>
            <w:proofErr w:type="spellEnd"/>
          </w:p>
        </w:tc>
        <w:tc>
          <w:tcPr>
            <w:tcW w:w="498" w:type="pct"/>
            <w:tcBorders>
              <w:top w:val="single" w:sz="4" w:space="0" w:color="000000"/>
              <w:left w:val="single" w:sz="4" w:space="0" w:color="000000"/>
              <w:bottom w:val="nil"/>
              <w:right w:val="single" w:sz="4" w:space="0" w:color="000000"/>
            </w:tcBorders>
            <w:shd w:val="clear" w:color="auto" w:fill="D9D9D9" w:themeFill="background1" w:themeFillShade="D9"/>
            <w:hideMark/>
          </w:tcPr>
          <w:p w14:paraId="55155AC2"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Placebo</w:t>
            </w:r>
          </w:p>
        </w:tc>
        <w:tc>
          <w:tcPr>
            <w:tcW w:w="820" w:type="pct"/>
            <w:tcBorders>
              <w:top w:val="single" w:sz="4" w:space="0" w:color="000000"/>
              <w:left w:val="single" w:sz="4" w:space="0" w:color="000000"/>
              <w:bottom w:val="nil"/>
              <w:right w:val="single" w:sz="4" w:space="0" w:color="000000"/>
            </w:tcBorders>
            <w:shd w:val="clear" w:color="auto" w:fill="D9D9D9" w:themeFill="background1" w:themeFillShade="D9"/>
            <w:hideMark/>
          </w:tcPr>
          <w:p w14:paraId="2F47AC54" w14:textId="77777777" w:rsidR="00244D23" w:rsidRPr="00283C60" w:rsidRDefault="00244D23">
            <w:pPr>
              <w:pStyle w:val="TableParagraph"/>
              <w:spacing w:line="256" w:lineRule="auto"/>
              <w:rPr>
                <w:b/>
                <w:kern w:val="2"/>
                <w:lang w:val="da-DK"/>
                <w14:ligatures w14:val="standardContextual"/>
              </w:rPr>
            </w:pPr>
            <w:proofErr w:type="spellStart"/>
            <w:r w:rsidRPr="00283C60">
              <w:rPr>
                <w:b/>
                <w:kern w:val="2"/>
                <w:lang w:val="da-DK"/>
                <w14:ligatures w14:val="standardContextual"/>
              </w:rPr>
              <w:t>Dimethyl</w:t>
            </w:r>
            <w:proofErr w:type="spellEnd"/>
            <w:r w:rsidRPr="00283C60">
              <w:rPr>
                <w:b/>
                <w:kern w:val="2"/>
                <w:lang w:val="da-DK"/>
                <w14:ligatures w14:val="standardContextual"/>
              </w:rPr>
              <w:t xml:space="preserve"> </w:t>
            </w:r>
            <w:proofErr w:type="spellStart"/>
            <w:r w:rsidRPr="00283C60">
              <w:rPr>
                <w:b/>
                <w:kern w:val="2"/>
                <w:lang w:val="da-DK"/>
                <w14:ligatures w14:val="standardContextual"/>
              </w:rPr>
              <w:t>fumarat</w:t>
            </w:r>
            <w:proofErr w:type="spellEnd"/>
          </w:p>
        </w:tc>
        <w:tc>
          <w:tcPr>
            <w:tcW w:w="1044" w:type="pct"/>
            <w:tcBorders>
              <w:top w:val="single" w:sz="4" w:space="0" w:color="000000"/>
              <w:left w:val="single" w:sz="4" w:space="0" w:color="000000"/>
              <w:bottom w:val="nil"/>
              <w:right w:val="single" w:sz="4" w:space="0" w:color="000000"/>
            </w:tcBorders>
            <w:shd w:val="clear" w:color="auto" w:fill="D9D9D9" w:themeFill="background1" w:themeFillShade="D9"/>
            <w:hideMark/>
          </w:tcPr>
          <w:p w14:paraId="6BAAE2E9" w14:textId="77777777" w:rsidR="00244D23" w:rsidRPr="00283C60" w:rsidRDefault="00244D23">
            <w:pPr>
              <w:pStyle w:val="TableParagraph"/>
              <w:spacing w:line="256" w:lineRule="auto"/>
              <w:rPr>
                <w:b/>
                <w:kern w:val="2"/>
                <w:lang w:val="da-DK"/>
                <w14:ligatures w14:val="standardContextual"/>
              </w:rPr>
            </w:pPr>
            <w:proofErr w:type="spellStart"/>
            <w:r w:rsidRPr="00283C60">
              <w:rPr>
                <w:b/>
                <w:kern w:val="2"/>
                <w:lang w:val="da-DK"/>
                <w14:ligatures w14:val="standardContextual"/>
              </w:rPr>
              <w:t>Glatiramer</w:t>
            </w:r>
            <w:proofErr w:type="spellEnd"/>
            <w:r w:rsidRPr="00283C60">
              <w:rPr>
                <w:b/>
                <w:kern w:val="2"/>
                <w:lang w:val="da-DK"/>
                <w14:ligatures w14:val="standardContextual"/>
              </w:rPr>
              <w:t>-acetat</w:t>
            </w:r>
          </w:p>
        </w:tc>
      </w:tr>
      <w:tr w:rsidR="00244D23" w:rsidRPr="00283C60" w14:paraId="122C6756" w14:textId="77777777" w:rsidTr="00393DF8">
        <w:trPr>
          <w:trHeight w:val="243"/>
        </w:trPr>
        <w:tc>
          <w:tcPr>
            <w:tcW w:w="1317" w:type="pct"/>
            <w:vMerge/>
            <w:tcBorders>
              <w:top w:val="single" w:sz="4" w:space="0" w:color="000000"/>
              <w:left w:val="single" w:sz="4" w:space="0" w:color="000000"/>
              <w:bottom w:val="single" w:sz="4" w:space="0" w:color="000000"/>
              <w:right w:val="single" w:sz="4" w:space="0" w:color="000000"/>
            </w:tcBorders>
            <w:vAlign w:val="center"/>
            <w:hideMark/>
          </w:tcPr>
          <w:p w14:paraId="67C43119" w14:textId="77777777" w:rsidR="00244D23" w:rsidRPr="00283C60" w:rsidRDefault="00244D23">
            <w:pPr>
              <w:spacing w:line="256" w:lineRule="auto"/>
              <w:rPr>
                <w:kern w:val="2"/>
                <w:sz w:val="22"/>
                <w:szCs w:val="22"/>
                <w14:ligatures w14:val="standardContextual"/>
              </w:rPr>
            </w:pPr>
          </w:p>
        </w:tc>
        <w:tc>
          <w:tcPr>
            <w:tcW w:w="498" w:type="pct"/>
            <w:tcBorders>
              <w:top w:val="nil"/>
              <w:left w:val="single" w:sz="4" w:space="0" w:color="000000"/>
              <w:bottom w:val="nil"/>
              <w:right w:val="single" w:sz="4" w:space="0" w:color="000000"/>
            </w:tcBorders>
            <w:shd w:val="clear" w:color="auto" w:fill="D9D9D9" w:themeFill="background1" w:themeFillShade="D9"/>
          </w:tcPr>
          <w:p w14:paraId="6C9C77D4" w14:textId="77777777" w:rsidR="00244D23" w:rsidRPr="00283C60" w:rsidRDefault="00244D23">
            <w:pPr>
              <w:pStyle w:val="TableParagraph"/>
              <w:spacing w:line="256" w:lineRule="auto"/>
              <w:rPr>
                <w:kern w:val="2"/>
                <w:lang w:val="da-DK"/>
                <w14:ligatures w14:val="standardContextual"/>
              </w:rPr>
            </w:pPr>
          </w:p>
        </w:tc>
        <w:tc>
          <w:tcPr>
            <w:tcW w:w="822" w:type="pct"/>
            <w:tcBorders>
              <w:top w:val="nil"/>
              <w:left w:val="single" w:sz="4" w:space="0" w:color="000000"/>
              <w:bottom w:val="nil"/>
              <w:right w:val="single" w:sz="4" w:space="0" w:color="000000"/>
            </w:tcBorders>
            <w:shd w:val="clear" w:color="auto" w:fill="D9D9D9" w:themeFill="background1" w:themeFillShade="D9"/>
            <w:hideMark/>
          </w:tcPr>
          <w:p w14:paraId="49ADE17F"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240 mg</w:t>
            </w:r>
          </w:p>
        </w:tc>
        <w:tc>
          <w:tcPr>
            <w:tcW w:w="498" w:type="pct"/>
            <w:tcBorders>
              <w:top w:val="nil"/>
              <w:left w:val="single" w:sz="4" w:space="0" w:color="000000"/>
              <w:bottom w:val="nil"/>
              <w:right w:val="single" w:sz="4" w:space="0" w:color="000000"/>
            </w:tcBorders>
            <w:shd w:val="clear" w:color="auto" w:fill="D9D9D9" w:themeFill="background1" w:themeFillShade="D9"/>
          </w:tcPr>
          <w:p w14:paraId="2EB0AB1E" w14:textId="77777777" w:rsidR="00244D23" w:rsidRPr="00283C60" w:rsidRDefault="00244D23">
            <w:pPr>
              <w:pStyle w:val="TableParagraph"/>
              <w:spacing w:line="256" w:lineRule="auto"/>
              <w:rPr>
                <w:kern w:val="2"/>
                <w:lang w:val="da-DK"/>
                <w14:ligatures w14:val="standardContextual"/>
              </w:rPr>
            </w:pPr>
          </w:p>
        </w:tc>
        <w:tc>
          <w:tcPr>
            <w:tcW w:w="820" w:type="pct"/>
            <w:tcBorders>
              <w:top w:val="nil"/>
              <w:left w:val="single" w:sz="4" w:space="0" w:color="000000"/>
              <w:bottom w:val="nil"/>
              <w:right w:val="single" w:sz="4" w:space="0" w:color="000000"/>
            </w:tcBorders>
            <w:shd w:val="clear" w:color="auto" w:fill="D9D9D9" w:themeFill="background1" w:themeFillShade="D9"/>
            <w:hideMark/>
          </w:tcPr>
          <w:p w14:paraId="4AA1598B"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240 mg</w:t>
            </w:r>
          </w:p>
        </w:tc>
        <w:tc>
          <w:tcPr>
            <w:tcW w:w="1044" w:type="pct"/>
            <w:tcBorders>
              <w:top w:val="nil"/>
              <w:left w:val="single" w:sz="4" w:space="0" w:color="000000"/>
              <w:bottom w:val="nil"/>
              <w:right w:val="single" w:sz="4" w:space="0" w:color="000000"/>
            </w:tcBorders>
            <w:shd w:val="clear" w:color="auto" w:fill="D9D9D9" w:themeFill="background1" w:themeFillShade="D9"/>
          </w:tcPr>
          <w:p w14:paraId="2AF4F374" w14:textId="77777777" w:rsidR="00244D23" w:rsidRPr="00283C60" w:rsidRDefault="00244D23">
            <w:pPr>
              <w:pStyle w:val="TableParagraph"/>
              <w:spacing w:line="256" w:lineRule="auto"/>
              <w:rPr>
                <w:b/>
                <w:kern w:val="2"/>
                <w:lang w:val="da-DK"/>
                <w14:ligatures w14:val="standardContextual"/>
              </w:rPr>
            </w:pPr>
          </w:p>
        </w:tc>
      </w:tr>
      <w:tr w:rsidR="00244D23" w:rsidRPr="00283C60" w14:paraId="6F76F426" w14:textId="77777777" w:rsidTr="00393DF8">
        <w:trPr>
          <w:trHeight w:val="243"/>
        </w:trPr>
        <w:tc>
          <w:tcPr>
            <w:tcW w:w="1317" w:type="pct"/>
            <w:vMerge/>
            <w:tcBorders>
              <w:top w:val="single" w:sz="4" w:space="0" w:color="000000"/>
              <w:left w:val="single" w:sz="4" w:space="0" w:color="000000"/>
              <w:bottom w:val="single" w:sz="4" w:space="0" w:color="000000"/>
              <w:right w:val="single" w:sz="4" w:space="0" w:color="000000"/>
            </w:tcBorders>
            <w:vAlign w:val="center"/>
            <w:hideMark/>
          </w:tcPr>
          <w:p w14:paraId="4C84F894" w14:textId="77777777" w:rsidR="00244D23" w:rsidRPr="00283C60" w:rsidRDefault="00244D23">
            <w:pPr>
              <w:spacing w:line="256" w:lineRule="auto"/>
              <w:rPr>
                <w:kern w:val="2"/>
                <w:sz w:val="22"/>
                <w:szCs w:val="22"/>
                <w14:ligatures w14:val="standardContextual"/>
              </w:rPr>
            </w:pPr>
          </w:p>
        </w:tc>
        <w:tc>
          <w:tcPr>
            <w:tcW w:w="498" w:type="pct"/>
            <w:tcBorders>
              <w:top w:val="nil"/>
              <w:left w:val="single" w:sz="4" w:space="0" w:color="000000"/>
              <w:bottom w:val="nil"/>
              <w:right w:val="single" w:sz="4" w:space="0" w:color="000000"/>
            </w:tcBorders>
            <w:shd w:val="clear" w:color="auto" w:fill="D9D9D9" w:themeFill="background1" w:themeFillShade="D9"/>
          </w:tcPr>
          <w:p w14:paraId="2441114C" w14:textId="77777777" w:rsidR="00244D23" w:rsidRPr="00283C60" w:rsidRDefault="00244D23">
            <w:pPr>
              <w:pStyle w:val="TableParagraph"/>
              <w:spacing w:line="256" w:lineRule="auto"/>
              <w:rPr>
                <w:kern w:val="2"/>
                <w:lang w:val="da-DK"/>
                <w14:ligatures w14:val="standardContextual"/>
              </w:rPr>
            </w:pPr>
          </w:p>
        </w:tc>
        <w:tc>
          <w:tcPr>
            <w:tcW w:w="822" w:type="pct"/>
            <w:tcBorders>
              <w:top w:val="nil"/>
              <w:left w:val="single" w:sz="4" w:space="0" w:color="000000"/>
              <w:bottom w:val="nil"/>
              <w:right w:val="single" w:sz="4" w:space="0" w:color="000000"/>
            </w:tcBorders>
            <w:shd w:val="clear" w:color="auto" w:fill="D9D9D9" w:themeFill="background1" w:themeFillShade="D9"/>
            <w:hideMark/>
          </w:tcPr>
          <w:p w14:paraId="6F4147AE"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to</w:t>
            </w:r>
            <w:r w:rsidRPr="00283C60">
              <w:rPr>
                <w:b/>
                <w:spacing w:val="-1"/>
                <w:kern w:val="2"/>
                <w:lang w:val="da-DK"/>
                <w14:ligatures w14:val="standardContextual"/>
              </w:rPr>
              <w:t xml:space="preserve"> </w:t>
            </w:r>
            <w:r w:rsidRPr="00283C60">
              <w:rPr>
                <w:b/>
                <w:kern w:val="2"/>
                <w:lang w:val="da-DK"/>
                <w14:ligatures w14:val="standardContextual"/>
              </w:rPr>
              <w:t>gange</w:t>
            </w:r>
          </w:p>
        </w:tc>
        <w:tc>
          <w:tcPr>
            <w:tcW w:w="498" w:type="pct"/>
            <w:tcBorders>
              <w:top w:val="nil"/>
              <w:left w:val="single" w:sz="4" w:space="0" w:color="000000"/>
              <w:bottom w:val="nil"/>
              <w:right w:val="single" w:sz="4" w:space="0" w:color="000000"/>
            </w:tcBorders>
            <w:shd w:val="clear" w:color="auto" w:fill="D9D9D9" w:themeFill="background1" w:themeFillShade="D9"/>
          </w:tcPr>
          <w:p w14:paraId="3667CB75" w14:textId="77777777" w:rsidR="00244D23" w:rsidRPr="00283C60" w:rsidRDefault="00244D23">
            <w:pPr>
              <w:pStyle w:val="TableParagraph"/>
              <w:spacing w:line="256" w:lineRule="auto"/>
              <w:rPr>
                <w:kern w:val="2"/>
                <w:lang w:val="da-DK"/>
                <w14:ligatures w14:val="standardContextual"/>
              </w:rPr>
            </w:pPr>
          </w:p>
        </w:tc>
        <w:tc>
          <w:tcPr>
            <w:tcW w:w="820" w:type="pct"/>
            <w:tcBorders>
              <w:top w:val="nil"/>
              <w:left w:val="single" w:sz="4" w:space="0" w:color="000000"/>
              <w:bottom w:val="nil"/>
              <w:right w:val="single" w:sz="4" w:space="0" w:color="000000"/>
            </w:tcBorders>
            <w:shd w:val="clear" w:color="auto" w:fill="D9D9D9" w:themeFill="background1" w:themeFillShade="D9"/>
            <w:hideMark/>
          </w:tcPr>
          <w:p w14:paraId="46F51B0D"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to</w:t>
            </w:r>
            <w:r w:rsidRPr="00283C60">
              <w:rPr>
                <w:b/>
                <w:spacing w:val="-1"/>
                <w:kern w:val="2"/>
                <w:lang w:val="da-DK"/>
                <w14:ligatures w14:val="standardContextual"/>
              </w:rPr>
              <w:t xml:space="preserve"> </w:t>
            </w:r>
            <w:r w:rsidRPr="00283C60">
              <w:rPr>
                <w:b/>
                <w:kern w:val="2"/>
                <w:lang w:val="da-DK"/>
                <w14:ligatures w14:val="standardContextual"/>
              </w:rPr>
              <w:t>gange</w:t>
            </w:r>
          </w:p>
        </w:tc>
        <w:tc>
          <w:tcPr>
            <w:tcW w:w="1044" w:type="pct"/>
            <w:tcBorders>
              <w:top w:val="nil"/>
              <w:left w:val="single" w:sz="4" w:space="0" w:color="000000"/>
              <w:bottom w:val="nil"/>
              <w:right w:val="single" w:sz="4" w:space="0" w:color="000000"/>
            </w:tcBorders>
            <w:shd w:val="clear" w:color="auto" w:fill="D9D9D9" w:themeFill="background1" w:themeFillShade="D9"/>
          </w:tcPr>
          <w:p w14:paraId="441B8981" w14:textId="77777777" w:rsidR="00244D23" w:rsidRPr="00283C60" w:rsidRDefault="00244D23">
            <w:pPr>
              <w:pStyle w:val="TableParagraph"/>
              <w:spacing w:line="256" w:lineRule="auto"/>
              <w:rPr>
                <w:kern w:val="2"/>
                <w:lang w:val="da-DK"/>
                <w14:ligatures w14:val="standardContextual"/>
              </w:rPr>
            </w:pPr>
          </w:p>
        </w:tc>
      </w:tr>
      <w:tr w:rsidR="00244D23" w:rsidRPr="00283C60" w14:paraId="2444C4C9" w14:textId="77777777" w:rsidTr="00393DF8">
        <w:trPr>
          <w:trHeight w:val="245"/>
        </w:trPr>
        <w:tc>
          <w:tcPr>
            <w:tcW w:w="1317" w:type="pct"/>
            <w:vMerge/>
            <w:tcBorders>
              <w:top w:val="single" w:sz="4" w:space="0" w:color="000000"/>
              <w:left w:val="single" w:sz="4" w:space="0" w:color="000000"/>
              <w:bottom w:val="single" w:sz="4" w:space="0" w:color="000000"/>
              <w:right w:val="single" w:sz="4" w:space="0" w:color="000000"/>
            </w:tcBorders>
            <w:vAlign w:val="center"/>
            <w:hideMark/>
          </w:tcPr>
          <w:p w14:paraId="41815149" w14:textId="77777777" w:rsidR="00244D23" w:rsidRPr="00283C60" w:rsidRDefault="00244D23">
            <w:pPr>
              <w:spacing w:line="256" w:lineRule="auto"/>
              <w:rPr>
                <w:kern w:val="2"/>
                <w:sz w:val="22"/>
                <w:szCs w:val="22"/>
                <w14:ligatures w14:val="standardContextual"/>
              </w:rPr>
            </w:pPr>
          </w:p>
        </w:tc>
        <w:tc>
          <w:tcPr>
            <w:tcW w:w="498" w:type="pct"/>
            <w:tcBorders>
              <w:top w:val="nil"/>
              <w:left w:val="single" w:sz="4" w:space="0" w:color="000000"/>
              <w:bottom w:val="single" w:sz="4" w:space="0" w:color="000000"/>
              <w:right w:val="single" w:sz="4" w:space="0" w:color="000000"/>
            </w:tcBorders>
          </w:tcPr>
          <w:p w14:paraId="1918448C" w14:textId="77777777" w:rsidR="00244D23" w:rsidRPr="00283C60" w:rsidRDefault="00244D23">
            <w:pPr>
              <w:pStyle w:val="TableParagraph"/>
              <w:spacing w:line="256" w:lineRule="auto"/>
              <w:rPr>
                <w:kern w:val="2"/>
                <w:lang w:val="da-DK"/>
                <w14:ligatures w14:val="standardContextual"/>
              </w:rPr>
            </w:pPr>
          </w:p>
        </w:tc>
        <w:tc>
          <w:tcPr>
            <w:tcW w:w="822" w:type="pct"/>
            <w:tcBorders>
              <w:top w:val="nil"/>
              <w:left w:val="single" w:sz="4" w:space="0" w:color="000000"/>
              <w:bottom w:val="single" w:sz="4" w:space="0" w:color="000000"/>
              <w:right w:val="single" w:sz="4" w:space="0" w:color="000000"/>
            </w:tcBorders>
            <w:hideMark/>
          </w:tcPr>
          <w:p w14:paraId="530A7F55"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dagligt</w:t>
            </w:r>
          </w:p>
        </w:tc>
        <w:tc>
          <w:tcPr>
            <w:tcW w:w="498" w:type="pct"/>
            <w:tcBorders>
              <w:top w:val="nil"/>
              <w:left w:val="single" w:sz="4" w:space="0" w:color="000000"/>
              <w:bottom w:val="single" w:sz="4" w:space="0" w:color="000000"/>
              <w:right w:val="single" w:sz="4" w:space="0" w:color="000000"/>
            </w:tcBorders>
          </w:tcPr>
          <w:p w14:paraId="54C3BCDD" w14:textId="77777777" w:rsidR="00244D23" w:rsidRPr="00283C60" w:rsidRDefault="00244D23">
            <w:pPr>
              <w:pStyle w:val="TableParagraph"/>
              <w:spacing w:line="256" w:lineRule="auto"/>
              <w:rPr>
                <w:kern w:val="2"/>
                <w:lang w:val="da-DK"/>
                <w14:ligatures w14:val="standardContextual"/>
              </w:rPr>
            </w:pPr>
          </w:p>
        </w:tc>
        <w:tc>
          <w:tcPr>
            <w:tcW w:w="820" w:type="pct"/>
            <w:tcBorders>
              <w:top w:val="nil"/>
              <w:left w:val="single" w:sz="4" w:space="0" w:color="000000"/>
              <w:bottom w:val="single" w:sz="4" w:space="0" w:color="000000"/>
              <w:right w:val="single" w:sz="4" w:space="0" w:color="000000"/>
            </w:tcBorders>
            <w:hideMark/>
          </w:tcPr>
          <w:p w14:paraId="74315415"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dagligt</w:t>
            </w:r>
          </w:p>
        </w:tc>
        <w:tc>
          <w:tcPr>
            <w:tcW w:w="1044" w:type="pct"/>
            <w:tcBorders>
              <w:top w:val="nil"/>
              <w:left w:val="single" w:sz="4" w:space="0" w:color="000000"/>
              <w:bottom w:val="single" w:sz="4" w:space="0" w:color="000000"/>
              <w:right w:val="single" w:sz="4" w:space="0" w:color="000000"/>
            </w:tcBorders>
          </w:tcPr>
          <w:p w14:paraId="237395C1" w14:textId="77777777" w:rsidR="00244D23" w:rsidRPr="00283C60" w:rsidRDefault="00244D23">
            <w:pPr>
              <w:pStyle w:val="TableParagraph"/>
              <w:spacing w:line="256" w:lineRule="auto"/>
              <w:rPr>
                <w:kern w:val="2"/>
                <w:lang w:val="da-DK"/>
                <w14:ligatures w14:val="standardContextual"/>
              </w:rPr>
            </w:pPr>
          </w:p>
        </w:tc>
      </w:tr>
      <w:tr w:rsidR="00244D23" w:rsidRPr="00283C60" w14:paraId="550F684F" w14:textId="77777777" w:rsidTr="00393DF8">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7D3E2B48" w14:textId="77777777" w:rsidR="00244D23" w:rsidRPr="00283C60" w:rsidRDefault="00244D23">
            <w:pPr>
              <w:pStyle w:val="TableParagraph"/>
              <w:spacing w:line="256" w:lineRule="auto"/>
              <w:rPr>
                <w:b/>
                <w:kern w:val="2"/>
                <w:lang w:val="da-DK"/>
                <w14:ligatures w14:val="standardContextual"/>
              </w:rPr>
            </w:pPr>
            <w:r w:rsidRPr="00283C60">
              <w:rPr>
                <w:b/>
                <w:kern w:val="2"/>
                <w:lang w:val="da-DK"/>
                <w14:ligatures w14:val="standardContextual"/>
              </w:rPr>
              <w:t>Kliniske</w:t>
            </w:r>
            <w:r w:rsidRPr="00283C60">
              <w:rPr>
                <w:b/>
                <w:spacing w:val="-3"/>
                <w:kern w:val="2"/>
                <w:lang w:val="da-DK"/>
                <w14:ligatures w14:val="standardContextual"/>
              </w:rPr>
              <w:t xml:space="preserve"> </w:t>
            </w:r>
            <w:proofErr w:type="spellStart"/>
            <w:r w:rsidRPr="00283C60">
              <w:rPr>
                <w:b/>
                <w:kern w:val="2"/>
                <w:lang w:val="da-DK"/>
                <w14:ligatures w14:val="standardContextual"/>
              </w:rPr>
              <w:t>endepunkter</w:t>
            </w:r>
            <w:r w:rsidRPr="00283C60">
              <w:rPr>
                <w:b/>
                <w:kern w:val="2"/>
                <w:vertAlign w:val="superscript"/>
                <w:lang w:val="da-DK"/>
                <w14:ligatures w14:val="standardContextual"/>
              </w:rPr>
              <w:t>a</w:t>
            </w:r>
            <w:proofErr w:type="spellEnd"/>
          </w:p>
        </w:tc>
      </w:tr>
      <w:tr w:rsidR="00244D23" w:rsidRPr="00283C60" w14:paraId="3C7D551E" w14:textId="77777777" w:rsidTr="00393DF8">
        <w:trPr>
          <w:trHeight w:val="253"/>
        </w:trPr>
        <w:tc>
          <w:tcPr>
            <w:tcW w:w="1317" w:type="pct"/>
            <w:tcBorders>
              <w:top w:val="single" w:sz="4" w:space="0" w:color="000000"/>
              <w:left w:val="single" w:sz="4" w:space="0" w:color="000000"/>
              <w:bottom w:val="single" w:sz="4" w:space="0" w:color="000000"/>
              <w:right w:val="single" w:sz="4" w:space="0" w:color="000000"/>
            </w:tcBorders>
            <w:hideMark/>
          </w:tcPr>
          <w:p w14:paraId="4B2181F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Antal</w:t>
            </w:r>
            <w:r w:rsidRPr="00283C60">
              <w:rPr>
                <w:spacing w:val="-3"/>
                <w:kern w:val="2"/>
                <w:lang w:val="da-DK"/>
                <w14:ligatures w14:val="standardContextual"/>
              </w:rPr>
              <w:t xml:space="preserve"> </w:t>
            </w:r>
            <w:r w:rsidRPr="00283C60">
              <w:rPr>
                <w:kern w:val="2"/>
                <w:lang w:val="da-DK"/>
                <w14:ligatures w14:val="standardContextual"/>
              </w:rPr>
              <w:t>patienter</w:t>
            </w:r>
          </w:p>
        </w:tc>
        <w:tc>
          <w:tcPr>
            <w:tcW w:w="498" w:type="pct"/>
            <w:tcBorders>
              <w:top w:val="single" w:sz="4" w:space="0" w:color="000000"/>
              <w:left w:val="single" w:sz="4" w:space="0" w:color="000000"/>
              <w:bottom w:val="single" w:sz="4" w:space="0" w:color="000000"/>
              <w:right w:val="single" w:sz="4" w:space="0" w:color="000000"/>
            </w:tcBorders>
            <w:hideMark/>
          </w:tcPr>
          <w:p w14:paraId="5F844782"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408</w:t>
            </w:r>
          </w:p>
        </w:tc>
        <w:tc>
          <w:tcPr>
            <w:tcW w:w="822" w:type="pct"/>
            <w:tcBorders>
              <w:top w:val="single" w:sz="4" w:space="0" w:color="000000"/>
              <w:left w:val="single" w:sz="4" w:space="0" w:color="000000"/>
              <w:bottom w:val="single" w:sz="4" w:space="0" w:color="000000"/>
              <w:right w:val="single" w:sz="4" w:space="0" w:color="000000"/>
            </w:tcBorders>
            <w:hideMark/>
          </w:tcPr>
          <w:p w14:paraId="70B83172"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410</w:t>
            </w:r>
          </w:p>
        </w:tc>
        <w:tc>
          <w:tcPr>
            <w:tcW w:w="498" w:type="pct"/>
            <w:tcBorders>
              <w:top w:val="single" w:sz="4" w:space="0" w:color="000000"/>
              <w:left w:val="single" w:sz="4" w:space="0" w:color="000000"/>
              <w:bottom w:val="single" w:sz="4" w:space="0" w:color="000000"/>
              <w:right w:val="single" w:sz="4" w:space="0" w:color="000000"/>
            </w:tcBorders>
            <w:hideMark/>
          </w:tcPr>
          <w:p w14:paraId="654DDFD8"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363</w:t>
            </w:r>
          </w:p>
        </w:tc>
        <w:tc>
          <w:tcPr>
            <w:tcW w:w="820" w:type="pct"/>
            <w:tcBorders>
              <w:top w:val="single" w:sz="4" w:space="0" w:color="000000"/>
              <w:left w:val="single" w:sz="4" w:space="0" w:color="000000"/>
              <w:bottom w:val="single" w:sz="4" w:space="0" w:color="000000"/>
              <w:right w:val="single" w:sz="4" w:space="0" w:color="000000"/>
            </w:tcBorders>
            <w:hideMark/>
          </w:tcPr>
          <w:p w14:paraId="77913E01"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359</w:t>
            </w:r>
          </w:p>
        </w:tc>
        <w:tc>
          <w:tcPr>
            <w:tcW w:w="1044" w:type="pct"/>
            <w:tcBorders>
              <w:top w:val="single" w:sz="4" w:space="0" w:color="000000"/>
              <w:left w:val="single" w:sz="4" w:space="0" w:color="000000"/>
              <w:bottom w:val="single" w:sz="4" w:space="0" w:color="000000"/>
              <w:right w:val="single" w:sz="4" w:space="0" w:color="000000"/>
            </w:tcBorders>
            <w:hideMark/>
          </w:tcPr>
          <w:p w14:paraId="1A0492B8"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350</w:t>
            </w:r>
          </w:p>
        </w:tc>
      </w:tr>
      <w:tr w:rsidR="00244D23" w:rsidRPr="00283C60" w14:paraId="0AF20CF5" w14:textId="77777777" w:rsidTr="00393DF8">
        <w:trPr>
          <w:trHeight w:val="251"/>
        </w:trPr>
        <w:tc>
          <w:tcPr>
            <w:tcW w:w="1317" w:type="pct"/>
            <w:tcBorders>
              <w:top w:val="single" w:sz="4" w:space="0" w:color="000000"/>
              <w:left w:val="single" w:sz="4" w:space="0" w:color="000000"/>
              <w:bottom w:val="single" w:sz="4" w:space="0" w:color="000000"/>
              <w:right w:val="single" w:sz="4" w:space="0" w:color="000000"/>
            </w:tcBorders>
            <w:hideMark/>
          </w:tcPr>
          <w:p w14:paraId="2F37232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Årlig</w:t>
            </w:r>
            <w:r w:rsidRPr="00283C60">
              <w:rPr>
                <w:spacing w:val="-3"/>
                <w:kern w:val="2"/>
                <w:lang w:val="da-DK"/>
                <w14:ligatures w14:val="standardContextual"/>
              </w:rPr>
              <w:t xml:space="preserve"> </w:t>
            </w:r>
            <w:r w:rsidRPr="00283C60">
              <w:rPr>
                <w:kern w:val="2"/>
                <w:lang w:val="da-DK"/>
                <w14:ligatures w14:val="standardContextual"/>
              </w:rPr>
              <w:t>attakrate</w:t>
            </w:r>
          </w:p>
        </w:tc>
        <w:tc>
          <w:tcPr>
            <w:tcW w:w="498" w:type="pct"/>
            <w:tcBorders>
              <w:top w:val="single" w:sz="4" w:space="0" w:color="000000"/>
              <w:left w:val="single" w:sz="4" w:space="0" w:color="000000"/>
              <w:bottom w:val="single" w:sz="4" w:space="0" w:color="000000"/>
              <w:right w:val="single" w:sz="4" w:space="0" w:color="000000"/>
            </w:tcBorders>
            <w:hideMark/>
          </w:tcPr>
          <w:p w14:paraId="714DA042"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0,364</w:t>
            </w:r>
          </w:p>
        </w:tc>
        <w:tc>
          <w:tcPr>
            <w:tcW w:w="822" w:type="pct"/>
            <w:tcBorders>
              <w:top w:val="single" w:sz="4" w:space="0" w:color="000000"/>
              <w:left w:val="single" w:sz="4" w:space="0" w:color="000000"/>
              <w:bottom w:val="single" w:sz="4" w:space="0" w:color="000000"/>
              <w:right w:val="single" w:sz="4" w:space="0" w:color="000000"/>
            </w:tcBorders>
            <w:hideMark/>
          </w:tcPr>
          <w:p w14:paraId="4A09EA2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0,172***</w:t>
            </w:r>
          </w:p>
        </w:tc>
        <w:tc>
          <w:tcPr>
            <w:tcW w:w="498" w:type="pct"/>
            <w:tcBorders>
              <w:top w:val="single" w:sz="4" w:space="0" w:color="000000"/>
              <w:left w:val="single" w:sz="4" w:space="0" w:color="000000"/>
              <w:bottom w:val="single" w:sz="4" w:space="0" w:color="000000"/>
              <w:right w:val="single" w:sz="4" w:space="0" w:color="000000"/>
            </w:tcBorders>
            <w:hideMark/>
          </w:tcPr>
          <w:p w14:paraId="7969B741"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0,401</w:t>
            </w:r>
          </w:p>
        </w:tc>
        <w:tc>
          <w:tcPr>
            <w:tcW w:w="820" w:type="pct"/>
            <w:tcBorders>
              <w:top w:val="single" w:sz="4" w:space="0" w:color="000000"/>
              <w:left w:val="single" w:sz="4" w:space="0" w:color="000000"/>
              <w:bottom w:val="single" w:sz="4" w:space="0" w:color="000000"/>
              <w:right w:val="single" w:sz="4" w:space="0" w:color="000000"/>
            </w:tcBorders>
            <w:hideMark/>
          </w:tcPr>
          <w:p w14:paraId="67A842E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0,224***</w:t>
            </w:r>
          </w:p>
        </w:tc>
        <w:tc>
          <w:tcPr>
            <w:tcW w:w="1044" w:type="pct"/>
            <w:tcBorders>
              <w:top w:val="single" w:sz="4" w:space="0" w:color="000000"/>
              <w:left w:val="single" w:sz="4" w:space="0" w:color="000000"/>
              <w:bottom w:val="single" w:sz="4" w:space="0" w:color="000000"/>
              <w:right w:val="single" w:sz="4" w:space="0" w:color="000000"/>
            </w:tcBorders>
            <w:hideMark/>
          </w:tcPr>
          <w:p w14:paraId="3D1C8A4A"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0,286*</w:t>
            </w:r>
          </w:p>
        </w:tc>
      </w:tr>
      <w:tr w:rsidR="00244D23" w:rsidRPr="00283C60" w14:paraId="51E00FC1" w14:textId="77777777" w:rsidTr="00393DF8">
        <w:trPr>
          <w:trHeight w:val="251"/>
        </w:trPr>
        <w:tc>
          <w:tcPr>
            <w:tcW w:w="1317" w:type="pct"/>
            <w:tcBorders>
              <w:top w:val="single" w:sz="4" w:space="0" w:color="000000"/>
              <w:left w:val="single" w:sz="4" w:space="0" w:color="000000"/>
              <w:bottom w:val="nil"/>
              <w:right w:val="single" w:sz="4" w:space="0" w:color="000000"/>
            </w:tcBorders>
            <w:hideMark/>
          </w:tcPr>
          <w:p w14:paraId="02E7BED7"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Rate-ratio</w:t>
            </w:r>
          </w:p>
        </w:tc>
        <w:tc>
          <w:tcPr>
            <w:tcW w:w="498" w:type="pct"/>
            <w:vMerge w:val="restart"/>
            <w:tcBorders>
              <w:top w:val="single" w:sz="4" w:space="0" w:color="000000"/>
              <w:left w:val="single" w:sz="4" w:space="0" w:color="000000"/>
              <w:bottom w:val="single" w:sz="4" w:space="0" w:color="000000"/>
              <w:right w:val="single" w:sz="4" w:space="0" w:color="000000"/>
            </w:tcBorders>
          </w:tcPr>
          <w:p w14:paraId="0F90FB8D"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nil"/>
              <w:right w:val="single" w:sz="4" w:space="0" w:color="000000"/>
            </w:tcBorders>
            <w:hideMark/>
          </w:tcPr>
          <w:p w14:paraId="480F019A"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0,47</w:t>
            </w:r>
          </w:p>
        </w:tc>
        <w:tc>
          <w:tcPr>
            <w:tcW w:w="498" w:type="pct"/>
            <w:vMerge w:val="restart"/>
            <w:tcBorders>
              <w:top w:val="single" w:sz="4" w:space="0" w:color="000000"/>
              <w:left w:val="single" w:sz="4" w:space="0" w:color="000000"/>
              <w:bottom w:val="single" w:sz="4" w:space="0" w:color="000000"/>
              <w:right w:val="single" w:sz="4" w:space="0" w:color="000000"/>
            </w:tcBorders>
          </w:tcPr>
          <w:p w14:paraId="02BD5654"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nil"/>
              <w:right w:val="single" w:sz="4" w:space="0" w:color="000000"/>
            </w:tcBorders>
            <w:hideMark/>
          </w:tcPr>
          <w:p w14:paraId="34A57EC7"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0,56</w:t>
            </w:r>
          </w:p>
        </w:tc>
        <w:tc>
          <w:tcPr>
            <w:tcW w:w="1044" w:type="pct"/>
            <w:tcBorders>
              <w:top w:val="single" w:sz="4" w:space="0" w:color="000000"/>
              <w:left w:val="single" w:sz="4" w:space="0" w:color="000000"/>
              <w:bottom w:val="nil"/>
              <w:right w:val="single" w:sz="4" w:space="0" w:color="000000"/>
            </w:tcBorders>
            <w:hideMark/>
          </w:tcPr>
          <w:p w14:paraId="4BFD5CD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0,71</w:t>
            </w:r>
          </w:p>
        </w:tc>
      </w:tr>
      <w:tr w:rsidR="00244D23" w:rsidRPr="00283C60" w14:paraId="594BAC9E" w14:textId="77777777" w:rsidTr="00393DF8">
        <w:trPr>
          <w:trHeight w:val="244"/>
        </w:trPr>
        <w:tc>
          <w:tcPr>
            <w:tcW w:w="1317" w:type="pct"/>
            <w:tcBorders>
              <w:top w:val="nil"/>
              <w:left w:val="single" w:sz="4" w:space="0" w:color="000000"/>
              <w:bottom w:val="single" w:sz="4" w:space="0" w:color="000000"/>
              <w:right w:val="single" w:sz="4" w:space="0" w:color="000000"/>
            </w:tcBorders>
            <w:hideMark/>
          </w:tcPr>
          <w:p w14:paraId="1BC942EC"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(95 %</w:t>
            </w:r>
            <w:r w:rsidRPr="00283C60">
              <w:rPr>
                <w:spacing w:val="-3"/>
                <w:kern w:val="2"/>
                <w:lang w:val="da-DK"/>
                <w14:ligatures w14:val="standardContextual"/>
              </w:rPr>
              <w:t xml:space="preserve"> </w:t>
            </w:r>
            <w:r w:rsidRPr="00283C60">
              <w:rPr>
                <w:kern w:val="2"/>
                <w:lang w:val="da-DK"/>
                <w14:ligatures w14:val="standardContextual"/>
              </w:rPr>
              <w:t>KI)</w:t>
            </w:r>
          </w:p>
        </w:tc>
        <w:tc>
          <w:tcPr>
            <w:tcW w:w="498" w:type="pct"/>
            <w:vMerge/>
            <w:tcBorders>
              <w:top w:val="single" w:sz="4" w:space="0" w:color="000000"/>
              <w:left w:val="single" w:sz="4" w:space="0" w:color="000000"/>
              <w:bottom w:val="single" w:sz="4" w:space="0" w:color="000000"/>
              <w:right w:val="single" w:sz="4" w:space="0" w:color="000000"/>
            </w:tcBorders>
            <w:vAlign w:val="center"/>
            <w:hideMark/>
          </w:tcPr>
          <w:p w14:paraId="1319091D" w14:textId="77777777" w:rsidR="00244D23" w:rsidRPr="00283C60" w:rsidRDefault="00244D23">
            <w:pPr>
              <w:spacing w:line="256" w:lineRule="auto"/>
              <w:rPr>
                <w:kern w:val="2"/>
                <w:sz w:val="22"/>
                <w:szCs w:val="22"/>
                <w14:ligatures w14:val="standardContextual"/>
              </w:rPr>
            </w:pPr>
          </w:p>
        </w:tc>
        <w:tc>
          <w:tcPr>
            <w:tcW w:w="822" w:type="pct"/>
            <w:tcBorders>
              <w:top w:val="nil"/>
              <w:left w:val="single" w:sz="4" w:space="0" w:color="000000"/>
              <w:bottom w:val="single" w:sz="4" w:space="0" w:color="000000"/>
              <w:right w:val="single" w:sz="4" w:space="0" w:color="000000"/>
            </w:tcBorders>
            <w:hideMark/>
          </w:tcPr>
          <w:p w14:paraId="427F6BE9"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(0,37, 0,61)</w:t>
            </w:r>
          </w:p>
        </w:tc>
        <w:tc>
          <w:tcPr>
            <w:tcW w:w="498" w:type="pct"/>
            <w:vMerge/>
            <w:tcBorders>
              <w:top w:val="single" w:sz="4" w:space="0" w:color="000000"/>
              <w:left w:val="single" w:sz="4" w:space="0" w:color="000000"/>
              <w:bottom w:val="single" w:sz="4" w:space="0" w:color="000000"/>
              <w:right w:val="single" w:sz="4" w:space="0" w:color="000000"/>
            </w:tcBorders>
            <w:vAlign w:val="center"/>
            <w:hideMark/>
          </w:tcPr>
          <w:p w14:paraId="2D5BA356" w14:textId="77777777" w:rsidR="00244D23" w:rsidRPr="00283C60" w:rsidRDefault="00244D23">
            <w:pPr>
              <w:spacing w:line="256" w:lineRule="auto"/>
              <w:rPr>
                <w:kern w:val="2"/>
                <w:sz w:val="22"/>
                <w:szCs w:val="22"/>
                <w14:ligatures w14:val="standardContextual"/>
              </w:rPr>
            </w:pPr>
          </w:p>
        </w:tc>
        <w:tc>
          <w:tcPr>
            <w:tcW w:w="820" w:type="pct"/>
            <w:tcBorders>
              <w:top w:val="nil"/>
              <w:left w:val="single" w:sz="4" w:space="0" w:color="000000"/>
              <w:bottom w:val="single" w:sz="4" w:space="0" w:color="000000"/>
              <w:right w:val="single" w:sz="4" w:space="0" w:color="000000"/>
            </w:tcBorders>
            <w:hideMark/>
          </w:tcPr>
          <w:p w14:paraId="2F95DDF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(0,42, 0,74)</w:t>
            </w:r>
          </w:p>
        </w:tc>
        <w:tc>
          <w:tcPr>
            <w:tcW w:w="1044" w:type="pct"/>
            <w:tcBorders>
              <w:top w:val="nil"/>
              <w:left w:val="single" w:sz="4" w:space="0" w:color="000000"/>
              <w:bottom w:val="single" w:sz="4" w:space="0" w:color="000000"/>
              <w:right w:val="single" w:sz="4" w:space="0" w:color="000000"/>
            </w:tcBorders>
            <w:hideMark/>
          </w:tcPr>
          <w:p w14:paraId="2371A174"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(0,55, 0,93)</w:t>
            </w:r>
          </w:p>
        </w:tc>
      </w:tr>
      <w:tr w:rsidR="00244D23" w:rsidRPr="00283C60" w14:paraId="5AA15AAF" w14:textId="77777777" w:rsidTr="00393DF8">
        <w:trPr>
          <w:trHeight w:val="253"/>
        </w:trPr>
        <w:tc>
          <w:tcPr>
            <w:tcW w:w="1317" w:type="pct"/>
            <w:tcBorders>
              <w:top w:val="single" w:sz="4" w:space="0" w:color="000000"/>
              <w:left w:val="single" w:sz="4" w:space="0" w:color="000000"/>
              <w:bottom w:val="single" w:sz="4" w:space="0" w:color="000000"/>
              <w:right w:val="single" w:sz="4" w:space="0" w:color="000000"/>
            </w:tcBorders>
            <w:hideMark/>
          </w:tcPr>
          <w:p w14:paraId="4729FC32"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Andel</w:t>
            </w:r>
            <w:r w:rsidRPr="00283C60">
              <w:rPr>
                <w:spacing w:val="-2"/>
                <w:kern w:val="2"/>
                <w:lang w:val="da-DK"/>
                <w14:ligatures w14:val="standardContextual"/>
              </w:rPr>
              <w:t xml:space="preserve"> </w:t>
            </w:r>
            <w:r w:rsidRPr="00283C60">
              <w:rPr>
                <w:kern w:val="2"/>
                <w:lang w:val="da-DK"/>
                <w14:ligatures w14:val="standardContextual"/>
              </w:rPr>
              <w:t>med</w:t>
            </w:r>
            <w:r w:rsidRPr="00283C60">
              <w:rPr>
                <w:spacing w:val="-3"/>
                <w:kern w:val="2"/>
                <w:lang w:val="da-DK"/>
                <w14:ligatures w14:val="standardContextual"/>
              </w:rPr>
              <w:t xml:space="preserve"> </w:t>
            </w:r>
            <w:r w:rsidRPr="00283C60">
              <w:rPr>
                <w:kern w:val="2"/>
                <w:lang w:val="da-DK"/>
                <w14:ligatures w14:val="standardContextual"/>
              </w:rPr>
              <w:t>attakker</w:t>
            </w:r>
          </w:p>
        </w:tc>
        <w:tc>
          <w:tcPr>
            <w:tcW w:w="498" w:type="pct"/>
            <w:tcBorders>
              <w:top w:val="single" w:sz="4" w:space="0" w:color="000000"/>
              <w:left w:val="single" w:sz="4" w:space="0" w:color="000000"/>
              <w:bottom w:val="single" w:sz="4" w:space="0" w:color="000000"/>
              <w:right w:val="single" w:sz="4" w:space="0" w:color="000000"/>
            </w:tcBorders>
            <w:hideMark/>
          </w:tcPr>
          <w:p w14:paraId="30BCD8F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0,461</w:t>
            </w:r>
          </w:p>
        </w:tc>
        <w:tc>
          <w:tcPr>
            <w:tcW w:w="822" w:type="pct"/>
            <w:tcBorders>
              <w:top w:val="single" w:sz="4" w:space="0" w:color="000000"/>
              <w:left w:val="single" w:sz="4" w:space="0" w:color="000000"/>
              <w:bottom w:val="single" w:sz="4" w:space="0" w:color="000000"/>
              <w:right w:val="single" w:sz="4" w:space="0" w:color="000000"/>
            </w:tcBorders>
            <w:hideMark/>
          </w:tcPr>
          <w:p w14:paraId="57DD3F0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0,270***</w:t>
            </w:r>
          </w:p>
        </w:tc>
        <w:tc>
          <w:tcPr>
            <w:tcW w:w="498" w:type="pct"/>
            <w:tcBorders>
              <w:top w:val="single" w:sz="4" w:space="0" w:color="000000"/>
              <w:left w:val="single" w:sz="4" w:space="0" w:color="000000"/>
              <w:bottom w:val="single" w:sz="4" w:space="0" w:color="000000"/>
              <w:right w:val="single" w:sz="4" w:space="0" w:color="000000"/>
            </w:tcBorders>
            <w:hideMark/>
          </w:tcPr>
          <w:p w14:paraId="5DC880B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0,410</w:t>
            </w:r>
          </w:p>
        </w:tc>
        <w:tc>
          <w:tcPr>
            <w:tcW w:w="820" w:type="pct"/>
            <w:tcBorders>
              <w:top w:val="single" w:sz="4" w:space="0" w:color="000000"/>
              <w:left w:val="single" w:sz="4" w:space="0" w:color="000000"/>
              <w:bottom w:val="single" w:sz="4" w:space="0" w:color="000000"/>
              <w:right w:val="single" w:sz="4" w:space="0" w:color="000000"/>
            </w:tcBorders>
            <w:hideMark/>
          </w:tcPr>
          <w:p w14:paraId="6FFF69C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0,291**</w:t>
            </w:r>
          </w:p>
        </w:tc>
        <w:tc>
          <w:tcPr>
            <w:tcW w:w="1044" w:type="pct"/>
            <w:tcBorders>
              <w:top w:val="single" w:sz="4" w:space="0" w:color="000000"/>
              <w:left w:val="single" w:sz="4" w:space="0" w:color="000000"/>
              <w:bottom w:val="single" w:sz="4" w:space="0" w:color="000000"/>
              <w:right w:val="single" w:sz="4" w:space="0" w:color="000000"/>
            </w:tcBorders>
            <w:hideMark/>
          </w:tcPr>
          <w:p w14:paraId="348B2F46"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0,321**</w:t>
            </w:r>
          </w:p>
        </w:tc>
      </w:tr>
      <w:tr w:rsidR="00244D23" w:rsidRPr="00283C60" w14:paraId="1E06BBC9" w14:textId="77777777" w:rsidTr="00393DF8">
        <w:trPr>
          <w:trHeight w:val="544"/>
        </w:trPr>
        <w:tc>
          <w:tcPr>
            <w:tcW w:w="1317" w:type="pct"/>
            <w:tcBorders>
              <w:top w:val="single" w:sz="4" w:space="0" w:color="000000"/>
              <w:left w:val="single" w:sz="4" w:space="0" w:color="000000"/>
              <w:bottom w:val="single" w:sz="4" w:space="0" w:color="000000"/>
              <w:right w:val="single" w:sz="4" w:space="0" w:color="000000"/>
            </w:tcBorders>
            <w:hideMark/>
          </w:tcPr>
          <w:p w14:paraId="7B20C5A2"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Risiko-ratio (95 % KI)</w:t>
            </w:r>
          </w:p>
        </w:tc>
        <w:tc>
          <w:tcPr>
            <w:tcW w:w="498" w:type="pct"/>
            <w:tcBorders>
              <w:top w:val="single" w:sz="4" w:space="0" w:color="000000"/>
              <w:left w:val="single" w:sz="4" w:space="0" w:color="000000"/>
              <w:bottom w:val="single" w:sz="4" w:space="0" w:color="000000"/>
              <w:right w:val="single" w:sz="4" w:space="0" w:color="000000"/>
            </w:tcBorders>
          </w:tcPr>
          <w:p w14:paraId="334AE4CB"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single" w:sz="4" w:space="0" w:color="000000"/>
              <w:right w:val="single" w:sz="4" w:space="0" w:color="000000"/>
            </w:tcBorders>
            <w:hideMark/>
          </w:tcPr>
          <w:p w14:paraId="5B380CD9"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0,51</w:t>
            </w:r>
          </w:p>
          <w:p w14:paraId="1051B727"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(0,40, 0,66)</w:t>
            </w:r>
          </w:p>
        </w:tc>
        <w:tc>
          <w:tcPr>
            <w:tcW w:w="498" w:type="pct"/>
            <w:tcBorders>
              <w:top w:val="single" w:sz="4" w:space="0" w:color="000000"/>
              <w:left w:val="single" w:sz="4" w:space="0" w:color="000000"/>
              <w:bottom w:val="single" w:sz="4" w:space="0" w:color="000000"/>
              <w:right w:val="single" w:sz="4" w:space="0" w:color="000000"/>
            </w:tcBorders>
          </w:tcPr>
          <w:p w14:paraId="29EC103C"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single" w:sz="4" w:space="0" w:color="000000"/>
              <w:right w:val="single" w:sz="4" w:space="0" w:color="000000"/>
            </w:tcBorders>
            <w:hideMark/>
          </w:tcPr>
          <w:p w14:paraId="6037A90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0,66</w:t>
            </w:r>
          </w:p>
          <w:p w14:paraId="525D876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(0,51, 0,86)</w:t>
            </w:r>
          </w:p>
        </w:tc>
        <w:tc>
          <w:tcPr>
            <w:tcW w:w="1044" w:type="pct"/>
            <w:tcBorders>
              <w:top w:val="single" w:sz="4" w:space="0" w:color="000000"/>
              <w:left w:val="single" w:sz="4" w:space="0" w:color="000000"/>
              <w:bottom w:val="single" w:sz="4" w:space="0" w:color="000000"/>
              <w:right w:val="single" w:sz="4" w:space="0" w:color="000000"/>
            </w:tcBorders>
            <w:hideMark/>
          </w:tcPr>
          <w:p w14:paraId="69215EC6"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0,71</w:t>
            </w:r>
          </w:p>
          <w:p w14:paraId="403DCDA3" w14:textId="77777777" w:rsidR="00244D23" w:rsidRPr="00283C60" w:rsidRDefault="00244D23">
            <w:pPr>
              <w:pStyle w:val="TableParagraph"/>
              <w:spacing w:before="35" w:line="256" w:lineRule="auto"/>
              <w:rPr>
                <w:kern w:val="2"/>
                <w:lang w:val="da-DK"/>
                <w14:ligatures w14:val="standardContextual"/>
              </w:rPr>
            </w:pPr>
            <w:r w:rsidRPr="00283C60">
              <w:rPr>
                <w:kern w:val="2"/>
                <w:lang w:val="da-DK"/>
                <w14:ligatures w14:val="standardContextual"/>
              </w:rPr>
              <w:t>(0,55, 0,92)</w:t>
            </w:r>
          </w:p>
        </w:tc>
      </w:tr>
      <w:tr w:rsidR="00244D23" w:rsidRPr="00283C60" w14:paraId="0C8432C2" w14:textId="77777777" w:rsidTr="00393DF8">
        <w:trPr>
          <w:trHeight w:val="757"/>
        </w:trPr>
        <w:tc>
          <w:tcPr>
            <w:tcW w:w="1317" w:type="pct"/>
            <w:tcBorders>
              <w:top w:val="single" w:sz="4" w:space="0" w:color="000000"/>
              <w:left w:val="single" w:sz="4" w:space="0" w:color="000000"/>
              <w:bottom w:val="single" w:sz="4" w:space="0" w:color="000000"/>
              <w:right w:val="single" w:sz="4" w:space="0" w:color="000000"/>
            </w:tcBorders>
            <w:hideMark/>
          </w:tcPr>
          <w:p w14:paraId="035ED222"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Andel med 12-ugers</w:t>
            </w:r>
            <w:r w:rsidRPr="00283C60">
              <w:rPr>
                <w:spacing w:val="-52"/>
                <w:kern w:val="2"/>
                <w:lang w:val="da-DK"/>
                <w14:ligatures w14:val="standardContextual"/>
              </w:rPr>
              <w:t xml:space="preserve"> </w:t>
            </w:r>
            <w:r w:rsidRPr="00283C60">
              <w:rPr>
                <w:kern w:val="2"/>
                <w:lang w:val="da-DK"/>
                <w14:ligatures w14:val="standardContextual"/>
              </w:rPr>
              <w:t>bekræftet</w:t>
            </w:r>
          </w:p>
          <w:p w14:paraId="67B01A19"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invaliditetsprogression</w:t>
            </w:r>
          </w:p>
        </w:tc>
        <w:tc>
          <w:tcPr>
            <w:tcW w:w="498" w:type="pct"/>
            <w:tcBorders>
              <w:top w:val="single" w:sz="4" w:space="0" w:color="000000"/>
              <w:left w:val="single" w:sz="4" w:space="0" w:color="000000"/>
              <w:bottom w:val="single" w:sz="4" w:space="0" w:color="000000"/>
              <w:right w:val="single" w:sz="4" w:space="0" w:color="000000"/>
            </w:tcBorders>
            <w:hideMark/>
          </w:tcPr>
          <w:p w14:paraId="69E61050"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0,271</w:t>
            </w:r>
          </w:p>
        </w:tc>
        <w:tc>
          <w:tcPr>
            <w:tcW w:w="822" w:type="pct"/>
            <w:tcBorders>
              <w:top w:val="single" w:sz="4" w:space="0" w:color="000000"/>
              <w:left w:val="single" w:sz="4" w:space="0" w:color="000000"/>
              <w:bottom w:val="single" w:sz="4" w:space="0" w:color="000000"/>
              <w:right w:val="single" w:sz="4" w:space="0" w:color="000000"/>
            </w:tcBorders>
            <w:hideMark/>
          </w:tcPr>
          <w:p w14:paraId="3A0CC818"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0,164**</w:t>
            </w:r>
          </w:p>
        </w:tc>
        <w:tc>
          <w:tcPr>
            <w:tcW w:w="498" w:type="pct"/>
            <w:tcBorders>
              <w:top w:val="single" w:sz="4" w:space="0" w:color="000000"/>
              <w:left w:val="single" w:sz="4" w:space="0" w:color="000000"/>
              <w:bottom w:val="single" w:sz="4" w:space="0" w:color="000000"/>
              <w:right w:val="single" w:sz="4" w:space="0" w:color="000000"/>
            </w:tcBorders>
            <w:hideMark/>
          </w:tcPr>
          <w:p w14:paraId="1765244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0,169</w:t>
            </w:r>
          </w:p>
        </w:tc>
        <w:tc>
          <w:tcPr>
            <w:tcW w:w="820" w:type="pct"/>
            <w:tcBorders>
              <w:top w:val="single" w:sz="4" w:space="0" w:color="000000"/>
              <w:left w:val="single" w:sz="4" w:space="0" w:color="000000"/>
              <w:bottom w:val="single" w:sz="4" w:space="0" w:color="000000"/>
              <w:right w:val="single" w:sz="4" w:space="0" w:color="000000"/>
            </w:tcBorders>
            <w:hideMark/>
          </w:tcPr>
          <w:p w14:paraId="1E2E60D0"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0,128</w:t>
            </w:r>
            <w:r w:rsidRPr="00283C60">
              <w:rPr>
                <w:kern w:val="2"/>
                <w:vertAlign w:val="superscript"/>
                <w:lang w:val="da-DK"/>
                <w14:ligatures w14:val="standardContextual"/>
              </w:rPr>
              <w:t>#</w:t>
            </w:r>
          </w:p>
        </w:tc>
        <w:tc>
          <w:tcPr>
            <w:tcW w:w="1044" w:type="pct"/>
            <w:tcBorders>
              <w:top w:val="single" w:sz="4" w:space="0" w:color="000000"/>
              <w:left w:val="single" w:sz="4" w:space="0" w:color="000000"/>
              <w:bottom w:val="single" w:sz="4" w:space="0" w:color="000000"/>
              <w:right w:val="single" w:sz="4" w:space="0" w:color="000000"/>
            </w:tcBorders>
            <w:hideMark/>
          </w:tcPr>
          <w:p w14:paraId="7444BFE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0,156</w:t>
            </w:r>
            <w:r w:rsidRPr="00283C60">
              <w:rPr>
                <w:kern w:val="2"/>
                <w:vertAlign w:val="superscript"/>
                <w:lang w:val="da-DK"/>
                <w14:ligatures w14:val="standardContextual"/>
              </w:rPr>
              <w:t>#</w:t>
            </w:r>
          </w:p>
        </w:tc>
      </w:tr>
      <w:tr w:rsidR="00244D23" w:rsidRPr="00283C60" w14:paraId="030227B9" w14:textId="77777777" w:rsidTr="00393DF8">
        <w:trPr>
          <w:trHeight w:val="505"/>
        </w:trPr>
        <w:tc>
          <w:tcPr>
            <w:tcW w:w="1317" w:type="pct"/>
            <w:tcBorders>
              <w:top w:val="single" w:sz="4" w:space="0" w:color="000000"/>
              <w:left w:val="single" w:sz="4" w:space="0" w:color="000000"/>
              <w:bottom w:val="single" w:sz="4" w:space="0" w:color="000000"/>
              <w:right w:val="single" w:sz="4" w:space="0" w:color="000000"/>
            </w:tcBorders>
            <w:hideMark/>
          </w:tcPr>
          <w:p w14:paraId="469BE490"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Risiko-ratio</w:t>
            </w:r>
          </w:p>
          <w:p w14:paraId="659C48F8"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(95 % KI)</w:t>
            </w:r>
          </w:p>
        </w:tc>
        <w:tc>
          <w:tcPr>
            <w:tcW w:w="498" w:type="pct"/>
            <w:tcBorders>
              <w:top w:val="single" w:sz="4" w:space="0" w:color="000000"/>
              <w:left w:val="single" w:sz="4" w:space="0" w:color="000000"/>
              <w:bottom w:val="single" w:sz="4" w:space="0" w:color="000000"/>
              <w:right w:val="single" w:sz="4" w:space="0" w:color="000000"/>
            </w:tcBorders>
          </w:tcPr>
          <w:p w14:paraId="37A83812"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single" w:sz="4" w:space="0" w:color="000000"/>
              <w:right w:val="single" w:sz="4" w:space="0" w:color="000000"/>
            </w:tcBorders>
            <w:hideMark/>
          </w:tcPr>
          <w:p w14:paraId="4B7BEC8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0,62</w:t>
            </w:r>
          </w:p>
          <w:p w14:paraId="6C2E80D0"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(0,44, 0,87)</w:t>
            </w:r>
          </w:p>
        </w:tc>
        <w:tc>
          <w:tcPr>
            <w:tcW w:w="498" w:type="pct"/>
            <w:tcBorders>
              <w:top w:val="single" w:sz="4" w:space="0" w:color="000000"/>
              <w:left w:val="single" w:sz="4" w:space="0" w:color="000000"/>
              <w:bottom w:val="single" w:sz="4" w:space="0" w:color="000000"/>
              <w:right w:val="single" w:sz="4" w:space="0" w:color="000000"/>
            </w:tcBorders>
          </w:tcPr>
          <w:p w14:paraId="4F10901E"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single" w:sz="4" w:space="0" w:color="000000"/>
              <w:right w:val="single" w:sz="4" w:space="0" w:color="000000"/>
            </w:tcBorders>
            <w:hideMark/>
          </w:tcPr>
          <w:p w14:paraId="49759FB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0,79</w:t>
            </w:r>
          </w:p>
          <w:p w14:paraId="407E3BDA"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(0,52, 1,19)</w:t>
            </w:r>
          </w:p>
        </w:tc>
        <w:tc>
          <w:tcPr>
            <w:tcW w:w="1044" w:type="pct"/>
            <w:tcBorders>
              <w:top w:val="single" w:sz="4" w:space="0" w:color="000000"/>
              <w:left w:val="single" w:sz="4" w:space="0" w:color="000000"/>
              <w:bottom w:val="single" w:sz="4" w:space="0" w:color="000000"/>
              <w:right w:val="single" w:sz="4" w:space="0" w:color="000000"/>
            </w:tcBorders>
            <w:hideMark/>
          </w:tcPr>
          <w:p w14:paraId="45CAEF64"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0,93</w:t>
            </w:r>
          </w:p>
          <w:p w14:paraId="154E96F6"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(0,63, 1,37)</w:t>
            </w:r>
          </w:p>
        </w:tc>
      </w:tr>
      <w:tr w:rsidR="00244D23" w:rsidRPr="00283C60" w14:paraId="726D5D15" w14:textId="77777777" w:rsidTr="00393DF8">
        <w:trPr>
          <w:trHeight w:val="760"/>
        </w:trPr>
        <w:tc>
          <w:tcPr>
            <w:tcW w:w="1317" w:type="pct"/>
            <w:tcBorders>
              <w:top w:val="single" w:sz="4" w:space="0" w:color="000000"/>
              <w:left w:val="single" w:sz="4" w:space="0" w:color="000000"/>
              <w:bottom w:val="single" w:sz="4" w:space="0" w:color="000000"/>
              <w:right w:val="single" w:sz="4" w:space="0" w:color="000000"/>
            </w:tcBorders>
            <w:hideMark/>
          </w:tcPr>
          <w:p w14:paraId="04BA9B35"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Andel</w:t>
            </w:r>
            <w:r w:rsidRPr="00283C60">
              <w:rPr>
                <w:spacing w:val="-3"/>
                <w:kern w:val="2"/>
                <w:lang w:val="da-DK"/>
                <w14:ligatures w14:val="standardContextual"/>
              </w:rPr>
              <w:t xml:space="preserve"> </w:t>
            </w:r>
            <w:r w:rsidRPr="00283C60">
              <w:rPr>
                <w:kern w:val="2"/>
                <w:lang w:val="da-DK"/>
                <w14:ligatures w14:val="standardContextual"/>
              </w:rPr>
              <w:t>med</w:t>
            </w:r>
            <w:r w:rsidRPr="00283C60">
              <w:rPr>
                <w:spacing w:val="-1"/>
                <w:kern w:val="2"/>
                <w:lang w:val="da-DK"/>
                <w14:ligatures w14:val="standardContextual"/>
              </w:rPr>
              <w:t xml:space="preserve"> </w:t>
            </w:r>
            <w:r w:rsidRPr="00283C60">
              <w:rPr>
                <w:kern w:val="2"/>
                <w:lang w:val="da-DK"/>
                <w14:ligatures w14:val="standardContextual"/>
              </w:rPr>
              <w:t>24-ugers</w:t>
            </w:r>
          </w:p>
          <w:p w14:paraId="05E1002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bekræftet</w:t>
            </w:r>
            <w:r w:rsidRPr="00283C60">
              <w:rPr>
                <w:spacing w:val="1"/>
                <w:kern w:val="2"/>
                <w:lang w:val="da-DK"/>
                <w14:ligatures w14:val="standardContextual"/>
              </w:rPr>
              <w:t xml:space="preserve"> </w:t>
            </w:r>
            <w:r w:rsidRPr="00283C60">
              <w:rPr>
                <w:kern w:val="2"/>
                <w:lang w:val="da-DK"/>
                <w14:ligatures w14:val="standardContextual"/>
              </w:rPr>
              <w:t>invaliditetsprogression</w:t>
            </w:r>
          </w:p>
        </w:tc>
        <w:tc>
          <w:tcPr>
            <w:tcW w:w="498" w:type="pct"/>
            <w:tcBorders>
              <w:top w:val="single" w:sz="4" w:space="0" w:color="000000"/>
              <w:left w:val="single" w:sz="4" w:space="0" w:color="000000"/>
              <w:bottom w:val="single" w:sz="4" w:space="0" w:color="000000"/>
              <w:right w:val="single" w:sz="4" w:space="0" w:color="000000"/>
            </w:tcBorders>
            <w:hideMark/>
          </w:tcPr>
          <w:p w14:paraId="23D06022"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0,169</w:t>
            </w:r>
          </w:p>
        </w:tc>
        <w:tc>
          <w:tcPr>
            <w:tcW w:w="822" w:type="pct"/>
            <w:tcBorders>
              <w:top w:val="single" w:sz="4" w:space="0" w:color="000000"/>
              <w:left w:val="single" w:sz="4" w:space="0" w:color="000000"/>
              <w:bottom w:val="single" w:sz="4" w:space="0" w:color="000000"/>
              <w:right w:val="single" w:sz="4" w:space="0" w:color="000000"/>
            </w:tcBorders>
            <w:hideMark/>
          </w:tcPr>
          <w:p w14:paraId="0C04BFD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0,128</w:t>
            </w:r>
            <w:r w:rsidRPr="00283C60">
              <w:rPr>
                <w:kern w:val="2"/>
                <w:vertAlign w:val="superscript"/>
                <w:lang w:val="da-DK"/>
                <w14:ligatures w14:val="standardContextual"/>
              </w:rPr>
              <w:t>#</w:t>
            </w:r>
          </w:p>
        </w:tc>
        <w:tc>
          <w:tcPr>
            <w:tcW w:w="498" w:type="pct"/>
            <w:tcBorders>
              <w:top w:val="single" w:sz="4" w:space="0" w:color="000000"/>
              <w:left w:val="single" w:sz="4" w:space="0" w:color="000000"/>
              <w:bottom w:val="single" w:sz="4" w:space="0" w:color="000000"/>
              <w:right w:val="single" w:sz="4" w:space="0" w:color="000000"/>
            </w:tcBorders>
            <w:hideMark/>
          </w:tcPr>
          <w:p w14:paraId="2D41471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0,125</w:t>
            </w:r>
          </w:p>
        </w:tc>
        <w:tc>
          <w:tcPr>
            <w:tcW w:w="820" w:type="pct"/>
            <w:tcBorders>
              <w:top w:val="single" w:sz="4" w:space="0" w:color="000000"/>
              <w:left w:val="single" w:sz="4" w:space="0" w:color="000000"/>
              <w:bottom w:val="single" w:sz="4" w:space="0" w:color="000000"/>
              <w:right w:val="single" w:sz="4" w:space="0" w:color="000000"/>
            </w:tcBorders>
            <w:hideMark/>
          </w:tcPr>
          <w:p w14:paraId="3C522ED4"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0,078</w:t>
            </w:r>
            <w:r w:rsidRPr="00283C60">
              <w:rPr>
                <w:kern w:val="2"/>
                <w:vertAlign w:val="superscript"/>
                <w:lang w:val="da-DK"/>
                <w14:ligatures w14:val="standardContextual"/>
              </w:rPr>
              <w:t>#</w:t>
            </w:r>
          </w:p>
        </w:tc>
        <w:tc>
          <w:tcPr>
            <w:tcW w:w="1044" w:type="pct"/>
            <w:tcBorders>
              <w:top w:val="single" w:sz="4" w:space="0" w:color="000000"/>
              <w:left w:val="single" w:sz="4" w:space="0" w:color="000000"/>
              <w:bottom w:val="single" w:sz="4" w:space="0" w:color="000000"/>
              <w:right w:val="single" w:sz="4" w:space="0" w:color="000000"/>
            </w:tcBorders>
            <w:hideMark/>
          </w:tcPr>
          <w:p w14:paraId="37DB4831"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0,108</w:t>
            </w:r>
            <w:r w:rsidRPr="00283C60">
              <w:rPr>
                <w:kern w:val="2"/>
                <w:vertAlign w:val="superscript"/>
                <w:lang w:val="da-DK"/>
                <w14:ligatures w14:val="standardContextual"/>
              </w:rPr>
              <w:t>#</w:t>
            </w:r>
          </w:p>
        </w:tc>
      </w:tr>
      <w:tr w:rsidR="00244D23" w:rsidRPr="00283C60" w14:paraId="2D2DD0A6" w14:textId="77777777" w:rsidTr="00393DF8">
        <w:trPr>
          <w:trHeight w:val="506"/>
        </w:trPr>
        <w:tc>
          <w:tcPr>
            <w:tcW w:w="1317" w:type="pct"/>
            <w:tcBorders>
              <w:top w:val="single" w:sz="4" w:space="0" w:color="000000"/>
              <w:left w:val="single" w:sz="4" w:space="0" w:color="000000"/>
              <w:bottom w:val="single" w:sz="4" w:space="0" w:color="000000"/>
              <w:right w:val="single" w:sz="4" w:space="0" w:color="000000"/>
            </w:tcBorders>
            <w:hideMark/>
          </w:tcPr>
          <w:p w14:paraId="6898F44C"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Risiko-ratio</w:t>
            </w:r>
          </w:p>
          <w:p w14:paraId="4EE1099C"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(95 % KI)</w:t>
            </w:r>
          </w:p>
        </w:tc>
        <w:tc>
          <w:tcPr>
            <w:tcW w:w="498" w:type="pct"/>
            <w:tcBorders>
              <w:top w:val="single" w:sz="4" w:space="0" w:color="000000"/>
              <w:left w:val="single" w:sz="4" w:space="0" w:color="000000"/>
              <w:bottom w:val="single" w:sz="4" w:space="0" w:color="000000"/>
              <w:right w:val="single" w:sz="4" w:space="0" w:color="000000"/>
            </w:tcBorders>
          </w:tcPr>
          <w:p w14:paraId="2A3A8522"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single" w:sz="4" w:space="0" w:color="000000"/>
              <w:right w:val="single" w:sz="4" w:space="0" w:color="000000"/>
            </w:tcBorders>
            <w:hideMark/>
          </w:tcPr>
          <w:p w14:paraId="22122C90"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0,77</w:t>
            </w:r>
          </w:p>
          <w:p w14:paraId="2E446788"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(0,52, 1,14)</w:t>
            </w:r>
          </w:p>
        </w:tc>
        <w:tc>
          <w:tcPr>
            <w:tcW w:w="498" w:type="pct"/>
            <w:tcBorders>
              <w:top w:val="single" w:sz="4" w:space="0" w:color="000000"/>
              <w:left w:val="single" w:sz="4" w:space="0" w:color="000000"/>
              <w:bottom w:val="single" w:sz="4" w:space="0" w:color="000000"/>
              <w:right w:val="single" w:sz="4" w:space="0" w:color="000000"/>
            </w:tcBorders>
          </w:tcPr>
          <w:p w14:paraId="1144905F"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single" w:sz="4" w:space="0" w:color="000000"/>
              <w:right w:val="single" w:sz="4" w:space="0" w:color="000000"/>
            </w:tcBorders>
            <w:hideMark/>
          </w:tcPr>
          <w:p w14:paraId="0E633653"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0,62</w:t>
            </w:r>
          </w:p>
          <w:p w14:paraId="0F27CF45"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(0,37, 1,03)</w:t>
            </w:r>
          </w:p>
        </w:tc>
        <w:tc>
          <w:tcPr>
            <w:tcW w:w="1044" w:type="pct"/>
            <w:tcBorders>
              <w:top w:val="single" w:sz="4" w:space="0" w:color="000000"/>
              <w:left w:val="single" w:sz="4" w:space="0" w:color="000000"/>
              <w:bottom w:val="single" w:sz="4" w:space="0" w:color="000000"/>
              <w:right w:val="single" w:sz="4" w:space="0" w:color="000000"/>
            </w:tcBorders>
            <w:hideMark/>
          </w:tcPr>
          <w:p w14:paraId="054737A0"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0,87</w:t>
            </w:r>
          </w:p>
          <w:p w14:paraId="182DB963"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(0,55, 1,38)</w:t>
            </w:r>
          </w:p>
        </w:tc>
      </w:tr>
      <w:tr w:rsidR="00244D23" w:rsidRPr="00283C60" w14:paraId="596D5D14" w14:textId="77777777" w:rsidTr="00393DF8">
        <w:trPr>
          <w:trHeight w:val="506"/>
        </w:trPr>
        <w:tc>
          <w:tcPr>
            <w:tcW w:w="2638" w:type="pct"/>
            <w:gridSpan w:val="3"/>
            <w:tcBorders>
              <w:top w:val="single" w:sz="4" w:space="0" w:color="000000"/>
              <w:left w:val="single" w:sz="4" w:space="0" w:color="000000"/>
              <w:bottom w:val="single" w:sz="4" w:space="0" w:color="000000"/>
              <w:right w:val="single" w:sz="4" w:space="0" w:color="000000"/>
            </w:tcBorders>
            <w:hideMark/>
          </w:tcPr>
          <w:p w14:paraId="51AA474C" w14:textId="77777777" w:rsidR="00244D23" w:rsidRPr="00283C60" w:rsidRDefault="00244D23">
            <w:pPr>
              <w:pStyle w:val="TableParagraph"/>
              <w:spacing w:line="256" w:lineRule="auto"/>
              <w:rPr>
                <w:kern w:val="2"/>
                <w:lang w:val="da-DK"/>
                <w14:ligatures w14:val="standardContextual"/>
              </w:rPr>
            </w:pPr>
            <w:r w:rsidRPr="00283C60">
              <w:rPr>
                <w:b/>
                <w:kern w:val="2"/>
                <w:lang w:val="da-DK"/>
                <w14:ligatures w14:val="standardContextual"/>
              </w:rPr>
              <w:t>Endepunkter</w:t>
            </w:r>
            <w:r w:rsidRPr="00283C60">
              <w:rPr>
                <w:b/>
                <w:spacing w:val="-3"/>
                <w:kern w:val="2"/>
                <w:lang w:val="da-DK"/>
                <w14:ligatures w14:val="standardContextual"/>
              </w:rPr>
              <w:t xml:space="preserve"> </w:t>
            </w:r>
            <w:r w:rsidRPr="00283C60">
              <w:rPr>
                <w:b/>
                <w:kern w:val="2"/>
                <w:lang w:val="da-DK"/>
                <w14:ligatures w14:val="standardContextual"/>
              </w:rPr>
              <w:t>ved</w:t>
            </w:r>
            <w:r w:rsidRPr="00283C60">
              <w:rPr>
                <w:b/>
                <w:spacing w:val="-2"/>
                <w:kern w:val="2"/>
                <w:lang w:val="da-DK"/>
                <w14:ligatures w14:val="standardContextual"/>
              </w:rPr>
              <w:t xml:space="preserve"> </w:t>
            </w:r>
            <w:proofErr w:type="spellStart"/>
            <w:r w:rsidRPr="00283C60">
              <w:rPr>
                <w:b/>
                <w:kern w:val="2"/>
                <w:lang w:val="da-DK"/>
                <w14:ligatures w14:val="standardContextual"/>
              </w:rPr>
              <w:t>MR-scanning</w:t>
            </w:r>
            <w:r w:rsidRPr="00283C60">
              <w:rPr>
                <w:kern w:val="2"/>
                <w:vertAlign w:val="superscript"/>
                <w:lang w:val="da-DK"/>
                <w14:ligatures w14:val="standardContextual"/>
              </w:rPr>
              <w:t>b</w:t>
            </w:r>
            <w:proofErr w:type="spellEnd"/>
          </w:p>
        </w:tc>
        <w:tc>
          <w:tcPr>
            <w:tcW w:w="2362" w:type="pct"/>
            <w:gridSpan w:val="3"/>
            <w:tcBorders>
              <w:top w:val="single" w:sz="4" w:space="0" w:color="000000"/>
              <w:left w:val="single" w:sz="4" w:space="0" w:color="000000"/>
              <w:bottom w:val="single" w:sz="4" w:space="0" w:color="000000"/>
              <w:right w:val="single" w:sz="4" w:space="0" w:color="000000"/>
            </w:tcBorders>
          </w:tcPr>
          <w:p w14:paraId="0C7E0408" w14:textId="77777777" w:rsidR="00244D23" w:rsidRPr="00283C60" w:rsidRDefault="00244D23">
            <w:pPr>
              <w:pStyle w:val="TableParagraph"/>
              <w:spacing w:line="256" w:lineRule="auto"/>
              <w:rPr>
                <w:kern w:val="2"/>
                <w:lang w:val="da-DK"/>
                <w14:ligatures w14:val="standardContextual"/>
              </w:rPr>
            </w:pPr>
          </w:p>
        </w:tc>
      </w:tr>
      <w:tr w:rsidR="00244D23" w:rsidRPr="00283C60" w14:paraId="600126C0" w14:textId="77777777" w:rsidTr="00393DF8">
        <w:trPr>
          <w:trHeight w:val="251"/>
        </w:trPr>
        <w:tc>
          <w:tcPr>
            <w:tcW w:w="1317" w:type="pct"/>
            <w:tcBorders>
              <w:top w:val="single" w:sz="4" w:space="0" w:color="000000"/>
              <w:left w:val="single" w:sz="4" w:space="0" w:color="000000"/>
              <w:bottom w:val="single" w:sz="4" w:space="0" w:color="000000"/>
              <w:right w:val="single" w:sz="4" w:space="0" w:color="000000"/>
            </w:tcBorders>
            <w:hideMark/>
          </w:tcPr>
          <w:p w14:paraId="5398AE9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Antal</w:t>
            </w:r>
            <w:r w:rsidRPr="00283C60">
              <w:rPr>
                <w:spacing w:val="-3"/>
                <w:kern w:val="2"/>
                <w:lang w:val="da-DK"/>
                <w14:ligatures w14:val="standardContextual"/>
              </w:rPr>
              <w:t xml:space="preserve"> </w:t>
            </w:r>
            <w:r w:rsidRPr="00283C60">
              <w:rPr>
                <w:kern w:val="2"/>
                <w:lang w:val="da-DK"/>
                <w14:ligatures w14:val="standardContextual"/>
              </w:rPr>
              <w:t>patienter</w:t>
            </w:r>
          </w:p>
        </w:tc>
        <w:tc>
          <w:tcPr>
            <w:tcW w:w="498" w:type="pct"/>
            <w:tcBorders>
              <w:top w:val="single" w:sz="4" w:space="0" w:color="000000"/>
              <w:left w:val="single" w:sz="4" w:space="0" w:color="000000"/>
              <w:bottom w:val="single" w:sz="4" w:space="0" w:color="000000"/>
              <w:right w:val="single" w:sz="4" w:space="0" w:color="000000"/>
            </w:tcBorders>
            <w:hideMark/>
          </w:tcPr>
          <w:p w14:paraId="236FC1E3"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165</w:t>
            </w:r>
          </w:p>
        </w:tc>
        <w:tc>
          <w:tcPr>
            <w:tcW w:w="822" w:type="pct"/>
            <w:tcBorders>
              <w:top w:val="single" w:sz="4" w:space="0" w:color="000000"/>
              <w:left w:val="single" w:sz="4" w:space="0" w:color="000000"/>
              <w:bottom w:val="single" w:sz="4" w:space="0" w:color="000000"/>
              <w:right w:val="single" w:sz="4" w:space="0" w:color="000000"/>
            </w:tcBorders>
            <w:hideMark/>
          </w:tcPr>
          <w:p w14:paraId="116DD6D1"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152</w:t>
            </w:r>
          </w:p>
        </w:tc>
        <w:tc>
          <w:tcPr>
            <w:tcW w:w="498" w:type="pct"/>
            <w:tcBorders>
              <w:top w:val="single" w:sz="4" w:space="0" w:color="000000"/>
              <w:left w:val="single" w:sz="4" w:space="0" w:color="000000"/>
              <w:bottom w:val="single" w:sz="4" w:space="0" w:color="000000"/>
              <w:right w:val="single" w:sz="4" w:space="0" w:color="000000"/>
            </w:tcBorders>
            <w:hideMark/>
          </w:tcPr>
          <w:p w14:paraId="3DD6CFF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144</w:t>
            </w:r>
          </w:p>
        </w:tc>
        <w:tc>
          <w:tcPr>
            <w:tcW w:w="820" w:type="pct"/>
            <w:tcBorders>
              <w:top w:val="single" w:sz="4" w:space="0" w:color="000000"/>
              <w:left w:val="single" w:sz="4" w:space="0" w:color="000000"/>
              <w:bottom w:val="single" w:sz="4" w:space="0" w:color="000000"/>
              <w:right w:val="single" w:sz="4" w:space="0" w:color="000000"/>
            </w:tcBorders>
            <w:hideMark/>
          </w:tcPr>
          <w:p w14:paraId="74F6025C"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147</w:t>
            </w:r>
          </w:p>
        </w:tc>
        <w:tc>
          <w:tcPr>
            <w:tcW w:w="1044" w:type="pct"/>
            <w:tcBorders>
              <w:top w:val="single" w:sz="4" w:space="0" w:color="000000"/>
              <w:left w:val="single" w:sz="4" w:space="0" w:color="000000"/>
              <w:bottom w:val="single" w:sz="4" w:space="0" w:color="000000"/>
              <w:right w:val="single" w:sz="4" w:space="0" w:color="000000"/>
            </w:tcBorders>
            <w:hideMark/>
          </w:tcPr>
          <w:p w14:paraId="1CC58161"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161</w:t>
            </w:r>
          </w:p>
        </w:tc>
      </w:tr>
      <w:tr w:rsidR="00244D23" w:rsidRPr="00283C60" w14:paraId="1AE087F3" w14:textId="77777777" w:rsidTr="00393DF8">
        <w:trPr>
          <w:trHeight w:val="1012"/>
        </w:trPr>
        <w:tc>
          <w:tcPr>
            <w:tcW w:w="1317" w:type="pct"/>
            <w:tcBorders>
              <w:top w:val="single" w:sz="4" w:space="0" w:color="000000"/>
              <w:left w:val="single" w:sz="4" w:space="0" w:color="000000"/>
              <w:bottom w:val="single" w:sz="4" w:space="0" w:color="000000"/>
              <w:right w:val="single" w:sz="4" w:space="0" w:color="000000"/>
            </w:tcBorders>
            <w:hideMark/>
          </w:tcPr>
          <w:p w14:paraId="27387CA7"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Gennemsnitligt antal</w:t>
            </w:r>
            <w:r w:rsidRPr="00283C60">
              <w:rPr>
                <w:spacing w:val="1"/>
                <w:kern w:val="2"/>
                <w:lang w:val="da-DK"/>
                <w14:ligatures w14:val="standardContextual"/>
              </w:rPr>
              <w:t xml:space="preserve"> </w:t>
            </w:r>
            <w:r w:rsidRPr="00283C60">
              <w:rPr>
                <w:kern w:val="2"/>
                <w:lang w:val="da-DK"/>
                <w14:ligatures w14:val="standardContextual"/>
              </w:rPr>
              <w:t>(medianværdi) af nye</w:t>
            </w:r>
            <w:r w:rsidRPr="00283C60">
              <w:rPr>
                <w:spacing w:val="1"/>
                <w:kern w:val="2"/>
                <w:lang w:val="da-DK"/>
                <w14:ligatures w14:val="standardContextual"/>
              </w:rPr>
              <w:t xml:space="preserve"> </w:t>
            </w:r>
            <w:r w:rsidRPr="00283C60">
              <w:rPr>
                <w:kern w:val="2"/>
                <w:lang w:val="da-DK"/>
                <w14:ligatures w14:val="standardContextual"/>
              </w:rPr>
              <w:t>eller</w:t>
            </w:r>
            <w:r w:rsidRPr="00283C60">
              <w:rPr>
                <w:spacing w:val="-2"/>
                <w:kern w:val="2"/>
                <w:lang w:val="da-DK"/>
                <w14:ligatures w14:val="standardContextual"/>
              </w:rPr>
              <w:t xml:space="preserve"> </w:t>
            </w:r>
            <w:r w:rsidRPr="00283C60">
              <w:rPr>
                <w:kern w:val="2"/>
                <w:lang w:val="da-DK"/>
                <w14:ligatures w14:val="standardContextual"/>
              </w:rPr>
              <w:t>nyligt</w:t>
            </w:r>
            <w:r w:rsidRPr="00283C60">
              <w:rPr>
                <w:spacing w:val="-4"/>
                <w:kern w:val="2"/>
                <w:lang w:val="da-DK"/>
                <w14:ligatures w14:val="standardContextual"/>
              </w:rPr>
              <w:t xml:space="preserve"> </w:t>
            </w:r>
            <w:r w:rsidRPr="00283C60">
              <w:rPr>
                <w:kern w:val="2"/>
                <w:lang w:val="da-DK"/>
                <w14:ligatures w14:val="standardContextual"/>
              </w:rPr>
              <w:t>forstørrede T2-læsioner over 2</w:t>
            </w:r>
            <w:r w:rsidRPr="00283C60">
              <w:rPr>
                <w:spacing w:val="-4"/>
                <w:kern w:val="2"/>
                <w:lang w:val="da-DK"/>
                <w14:ligatures w14:val="standardContextual"/>
              </w:rPr>
              <w:t> år</w:t>
            </w:r>
          </w:p>
        </w:tc>
        <w:tc>
          <w:tcPr>
            <w:tcW w:w="498" w:type="pct"/>
            <w:tcBorders>
              <w:top w:val="single" w:sz="4" w:space="0" w:color="000000"/>
              <w:left w:val="single" w:sz="4" w:space="0" w:color="000000"/>
              <w:bottom w:val="single" w:sz="4" w:space="0" w:color="000000"/>
              <w:right w:val="single" w:sz="4" w:space="0" w:color="000000"/>
            </w:tcBorders>
            <w:hideMark/>
          </w:tcPr>
          <w:p w14:paraId="3D12D189"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16,5</w:t>
            </w:r>
          </w:p>
          <w:p w14:paraId="15FD3775"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(7,0)</w:t>
            </w:r>
          </w:p>
        </w:tc>
        <w:tc>
          <w:tcPr>
            <w:tcW w:w="822" w:type="pct"/>
            <w:tcBorders>
              <w:top w:val="single" w:sz="4" w:space="0" w:color="000000"/>
              <w:left w:val="single" w:sz="4" w:space="0" w:color="000000"/>
              <w:bottom w:val="single" w:sz="4" w:space="0" w:color="000000"/>
              <w:right w:val="single" w:sz="4" w:space="0" w:color="000000"/>
            </w:tcBorders>
            <w:hideMark/>
          </w:tcPr>
          <w:p w14:paraId="2E45504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3,2</w:t>
            </w:r>
          </w:p>
          <w:p w14:paraId="3426A125"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(1,</w:t>
            </w:r>
            <w:proofErr w:type="gramStart"/>
            <w:r w:rsidRPr="00283C60">
              <w:rPr>
                <w:kern w:val="2"/>
                <w:lang w:val="da-DK"/>
                <w14:ligatures w14:val="standardContextual"/>
              </w:rPr>
              <w:t>0)*</w:t>
            </w:r>
            <w:proofErr w:type="gramEnd"/>
            <w:r w:rsidRPr="00283C60">
              <w:rPr>
                <w:kern w:val="2"/>
                <w:lang w:val="da-DK"/>
                <w14:ligatures w14:val="standardContextual"/>
              </w:rPr>
              <w:t>**</w:t>
            </w:r>
          </w:p>
        </w:tc>
        <w:tc>
          <w:tcPr>
            <w:tcW w:w="498" w:type="pct"/>
            <w:tcBorders>
              <w:top w:val="single" w:sz="4" w:space="0" w:color="000000"/>
              <w:left w:val="single" w:sz="4" w:space="0" w:color="000000"/>
              <w:bottom w:val="single" w:sz="4" w:space="0" w:color="000000"/>
              <w:right w:val="single" w:sz="4" w:space="0" w:color="000000"/>
            </w:tcBorders>
            <w:hideMark/>
          </w:tcPr>
          <w:p w14:paraId="4900D5F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19,9</w:t>
            </w:r>
          </w:p>
          <w:p w14:paraId="401E4B0A"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(11,0)</w:t>
            </w:r>
          </w:p>
        </w:tc>
        <w:tc>
          <w:tcPr>
            <w:tcW w:w="820" w:type="pct"/>
            <w:tcBorders>
              <w:top w:val="single" w:sz="4" w:space="0" w:color="000000"/>
              <w:left w:val="single" w:sz="4" w:space="0" w:color="000000"/>
              <w:bottom w:val="single" w:sz="4" w:space="0" w:color="000000"/>
              <w:right w:val="single" w:sz="4" w:space="0" w:color="000000"/>
            </w:tcBorders>
            <w:hideMark/>
          </w:tcPr>
          <w:p w14:paraId="65318956"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5,7</w:t>
            </w:r>
          </w:p>
          <w:p w14:paraId="386E85C1"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(2,</w:t>
            </w:r>
            <w:proofErr w:type="gramStart"/>
            <w:r w:rsidRPr="00283C60">
              <w:rPr>
                <w:kern w:val="2"/>
                <w:lang w:val="da-DK"/>
                <w14:ligatures w14:val="standardContextual"/>
              </w:rPr>
              <w:t>0)*</w:t>
            </w:r>
            <w:proofErr w:type="gramEnd"/>
            <w:r w:rsidRPr="00283C60">
              <w:rPr>
                <w:kern w:val="2"/>
                <w:lang w:val="da-DK"/>
                <w14:ligatures w14:val="standardContextual"/>
              </w:rPr>
              <w:t>**</w:t>
            </w:r>
          </w:p>
        </w:tc>
        <w:tc>
          <w:tcPr>
            <w:tcW w:w="1044" w:type="pct"/>
            <w:tcBorders>
              <w:top w:val="single" w:sz="4" w:space="0" w:color="000000"/>
              <w:left w:val="single" w:sz="4" w:space="0" w:color="000000"/>
              <w:bottom w:val="single" w:sz="4" w:space="0" w:color="000000"/>
              <w:right w:val="single" w:sz="4" w:space="0" w:color="000000"/>
            </w:tcBorders>
            <w:hideMark/>
          </w:tcPr>
          <w:p w14:paraId="030E0AF8"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9,6</w:t>
            </w:r>
          </w:p>
          <w:p w14:paraId="4CC77501"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(3,</w:t>
            </w:r>
            <w:proofErr w:type="gramStart"/>
            <w:r w:rsidRPr="00283C60">
              <w:rPr>
                <w:kern w:val="2"/>
                <w:lang w:val="da-DK"/>
                <w14:ligatures w14:val="standardContextual"/>
              </w:rPr>
              <w:t>0)*</w:t>
            </w:r>
            <w:proofErr w:type="gramEnd"/>
            <w:r w:rsidRPr="00283C60">
              <w:rPr>
                <w:kern w:val="2"/>
                <w:lang w:val="da-DK"/>
                <w14:ligatures w14:val="standardContextual"/>
              </w:rPr>
              <w:t>**</w:t>
            </w:r>
          </w:p>
        </w:tc>
      </w:tr>
      <w:tr w:rsidR="00244D23" w:rsidRPr="00283C60" w14:paraId="3A11EF75" w14:textId="77777777" w:rsidTr="00393DF8">
        <w:trPr>
          <w:trHeight w:val="506"/>
        </w:trPr>
        <w:tc>
          <w:tcPr>
            <w:tcW w:w="1317" w:type="pct"/>
            <w:tcBorders>
              <w:top w:val="single" w:sz="4" w:space="0" w:color="000000"/>
              <w:left w:val="single" w:sz="4" w:space="0" w:color="000000"/>
              <w:bottom w:val="single" w:sz="4" w:space="0" w:color="000000"/>
              <w:right w:val="single" w:sz="4" w:space="0" w:color="000000"/>
            </w:tcBorders>
            <w:hideMark/>
          </w:tcPr>
          <w:p w14:paraId="32CC44ED"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Middel læsionsratio</w:t>
            </w:r>
          </w:p>
          <w:p w14:paraId="617D1528"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(95 % KI)</w:t>
            </w:r>
          </w:p>
        </w:tc>
        <w:tc>
          <w:tcPr>
            <w:tcW w:w="498" w:type="pct"/>
            <w:tcBorders>
              <w:top w:val="single" w:sz="4" w:space="0" w:color="000000"/>
              <w:left w:val="single" w:sz="4" w:space="0" w:color="000000"/>
              <w:bottom w:val="single" w:sz="4" w:space="0" w:color="000000"/>
              <w:right w:val="single" w:sz="4" w:space="0" w:color="000000"/>
            </w:tcBorders>
          </w:tcPr>
          <w:p w14:paraId="16A1904D"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single" w:sz="4" w:space="0" w:color="000000"/>
              <w:right w:val="single" w:sz="4" w:space="0" w:color="000000"/>
            </w:tcBorders>
            <w:hideMark/>
          </w:tcPr>
          <w:p w14:paraId="4F299B9C"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0,15</w:t>
            </w:r>
          </w:p>
          <w:p w14:paraId="0A438E03"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(0,10, 0,23)</w:t>
            </w:r>
          </w:p>
        </w:tc>
        <w:tc>
          <w:tcPr>
            <w:tcW w:w="498" w:type="pct"/>
            <w:tcBorders>
              <w:top w:val="single" w:sz="4" w:space="0" w:color="000000"/>
              <w:left w:val="single" w:sz="4" w:space="0" w:color="000000"/>
              <w:bottom w:val="single" w:sz="4" w:space="0" w:color="000000"/>
              <w:right w:val="single" w:sz="4" w:space="0" w:color="000000"/>
            </w:tcBorders>
          </w:tcPr>
          <w:p w14:paraId="5CABB080"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single" w:sz="4" w:space="0" w:color="000000"/>
              <w:right w:val="single" w:sz="4" w:space="0" w:color="000000"/>
            </w:tcBorders>
            <w:hideMark/>
          </w:tcPr>
          <w:p w14:paraId="419F0D2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0,29</w:t>
            </w:r>
          </w:p>
          <w:p w14:paraId="0DC90F54"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(0,21, 0,41)</w:t>
            </w:r>
          </w:p>
        </w:tc>
        <w:tc>
          <w:tcPr>
            <w:tcW w:w="1044" w:type="pct"/>
            <w:tcBorders>
              <w:top w:val="single" w:sz="4" w:space="0" w:color="000000"/>
              <w:left w:val="single" w:sz="4" w:space="0" w:color="000000"/>
              <w:bottom w:val="single" w:sz="4" w:space="0" w:color="000000"/>
              <w:right w:val="single" w:sz="4" w:space="0" w:color="000000"/>
            </w:tcBorders>
            <w:hideMark/>
          </w:tcPr>
          <w:p w14:paraId="755DC1C9"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0,46</w:t>
            </w:r>
          </w:p>
          <w:p w14:paraId="28E025AC"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(0,33, 0,63)</w:t>
            </w:r>
          </w:p>
        </w:tc>
      </w:tr>
      <w:tr w:rsidR="00244D23" w:rsidRPr="00283C60" w14:paraId="3BE17A19" w14:textId="77777777" w:rsidTr="00393DF8">
        <w:trPr>
          <w:trHeight w:val="757"/>
        </w:trPr>
        <w:tc>
          <w:tcPr>
            <w:tcW w:w="1317" w:type="pct"/>
            <w:tcBorders>
              <w:top w:val="single" w:sz="4" w:space="0" w:color="000000"/>
              <w:left w:val="single" w:sz="4" w:space="0" w:color="000000"/>
              <w:bottom w:val="single" w:sz="4" w:space="0" w:color="000000"/>
              <w:right w:val="single" w:sz="4" w:space="0" w:color="000000"/>
            </w:tcBorders>
            <w:hideMark/>
          </w:tcPr>
          <w:p w14:paraId="5D1C2947"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Gennemsnitligt</w:t>
            </w:r>
            <w:r w:rsidRPr="00283C60">
              <w:rPr>
                <w:spacing w:val="-2"/>
                <w:kern w:val="2"/>
                <w:lang w:val="da-DK"/>
                <w14:ligatures w14:val="standardContextual"/>
              </w:rPr>
              <w:t xml:space="preserve"> </w:t>
            </w:r>
            <w:r w:rsidRPr="00283C60">
              <w:rPr>
                <w:kern w:val="2"/>
                <w:lang w:val="da-DK"/>
                <w14:ligatures w14:val="standardContextual"/>
              </w:rPr>
              <w:t xml:space="preserve">antal (medianværdi) </w:t>
            </w:r>
            <w:r w:rsidRPr="00283C60">
              <w:rPr>
                <w:kern w:val="2"/>
                <w:lang w:val="da-DK"/>
                <w14:ligatures w14:val="standardContextual"/>
              </w:rPr>
              <w:br/>
            </w:r>
            <w:proofErr w:type="spellStart"/>
            <w:r w:rsidRPr="00283C60">
              <w:rPr>
                <w:kern w:val="2"/>
                <w:lang w:val="da-DK"/>
                <w14:ligatures w14:val="standardContextual"/>
              </w:rPr>
              <w:t>Gd</w:t>
            </w:r>
            <w:proofErr w:type="spellEnd"/>
            <w:r w:rsidRPr="00283C60">
              <w:rPr>
                <w:kern w:val="2"/>
                <w:lang w:val="da-DK"/>
                <w14:ligatures w14:val="standardContextual"/>
              </w:rPr>
              <w:t>-l</w:t>
            </w:r>
            <w:r w:rsidRPr="00283C60">
              <w:rPr>
                <w:spacing w:val="-52"/>
                <w:kern w:val="2"/>
                <w:lang w:val="da-DK"/>
                <w14:ligatures w14:val="standardContextual"/>
              </w:rPr>
              <w:t xml:space="preserve"> </w:t>
            </w:r>
            <w:proofErr w:type="spellStart"/>
            <w:r w:rsidRPr="00283C60">
              <w:rPr>
                <w:kern w:val="2"/>
                <w:lang w:val="da-DK"/>
                <w14:ligatures w14:val="standardContextual"/>
              </w:rPr>
              <w:t>æsioner</w:t>
            </w:r>
            <w:proofErr w:type="spellEnd"/>
            <w:r w:rsidRPr="00283C60">
              <w:rPr>
                <w:spacing w:val="-3"/>
                <w:kern w:val="2"/>
                <w:lang w:val="da-DK"/>
                <w14:ligatures w14:val="standardContextual"/>
              </w:rPr>
              <w:t xml:space="preserve"> </w:t>
            </w:r>
            <w:r w:rsidRPr="00283C60">
              <w:rPr>
                <w:kern w:val="2"/>
                <w:lang w:val="da-DK"/>
                <w14:ligatures w14:val="standardContextual"/>
              </w:rPr>
              <w:t>efter 2</w:t>
            </w:r>
            <w:r w:rsidRPr="00283C60">
              <w:rPr>
                <w:spacing w:val="-1"/>
                <w:kern w:val="2"/>
                <w:lang w:val="da-DK"/>
                <w14:ligatures w14:val="standardContextual"/>
              </w:rPr>
              <w:t> år</w:t>
            </w:r>
          </w:p>
        </w:tc>
        <w:tc>
          <w:tcPr>
            <w:tcW w:w="498" w:type="pct"/>
            <w:tcBorders>
              <w:top w:val="single" w:sz="4" w:space="0" w:color="000000"/>
              <w:left w:val="single" w:sz="4" w:space="0" w:color="000000"/>
              <w:bottom w:val="single" w:sz="4" w:space="0" w:color="000000"/>
              <w:right w:val="single" w:sz="4" w:space="0" w:color="000000"/>
            </w:tcBorders>
            <w:hideMark/>
          </w:tcPr>
          <w:p w14:paraId="1C687777"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1,8</w:t>
            </w:r>
          </w:p>
          <w:p w14:paraId="6EBBCE91"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w:t>
            </w:r>
          </w:p>
        </w:tc>
        <w:tc>
          <w:tcPr>
            <w:tcW w:w="822" w:type="pct"/>
            <w:tcBorders>
              <w:top w:val="single" w:sz="4" w:space="0" w:color="000000"/>
              <w:left w:val="single" w:sz="4" w:space="0" w:color="000000"/>
              <w:bottom w:val="single" w:sz="4" w:space="0" w:color="000000"/>
              <w:right w:val="single" w:sz="4" w:space="0" w:color="000000"/>
            </w:tcBorders>
            <w:hideMark/>
          </w:tcPr>
          <w:p w14:paraId="35F095A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w:t>
            </w:r>
          </w:p>
          <w:p w14:paraId="69AAD135"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w:t>
            </w:r>
            <w:proofErr w:type="gramStart"/>
            <w:r w:rsidRPr="00283C60">
              <w:rPr>
                <w:kern w:val="2"/>
                <w:lang w:val="da-DK"/>
                <w14:ligatures w14:val="standardContextual"/>
              </w:rPr>
              <w:t>0)*</w:t>
            </w:r>
            <w:proofErr w:type="gramEnd"/>
            <w:r w:rsidRPr="00283C60">
              <w:rPr>
                <w:kern w:val="2"/>
                <w:lang w:val="da-DK"/>
                <w14:ligatures w14:val="standardContextual"/>
              </w:rPr>
              <w:t>**</w:t>
            </w:r>
          </w:p>
        </w:tc>
        <w:tc>
          <w:tcPr>
            <w:tcW w:w="498" w:type="pct"/>
            <w:tcBorders>
              <w:top w:val="single" w:sz="4" w:space="0" w:color="000000"/>
              <w:left w:val="single" w:sz="4" w:space="0" w:color="000000"/>
              <w:bottom w:val="single" w:sz="4" w:space="0" w:color="000000"/>
              <w:right w:val="single" w:sz="4" w:space="0" w:color="000000"/>
            </w:tcBorders>
            <w:hideMark/>
          </w:tcPr>
          <w:p w14:paraId="5928C368"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2,0</w:t>
            </w:r>
          </w:p>
          <w:p w14:paraId="0BDD4EDE"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(0,0)</w:t>
            </w:r>
          </w:p>
        </w:tc>
        <w:tc>
          <w:tcPr>
            <w:tcW w:w="820" w:type="pct"/>
            <w:tcBorders>
              <w:top w:val="single" w:sz="4" w:space="0" w:color="000000"/>
              <w:left w:val="single" w:sz="4" w:space="0" w:color="000000"/>
              <w:bottom w:val="single" w:sz="4" w:space="0" w:color="000000"/>
              <w:right w:val="single" w:sz="4" w:space="0" w:color="000000"/>
            </w:tcBorders>
            <w:hideMark/>
          </w:tcPr>
          <w:p w14:paraId="44274535"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w:t>
            </w:r>
          </w:p>
          <w:p w14:paraId="3196E2B0"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w:t>
            </w:r>
            <w:proofErr w:type="gramStart"/>
            <w:r w:rsidRPr="00283C60">
              <w:rPr>
                <w:kern w:val="2"/>
                <w:lang w:val="da-DK"/>
                <w14:ligatures w14:val="standardContextual"/>
              </w:rPr>
              <w:t>0)*</w:t>
            </w:r>
            <w:proofErr w:type="gramEnd"/>
            <w:r w:rsidRPr="00283C60">
              <w:rPr>
                <w:kern w:val="2"/>
                <w:lang w:val="da-DK"/>
                <w14:ligatures w14:val="standardContextual"/>
              </w:rPr>
              <w:t>**</w:t>
            </w:r>
          </w:p>
        </w:tc>
        <w:tc>
          <w:tcPr>
            <w:tcW w:w="1044" w:type="pct"/>
            <w:tcBorders>
              <w:top w:val="single" w:sz="4" w:space="0" w:color="000000"/>
              <w:left w:val="single" w:sz="4" w:space="0" w:color="000000"/>
              <w:bottom w:val="single" w:sz="4" w:space="0" w:color="000000"/>
              <w:right w:val="single" w:sz="4" w:space="0" w:color="000000"/>
            </w:tcBorders>
            <w:hideMark/>
          </w:tcPr>
          <w:p w14:paraId="04834B04"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0,7</w:t>
            </w:r>
            <w:r w:rsidRPr="00283C60">
              <w:rPr>
                <w:spacing w:val="1"/>
                <w:kern w:val="2"/>
                <w:lang w:val="da-DK"/>
                <w14:ligatures w14:val="standardContextual"/>
              </w:rPr>
              <w:t xml:space="preserve"> </w:t>
            </w:r>
            <w:r w:rsidRPr="00283C60">
              <w:rPr>
                <w:kern w:val="2"/>
                <w:lang w:val="da-DK"/>
                <w14:ligatures w14:val="standardContextual"/>
              </w:rPr>
              <w:t>(0,</w:t>
            </w:r>
            <w:proofErr w:type="gramStart"/>
            <w:r w:rsidRPr="00283C60">
              <w:rPr>
                <w:kern w:val="2"/>
                <w:lang w:val="da-DK"/>
                <w14:ligatures w14:val="standardContextual"/>
              </w:rPr>
              <w:t>0)*</w:t>
            </w:r>
            <w:proofErr w:type="gramEnd"/>
            <w:r w:rsidRPr="00283C60">
              <w:rPr>
                <w:kern w:val="2"/>
                <w:lang w:val="da-DK"/>
                <w14:ligatures w14:val="standardContextual"/>
              </w:rPr>
              <w:t>*</w:t>
            </w:r>
          </w:p>
        </w:tc>
      </w:tr>
      <w:tr w:rsidR="00244D23" w:rsidRPr="00283C60" w14:paraId="1536BD51" w14:textId="77777777" w:rsidTr="00393DF8">
        <w:trPr>
          <w:trHeight w:val="506"/>
        </w:trPr>
        <w:tc>
          <w:tcPr>
            <w:tcW w:w="1317" w:type="pct"/>
            <w:tcBorders>
              <w:top w:val="single" w:sz="4" w:space="0" w:color="000000"/>
              <w:left w:val="single" w:sz="4" w:space="0" w:color="000000"/>
              <w:bottom w:val="single" w:sz="4" w:space="0" w:color="000000"/>
              <w:right w:val="single" w:sz="4" w:space="0" w:color="000000"/>
            </w:tcBorders>
            <w:hideMark/>
          </w:tcPr>
          <w:p w14:paraId="5415D9E9"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Odds-ratio</w:t>
            </w:r>
          </w:p>
          <w:p w14:paraId="6555AEC3"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(95 % KI)</w:t>
            </w:r>
          </w:p>
        </w:tc>
        <w:tc>
          <w:tcPr>
            <w:tcW w:w="498" w:type="pct"/>
            <w:tcBorders>
              <w:top w:val="single" w:sz="4" w:space="0" w:color="000000"/>
              <w:left w:val="single" w:sz="4" w:space="0" w:color="000000"/>
              <w:bottom w:val="single" w:sz="4" w:space="0" w:color="000000"/>
              <w:right w:val="single" w:sz="4" w:space="0" w:color="000000"/>
            </w:tcBorders>
          </w:tcPr>
          <w:p w14:paraId="231E56FE"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single" w:sz="4" w:space="0" w:color="000000"/>
              <w:right w:val="single" w:sz="4" w:space="0" w:color="000000"/>
            </w:tcBorders>
            <w:hideMark/>
          </w:tcPr>
          <w:p w14:paraId="5DFC142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0,10</w:t>
            </w:r>
          </w:p>
          <w:p w14:paraId="2A9F149C"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(0,05, 0,22)</w:t>
            </w:r>
          </w:p>
        </w:tc>
        <w:tc>
          <w:tcPr>
            <w:tcW w:w="498" w:type="pct"/>
            <w:tcBorders>
              <w:top w:val="single" w:sz="4" w:space="0" w:color="000000"/>
              <w:left w:val="single" w:sz="4" w:space="0" w:color="000000"/>
              <w:bottom w:val="single" w:sz="4" w:space="0" w:color="000000"/>
              <w:right w:val="single" w:sz="4" w:space="0" w:color="000000"/>
            </w:tcBorders>
          </w:tcPr>
          <w:p w14:paraId="33E66DBA"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single" w:sz="4" w:space="0" w:color="000000"/>
              <w:right w:val="single" w:sz="4" w:space="0" w:color="000000"/>
            </w:tcBorders>
            <w:hideMark/>
          </w:tcPr>
          <w:p w14:paraId="2A0C563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0,26</w:t>
            </w:r>
          </w:p>
          <w:p w14:paraId="3654F139"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(0,15, 0,46)</w:t>
            </w:r>
          </w:p>
        </w:tc>
        <w:tc>
          <w:tcPr>
            <w:tcW w:w="1044" w:type="pct"/>
            <w:tcBorders>
              <w:top w:val="single" w:sz="4" w:space="0" w:color="000000"/>
              <w:left w:val="single" w:sz="4" w:space="0" w:color="000000"/>
              <w:bottom w:val="single" w:sz="4" w:space="0" w:color="000000"/>
              <w:right w:val="single" w:sz="4" w:space="0" w:color="000000"/>
            </w:tcBorders>
            <w:hideMark/>
          </w:tcPr>
          <w:p w14:paraId="73B6DEBC"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0,39</w:t>
            </w:r>
          </w:p>
          <w:p w14:paraId="498BD9FE"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(0,24, 0,65)</w:t>
            </w:r>
          </w:p>
        </w:tc>
      </w:tr>
      <w:tr w:rsidR="00244D23" w:rsidRPr="00283C60" w14:paraId="08630FBB" w14:textId="77777777" w:rsidTr="00393DF8">
        <w:trPr>
          <w:trHeight w:val="1012"/>
        </w:trPr>
        <w:tc>
          <w:tcPr>
            <w:tcW w:w="1317" w:type="pct"/>
            <w:tcBorders>
              <w:top w:val="single" w:sz="4" w:space="0" w:color="000000"/>
              <w:left w:val="single" w:sz="4" w:space="0" w:color="000000"/>
              <w:bottom w:val="single" w:sz="4" w:space="0" w:color="000000"/>
              <w:right w:val="single" w:sz="4" w:space="0" w:color="000000"/>
            </w:tcBorders>
            <w:hideMark/>
          </w:tcPr>
          <w:p w14:paraId="7009904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lastRenderedPageBreak/>
              <w:t>Gennemsnitligt antal</w:t>
            </w:r>
            <w:r w:rsidRPr="00283C60">
              <w:rPr>
                <w:spacing w:val="1"/>
                <w:kern w:val="2"/>
                <w:lang w:val="da-DK"/>
                <w14:ligatures w14:val="standardContextual"/>
              </w:rPr>
              <w:t xml:space="preserve"> </w:t>
            </w:r>
            <w:r w:rsidRPr="00283C60">
              <w:rPr>
                <w:kern w:val="2"/>
                <w:lang w:val="da-DK"/>
                <w14:ligatures w14:val="standardContextual"/>
              </w:rPr>
              <w:t>(medianværdi) nye</w:t>
            </w:r>
            <w:r w:rsidRPr="00283C60">
              <w:rPr>
                <w:spacing w:val="1"/>
                <w:kern w:val="2"/>
                <w:lang w:val="da-DK"/>
                <w14:ligatures w14:val="standardContextual"/>
              </w:rPr>
              <w:t xml:space="preserve"> </w:t>
            </w:r>
            <w:proofErr w:type="spellStart"/>
            <w:r w:rsidRPr="00283C60">
              <w:rPr>
                <w:kern w:val="2"/>
                <w:lang w:val="da-DK"/>
                <w14:ligatures w14:val="standardContextual"/>
              </w:rPr>
              <w:t>hypointense</w:t>
            </w:r>
            <w:proofErr w:type="spellEnd"/>
            <w:r w:rsidRPr="00283C60">
              <w:rPr>
                <w:spacing w:val="-11"/>
                <w:kern w:val="2"/>
                <w:lang w:val="da-DK"/>
                <w14:ligatures w14:val="standardContextual"/>
              </w:rPr>
              <w:t xml:space="preserve"> </w:t>
            </w:r>
            <w:r w:rsidRPr="00283C60">
              <w:rPr>
                <w:kern w:val="2"/>
                <w:lang w:val="da-DK"/>
                <w14:ligatures w14:val="standardContextual"/>
              </w:rPr>
              <w:t>T1-læsioner over</w:t>
            </w:r>
            <w:r w:rsidRPr="00283C60">
              <w:rPr>
                <w:spacing w:val="1"/>
                <w:kern w:val="2"/>
                <w:lang w:val="da-DK"/>
                <w14:ligatures w14:val="standardContextual"/>
              </w:rPr>
              <w:t xml:space="preserve"> </w:t>
            </w:r>
            <w:r w:rsidRPr="00283C60">
              <w:rPr>
                <w:kern w:val="2"/>
                <w:lang w:val="da-DK"/>
                <w14:ligatures w14:val="standardContextual"/>
              </w:rPr>
              <w:t>2</w:t>
            </w:r>
            <w:r w:rsidRPr="00283C60">
              <w:rPr>
                <w:spacing w:val="-2"/>
                <w:kern w:val="2"/>
                <w:lang w:val="da-DK"/>
                <w14:ligatures w14:val="standardContextual"/>
              </w:rPr>
              <w:t> år</w:t>
            </w:r>
          </w:p>
        </w:tc>
        <w:tc>
          <w:tcPr>
            <w:tcW w:w="498" w:type="pct"/>
            <w:tcBorders>
              <w:top w:val="single" w:sz="4" w:space="0" w:color="000000"/>
              <w:left w:val="single" w:sz="4" w:space="0" w:color="000000"/>
              <w:bottom w:val="single" w:sz="4" w:space="0" w:color="000000"/>
              <w:right w:val="single" w:sz="4" w:space="0" w:color="000000"/>
            </w:tcBorders>
            <w:hideMark/>
          </w:tcPr>
          <w:p w14:paraId="39F21645"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5,7</w:t>
            </w:r>
          </w:p>
          <w:p w14:paraId="174D1A61"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(2,0)</w:t>
            </w:r>
          </w:p>
        </w:tc>
        <w:tc>
          <w:tcPr>
            <w:tcW w:w="822" w:type="pct"/>
            <w:tcBorders>
              <w:top w:val="single" w:sz="4" w:space="0" w:color="000000"/>
              <w:left w:val="single" w:sz="4" w:space="0" w:color="000000"/>
              <w:bottom w:val="single" w:sz="4" w:space="0" w:color="000000"/>
              <w:right w:val="single" w:sz="4" w:space="0" w:color="000000"/>
            </w:tcBorders>
            <w:hideMark/>
          </w:tcPr>
          <w:p w14:paraId="03F9AF64"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2,0</w:t>
            </w:r>
          </w:p>
          <w:p w14:paraId="1CCA52FE"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(1,</w:t>
            </w:r>
            <w:proofErr w:type="gramStart"/>
            <w:r w:rsidRPr="00283C60">
              <w:rPr>
                <w:kern w:val="2"/>
                <w:lang w:val="da-DK"/>
                <w14:ligatures w14:val="standardContextual"/>
              </w:rPr>
              <w:t>0)*</w:t>
            </w:r>
            <w:proofErr w:type="gramEnd"/>
            <w:r w:rsidRPr="00283C60">
              <w:rPr>
                <w:kern w:val="2"/>
                <w:lang w:val="da-DK"/>
                <w14:ligatures w14:val="standardContextual"/>
              </w:rPr>
              <w:t>**</w:t>
            </w:r>
          </w:p>
        </w:tc>
        <w:tc>
          <w:tcPr>
            <w:tcW w:w="498" w:type="pct"/>
            <w:tcBorders>
              <w:top w:val="single" w:sz="4" w:space="0" w:color="000000"/>
              <w:left w:val="single" w:sz="4" w:space="0" w:color="000000"/>
              <w:bottom w:val="single" w:sz="4" w:space="0" w:color="000000"/>
              <w:right w:val="single" w:sz="4" w:space="0" w:color="000000"/>
            </w:tcBorders>
            <w:hideMark/>
          </w:tcPr>
          <w:p w14:paraId="18DE8E93"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8,1</w:t>
            </w:r>
          </w:p>
          <w:p w14:paraId="2D106F00"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(4,0)</w:t>
            </w:r>
          </w:p>
        </w:tc>
        <w:tc>
          <w:tcPr>
            <w:tcW w:w="820" w:type="pct"/>
            <w:tcBorders>
              <w:top w:val="single" w:sz="4" w:space="0" w:color="000000"/>
              <w:left w:val="single" w:sz="4" w:space="0" w:color="000000"/>
              <w:bottom w:val="single" w:sz="4" w:space="0" w:color="000000"/>
              <w:right w:val="single" w:sz="4" w:space="0" w:color="000000"/>
            </w:tcBorders>
            <w:hideMark/>
          </w:tcPr>
          <w:p w14:paraId="6A7F256B"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3,8</w:t>
            </w:r>
          </w:p>
          <w:p w14:paraId="2ACB7295"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(1,</w:t>
            </w:r>
            <w:proofErr w:type="gramStart"/>
            <w:r w:rsidRPr="00283C60">
              <w:rPr>
                <w:kern w:val="2"/>
                <w:lang w:val="da-DK"/>
                <w14:ligatures w14:val="standardContextual"/>
              </w:rPr>
              <w:t>0)*</w:t>
            </w:r>
            <w:proofErr w:type="gramEnd"/>
            <w:r w:rsidRPr="00283C60">
              <w:rPr>
                <w:kern w:val="2"/>
                <w:lang w:val="da-DK"/>
                <w14:ligatures w14:val="standardContextual"/>
              </w:rPr>
              <w:t>**</w:t>
            </w:r>
          </w:p>
        </w:tc>
        <w:tc>
          <w:tcPr>
            <w:tcW w:w="1044" w:type="pct"/>
            <w:tcBorders>
              <w:top w:val="single" w:sz="4" w:space="0" w:color="000000"/>
              <w:left w:val="single" w:sz="4" w:space="0" w:color="000000"/>
              <w:bottom w:val="single" w:sz="4" w:space="0" w:color="000000"/>
              <w:right w:val="single" w:sz="4" w:space="0" w:color="000000"/>
            </w:tcBorders>
            <w:hideMark/>
          </w:tcPr>
          <w:p w14:paraId="59F78981"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4,5</w:t>
            </w:r>
            <w:r w:rsidRPr="00283C60">
              <w:rPr>
                <w:spacing w:val="1"/>
                <w:kern w:val="2"/>
                <w:lang w:val="da-DK"/>
                <w14:ligatures w14:val="standardContextual"/>
              </w:rPr>
              <w:t xml:space="preserve"> </w:t>
            </w:r>
            <w:r w:rsidRPr="00283C60">
              <w:rPr>
                <w:kern w:val="2"/>
                <w:lang w:val="da-DK"/>
                <w14:ligatures w14:val="standardContextual"/>
              </w:rPr>
              <w:t>(2,</w:t>
            </w:r>
            <w:proofErr w:type="gramStart"/>
            <w:r w:rsidRPr="00283C60">
              <w:rPr>
                <w:kern w:val="2"/>
                <w:lang w:val="da-DK"/>
                <w14:ligatures w14:val="standardContextual"/>
              </w:rPr>
              <w:t>0)*</w:t>
            </w:r>
            <w:proofErr w:type="gramEnd"/>
            <w:r w:rsidRPr="00283C60">
              <w:rPr>
                <w:kern w:val="2"/>
                <w:lang w:val="da-DK"/>
                <w14:ligatures w14:val="standardContextual"/>
              </w:rPr>
              <w:t>*</w:t>
            </w:r>
          </w:p>
        </w:tc>
      </w:tr>
      <w:tr w:rsidR="00244D23" w:rsidRPr="00283C60" w14:paraId="46B18F06" w14:textId="77777777" w:rsidTr="00393DF8">
        <w:trPr>
          <w:trHeight w:val="505"/>
        </w:trPr>
        <w:tc>
          <w:tcPr>
            <w:tcW w:w="1317" w:type="pct"/>
            <w:tcBorders>
              <w:top w:val="single" w:sz="4" w:space="0" w:color="000000"/>
              <w:left w:val="single" w:sz="4" w:space="0" w:color="000000"/>
              <w:bottom w:val="single" w:sz="4" w:space="0" w:color="000000"/>
              <w:right w:val="single" w:sz="4" w:space="0" w:color="000000"/>
            </w:tcBorders>
            <w:hideMark/>
          </w:tcPr>
          <w:p w14:paraId="5B5F21B1"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Middel læsionsratio</w:t>
            </w:r>
          </w:p>
          <w:p w14:paraId="6B9C7C4F" w14:textId="77777777" w:rsidR="00244D23" w:rsidRPr="00283C60" w:rsidRDefault="00244D23">
            <w:pPr>
              <w:pStyle w:val="TableParagraph"/>
              <w:spacing w:line="256" w:lineRule="auto"/>
              <w:ind w:left="432"/>
              <w:rPr>
                <w:kern w:val="2"/>
                <w:lang w:val="da-DK"/>
                <w14:ligatures w14:val="standardContextual"/>
              </w:rPr>
            </w:pPr>
            <w:r w:rsidRPr="00283C60">
              <w:rPr>
                <w:kern w:val="2"/>
                <w:lang w:val="da-DK"/>
                <w14:ligatures w14:val="standardContextual"/>
              </w:rPr>
              <w:t>(95 % KI)</w:t>
            </w:r>
          </w:p>
        </w:tc>
        <w:tc>
          <w:tcPr>
            <w:tcW w:w="498" w:type="pct"/>
            <w:tcBorders>
              <w:top w:val="single" w:sz="4" w:space="0" w:color="000000"/>
              <w:left w:val="single" w:sz="4" w:space="0" w:color="000000"/>
              <w:bottom w:val="single" w:sz="4" w:space="0" w:color="000000"/>
              <w:right w:val="single" w:sz="4" w:space="0" w:color="000000"/>
            </w:tcBorders>
          </w:tcPr>
          <w:p w14:paraId="6D59C9F3" w14:textId="77777777" w:rsidR="00244D23" w:rsidRPr="00283C60" w:rsidRDefault="00244D23">
            <w:pPr>
              <w:pStyle w:val="TableParagraph"/>
              <w:spacing w:line="256" w:lineRule="auto"/>
              <w:rPr>
                <w:kern w:val="2"/>
                <w:lang w:val="da-DK"/>
                <w14:ligatures w14:val="standardContextual"/>
              </w:rPr>
            </w:pPr>
          </w:p>
        </w:tc>
        <w:tc>
          <w:tcPr>
            <w:tcW w:w="822" w:type="pct"/>
            <w:tcBorders>
              <w:top w:val="single" w:sz="4" w:space="0" w:color="000000"/>
              <w:left w:val="single" w:sz="4" w:space="0" w:color="000000"/>
              <w:bottom w:val="single" w:sz="4" w:space="0" w:color="000000"/>
              <w:right w:val="single" w:sz="4" w:space="0" w:color="000000"/>
            </w:tcBorders>
            <w:hideMark/>
          </w:tcPr>
          <w:p w14:paraId="28A554CF"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0,28</w:t>
            </w:r>
          </w:p>
          <w:p w14:paraId="69B34178"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(0,20, 0,39)</w:t>
            </w:r>
          </w:p>
        </w:tc>
        <w:tc>
          <w:tcPr>
            <w:tcW w:w="498" w:type="pct"/>
            <w:tcBorders>
              <w:top w:val="single" w:sz="4" w:space="0" w:color="000000"/>
              <w:left w:val="single" w:sz="4" w:space="0" w:color="000000"/>
              <w:bottom w:val="single" w:sz="4" w:space="0" w:color="000000"/>
              <w:right w:val="single" w:sz="4" w:space="0" w:color="000000"/>
            </w:tcBorders>
          </w:tcPr>
          <w:p w14:paraId="1CE3823F" w14:textId="77777777" w:rsidR="00244D23" w:rsidRPr="00283C60" w:rsidRDefault="00244D23">
            <w:pPr>
              <w:pStyle w:val="TableParagraph"/>
              <w:spacing w:line="256" w:lineRule="auto"/>
              <w:rPr>
                <w:kern w:val="2"/>
                <w:lang w:val="da-DK"/>
                <w14:ligatures w14:val="standardContextual"/>
              </w:rPr>
            </w:pPr>
          </w:p>
        </w:tc>
        <w:tc>
          <w:tcPr>
            <w:tcW w:w="820" w:type="pct"/>
            <w:tcBorders>
              <w:top w:val="single" w:sz="4" w:space="0" w:color="000000"/>
              <w:left w:val="single" w:sz="4" w:space="0" w:color="000000"/>
              <w:bottom w:val="single" w:sz="4" w:space="0" w:color="000000"/>
              <w:right w:val="single" w:sz="4" w:space="0" w:color="000000"/>
            </w:tcBorders>
            <w:hideMark/>
          </w:tcPr>
          <w:p w14:paraId="5F0862B5"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0,43</w:t>
            </w:r>
          </w:p>
          <w:p w14:paraId="5FBF9FF4"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(0,30, 0,61)</w:t>
            </w:r>
          </w:p>
        </w:tc>
        <w:tc>
          <w:tcPr>
            <w:tcW w:w="1044" w:type="pct"/>
            <w:tcBorders>
              <w:top w:val="single" w:sz="4" w:space="0" w:color="000000"/>
              <w:left w:val="single" w:sz="4" w:space="0" w:color="000000"/>
              <w:bottom w:val="single" w:sz="4" w:space="0" w:color="000000"/>
              <w:right w:val="single" w:sz="4" w:space="0" w:color="000000"/>
            </w:tcBorders>
            <w:hideMark/>
          </w:tcPr>
          <w:p w14:paraId="55684A8D" w14:textId="77777777" w:rsidR="00244D23" w:rsidRPr="00283C60" w:rsidRDefault="00244D23">
            <w:pPr>
              <w:pStyle w:val="TableParagraph"/>
              <w:spacing w:line="256" w:lineRule="auto"/>
              <w:rPr>
                <w:kern w:val="2"/>
                <w:lang w:val="da-DK"/>
                <w14:ligatures w14:val="standardContextual"/>
              </w:rPr>
            </w:pPr>
            <w:r w:rsidRPr="00283C60">
              <w:rPr>
                <w:kern w:val="2"/>
                <w:lang w:val="da-DK"/>
                <w14:ligatures w14:val="standardContextual"/>
              </w:rPr>
              <w:t>0,59</w:t>
            </w:r>
          </w:p>
          <w:p w14:paraId="1D00E72E" w14:textId="77777777" w:rsidR="00244D23" w:rsidRPr="00283C60" w:rsidRDefault="00244D23">
            <w:pPr>
              <w:pStyle w:val="TableParagraph"/>
              <w:spacing w:before="1" w:line="256" w:lineRule="auto"/>
              <w:rPr>
                <w:kern w:val="2"/>
                <w:lang w:val="da-DK"/>
                <w14:ligatures w14:val="standardContextual"/>
              </w:rPr>
            </w:pPr>
            <w:r w:rsidRPr="00283C60">
              <w:rPr>
                <w:kern w:val="2"/>
                <w:lang w:val="da-DK"/>
                <w14:ligatures w14:val="standardContextual"/>
              </w:rPr>
              <w:t>(0,42, 0,82)</w:t>
            </w:r>
          </w:p>
        </w:tc>
      </w:tr>
    </w:tbl>
    <w:p w14:paraId="24C8C5AE" w14:textId="1D9E1633" w:rsidR="00244D23" w:rsidRPr="00283C60" w:rsidRDefault="00244D23" w:rsidP="00857071">
      <w:pPr>
        <w:ind w:left="284" w:hanging="284"/>
        <w:rPr>
          <w:spacing w:val="-4"/>
          <w:sz w:val="20"/>
          <w:lang w:eastAsia="fr-LU"/>
        </w:rPr>
      </w:pPr>
      <w:r w:rsidRPr="00283C60">
        <w:rPr>
          <w:sz w:val="20"/>
          <w:vertAlign w:val="superscript"/>
        </w:rPr>
        <w:t>a</w:t>
      </w:r>
      <w:r w:rsidR="00857071" w:rsidRPr="00283C60">
        <w:rPr>
          <w:sz w:val="20"/>
          <w:vertAlign w:val="superscript"/>
        </w:rPr>
        <w:tab/>
      </w:r>
      <w:r w:rsidRPr="00283C60">
        <w:rPr>
          <w:sz w:val="20"/>
        </w:rPr>
        <w:t>Alle</w:t>
      </w:r>
      <w:r w:rsidRPr="00283C60">
        <w:rPr>
          <w:spacing w:val="-4"/>
          <w:sz w:val="20"/>
        </w:rPr>
        <w:t xml:space="preserve"> </w:t>
      </w:r>
      <w:r w:rsidRPr="00283C60">
        <w:rPr>
          <w:sz w:val="20"/>
        </w:rPr>
        <w:t>analyser</w:t>
      </w:r>
      <w:r w:rsidRPr="00283C60">
        <w:rPr>
          <w:spacing w:val="-3"/>
          <w:sz w:val="20"/>
        </w:rPr>
        <w:t xml:space="preserve"> </w:t>
      </w:r>
      <w:r w:rsidRPr="00283C60">
        <w:rPr>
          <w:sz w:val="20"/>
        </w:rPr>
        <w:t>af</w:t>
      </w:r>
      <w:r w:rsidRPr="00283C60">
        <w:rPr>
          <w:spacing w:val="-3"/>
          <w:sz w:val="20"/>
        </w:rPr>
        <w:t xml:space="preserve"> </w:t>
      </w:r>
      <w:r w:rsidRPr="00283C60">
        <w:rPr>
          <w:sz w:val="20"/>
        </w:rPr>
        <w:t>kliniske</w:t>
      </w:r>
      <w:r w:rsidRPr="00283C60">
        <w:rPr>
          <w:spacing w:val="-3"/>
          <w:sz w:val="20"/>
        </w:rPr>
        <w:t xml:space="preserve"> </w:t>
      </w:r>
      <w:r w:rsidRPr="00283C60">
        <w:rPr>
          <w:sz w:val="20"/>
        </w:rPr>
        <w:t>endepunkter</w:t>
      </w:r>
      <w:r w:rsidRPr="00283C60">
        <w:rPr>
          <w:spacing w:val="-6"/>
          <w:sz w:val="20"/>
        </w:rPr>
        <w:t xml:space="preserve"> </w:t>
      </w:r>
      <w:r w:rsidRPr="00283C60">
        <w:rPr>
          <w:sz w:val="20"/>
        </w:rPr>
        <w:t>var</w:t>
      </w:r>
      <w:r w:rsidRPr="00283C60">
        <w:rPr>
          <w:spacing w:val="-2"/>
          <w:sz w:val="20"/>
        </w:rPr>
        <w:t xml:space="preserve"> </w:t>
      </w:r>
      <w:r w:rsidRPr="00283C60">
        <w:rPr>
          <w:i/>
          <w:sz w:val="20"/>
        </w:rPr>
        <w:t>intent-to-</w:t>
      </w:r>
      <w:proofErr w:type="spellStart"/>
      <w:r w:rsidRPr="00283C60">
        <w:rPr>
          <w:i/>
          <w:sz w:val="20"/>
        </w:rPr>
        <w:t>treat</w:t>
      </w:r>
      <w:proofErr w:type="spellEnd"/>
      <w:r w:rsidRPr="00283C60">
        <w:rPr>
          <w:sz w:val="20"/>
        </w:rPr>
        <w:t>;</w:t>
      </w:r>
      <w:r w:rsidRPr="00283C60">
        <w:rPr>
          <w:spacing w:val="-4"/>
          <w:sz w:val="20"/>
        </w:rPr>
        <w:t xml:space="preserve"> </w:t>
      </w:r>
    </w:p>
    <w:p w14:paraId="45545849" w14:textId="54C65D7F" w:rsidR="00244D23" w:rsidRPr="00283C60" w:rsidRDefault="00244D23" w:rsidP="00857071">
      <w:pPr>
        <w:ind w:left="284" w:hanging="284"/>
        <w:rPr>
          <w:sz w:val="20"/>
        </w:rPr>
      </w:pPr>
      <w:r w:rsidRPr="00283C60">
        <w:rPr>
          <w:sz w:val="20"/>
          <w:vertAlign w:val="superscript"/>
        </w:rPr>
        <w:t>b</w:t>
      </w:r>
      <w:r w:rsidR="00857071" w:rsidRPr="00283C60">
        <w:rPr>
          <w:sz w:val="20"/>
          <w:vertAlign w:val="superscript"/>
        </w:rPr>
        <w:tab/>
      </w:r>
      <w:r w:rsidRPr="00283C60">
        <w:rPr>
          <w:sz w:val="20"/>
        </w:rPr>
        <w:t>MR-kohorte</w:t>
      </w:r>
      <w:r w:rsidRPr="00283C60">
        <w:rPr>
          <w:spacing w:val="-4"/>
          <w:sz w:val="20"/>
        </w:rPr>
        <w:t xml:space="preserve"> </w:t>
      </w:r>
      <w:r w:rsidRPr="00283C60">
        <w:rPr>
          <w:sz w:val="20"/>
        </w:rPr>
        <w:t>anvendt</w:t>
      </w:r>
      <w:r w:rsidRPr="00283C60">
        <w:rPr>
          <w:spacing w:val="-3"/>
          <w:sz w:val="20"/>
        </w:rPr>
        <w:t xml:space="preserve"> </w:t>
      </w:r>
      <w:r w:rsidRPr="00283C60">
        <w:rPr>
          <w:sz w:val="20"/>
        </w:rPr>
        <w:t>ved</w:t>
      </w:r>
      <w:r w:rsidRPr="00283C60">
        <w:rPr>
          <w:spacing w:val="-3"/>
          <w:sz w:val="20"/>
        </w:rPr>
        <w:t xml:space="preserve"> </w:t>
      </w:r>
      <w:r w:rsidRPr="00283C60">
        <w:rPr>
          <w:sz w:val="20"/>
        </w:rPr>
        <w:t>MR-analyser</w:t>
      </w:r>
    </w:p>
    <w:p w14:paraId="4FCBCB93" w14:textId="58FDA91A" w:rsidR="00244D23" w:rsidRPr="00283C60" w:rsidRDefault="00244D23" w:rsidP="00857071">
      <w:pPr>
        <w:ind w:left="284" w:hanging="284"/>
        <w:rPr>
          <w:spacing w:val="-6"/>
          <w:sz w:val="20"/>
          <w:lang w:eastAsia="fr-LU"/>
        </w:rPr>
      </w:pPr>
      <w:r w:rsidRPr="00283C60">
        <w:rPr>
          <w:sz w:val="20"/>
        </w:rPr>
        <w:t>*</w:t>
      </w:r>
      <w:r w:rsidR="00857071" w:rsidRPr="00283C60">
        <w:rPr>
          <w:sz w:val="20"/>
        </w:rPr>
        <w:tab/>
      </w:r>
      <w:proofErr w:type="spellStart"/>
      <w:r w:rsidRPr="00283C60">
        <w:rPr>
          <w:sz w:val="20"/>
        </w:rPr>
        <w:t>P-værdi</w:t>
      </w:r>
      <w:proofErr w:type="spellEnd"/>
      <w:r w:rsidRPr="00283C60">
        <w:rPr>
          <w:spacing w:val="-3"/>
          <w:sz w:val="20"/>
        </w:rPr>
        <w:t xml:space="preserve"> </w:t>
      </w:r>
      <w:r w:rsidRPr="00283C60">
        <w:rPr>
          <w:sz w:val="20"/>
        </w:rPr>
        <w:t>&lt;0,05;</w:t>
      </w:r>
      <w:r w:rsidRPr="00283C60">
        <w:rPr>
          <w:spacing w:val="-3"/>
          <w:sz w:val="20"/>
        </w:rPr>
        <w:t xml:space="preserve"> </w:t>
      </w:r>
      <w:r w:rsidRPr="00283C60">
        <w:rPr>
          <w:sz w:val="20"/>
        </w:rPr>
        <w:t>**</w:t>
      </w:r>
      <w:proofErr w:type="spellStart"/>
      <w:r w:rsidRPr="00283C60">
        <w:rPr>
          <w:sz w:val="20"/>
        </w:rPr>
        <w:t>P-værdi</w:t>
      </w:r>
      <w:proofErr w:type="spellEnd"/>
      <w:r w:rsidRPr="00283C60">
        <w:rPr>
          <w:spacing w:val="-2"/>
          <w:sz w:val="20"/>
        </w:rPr>
        <w:t xml:space="preserve"> </w:t>
      </w:r>
      <w:r w:rsidRPr="00283C60">
        <w:rPr>
          <w:sz w:val="20"/>
        </w:rPr>
        <w:t>&lt;0,01;</w:t>
      </w:r>
      <w:r w:rsidRPr="00283C60">
        <w:rPr>
          <w:spacing w:val="-3"/>
          <w:sz w:val="20"/>
        </w:rPr>
        <w:t xml:space="preserve"> </w:t>
      </w:r>
      <w:r w:rsidRPr="00283C60">
        <w:rPr>
          <w:sz w:val="20"/>
        </w:rPr>
        <w:t>***</w:t>
      </w:r>
      <w:proofErr w:type="spellStart"/>
      <w:r w:rsidRPr="00283C60">
        <w:rPr>
          <w:sz w:val="20"/>
        </w:rPr>
        <w:t>P-værdi</w:t>
      </w:r>
      <w:proofErr w:type="spellEnd"/>
      <w:r w:rsidRPr="00283C60">
        <w:rPr>
          <w:spacing w:val="-2"/>
          <w:sz w:val="20"/>
        </w:rPr>
        <w:t xml:space="preserve"> </w:t>
      </w:r>
      <w:r w:rsidRPr="00283C60">
        <w:rPr>
          <w:sz w:val="20"/>
        </w:rPr>
        <w:t>&lt;0,0001;</w:t>
      </w:r>
      <w:r w:rsidRPr="00283C60">
        <w:rPr>
          <w:spacing w:val="-6"/>
          <w:sz w:val="20"/>
        </w:rPr>
        <w:t xml:space="preserve"> </w:t>
      </w:r>
    </w:p>
    <w:p w14:paraId="584DA52F" w14:textId="164D2DBA" w:rsidR="00244D23" w:rsidRPr="00283C60" w:rsidRDefault="00244D23" w:rsidP="00857071">
      <w:pPr>
        <w:ind w:left="284" w:hanging="284"/>
        <w:rPr>
          <w:sz w:val="20"/>
        </w:rPr>
      </w:pPr>
      <w:r w:rsidRPr="00283C60">
        <w:rPr>
          <w:sz w:val="20"/>
        </w:rPr>
        <w:t>#</w:t>
      </w:r>
      <w:r w:rsidR="00857071" w:rsidRPr="00283C60">
        <w:rPr>
          <w:sz w:val="20"/>
        </w:rPr>
        <w:tab/>
      </w:r>
      <w:r w:rsidRPr="00283C60">
        <w:rPr>
          <w:sz w:val="20"/>
        </w:rPr>
        <w:t>ikke</w:t>
      </w:r>
      <w:r w:rsidRPr="00283C60">
        <w:rPr>
          <w:spacing w:val="-2"/>
          <w:sz w:val="20"/>
        </w:rPr>
        <w:t xml:space="preserve"> </w:t>
      </w:r>
      <w:r w:rsidRPr="00283C60">
        <w:rPr>
          <w:sz w:val="20"/>
        </w:rPr>
        <w:t>statistisk</w:t>
      </w:r>
      <w:r w:rsidRPr="00283C60">
        <w:rPr>
          <w:spacing w:val="-2"/>
          <w:sz w:val="20"/>
        </w:rPr>
        <w:t xml:space="preserve"> </w:t>
      </w:r>
      <w:r w:rsidRPr="00283C60">
        <w:rPr>
          <w:sz w:val="20"/>
        </w:rPr>
        <w:t>signifikant</w:t>
      </w:r>
    </w:p>
    <w:p w14:paraId="35C6F3A9" w14:textId="77777777" w:rsidR="00244D23" w:rsidRPr="00283C60" w:rsidRDefault="00244D23" w:rsidP="00244D23">
      <w:pPr>
        <w:rPr>
          <w:noProof/>
          <w:sz w:val="24"/>
          <w:szCs w:val="24"/>
        </w:rPr>
      </w:pPr>
    </w:p>
    <w:p w14:paraId="2C7E7057" w14:textId="77777777" w:rsidR="00244D23" w:rsidRPr="00283C60" w:rsidRDefault="00244D23" w:rsidP="00393DF8">
      <w:pPr>
        <w:ind w:left="851"/>
        <w:rPr>
          <w:sz w:val="24"/>
          <w:szCs w:val="24"/>
        </w:rPr>
      </w:pPr>
      <w:r w:rsidRPr="00283C60">
        <w:rPr>
          <w:sz w:val="24"/>
          <w:szCs w:val="24"/>
        </w:rPr>
        <w:t xml:space="preserve">Et åbent, ikke-kontrolleret, 8-årigt forlængelsesstudie (ENDORSE) inkluderede 1.736 egnede RRMS-patienter fra de pivotale studier (DEFINE og CONFIRM). Det primære formål med studiet var at vurdere sikkerheden ved langtidsbehandling med </w:t>
      </w:r>
      <w:proofErr w:type="spellStart"/>
      <w:r w:rsidRPr="00283C60">
        <w:rPr>
          <w:sz w:val="24"/>
          <w:szCs w:val="24"/>
        </w:rPr>
        <w:t>dimethylfumarat</w:t>
      </w:r>
      <w:proofErr w:type="spellEnd"/>
      <w:r w:rsidRPr="00283C60">
        <w:rPr>
          <w:sz w:val="24"/>
          <w:szCs w:val="24"/>
        </w:rPr>
        <w:t xml:space="preserve"> hos patienter med RRMS. Ud af de 1.736 patienter blev ca. halvdelen (909, 52 %) behandlet i 6 år eller længere. 501 patienter blev kontinuerligt behandlet med </w:t>
      </w:r>
      <w:proofErr w:type="spellStart"/>
      <w:r w:rsidRPr="00283C60">
        <w:rPr>
          <w:sz w:val="24"/>
          <w:szCs w:val="24"/>
        </w:rPr>
        <w:t>dimethylfumarat</w:t>
      </w:r>
      <w:proofErr w:type="spellEnd"/>
      <w:r w:rsidRPr="00283C60">
        <w:rPr>
          <w:sz w:val="24"/>
          <w:szCs w:val="24"/>
        </w:rPr>
        <w:t xml:space="preserve">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09A87A33" w14:textId="77777777" w:rsidR="00244D23" w:rsidRPr="00283C60" w:rsidRDefault="00244D23" w:rsidP="00393DF8">
      <w:pPr>
        <w:ind w:left="851"/>
        <w:rPr>
          <w:noProof/>
          <w:sz w:val="24"/>
          <w:szCs w:val="24"/>
        </w:rPr>
      </w:pPr>
    </w:p>
    <w:p w14:paraId="1F6499AC" w14:textId="77777777" w:rsidR="00244D23" w:rsidRPr="00283C60" w:rsidRDefault="00244D23" w:rsidP="00393DF8">
      <w:pPr>
        <w:ind w:left="851"/>
        <w:rPr>
          <w:sz w:val="24"/>
          <w:szCs w:val="24"/>
          <w:lang w:eastAsia="fr-LU"/>
        </w:rPr>
      </w:pPr>
      <w:r w:rsidRPr="00283C60">
        <w:rPr>
          <w:sz w:val="24"/>
          <w:szCs w:val="24"/>
        </w:rPr>
        <w:t xml:space="preserve">I løbet af studiet ENDORSE havde mere end halvdelen af alle patienter behandlet med </w:t>
      </w:r>
      <w:proofErr w:type="spellStart"/>
      <w:r w:rsidRPr="00283C60">
        <w:rPr>
          <w:sz w:val="24"/>
          <w:szCs w:val="24"/>
        </w:rPr>
        <w:t>dimethylfumerat</w:t>
      </w:r>
      <w:proofErr w:type="spellEnd"/>
      <w:r w:rsidRPr="00283C60">
        <w:rPr>
          <w:sz w:val="24"/>
          <w:szCs w:val="24"/>
        </w:rPr>
        <w:t xml:space="preserve"> 240 mg to gange dagligt ikke noget attak. For patienter, der blev behandlet kontinuerligt to gange dagligt på tværs af alle 3 studier, var den justerede ARR 0,187 (95 % KI: 0,156; 0,224) i studierne DEFINE og CONFIRM og 0,141 (95 % KI: 0,119; 0,167) i studiet ENDORSE. For patienter, der tidligere var behandlet med placebo, faldt den justerede ARR fra 0,330 (95 % KI: 0,266; 0,408) i studierne DEFINE og CONFIRM til 0,149 (95 % KI: 0,116; 0,190) i studiet ENDORSE.</w:t>
      </w:r>
    </w:p>
    <w:p w14:paraId="7168163A" w14:textId="77777777" w:rsidR="00244D23" w:rsidRPr="00283C60" w:rsidRDefault="00244D23" w:rsidP="00393DF8">
      <w:pPr>
        <w:ind w:left="851"/>
        <w:rPr>
          <w:sz w:val="24"/>
          <w:szCs w:val="24"/>
        </w:rPr>
      </w:pPr>
    </w:p>
    <w:p w14:paraId="4129987F" w14:textId="77777777" w:rsidR="00244D23" w:rsidRPr="00283C60" w:rsidRDefault="00244D23" w:rsidP="00393DF8">
      <w:pPr>
        <w:ind w:left="851"/>
        <w:rPr>
          <w:sz w:val="24"/>
          <w:szCs w:val="24"/>
        </w:rPr>
      </w:pPr>
      <w:r w:rsidRPr="00283C60">
        <w:rPr>
          <w:sz w:val="24"/>
          <w:szCs w:val="24"/>
        </w:rPr>
        <w:t xml:space="preserve">I studiet ENDORSE havde størstedelen af patienterne (&gt; 75 %) ikke bekræftet invaliditetsprogression (målt som 6-måneders vedvarende invaliditetsprogression). </w:t>
      </w:r>
      <w:proofErr w:type="spellStart"/>
      <w:r w:rsidRPr="00283C60">
        <w:rPr>
          <w:sz w:val="24"/>
          <w:szCs w:val="24"/>
        </w:rPr>
        <w:t>Puljede</w:t>
      </w:r>
      <w:proofErr w:type="spellEnd"/>
      <w:r w:rsidRPr="00283C60">
        <w:rPr>
          <w:sz w:val="24"/>
          <w:szCs w:val="24"/>
        </w:rPr>
        <w:t xml:space="preserve"> resultater fra de tre studier viste, at </w:t>
      </w:r>
      <w:proofErr w:type="spellStart"/>
      <w:r w:rsidRPr="00283C60">
        <w:rPr>
          <w:sz w:val="24"/>
          <w:szCs w:val="24"/>
        </w:rPr>
        <w:t>dimethylfumerat</w:t>
      </w:r>
      <w:proofErr w:type="spellEnd"/>
      <w:r w:rsidRPr="00283C60">
        <w:rPr>
          <w:sz w:val="24"/>
          <w:szCs w:val="24"/>
        </w:rPr>
        <w:t xml:space="preserve">-behandlede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90 %) ikke havde nogen </w:t>
      </w:r>
      <w:proofErr w:type="spellStart"/>
      <w:r w:rsidRPr="00283C60">
        <w:rPr>
          <w:sz w:val="24"/>
          <w:szCs w:val="24"/>
        </w:rPr>
        <w:t>Gd</w:t>
      </w:r>
      <w:proofErr w:type="spellEnd"/>
      <w:r w:rsidRPr="00283C60">
        <w:rPr>
          <w:sz w:val="24"/>
          <w:szCs w:val="24"/>
        </w:rPr>
        <w:t>-forstærkede læsioner. I løbet af de 6 år forblev det årlige justerede gennemsnitlige antal af nye eller nyligt forstørrede T2- og nye T1-læsioner lavt.</w:t>
      </w:r>
    </w:p>
    <w:p w14:paraId="73CC097D" w14:textId="77777777" w:rsidR="00244D23" w:rsidRPr="00283C60" w:rsidRDefault="00244D23" w:rsidP="00393DF8">
      <w:pPr>
        <w:ind w:left="851"/>
        <w:rPr>
          <w:noProof/>
          <w:sz w:val="24"/>
          <w:szCs w:val="24"/>
        </w:rPr>
      </w:pPr>
    </w:p>
    <w:p w14:paraId="7594F9F1" w14:textId="77777777" w:rsidR="00244D23" w:rsidRPr="00283C60" w:rsidRDefault="00244D23" w:rsidP="00393DF8">
      <w:pPr>
        <w:ind w:left="851"/>
        <w:rPr>
          <w:i/>
          <w:iCs/>
          <w:noProof/>
          <w:sz w:val="24"/>
          <w:szCs w:val="24"/>
        </w:rPr>
      </w:pPr>
      <w:r w:rsidRPr="00283C60">
        <w:rPr>
          <w:i/>
          <w:iCs/>
          <w:noProof/>
          <w:sz w:val="24"/>
          <w:szCs w:val="24"/>
        </w:rPr>
        <w:t>Effekt hos patienter med høj sygdomsaktivitet</w:t>
      </w:r>
    </w:p>
    <w:p w14:paraId="6F45845D" w14:textId="77777777" w:rsidR="00244D23" w:rsidRPr="00283C60" w:rsidRDefault="00244D23" w:rsidP="00393DF8">
      <w:pPr>
        <w:ind w:left="851"/>
        <w:rPr>
          <w:noProof/>
          <w:sz w:val="24"/>
          <w:szCs w:val="24"/>
          <w:lang w:eastAsia="fr-LU"/>
        </w:rPr>
      </w:pPr>
      <w:r w:rsidRPr="00283C60">
        <w:rPr>
          <w:noProof/>
          <w:sz w:val="24"/>
          <w:szCs w:val="24"/>
        </w:rPr>
        <w:t>Der blev i studierne DEFINE og CONFIRM observeret en konsistent behandlingseffekt på attaker i en undergruppe af patienter med høj sygdomsaktivitet, mens effekten på tiden til 3-måneders vedvarende invaliditetsprogression ikke blev klart fastlagt. På grund af studiedesignet blev høj sygdomsaktivitet defineret som følger:</w:t>
      </w:r>
    </w:p>
    <w:p w14:paraId="58F3E0B0" w14:textId="77777777" w:rsidR="00244D23" w:rsidRPr="00283C60" w:rsidRDefault="00244D23" w:rsidP="00857071">
      <w:pPr>
        <w:pStyle w:val="Listeafsnit"/>
        <w:numPr>
          <w:ilvl w:val="0"/>
          <w:numId w:val="15"/>
        </w:numPr>
        <w:ind w:left="1276" w:hanging="425"/>
        <w:rPr>
          <w:noProof/>
          <w:sz w:val="24"/>
          <w:szCs w:val="24"/>
          <w:lang w:val="da-DK"/>
        </w:rPr>
      </w:pPr>
      <w:r w:rsidRPr="00283C60">
        <w:rPr>
          <w:noProof/>
          <w:sz w:val="24"/>
          <w:szCs w:val="24"/>
          <w:lang w:val="da-DK"/>
        </w:rPr>
        <w:t>Patienter med 2 eller flere attakker i løbet af ét år og med én eller flere Gd-forstærkede læsioner på MR-scanning af hjernen (n=42 i DEFINE, n=51 i CONFIRM) eller;</w:t>
      </w:r>
    </w:p>
    <w:p w14:paraId="1EFFB859" w14:textId="77777777" w:rsidR="00244D23" w:rsidRPr="00283C60" w:rsidRDefault="00244D23" w:rsidP="00857071">
      <w:pPr>
        <w:pStyle w:val="Listeafsnit"/>
        <w:numPr>
          <w:ilvl w:val="0"/>
          <w:numId w:val="15"/>
        </w:numPr>
        <w:ind w:left="1276" w:hanging="425"/>
        <w:rPr>
          <w:noProof/>
          <w:sz w:val="24"/>
          <w:szCs w:val="24"/>
          <w:lang w:val="da-DK"/>
        </w:rPr>
      </w:pPr>
      <w:r w:rsidRPr="00283C60">
        <w:rPr>
          <w:noProof/>
          <w:sz w:val="24"/>
          <w:szCs w:val="24"/>
          <w:lang w:val="da-DK"/>
        </w:rPr>
        <w:t>Patienter, der ikke har responderet på et fuldstændigt og tilstrækkeligt behandlingsforløb (af mindst ét års varighed) med beta-interferon, og som har haft mindst 1 attak i det forudgående år, mens de var i behandling, og mindst 9 T2-hyperintense læsioner påvist ved kraniel MR-scanning eller mindst 1 Gd-forstærkede læsion, eller patienter, der har haft en uændret eller øget attakrate i det forudgående år sammenlignet med de foregående 2 år (n=177 i DEFINE, n=141 i CONFIRM).</w:t>
      </w:r>
    </w:p>
    <w:p w14:paraId="53500433" w14:textId="77777777" w:rsidR="00244D23" w:rsidRPr="00283C60" w:rsidRDefault="00244D23" w:rsidP="00393DF8">
      <w:pPr>
        <w:ind w:left="851"/>
        <w:rPr>
          <w:noProof/>
          <w:sz w:val="24"/>
          <w:szCs w:val="24"/>
        </w:rPr>
      </w:pPr>
    </w:p>
    <w:p w14:paraId="3FBDF883" w14:textId="77777777" w:rsidR="00244D23" w:rsidRPr="00283C60" w:rsidRDefault="00244D23" w:rsidP="00393DF8">
      <w:pPr>
        <w:ind w:left="851"/>
        <w:rPr>
          <w:noProof/>
          <w:sz w:val="24"/>
          <w:szCs w:val="24"/>
          <w:u w:val="single"/>
        </w:rPr>
      </w:pPr>
      <w:r w:rsidRPr="00283C60">
        <w:rPr>
          <w:noProof/>
          <w:sz w:val="24"/>
          <w:szCs w:val="24"/>
          <w:u w:val="single"/>
        </w:rPr>
        <w:t>Pædiatrisk population</w:t>
      </w:r>
    </w:p>
    <w:p w14:paraId="75F38736" w14:textId="77777777" w:rsidR="00244D23" w:rsidRPr="00283C60" w:rsidRDefault="00244D23" w:rsidP="00393DF8">
      <w:pPr>
        <w:ind w:left="851"/>
        <w:rPr>
          <w:noProof/>
          <w:sz w:val="24"/>
          <w:szCs w:val="24"/>
          <w:lang w:eastAsia="fr-LU"/>
        </w:rPr>
      </w:pPr>
      <w:r w:rsidRPr="00283C60">
        <w:rPr>
          <w:noProof/>
          <w:sz w:val="24"/>
          <w:szCs w:val="24"/>
        </w:rPr>
        <w:t>Dimethylfumerats sikkerhed og virkning ved pædiatrisk RRMS blev evalueret i et randomiseret, åbent parallelgruppestudie med aktiv kontrol (interferon beta-1a) hos patienter med RRMS i alderen 10 til under 18 år. 150 patienter blev randomiseret til dimethylfumerat (240 mg to gange dagligt oralt) eller interferon beta-1a (30 μg i.m. én gang ugentligt) i 96 uger. Det primære endepunkt var andelen af patienter uden nye eller nyligt forstørrede hyperintense T2-læsioner på MR-scanninger af hjernen ved uge 96. Det vigtigste sekundære endepunkt var antallet af nye eller nyligt forstørrede hyperintense T2-læsioner på MR-scanninger af hjernen ved uge 96. Der fremlægges deskriptiv statistik, da der ikke på forhånd var planlagt en bekræftende hypotese for det primære endepunkt.</w:t>
      </w:r>
    </w:p>
    <w:p w14:paraId="1A9729B7" w14:textId="77777777" w:rsidR="00244D23" w:rsidRPr="00283C60" w:rsidRDefault="00244D23" w:rsidP="00393DF8">
      <w:pPr>
        <w:ind w:left="851"/>
        <w:rPr>
          <w:noProof/>
          <w:sz w:val="24"/>
          <w:szCs w:val="24"/>
        </w:rPr>
      </w:pPr>
    </w:p>
    <w:p w14:paraId="34281824" w14:textId="77777777" w:rsidR="00244D23" w:rsidRPr="00283C60" w:rsidRDefault="00244D23" w:rsidP="00393DF8">
      <w:pPr>
        <w:ind w:left="851"/>
        <w:rPr>
          <w:noProof/>
          <w:sz w:val="24"/>
          <w:szCs w:val="24"/>
        </w:rPr>
      </w:pPr>
      <w:r w:rsidRPr="00283C60">
        <w:rPr>
          <w:noProof/>
          <w:sz w:val="24"/>
          <w:szCs w:val="24"/>
        </w:rPr>
        <w:t xml:space="preserve">Andelen af patienter i ITT-populationen uden nye eller nyligt forstørrede T2-læsioner på MR-scanningen ved uge 96 i forhold til </w:t>
      </w:r>
      <w:r w:rsidRPr="00283C60">
        <w:rPr>
          <w:i/>
          <w:noProof/>
          <w:sz w:val="24"/>
          <w:szCs w:val="24"/>
        </w:rPr>
        <w:t>baseline</w:t>
      </w:r>
      <w:r w:rsidRPr="00283C60">
        <w:rPr>
          <w:noProof/>
          <w:sz w:val="24"/>
          <w:szCs w:val="24"/>
        </w:rPr>
        <w:t xml:space="preserve"> var 12,8 % for dimethylfumerat versus 2,8 % i interferon beta-1a-gruppen. Det gennemsnitlige antal nye eller nyligt forstørrede T2-læsioner ved uge 96 i forhold til </w:t>
      </w:r>
      <w:r w:rsidRPr="00283C60">
        <w:rPr>
          <w:i/>
          <w:noProof/>
          <w:sz w:val="24"/>
          <w:szCs w:val="24"/>
        </w:rPr>
        <w:t>baseline</w:t>
      </w:r>
      <w:r w:rsidRPr="00283C60">
        <w:rPr>
          <w:noProof/>
          <w:sz w:val="24"/>
          <w:szCs w:val="24"/>
        </w:rPr>
        <w:t xml:space="preserve"> justeret for </w:t>
      </w:r>
      <w:r w:rsidRPr="00283C60">
        <w:rPr>
          <w:i/>
          <w:noProof/>
          <w:sz w:val="24"/>
          <w:szCs w:val="24"/>
        </w:rPr>
        <w:t>baseline</w:t>
      </w:r>
      <w:r w:rsidRPr="00283C60">
        <w:rPr>
          <w:noProof/>
          <w:sz w:val="24"/>
          <w:szCs w:val="24"/>
        </w:rPr>
        <w:t>-antallet af T2-læsioner og alder (ITT-population fraregnet patienter uden MR-scanningsmålinger) var 12,4 for dimethylfumerat og 32,6 for interferon beta-1a.</w:t>
      </w:r>
    </w:p>
    <w:p w14:paraId="0132DB93" w14:textId="77777777" w:rsidR="00244D23" w:rsidRPr="00283C60" w:rsidRDefault="00244D23" w:rsidP="00393DF8">
      <w:pPr>
        <w:ind w:left="851"/>
        <w:rPr>
          <w:noProof/>
          <w:sz w:val="24"/>
          <w:szCs w:val="24"/>
        </w:rPr>
      </w:pPr>
    </w:p>
    <w:p w14:paraId="171E3640" w14:textId="77777777" w:rsidR="00244D23" w:rsidRPr="00283C60" w:rsidRDefault="00244D23" w:rsidP="00393DF8">
      <w:pPr>
        <w:ind w:left="851"/>
        <w:rPr>
          <w:noProof/>
          <w:sz w:val="24"/>
          <w:szCs w:val="24"/>
        </w:rPr>
      </w:pPr>
      <w:r w:rsidRPr="00283C60">
        <w:rPr>
          <w:noProof/>
          <w:sz w:val="24"/>
          <w:szCs w:val="24"/>
        </w:rPr>
        <w:t>Sandsynligheden for klinisk recidiv var 34 % i dimethylfumerat-gruppen og 48 % i interferon beta-1a-gruppen ved afslutningen af den 96-uger lange åbne studieperiode.</w:t>
      </w:r>
    </w:p>
    <w:p w14:paraId="7D13F04B" w14:textId="77777777" w:rsidR="00244D23" w:rsidRPr="00283C60" w:rsidRDefault="00244D23" w:rsidP="00393DF8">
      <w:pPr>
        <w:ind w:left="851"/>
        <w:rPr>
          <w:noProof/>
          <w:sz w:val="24"/>
          <w:szCs w:val="24"/>
        </w:rPr>
      </w:pPr>
    </w:p>
    <w:p w14:paraId="00F657B0" w14:textId="77777777" w:rsidR="00244D23" w:rsidRPr="00283C60" w:rsidRDefault="00244D23" w:rsidP="00393DF8">
      <w:pPr>
        <w:ind w:left="851"/>
        <w:rPr>
          <w:noProof/>
          <w:sz w:val="24"/>
          <w:szCs w:val="24"/>
        </w:rPr>
      </w:pPr>
      <w:r w:rsidRPr="00283C60">
        <w:rPr>
          <w:noProof/>
          <w:sz w:val="24"/>
          <w:szCs w:val="24"/>
        </w:rPr>
        <w:t>Sikkerhedsprofilen for pædiatriske patienter (i alderen 13 til under 18 år), der fik dimethylfumerat, stemte kvalitativt overens med den, der tidligere er observeret for voksne patienter (se pkt. 4.8).</w:t>
      </w:r>
    </w:p>
    <w:p w14:paraId="60F1549E" w14:textId="77777777" w:rsidR="009260DE" w:rsidRPr="00283C60" w:rsidRDefault="009260DE" w:rsidP="009260DE">
      <w:pPr>
        <w:tabs>
          <w:tab w:val="left" w:pos="851"/>
        </w:tabs>
        <w:ind w:left="851"/>
        <w:rPr>
          <w:sz w:val="24"/>
          <w:szCs w:val="24"/>
        </w:rPr>
      </w:pPr>
    </w:p>
    <w:p w14:paraId="2548210B" w14:textId="77777777" w:rsidR="009260DE" w:rsidRPr="00283C60" w:rsidRDefault="009260DE" w:rsidP="009260DE">
      <w:pPr>
        <w:tabs>
          <w:tab w:val="left" w:pos="851"/>
        </w:tabs>
        <w:ind w:left="851" w:hanging="851"/>
        <w:rPr>
          <w:b/>
          <w:sz w:val="24"/>
          <w:szCs w:val="24"/>
        </w:rPr>
      </w:pPr>
      <w:r w:rsidRPr="00283C60">
        <w:rPr>
          <w:b/>
          <w:sz w:val="24"/>
          <w:szCs w:val="24"/>
        </w:rPr>
        <w:t>5.2</w:t>
      </w:r>
      <w:r w:rsidRPr="00283C60">
        <w:rPr>
          <w:b/>
          <w:sz w:val="24"/>
          <w:szCs w:val="24"/>
        </w:rPr>
        <w:tab/>
      </w:r>
      <w:proofErr w:type="spellStart"/>
      <w:r w:rsidRPr="00283C60">
        <w:rPr>
          <w:b/>
          <w:sz w:val="24"/>
          <w:szCs w:val="24"/>
        </w:rPr>
        <w:t>Farmakokinetiske</w:t>
      </w:r>
      <w:proofErr w:type="spellEnd"/>
      <w:r w:rsidRPr="00283C60">
        <w:rPr>
          <w:b/>
          <w:sz w:val="24"/>
          <w:szCs w:val="24"/>
        </w:rPr>
        <w:t xml:space="preserve"> egenskaber</w:t>
      </w:r>
    </w:p>
    <w:p w14:paraId="1C3D4E6E" w14:textId="77777777" w:rsidR="00244D23" w:rsidRPr="00283C60" w:rsidRDefault="00244D23" w:rsidP="00393DF8">
      <w:pPr>
        <w:ind w:left="851"/>
        <w:rPr>
          <w:noProof/>
          <w:sz w:val="24"/>
          <w:szCs w:val="24"/>
          <w:lang w:eastAsia="fr-LU"/>
        </w:rPr>
      </w:pPr>
      <w:r w:rsidRPr="00283C60">
        <w:rPr>
          <w:noProof/>
          <w:sz w:val="24"/>
          <w:szCs w:val="24"/>
        </w:rPr>
        <w:t>Oralt administreret dimethylfumerat undergår hurtig præsystemisk hydrolyse ved hjælp af esteraser og omdannes til dets primære metabolit, monomethylfumarat, som også er aktiv. Dimethylfumerat kan ikke kvantificeres i plasma efter oral administration af dimethylfumerat. Derfor blev alle farmakokinetiske analyser i relation til dimethylfumerat udført med monomethylfumarat-koncentrationer i plasma. Farmakokinetiske data er indhentet fra patienter med multipel sklerose og hos raske frivillige.</w:t>
      </w:r>
    </w:p>
    <w:p w14:paraId="76F694B8" w14:textId="77777777" w:rsidR="00244D23" w:rsidRPr="00283C60" w:rsidRDefault="00244D23" w:rsidP="00393DF8">
      <w:pPr>
        <w:ind w:left="851"/>
        <w:rPr>
          <w:noProof/>
          <w:sz w:val="24"/>
          <w:szCs w:val="24"/>
        </w:rPr>
      </w:pPr>
    </w:p>
    <w:p w14:paraId="6CB450F9" w14:textId="77777777" w:rsidR="00244D23" w:rsidRPr="00283C60" w:rsidRDefault="00244D23" w:rsidP="00393DF8">
      <w:pPr>
        <w:ind w:left="851"/>
        <w:rPr>
          <w:sz w:val="24"/>
          <w:szCs w:val="24"/>
        </w:rPr>
      </w:pPr>
      <w:r w:rsidRPr="00283C60">
        <w:rPr>
          <w:sz w:val="24"/>
          <w:szCs w:val="24"/>
          <w:u w:val="single"/>
        </w:rPr>
        <w:t>Absorption</w:t>
      </w:r>
    </w:p>
    <w:p w14:paraId="5C9363A8" w14:textId="77777777" w:rsidR="00244D23" w:rsidRPr="00283C60" w:rsidRDefault="00244D23" w:rsidP="00393DF8">
      <w:pPr>
        <w:ind w:left="851"/>
        <w:rPr>
          <w:noProof/>
          <w:sz w:val="24"/>
          <w:szCs w:val="24"/>
          <w:lang w:eastAsia="fr-LU"/>
        </w:rPr>
      </w:pPr>
      <w:r w:rsidRPr="00283C60">
        <w:rPr>
          <w:noProof/>
          <w:sz w:val="24"/>
          <w:szCs w:val="24"/>
        </w:rPr>
        <w:t>Monomethylfumarats T</w:t>
      </w:r>
      <w:r w:rsidRPr="00283C60">
        <w:rPr>
          <w:noProof/>
          <w:sz w:val="24"/>
          <w:szCs w:val="24"/>
          <w:vertAlign w:val="subscript"/>
        </w:rPr>
        <w:t>max</w:t>
      </w:r>
      <w:r w:rsidRPr="00283C60">
        <w:rPr>
          <w:noProof/>
          <w:sz w:val="24"/>
          <w:szCs w:val="24"/>
        </w:rPr>
        <w:t xml:space="preserve"> er 2 til 2,5 timer. Idet hårde enterokapsler med dimethylfumerat indeholder minitabletter, som er beskyttede af et syreresistent overtræk, begynder absorptionen først, når de forlader maven (generelt under 1 time). Efter administration af 240 mg to gange dagligt sammen med mad var den mediane peak-værdi (C</w:t>
      </w:r>
      <w:r w:rsidRPr="00283C60">
        <w:rPr>
          <w:noProof/>
          <w:sz w:val="24"/>
          <w:szCs w:val="24"/>
          <w:vertAlign w:val="subscript"/>
        </w:rPr>
        <w:t>max</w:t>
      </w:r>
      <w:r w:rsidRPr="00283C60">
        <w:rPr>
          <w:noProof/>
          <w:sz w:val="24"/>
          <w:szCs w:val="24"/>
        </w:rPr>
        <w:t>) 1,72 mg/l, og det totale areal under kurven (AUC) for eksponering var  8,02 timer∙mg/l hos patienter med multipel sklerose. Samlet set steg C</w:t>
      </w:r>
      <w:r w:rsidRPr="00283C60">
        <w:rPr>
          <w:noProof/>
          <w:sz w:val="24"/>
          <w:szCs w:val="24"/>
          <w:vertAlign w:val="subscript"/>
        </w:rPr>
        <w:t>max</w:t>
      </w:r>
      <w:r w:rsidRPr="00283C60">
        <w:rPr>
          <w:noProof/>
          <w:sz w:val="24"/>
          <w:szCs w:val="24"/>
        </w:rPr>
        <w:t xml:space="preserve"> og AUC nogenlunde proportionalt med dosis i det undersøgte dosisinterval (120 mg til 360 mg). Patienter med multipel sklerose fik to doser på 240 mg med 4 timers mellemrum som en del af et dosisregime med dosering 3 gange dagligt. Dette resulterede i en minimal eksponeringsakkumulation, som gav en stigning i den mediane C</w:t>
      </w:r>
      <w:r w:rsidRPr="00283C60">
        <w:rPr>
          <w:noProof/>
          <w:sz w:val="24"/>
          <w:szCs w:val="24"/>
          <w:vertAlign w:val="subscript"/>
        </w:rPr>
        <w:t>max</w:t>
      </w:r>
      <w:r w:rsidRPr="00283C60">
        <w:rPr>
          <w:noProof/>
          <w:sz w:val="24"/>
          <w:szCs w:val="24"/>
        </w:rPr>
        <w:t xml:space="preserve"> på 12 % sammenlignet med dosering to gange dagligt (1,72 mg/l for dosering to gange dagligt sammenlignet med 1,93 mg/l for dosering tre gange dagligt) uden sikkerhedsimplikationer.</w:t>
      </w:r>
    </w:p>
    <w:p w14:paraId="1D62FFF8" w14:textId="77777777" w:rsidR="00244D23" w:rsidRPr="00283C60" w:rsidRDefault="00244D23" w:rsidP="00393DF8">
      <w:pPr>
        <w:ind w:left="851"/>
        <w:rPr>
          <w:noProof/>
          <w:sz w:val="24"/>
          <w:szCs w:val="24"/>
        </w:rPr>
      </w:pPr>
    </w:p>
    <w:p w14:paraId="7A02A20F" w14:textId="77777777" w:rsidR="00244D23" w:rsidRPr="00283C60" w:rsidRDefault="00244D23" w:rsidP="00393DF8">
      <w:pPr>
        <w:ind w:left="851"/>
        <w:rPr>
          <w:noProof/>
          <w:sz w:val="24"/>
          <w:szCs w:val="24"/>
        </w:rPr>
      </w:pPr>
      <w:r w:rsidRPr="00283C60">
        <w:rPr>
          <w:noProof/>
          <w:sz w:val="24"/>
          <w:szCs w:val="24"/>
        </w:rPr>
        <w:t>Mad har ingen klinisk signifikant virkning på eksponeringen for dimethylfumerat. Dimethylfumerat bør dog tages sammen med mad, da det giver en bedre tolerance i forhold til rødme og gastrointestinale bivirkninger (se pkt. 4.2).</w:t>
      </w:r>
    </w:p>
    <w:p w14:paraId="521018E7" w14:textId="77777777" w:rsidR="00244D23" w:rsidRPr="00283C60" w:rsidRDefault="00244D23" w:rsidP="00393DF8">
      <w:pPr>
        <w:ind w:left="851"/>
        <w:rPr>
          <w:noProof/>
          <w:sz w:val="24"/>
          <w:szCs w:val="24"/>
        </w:rPr>
      </w:pPr>
    </w:p>
    <w:p w14:paraId="4E982EB5" w14:textId="77777777" w:rsidR="00244D23" w:rsidRPr="00283C60" w:rsidRDefault="00244D23" w:rsidP="00393DF8">
      <w:pPr>
        <w:ind w:left="851"/>
        <w:rPr>
          <w:noProof/>
          <w:sz w:val="24"/>
          <w:szCs w:val="24"/>
          <w:u w:val="single"/>
        </w:rPr>
      </w:pPr>
      <w:r w:rsidRPr="00283C60">
        <w:rPr>
          <w:noProof/>
          <w:sz w:val="24"/>
          <w:szCs w:val="24"/>
          <w:u w:val="single"/>
        </w:rPr>
        <w:t>Fordeling</w:t>
      </w:r>
    </w:p>
    <w:p w14:paraId="3F44B8F6" w14:textId="77777777" w:rsidR="00244D23" w:rsidRPr="00283C60" w:rsidRDefault="00244D23" w:rsidP="00393DF8">
      <w:pPr>
        <w:ind w:left="851"/>
        <w:rPr>
          <w:sz w:val="24"/>
          <w:szCs w:val="24"/>
          <w:lang w:eastAsia="fr-LU"/>
        </w:rPr>
      </w:pPr>
      <w:r w:rsidRPr="00283C60">
        <w:rPr>
          <w:sz w:val="24"/>
          <w:szCs w:val="24"/>
        </w:rPr>
        <w:t xml:space="preserve">Det tilsyneladende distributionsvolumen efter oral administration af 240 mg </w:t>
      </w:r>
      <w:proofErr w:type="spellStart"/>
      <w:r w:rsidRPr="00283C60">
        <w:rPr>
          <w:sz w:val="24"/>
          <w:szCs w:val="24"/>
        </w:rPr>
        <w:t>dimethylfumerat</w:t>
      </w:r>
      <w:proofErr w:type="spellEnd"/>
      <w:r w:rsidRPr="00283C60">
        <w:rPr>
          <w:sz w:val="24"/>
          <w:szCs w:val="24"/>
        </w:rPr>
        <w:t xml:space="preserve"> varierer mellem 60 l og 90 l. Plasmaproteinbindingen af </w:t>
      </w:r>
      <w:proofErr w:type="spellStart"/>
      <w:r w:rsidRPr="00283C60">
        <w:rPr>
          <w:sz w:val="24"/>
          <w:szCs w:val="24"/>
        </w:rPr>
        <w:t>monomethylfumarat</w:t>
      </w:r>
      <w:proofErr w:type="spellEnd"/>
      <w:r w:rsidRPr="00283C60">
        <w:rPr>
          <w:sz w:val="24"/>
          <w:szCs w:val="24"/>
        </w:rPr>
        <w:t xml:space="preserve"> hos mennesker ligger generelt mellem 27 % og 40 %.</w:t>
      </w:r>
    </w:p>
    <w:p w14:paraId="4A787BB9" w14:textId="77777777" w:rsidR="00244D23" w:rsidRPr="00283C60" w:rsidRDefault="00244D23" w:rsidP="00393DF8">
      <w:pPr>
        <w:ind w:left="851"/>
        <w:rPr>
          <w:sz w:val="24"/>
          <w:szCs w:val="24"/>
        </w:rPr>
      </w:pPr>
    </w:p>
    <w:p w14:paraId="0B2F578E" w14:textId="77777777" w:rsidR="00244D23" w:rsidRPr="00283C60" w:rsidRDefault="00244D23" w:rsidP="00393DF8">
      <w:pPr>
        <w:ind w:left="851"/>
        <w:rPr>
          <w:sz w:val="24"/>
          <w:szCs w:val="24"/>
          <w:u w:val="single"/>
        </w:rPr>
      </w:pPr>
      <w:r w:rsidRPr="00283C60">
        <w:rPr>
          <w:sz w:val="24"/>
          <w:szCs w:val="24"/>
          <w:u w:val="single"/>
        </w:rPr>
        <w:t>Biotransformation</w:t>
      </w:r>
    </w:p>
    <w:p w14:paraId="323E92EA" w14:textId="77777777" w:rsidR="00244D23" w:rsidRPr="00283C60" w:rsidRDefault="00244D23" w:rsidP="00393DF8">
      <w:pPr>
        <w:ind w:left="851"/>
        <w:rPr>
          <w:noProof/>
          <w:sz w:val="24"/>
          <w:szCs w:val="24"/>
          <w:lang w:eastAsia="fr-LU"/>
        </w:rPr>
      </w:pPr>
      <w:r w:rsidRPr="00283C60">
        <w:rPr>
          <w:noProof/>
          <w:sz w:val="24"/>
          <w:szCs w:val="24"/>
        </w:rPr>
        <w:t xml:space="preserve">Hos mennesker metaboliseres dimethylfumerat i vidt omfang, og under 0,1 % af dosis udskilles som umetaboliseret dimethylfumerat i urinen. Indledningsvist metaboliseres det af esteraser, som findes alle steder i mave-tarm-kanal, blod og væv, inden det når systemkredsløbet. Yderligere metabolisering sker gennem tricarboxylsyrecyklussen uden involvering af cytokrom P450 (CYP)-systemet. </w:t>
      </w:r>
    </w:p>
    <w:p w14:paraId="2596FAEB" w14:textId="77777777" w:rsidR="00244D23" w:rsidRPr="00283C60" w:rsidRDefault="00244D23" w:rsidP="00393DF8">
      <w:pPr>
        <w:ind w:left="851"/>
        <w:rPr>
          <w:noProof/>
          <w:sz w:val="24"/>
          <w:szCs w:val="24"/>
        </w:rPr>
      </w:pPr>
    </w:p>
    <w:p w14:paraId="2C24D008" w14:textId="77777777" w:rsidR="00244D23" w:rsidRPr="00283C60" w:rsidRDefault="00244D23" w:rsidP="00393DF8">
      <w:pPr>
        <w:ind w:left="851"/>
        <w:rPr>
          <w:noProof/>
          <w:sz w:val="24"/>
          <w:szCs w:val="24"/>
        </w:rPr>
      </w:pPr>
      <w:r w:rsidRPr="00283C60">
        <w:rPr>
          <w:noProof/>
          <w:sz w:val="24"/>
          <w:szCs w:val="24"/>
        </w:rPr>
        <w:t xml:space="preserve">Et enkeltdosis-studie med 240 mg </w:t>
      </w:r>
      <w:r w:rsidRPr="00283C60">
        <w:rPr>
          <w:noProof/>
          <w:sz w:val="24"/>
          <w:szCs w:val="24"/>
          <w:vertAlign w:val="superscript"/>
        </w:rPr>
        <w:t>14</w:t>
      </w:r>
      <w:r w:rsidRPr="00283C60">
        <w:rPr>
          <w:noProof/>
          <w:sz w:val="24"/>
          <w:szCs w:val="24"/>
        </w:rPr>
        <w:t xml:space="preserve">C-dimethylfumerat identificerede glucose som den dominerende metabolit i humant plasma. Andre cirkulerende metabolitter inkluderede fumarsyre, citronsyre og monomethylfumarat. </w:t>
      </w:r>
      <w:r w:rsidRPr="00283C60">
        <w:rPr>
          <w:i/>
          <w:noProof/>
          <w:sz w:val="24"/>
          <w:szCs w:val="24"/>
        </w:rPr>
        <w:t>Downstream</w:t>
      </w:r>
      <w:r w:rsidRPr="00283C60">
        <w:rPr>
          <w:noProof/>
          <w:sz w:val="24"/>
          <w:szCs w:val="24"/>
        </w:rPr>
        <w:t>-metaboliseringen af fumarsyre sker gennem tricarboxylsyrecyklussen med CO</w:t>
      </w:r>
      <w:r w:rsidRPr="00283C60">
        <w:rPr>
          <w:noProof/>
          <w:sz w:val="24"/>
          <w:szCs w:val="24"/>
          <w:vertAlign w:val="subscript"/>
        </w:rPr>
        <w:t>2</w:t>
      </w:r>
      <w:r w:rsidRPr="00283C60">
        <w:rPr>
          <w:noProof/>
          <w:sz w:val="24"/>
          <w:szCs w:val="24"/>
        </w:rPr>
        <w:t>-udskillelse som den primære eliminationsvej.</w:t>
      </w:r>
    </w:p>
    <w:p w14:paraId="1B4D8166" w14:textId="77777777" w:rsidR="00244D23" w:rsidRPr="00283C60" w:rsidRDefault="00244D23" w:rsidP="00393DF8">
      <w:pPr>
        <w:ind w:left="851"/>
        <w:rPr>
          <w:sz w:val="24"/>
          <w:szCs w:val="24"/>
        </w:rPr>
      </w:pPr>
    </w:p>
    <w:p w14:paraId="0769EC44" w14:textId="77777777" w:rsidR="00244D23" w:rsidRPr="00283C60" w:rsidRDefault="00244D23" w:rsidP="00393DF8">
      <w:pPr>
        <w:ind w:left="851"/>
        <w:rPr>
          <w:sz w:val="24"/>
          <w:szCs w:val="24"/>
        </w:rPr>
      </w:pPr>
      <w:r w:rsidRPr="00283C60">
        <w:rPr>
          <w:sz w:val="24"/>
          <w:szCs w:val="24"/>
          <w:u w:val="single"/>
        </w:rPr>
        <w:t>Elimination</w:t>
      </w:r>
    </w:p>
    <w:p w14:paraId="0599A7C0" w14:textId="77777777" w:rsidR="00244D23" w:rsidRPr="00283C60" w:rsidRDefault="00244D23" w:rsidP="00393DF8">
      <w:pPr>
        <w:ind w:left="851"/>
        <w:rPr>
          <w:noProof/>
          <w:sz w:val="24"/>
          <w:szCs w:val="24"/>
          <w:lang w:eastAsia="fr-LU"/>
        </w:rPr>
      </w:pPr>
      <w:r w:rsidRPr="00283C60">
        <w:rPr>
          <w:noProof/>
          <w:sz w:val="24"/>
          <w:szCs w:val="24"/>
        </w:rPr>
        <w:t>CO</w:t>
      </w:r>
      <w:r w:rsidRPr="00283C60">
        <w:rPr>
          <w:noProof/>
          <w:sz w:val="24"/>
          <w:szCs w:val="24"/>
          <w:vertAlign w:val="subscript"/>
        </w:rPr>
        <w:t>2</w:t>
      </w:r>
      <w:r w:rsidRPr="00283C60">
        <w:rPr>
          <w:noProof/>
          <w:sz w:val="24"/>
          <w:szCs w:val="24"/>
        </w:rPr>
        <w:t xml:space="preserve">-udskillelse er den primære eliminationsvej for dimethylfumerat og står for 60 % af dosis. </w:t>
      </w:r>
    </w:p>
    <w:p w14:paraId="72C52951" w14:textId="77777777" w:rsidR="00244D23" w:rsidRPr="00283C60" w:rsidRDefault="00244D23" w:rsidP="00393DF8">
      <w:pPr>
        <w:ind w:left="851"/>
        <w:rPr>
          <w:noProof/>
          <w:sz w:val="24"/>
          <w:szCs w:val="24"/>
        </w:rPr>
      </w:pPr>
      <w:r w:rsidRPr="00283C60">
        <w:rPr>
          <w:noProof/>
          <w:sz w:val="24"/>
          <w:szCs w:val="24"/>
        </w:rPr>
        <w:t>Renal og fækal elimination er sekundære eliminationsveje og står for udskillelse af henholdsvis 15,5 % og 0,9 % af dosis.</w:t>
      </w:r>
    </w:p>
    <w:p w14:paraId="10CF0DF4" w14:textId="77777777" w:rsidR="00244D23" w:rsidRPr="00283C60" w:rsidRDefault="00244D23" w:rsidP="00393DF8">
      <w:pPr>
        <w:ind w:left="851"/>
        <w:rPr>
          <w:noProof/>
          <w:sz w:val="24"/>
          <w:szCs w:val="24"/>
        </w:rPr>
      </w:pPr>
    </w:p>
    <w:p w14:paraId="7256F120" w14:textId="77777777" w:rsidR="00244D23" w:rsidRPr="00283C60" w:rsidRDefault="00244D23" w:rsidP="00393DF8">
      <w:pPr>
        <w:ind w:left="851"/>
        <w:rPr>
          <w:sz w:val="24"/>
          <w:szCs w:val="24"/>
        </w:rPr>
      </w:pPr>
      <w:r w:rsidRPr="00283C60">
        <w:rPr>
          <w:noProof/>
          <w:sz w:val="24"/>
          <w:szCs w:val="24"/>
        </w:rPr>
        <w:t>Den terminale halveringstid for monomethylfumarat er kort (cirka 1 time), og hos de fleste er der er ingen cirkulerende monomethylfumarat til stede efter 24 timer. Dimethylfumarat eller monomethylfumarat akkumuleres ikke ved administration af flere doser dimethylfumerat som del at det terapeutiske regime</w:t>
      </w:r>
    </w:p>
    <w:p w14:paraId="0C6D4E44" w14:textId="77777777" w:rsidR="00244D23" w:rsidRPr="00283C60" w:rsidRDefault="00244D23" w:rsidP="00393DF8">
      <w:pPr>
        <w:ind w:left="851"/>
        <w:rPr>
          <w:noProof/>
          <w:sz w:val="24"/>
          <w:szCs w:val="24"/>
        </w:rPr>
      </w:pPr>
    </w:p>
    <w:p w14:paraId="58604112" w14:textId="77777777" w:rsidR="00244D23" w:rsidRPr="00283C60" w:rsidRDefault="00244D23" w:rsidP="00393DF8">
      <w:pPr>
        <w:ind w:left="851"/>
        <w:rPr>
          <w:noProof/>
          <w:sz w:val="24"/>
          <w:szCs w:val="24"/>
        </w:rPr>
      </w:pPr>
      <w:r w:rsidRPr="00283C60">
        <w:rPr>
          <w:sz w:val="24"/>
          <w:szCs w:val="24"/>
          <w:u w:val="single"/>
        </w:rPr>
        <w:t>Linearitet</w:t>
      </w:r>
    </w:p>
    <w:p w14:paraId="7FAD3C7B" w14:textId="77777777" w:rsidR="00244D23" w:rsidRPr="00283C60" w:rsidRDefault="00244D23" w:rsidP="00393DF8">
      <w:pPr>
        <w:ind w:left="851"/>
        <w:rPr>
          <w:noProof/>
          <w:sz w:val="24"/>
          <w:szCs w:val="24"/>
          <w:lang w:eastAsia="fr-LU"/>
        </w:rPr>
      </w:pPr>
      <w:r w:rsidRPr="00283C60">
        <w:rPr>
          <w:noProof/>
          <w:sz w:val="24"/>
          <w:szCs w:val="24"/>
        </w:rPr>
        <w:t>Dimethylfumerat-eksponeringen stiger tilnærmelsesvist proportionalt med dosis (enkeltdoser og flere doser), i det undersøgte dosisinterval mellem 120 mg til 360 mg.</w:t>
      </w:r>
    </w:p>
    <w:p w14:paraId="33F63EEF" w14:textId="77777777" w:rsidR="00244D23" w:rsidRPr="00283C60" w:rsidRDefault="00244D23" w:rsidP="00393DF8">
      <w:pPr>
        <w:ind w:left="851"/>
        <w:rPr>
          <w:sz w:val="24"/>
          <w:szCs w:val="24"/>
          <w:u w:val="single"/>
        </w:rPr>
      </w:pPr>
    </w:p>
    <w:p w14:paraId="08D9213B" w14:textId="77777777" w:rsidR="00244D23" w:rsidRPr="00283C60" w:rsidRDefault="00244D23" w:rsidP="00393DF8">
      <w:pPr>
        <w:ind w:left="851"/>
        <w:rPr>
          <w:sz w:val="24"/>
          <w:szCs w:val="24"/>
          <w:u w:val="single"/>
        </w:rPr>
      </w:pPr>
      <w:r w:rsidRPr="00283C60">
        <w:rPr>
          <w:sz w:val="24"/>
          <w:szCs w:val="24"/>
          <w:u w:val="single"/>
        </w:rPr>
        <w:t>Farmakokinetik</w:t>
      </w:r>
      <w:r w:rsidRPr="00283C60">
        <w:rPr>
          <w:spacing w:val="-2"/>
          <w:sz w:val="24"/>
          <w:szCs w:val="24"/>
          <w:u w:val="single"/>
        </w:rPr>
        <w:t xml:space="preserve"> </w:t>
      </w:r>
      <w:r w:rsidRPr="00283C60">
        <w:rPr>
          <w:sz w:val="24"/>
          <w:szCs w:val="24"/>
          <w:u w:val="single"/>
        </w:rPr>
        <w:t>i</w:t>
      </w:r>
      <w:r w:rsidRPr="00283C60">
        <w:rPr>
          <w:spacing w:val="-4"/>
          <w:sz w:val="24"/>
          <w:szCs w:val="24"/>
          <w:u w:val="single"/>
        </w:rPr>
        <w:t xml:space="preserve"> </w:t>
      </w:r>
      <w:r w:rsidRPr="00283C60">
        <w:rPr>
          <w:sz w:val="24"/>
          <w:szCs w:val="24"/>
          <w:u w:val="single"/>
        </w:rPr>
        <w:t>særlige</w:t>
      </w:r>
      <w:r w:rsidRPr="00283C60">
        <w:rPr>
          <w:spacing w:val="-4"/>
          <w:sz w:val="24"/>
          <w:szCs w:val="24"/>
          <w:u w:val="single"/>
        </w:rPr>
        <w:t xml:space="preserve"> </w:t>
      </w:r>
      <w:r w:rsidRPr="00283C60">
        <w:rPr>
          <w:sz w:val="24"/>
          <w:szCs w:val="24"/>
          <w:u w:val="single"/>
        </w:rPr>
        <w:t>patientgrupper</w:t>
      </w:r>
    </w:p>
    <w:p w14:paraId="0CDC9613" w14:textId="77777777" w:rsidR="00244D23" w:rsidRPr="00283C60" w:rsidRDefault="00244D23" w:rsidP="00393DF8">
      <w:pPr>
        <w:ind w:left="851"/>
        <w:rPr>
          <w:sz w:val="24"/>
          <w:szCs w:val="24"/>
        </w:rPr>
      </w:pPr>
      <w:r w:rsidRPr="00283C60">
        <w:rPr>
          <w:sz w:val="24"/>
          <w:szCs w:val="24"/>
        </w:rPr>
        <w:t xml:space="preserve">På basis af resultaterne i variansanalysen (ANOVA) er kropsvægt </w:t>
      </w:r>
      <w:proofErr w:type="spellStart"/>
      <w:r w:rsidRPr="00283C60">
        <w:rPr>
          <w:sz w:val="24"/>
          <w:szCs w:val="24"/>
        </w:rPr>
        <w:t>hovedkovariansen</w:t>
      </w:r>
      <w:proofErr w:type="spellEnd"/>
      <w:r w:rsidRPr="00283C60">
        <w:rPr>
          <w:sz w:val="24"/>
          <w:szCs w:val="24"/>
        </w:rPr>
        <w:t xml:space="preserve"> for eksponering (</w:t>
      </w:r>
      <w:proofErr w:type="spellStart"/>
      <w:r w:rsidRPr="00283C60">
        <w:rPr>
          <w:sz w:val="24"/>
          <w:szCs w:val="24"/>
        </w:rPr>
        <w:t>C</w:t>
      </w:r>
      <w:r w:rsidRPr="00283C60">
        <w:rPr>
          <w:sz w:val="24"/>
          <w:szCs w:val="24"/>
          <w:vertAlign w:val="subscript"/>
        </w:rPr>
        <w:t>max</w:t>
      </w:r>
      <w:proofErr w:type="spellEnd"/>
      <w:r w:rsidRPr="00283C60">
        <w:rPr>
          <w:sz w:val="24"/>
          <w:szCs w:val="24"/>
        </w:rPr>
        <w:t xml:space="preserve"> og AUC) hos patienter med RRMS, men den havde ingen indflydelse på sikkerheden og virkningen i de kliniske studier.</w:t>
      </w:r>
    </w:p>
    <w:p w14:paraId="05760EE1" w14:textId="77777777" w:rsidR="00244D23" w:rsidRPr="00283C60" w:rsidRDefault="00244D23" w:rsidP="00393DF8">
      <w:pPr>
        <w:ind w:left="851"/>
        <w:rPr>
          <w:sz w:val="24"/>
          <w:szCs w:val="24"/>
        </w:rPr>
      </w:pPr>
    </w:p>
    <w:p w14:paraId="1D257527" w14:textId="77777777" w:rsidR="00244D23" w:rsidRPr="00283C60" w:rsidRDefault="00244D23" w:rsidP="00393DF8">
      <w:pPr>
        <w:ind w:left="851"/>
        <w:rPr>
          <w:sz w:val="24"/>
          <w:szCs w:val="24"/>
        </w:rPr>
      </w:pPr>
      <w:r w:rsidRPr="00283C60">
        <w:rPr>
          <w:sz w:val="24"/>
          <w:szCs w:val="24"/>
        </w:rPr>
        <w:t xml:space="preserve">Køn og alder havde ikke nogen klinisk signifikant virkning på </w:t>
      </w:r>
      <w:proofErr w:type="spellStart"/>
      <w:r w:rsidRPr="00283C60">
        <w:rPr>
          <w:sz w:val="24"/>
          <w:szCs w:val="24"/>
        </w:rPr>
        <w:t>dimethylfumerats</w:t>
      </w:r>
      <w:proofErr w:type="spellEnd"/>
      <w:r w:rsidRPr="00283C60">
        <w:rPr>
          <w:sz w:val="24"/>
          <w:szCs w:val="24"/>
        </w:rPr>
        <w:t xml:space="preserve"> farmakokinetik. Farmakokinetikken hos patienter fra og med 65 år er ikke blevet undersøgt.</w:t>
      </w:r>
    </w:p>
    <w:p w14:paraId="410C2179" w14:textId="77777777" w:rsidR="00244D23" w:rsidRPr="00283C60" w:rsidRDefault="00244D23" w:rsidP="00393DF8">
      <w:pPr>
        <w:ind w:left="851"/>
        <w:rPr>
          <w:i/>
          <w:sz w:val="24"/>
          <w:szCs w:val="24"/>
        </w:rPr>
      </w:pPr>
    </w:p>
    <w:p w14:paraId="096D03AA" w14:textId="77777777" w:rsidR="00244D23" w:rsidRPr="00283C60" w:rsidRDefault="00244D23" w:rsidP="00393DF8">
      <w:pPr>
        <w:ind w:left="851"/>
        <w:rPr>
          <w:i/>
          <w:sz w:val="24"/>
          <w:szCs w:val="24"/>
        </w:rPr>
      </w:pPr>
      <w:r w:rsidRPr="00283C60">
        <w:rPr>
          <w:i/>
          <w:sz w:val="24"/>
          <w:szCs w:val="24"/>
        </w:rPr>
        <w:t>Nyreinsufficiens</w:t>
      </w:r>
    </w:p>
    <w:p w14:paraId="36324908" w14:textId="77777777" w:rsidR="00244D23" w:rsidRPr="00283C60" w:rsidRDefault="00244D23" w:rsidP="00393DF8">
      <w:pPr>
        <w:ind w:left="851"/>
        <w:rPr>
          <w:noProof/>
          <w:sz w:val="24"/>
          <w:szCs w:val="24"/>
        </w:rPr>
      </w:pPr>
      <w:r w:rsidRPr="00283C60">
        <w:rPr>
          <w:noProof/>
          <w:sz w:val="24"/>
          <w:szCs w:val="24"/>
        </w:rPr>
        <w:t>Da nyrerne er en sekundær eliminationsvej for dimethylfumerat og står for under 16 % af den administrerede dosis, blev der ikke foretaget nogen evaluering af farmakokinetikken hos individer med nyreinsufficiens.</w:t>
      </w:r>
    </w:p>
    <w:p w14:paraId="42287B31" w14:textId="0A1F98B1" w:rsidR="00283C60" w:rsidRDefault="00283C60">
      <w:pPr>
        <w:rPr>
          <w:sz w:val="24"/>
          <w:szCs w:val="24"/>
        </w:rPr>
      </w:pPr>
      <w:r>
        <w:rPr>
          <w:sz w:val="24"/>
          <w:szCs w:val="24"/>
        </w:rPr>
        <w:br w:type="page"/>
      </w:r>
    </w:p>
    <w:p w14:paraId="7931621D" w14:textId="77777777" w:rsidR="00244D23" w:rsidRPr="00283C60" w:rsidRDefault="00244D23" w:rsidP="00393DF8">
      <w:pPr>
        <w:ind w:left="851"/>
        <w:rPr>
          <w:sz w:val="24"/>
          <w:szCs w:val="24"/>
        </w:rPr>
      </w:pPr>
    </w:p>
    <w:p w14:paraId="260AE4FD" w14:textId="77777777" w:rsidR="00244D23" w:rsidRPr="00283C60" w:rsidRDefault="00244D23" w:rsidP="00393DF8">
      <w:pPr>
        <w:ind w:left="851"/>
        <w:rPr>
          <w:i/>
          <w:sz w:val="24"/>
          <w:szCs w:val="24"/>
        </w:rPr>
      </w:pPr>
      <w:r w:rsidRPr="00283C60">
        <w:rPr>
          <w:i/>
          <w:sz w:val="24"/>
          <w:szCs w:val="24"/>
        </w:rPr>
        <w:t>Leverinsufficiens</w:t>
      </w:r>
    </w:p>
    <w:p w14:paraId="0AFF7DC1" w14:textId="77777777" w:rsidR="00244D23" w:rsidRPr="00283C60" w:rsidRDefault="00244D23" w:rsidP="00393DF8">
      <w:pPr>
        <w:ind w:left="851"/>
        <w:rPr>
          <w:noProof/>
          <w:sz w:val="24"/>
          <w:szCs w:val="24"/>
        </w:rPr>
      </w:pPr>
      <w:r w:rsidRPr="00283C60">
        <w:rPr>
          <w:noProof/>
          <w:sz w:val="24"/>
          <w:szCs w:val="24"/>
        </w:rPr>
        <w:t>Idet dimethylfumerat og monomethylfumarat metaboliseres ved hjælp af esteraser uden involvering af CYP-systemet, blev farmakokinetikken hos individer med leverinsufficiens ikke evalueret.</w:t>
      </w:r>
    </w:p>
    <w:p w14:paraId="0687FF4D" w14:textId="77777777" w:rsidR="00244D23" w:rsidRPr="00283C60" w:rsidRDefault="00244D23" w:rsidP="00393DF8">
      <w:pPr>
        <w:ind w:left="851"/>
        <w:rPr>
          <w:noProof/>
          <w:sz w:val="24"/>
          <w:szCs w:val="24"/>
        </w:rPr>
      </w:pPr>
    </w:p>
    <w:p w14:paraId="2A59EA91" w14:textId="77777777" w:rsidR="00244D23" w:rsidRPr="00283C60" w:rsidRDefault="00244D23" w:rsidP="00393DF8">
      <w:pPr>
        <w:ind w:left="851"/>
        <w:rPr>
          <w:i/>
          <w:sz w:val="24"/>
          <w:szCs w:val="24"/>
        </w:rPr>
      </w:pPr>
      <w:r w:rsidRPr="00283C60">
        <w:rPr>
          <w:i/>
          <w:sz w:val="24"/>
          <w:szCs w:val="24"/>
        </w:rPr>
        <w:t>Pædiatrisk</w:t>
      </w:r>
      <w:r w:rsidRPr="00283C60">
        <w:rPr>
          <w:i/>
          <w:spacing w:val="-2"/>
          <w:sz w:val="24"/>
          <w:szCs w:val="24"/>
        </w:rPr>
        <w:t xml:space="preserve"> </w:t>
      </w:r>
      <w:r w:rsidRPr="00283C60">
        <w:rPr>
          <w:i/>
          <w:sz w:val="24"/>
          <w:szCs w:val="24"/>
        </w:rPr>
        <w:t>population</w:t>
      </w:r>
    </w:p>
    <w:p w14:paraId="56887BFD" w14:textId="77777777" w:rsidR="00244D23" w:rsidRPr="00283C60" w:rsidRDefault="00244D23" w:rsidP="00393DF8">
      <w:pPr>
        <w:ind w:left="851"/>
        <w:rPr>
          <w:noProof/>
          <w:sz w:val="24"/>
          <w:szCs w:val="24"/>
        </w:rPr>
      </w:pPr>
      <w:r w:rsidRPr="00283C60">
        <w:rPr>
          <w:noProof/>
          <w:sz w:val="24"/>
          <w:szCs w:val="24"/>
        </w:rPr>
        <w:t>Dimethylfumerats farmakokinetiske profil ved en dosis på 240 mg to gange dagligt blev evalueret i et lille, åbent, ikke-kontrolleret studie med patienter i alderen 13 til 17 år med RRMS (n=21). Dimethylfumerats farmakokinetik hos unge patienter svarede til den, der tidligere var set hos voksne patienter (C</w:t>
      </w:r>
      <w:r w:rsidRPr="00283C60">
        <w:rPr>
          <w:noProof/>
          <w:sz w:val="24"/>
          <w:szCs w:val="24"/>
          <w:vertAlign w:val="subscript"/>
        </w:rPr>
        <w:t>max</w:t>
      </w:r>
      <w:r w:rsidRPr="00283C60">
        <w:rPr>
          <w:noProof/>
          <w:sz w:val="24"/>
          <w:szCs w:val="24"/>
        </w:rPr>
        <w:t>: 2,00±1,29 mg/l; AUC</w:t>
      </w:r>
      <w:r w:rsidRPr="00283C60">
        <w:rPr>
          <w:noProof/>
          <w:sz w:val="24"/>
          <w:szCs w:val="24"/>
          <w:vertAlign w:val="subscript"/>
        </w:rPr>
        <w:t>0-12t</w:t>
      </w:r>
      <w:r w:rsidRPr="00283C60">
        <w:rPr>
          <w:noProof/>
          <w:sz w:val="24"/>
          <w:szCs w:val="24"/>
        </w:rPr>
        <w:t>: 3,62±1,16 timer∙mg/l, hvilket svarer til et samlet dagligt AUC på 7,24 timer∙mg/l).</w:t>
      </w:r>
    </w:p>
    <w:p w14:paraId="393EC6F4" w14:textId="77777777" w:rsidR="009260DE" w:rsidRPr="00283C60" w:rsidRDefault="009260DE" w:rsidP="009260DE">
      <w:pPr>
        <w:tabs>
          <w:tab w:val="left" w:pos="851"/>
        </w:tabs>
        <w:ind w:left="851"/>
        <w:rPr>
          <w:sz w:val="24"/>
          <w:szCs w:val="24"/>
        </w:rPr>
      </w:pPr>
    </w:p>
    <w:p w14:paraId="386346CC" w14:textId="77777777" w:rsidR="009260DE" w:rsidRPr="00283C60" w:rsidRDefault="009260DE" w:rsidP="009260DE">
      <w:pPr>
        <w:tabs>
          <w:tab w:val="left" w:pos="851"/>
        </w:tabs>
        <w:ind w:left="851" w:hanging="851"/>
        <w:rPr>
          <w:b/>
          <w:sz w:val="24"/>
          <w:szCs w:val="24"/>
        </w:rPr>
      </w:pPr>
      <w:r w:rsidRPr="00283C60">
        <w:rPr>
          <w:b/>
          <w:sz w:val="24"/>
          <w:szCs w:val="24"/>
        </w:rPr>
        <w:t>5.3</w:t>
      </w:r>
      <w:r w:rsidRPr="00283C60">
        <w:rPr>
          <w:b/>
          <w:sz w:val="24"/>
          <w:szCs w:val="24"/>
        </w:rPr>
        <w:tab/>
      </w:r>
      <w:r w:rsidR="00BD7931" w:rsidRPr="00283C60">
        <w:rPr>
          <w:b/>
          <w:sz w:val="24"/>
          <w:szCs w:val="24"/>
        </w:rPr>
        <w:t>Non-</w:t>
      </w:r>
      <w:r w:rsidRPr="00283C60">
        <w:rPr>
          <w:b/>
          <w:sz w:val="24"/>
          <w:szCs w:val="24"/>
        </w:rPr>
        <w:t>kliniske sikkerhedsdata</w:t>
      </w:r>
    </w:p>
    <w:p w14:paraId="48F48CEF" w14:textId="77777777" w:rsidR="00244D23" w:rsidRPr="00283C60" w:rsidRDefault="00244D23" w:rsidP="00393DF8">
      <w:pPr>
        <w:ind w:left="851"/>
        <w:rPr>
          <w:noProof/>
          <w:sz w:val="24"/>
          <w:szCs w:val="24"/>
          <w:lang w:eastAsia="fr-LU"/>
        </w:rPr>
      </w:pPr>
      <w:r w:rsidRPr="00283C60">
        <w:rPr>
          <w:noProof/>
          <w:sz w:val="24"/>
          <w:szCs w:val="24"/>
        </w:rPr>
        <w:t>Bivirkningerne beskrevet i afsnittene om toksikologi og reproduktionstoksicitet nedenfor blev ikke observeret i kliniske studier, men blev set hos dyr ved eksponeringsniveauer svarende til kliniske eksponeringsniveauer.</w:t>
      </w:r>
    </w:p>
    <w:p w14:paraId="68CF7B0C" w14:textId="77777777" w:rsidR="00244D23" w:rsidRPr="00283C60" w:rsidRDefault="00244D23" w:rsidP="00393DF8">
      <w:pPr>
        <w:ind w:left="851"/>
        <w:rPr>
          <w:noProof/>
          <w:sz w:val="24"/>
          <w:szCs w:val="24"/>
        </w:rPr>
      </w:pPr>
    </w:p>
    <w:p w14:paraId="7AB06D79" w14:textId="77777777" w:rsidR="00244D23" w:rsidRPr="00283C60" w:rsidRDefault="00244D23" w:rsidP="00393DF8">
      <w:pPr>
        <w:ind w:left="851"/>
        <w:rPr>
          <w:noProof/>
          <w:sz w:val="24"/>
          <w:szCs w:val="24"/>
          <w:u w:val="single"/>
        </w:rPr>
      </w:pPr>
      <w:r w:rsidRPr="00283C60">
        <w:rPr>
          <w:noProof/>
          <w:sz w:val="24"/>
          <w:szCs w:val="24"/>
          <w:u w:val="single"/>
        </w:rPr>
        <w:t>Genotoksicitet</w:t>
      </w:r>
    </w:p>
    <w:p w14:paraId="5D64AD4C" w14:textId="77777777" w:rsidR="00244D23" w:rsidRPr="00283C60" w:rsidRDefault="00244D23" w:rsidP="00393DF8">
      <w:pPr>
        <w:ind w:left="851"/>
        <w:rPr>
          <w:noProof/>
          <w:sz w:val="24"/>
          <w:szCs w:val="24"/>
        </w:rPr>
      </w:pPr>
      <w:r w:rsidRPr="00283C60">
        <w:rPr>
          <w:noProof/>
          <w:sz w:val="24"/>
          <w:szCs w:val="24"/>
        </w:rPr>
        <w:t xml:space="preserve">Dimethylfumerat og monomethylfumarat var negative i en række </w:t>
      </w:r>
      <w:r w:rsidRPr="00283C60">
        <w:rPr>
          <w:i/>
          <w:iCs/>
          <w:noProof/>
          <w:sz w:val="24"/>
          <w:szCs w:val="24"/>
        </w:rPr>
        <w:t>in vitro</w:t>
      </w:r>
      <w:r w:rsidRPr="00283C60">
        <w:rPr>
          <w:noProof/>
          <w:sz w:val="24"/>
          <w:szCs w:val="24"/>
        </w:rPr>
        <w:t xml:space="preserve">-analyser (Ames, kromosomafvigelse i pattedyrceller). Dimethylfumerat var negativt i </w:t>
      </w:r>
      <w:r w:rsidRPr="00283C60">
        <w:rPr>
          <w:i/>
          <w:iCs/>
          <w:noProof/>
          <w:sz w:val="24"/>
          <w:szCs w:val="24"/>
        </w:rPr>
        <w:t>in vivo</w:t>
      </w:r>
      <w:r w:rsidRPr="00283C60">
        <w:rPr>
          <w:noProof/>
          <w:sz w:val="24"/>
          <w:szCs w:val="24"/>
        </w:rPr>
        <w:t>-mikronukleusanalysen hos rotter.</w:t>
      </w:r>
    </w:p>
    <w:p w14:paraId="7A591DA3" w14:textId="77777777" w:rsidR="00244D23" w:rsidRPr="00283C60" w:rsidRDefault="00244D23" w:rsidP="00393DF8">
      <w:pPr>
        <w:ind w:left="851"/>
        <w:rPr>
          <w:noProof/>
          <w:sz w:val="24"/>
          <w:szCs w:val="24"/>
        </w:rPr>
      </w:pPr>
    </w:p>
    <w:p w14:paraId="47D2FF09" w14:textId="77777777" w:rsidR="00244D23" w:rsidRPr="00283C60" w:rsidRDefault="00244D23" w:rsidP="00393DF8">
      <w:pPr>
        <w:ind w:left="851"/>
        <w:rPr>
          <w:noProof/>
          <w:sz w:val="24"/>
          <w:szCs w:val="24"/>
          <w:u w:val="single"/>
        </w:rPr>
      </w:pPr>
      <w:r w:rsidRPr="00283C60">
        <w:rPr>
          <w:noProof/>
          <w:sz w:val="24"/>
          <w:szCs w:val="24"/>
          <w:u w:val="single"/>
        </w:rPr>
        <w:t>Karcinogenese</w:t>
      </w:r>
    </w:p>
    <w:p w14:paraId="048EC9D3" w14:textId="77777777" w:rsidR="00244D23" w:rsidRPr="00283C60" w:rsidRDefault="00244D23" w:rsidP="00393DF8">
      <w:pPr>
        <w:ind w:left="851"/>
        <w:rPr>
          <w:noProof/>
          <w:sz w:val="24"/>
          <w:szCs w:val="24"/>
        </w:rPr>
      </w:pPr>
      <w:r w:rsidRPr="00283C60">
        <w:rPr>
          <w:noProof/>
          <w:sz w:val="24"/>
          <w:szCs w:val="24"/>
        </w:rPr>
        <w:t xml:space="preserve">Der blev udført karcinogenicitetsstudier med dimethylfumerat i op til 2 år på mus og rotter. Dimethylfumerat blev administreret oralt i doser på 25, 75, 200 og 400 mg/kg/dag hos mus og i doser på 25, 50, 100 og 150 mg/kg/dag hos rotter. </w:t>
      </w:r>
    </w:p>
    <w:p w14:paraId="74E1570D" w14:textId="77777777" w:rsidR="00244D23" w:rsidRPr="00283C60" w:rsidRDefault="00244D23" w:rsidP="00393DF8">
      <w:pPr>
        <w:ind w:left="851"/>
        <w:rPr>
          <w:noProof/>
          <w:sz w:val="24"/>
          <w:szCs w:val="24"/>
        </w:rPr>
      </w:pPr>
    </w:p>
    <w:p w14:paraId="03D57ECB" w14:textId="77777777" w:rsidR="00244D23" w:rsidRPr="00283C60" w:rsidRDefault="00244D23" w:rsidP="00393DF8">
      <w:pPr>
        <w:ind w:left="851"/>
        <w:rPr>
          <w:noProof/>
          <w:sz w:val="24"/>
          <w:szCs w:val="24"/>
        </w:rPr>
      </w:pPr>
      <w:r w:rsidRPr="00283C60">
        <w:rPr>
          <w:noProof/>
          <w:sz w:val="24"/>
          <w:szCs w:val="24"/>
        </w:rPr>
        <w:t>Hos musene var hyppigheden af renalt tubulært karcinom øget ved 75 mg/kg/dag, svarende til eksponeringen (AUC) ved den anbefalede humane dosis. Hos rotter var hyppigheden af renalt tubulært karcinom og testikulært Leydig-celleadenom øget ved 100 mg/kg/dag, en omtrent 2 gange højere eksponering end ved den anbefalede humane dosis. Relevansen af disse fund for risikoen hos mennesker kendes ikke.</w:t>
      </w:r>
    </w:p>
    <w:p w14:paraId="306DE8F8" w14:textId="77777777" w:rsidR="00244D23" w:rsidRPr="00283C60" w:rsidRDefault="00244D23" w:rsidP="00393DF8">
      <w:pPr>
        <w:ind w:left="851"/>
        <w:rPr>
          <w:noProof/>
          <w:sz w:val="24"/>
          <w:szCs w:val="24"/>
        </w:rPr>
      </w:pPr>
    </w:p>
    <w:p w14:paraId="038F46EB" w14:textId="77777777" w:rsidR="00244D23" w:rsidRPr="00283C60" w:rsidRDefault="00244D23" w:rsidP="00393DF8">
      <w:pPr>
        <w:ind w:left="851"/>
        <w:rPr>
          <w:noProof/>
          <w:sz w:val="24"/>
          <w:szCs w:val="24"/>
        </w:rPr>
      </w:pPr>
      <w:r w:rsidRPr="00283C60">
        <w:rPr>
          <w:noProof/>
          <w:sz w:val="24"/>
          <w:szCs w:val="24"/>
        </w:rPr>
        <w:t>Hyppigheden af planocellulært papillom og karcinom i den ikke-glandulære mave (den forreste del af maven) steg hos mus ved en eksponering, der svarede til den anbefalede humane dosis, og hos rotter ved en eksponering, der var under den anbefalede humane dosis (baseret på AUC). Den forreste del af maven hos gnavere findes ikke tilsvarende hos mennesker.</w:t>
      </w:r>
    </w:p>
    <w:p w14:paraId="2AA04A2A" w14:textId="77777777" w:rsidR="00244D23" w:rsidRPr="00283C60" w:rsidRDefault="00244D23" w:rsidP="00393DF8">
      <w:pPr>
        <w:ind w:left="851"/>
        <w:rPr>
          <w:sz w:val="24"/>
          <w:szCs w:val="24"/>
        </w:rPr>
      </w:pPr>
    </w:p>
    <w:p w14:paraId="6249E7DA" w14:textId="77777777" w:rsidR="00244D23" w:rsidRPr="00283C60" w:rsidRDefault="00244D23" w:rsidP="00393DF8">
      <w:pPr>
        <w:ind w:left="851"/>
        <w:rPr>
          <w:noProof/>
          <w:sz w:val="24"/>
          <w:szCs w:val="24"/>
          <w:u w:val="single"/>
        </w:rPr>
      </w:pPr>
      <w:r w:rsidRPr="00283C60">
        <w:rPr>
          <w:noProof/>
          <w:sz w:val="24"/>
          <w:szCs w:val="24"/>
          <w:u w:val="single"/>
        </w:rPr>
        <w:t>Toksikologi</w:t>
      </w:r>
    </w:p>
    <w:p w14:paraId="485071AF" w14:textId="77777777" w:rsidR="00244D23" w:rsidRPr="00283C60" w:rsidRDefault="00244D23" w:rsidP="00393DF8">
      <w:pPr>
        <w:ind w:left="851"/>
        <w:rPr>
          <w:noProof/>
          <w:sz w:val="24"/>
          <w:szCs w:val="24"/>
          <w:lang w:eastAsia="fr-LU"/>
        </w:rPr>
      </w:pPr>
      <w:r w:rsidRPr="00283C60">
        <w:rPr>
          <w:noProof/>
          <w:sz w:val="24"/>
          <w:szCs w:val="24"/>
        </w:rPr>
        <w:t>Non-kliniske studier hos gnavere, kaniner og aber blev udført med en suspension af dimethylfumerat (dimethylfumerat i 0,8 % hypromellose) administreret oralt med sonde. Et kronisk toksicitetsstudie hos hunde blev udført med oral administration af dimethylfumerat-kapslen.</w:t>
      </w:r>
    </w:p>
    <w:p w14:paraId="51261818" w14:textId="77777777" w:rsidR="00244D23" w:rsidRPr="00283C60" w:rsidRDefault="00244D23" w:rsidP="00393DF8">
      <w:pPr>
        <w:ind w:left="851"/>
        <w:rPr>
          <w:sz w:val="24"/>
          <w:szCs w:val="24"/>
        </w:rPr>
      </w:pPr>
    </w:p>
    <w:p w14:paraId="3D774289" w14:textId="77777777" w:rsidR="00244D23" w:rsidRPr="00283C60" w:rsidRDefault="00244D23" w:rsidP="00393DF8">
      <w:pPr>
        <w:ind w:left="851"/>
        <w:rPr>
          <w:noProof/>
          <w:sz w:val="24"/>
          <w:szCs w:val="24"/>
        </w:rPr>
      </w:pPr>
      <w:r w:rsidRPr="00283C60">
        <w:rPr>
          <w:noProof/>
          <w:sz w:val="24"/>
          <w:szCs w:val="24"/>
        </w:rPr>
        <w:t xml:space="preserve">Der blev observeret nyreforandringer efter gentagen oral administration af dimethylfumerat hos mus, rotter, hunde og aber. Renal tubulær epitelregeneration, som er tegn på skader, blev observeret hos alle arter. Renal tubulær hyperplasi blev observeret hos rotter med livstidsdosering (2-års studie). Hos hunde, der fik daglige orale doser af dimethylfumerat gennem 11 måneder, blev den beregnede margin for kortikal atrofi </w:t>
      </w:r>
      <w:r w:rsidRPr="00283C60">
        <w:rPr>
          <w:noProof/>
          <w:sz w:val="24"/>
          <w:szCs w:val="24"/>
        </w:rPr>
        <w:lastRenderedPageBreak/>
        <w:t>observeret ved 3 gange den anbefalede dosis baseret på AUC. Hos aber, der fik daglige orale doser af dimethylfumerat gennem 12 måneder, blev enkeltcelle-nekrose observeret ved 2 gange den anbefalede dosis baseret på AUC. Interstitiel fibrose og kortikal atrofi blev observeret ved 6 gange den anbefalede dosis baseret på AUC. Relevansen af disse fund hos mennesker kendes ikke.</w:t>
      </w:r>
    </w:p>
    <w:p w14:paraId="2340583D" w14:textId="77777777" w:rsidR="00244D23" w:rsidRPr="00283C60" w:rsidRDefault="00244D23" w:rsidP="00393DF8">
      <w:pPr>
        <w:ind w:left="851"/>
        <w:rPr>
          <w:noProof/>
          <w:sz w:val="24"/>
          <w:szCs w:val="24"/>
          <w:lang w:eastAsia="fr-LU"/>
        </w:rPr>
      </w:pPr>
    </w:p>
    <w:p w14:paraId="7685E729" w14:textId="77777777" w:rsidR="00244D23" w:rsidRPr="00283C60" w:rsidRDefault="00244D23" w:rsidP="00393DF8">
      <w:pPr>
        <w:ind w:left="851"/>
        <w:rPr>
          <w:noProof/>
          <w:sz w:val="24"/>
          <w:szCs w:val="24"/>
        </w:rPr>
      </w:pPr>
      <w:r w:rsidRPr="00283C60">
        <w:rPr>
          <w:noProof/>
          <w:sz w:val="24"/>
          <w:szCs w:val="24"/>
        </w:rPr>
        <w:t>I testis blev der observeret degeneration af det seminiferøse epitel hos rotter og hunde. Fundene blev observeret hos rotter ved omtrent den anbefalede dosis og hos hunde ved 3 gange den anbefalede dosis (baseret på AUC). Relevansen af disse fund hos mennesker kendes ikke.</w:t>
      </w:r>
    </w:p>
    <w:p w14:paraId="0A020948" w14:textId="77777777" w:rsidR="00244D23" w:rsidRPr="00283C60" w:rsidRDefault="00244D23" w:rsidP="00393DF8">
      <w:pPr>
        <w:ind w:left="851"/>
        <w:rPr>
          <w:noProof/>
          <w:sz w:val="24"/>
          <w:szCs w:val="24"/>
        </w:rPr>
      </w:pPr>
    </w:p>
    <w:p w14:paraId="0B2ACC87" w14:textId="77777777" w:rsidR="00244D23" w:rsidRPr="00283C60" w:rsidRDefault="00244D23" w:rsidP="00393DF8">
      <w:pPr>
        <w:ind w:left="851"/>
        <w:rPr>
          <w:noProof/>
          <w:sz w:val="24"/>
          <w:szCs w:val="24"/>
        </w:rPr>
      </w:pPr>
      <w:r w:rsidRPr="00283C60">
        <w:rPr>
          <w:noProof/>
          <w:sz w:val="24"/>
          <w:szCs w:val="24"/>
        </w:rPr>
        <w:t>Fundene i den forreste del af maven hos mus og rotter bestod af pladeepitel-hyperplasi og hyperkeratose, inflammation og planocellulært papillom og karcinom i studier af 3 måneders varighed eller længere. Den forreste del af maven hos mus og rotter findes ikke tilsvarende hos mennesker.</w:t>
      </w:r>
    </w:p>
    <w:p w14:paraId="03F50175" w14:textId="77777777" w:rsidR="00244D23" w:rsidRPr="00283C60" w:rsidRDefault="00244D23" w:rsidP="00393DF8">
      <w:pPr>
        <w:ind w:left="851"/>
        <w:rPr>
          <w:noProof/>
          <w:sz w:val="24"/>
          <w:szCs w:val="24"/>
          <w:u w:val="single"/>
        </w:rPr>
      </w:pPr>
    </w:p>
    <w:p w14:paraId="694591A2" w14:textId="77777777" w:rsidR="00244D23" w:rsidRPr="00283C60" w:rsidRDefault="00244D23" w:rsidP="00393DF8">
      <w:pPr>
        <w:ind w:left="851"/>
        <w:rPr>
          <w:noProof/>
          <w:sz w:val="24"/>
          <w:szCs w:val="24"/>
          <w:u w:val="single"/>
        </w:rPr>
      </w:pPr>
      <w:r w:rsidRPr="00283C60">
        <w:rPr>
          <w:noProof/>
          <w:sz w:val="24"/>
          <w:szCs w:val="24"/>
          <w:u w:val="single"/>
        </w:rPr>
        <w:t xml:space="preserve">Reproduktions- og udviklingstoksicitet </w:t>
      </w:r>
    </w:p>
    <w:p w14:paraId="2CF0F388" w14:textId="77777777" w:rsidR="00244D23" w:rsidRPr="00283C60" w:rsidRDefault="00244D23" w:rsidP="00393DF8">
      <w:pPr>
        <w:ind w:left="851"/>
        <w:rPr>
          <w:noProof/>
          <w:sz w:val="24"/>
          <w:szCs w:val="24"/>
          <w:u w:val="single"/>
        </w:rPr>
      </w:pPr>
      <w:r w:rsidRPr="00283C60">
        <w:rPr>
          <w:noProof/>
          <w:sz w:val="24"/>
          <w:szCs w:val="24"/>
        </w:rPr>
        <w:t>Oral administration af dimethylfumerat til hanrotter i doser på 75, 250 og 375 mg/kg/dag før og under parring havde ingen virkning på hannernes fertilitet op til den højeste testede dosis (mindst 2 gange den anbefalede dosis baseret på AUC). Oral administration af dimethylfumerat til hunrotter i doser på 25, 100 og 250 mg/kg/dag før og under parring og fortsat til den 7. gestationsdag inducerede en reduktion i antallet af østrusstadier efter 14 dage og øgede antallet af dyr med forlænget diøstrus ved den højeste testede dosis (11 gange den anbefalede dosis baseret på AUC). Disse forandringer påvirkede dog ikke fertiliteten eller antallet af producerede levedygtige fostre.</w:t>
      </w:r>
    </w:p>
    <w:p w14:paraId="32BB6FAA" w14:textId="77777777" w:rsidR="00244D23" w:rsidRPr="00283C60" w:rsidRDefault="00244D23" w:rsidP="00393DF8">
      <w:pPr>
        <w:ind w:left="851"/>
        <w:rPr>
          <w:noProof/>
          <w:sz w:val="24"/>
          <w:szCs w:val="24"/>
          <w:lang w:eastAsia="fr-LU"/>
        </w:rPr>
      </w:pPr>
    </w:p>
    <w:p w14:paraId="5BB79CA1" w14:textId="77777777" w:rsidR="00244D23" w:rsidRPr="00283C60" w:rsidRDefault="00244D23" w:rsidP="00393DF8">
      <w:pPr>
        <w:ind w:left="851"/>
        <w:rPr>
          <w:noProof/>
          <w:sz w:val="24"/>
          <w:szCs w:val="24"/>
        </w:rPr>
      </w:pPr>
      <w:r w:rsidRPr="00283C60">
        <w:rPr>
          <w:noProof/>
          <w:sz w:val="24"/>
          <w:szCs w:val="24"/>
        </w:rPr>
        <w:t xml:space="preserve">Det er vist, at dimethylfumerat passerer placentamembranen ind i føtalt blod hos rotter og kaniner med ratioer for føtal:maternel plasmakoncentration på henholdsvis 0,48-0,64 og 0,1. Der blev ikke observereret misdannelser ved nogen dosis af dimethylfumerat hos rotter eller kaniner. </w:t>
      </w:r>
    </w:p>
    <w:p w14:paraId="2E00BE75" w14:textId="77777777" w:rsidR="00244D23" w:rsidRPr="00283C60" w:rsidRDefault="00244D23" w:rsidP="00393DF8">
      <w:pPr>
        <w:ind w:left="851"/>
        <w:rPr>
          <w:noProof/>
          <w:sz w:val="24"/>
          <w:szCs w:val="24"/>
        </w:rPr>
      </w:pPr>
    </w:p>
    <w:p w14:paraId="6D974C8B" w14:textId="77777777" w:rsidR="00244D23" w:rsidRPr="00283C60" w:rsidRDefault="00244D23" w:rsidP="00393DF8">
      <w:pPr>
        <w:ind w:left="851"/>
        <w:rPr>
          <w:noProof/>
          <w:sz w:val="24"/>
          <w:szCs w:val="24"/>
        </w:rPr>
      </w:pPr>
      <w:r w:rsidRPr="00283C60">
        <w:rPr>
          <w:noProof/>
          <w:sz w:val="24"/>
          <w:szCs w:val="24"/>
        </w:rPr>
        <w:t>Oral administration af dimethylfumerat i doser på 25, 100 og 250 mg/kg/dag til drægtige rotter under organogenesen resulterede i negative virkninger hos moderdyret ved 4 gange den anbefalede dosis baseret på AUC samt lav fostervægt og forsinket ossifikation (metatarsal og posterior ekstremitet falanks) ved 11 gange den anbefalede dosis baseret på AUC. Den lavere fostervægt og den forsinkede ossifikation blev betragtet som værende sekundær til maternel toksicitet (reduceret kropsvægt og fødeindtagelse).</w:t>
      </w:r>
    </w:p>
    <w:p w14:paraId="6060599E" w14:textId="77777777" w:rsidR="00244D23" w:rsidRPr="00283C60" w:rsidRDefault="00244D23" w:rsidP="00393DF8">
      <w:pPr>
        <w:ind w:left="851"/>
        <w:rPr>
          <w:noProof/>
          <w:sz w:val="24"/>
          <w:szCs w:val="24"/>
        </w:rPr>
      </w:pPr>
    </w:p>
    <w:p w14:paraId="6B5AFC9B" w14:textId="77777777" w:rsidR="00244D23" w:rsidRPr="00283C60" w:rsidRDefault="00244D23" w:rsidP="00393DF8">
      <w:pPr>
        <w:ind w:left="851"/>
        <w:rPr>
          <w:noProof/>
          <w:sz w:val="24"/>
          <w:szCs w:val="24"/>
        </w:rPr>
      </w:pPr>
      <w:r w:rsidRPr="00283C60">
        <w:rPr>
          <w:noProof/>
          <w:sz w:val="24"/>
          <w:szCs w:val="24"/>
        </w:rPr>
        <w:t>Oral administration af dimethylfumerat i doser på 25, 75 og 150 mg/kg/dag til drægtige kaniner under organogenesen havde ingen virkning på den embryoføtale udvikling, men resulterede i reduceret maternel kropsvægt ved 7 gange den anbefalede dosis og øget antal aborter ved 16 gange den anbefalede dosis baseret på AUC.</w:t>
      </w:r>
    </w:p>
    <w:p w14:paraId="1C99A9F7" w14:textId="77777777" w:rsidR="00244D23" w:rsidRPr="00283C60" w:rsidRDefault="00244D23" w:rsidP="00393DF8">
      <w:pPr>
        <w:ind w:left="851"/>
        <w:rPr>
          <w:noProof/>
          <w:sz w:val="24"/>
          <w:szCs w:val="24"/>
        </w:rPr>
      </w:pPr>
    </w:p>
    <w:p w14:paraId="4E1A32AF" w14:textId="77777777" w:rsidR="00244D23" w:rsidRPr="00283C60" w:rsidRDefault="00244D23" w:rsidP="00393DF8">
      <w:pPr>
        <w:ind w:left="851"/>
        <w:rPr>
          <w:noProof/>
          <w:sz w:val="24"/>
          <w:szCs w:val="24"/>
        </w:rPr>
      </w:pPr>
      <w:r w:rsidRPr="00283C60">
        <w:rPr>
          <w:noProof/>
          <w:sz w:val="24"/>
          <w:szCs w:val="24"/>
        </w:rPr>
        <w:t>Oral administration af dimethylfumerat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maternel toksicitet.</w:t>
      </w:r>
    </w:p>
    <w:p w14:paraId="5E174820" w14:textId="768DEBFE" w:rsidR="00283C60" w:rsidRDefault="00283C60">
      <w:pPr>
        <w:rPr>
          <w:sz w:val="24"/>
          <w:szCs w:val="24"/>
        </w:rPr>
      </w:pPr>
      <w:r>
        <w:rPr>
          <w:sz w:val="24"/>
          <w:szCs w:val="24"/>
        </w:rPr>
        <w:br w:type="page"/>
      </w:r>
    </w:p>
    <w:p w14:paraId="3DA35A0C" w14:textId="77777777" w:rsidR="00244D23" w:rsidRPr="00283C60" w:rsidRDefault="00244D23" w:rsidP="00393DF8">
      <w:pPr>
        <w:ind w:left="851"/>
        <w:rPr>
          <w:sz w:val="24"/>
          <w:szCs w:val="24"/>
        </w:rPr>
      </w:pPr>
    </w:p>
    <w:p w14:paraId="3E36EAB0" w14:textId="77777777" w:rsidR="00244D23" w:rsidRPr="00283C60" w:rsidRDefault="00244D23" w:rsidP="00393DF8">
      <w:pPr>
        <w:ind w:left="851"/>
        <w:rPr>
          <w:sz w:val="24"/>
          <w:szCs w:val="24"/>
          <w:u w:val="single"/>
        </w:rPr>
      </w:pPr>
      <w:r w:rsidRPr="00283C60">
        <w:rPr>
          <w:sz w:val="24"/>
          <w:szCs w:val="24"/>
          <w:u w:val="single"/>
        </w:rPr>
        <w:t>Toksicitet hos juvenile dyr</w:t>
      </w:r>
    </w:p>
    <w:p w14:paraId="5BD62D77" w14:textId="77777777" w:rsidR="00244D23" w:rsidRPr="00283C60" w:rsidRDefault="00244D23" w:rsidP="00393DF8">
      <w:pPr>
        <w:ind w:left="851"/>
        <w:rPr>
          <w:sz w:val="24"/>
          <w:szCs w:val="24"/>
        </w:rPr>
      </w:pPr>
      <w:r w:rsidRPr="00283C60">
        <w:rPr>
          <w:sz w:val="24"/>
          <w:szCs w:val="24"/>
        </w:rPr>
        <w:t xml:space="preserve">To toksicitetsstudier med juvenile rotter med daglig oral administration af </w:t>
      </w:r>
      <w:proofErr w:type="spellStart"/>
      <w:r w:rsidRPr="00283C60">
        <w:rPr>
          <w:sz w:val="24"/>
          <w:szCs w:val="24"/>
        </w:rPr>
        <w:t>dimethylfumerat</w:t>
      </w:r>
      <w:proofErr w:type="spellEnd"/>
      <w:r w:rsidRPr="00283C60">
        <w:rPr>
          <w:sz w:val="24"/>
          <w:szCs w:val="24"/>
        </w:rPr>
        <w:t xml:space="preserve"> fra </w:t>
      </w:r>
      <w:proofErr w:type="spellStart"/>
      <w:r w:rsidRPr="00283C60">
        <w:rPr>
          <w:sz w:val="24"/>
          <w:szCs w:val="24"/>
        </w:rPr>
        <w:t>postnataldag</w:t>
      </w:r>
      <w:proofErr w:type="spellEnd"/>
      <w:r w:rsidRPr="00283C60">
        <w:rPr>
          <w:sz w:val="24"/>
          <w:szCs w:val="24"/>
        </w:rPr>
        <w:t xml:space="preserve"> (PND) 28 til og med PND 90-93 (svarende til en ca. alder på 3 år og derover hos mennesker) viste tilsvarende </w:t>
      </w:r>
      <w:proofErr w:type="spellStart"/>
      <w:r w:rsidRPr="00283C60">
        <w:rPr>
          <w:sz w:val="24"/>
          <w:szCs w:val="24"/>
        </w:rPr>
        <w:t>målorgantoksiciteter</w:t>
      </w:r>
      <w:proofErr w:type="spellEnd"/>
      <w:r w:rsidRPr="00283C60">
        <w:rPr>
          <w:sz w:val="24"/>
          <w:szCs w:val="24"/>
        </w:rPr>
        <w:t xml:space="preserve"> i nyren og </w:t>
      </w:r>
      <w:proofErr w:type="spellStart"/>
      <w:r w:rsidRPr="00283C60">
        <w:rPr>
          <w:sz w:val="24"/>
          <w:szCs w:val="24"/>
        </w:rPr>
        <w:t>formaven</w:t>
      </w:r>
      <w:proofErr w:type="spellEnd"/>
      <w:r w:rsidRPr="00283C60">
        <w:rPr>
          <w:sz w:val="24"/>
          <w:szCs w:val="24"/>
        </w:rPr>
        <w:t xml:space="preserve"> som de, der er observeret hos voksne dyr. I det første studie påvirkede </w:t>
      </w:r>
      <w:proofErr w:type="spellStart"/>
      <w:r w:rsidRPr="00283C60">
        <w:rPr>
          <w:sz w:val="24"/>
          <w:szCs w:val="24"/>
        </w:rPr>
        <w:t>dimethylfumerat</w:t>
      </w:r>
      <w:proofErr w:type="spellEnd"/>
      <w:r w:rsidRPr="00283C60">
        <w:rPr>
          <w:sz w:val="24"/>
          <w:szCs w:val="24"/>
        </w:rPr>
        <w:t xml:space="preserve"> ikke udvikling, </w:t>
      </w:r>
      <w:proofErr w:type="spellStart"/>
      <w:r w:rsidRPr="00283C60">
        <w:rPr>
          <w:sz w:val="24"/>
          <w:szCs w:val="24"/>
        </w:rPr>
        <w:t>neuroadfærd</w:t>
      </w:r>
      <w:proofErr w:type="spellEnd"/>
      <w:r w:rsidRPr="00283C60">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sidRPr="00283C60">
        <w:rPr>
          <w:sz w:val="24"/>
          <w:szCs w:val="24"/>
        </w:rPr>
        <w:t>dimethylfumerat</w:t>
      </w:r>
      <w:proofErr w:type="spellEnd"/>
      <w:r w:rsidRPr="00283C60">
        <w:rPr>
          <w:sz w:val="24"/>
          <w:szCs w:val="24"/>
        </w:rPr>
        <w:t xml:space="preserve">-dosis på 375 mg/kg/dag i det andet studie med juvenile hanrotter (ca. 15 gange det formodede AUC ved den anbefalede pædiatriske dosis). Der sås dog nedsat knoglemineralindhold og -tæthed i </w:t>
      </w:r>
      <w:proofErr w:type="spellStart"/>
      <w:r w:rsidRPr="00283C60">
        <w:rPr>
          <w:sz w:val="24"/>
          <w:szCs w:val="24"/>
        </w:rPr>
        <w:t>femur</w:t>
      </w:r>
      <w:proofErr w:type="spellEnd"/>
      <w:r w:rsidRPr="00283C60">
        <w:rPr>
          <w:sz w:val="24"/>
          <w:szCs w:val="24"/>
        </w:rPr>
        <w:t xml:space="preserve"> og lændehvirvler hos juvenile hanrotter. Der blev endvidere observeret ændringer i knogledensitometri hos juvenile rotter efter oral administration af </w:t>
      </w:r>
      <w:proofErr w:type="spellStart"/>
      <w:r w:rsidRPr="00283C60">
        <w:rPr>
          <w:sz w:val="24"/>
          <w:szCs w:val="24"/>
        </w:rPr>
        <w:t>diroximelfumarat</w:t>
      </w:r>
      <w:proofErr w:type="spellEnd"/>
      <w:r w:rsidRPr="00283C60">
        <w:rPr>
          <w:sz w:val="24"/>
          <w:szCs w:val="24"/>
        </w:rPr>
        <w:t xml:space="preserve">, en anden </w:t>
      </w:r>
      <w:proofErr w:type="spellStart"/>
      <w:r w:rsidRPr="00283C60">
        <w:rPr>
          <w:sz w:val="24"/>
          <w:szCs w:val="24"/>
        </w:rPr>
        <w:t>fumarsyreester</w:t>
      </w:r>
      <w:proofErr w:type="spellEnd"/>
      <w:r w:rsidRPr="00283C60">
        <w:rPr>
          <w:sz w:val="24"/>
          <w:szCs w:val="24"/>
        </w:rPr>
        <w:t xml:space="preserve">, der </w:t>
      </w:r>
      <w:proofErr w:type="spellStart"/>
      <w:r w:rsidRPr="00283C60">
        <w:rPr>
          <w:sz w:val="24"/>
          <w:szCs w:val="24"/>
        </w:rPr>
        <w:t>metaboliseres</w:t>
      </w:r>
      <w:proofErr w:type="spellEnd"/>
      <w:r w:rsidRPr="00283C60">
        <w:rPr>
          <w:sz w:val="24"/>
          <w:szCs w:val="24"/>
        </w:rPr>
        <w:t xml:space="preserve"> til den samme aktive metabolit </w:t>
      </w:r>
      <w:proofErr w:type="spellStart"/>
      <w:r w:rsidRPr="00283C60">
        <w:rPr>
          <w:sz w:val="24"/>
          <w:szCs w:val="24"/>
        </w:rPr>
        <w:t>monomethylfumarat</w:t>
      </w:r>
      <w:proofErr w:type="spellEnd"/>
      <w:r w:rsidRPr="00283C60">
        <w:rPr>
          <w:sz w:val="24"/>
          <w:szCs w:val="24"/>
        </w:rPr>
        <w:t xml:space="preserve"> in </w:t>
      </w:r>
      <w:proofErr w:type="spellStart"/>
      <w:r w:rsidRPr="00283C60">
        <w:rPr>
          <w:sz w:val="24"/>
          <w:szCs w:val="24"/>
        </w:rPr>
        <w:t>vivo</w:t>
      </w:r>
      <w:proofErr w:type="spellEnd"/>
      <w:r w:rsidRPr="00283C60">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36033641" w14:textId="77777777" w:rsidR="009260DE" w:rsidRPr="00283C60" w:rsidRDefault="009260DE" w:rsidP="009260DE">
      <w:pPr>
        <w:tabs>
          <w:tab w:val="left" w:pos="851"/>
        </w:tabs>
        <w:ind w:left="851"/>
        <w:rPr>
          <w:sz w:val="24"/>
          <w:szCs w:val="24"/>
        </w:rPr>
      </w:pPr>
    </w:p>
    <w:p w14:paraId="34451E27" w14:textId="77777777" w:rsidR="009260DE" w:rsidRPr="00283C60" w:rsidRDefault="009260DE" w:rsidP="009260DE">
      <w:pPr>
        <w:tabs>
          <w:tab w:val="left" w:pos="851"/>
        </w:tabs>
        <w:ind w:left="851"/>
        <w:rPr>
          <w:sz w:val="24"/>
          <w:szCs w:val="24"/>
        </w:rPr>
      </w:pPr>
    </w:p>
    <w:p w14:paraId="5AA27D08" w14:textId="77777777" w:rsidR="009260DE" w:rsidRPr="00283C60" w:rsidRDefault="009260DE" w:rsidP="009260DE">
      <w:pPr>
        <w:tabs>
          <w:tab w:val="left" w:pos="851"/>
        </w:tabs>
        <w:ind w:left="851" w:hanging="851"/>
        <w:rPr>
          <w:b/>
          <w:sz w:val="24"/>
          <w:szCs w:val="24"/>
        </w:rPr>
      </w:pPr>
      <w:r w:rsidRPr="00283C60">
        <w:rPr>
          <w:b/>
          <w:sz w:val="24"/>
          <w:szCs w:val="24"/>
        </w:rPr>
        <w:t>6.</w:t>
      </w:r>
      <w:r w:rsidRPr="00283C60">
        <w:rPr>
          <w:b/>
          <w:sz w:val="24"/>
          <w:szCs w:val="24"/>
        </w:rPr>
        <w:tab/>
        <w:t>FARMACEUTISKE OPLYSNINGER</w:t>
      </w:r>
    </w:p>
    <w:p w14:paraId="26A384F5" w14:textId="77777777" w:rsidR="009260DE" w:rsidRPr="00283C60" w:rsidRDefault="009260DE" w:rsidP="009260DE">
      <w:pPr>
        <w:tabs>
          <w:tab w:val="left" w:pos="851"/>
        </w:tabs>
        <w:ind w:left="851"/>
        <w:rPr>
          <w:sz w:val="24"/>
          <w:szCs w:val="24"/>
        </w:rPr>
      </w:pPr>
    </w:p>
    <w:p w14:paraId="6A3077CE" w14:textId="77777777" w:rsidR="009260DE" w:rsidRPr="00283C60" w:rsidRDefault="009260DE" w:rsidP="009260DE">
      <w:pPr>
        <w:tabs>
          <w:tab w:val="left" w:pos="851"/>
        </w:tabs>
        <w:ind w:left="851" w:hanging="851"/>
        <w:rPr>
          <w:b/>
          <w:sz w:val="24"/>
          <w:szCs w:val="24"/>
        </w:rPr>
      </w:pPr>
      <w:r w:rsidRPr="00283C60">
        <w:rPr>
          <w:b/>
          <w:sz w:val="24"/>
          <w:szCs w:val="24"/>
        </w:rPr>
        <w:t>6.1</w:t>
      </w:r>
      <w:r w:rsidRPr="00283C60">
        <w:rPr>
          <w:b/>
          <w:sz w:val="24"/>
          <w:szCs w:val="24"/>
        </w:rPr>
        <w:tab/>
        <w:t>Hjælpestoffer</w:t>
      </w:r>
    </w:p>
    <w:p w14:paraId="7DBAE1AB" w14:textId="77777777" w:rsidR="00367D7A" w:rsidRPr="00283C60" w:rsidRDefault="00367D7A" w:rsidP="00393DF8">
      <w:pPr>
        <w:ind w:left="851"/>
        <w:rPr>
          <w:sz w:val="24"/>
          <w:szCs w:val="24"/>
          <w:u w:val="single"/>
        </w:rPr>
      </w:pPr>
    </w:p>
    <w:p w14:paraId="35CDEA6B" w14:textId="02512311" w:rsidR="00244D23" w:rsidRPr="00283C60" w:rsidRDefault="00244D23" w:rsidP="00393DF8">
      <w:pPr>
        <w:ind w:left="851"/>
        <w:rPr>
          <w:sz w:val="24"/>
          <w:szCs w:val="24"/>
          <w:u w:val="single"/>
          <w:lang w:eastAsia="fr-LU"/>
        </w:rPr>
      </w:pPr>
      <w:r w:rsidRPr="00283C60">
        <w:rPr>
          <w:sz w:val="24"/>
          <w:szCs w:val="24"/>
          <w:u w:val="single"/>
        </w:rPr>
        <w:t>Kapselindhold (</w:t>
      </w:r>
      <w:r w:rsidRPr="00283C60">
        <w:rPr>
          <w:sz w:val="24"/>
          <w:szCs w:val="24"/>
        </w:rPr>
        <w:t>minitabletter med syreresistent overtræk</w:t>
      </w:r>
      <w:r w:rsidRPr="00283C60">
        <w:rPr>
          <w:sz w:val="24"/>
          <w:szCs w:val="24"/>
          <w:u w:val="single"/>
        </w:rPr>
        <w:t>)</w:t>
      </w:r>
    </w:p>
    <w:p w14:paraId="37A6DABF" w14:textId="77777777" w:rsidR="00244D23" w:rsidRPr="000C6D73" w:rsidRDefault="00244D23" w:rsidP="00393DF8">
      <w:pPr>
        <w:ind w:left="851"/>
        <w:rPr>
          <w:sz w:val="24"/>
          <w:szCs w:val="24"/>
          <w:lang w:val="en-US"/>
        </w:rPr>
      </w:pPr>
      <w:proofErr w:type="spellStart"/>
      <w:r w:rsidRPr="000C6D73">
        <w:rPr>
          <w:sz w:val="24"/>
          <w:szCs w:val="24"/>
          <w:lang w:val="en-US"/>
        </w:rPr>
        <w:t>Mikrokrystallinsk</w:t>
      </w:r>
      <w:proofErr w:type="spellEnd"/>
      <w:r w:rsidRPr="000C6D73">
        <w:rPr>
          <w:sz w:val="24"/>
          <w:szCs w:val="24"/>
          <w:lang w:val="en-US"/>
        </w:rPr>
        <w:t xml:space="preserve"> cellulose (E 460)</w:t>
      </w:r>
    </w:p>
    <w:p w14:paraId="17229CFE" w14:textId="77777777" w:rsidR="00244D23" w:rsidRPr="000C6D73" w:rsidRDefault="00244D23" w:rsidP="00393DF8">
      <w:pPr>
        <w:ind w:left="851"/>
        <w:rPr>
          <w:sz w:val="24"/>
          <w:szCs w:val="24"/>
          <w:lang w:val="en-US"/>
        </w:rPr>
      </w:pPr>
      <w:proofErr w:type="spellStart"/>
      <w:r w:rsidRPr="000C6D73">
        <w:rPr>
          <w:sz w:val="24"/>
          <w:szCs w:val="24"/>
          <w:lang w:val="en-US"/>
        </w:rPr>
        <w:t>Crospovidon</w:t>
      </w:r>
      <w:proofErr w:type="spellEnd"/>
      <w:r w:rsidRPr="000C6D73">
        <w:rPr>
          <w:sz w:val="24"/>
          <w:szCs w:val="24"/>
          <w:lang w:val="en-US"/>
        </w:rPr>
        <w:t xml:space="preserve"> (E 1202)</w:t>
      </w:r>
    </w:p>
    <w:p w14:paraId="25ED7A51" w14:textId="77777777" w:rsidR="00244D23" w:rsidRPr="000C6D73" w:rsidRDefault="00244D23" w:rsidP="00393DF8">
      <w:pPr>
        <w:ind w:left="851"/>
        <w:rPr>
          <w:sz w:val="24"/>
          <w:szCs w:val="24"/>
          <w:lang w:val="en-US"/>
        </w:rPr>
      </w:pPr>
      <w:r w:rsidRPr="000C6D73">
        <w:rPr>
          <w:sz w:val="24"/>
          <w:szCs w:val="24"/>
          <w:lang w:val="en-US"/>
        </w:rPr>
        <w:t>Talcum (E 553b)</w:t>
      </w:r>
    </w:p>
    <w:p w14:paraId="227A3830" w14:textId="77777777" w:rsidR="00244D23" w:rsidRPr="000C6D73" w:rsidRDefault="00244D23" w:rsidP="00393DF8">
      <w:pPr>
        <w:ind w:left="851"/>
        <w:rPr>
          <w:sz w:val="24"/>
          <w:szCs w:val="24"/>
          <w:lang w:val="en-US"/>
        </w:rPr>
      </w:pPr>
      <w:proofErr w:type="spellStart"/>
      <w:r w:rsidRPr="000C6D73">
        <w:rPr>
          <w:sz w:val="24"/>
          <w:szCs w:val="24"/>
          <w:lang w:val="en-US"/>
        </w:rPr>
        <w:t>Povidon</w:t>
      </w:r>
      <w:proofErr w:type="spellEnd"/>
      <w:r w:rsidRPr="000C6D73">
        <w:rPr>
          <w:sz w:val="24"/>
          <w:szCs w:val="24"/>
          <w:lang w:val="en-US"/>
        </w:rPr>
        <w:t xml:space="preserve"> (E 1201)</w:t>
      </w:r>
    </w:p>
    <w:p w14:paraId="45CA5D35" w14:textId="77777777" w:rsidR="00244D23" w:rsidRPr="000C6D73" w:rsidRDefault="00244D23" w:rsidP="00393DF8">
      <w:pPr>
        <w:ind w:left="851"/>
        <w:rPr>
          <w:sz w:val="24"/>
          <w:szCs w:val="24"/>
          <w:lang w:val="en-US"/>
        </w:rPr>
      </w:pPr>
      <w:r w:rsidRPr="000C6D73">
        <w:rPr>
          <w:sz w:val="24"/>
          <w:szCs w:val="24"/>
          <w:lang w:val="en-US"/>
        </w:rPr>
        <w:t xml:space="preserve">Silica, </w:t>
      </w:r>
      <w:proofErr w:type="spellStart"/>
      <w:r w:rsidRPr="000C6D73">
        <w:rPr>
          <w:sz w:val="24"/>
          <w:szCs w:val="24"/>
          <w:lang w:val="en-US"/>
        </w:rPr>
        <w:t>kolloid</w:t>
      </w:r>
      <w:proofErr w:type="spellEnd"/>
      <w:r w:rsidRPr="000C6D73">
        <w:rPr>
          <w:sz w:val="24"/>
          <w:szCs w:val="24"/>
          <w:lang w:val="en-US"/>
        </w:rPr>
        <w:t xml:space="preserve"> </w:t>
      </w:r>
      <w:proofErr w:type="spellStart"/>
      <w:r w:rsidRPr="000C6D73">
        <w:rPr>
          <w:sz w:val="24"/>
          <w:szCs w:val="24"/>
          <w:lang w:val="en-US"/>
        </w:rPr>
        <w:t>vandfri</w:t>
      </w:r>
      <w:proofErr w:type="spellEnd"/>
      <w:r w:rsidRPr="000C6D73">
        <w:rPr>
          <w:sz w:val="24"/>
          <w:szCs w:val="24"/>
          <w:lang w:val="en-US"/>
        </w:rPr>
        <w:t xml:space="preserve"> (E 551)</w:t>
      </w:r>
    </w:p>
    <w:p w14:paraId="7F6696F0" w14:textId="77777777" w:rsidR="00244D23" w:rsidRPr="000C6D73" w:rsidRDefault="00244D23" w:rsidP="00393DF8">
      <w:pPr>
        <w:ind w:left="851"/>
        <w:rPr>
          <w:sz w:val="24"/>
          <w:szCs w:val="24"/>
          <w:lang w:val="en-US"/>
        </w:rPr>
      </w:pPr>
      <w:proofErr w:type="spellStart"/>
      <w:r w:rsidRPr="000C6D73">
        <w:rPr>
          <w:sz w:val="24"/>
          <w:szCs w:val="24"/>
          <w:lang w:val="en-US"/>
        </w:rPr>
        <w:t>Magnesiumstearat</w:t>
      </w:r>
      <w:proofErr w:type="spellEnd"/>
      <w:r w:rsidRPr="000C6D73">
        <w:rPr>
          <w:sz w:val="24"/>
          <w:szCs w:val="24"/>
          <w:lang w:val="en-US"/>
        </w:rPr>
        <w:t xml:space="preserve"> (E 470b)</w:t>
      </w:r>
    </w:p>
    <w:p w14:paraId="1DB9697B" w14:textId="77777777" w:rsidR="00244D23" w:rsidRPr="000C6D73" w:rsidRDefault="00244D23" w:rsidP="00393DF8">
      <w:pPr>
        <w:ind w:left="851"/>
        <w:rPr>
          <w:sz w:val="24"/>
          <w:szCs w:val="24"/>
          <w:lang w:val="en-US"/>
        </w:rPr>
      </w:pPr>
      <w:proofErr w:type="spellStart"/>
      <w:r w:rsidRPr="000C6D73">
        <w:rPr>
          <w:sz w:val="24"/>
          <w:szCs w:val="24"/>
          <w:lang w:val="en-US"/>
        </w:rPr>
        <w:t>Triethylcitrat</w:t>
      </w:r>
      <w:proofErr w:type="spellEnd"/>
      <w:r w:rsidRPr="000C6D73">
        <w:rPr>
          <w:sz w:val="24"/>
          <w:szCs w:val="24"/>
          <w:lang w:val="en-US"/>
        </w:rPr>
        <w:t xml:space="preserve"> (E 1505)</w:t>
      </w:r>
    </w:p>
    <w:p w14:paraId="6D10438F" w14:textId="77777777" w:rsidR="00244D23" w:rsidRPr="000C6D73" w:rsidRDefault="00244D23" w:rsidP="00393DF8">
      <w:pPr>
        <w:ind w:left="851"/>
        <w:rPr>
          <w:sz w:val="24"/>
          <w:szCs w:val="24"/>
          <w:lang w:val="en-US"/>
        </w:rPr>
      </w:pPr>
      <w:proofErr w:type="spellStart"/>
      <w:r w:rsidRPr="000C6D73">
        <w:rPr>
          <w:sz w:val="24"/>
          <w:szCs w:val="24"/>
          <w:lang w:val="en-US"/>
        </w:rPr>
        <w:t>Methacrylsyre</w:t>
      </w:r>
      <w:proofErr w:type="spellEnd"/>
      <w:r w:rsidRPr="000C6D73">
        <w:rPr>
          <w:sz w:val="24"/>
          <w:szCs w:val="24"/>
          <w:lang w:val="en-US"/>
        </w:rPr>
        <w:t>/</w:t>
      </w:r>
      <w:proofErr w:type="spellStart"/>
      <w:r w:rsidRPr="000C6D73">
        <w:rPr>
          <w:sz w:val="24"/>
          <w:szCs w:val="24"/>
          <w:lang w:val="en-US"/>
        </w:rPr>
        <w:t>ethylacrylat</w:t>
      </w:r>
      <w:proofErr w:type="spellEnd"/>
      <w:r w:rsidRPr="000C6D73">
        <w:rPr>
          <w:sz w:val="24"/>
          <w:szCs w:val="24"/>
          <w:lang w:val="en-US"/>
        </w:rPr>
        <w:t>-copolymer (1:1)</w:t>
      </w:r>
    </w:p>
    <w:p w14:paraId="23FCC7C7" w14:textId="77777777" w:rsidR="00244D23" w:rsidRPr="000C6D73" w:rsidRDefault="00244D23" w:rsidP="00393DF8">
      <w:pPr>
        <w:ind w:left="851"/>
        <w:rPr>
          <w:sz w:val="24"/>
          <w:szCs w:val="24"/>
          <w:lang w:val="en-US"/>
        </w:rPr>
      </w:pPr>
      <w:r w:rsidRPr="000C6D73">
        <w:rPr>
          <w:sz w:val="24"/>
          <w:szCs w:val="24"/>
          <w:lang w:val="en-US"/>
        </w:rPr>
        <w:t>Hypromellose (E 464)</w:t>
      </w:r>
    </w:p>
    <w:p w14:paraId="3388D677" w14:textId="77777777" w:rsidR="00244D23" w:rsidRPr="000C6D73" w:rsidRDefault="00244D23" w:rsidP="00393DF8">
      <w:pPr>
        <w:ind w:left="851"/>
        <w:rPr>
          <w:sz w:val="24"/>
          <w:szCs w:val="24"/>
          <w:lang w:val="en-US"/>
        </w:rPr>
      </w:pPr>
      <w:proofErr w:type="spellStart"/>
      <w:r w:rsidRPr="000C6D73">
        <w:rPr>
          <w:sz w:val="24"/>
          <w:szCs w:val="24"/>
          <w:lang w:val="en-US"/>
        </w:rPr>
        <w:t>Titandioxid</w:t>
      </w:r>
      <w:proofErr w:type="spellEnd"/>
      <w:r w:rsidRPr="000C6D73">
        <w:rPr>
          <w:sz w:val="24"/>
          <w:szCs w:val="24"/>
          <w:lang w:val="en-US"/>
        </w:rPr>
        <w:t xml:space="preserve"> (E 171)</w:t>
      </w:r>
    </w:p>
    <w:p w14:paraId="23985D69" w14:textId="77777777" w:rsidR="00244D23" w:rsidRPr="000C6D73" w:rsidRDefault="00244D23" w:rsidP="00393DF8">
      <w:pPr>
        <w:ind w:left="851"/>
        <w:rPr>
          <w:sz w:val="24"/>
          <w:szCs w:val="24"/>
          <w:lang w:val="en-US"/>
        </w:rPr>
      </w:pPr>
      <w:r w:rsidRPr="000C6D73">
        <w:rPr>
          <w:sz w:val="24"/>
          <w:szCs w:val="24"/>
          <w:lang w:val="en-US"/>
        </w:rPr>
        <w:t>Triacetin (E 1518)</w:t>
      </w:r>
    </w:p>
    <w:p w14:paraId="2744583E" w14:textId="77777777" w:rsidR="00244D23" w:rsidRPr="000C6D73" w:rsidRDefault="00244D23" w:rsidP="00393DF8">
      <w:pPr>
        <w:ind w:left="851"/>
        <w:rPr>
          <w:sz w:val="24"/>
          <w:szCs w:val="24"/>
          <w:lang w:val="en-US"/>
        </w:rPr>
      </w:pPr>
    </w:p>
    <w:p w14:paraId="03FA06DD" w14:textId="77777777" w:rsidR="00244D23" w:rsidRPr="00283C60" w:rsidRDefault="00244D23" w:rsidP="00393DF8">
      <w:pPr>
        <w:ind w:left="851"/>
        <w:rPr>
          <w:sz w:val="24"/>
          <w:szCs w:val="24"/>
          <w:u w:val="single"/>
        </w:rPr>
      </w:pPr>
      <w:r w:rsidRPr="00283C60">
        <w:rPr>
          <w:sz w:val="24"/>
          <w:szCs w:val="24"/>
          <w:u w:val="single"/>
        </w:rPr>
        <w:t>Kapselskal</w:t>
      </w:r>
    </w:p>
    <w:p w14:paraId="29E5F293" w14:textId="77777777" w:rsidR="00244D23" w:rsidRPr="00283C60" w:rsidRDefault="00244D23" w:rsidP="00393DF8">
      <w:pPr>
        <w:ind w:left="851"/>
        <w:rPr>
          <w:sz w:val="24"/>
          <w:szCs w:val="24"/>
        </w:rPr>
      </w:pPr>
      <w:r w:rsidRPr="00283C60">
        <w:rPr>
          <w:sz w:val="24"/>
          <w:szCs w:val="24"/>
        </w:rPr>
        <w:t>Gelatine</w:t>
      </w:r>
    </w:p>
    <w:p w14:paraId="7597C445" w14:textId="77777777" w:rsidR="00244D23" w:rsidRPr="00283C60" w:rsidRDefault="00244D23" w:rsidP="00393DF8">
      <w:pPr>
        <w:ind w:left="851"/>
        <w:rPr>
          <w:sz w:val="24"/>
          <w:szCs w:val="24"/>
        </w:rPr>
      </w:pPr>
      <w:r w:rsidRPr="00283C60">
        <w:rPr>
          <w:sz w:val="24"/>
          <w:szCs w:val="24"/>
        </w:rPr>
        <w:t>Titandioxid (E 171)</w:t>
      </w:r>
    </w:p>
    <w:p w14:paraId="5A518739" w14:textId="77777777" w:rsidR="00244D23" w:rsidRPr="00283C60" w:rsidRDefault="00244D23" w:rsidP="00393DF8">
      <w:pPr>
        <w:ind w:left="851"/>
        <w:rPr>
          <w:sz w:val="24"/>
          <w:szCs w:val="24"/>
        </w:rPr>
      </w:pPr>
      <w:proofErr w:type="spellStart"/>
      <w:r w:rsidRPr="00283C60">
        <w:rPr>
          <w:sz w:val="24"/>
          <w:szCs w:val="24"/>
        </w:rPr>
        <w:t>Brilliant</w:t>
      </w:r>
      <w:proofErr w:type="spellEnd"/>
      <w:r w:rsidRPr="00283C60">
        <w:rPr>
          <w:sz w:val="24"/>
          <w:szCs w:val="24"/>
        </w:rPr>
        <w:t xml:space="preserve"> blå FCF (E 133)</w:t>
      </w:r>
    </w:p>
    <w:p w14:paraId="04BD6ECD" w14:textId="77777777" w:rsidR="00244D23" w:rsidRPr="00283C60" w:rsidRDefault="00244D23" w:rsidP="00393DF8">
      <w:pPr>
        <w:ind w:left="851"/>
        <w:rPr>
          <w:sz w:val="24"/>
          <w:szCs w:val="24"/>
        </w:rPr>
      </w:pPr>
      <w:r w:rsidRPr="00283C60">
        <w:rPr>
          <w:sz w:val="24"/>
          <w:szCs w:val="24"/>
        </w:rPr>
        <w:t>Gul jernoxid (E 172)</w:t>
      </w:r>
    </w:p>
    <w:p w14:paraId="725060D2" w14:textId="77777777" w:rsidR="00244D23" w:rsidRPr="00283C60" w:rsidRDefault="00244D23" w:rsidP="00393DF8">
      <w:pPr>
        <w:ind w:left="851"/>
        <w:rPr>
          <w:sz w:val="24"/>
          <w:szCs w:val="24"/>
        </w:rPr>
      </w:pPr>
    </w:p>
    <w:p w14:paraId="109F5AE4" w14:textId="77777777" w:rsidR="00244D23" w:rsidRPr="00283C60" w:rsidRDefault="00244D23" w:rsidP="00393DF8">
      <w:pPr>
        <w:ind w:left="851"/>
        <w:rPr>
          <w:sz w:val="24"/>
          <w:szCs w:val="24"/>
          <w:u w:val="single"/>
        </w:rPr>
      </w:pPr>
      <w:r w:rsidRPr="00283C60">
        <w:rPr>
          <w:sz w:val="24"/>
          <w:szCs w:val="24"/>
          <w:u w:val="single"/>
        </w:rPr>
        <w:t>Kapselprint (sort blæk)</w:t>
      </w:r>
    </w:p>
    <w:p w14:paraId="4C6EA762" w14:textId="77777777" w:rsidR="00244D23" w:rsidRPr="000C6D73" w:rsidRDefault="00244D23" w:rsidP="00393DF8">
      <w:pPr>
        <w:ind w:left="851"/>
        <w:rPr>
          <w:sz w:val="24"/>
          <w:szCs w:val="24"/>
          <w:lang w:val="en-US"/>
        </w:rPr>
      </w:pPr>
      <w:r w:rsidRPr="000C6D73">
        <w:rPr>
          <w:sz w:val="24"/>
          <w:szCs w:val="24"/>
          <w:lang w:val="en-US"/>
        </w:rPr>
        <w:t>Shellac (E 904)</w:t>
      </w:r>
    </w:p>
    <w:p w14:paraId="4C182A2D" w14:textId="77777777" w:rsidR="00244D23" w:rsidRPr="000C6D73" w:rsidRDefault="00244D23" w:rsidP="00393DF8">
      <w:pPr>
        <w:ind w:left="851"/>
        <w:rPr>
          <w:sz w:val="24"/>
          <w:szCs w:val="24"/>
          <w:lang w:val="en-US"/>
        </w:rPr>
      </w:pPr>
      <w:proofErr w:type="spellStart"/>
      <w:r w:rsidRPr="000C6D73">
        <w:rPr>
          <w:sz w:val="24"/>
          <w:szCs w:val="24"/>
          <w:lang w:val="en-US"/>
        </w:rPr>
        <w:t>Kaliumhydroxid</w:t>
      </w:r>
      <w:proofErr w:type="spellEnd"/>
      <w:r w:rsidRPr="000C6D73">
        <w:rPr>
          <w:sz w:val="24"/>
          <w:szCs w:val="24"/>
          <w:lang w:val="en-US"/>
        </w:rPr>
        <w:t xml:space="preserve"> (E 525)</w:t>
      </w:r>
    </w:p>
    <w:p w14:paraId="5616D670" w14:textId="77777777" w:rsidR="00244D23" w:rsidRPr="000C6D73" w:rsidRDefault="00244D23" w:rsidP="00393DF8">
      <w:pPr>
        <w:ind w:left="851"/>
        <w:rPr>
          <w:sz w:val="24"/>
          <w:szCs w:val="24"/>
          <w:lang w:val="en-US"/>
        </w:rPr>
      </w:pPr>
      <w:proofErr w:type="spellStart"/>
      <w:r w:rsidRPr="000C6D73">
        <w:rPr>
          <w:sz w:val="24"/>
          <w:szCs w:val="24"/>
          <w:lang w:val="en-US"/>
        </w:rPr>
        <w:t>Propylenglycol</w:t>
      </w:r>
      <w:proofErr w:type="spellEnd"/>
      <w:r w:rsidRPr="000C6D73">
        <w:rPr>
          <w:sz w:val="24"/>
          <w:szCs w:val="24"/>
          <w:lang w:val="en-US"/>
        </w:rPr>
        <w:t xml:space="preserve"> (E 1520)</w:t>
      </w:r>
    </w:p>
    <w:p w14:paraId="452D7B93" w14:textId="77777777" w:rsidR="00244D23" w:rsidRPr="00283C60" w:rsidRDefault="00244D23" w:rsidP="00393DF8">
      <w:pPr>
        <w:ind w:left="851"/>
        <w:rPr>
          <w:sz w:val="24"/>
          <w:szCs w:val="24"/>
        </w:rPr>
      </w:pPr>
      <w:r w:rsidRPr="00283C60">
        <w:rPr>
          <w:sz w:val="24"/>
          <w:szCs w:val="24"/>
        </w:rPr>
        <w:t>Sort jernoxid (E 172)</w:t>
      </w:r>
    </w:p>
    <w:p w14:paraId="7CEA9E06" w14:textId="77777777" w:rsidR="00244D23" w:rsidRPr="00283C60" w:rsidRDefault="00244D23" w:rsidP="00393DF8">
      <w:pPr>
        <w:ind w:left="851"/>
        <w:rPr>
          <w:sz w:val="24"/>
          <w:szCs w:val="24"/>
        </w:rPr>
      </w:pPr>
      <w:r w:rsidRPr="00283C60">
        <w:rPr>
          <w:sz w:val="24"/>
          <w:szCs w:val="24"/>
        </w:rPr>
        <w:lastRenderedPageBreak/>
        <w:t>Stærk ammoniakopløsning (E 527)</w:t>
      </w:r>
    </w:p>
    <w:p w14:paraId="694C597D" w14:textId="77777777" w:rsidR="009260DE" w:rsidRPr="00283C60" w:rsidRDefault="009260DE" w:rsidP="009260DE">
      <w:pPr>
        <w:tabs>
          <w:tab w:val="left" w:pos="851"/>
        </w:tabs>
        <w:ind w:left="851"/>
        <w:rPr>
          <w:sz w:val="24"/>
          <w:szCs w:val="24"/>
        </w:rPr>
      </w:pPr>
    </w:p>
    <w:p w14:paraId="3112108A" w14:textId="77777777" w:rsidR="009260DE" w:rsidRPr="00283C60" w:rsidRDefault="009260DE" w:rsidP="009260DE">
      <w:pPr>
        <w:tabs>
          <w:tab w:val="left" w:pos="851"/>
        </w:tabs>
        <w:ind w:left="851" w:hanging="851"/>
        <w:rPr>
          <w:b/>
          <w:sz w:val="24"/>
          <w:szCs w:val="24"/>
        </w:rPr>
      </w:pPr>
      <w:r w:rsidRPr="00283C60">
        <w:rPr>
          <w:b/>
          <w:sz w:val="24"/>
          <w:szCs w:val="24"/>
        </w:rPr>
        <w:t>6.2</w:t>
      </w:r>
      <w:r w:rsidRPr="00283C60">
        <w:rPr>
          <w:b/>
          <w:sz w:val="24"/>
          <w:szCs w:val="24"/>
        </w:rPr>
        <w:tab/>
        <w:t>Uforligeligheder</w:t>
      </w:r>
    </w:p>
    <w:p w14:paraId="07C07688" w14:textId="77777777" w:rsidR="00244D23" w:rsidRPr="00283C60" w:rsidRDefault="00244D23" w:rsidP="00393DF8">
      <w:pPr>
        <w:ind w:left="851"/>
        <w:rPr>
          <w:sz w:val="24"/>
          <w:szCs w:val="24"/>
          <w:lang w:eastAsia="fr-LU"/>
        </w:rPr>
      </w:pPr>
      <w:r w:rsidRPr="00283C60">
        <w:rPr>
          <w:sz w:val="24"/>
          <w:szCs w:val="24"/>
        </w:rPr>
        <w:t>Ikke relevant.</w:t>
      </w:r>
    </w:p>
    <w:p w14:paraId="3B241741" w14:textId="77777777" w:rsidR="009260DE" w:rsidRPr="00283C60" w:rsidRDefault="009260DE" w:rsidP="009260DE">
      <w:pPr>
        <w:tabs>
          <w:tab w:val="left" w:pos="851"/>
        </w:tabs>
        <w:ind w:left="851"/>
        <w:rPr>
          <w:sz w:val="24"/>
          <w:szCs w:val="24"/>
        </w:rPr>
      </w:pPr>
    </w:p>
    <w:p w14:paraId="729CE676" w14:textId="77777777" w:rsidR="009260DE" w:rsidRPr="00283C60" w:rsidRDefault="009260DE" w:rsidP="009260DE">
      <w:pPr>
        <w:tabs>
          <w:tab w:val="left" w:pos="851"/>
        </w:tabs>
        <w:ind w:left="851" w:hanging="851"/>
        <w:rPr>
          <w:b/>
          <w:sz w:val="24"/>
          <w:szCs w:val="24"/>
        </w:rPr>
      </w:pPr>
      <w:r w:rsidRPr="00283C60">
        <w:rPr>
          <w:b/>
          <w:sz w:val="24"/>
          <w:szCs w:val="24"/>
        </w:rPr>
        <w:t>6.3</w:t>
      </w:r>
      <w:r w:rsidRPr="00283C60">
        <w:rPr>
          <w:b/>
          <w:sz w:val="24"/>
          <w:szCs w:val="24"/>
        </w:rPr>
        <w:tab/>
        <w:t>Opbevaringstid</w:t>
      </w:r>
    </w:p>
    <w:p w14:paraId="7175D990" w14:textId="77777777" w:rsidR="00244D23" w:rsidRPr="00283C60" w:rsidRDefault="00244D23" w:rsidP="00393DF8">
      <w:pPr>
        <w:ind w:left="851"/>
        <w:rPr>
          <w:sz w:val="24"/>
          <w:szCs w:val="24"/>
          <w:lang w:eastAsia="fr-LU"/>
        </w:rPr>
      </w:pPr>
      <w:r w:rsidRPr="00283C60">
        <w:rPr>
          <w:sz w:val="24"/>
          <w:szCs w:val="24"/>
        </w:rPr>
        <w:t>3 år</w:t>
      </w:r>
    </w:p>
    <w:p w14:paraId="6E985F98" w14:textId="77777777" w:rsidR="009260DE" w:rsidRPr="00283C60" w:rsidRDefault="009260DE" w:rsidP="009260DE">
      <w:pPr>
        <w:tabs>
          <w:tab w:val="left" w:pos="851"/>
        </w:tabs>
        <w:ind w:left="851"/>
        <w:rPr>
          <w:sz w:val="24"/>
          <w:szCs w:val="24"/>
        </w:rPr>
      </w:pPr>
    </w:p>
    <w:p w14:paraId="6698372A" w14:textId="77777777" w:rsidR="009260DE" w:rsidRPr="00283C60" w:rsidRDefault="009260DE" w:rsidP="009260DE">
      <w:pPr>
        <w:tabs>
          <w:tab w:val="left" w:pos="851"/>
        </w:tabs>
        <w:ind w:left="851" w:hanging="851"/>
        <w:rPr>
          <w:b/>
          <w:sz w:val="24"/>
          <w:szCs w:val="24"/>
        </w:rPr>
      </w:pPr>
      <w:r w:rsidRPr="00283C60">
        <w:rPr>
          <w:b/>
          <w:sz w:val="24"/>
          <w:szCs w:val="24"/>
        </w:rPr>
        <w:t>6.4</w:t>
      </w:r>
      <w:r w:rsidRPr="00283C60">
        <w:rPr>
          <w:b/>
          <w:sz w:val="24"/>
          <w:szCs w:val="24"/>
        </w:rPr>
        <w:tab/>
        <w:t>Særlige opbevaringsforhold</w:t>
      </w:r>
    </w:p>
    <w:p w14:paraId="3E86F363" w14:textId="77777777" w:rsidR="00244D23" w:rsidRPr="00283C60" w:rsidRDefault="00244D23" w:rsidP="00393DF8">
      <w:pPr>
        <w:ind w:left="851"/>
        <w:rPr>
          <w:sz w:val="24"/>
          <w:szCs w:val="24"/>
          <w:lang w:eastAsia="fr-LU"/>
        </w:rPr>
      </w:pPr>
      <w:r w:rsidRPr="00283C60">
        <w:rPr>
          <w:sz w:val="24"/>
          <w:szCs w:val="24"/>
        </w:rPr>
        <w:t>Dette lægemiddel kræver ingen særlige opbevaringsbetingelser vedrørende temperaturer.</w:t>
      </w:r>
    </w:p>
    <w:p w14:paraId="5A33F647" w14:textId="77777777" w:rsidR="00244D23" w:rsidRPr="00283C60" w:rsidRDefault="00244D23" w:rsidP="00393DF8">
      <w:pPr>
        <w:ind w:left="851"/>
        <w:rPr>
          <w:sz w:val="24"/>
          <w:szCs w:val="24"/>
        </w:rPr>
      </w:pPr>
      <w:r w:rsidRPr="00283C60">
        <w:rPr>
          <w:sz w:val="24"/>
          <w:szCs w:val="24"/>
        </w:rPr>
        <w:t>Opbevares i den originale emballage for at beskytte mod lys.</w:t>
      </w:r>
    </w:p>
    <w:p w14:paraId="40422983" w14:textId="77777777" w:rsidR="009260DE" w:rsidRPr="00283C60" w:rsidRDefault="009260DE" w:rsidP="009260DE">
      <w:pPr>
        <w:tabs>
          <w:tab w:val="left" w:pos="851"/>
        </w:tabs>
        <w:ind w:left="851"/>
        <w:rPr>
          <w:sz w:val="24"/>
          <w:szCs w:val="24"/>
        </w:rPr>
      </w:pPr>
    </w:p>
    <w:p w14:paraId="453F5F88" w14:textId="77777777" w:rsidR="009260DE" w:rsidRPr="00283C60" w:rsidRDefault="009260DE" w:rsidP="009260DE">
      <w:pPr>
        <w:tabs>
          <w:tab w:val="left" w:pos="851"/>
        </w:tabs>
        <w:ind w:left="851" w:hanging="851"/>
        <w:rPr>
          <w:b/>
          <w:sz w:val="24"/>
          <w:szCs w:val="24"/>
        </w:rPr>
      </w:pPr>
      <w:r w:rsidRPr="00283C60">
        <w:rPr>
          <w:b/>
          <w:sz w:val="24"/>
          <w:szCs w:val="24"/>
        </w:rPr>
        <w:t>6.5</w:t>
      </w:r>
      <w:r w:rsidRPr="00283C60">
        <w:rPr>
          <w:b/>
          <w:sz w:val="24"/>
          <w:szCs w:val="24"/>
        </w:rPr>
        <w:tab/>
        <w:t>Emballagetype og pakningsstørrelser</w:t>
      </w:r>
    </w:p>
    <w:p w14:paraId="3FD2B8CE" w14:textId="77777777" w:rsidR="00283C60" w:rsidRDefault="00283C60" w:rsidP="00393DF8">
      <w:pPr>
        <w:ind w:left="851"/>
        <w:rPr>
          <w:sz w:val="24"/>
          <w:szCs w:val="24"/>
        </w:rPr>
      </w:pPr>
    </w:p>
    <w:p w14:paraId="40031532" w14:textId="4FBE6F74" w:rsidR="00244D23" w:rsidRPr="00283C60" w:rsidRDefault="00244D23" w:rsidP="00393DF8">
      <w:pPr>
        <w:ind w:left="851"/>
        <w:rPr>
          <w:sz w:val="24"/>
          <w:szCs w:val="24"/>
          <w:u w:val="single"/>
          <w:lang w:eastAsia="fr-LU"/>
        </w:rPr>
      </w:pPr>
      <w:proofErr w:type="spellStart"/>
      <w:r w:rsidRPr="00283C60">
        <w:rPr>
          <w:sz w:val="24"/>
          <w:szCs w:val="24"/>
          <w:u w:val="single"/>
        </w:rPr>
        <w:t>Dimethyl</w:t>
      </w:r>
      <w:proofErr w:type="spellEnd"/>
      <w:r w:rsidRPr="00283C60">
        <w:rPr>
          <w:sz w:val="24"/>
          <w:szCs w:val="24"/>
          <w:u w:val="single"/>
        </w:rPr>
        <w:t xml:space="preserve"> </w:t>
      </w:r>
      <w:proofErr w:type="spellStart"/>
      <w:r w:rsidRPr="00283C60">
        <w:rPr>
          <w:sz w:val="24"/>
          <w:szCs w:val="24"/>
          <w:u w:val="single"/>
        </w:rPr>
        <w:t>fumarate</w:t>
      </w:r>
      <w:proofErr w:type="spellEnd"/>
      <w:r w:rsidRPr="00283C60">
        <w:rPr>
          <w:sz w:val="24"/>
          <w:szCs w:val="24"/>
          <w:u w:val="single"/>
        </w:rPr>
        <w:t xml:space="preserve"> </w:t>
      </w:r>
      <w:r w:rsidR="004837F8" w:rsidRPr="00283C60">
        <w:rPr>
          <w:sz w:val="24"/>
          <w:szCs w:val="24"/>
          <w:u w:val="single"/>
        </w:rPr>
        <w:t>"</w:t>
      </w:r>
      <w:proofErr w:type="spellStart"/>
      <w:r w:rsidRPr="00283C60">
        <w:rPr>
          <w:sz w:val="24"/>
          <w:szCs w:val="24"/>
          <w:u w:val="single"/>
        </w:rPr>
        <w:t>Stada</w:t>
      </w:r>
      <w:proofErr w:type="spellEnd"/>
      <w:r w:rsidRPr="00283C60">
        <w:rPr>
          <w:sz w:val="24"/>
          <w:szCs w:val="24"/>
          <w:u w:val="single"/>
        </w:rPr>
        <w:t xml:space="preserve"> Nordic</w:t>
      </w:r>
      <w:r w:rsidR="004837F8" w:rsidRPr="00283C60">
        <w:rPr>
          <w:sz w:val="24"/>
          <w:szCs w:val="24"/>
          <w:u w:val="single"/>
        </w:rPr>
        <w:t>"</w:t>
      </w:r>
      <w:r w:rsidRPr="00283C60">
        <w:rPr>
          <w:sz w:val="24"/>
          <w:szCs w:val="24"/>
          <w:u w:val="single"/>
        </w:rPr>
        <w:t xml:space="preserve"> 120 mg hårde </w:t>
      </w:r>
      <w:r w:rsidR="00F23F4A">
        <w:rPr>
          <w:sz w:val="24"/>
          <w:szCs w:val="24"/>
          <w:u w:val="single"/>
        </w:rPr>
        <w:t>entero</w:t>
      </w:r>
      <w:r w:rsidRPr="00283C60">
        <w:rPr>
          <w:sz w:val="24"/>
          <w:szCs w:val="24"/>
          <w:u w:val="single"/>
        </w:rPr>
        <w:t>kapsler</w:t>
      </w:r>
    </w:p>
    <w:p w14:paraId="5150E8AB" w14:textId="70F2EA68" w:rsidR="00244D23" w:rsidRPr="00283C60" w:rsidRDefault="00244D23" w:rsidP="00393DF8">
      <w:pPr>
        <w:ind w:left="851"/>
        <w:rPr>
          <w:sz w:val="24"/>
          <w:szCs w:val="24"/>
        </w:rPr>
      </w:pPr>
      <w:r w:rsidRPr="00283C60">
        <w:rPr>
          <w:sz w:val="24"/>
          <w:szCs w:val="24"/>
        </w:rPr>
        <w:t xml:space="preserve">Hvid HDPE-beholder med PP/HDPE børnesikret lukning med forsegling og </w:t>
      </w:r>
      <w:proofErr w:type="spellStart"/>
      <w:r w:rsidRPr="00283C60">
        <w:rPr>
          <w:sz w:val="24"/>
          <w:szCs w:val="24"/>
        </w:rPr>
        <w:t>silicagel</w:t>
      </w:r>
      <w:proofErr w:type="spellEnd"/>
      <w:r w:rsidRPr="00283C60">
        <w:rPr>
          <w:sz w:val="24"/>
          <w:szCs w:val="24"/>
        </w:rPr>
        <w:t xml:space="preserve">-tørremiddel indeholdende 100 hårde </w:t>
      </w:r>
      <w:r w:rsidR="005172A5">
        <w:rPr>
          <w:sz w:val="24"/>
          <w:szCs w:val="24"/>
        </w:rPr>
        <w:t>entero</w:t>
      </w:r>
      <w:r w:rsidRPr="00283C60">
        <w:rPr>
          <w:sz w:val="24"/>
          <w:szCs w:val="24"/>
        </w:rPr>
        <w:t>kapsler.</w:t>
      </w:r>
    </w:p>
    <w:p w14:paraId="27FAC93B" w14:textId="77777777" w:rsidR="00244D23" w:rsidRPr="00283C60" w:rsidRDefault="00244D23" w:rsidP="00393DF8">
      <w:pPr>
        <w:ind w:left="851"/>
        <w:rPr>
          <w:sz w:val="24"/>
          <w:szCs w:val="24"/>
          <w:highlight w:val="yellow"/>
        </w:rPr>
      </w:pPr>
    </w:p>
    <w:p w14:paraId="5B069F7E" w14:textId="1C202CD5" w:rsidR="00244D23" w:rsidRPr="00283C60" w:rsidRDefault="00244D23" w:rsidP="00393DF8">
      <w:pPr>
        <w:ind w:left="851"/>
        <w:rPr>
          <w:sz w:val="24"/>
          <w:szCs w:val="24"/>
        </w:rPr>
      </w:pPr>
      <w:proofErr w:type="spellStart"/>
      <w:r w:rsidRPr="00283C60">
        <w:rPr>
          <w:sz w:val="24"/>
          <w:szCs w:val="24"/>
        </w:rPr>
        <w:t>oPA</w:t>
      </w:r>
      <w:proofErr w:type="spellEnd"/>
      <w:r w:rsidRPr="00283C60">
        <w:rPr>
          <w:sz w:val="24"/>
          <w:szCs w:val="24"/>
        </w:rPr>
        <w:t>/</w:t>
      </w:r>
      <w:proofErr w:type="spellStart"/>
      <w:r w:rsidRPr="00283C60">
        <w:rPr>
          <w:sz w:val="24"/>
          <w:szCs w:val="24"/>
        </w:rPr>
        <w:t>Alu</w:t>
      </w:r>
      <w:proofErr w:type="spellEnd"/>
      <w:r w:rsidRPr="00283C60">
        <w:rPr>
          <w:sz w:val="24"/>
          <w:szCs w:val="24"/>
        </w:rPr>
        <w:t>/PVC//</w:t>
      </w:r>
      <w:proofErr w:type="spellStart"/>
      <w:r w:rsidRPr="00283C60">
        <w:rPr>
          <w:sz w:val="24"/>
          <w:szCs w:val="24"/>
        </w:rPr>
        <w:t>Alu</w:t>
      </w:r>
      <w:proofErr w:type="spellEnd"/>
      <w:r w:rsidRPr="00283C60">
        <w:rPr>
          <w:sz w:val="24"/>
          <w:szCs w:val="24"/>
        </w:rPr>
        <w:t xml:space="preserve"> blister indeholdende 14, 28, 56 eller 168 hårde </w:t>
      </w:r>
      <w:r w:rsidR="005172A5">
        <w:rPr>
          <w:sz w:val="24"/>
          <w:szCs w:val="24"/>
        </w:rPr>
        <w:t>entero</w:t>
      </w:r>
      <w:r w:rsidRPr="00283C60">
        <w:rPr>
          <w:sz w:val="24"/>
          <w:szCs w:val="24"/>
        </w:rPr>
        <w:t xml:space="preserve">kapsler eller </w:t>
      </w:r>
      <w:proofErr w:type="spellStart"/>
      <w:r w:rsidRPr="00283C60">
        <w:rPr>
          <w:sz w:val="24"/>
          <w:szCs w:val="24"/>
        </w:rPr>
        <w:t>oPA</w:t>
      </w:r>
      <w:proofErr w:type="spellEnd"/>
      <w:r w:rsidRPr="00283C60">
        <w:rPr>
          <w:sz w:val="24"/>
          <w:szCs w:val="24"/>
        </w:rPr>
        <w:t>/</w:t>
      </w:r>
      <w:proofErr w:type="spellStart"/>
      <w:r w:rsidRPr="00283C60">
        <w:rPr>
          <w:sz w:val="24"/>
          <w:szCs w:val="24"/>
        </w:rPr>
        <w:t>Alu</w:t>
      </w:r>
      <w:proofErr w:type="spellEnd"/>
      <w:r w:rsidRPr="00283C60">
        <w:rPr>
          <w:sz w:val="24"/>
          <w:szCs w:val="24"/>
        </w:rPr>
        <w:t>/PVC//</w:t>
      </w:r>
      <w:proofErr w:type="spellStart"/>
      <w:r w:rsidRPr="00283C60">
        <w:rPr>
          <w:sz w:val="24"/>
          <w:szCs w:val="24"/>
        </w:rPr>
        <w:t>Alu</w:t>
      </w:r>
      <w:proofErr w:type="spellEnd"/>
      <w:r w:rsidRPr="00283C60">
        <w:rPr>
          <w:sz w:val="24"/>
          <w:szCs w:val="24"/>
        </w:rPr>
        <w:t xml:space="preserve"> perforeret enkeltdosisblister indeholdende 14</w:t>
      </w:r>
      <w:r w:rsidR="00283C60">
        <w:rPr>
          <w:sz w:val="24"/>
          <w:szCs w:val="24"/>
        </w:rPr>
        <w:t>×</w:t>
      </w:r>
      <w:r w:rsidRPr="00283C60">
        <w:rPr>
          <w:sz w:val="24"/>
          <w:szCs w:val="24"/>
        </w:rPr>
        <w:t>1, 28</w:t>
      </w:r>
      <w:r w:rsidR="00283C60">
        <w:rPr>
          <w:sz w:val="24"/>
          <w:szCs w:val="24"/>
        </w:rPr>
        <w:t>×</w:t>
      </w:r>
      <w:r w:rsidRPr="00283C60">
        <w:rPr>
          <w:sz w:val="24"/>
          <w:szCs w:val="24"/>
        </w:rPr>
        <w:t>1, 56</w:t>
      </w:r>
      <w:r w:rsidR="00283C60">
        <w:rPr>
          <w:sz w:val="24"/>
          <w:szCs w:val="24"/>
        </w:rPr>
        <w:t>×</w:t>
      </w:r>
      <w:r w:rsidRPr="00283C60">
        <w:rPr>
          <w:sz w:val="24"/>
          <w:szCs w:val="24"/>
        </w:rPr>
        <w:t>1 eller 168</w:t>
      </w:r>
      <w:r w:rsidR="00283C60">
        <w:rPr>
          <w:sz w:val="24"/>
          <w:szCs w:val="24"/>
        </w:rPr>
        <w:t>×</w:t>
      </w:r>
      <w:r w:rsidRPr="00283C60">
        <w:rPr>
          <w:sz w:val="24"/>
          <w:szCs w:val="24"/>
        </w:rPr>
        <w:t xml:space="preserve">1 hårde </w:t>
      </w:r>
      <w:r w:rsidR="005172A5">
        <w:rPr>
          <w:sz w:val="24"/>
          <w:szCs w:val="24"/>
        </w:rPr>
        <w:t>entero</w:t>
      </w:r>
      <w:r w:rsidRPr="00283C60">
        <w:rPr>
          <w:sz w:val="24"/>
          <w:szCs w:val="24"/>
        </w:rPr>
        <w:t>kapsler.</w:t>
      </w:r>
    </w:p>
    <w:p w14:paraId="2821946B" w14:textId="77777777" w:rsidR="00244D23" w:rsidRPr="00283C60" w:rsidRDefault="00244D23" w:rsidP="00393DF8">
      <w:pPr>
        <w:ind w:left="851"/>
        <w:rPr>
          <w:sz w:val="24"/>
          <w:szCs w:val="24"/>
        </w:rPr>
      </w:pPr>
    </w:p>
    <w:p w14:paraId="40E587AC" w14:textId="48CBF3E5" w:rsidR="00244D23" w:rsidRPr="00283C60" w:rsidRDefault="00244D23" w:rsidP="00393DF8">
      <w:pPr>
        <w:ind w:left="851"/>
        <w:rPr>
          <w:sz w:val="24"/>
          <w:szCs w:val="24"/>
          <w:u w:val="single"/>
        </w:rPr>
      </w:pPr>
      <w:proofErr w:type="spellStart"/>
      <w:r w:rsidRPr="00283C60">
        <w:rPr>
          <w:sz w:val="24"/>
          <w:szCs w:val="24"/>
          <w:u w:val="single"/>
        </w:rPr>
        <w:t>Dimethyl</w:t>
      </w:r>
      <w:proofErr w:type="spellEnd"/>
      <w:r w:rsidRPr="00283C60">
        <w:rPr>
          <w:sz w:val="24"/>
          <w:szCs w:val="24"/>
          <w:u w:val="single"/>
        </w:rPr>
        <w:t xml:space="preserve"> </w:t>
      </w:r>
      <w:proofErr w:type="spellStart"/>
      <w:r w:rsidRPr="00283C60">
        <w:rPr>
          <w:sz w:val="24"/>
          <w:szCs w:val="24"/>
          <w:u w:val="single"/>
        </w:rPr>
        <w:t>fumarate</w:t>
      </w:r>
      <w:proofErr w:type="spellEnd"/>
      <w:r w:rsidRPr="00283C60">
        <w:rPr>
          <w:sz w:val="24"/>
          <w:szCs w:val="24"/>
          <w:u w:val="single"/>
        </w:rPr>
        <w:t xml:space="preserve"> </w:t>
      </w:r>
      <w:r w:rsidR="004837F8" w:rsidRPr="00283C60">
        <w:rPr>
          <w:sz w:val="24"/>
          <w:szCs w:val="24"/>
          <w:u w:val="single"/>
        </w:rPr>
        <w:t>"</w:t>
      </w:r>
      <w:proofErr w:type="spellStart"/>
      <w:r w:rsidRPr="00283C60">
        <w:rPr>
          <w:sz w:val="24"/>
          <w:szCs w:val="24"/>
          <w:u w:val="single"/>
        </w:rPr>
        <w:t>Stada</w:t>
      </w:r>
      <w:proofErr w:type="spellEnd"/>
      <w:r w:rsidRPr="00283C60">
        <w:rPr>
          <w:sz w:val="24"/>
          <w:szCs w:val="24"/>
          <w:u w:val="single"/>
        </w:rPr>
        <w:t xml:space="preserve"> Nordic</w:t>
      </w:r>
      <w:r w:rsidR="004837F8" w:rsidRPr="00283C60">
        <w:rPr>
          <w:sz w:val="24"/>
          <w:szCs w:val="24"/>
          <w:u w:val="single"/>
        </w:rPr>
        <w:t>"</w:t>
      </w:r>
      <w:r w:rsidRPr="00283C60">
        <w:rPr>
          <w:sz w:val="24"/>
          <w:szCs w:val="24"/>
          <w:u w:val="single"/>
        </w:rPr>
        <w:t xml:space="preserve"> 240 mg hårde</w:t>
      </w:r>
      <w:r w:rsidR="00F23F4A">
        <w:rPr>
          <w:sz w:val="24"/>
          <w:szCs w:val="24"/>
          <w:u w:val="single"/>
        </w:rPr>
        <w:t xml:space="preserve"> entero</w:t>
      </w:r>
      <w:r w:rsidRPr="00283C60">
        <w:rPr>
          <w:sz w:val="24"/>
          <w:szCs w:val="24"/>
          <w:u w:val="single"/>
        </w:rPr>
        <w:t>kapsler</w:t>
      </w:r>
    </w:p>
    <w:p w14:paraId="4092A854" w14:textId="5EFBB160" w:rsidR="00244D23" w:rsidRPr="00283C60" w:rsidRDefault="00244D23" w:rsidP="00393DF8">
      <w:pPr>
        <w:ind w:left="851"/>
        <w:rPr>
          <w:sz w:val="24"/>
          <w:szCs w:val="24"/>
        </w:rPr>
      </w:pPr>
      <w:r w:rsidRPr="00283C60">
        <w:rPr>
          <w:sz w:val="24"/>
          <w:szCs w:val="24"/>
        </w:rPr>
        <w:t xml:space="preserve">Hvid HDPE-beholder med PP/HDPE børnesikret lukning med forsegling og </w:t>
      </w:r>
      <w:proofErr w:type="spellStart"/>
      <w:r w:rsidRPr="00283C60">
        <w:rPr>
          <w:sz w:val="24"/>
          <w:szCs w:val="24"/>
        </w:rPr>
        <w:t>silicagel</w:t>
      </w:r>
      <w:proofErr w:type="spellEnd"/>
      <w:r w:rsidRPr="00283C60">
        <w:rPr>
          <w:sz w:val="24"/>
          <w:szCs w:val="24"/>
        </w:rPr>
        <w:t xml:space="preserve">-tørremiddel indeholdende 100 </w:t>
      </w:r>
      <w:r w:rsidR="005172A5" w:rsidRPr="00283C60">
        <w:rPr>
          <w:sz w:val="24"/>
          <w:szCs w:val="24"/>
        </w:rPr>
        <w:t xml:space="preserve">hårde </w:t>
      </w:r>
      <w:r w:rsidR="005172A5">
        <w:rPr>
          <w:sz w:val="24"/>
          <w:szCs w:val="24"/>
        </w:rPr>
        <w:t>entero</w:t>
      </w:r>
      <w:r w:rsidR="005172A5" w:rsidRPr="00283C60">
        <w:rPr>
          <w:sz w:val="24"/>
          <w:szCs w:val="24"/>
        </w:rPr>
        <w:t>kapsler</w:t>
      </w:r>
      <w:r w:rsidRPr="00283C60">
        <w:rPr>
          <w:sz w:val="24"/>
          <w:szCs w:val="24"/>
        </w:rPr>
        <w:t>.</w:t>
      </w:r>
    </w:p>
    <w:p w14:paraId="555065FF" w14:textId="77777777" w:rsidR="00244D23" w:rsidRPr="00283C60" w:rsidRDefault="00244D23" w:rsidP="00393DF8">
      <w:pPr>
        <w:ind w:left="851"/>
        <w:rPr>
          <w:sz w:val="24"/>
          <w:szCs w:val="24"/>
        </w:rPr>
      </w:pPr>
    </w:p>
    <w:p w14:paraId="0865CC6B" w14:textId="579FC506" w:rsidR="00244D23" w:rsidRPr="00283C60" w:rsidRDefault="00244D23" w:rsidP="00393DF8">
      <w:pPr>
        <w:ind w:left="851"/>
        <w:rPr>
          <w:sz w:val="24"/>
          <w:szCs w:val="24"/>
          <w:highlight w:val="yellow"/>
        </w:rPr>
      </w:pPr>
      <w:proofErr w:type="spellStart"/>
      <w:r w:rsidRPr="00283C60">
        <w:rPr>
          <w:sz w:val="24"/>
          <w:szCs w:val="24"/>
        </w:rPr>
        <w:t>oPA</w:t>
      </w:r>
      <w:proofErr w:type="spellEnd"/>
      <w:r w:rsidRPr="00283C60">
        <w:rPr>
          <w:sz w:val="24"/>
          <w:szCs w:val="24"/>
        </w:rPr>
        <w:t>/</w:t>
      </w:r>
      <w:proofErr w:type="spellStart"/>
      <w:r w:rsidRPr="00283C60">
        <w:rPr>
          <w:sz w:val="24"/>
          <w:szCs w:val="24"/>
        </w:rPr>
        <w:t>Alu</w:t>
      </w:r>
      <w:proofErr w:type="spellEnd"/>
      <w:r w:rsidRPr="00283C60">
        <w:rPr>
          <w:sz w:val="24"/>
          <w:szCs w:val="24"/>
        </w:rPr>
        <w:t>/PVC//</w:t>
      </w:r>
      <w:proofErr w:type="spellStart"/>
      <w:r w:rsidRPr="00283C60">
        <w:rPr>
          <w:sz w:val="24"/>
          <w:szCs w:val="24"/>
        </w:rPr>
        <w:t>Alu</w:t>
      </w:r>
      <w:proofErr w:type="spellEnd"/>
      <w:r w:rsidRPr="00283C60">
        <w:rPr>
          <w:sz w:val="24"/>
          <w:szCs w:val="24"/>
        </w:rPr>
        <w:t xml:space="preserve"> blister indeholdende 14, 28, 56, 60, 168 eller 180 </w:t>
      </w:r>
      <w:r w:rsidR="005172A5" w:rsidRPr="00283C60">
        <w:rPr>
          <w:sz w:val="24"/>
          <w:szCs w:val="24"/>
        </w:rPr>
        <w:t xml:space="preserve">hårde </w:t>
      </w:r>
      <w:r w:rsidR="005172A5">
        <w:rPr>
          <w:sz w:val="24"/>
          <w:szCs w:val="24"/>
        </w:rPr>
        <w:t>entero</w:t>
      </w:r>
      <w:r w:rsidR="005172A5" w:rsidRPr="00283C60">
        <w:rPr>
          <w:sz w:val="24"/>
          <w:szCs w:val="24"/>
        </w:rPr>
        <w:t>kapsler</w:t>
      </w:r>
      <w:r w:rsidRPr="00283C60">
        <w:rPr>
          <w:sz w:val="24"/>
          <w:szCs w:val="24"/>
        </w:rPr>
        <w:t xml:space="preserve"> eller </w:t>
      </w:r>
      <w:proofErr w:type="spellStart"/>
      <w:r w:rsidRPr="00283C60">
        <w:rPr>
          <w:sz w:val="24"/>
          <w:szCs w:val="24"/>
        </w:rPr>
        <w:t>oPA</w:t>
      </w:r>
      <w:proofErr w:type="spellEnd"/>
      <w:r w:rsidRPr="00283C60">
        <w:rPr>
          <w:sz w:val="24"/>
          <w:szCs w:val="24"/>
        </w:rPr>
        <w:t>/</w:t>
      </w:r>
      <w:proofErr w:type="spellStart"/>
      <w:r w:rsidRPr="00283C60">
        <w:rPr>
          <w:sz w:val="24"/>
          <w:szCs w:val="24"/>
        </w:rPr>
        <w:t>Alu</w:t>
      </w:r>
      <w:proofErr w:type="spellEnd"/>
      <w:r w:rsidRPr="00283C60">
        <w:rPr>
          <w:sz w:val="24"/>
          <w:szCs w:val="24"/>
        </w:rPr>
        <w:t>/PVC//</w:t>
      </w:r>
      <w:proofErr w:type="spellStart"/>
      <w:r w:rsidRPr="00283C60">
        <w:rPr>
          <w:sz w:val="24"/>
          <w:szCs w:val="24"/>
        </w:rPr>
        <w:t>Alu</w:t>
      </w:r>
      <w:proofErr w:type="spellEnd"/>
      <w:r w:rsidRPr="00283C60">
        <w:rPr>
          <w:sz w:val="24"/>
          <w:szCs w:val="24"/>
        </w:rPr>
        <w:t xml:space="preserve"> perforeret enkeltdosisblister indeholdende 14</w:t>
      </w:r>
      <w:r w:rsidR="00283C60">
        <w:rPr>
          <w:sz w:val="24"/>
          <w:szCs w:val="24"/>
        </w:rPr>
        <w:t>×</w:t>
      </w:r>
      <w:r w:rsidRPr="00283C60">
        <w:rPr>
          <w:sz w:val="24"/>
          <w:szCs w:val="24"/>
        </w:rPr>
        <w:t>1, 28</w:t>
      </w:r>
      <w:r w:rsidR="00283C60">
        <w:rPr>
          <w:sz w:val="24"/>
          <w:szCs w:val="24"/>
        </w:rPr>
        <w:t>×</w:t>
      </w:r>
      <w:r w:rsidRPr="00283C60">
        <w:rPr>
          <w:sz w:val="24"/>
          <w:szCs w:val="24"/>
        </w:rPr>
        <w:t>1, 56</w:t>
      </w:r>
      <w:r w:rsidR="00283C60">
        <w:rPr>
          <w:sz w:val="24"/>
          <w:szCs w:val="24"/>
        </w:rPr>
        <w:t>×</w:t>
      </w:r>
      <w:r w:rsidRPr="00283C60">
        <w:rPr>
          <w:sz w:val="24"/>
          <w:szCs w:val="24"/>
        </w:rPr>
        <w:t>1, 60</w:t>
      </w:r>
      <w:r w:rsidR="00283C60">
        <w:rPr>
          <w:sz w:val="24"/>
          <w:szCs w:val="24"/>
        </w:rPr>
        <w:t>×</w:t>
      </w:r>
      <w:r w:rsidRPr="00283C60">
        <w:rPr>
          <w:sz w:val="24"/>
          <w:szCs w:val="24"/>
        </w:rPr>
        <w:t>1, 168</w:t>
      </w:r>
      <w:r w:rsidR="00283C60">
        <w:rPr>
          <w:sz w:val="24"/>
          <w:szCs w:val="24"/>
        </w:rPr>
        <w:t>×</w:t>
      </w:r>
      <w:r w:rsidRPr="00283C60">
        <w:rPr>
          <w:sz w:val="24"/>
          <w:szCs w:val="24"/>
        </w:rPr>
        <w:t>1 eller 180</w:t>
      </w:r>
      <w:r w:rsidR="00283C60">
        <w:rPr>
          <w:sz w:val="24"/>
          <w:szCs w:val="24"/>
        </w:rPr>
        <w:t>×</w:t>
      </w:r>
      <w:r w:rsidRPr="00283C60">
        <w:rPr>
          <w:sz w:val="24"/>
          <w:szCs w:val="24"/>
        </w:rPr>
        <w:t xml:space="preserve">1 </w:t>
      </w:r>
      <w:r w:rsidR="005172A5" w:rsidRPr="00283C60">
        <w:rPr>
          <w:sz w:val="24"/>
          <w:szCs w:val="24"/>
        </w:rPr>
        <w:t xml:space="preserve">hårde </w:t>
      </w:r>
      <w:r w:rsidR="005172A5">
        <w:rPr>
          <w:sz w:val="24"/>
          <w:szCs w:val="24"/>
        </w:rPr>
        <w:t>entero</w:t>
      </w:r>
      <w:r w:rsidR="005172A5" w:rsidRPr="00283C60">
        <w:rPr>
          <w:sz w:val="24"/>
          <w:szCs w:val="24"/>
        </w:rPr>
        <w:t>kapsler</w:t>
      </w:r>
      <w:r w:rsidRPr="00283C60">
        <w:rPr>
          <w:sz w:val="24"/>
          <w:szCs w:val="24"/>
        </w:rPr>
        <w:t>.</w:t>
      </w:r>
    </w:p>
    <w:p w14:paraId="445FE41C" w14:textId="77777777" w:rsidR="00244D23" w:rsidRPr="00283C60" w:rsidRDefault="00244D23" w:rsidP="00393DF8">
      <w:pPr>
        <w:ind w:left="851"/>
        <w:rPr>
          <w:sz w:val="24"/>
          <w:szCs w:val="24"/>
          <w:highlight w:val="yellow"/>
        </w:rPr>
      </w:pPr>
    </w:p>
    <w:p w14:paraId="2DBEEBB3" w14:textId="77777777" w:rsidR="00244D23" w:rsidRPr="00283C60" w:rsidRDefault="00244D23" w:rsidP="00393DF8">
      <w:pPr>
        <w:ind w:left="851"/>
        <w:rPr>
          <w:sz w:val="24"/>
          <w:szCs w:val="24"/>
        </w:rPr>
      </w:pPr>
      <w:r w:rsidRPr="00283C60">
        <w:rPr>
          <w:sz w:val="24"/>
          <w:szCs w:val="24"/>
        </w:rPr>
        <w:t>Ikke alle pakningsstørrelser er muligvis markedsført.</w:t>
      </w:r>
    </w:p>
    <w:p w14:paraId="6B8D828D" w14:textId="77777777" w:rsidR="009260DE" w:rsidRPr="00283C60" w:rsidRDefault="009260DE" w:rsidP="009260DE">
      <w:pPr>
        <w:tabs>
          <w:tab w:val="left" w:pos="851"/>
        </w:tabs>
        <w:ind w:left="851"/>
        <w:rPr>
          <w:sz w:val="24"/>
          <w:szCs w:val="24"/>
        </w:rPr>
      </w:pPr>
    </w:p>
    <w:p w14:paraId="2ED64B51" w14:textId="77777777" w:rsidR="009260DE" w:rsidRPr="00283C60" w:rsidRDefault="009260DE" w:rsidP="009260DE">
      <w:pPr>
        <w:tabs>
          <w:tab w:val="left" w:pos="851"/>
        </w:tabs>
        <w:ind w:left="851" w:hanging="851"/>
        <w:rPr>
          <w:b/>
          <w:sz w:val="24"/>
          <w:szCs w:val="24"/>
        </w:rPr>
      </w:pPr>
      <w:r w:rsidRPr="00283C60">
        <w:rPr>
          <w:b/>
          <w:sz w:val="24"/>
          <w:szCs w:val="24"/>
        </w:rPr>
        <w:t>6.6</w:t>
      </w:r>
      <w:r w:rsidRPr="00283C60">
        <w:rPr>
          <w:b/>
          <w:sz w:val="24"/>
          <w:szCs w:val="24"/>
        </w:rPr>
        <w:tab/>
        <w:t xml:space="preserve">Regler for </w:t>
      </w:r>
      <w:r w:rsidR="00BD7931" w:rsidRPr="00283C60">
        <w:rPr>
          <w:b/>
          <w:sz w:val="24"/>
          <w:szCs w:val="24"/>
        </w:rPr>
        <w:t>bortskaffelse</w:t>
      </w:r>
      <w:r w:rsidRPr="00283C60">
        <w:rPr>
          <w:b/>
          <w:sz w:val="24"/>
          <w:szCs w:val="24"/>
        </w:rPr>
        <w:t xml:space="preserve"> og anden håndtering</w:t>
      </w:r>
    </w:p>
    <w:p w14:paraId="3BC6DAA8" w14:textId="77777777" w:rsidR="00244D23" w:rsidRPr="00283C60" w:rsidRDefault="00244D23" w:rsidP="00393DF8">
      <w:pPr>
        <w:ind w:left="851"/>
        <w:rPr>
          <w:sz w:val="24"/>
          <w:szCs w:val="24"/>
          <w:lang w:eastAsia="fr-LU"/>
        </w:rPr>
      </w:pPr>
      <w:r w:rsidRPr="00283C60">
        <w:rPr>
          <w:sz w:val="24"/>
          <w:szCs w:val="24"/>
        </w:rPr>
        <w:t>Ingen særlige forholdsregler ved bortskaffelse.</w:t>
      </w:r>
    </w:p>
    <w:p w14:paraId="17D1DFF7" w14:textId="77777777" w:rsidR="009260DE" w:rsidRPr="00283C60" w:rsidRDefault="009260DE" w:rsidP="000730CA">
      <w:pPr>
        <w:tabs>
          <w:tab w:val="left" w:pos="851"/>
        </w:tabs>
        <w:ind w:left="851"/>
        <w:rPr>
          <w:sz w:val="24"/>
          <w:szCs w:val="24"/>
        </w:rPr>
      </w:pPr>
    </w:p>
    <w:p w14:paraId="6989D148" w14:textId="77777777" w:rsidR="009260DE" w:rsidRPr="00283C60" w:rsidRDefault="009260DE" w:rsidP="009260DE">
      <w:pPr>
        <w:tabs>
          <w:tab w:val="left" w:pos="851"/>
        </w:tabs>
        <w:ind w:left="851" w:hanging="851"/>
        <w:rPr>
          <w:b/>
          <w:sz w:val="24"/>
          <w:szCs w:val="24"/>
        </w:rPr>
      </w:pPr>
      <w:r w:rsidRPr="00283C60">
        <w:rPr>
          <w:b/>
          <w:sz w:val="24"/>
          <w:szCs w:val="24"/>
        </w:rPr>
        <w:t>7.</w:t>
      </w:r>
      <w:r w:rsidRPr="00283C60">
        <w:rPr>
          <w:b/>
          <w:sz w:val="24"/>
          <w:szCs w:val="24"/>
        </w:rPr>
        <w:tab/>
        <w:t>INDEHAVER AF MARKEDSFØRINGSTILLADELSEN</w:t>
      </w:r>
    </w:p>
    <w:p w14:paraId="08B6F4B9" w14:textId="77777777" w:rsidR="00244D23" w:rsidRPr="00283C60" w:rsidRDefault="00244D23" w:rsidP="00393DF8">
      <w:pPr>
        <w:ind w:left="851"/>
        <w:rPr>
          <w:sz w:val="24"/>
          <w:szCs w:val="24"/>
          <w:lang w:eastAsia="fr-LU"/>
        </w:rPr>
      </w:pPr>
      <w:r w:rsidRPr="00283C60">
        <w:rPr>
          <w:sz w:val="24"/>
          <w:szCs w:val="24"/>
        </w:rPr>
        <w:t>STADA Nordic ApS</w:t>
      </w:r>
    </w:p>
    <w:p w14:paraId="6DD7072A" w14:textId="77777777" w:rsidR="00244D23" w:rsidRPr="00283C60" w:rsidRDefault="00244D23" w:rsidP="00393DF8">
      <w:pPr>
        <w:ind w:left="851"/>
        <w:rPr>
          <w:sz w:val="24"/>
          <w:szCs w:val="24"/>
        </w:rPr>
      </w:pPr>
      <w:r w:rsidRPr="00283C60">
        <w:rPr>
          <w:sz w:val="24"/>
          <w:szCs w:val="24"/>
        </w:rPr>
        <w:t>Marielundvej 46 A</w:t>
      </w:r>
    </w:p>
    <w:p w14:paraId="6D3ACBAB" w14:textId="77777777" w:rsidR="00244D23" w:rsidRPr="00283C60" w:rsidRDefault="00244D23" w:rsidP="00393DF8">
      <w:pPr>
        <w:ind w:left="851"/>
        <w:rPr>
          <w:sz w:val="24"/>
          <w:szCs w:val="24"/>
        </w:rPr>
      </w:pPr>
      <w:r w:rsidRPr="00283C60">
        <w:rPr>
          <w:sz w:val="24"/>
          <w:szCs w:val="24"/>
        </w:rPr>
        <w:t>2730 Herlev</w:t>
      </w:r>
    </w:p>
    <w:p w14:paraId="56AAC354" w14:textId="77777777" w:rsidR="00641C65" w:rsidRPr="00283C60" w:rsidRDefault="00641C65" w:rsidP="009260DE">
      <w:pPr>
        <w:tabs>
          <w:tab w:val="left" w:pos="851"/>
        </w:tabs>
        <w:ind w:left="851"/>
        <w:rPr>
          <w:sz w:val="24"/>
          <w:szCs w:val="24"/>
        </w:rPr>
      </w:pPr>
    </w:p>
    <w:p w14:paraId="701456DD" w14:textId="77777777" w:rsidR="009260DE" w:rsidRPr="00283C60" w:rsidRDefault="009260DE" w:rsidP="009260DE">
      <w:pPr>
        <w:tabs>
          <w:tab w:val="left" w:pos="851"/>
        </w:tabs>
        <w:ind w:left="851" w:hanging="851"/>
        <w:rPr>
          <w:b/>
          <w:sz w:val="24"/>
          <w:szCs w:val="24"/>
        </w:rPr>
      </w:pPr>
      <w:r w:rsidRPr="00283C60">
        <w:rPr>
          <w:b/>
          <w:sz w:val="24"/>
          <w:szCs w:val="24"/>
        </w:rPr>
        <w:t>8.</w:t>
      </w:r>
      <w:r w:rsidRPr="00283C60">
        <w:rPr>
          <w:b/>
          <w:sz w:val="24"/>
          <w:szCs w:val="24"/>
        </w:rPr>
        <w:tab/>
        <w:t>MARKEDSFØRINGSTILLADELSESNUMMER (</w:t>
      </w:r>
      <w:r w:rsidR="00BF6243" w:rsidRPr="00283C60">
        <w:rPr>
          <w:b/>
          <w:sz w:val="24"/>
          <w:szCs w:val="24"/>
        </w:rPr>
        <w:t>-</w:t>
      </w:r>
      <w:r w:rsidRPr="00283C60">
        <w:rPr>
          <w:b/>
          <w:sz w:val="24"/>
          <w:szCs w:val="24"/>
        </w:rPr>
        <w:t>NUMRE)</w:t>
      </w:r>
    </w:p>
    <w:p w14:paraId="575544F5" w14:textId="718BBAE0" w:rsidR="009260DE" w:rsidRPr="00283C60" w:rsidRDefault="00244D23" w:rsidP="009260DE">
      <w:pPr>
        <w:tabs>
          <w:tab w:val="left" w:pos="851"/>
        </w:tabs>
        <w:ind w:left="851"/>
        <w:rPr>
          <w:sz w:val="24"/>
          <w:szCs w:val="24"/>
        </w:rPr>
      </w:pPr>
      <w:r w:rsidRPr="00283C60">
        <w:rPr>
          <w:sz w:val="24"/>
          <w:szCs w:val="24"/>
        </w:rPr>
        <w:t>120 mg: 71398</w:t>
      </w:r>
    </w:p>
    <w:p w14:paraId="29F89C34" w14:textId="20F1A051" w:rsidR="00244D23" w:rsidRPr="00283C60" w:rsidRDefault="00244D23" w:rsidP="009260DE">
      <w:pPr>
        <w:tabs>
          <w:tab w:val="left" w:pos="851"/>
        </w:tabs>
        <w:ind w:left="851"/>
        <w:rPr>
          <w:sz w:val="24"/>
          <w:szCs w:val="24"/>
        </w:rPr>
      </w:pPr>
      <w:r w:rsidRPr="00283C60">
        <w:rPr>
          <w:sz w:val="24"/>
          <w:szCs w:val="24"/>
        </w:rPr>
        <w:t>240 mg: 71399</w:t>
      </w:r>
    </w:p>
    <w:p w14:paraId="7D4361C3" w14:textId="77777777" w:rsidR="009260DE" w:rsidRPr="00283C60" w:rsidRDefault="009260DE" w:rsidP="009260DE">
      <w:pPr>
        <w:tabs>
          <w:tab w:val="left" w:pos="851"/>
        </w:tabs>
        <w:ind w:left="851"/>
        <w:jc w:val="both"/>
        <w:rPr>
          <w:sz w:val="24"/>
          <w:szCs w:val="24"/>
        </w:rPr>
      </w:pPr>
    </w:p>
    <w:p w14:paraId="1D0A7239" w14:textId="77777777" w:rsidR="009260DE" w:rsidRPr="00283C60" w:rsidRDefault="009260DE" w:rsidP="009260DE">
      <w:pPr>
        <w:tabs>
          <w:tab w:val="left" w:pos="851"/>
        </w:tabs>
        <w:ind w:left="851" w:hanging="851"/>
        <w:rPr>
          <w:b/>
          <w:sz w:val="24"/>
          <w:szCs w:val="24"/>
        </w:rPr>
      </w:pPr>
      <w:r w:rsidRPr="00283C60">
        <w:rPr>
          <w:b/>
          <w:sz w:val="24"/>
          <w:szCs w:val="24"/>
        </w:rPr>
        <w:t>9.</w:t>
      </w:r>
      <w:r w:rsidRPr="00283C60">
        <w:rPr>
          <w:b/>
          <w:sz w:val="24"/>
          <w:szCs w:val="24"/>
        </w:rPr>
        <w:tab/>
        <w:t>DATO FOR FØRSTE MARKEDSFØRINGSTILLADELSE</w:t>
      </w:r>
    </w:p>
    <w:p w14:paraId="34CCBC44" w14:textId="5EA71A86" w:rsidR="009260DE" w:rsidRPr="00283C60" w:rsidRDefault="000C6D73" w:rsidP="009260DE">
      <w:pPr>
        <w:tabs>
          <w:tab w:val="left" w:pos="851"/>
        </w:tabs>
        <w:ind w:left="851"/>
        <w:rPr>
          <w:sz w:val="24"/>
          <w:szCs w:val="24"/>
        </w:rPr>
      </w:pPr>
      <w:r>
        <w:rPr>
          <w:sz w:val="24"/>
          <w:szCs w:val="24"/>
        </w:rPr>
        <w:t>10. april 2025</w:t>
      </w:r>
    </w:p>
    <w:p w14:paraId="2D5F4217" w14:textId="77777777" w:rsidR="009260DE" w:rsidRPr="00283C60" w:rsidRDefault="009260DE" w:rsidP="009260DE">
      <w:pPr>
        <w:tabs>
          <w:tab w:val="left" w:pos="851"/>
        </w:tabs>
        <w:ind w:left="851"/>
        <w:rPr>
          <w:sz w:val="24"/>
          <w:szCs w:val="24"/>
        </w:rPr>
      </w:pPr>
    </w:p>
    <w:p w14:paraId="3A772779" w14:textId="77777777" w:rsidR="009260DE" w:rsidRPr="00283C60" w:rsidRDefault="009260DE" w:rsidP="009260DE">
      <w:pPr>
        <w:tabs>
          <w:tab w:val="left" w:pos="851"/>
        </w:tabs>
        <w:ind w:left="851" w:hanging="851"/>
        <w:rPr>
          <w:b/>
          <w:sz w:val="24"/>
          <w:szCs w:val="24"/>
        </w:rPr>
      </w:pPr>
      <w:r w:rsidRPr="00283C60">
        <w:rPr>
          <w:b/>
          <w:sz w:val="24"/>
          <w:szCs w:val="24"/>
        </w:rPr>
        <w:t>10.</w:t>
      </w:r>
      <w:r w:rsidRPr="00283C60">
        <w:rPr>
          <w:b/>
          <w:sz w:val="24"/>
          <w:szCs w:val="24"/>
        </w:rPr>
        <w:tab/>
        <w:t>DATO FOR ÆNDRING AF TEKSTEN</w:t>
      </w:r>
    </w:p>
    <w:p w14:paraId="083232DD" w14:textId="2AD34679" w:rsidR="009260DE" w:rsidRPr="00283C60" w:rsidRDefault="00244D23" w:rsidP="009260DE">
      <w:pPr>
        <w:tabs>
          <w:tab w:val="left" w:pos="851"/>
        </w:tabs>
        <w:ind w:left="851"/>
        <w:rPr>
          <w:sz w:val="24"/>
          <w:szCs w:val="24"/>
        </w:rPr>
      </w:pPr>
      <w:r w:rsidRPr="00283C60">
        <w:rPr>
          <w:sz w:val="24"/>
          <w:szCs w:val="24"/>
        </w:rPr>
        <w:t>-</w:t>
      </w:r>
    </w:p>
    <w:sectPr w:rsidR="009260DE" w:rsidRPr="00283C6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D3EAD" w14:textId="77777777" w:rsidR="00244D23" w:rsidRDefault="00244D23">
      <w:r>
        <w:separator/>
      </w:r>
    </w:p>
  </w:endnote>
  <w:endnote w:type="continuationSeparator" w:id="0">
    <w:p w14:paraId="6651A525" w14:textId="77777777" w:rsidR="00244D23" w:rsidRDefault="0024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3622" w14:textId="77777777" w:rsidR="00244D23" w:rsidRDefault="00244D23">
    <w:pPr>
      <w:pStyle w:val="Sidefod"/>
      <w:pBdr>
        <w:bottom w:val="single" w:sz="6" w:space="1" w:color="auto"/>
      </w:pBdr>
    </w:pPr>
  </w:p>
  <w:p w14:paraId="502E9D3A" w14:textId="77777777" w:rsidR="00244D23" w:rsidRDefault="00244D23" w:rsidP="00C42586">
    <w:pPr>
      <w:pStyle w:val="Sidefod"/>
      <w:tabs>
        <w:tab w:val="clear" w:pos="4819"/>
        <w:tab w:val="left" w:pos="8505"/>
      </w:tabs>
      <w:rPr>
        <w:i/>
        <w:sz w:val="18"/>
        <w:szCs w:val="18"/>
      </w:rPr>
    </w:pPr>
  </w:p>
  <w:p w14:paraId="2752A2F9" w14:textId="35E4D930" w:rsidR="00244D23" w:rsidRPr="00B373D7" w:rsidRDefault="00244D2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172A5">
      <w:rPr>
        <w:i/>
        <w:noProof/>
        <w:sz w:val="18"/>
        <w:szCs w:val="18"/>
      </w:rPr>
      <w:t>Dimethyl fumarate Stada Nordic, hårde enterokapsler 120 mg og 240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C72E7" w14:textId="77777777" w:rsidR="00244D23" w:rsidRDefault="00244D23">
      <w:r>
        <w:separator/>
      </w:r>
    </w:p>
  </w:footnote>
  <w:footnote w:type="continuationSeparator" w:id="0">
    <w:p w14:paraId="66971A6C" w14:textId="77777777" w:rsidR="00244D23" w:rsidRDefault="0024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005983"/>
    <w:multiLevelType w:val="hybridMultilevel"/>
    <w:tmpl w:val="92180A7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8E7779E"/>
    <w:multiLevelType w:val="hybridMultilevel"/>
    <w:tmpl w:val="883E19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A9A49BE"/>
    <w:multiLevelType w:val="hybridMultilevel"/>
    <w:tmpl w:val="7C3C990E"/>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E8B6807"/>
    <w:multiLevelType w:val="hybridMultilevel"/>
    <w:tmpl w:val="2D1861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4EC34C8"/>
    <w:multiLevelType w:val="hybridMultilevel"/>
    <w:tmpl w:val="BB4A8CC0"/>
    <w:lvl w:ilvl="0" w:tplc="04060001">
      <w:start w:val="1"/>
      <w:numFmt w:val="bullet"/>
      <w:lvlText w:val=""/>
      <w:lvlJc w:val="left"/>
      <w:pPr>
        <w:ind w:left="1571" w:hanging="360"/>
      </w:pPr>
      <w:rPr>
        <w:rFonts w:ascii="Symbol" w:hAnsi="Symbol" w:hint="default"/>
        <w:b w:val="0"/>
        <w:bCs w:val="0"/>
        <w:i w:val="0"/>
        <w:iCs w:val="0"/>
        <w:w w:val="100"/>
        <w:sz w:val="22"/>
        <w:szCs w:val="22"/>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DE7D55"/>
    <w:multiLevelType w:val="hybridMultilevel"/>
    <w:tmpl w:val="0B2ABB6C"/>
    <w:lvl w:ilvl="0" w:tplc="D86670FC">
      <w:numFmt w:val="bullet"/>
      <w:lvlText w:val="-"/>
      <w:lvlJc w:val="left"/>
      <w:pPr>
        <w:ind w:left="360"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6D9E0D9C"/>
    <w:multiLevelType w:val="hybridMultilevel"/>
    <w:tmpl w:val="A918A1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8484382"/>
    <w:multiLevelType w:val="hybridMultilevel"/>
    <w:tmpl w:val="356245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7"/>
  </w:num>
  <w:num w:numId="9">
    <w:abstractNumId w:val="10"/>
  </w:num>
  <w:num w:numId="10">
    <w:abstractNumId w:val="7"/>
  </w:num>
  <w:num w:numId="11">
    <w:abstractNumId w:val="4"/>
  </w:num>
  <w:num w:numId="12">
    <w:abstractNumId w:val="5"/>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C6"/>
    <w:rsid w:val="000259B9"/>
    <w:rsid w:val="00041491"/>
    <w:rsid w:val="00050D16"/>
    <w:rsid w:val="000730CA"/>
    <w:rsid w:val="00074F2A"/>
    <w:rsid w:val="000A1CA8"/>
    <w:rsid w:val="000A466B"/>
    <w:rsid w:val="000B058C"/>
    <w:rsid w:val="000B5600"/>
    <w:rsid w:val="000C6D73"/>
    <w:rsid w:val="000D598E"/>
    <w:rsid w:val="000D68B0"/>
    <w:rsid w:val="000E4EE6"/>
    <w:rsid w:val="001454E2"/>
    <w:rsid w:val="00206CE8"/>
    <w:rsid w:val="0021526C"/>
    <w:rsid w:val="00244D23"/>
    <w:rsid w:val="00283A2B"/>
    <w:rsid w:val="00283C60"/>
    <w:rsid w:val="002B30AD"/>
    <w:rsid w:val="002C0801"/>
    <w:rsid w:val="002C1EC0"/>
    <w:rsid w:val="002C2C01"/>
    <w:rsid w:val="00367D7A"/>
    <w:rsid w:val="00393DF8"/>
    <w:rsid w:val="003A29AE"/>
    <w:rsid w:val="003A32D7"/>
    <w:rsid w:val="003B4074"/>
    <w:rsid w:val="003C769A"/>
    <w:rsid w:val="003D3A90"/>
    <w:rsid w:val="003F1838"/>
    <w:rsid w:val="00401736"/>
    <w:rsid w:val="004251C1"/>
    <w:rsid w:val="0045746C"/>
    <w:rsid w:val="004837F8"/>
    <w:rsid w:val="0049104B"/>
    <w:rsid w:val="004E3B12"/>
    <w:rsid w:val="005172A5"/>
    <w:rsid w:val="00532310"/>
    <w:rsid w:val="00565F0F"/>
    <w:rsid w:val="00594A86"/>
    <w:rsid w:val="00596D86"/>
    <w:rsid w:val="00637F5A"/>
    <w:rsid w:val="00641C65"/>
    <w:rsid w:val="006560B1"/>
    <w:rsid w:val="006756DD"/>
    <w:rsid w:val="007011C6"/>
    <w:rsid w:val="0071241E"/>
    <w:rsid w:val="00737275"/>
    <w:rsid w:val="00740EEC"/>
    <w:rsid w:val="0078011A"/>
    <w:rsid w:val="00782AF4"/>
    <w:rsid w:val="00790EE7"/>
    <w:rsid w:val="007B6649"/>
    <w:rsid w:val="0082576E"/>
    <w:rsid w:val="00857071"/>
    <w:rsid w:val="0089346F"/>
    <w:rsid w:val="008D0321"/>
    <w:rsid w:val="00907F75"/>
    <w:rsid w:val="009260DE"/>
    <w:rsid w:val="0093258A"/>
    <w:rsid w:val="009C7BA3"/>
    <w:rsid w:val="009D1F5A"/>
    <w:rsid w:val="00A10294"/>
    <w:rsid w:val="00B003BF"/>
    <w:rsid w:val="00B373D7"/>
    <w:rsid w:val="00B55271"/>
    <w:rsid w:val="00BD7931"/>
    <w:rsid w:val="00BF6243"/>
    <w:rsid w:val="00C30D6B"/>
    <w:rsid w:val="00C36276"/>
    <w:rsid w:val="00C42586"/>
    <w:rsid w:val="00C45F6B"/>
    <w:rsid w:val="00C60CCD"/>
    <w:rsid w:val="00C84483"/>
    <w:rsid w:val="00C95551"/>
    <w:rsid w:val="00CB20D7"/>
    <w:rsid w:val="00D020B0"/>
    <w:rsid w:val="00D11748"/>
    <w:rsid w:val="00D237F6"/>
    <w:rsid w:val="00D34D98"/>
    <w:rsid w:val="00D366CF"/>
    <w:rsid w:val="00D93992"/>
    <w:rsid w:val="00E0122E"/>
    <w:rsid w:val="00E108AA"/>
    <w:rsid w:val="00E3749A"/>
    <w:rsid w:val="00E7437F"/>
    <w:rsid w:val="00E865B8"/>
    <w:rsid w:val="00EC0B9B"/>
    <w:rsid w:val="00ED5E9F"/>
    <w:rsid w:val="00F23F4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AE816"/>
  <w15:chartTrackingRefBased/>
  <w15:docId w15:val="{1A47BA7C-FC2F-416A-80B2-42147B3F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44D23"/>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244D23"/>
    <w:rPr>
      <w:sz w:val="22"/>
      <w:szCs w:val="22"/>
      <w:lang w:val="en-US" w:eastAsia="en-US"/>
    </w:rPr>
  </w:style>
  <w:style w:type="paragraph" w:styleId="Listeafsnit">
    <w:name w:val="List Paragraph"/>
    <w:basedOn w:val="Normal"/>
    <w:uiPriority w:val="1"/>
    <w:qFormat/>
    <w:rsid w:val="00244D23"/>
    <w:pPr>
      <w:ind w:left="720"/>
      <w:contextualSpacing/>
    </w:pPr>
    <w:rPr>
      <w:sz w:val="20"/>
      <w:lang w:val="fr-LU" w:eastAsia="fr-LU"/>
    </w:rPr>
  </w:style>
  <w:style w:type="character" w:styleId="Hyperlink">
    <w:name w:val="Hyperlink"/>
    <w:uiPriority w:val="99"/>
    <w:semiHidden/>
    <w:unhideWhenUsed/>
    <w:rsid w:val="00244D23"/>
    <w:rPr>
      <w:rFonts w:ascii="Times New Roman" w:hAnsi="Times New Roman" w:cs="Times New Roman" w:hint="default"/>
      <w:color w:val="0000FF"/>
      <w:u w:val="single"/>
    </w:rPr>
  </w:style>
  <w:style w:type="paragraph" w:customStyle="1" w:styleId="TableParagraph">
    <w:name w:val="Table Paragraph"/>
    <w:basedOn w:val="Normal"/>
    <w:uiPriority w:val="1"/>
    <w:qFormat/>
    <w:rsid w:val="00244D23"/>
    <w:pPr>
      <w:widowControl w:val="0"/>
      <w:autoSpaceDE w:val="0"/>
      <w:autoSpaceDN w:val="0"/>
      <w:ind w:left="107"/>
    </w:pPr>
    <w:rPr>
      <w:sz w:val="22"/>
      <w:szCs w:val="22"/>
      <w:lang w:val="en-US"/>
    </w:rPr>
  </w:style>
  <w:style w:type="paragraph" w:styleId="Billedtekst">
    <w:name w:val="caption"/>
    <w:basedOn w:val="Normal"/>
    <w:next w:val="Normal"/>
    <w:semiHidden/>
    <w:unhideWhenUsed/>
    <w:qFormat/>
    <w:rsid w:val="00244D23"/>
    <w:pPr>
      <w:spacing w:after="200"/>
    </w:pPr>
    <w:rPr>
      <w:i/>
      <w:iCs/>
      <w:color w:val="44546A" w:themeColor="text2"/>
      <w:sz w:val="18"/>
      <w:szCs w:val="18"/>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9799">
      <w:bodyDiv w:val="1"/>
      <w:marLeft w:val="0"/>
      <w:marRight w:val="0"/>
      <w:marTop w:val="0"/>
      <w:marBottom w:val="0"/>
      <w:divBdr>
        <w:top w:val="none" w:sz="0" w:space="0" w:color="auto"/>
        <w:left w:val="none" w:sz="0" w:space="0" w:color="auto"/>
        <w:bottom w:val="none" w:sz="0" w:space="0" w:color="auto"/>
        <w:right w:val="none" w:sz="0" w:space="0" w:color="auto"/>
      </w:divBdr>
    </w:div>
    <w:div w:id="34891502">
      <w:bodyDiv w:val="1"/>
      <w:marLeft w:val="0"/>
      <w:marRight w:val="0"/>
      <w:marTop w:val="0"/>
      <w:marBottom w:val="0"/>
      <w:divBdr>
        <w:top w:val="none" w:sz="0" w:space="0" w:color="auto"/>
        <w:left w:val="none" w:sz="0" w:space="0" w:color="auto"/>
        <w:bottom w:val="none" w:sz="0" w:space="0" w:color="auto"/>
        <w:right w:val="none" w:sz="0" w:space="0" w:color="auto"/>
      </w:divBdr>
    </w:div>
    <w:div w:id="1501755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498312">
      <w:bodyDiv w:val="1"/>
      <w:marLeft w:val="0"/>
      <w:marRight w:val="0"/>
      <w:marTop w:val="0"/>
      <w:marBottom w:val="0"/>
      <w:divBdr>
        <w:top w:val="none" w:sz="0" w:space="0" w:color="auto"/>
        <w:left w:val="none" w:sz="0" w:space="0" w:color="auto"/>
        <w:bottom w:val="none" w:sz="0" w:space="0" w:color="auto"/>
        <w:right w:val="none" w:sz="0" w:space="0" w:color="auto"/>
      </w:divBdr>
    </w:div>
    <w:div w:id="314842286">
      <w:bodyDiv w:val="1"/>
      <w:marLeft w:val="0"/>
      <w:marRight w:val="0"/>
      <w:marTop w:val="0"/>
      <w:marBottom w:val="0"/>
      <w:divBdr>
        <w:top w:val="none" w:sz="0" w:space="0" w:color="auto"/>
        <w:left w:val="none" w:sz="0" w:space="0" w:color="auto"/>
        <w:bottom w:val="none" w:sz="0" w:space="0" w:color="auto"/>
        <w:right w:val="none" w:sz="0" w:space="0" w:color="auto"/>
      </w:divBdr>
    </w:div>
    <w:div w:id="467238833">
      <w:bodyDiv w:val="1"/>
      <w:marLeft w:val="0"/>
      <w:marRight w:val="0"/>
      <w:marTop w:val="0"/>
      <w:marBottom w:val="0"/>
      <w:divBdr>
        <w:top w:val="none" w:sz="0" w:space="0" w:color="auto"/>
        <w:left w:val="none" w:sz="0" w:space="0" w:color="auto"/>
        <w:bottom w:val="none" w:sz="0" w:space="0" w:color="auto"/>
        <w:right w:val="none" w:sz="0" w:space="0" w:color="auto"/>
      </w:divBdr>
    </w:div>
    <w:div w:id="585308462">
      <w:bodyDiv w:val="1"/>
      <w:marLeft w:val="0"/>
      <w:marRight w:val="0"/>
      <w:marTop w:val="0"/>
      <w:marBottom w:val="0"/>
      <w:divBdr>
        <w:top w:val="none" w:sz="0" w:space="0" w:color="auto"/>
        <w:left w:val="none" w:sz="0" w:space="0" w:color="auto"/>
        <w:bottom w:val="none" w:sz="0" w:space="0" w:color="auto"/>
        <w:right w:val="none" w:sz="0" w:space="0" w:color="auto"/>
      </w:divBdr>
    </w:div>
    <w:div w:id="650057053">
      <w:bodyDiv w:val="1"/>
      <w:marLeft w:val="0"/>
      <w:marRight w:val="0"/>
      <w:marTop w:val="0"/>
      <w:marBottom w:val="0"/>
      <w:divBdr>
        <w:top w:val="none" w:sz="0" w:space="0" w:color="auto"/>
        <w:left w:val="none" w:sz="0" w:space="0" w:color="auto"/>
        <w:bottom w:val="none" w:sz="0" w:space="0" w:color="auto"/>
        <w:right w:val="none" w:sz="0" w:space="0" w:color="auto"/>
      </w:divBdr>
    </w:div>
    <w:div w:id="701789285">
      <w:bodyDiv w:val="1"/>
      <w:marLeft w:val="0"/>
      <w:marRight w:val="0"/>
      <w:marTop w:val="0"/>
      <w:marBottom w:val="0"/>
      <w:divBdr>
        <w:top w:val="none" w:sz="0" w:space="0" w:color="auto"/>
        <w:left w:val="none" w:sz="0" w:space="0" w:color="auto"/>
        <w:bottom w:val="none" w:sz="0" w:space="0" w:color="auto"/>
        <w:right w:val="none" w:sz="0" w:space="0" w:color="auto"/>
      </w:divBdr>
    </w:div>
    <w:div w:id="749738768">
      <w:bodyDiv w:val="1"/>
      <w:marLeft w:val="0"/>
      <w:marRight w:val="0"/>
      <w:marTop w:val="0"/>
      <w:marBottom w:val="0"/>
      <w:divBdr>
        <w:top w:val="none" w:sz="0" w:space="0" w:color="auto"/>
        <w:left w:val="none" w:sz="0" w:space="0" w:color="auto"/>
        <w:bottom w:val="none" w:sz="0" w:space="0" w:color="auto"/>
        <w:right w:val="none" w:sz="0" w:space="0" w:color="auto"/>
      </w:divBdr>
    </w:div>
    <w:div w:id="783617896">
      <w:bodyDiv w:val="1"/>
      <w:marLeft w:val="0"/>
      <w:marRight w:val="0"/>
      <w:marTop w:val="0"/>
      <w:marBottom w:val="0"/>
      <w:divBdr>
        <w:top w:val="none" w:sz="0" w:space="0" w:color="auto"/>
        <w:left w:val="none" w:sz="0" w:space="0" w:color="auto"/>
        <w:bottom w:val="none" w:sz="0" w:space="0" w:color="auto"/>
        <w:right w:val="none" w:sz="0" w:space="0" w:color="auto"/>
      </w:divBdr>
    </w:div>
    <w:div w:id="1144199983">
      <w:bodyDiv w:val="1"/>
      <w:marLeft w:val="0"/>
      <w:marRight w:val="0"/>
      <w:marTop w:val="0"/>
      <w:marBottom w:val="0"/>
      <w:divBdr>
        <w:top w:val="none" w:sz="0" w:space="0" w:color="auto"/>
        <w:left w:val="none" w:sz="0" w:space="0" w:color="auto"/>
        <w:bottom w:val="none" w:sz="0" w:space="0" w:color="auto"/>
        <w:right w:val="none" w:sz="0" w:space="0" w:color="auto"/>
      </w:divBdr>
    </w:div>
    <w:div w:id="1227300262">
      <w:bodyDiv w:val="1"/>
      <w:marLeft w:val="0"/>
      <w:marRight w:val="0"/>
      <w:marTop w:val="0"/>
      <w:marBottom w:val="0"/>
      <w:divBdr>
        <w:top w:val="none" w:sz="0" w:space="0" w:color="auto"/>
        <w:left w:val="none" w:sz="0" w:space="0" w:color="auto"/>
        <w:bottom w:val="none" w:sz="0" w:space="0" w:color="auto"/>
        <w:right w:val="none" w:sz="0" w:space="0" w:color="auto"/>
      </w:divBdr>
    </w:div>
    <w:div w:id="1239286246">
      <w:bodyDiv w:val="1"/>
      <w:marLeft w:val="0"/>
      <w:marRight w:val="0"/>
      <w:marTop w:val="0"/>
      <w:marBottom w:val="0"/>
      <w:divBdr>
        <w:top w:val="none" w:sz="0" w:space="0" w:color="auto"/>
        <w:left w:val="none" w:sz="0" w:space="0" w:color="auto"/>
        <w:bottom w:val="none" w:sz="0" w:space="0" w:color="auto"/>
        <w:right w:val="none" w:sz="0" w:space="0" w:color="auto"/>
      </w:divBdr>
    </w:div>
    <w:div w:id="1394935014">
      <w:bodyDiv w:val="1"/>
      <w:marLeft w:val="0"/>
      <w:marRight w:val="0"/>
      <w:marTop w:val="0"/>
      <w:marBottom w:val="0"/>
      <w:divBdr>
        <w:top w:val="none" w:sz="0" w:space="0" w:color="auto"/>
        <w:left w:val="none" w:sz="0" w:space="0" w:color="auto"/>
        <w:bottom w:val="none" w:sz="0" w:space="0" w:color="auto"/>
        <w:right w:val="none" w:sz="0" w:space="0" w:color="auto"/>
      </w:divBdr>
    </w:div>
    <w:div w:id="1486971852">
      <w:bodyDiv w:val="1"/>
      <w:marLeft w:val="0"/>
      <w:marRight w:val="0"/>
      <w:marTop w:val="0"/>
      <w:marBottom w:val="0"/>
      <w:divBdr>
        <w:top w:val="none" w:sz="0" w:space="0" w:color="auto"/>
        <w:left w:val="none" w:sz="0" w:space="0" w:color="auto"/>
        <w:bottom w:val="none" w:sz="0" w:space="0" w:color="auto"/>
        <w:right w:val="none" w:sz="0" w:space="0" w:color="auto"/>
      </w:divBdr>
    </w:div>
    <w:div w:id="1519125049">
      <w:bodyDiv w:val="1"/>
      <w:marLeft w:val="0"/>
      <w:marRight w:val="0"/>
      <w:marTop w:val="0"/>
      <w:marBottom w:val="0"/>
      <w:divBdr>
        <w:top w:val="none" w:sz="0" w:space="0" w:color="auto"/>
        <w:left w:val="none" w:sz="0" w:space="0" w:color="auto"/>
        <w:bottom w:val="none" w:sz="0" w:space="0" w:color="auto"/>
        <w:right w:val="none" w:sz="0" w:space="0" w:color="auto"/>
      </w:divBdr>
    </w:div>
    <w:div w:id="1529373375">
      <w:bodyDiv w:val="1"/>
      <w:marLeft w:val="0"/>
      <w:marRight w:val="0"/>
      <w:marTop w:val="0"/>
      <w:marBottom w:val="0"/>
      <w:divBdr>
        <w:top w:val="none" w:sz="0" w:space="0" w:color="auto"/>
        <w:left w:val="none" w:sz="0" w:space="0" w:color="auto"/>
        <w:bottom w:val="none" w:sz="0" w:space="0" w:color="auto"/>
        <w:right w:val="none" w:sz="0" w:space="0" w:color="auto"/>
      </w:divBdr>
    </w:div>
    <w:div w:id="1534876983">
      <w:bodyDiv w:val="1"/>
      <w:marLeft w:val="0"/>
      <w:marRight w:val="0"/>
      <w:marTop w:val="0"/>
      <w:marBottom w:val="0"/>
      <w:divBdr>
        <w:top w:val="none" w:sz="0" w:space="0" w:color="auto"/>
        <w:left w:val="none" w:sz="0" w:space="0" w:color="auto"/>
        <w:bottom w:val="none" w:sz="0" w:space="0" w:color="auto"/>
        <w:right w:val="none" w:sz="0" w:space="0" w:color="auto"/>
      </w:divBdr>
    </w:div>
    <w:div w:id="1734960875">
      <w:bodyDiv w:val="1"/>
      <w:marLeft w:val="0"/>
      <w:marRight w:val="0"/>
      <w:marTop w:val="0"/>
      <w:marBottom w:val="0"/>
      <w:divBdr>
        <w:top w:val="none" w:sz="0" w:space="0" w:color="auto"/>
        <w:left w:val="none" w:sz="0" w:space="0" w:color="auto"/>
        <w:bottom w:val="none" w:sz="0" w:space="0" w:color="auto"/>
        <w:right w:val="none" w:sz="0" w:space="0" w:color="auto"/>
      </w:divBdr>
    </w:div>
    <w:div w:id="1761487375">
      <w:bodyDiv w:val="1"/>
      <w:marLeft w:val="0"/>
      <w:marRight w:val="0"/>
      <w:marTop w:val="0"/>
      <w:marBottom w:val="0"/>
      <w:divBdr>
        <w:top w:val="none" w:sz="0" w:space="0" w:color="auto"/>
        <w:left w:val="none" w:sz="0" w:space="0" w:color="auto"/>
        <w:bottom w:val="none" w:sz="0" w:space="0" w:color="auto"/>
        <w:right w:val="none" w:sz="0" w:space="0" w:color="auto"/>
      </w:divBdr>
    </w:div>
    <w:div w:id="18068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76</TotalTime>
  <Pages>24</Pages>
  <Words>8782</Words>
  <Characters>55475</Characters>
  <Application>Microsoft Office Word</Application>
  <DocSecurity>0</DocSecurity>
  <Lines>462</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2024030146, MT</dc:description>
  <cp:lastModifiedBy>Gitte Jørgensen</cp:lastModifiedBy>
  <cp:revision>11</cp:revision>
  <cp:lastPrinted>2012-08-22T08:53:00Z</cp:lastPrinted>
  <dcterms:created xsi:type="dcterms:W3CDTF">2025-04-08T07:07:00Z</dcterms:created>
  <dcterms:modified xsi:type="dcterms:W3CDTF">2025-04-10T10:53:00Z</dcterms:modified>
</cp:coreProperties>
</file>